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colors1.xml" ContentType="application/vnd.ms-office.chartcolorstyle+xml"/>
  <Override PartName="/word/charts/chart/style1.xml" ContentType="application/vnd.ms-office.chartstyle+xml"/>
  <Override PartName="/word/charts/chart1.xml" ContentType="application/vnd.openxmlformats-officedocument.drawingml.chart+xml"/>
  <Override PartName="/word/document.xml" ContentType="application/vnd.openxmlformats-officedocument.wordprocessingml.document.main+xml"/>
  <Override PartName="/word/embeddings/Microsoft_Excel_Worksheet1.xlsx" ContentType="application/vnd.openxmlformats-officedocument.spreadsheetml.sheet"/>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A7357" w:rsidRPr="00163325" w:rsidP="009A7357" w14:paraId="4E3F7258" w14:textId="4CC172A1">
      <w:pPr>
        <w:pStyle w:val="Title"/>
      </w:pPr>
      <w:bookmarkStart w:id="0" w:name="_Toc475701067"/>
      <w:r w:rsidRPr="00163325">
        <w:t>SF-83-1 SUPPORTING STATEMENT</w:t>
      </w:r>
      <w:r>
        <w:t xml:space="preserve"> (Part B)</w:t>
      </w:r>
    </w:p>
    <w:p w:rsidR="009A7357" w:rsidRPr="00163325" w:rsidP="009A7357" w14:paraId="73127B13" w14:textId="77777777">
      <w:pPr>
        <w:pStyle w:val="Title"/>
      </w:pPr>
    </w:p>
    <w:p w:rsidR="009A7357" w:rsidP="009A7357" w14:paraId="27087154" w14:textId="77777777">
      <w:pPr>
        <w:pStyle w:val="Title"/>
      </w:pPr>
      <w:r>
        <w:t>f</w:t>
      </w:r>
      <w:r w:rsidRPr="00163325">
        <w:t>or</w:t>
      </w:r>
      <w:r>
        <w:t xml:space="preserve"> the</w:t>
      </w:r>
    </w:p>
    <w:p w:rsidR="009A7357" w:rsidP="009A7357" w14:paraId="09F06CE0" w14:textId="77777777">
      <w:pPr>
        <w:pStyle w:val="Title"/>
      </w:pPr>
    </w:p>
    <w:p w:rsidR="009A7357" w:rsidRPr="003348B4" w:rsidP="009A7357" w14:paraId="678D7A2E" w14:textId="29C9392A">
      <w:pPr>
        <w:pStyle w:val="Title"/>
      </w:pPr>
      <w:r>
        <w:t xml:space="preserve"> 20</w:t>
      </w:r>
      <w:r w:rsidR="004443FC">
        <w:t>23</w:t>
      </w:r>
    </w:p>
    <w:p w:rsidR="009A7357" w:rsidRPr="00163325" w:rsidP="009A7357" w14:paraId="39952861" w14:textId="77777777">
      <w:pPr>
        <w:pStyle w:val="Title"/>
      </w:pPr>
    </w:p>
    <w:p w:rsidR="009A7357" w:rsidP="009A7357" w14:paraId="2A3AD9C5" w14:textId="77777777">
      <w:pPr>
        <w:pStyle w:val="Title"/>
      </w:pPr>
      <w:r w:rsidRPr="00163325">
        <w:t>Survey of Doctorate Recipients</w:t>
      </w:r>
    </w:p>
    <w:p w:rsidR="009A7357" w:rsidRPr="002B68FA" w:rsidP="009A7357" w14:paraId="2EC12DD0" w14:textId="77777777"/>
    <w:p w:rsidR="009A7357" w:rsidRPr="00163325" w:rsidP="009A7357" w14:paraId="440756D5" w14:textId="77777777">
      <w:pPr>
        <w:pStyle w:val="Title"/>
      </w:pPr>
    </w:p>
    <w:p w:rsidR="009A7357" w:rsidP="009A7357" w14:paraId="689B1426" w14:textId="77777777">
      <w:pPr>
        <w:rPr>
          <w:b/>
        </w:rPr>
      </w:pPr>
      <w:r>
        <w:rPr>
          <w:b/>
        </w:rPr>
        <w:br w:type="page"/>
      </w:r>
    </w:p>
    <w:p w:rsidR="009A7357" w:rsidRPr="00163325" w:rsidP="009A7357" w14:paraId="2060EFCA" w14:textId="77777777">
      <w:pPr>
        <w:jc w:val="center"/>
        <w:rPr>
          <w:b/>
          <w:sz w:val="28"/>
          <w:szCs w:val="28"/>
        </w:rPr>
      </w:pPr>
      <w:r w:rsidRPr="00163325">
        <w:rPr>
          <w:b/>
          <w:sz w:val="28"/>
          <w:szCs w:val="28"/>
        </w:rPr>
        <w:t>TABLE OF CONTENTS</w:t>
      </w:r>
    </w:p>
    <w:p w:rsidR="009A7357" w:rsidRPr="00163325" w:rsidP="009A7357" w14:paraId="41DBE722" w14:textId="77777777">
      <w:pPr>
        <w:rPr>
          <w:b/>
          <w:sz w:val="28"/>
          <w:szCs w:val="28"/>
        </w:rPr>
      </w:pPr>
    </w:p>
    <w:p w:rsidR="009A7357" w:rsidP="009A7357" w14:paraId="2FF034F7" w14:textId="23821A8B">
      <w:pPr>
        <w:tabs>
          <w:tab w:val="left" w:pos="720"/>
          <w:tab w:val="right" w:leader="dot" w:pos="9350"/>
        </w:tabs>
        <w:rPr>
          <w:b/>
          <w:noProof/>
        </w:rPr>
      </w:pPr>
    </w:p>
    <w:p w:rsidR="009A7357" w:rsidRPr="00F6726A" w:rsidP="00022C17" w14:paraId="2D2CA818" w14:textId="765093E6">
      <w:pPr>
        <w:pStyle w:val="TOC1"/>
        <w:rPr>
          <w:rFonts w:asciiTheme="minorHAnsi" w:eastAsiaTheme="minorEastAsia" w:hAnsiTheme="minorHAnsi" w:cstheme="minorBidi"/>
          <w:sz w:val="22"/>
          <w:szCs w:val="22"/>
        </w:rPr>
      </w:pPr>
      <w:r w:rsidRPr="005D0D74">
        <w:rPr>
          <w:rStyle w:val="Hyperlink"/>
          <w:color w:val="000000" w:themeColor="text1"/>
          <w:u w:val="none"/>
        </w:rPr>
        <w:t>B.</w:t>
      </w:r>
      <w:r w:rsidRPr="00F6726A">
        <w:rPr>
          <w:rFonts w:asciiTheme="minorHAnsi" w:eastAsiaTheme="minorEastAsia" w:hAnsiTheme="minorHAnsi" w:cstheme="minorBidi"/>
          <w:sz w:val="22"/>
          <w:szCs w:val="22"/>
        </w:rPr>
        <w:tab/>
      </w:r>
      <w:r w:rsidRPr="00D774EC">
        <w:rPr>
          <w:rStyle w:val="Hyperlink"/>
          <w:color w:val="000000" w:themeColor="text1"/>
          <w:u w:val="none"/>
        </w:rPr>
        <w:t>COLLECTION OF INFORMATION EMPLOYING STATISTICAL METHODS</w:t>
      </w:r>
      <w:r w:rsidRPr="00F6726A">
        <w:rPr>
          <w:webHidden/>
        </w:rPr>
        <w:tab/>
      </w:r>
      <w:r w:rsidR="00022C17">
        <w:rPr>
          <w:webHidden/>
        </w:rPr>
        <w:t>1</w:t>
      </w:r>
    </w:p>
    <w:p w:rsidR="009A7357" w:rsidRPr="005D0D74" w:rsidP="00CE10E5" w14:paraId="25397BAF" w14:textId="0C46DBB0">
      <w:pPr>
        <w:pStyle w:val="TOC2"/>
        <w:rPr>
          <w:rFonts w:asciiTheme="minorHAnsi" w:eastAsiaTheme="minorEastAsia" w:hAnsiTheme="minorHAnsi" w:cstheme="minorBidi"/>
          <w:noProof/>
          <w:sz w:val="22"/>
          <w:szCs w:val="22"/>
        </w:rPr>
      </w:pPr>
      <w:r w:rsidRPr="005D0D74">
        <w:rPr>
          <w:rStyle w:val="Hyperlink"/>
          <w:noProof/>
          <w:color w:val="000000" w:themeColor="text1"/>
          <w:u w:val="none"/>
        </w:rPr>
        <w:t>1.</w:t>
      </w:r>
      <w:r w:rsidRPr="005D0D74">
        <w:rPr>
          <w:rFonts w:asciiTheme="minorHAnsi" w:eastAsiaTheme="minorEastAsia" w:hAnsiTheme="minorHAnsi" w:cstheme="minorBidi"/>
          <w:noProof/>
          <w:sz w:val="22"/>
          <w:szCs w:val="22"/>
        </w:rPr>
        <w:tab/>
      </w:r>
      <w:r w:rsidRPr="005D0D74">
        <w:rPr>
          <w:rStyle w:val="Hyperlink"/>
          <w:noProof/>
          <w:color w:val="000000" w:themeColor="text1"/>
          <w:u w:val="none"/>
        </w:rPr>
        <w:t>RESPONDENT UNIVERSE AND SAMPLING METHODS</w:t>
      </w:r>
      <w:r w:rsidRPr="005D0D74">
        <w:rPr>
          <w:noProof/>
          <w:webHidden/>
        </w:rPr>
        <w:tab/>
      </w:r>
      <w:r w:rsidR="00022C17">
        <w:rPr>
          <w:noProof/>
          <w:webHidden/>
        </w:rPr>
        <w:t>1</w:t>
      </w:r>
    </w:p>
    <w:p w:rsidR="009A7357" w:rsidRPr="005D0D74" w:rsidP="00CE10E5" w14:paraId="294AAFAF" w14:textId="1566AF9B">
      <w:pPr>
        <w:pStyle w:val="TOC2"/>
        <w:rPr>
          <w:rFonts w:asciiTheme="minorHAnsi" w:eastAsiaTheme="minorEastAsia" w:hAnsiTheme="minorHAnsi" w:cstheme="minorBidi"/>
          <w:noProof/>
          <w:color w:val="000000" w:themeColor="text1"/>
          <w:sz w:val="22"/>
          <w:szCs w:val="22"/>
        </w:rPr>
      </w:pPr>
      <w:hyperlink w:anchor="_Toc475701069" w:history="1">
        <w:r w:rsidRPr="005D0D74">
          <w:rPr>
            <w:rStyle w:val="Hyperlink"/>
            <w:noProof/>
            <w:color w:val="000000" w:themeColor="text1"/>
            <w:u w:val="none"/>
          </w:rPr>
          <w:t>2.</w:t>
        </w:r>
        <w:r w:rsidRPr="005D0D74">
          <w:rPr>
            <w:rFonts w:asciiTheme="minorHAnsi" w:eastAsiaTheme="minorEastAsia" w:hAnsiTheme="minorHAnsi" w:cstheme="minorBidi"/>
            <w:noProof/>
            <w:color w:val="000000" w:themeColor="text1"/>
            <w:sz w:val="22"/>
            <w:szCs w:val="22"/>
          </w:rPr>
          <w:tab/>
        </w:r>
        <w:r w:rsidRPr="005D0D74">
          <w:rPr>
            <w:rStyle w:val="Hyperlink"/>
            <w:noProof/>
            <w:color w:val="000000" w:themeColor="text1"/>
            <w:u w:val="none"/>
          </w:rPr>
          <w:t>STATISTICAL PROCEDURES</w:t>
        </w:r>
        <w:r w:rsidRPr="005D0D74">
          <w:rPr>
            <w:noProof/>
            <w:webHidden/>
            <w:color w:val="000000" w:themeColor="text1"/>
          </w:rPr>
          <w:tab/>
        </w:r>
      </w:hyperlink>
      <w:r w:rsidR="00022C17">
        <w:rPr>
          <w:noProof/>
          <w:color w:val="000000" w:themeColor="text1"/>
        </w:rPr>
        <w:t>3</w:t>
      </w:r>
    </w:p>
    <w:p w:rsidR="009A7357" w:rsidRPr="005D0D74" w:rsidP="00CE10E5" w14:paraId="31428E83" w14:textId="1F6B776C">
      <w:pPr>
        <w:pStyle w:val="TOC2"/>
        <w:rPr>
          <w:rFonts w:asciiTheme="minorHAnsi" w:eastAsiaTheme="minorEastAsia" w:hAnsiTheme="minorHAnsi" w:cstheme="minorBidi"/>
          <w:noProof/>
          <w:sz w:val="22"/>
          <w:szCs w:val="22"/>
        </w:rPr>
      </w:pPr>
      <w:r w:rsidRPr="005D0D74">
        <w:rPr>
          <w:rStyle w:val="Hyperlink"/>
          <w:noProof/>
          <w:color w:val="000000" w:themeColor="text1"/>
          <w:u w:val="none"/>
        </w:rPr>
        <w:t>3.</w:t>
      </w:r>
      <w:r w:rsidRPr="005D0D74">
        <w:rPr>
          <w:rFonts w:asciiTheme="minorHAnsi" w:eastAsiaTheme="minorEastAsia" w:hAnsiTheme="minorHAnsi" w:cstheme="minorBidi"/>
          <w:noProof/>
          <w:sz w:val="22"/>
          <w:szCs w:val="22"/>
        </w:rPr>
        <w:tab/>
      </w:r>
      <w:r w:rsidRPr="005D0D74">
        <w:rPr>
          <w:rStyle w:val="Hyperlink"/>
          <w:noProof/>
          <w:color w:val="000000" w:themeColor="text1"/>
          <w:u w:val="none"/>
        </w:rPr>
        <w:t>METHODS TO MAXIMIZE RESPONSE</w:t>
      </w:r>
      <w:r w:rsidRPr="005D0D74">
        <w:rPr>
          <w:noProof/>
          <w:webHidden/>
        </w:rPr>
        <w:tab/>
      </w:r>
      <w:r w:rsidR="00CE10E5">
        <w:rPr>
          <w:noProof/>
          <w:webHidden/>
        </w:rPr>
        <w:t>5</w:t>
      </w:r>
    </w:p>
    <w:p w:rsidR="009A7357" w:rsidRPr="005D0D74" w:rsidP="00CE10E5" w14:paraId="61620B6F" w14:textId="78D120DB">
      <w:pPr>
        <w:pStyle w:val="TOC2"/>
        <w:rPr>
          <w:rFonts w:asciiTheme="minorHAnsi" w:eastAsiaTheme="minorEastAsia" w:hAnsiTheme="minorHAnsi" w:cstheme="minorBidi"/>
          <w:noProof/>
          <w:sz w:val="22"/>
          <w:szCs w:val="22"/>
        </w:rPr>
      </w:pPr>
      <w:r w:rsidRPr="005D0D74">
        <w:rPr>
          <w:rStyle w:val="Hyperlink"/>
          <w:noProof/>
          <w:color w:val="000000" w:themeColor="text1"/>
          <w:u w:val="none"/>
        </w:rPr>
        <w:t>4.</w:t>
      </w:r>
      <w:r w:rsidRPr="005D0D74">
        <w:rPr>
          <w:rFonts w:asciiTheme="minorHAnsi" w:eastAsiaTheme="minorEastAsia" w:hAnsiTheme="minorHAnsi" w:cstheme="minorBidi"/>
          <w:noProof/>
          <w:sz w:val="22"/>
          <w:szCs w:val="22"/>
        </w:rPr>
        <w:tab/>
      </w:r>
      <w:r w:rsidRPr="005D0D74">
        <w:rPr>
          <w:rStyle w:val="Hyperlink"/>
          <w:noProof/>
          <w:color w:val="000000" w:themeColor="text1"/>
          <w:u w:val="none"/>
        </w:rPr>
        <w:t>TESTING OF PROCEDURES</w:t>
      </w:r>
      <w:r w:rsidRPr="005D0D74">
        <w:rPr>
          <w:noProof/>
          <w:webHidden/>
        </w:rPr>
        <w:tab/>
      </w:r>
      <w:r w:rsidRPr="005D0D74" w:rsidR="001C56E7">
        <w:rPr>
          <w:noProof/>
          <w:webHidden/>
        </w:rPr>
        <w:t>1</w:t>
      </w:r>
      <w:r w:rsidR="00CE10E5">
        <w:rPr>
          <w:noProof/>
          <w:webHidden/>
        </w:rPr>
        <w:t>2</w:t>
      </w:r>
    </w:p>
    <w:p w:rsidR="009A7357" w:rsidRPr="005D0D74" w:rsidP="00CE10E5" w14:paraId="095D84FC" w14:textId="09E65B5C">
      <w:pPr>
        <w:pStyle w:val="TOC2"/>
        <w:rPr>
          <w:rFonts w:asciiTheme="minorHAnsi" w:eastAsiaTheme="minorEastAsia" w:hAnsiTheme="minorHAnsi" w:cstheme="minorBidi"/>
          <w:noProof/>
          <w:sz w:val="22"/>
          <w:szCs w:val="22"/>
        </w:rPr>
      </w:pPr>
      <w:r w:rsidRPr="005D0D74">
        <w:rPr>
          <w:rStyle w:val="Hyperlink"/>
          <w:noProof/>
          <w:color w:val="000000" w:themeColor="text1"/>
          <w:u w:val="none"/>
        </w:rPr>
        <w:t>5.</w:t>
      </w:r>
      <w:r w:rsidRPr="005D0D74">
        <w:rPr>
          <w:rFonts w:asciiTheme="minorHAnsi" w:eastAsiaTheme="minorEastAsia" w:hAnsiTheme="minorHAnsi" w:cstheme="minorBidi"/>
          <w:noProof/>
          <w:sz w:val="22"/>
          <w:szCs w:val="22"/>
        </w:rPr>
        <w:tab/>
      </w:r>
      <w:r w:rsidRPr="005D0D74">
        <w:rPr>
          <w:rStyle w:val="Hyperlink"/>
          <w:noProof/>
          <w:color w:val="000000" w:themeColor="text1"/>
          <w:u w:val="none"/>
        </w:rPr>
        <w:t>CONTACTS FOR STATISTICAL ASPECTS OF DATA COLLECTION</w:t>
      </w:r>
      <w:r w:rsidRPr="005D0D74">
        <w:rPr>
          <w:noProof/>
          <w:webHidden/>
        </w:rPr>
        <w:tab/>
      </w:r>
      <w:r w:rsidRPr="005D0D74" w:rsidR="001C56E7">
        <w:rPr>
          <w:noProof/>
          <w:webHidden/>
        </w:rPr>
        <w:t>1</w:t>
      </w:r>
      <w:r w:rsidR="00CE10E5">
        <w:rPr>
          <w:noProof/>
          <w:webHidden/>
        </w:rPr>
        <w:t>7</w:t>
      </w:r>
    </w:p>
    <w:p w:rsidR="009A7357" w:rsidRPr="005D0D74" w:rsidP="009A7357" w14:paraId="63C35AFC" w14:textId="77777777">
      <w:pPr>
        <w:tabs>
          <w:tab w:val="left" w:pos="720"/>
          <w:tab w:val="right" w:leader="dot" w:pos="9350"/>
        </w:tabs>
      </w:pPr>
    </w:p>
    <w:p w:rsidR="009A7357" w:rsidRPr="00163325" w:rsidP="009A7357" w14:paraId="58867287" w14:textId="77777777">
      <w:pPr>
        <w:tabs>
          <w:tab w:val="left" w:pos="360"/>
          <w:tab w:val="left" w:leader="dot" w:pos="8280"/>
        </w:tabs>
        <w:spacing w:line="480" w:lineRule="auto"/>
        <w:rPr>
          <w:b/>
        </w:rPr>
      </w:pPr>
      <w:r w:rsidRPr="00163325">
        <w:rPr>
          <w:b/>
        </w:rPr>
        <w:t xml:space="preserve">LIST OF </w:t>
      </w:r>
      <w:r>
        <w:rPr>
          <w:b/>
        </w:rPr>
        <w:t>APPENDICE</w:t>
      </w:r>
      <w:r w:rsidRPr="00163325">
        <w:rPr>
          <w:b/>
        </w:rPr>
        <w:t>S</w:t>
      </w:r>
    </w:p>
    <w:p w:rsidR="00E62C31" w:rsidP="00E62C31" w14:paraId="0AEEB79E" w14:textId="77777777">
      <w:pPr>
        <w:tabs>
          <w:tab w:val="right" w:leader="dot" w:pos="9360"/>
        </w:tabs>
      </w:pPr>
      <w:bookmarkStart w:id="1" w:name="OLE_LINK26"/>
      <w:r>
        <w:t>Appendix A – NSF Act of 1950; America COMPETES Reauthorization Act of 2010</w:t>
      </w:r>
      <w:r>
        <w:tab/>
        <w:t>A-1</w:t>
      </w:r>
    </w:p>
    <w:p w:rsidR="00E62C31" w:rsidP="00E62C31" w14:paraId="0306D3F0" w14:textId="77777777">
      <w:pPr>
        <w:tabs>
          <w:tab w:val="right" w:leader="dot" w:pos="9360"/>
        </w:tabs>
      </w:pPr>
      <w:r>
        <w:t>Appendix B – First Federal Register Announcement</w:t>
      </w:r>
      <w:r>
        <w:tab/>
        <w:t>B-1</w:t>
      </w:r>
    </w:p>
    <w:p w:rsidR="00E62C31" w:rsidP="00E62C31" w14:paraId="37FD3FC2" w14:textId="77777777">
      <w:pPr>
        <w:tabs>
          <w:tab w:val="right" w:leader="dot" w:pos="9360"/>
        </w:tabs>
      </w:pPr>
      <w:r>
        <w:t>Appendix C – Examples of SDR Data in Use by the Research Community</w:t>
      </w:r>
      <w:r>
        <w:tab/>
        <w:t>C-1</w:t>
      </w:r>
    </w:p>
    <w:p w:rsidR="00E62C31" w:rsidP="00E62C31" w14:paraId="0983B758" w14:textId="77777777">
      <w:pPr>
        <w:tabs>
          <w:tab w:val="right" w:leader="dot" w:pos="9360"/>
        </w:tabs>
        <w:rPr>
          <w:lang w:val="fr-FR"/>
        </w:rPr>
      </w:pPr>
      <w:r>
        <w:rPr>
          <w:lang w:val="fr-FR"/>
        </w:rPr>
        <w:t>Appendix D.1 – SDR 2023 Questionnaire Changes</w:t>
      </w:r>
      <w:r>
        <w:rPr>
          <w:lang w:val="fr-FR"/>
        </w:rPr>
        <w:tab/>
        <w:t>D.1-1</w:t>
      </w:r>
    </w:p>
    <w:p w:rsidR="00E62C31" w:rsidP="00E62C31" w14:paraId="1D1D687D" w14:textId="77777777">
      <w:pPr>
        <w:tabs>
          <w:tab w:val="right" w:leader="dot" w:pos="9360"/>
        </w:tabs>
        <w:rPr>
          <w:lang w:val="fr-FR"/>
        </w:rPr>
      </w:pPr>
      <w:r>
        <w:rPr>
          <w:lang w:val="fr-FR"/>
        </w:rPr>
        <w:t>Appendix D.2 – 2021 SDR Questionnaire</w:t>
      </w:r>
      <w:r>
        <w:rPr>
          <w:lang w:val="fr-FR"/>
        </w:rPr>
        <w:tab/>
        <w:t>D.2-1</w:t>
      </w:r>
    </w:p>
    <w:p w:rsidR="00E62C31" w:rsidP="00E62C31" w14:paraId="0C3E3BC2" w14:textId="77777777">
      <w:pPr>
        <w:tabs>
          <w:tab w:val="right" w:leader="dot" w:pos="9360"/>
        </w:tabs>
      </w:pPr>
      <w:r>
        <w:t xml:space="preserve">Appendix D.3 – </w:t>
      </w:r>
      <w:bookmarkStart w:id="2" w:name="_Hlk130380314"/>
      <w:r>
        <w:t>NSCG/SDR Retirement Module Development Literature Review</w:t>
      </w:r>
      <w:bookmarkEnd w:id="2"/>
      <w:r>
        <w:tab/>
        <w:t>D.3-1</w:t>
      </w:r>
    </w:p>
    <w:p w:rsidR="00E62C31" w:rsidP="00E62C31" w14:paraId="4A874BBB" w14:textId="77777777">
      <w:pPr>
        <w:tabs>
          <w:tab w:val="right" w:leader="dot" w:pos="9360"/>
        </w:tabs>
      </w:pPr>
      <w:r>
        <w:t>Appendix D.4 – Retirement Module Phase 2 Cognitive Testing Final Report</w:t>
      </w:r>
      <w:r>
        <w:tab/>
        <w:t>D.4-1</w:t>
      </w:r>
    </w:p>
    <w:p w:rsidR="00E62C31" w:rsidP="00E62C31" w14:paraId="43711EFF" w14:textId="14574D75">
      <w:pPr>
        <w:tabs>
          <w:tab w:val="right" w:leader="dot" w:pos="9360"/>
        </w:tabs>
        <w:ind w:left="720" w:hanging="720"/>
      </w:pPr>
      <w:bookmarkStart w:id="3" w:name="_Hlk137632306"/>
      <w:r>
        <w:t xml:space="preserve">Appendix D.5 – Survey of Doctorate Recipients Sexual Orientation and Gender Identity </w:t>
      </w:r>
      <w:r w:rsidR="00BD3F9F">
        <w:t xml:space="preserve">  </w:t>
      </w:r>
      <w:r>
        <w:t>Question Experiment Plan</w:t>
      </w:r>
      <w:r>
        <w:tab/>
        <w:t>D.5-1</w:t>
      </w:r>
    </w:p>
    <w:bookmarkEnd w:id="3"/>
    <w:p w:rsidR="00BD3F9F" w:rsidP="00BD3F9F" w14:paraId="1E9BD77A" w14:textId="25EE32B8">
      <w:pPr>
        <w:tabs>
          <w:tab w:val="right" w:leader="dot" w:pos="9360"/>
        </w:tabs>
        <w:ind w:left="720" w:hanging="720"/>
      </w:pPr>
      <w:r>
        <w:t xml:space="preserve">Appendix D.6 – Survey of Doctorate Recipients Race and Ethnicity </w:t>
      </w:r>
      <w:r w:rsidR="001B3A48">
        <w:t xml:space="preserve">Question </w:t>
      </w:r>
      <w:r>
        <w:t>Experiment Plan</w:t>
      </w:r>
      <w:r>
        <w:tab/>
        <w:t>D.6-1</w:t>
      </w:r>
    </w:p>
    <w:p w:rsidR="00E62C31" w:rsidP="00E62C31" w14:paraId="65BF0336" w14:textId="7C0862D7">
      <w:pPr>
        <w:tabs>
          <w:tab w:val="right" w:leader="dot" w:pos="9360"/>
        </w:tabs>
      </w:pPr>
      <w:r>
        <w:t>Appendix E.1 – Draft 2023 SDR Survey Mailing Materials</w:t>
      </w:r>
      <w:r>
        <w:tab/>
        <w:t>E.1-1</w:t>
      </w:r>
    </w:p>
    <w:p w:rsidR="00E62C31" w:rsidP="00E62C31" w14:paraId="6BEB2201" w14:textId="77777777">
      <w:pPr>
        <w:tabs>
          <w:tab w:val="right" w:leader="dot" w:pos="9360"/>
        </w:tabs>
      </w:pPr>
      <w:r>
        <w:t xml:space="preserve">Appendix E.2 – </w:t>
      </w:r>
      <w:r>
        <w:t>Prefield</w:t>
      </w:r>
      <w:r>
        <w:t xml:space="preserve"> Contact Materials for 2025 SDR</w:t>
      </w:r>
      <w:r>
        <w:tab/>
        <w:t>E.2-1</w:t>
      </w:r>
    </w:p>
    <w:p w:rsidR="00E62C31" w:rsidP="00E62C31" w14:paraId="36847614" w14:textId="77777777">
      <w:pPr>
        <w:tabs>
          <w:tab w:val="right" w:leader="dot" w:pos="9360"/>
        </w:tabs>
      </w:pPr>
      <w:r>
        <w:t>Appendix F – 2023 SDR Sample Allocation and Selection Table</w:t>
      </w:r>
      <w:r>
        <w:tab/>
        <w:t>F-1</w:t>
      </w:r>
    </w:p>
    <w:p w:rsidR="00022C17" w14:paraId="597B5D07" w14:textId="77777777">
      <w:pPr>
        <w:sectPr w:rsidSect="003E3DE7">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20" w:footer="720" w:gutter="0"/>
          <w:cols w:space="720"/>
          <w:docGrid w:linePitch="360"/>
        </w:sectPr>
      </w:pPr>
    </w:p>
    <w:bookmarkEnd w:id="1"/>
    <w:p w:rsidR="007936F2" w:rsidRPr="009B57B8" w:rsidP="00311F7F" w14:paraId="019DB5E3" w14:textId="12AF6D9B">
      <w:r w:rsidRPr="00311F7F">
        <w:rPr>
          <w:b/>
          <w:bCs/>
        </w:rPr>
        <w:t>B.</w:t>
      </w:r>
      <w:r w:rsidRPr="00311F7F">
        <w:rPr>
          <w:b/>
          <w:bCs/>
        </w:rPr>
        <w:tab/>
        <w:t>COLLECTION OF INFORMATION EMPLOYING STATISTICAL METHODS</w:t>
      </w:r>
    </w:p>
    <w:p w:rsidR="007936F2" w:rsidP="0093786D" w14:paraId="291243DD" w14:textId="2F55A6B8">
      <w:pPr>
        <w:pStyle w:val="Heading2"/>
        <w:spacing w:before="280" w:after="280"/>
        <w:ind w:left="547" w:hanging="547"/>
        <w:rPr>
          <w:sz w:val="22"/>
          <w:szCs w:val="22"/>
        </w:rPr>
      </w:pPr>
      <w:r w:rsidRPr="00B23A4D">
        <w:rPr>
          <w:i w:val="0"/>
        </w:rPr>
        <w:t>1.</w:t>
      </w:r>
      <w:r w:rsidRPr="00B23A4D">
        <w:rPr>
          <w:i w:val="0"/>
        </w:rPr>
        <w:tab/>
      </w:r>
      <w:r>
        <w:rPr>
          <w:i w:val="0"/>
        </w:rPr>
        <w:t>RESPONDENT UNIVERSE AND SAMPLING METHODS</w:t>
      </w:r>
    </w:p>
    <w:p w:rsidR="007936F2" w:rsidP="007936F2" w14:paraId="3CC23BC1" w14:textId="6053E87F">
      <w:pPr>
        <w:pStyle w:val="BodyText"/>
        <w:rPr>
          <w:sz w:val="22"/>
          <w:szCs w:val="22"/>
        </w:rPr>
      </w:pPr>
      <w:r>
        <w:rPr>
          <w:sz w:val="22"/>
          <w:szCs w:val="22"/>
        </w:rPr>
        <w:t>T</w:t>
      </w:r>
      <w:r w:rsidRPr="00402D33">
        <w:rPr>
          <w:sz w:val="22"/>
          <w:szCs w:val="22"/>
        </w:rPr>
        <w:t xml:space="preserve">he </w:t>
      </w:r>
      <w:r w:rsidR="00F61CFB">
        <w:rPr>
          <w:sz w:val="22"/>
          <w:szCs w:val="22"/>
        </w:rPr>
        <w:t>202</w:t>
      </w:r>
      <w:r w:rsidR="00E4318D">
        <w:rPr>
          <w:sz w:val="22"/>
          <w:szCs w:val="22"/>
        </w:rPr>
        <w:t>3</w:t>
      </w:r>
      <w:r w:rsidRPr="00402D33" w:rsidR="00F61CFB">
        <w:rPr>
          <w:sz w:val="22"/>
          <w:szCs w:val="22"/>
        </w:rPr>
        <w:t xml:space="preserve"> </w:t>
      </w:r>
      <w:r w:rsidRPr="00402D33">
        <w:rPr>
          <w:sz w:val="22"/>
          <w:szCs w:val="22"/>
        </w:rPr>
        <w:t xml:space="preserve">SDR </w:t>
      </w:r>
      <w:r>
        <w:rPr>
          <w:sz w:val="22"/>
          <w:szCs w:val="22"/>
        </w:rPr>
        <w:t xml:space="preserve">sample size is set at </w:t>
      </w:r>
      <w:r w:rsidRPr="00065C89" w:rsidR="00F61CFB">
        <w:rPr>
          <w:sz w:val="22"/>
          <w:szCs w:val="22"/>
          <w:lang w:eastAsia="zh-CN"/>
        </w:rPr>
        <w:t>125,</w:t>
      </w:r>
      <w:r w:rsidRPr="00065C89" w:rsidR="006B38C7">
        <w:rPr>
          <w:sz w:val="22"/>
          <w:szCs w:val="22"/>
          <w:lang w:eastAsia="zh-CN"/>
        </w:rPr>
        <w:t>246</w:t>
      </w:r>
      <w:r w:rsidR="00065C89">
        <w:rPr>
          <w:sz w:val="20"/>
          <w:lang w:eastAsia="zh-CN"/>
        </w:rPr>
        <w:t xml:space="preserve"> </w:t>
      </w:r>
      <w:r>
        <w:rPr>
          <w:sz w:val="22"/>
          <w:szCs w:val="22"/>
        </w:rPr>
        <w:t xml:space="preserve">cases including </w:t>
      </w:r>
      <w:r w:rsidRPr="00065C89" w:rsidR="00F61CFB">
        <w:rPr>
          <w:sz w:val="22"/>
          <w:szCs w:val="22"/>
          <w:lang w:eastAsia="zh-CN"/>
        </w:rPr>
        <w:t>115,</w:t>
      </w:r>
      <w:r w:rsidRPr="00065C89" w:rsidR="006B38C7">
        <w:rPr>
          <w:sz w:val="22"/>
          <w:szCs w:val="22"/>
          <w:lang w:eastAsia="zh-CN"/>
        </w:rPr>
        <w:t>246</w:t>
      </w:r>
      <w:r>
        <w:rPr>
          <w:sz w:val="22"/>
          <w:szCs w:val="22"/>
        </w:rPr>
        <w:t xml:space="preserve"> </w:t>
      </w:r>
      <w:r w:rsidR="00A31CF3">
        <w:rPr>
          <w:sz w:val="22"/>
          <w:szCs w:val="22"/>
        </w:rPr>
        <w:t xml:space="preserve">continuing </w:t>
      </w:r>
      <w:r>
        <w:rPr>
          <w:sz w:val="22"/>
          <w:szCs w:val="22"/>
        </w:rPr>
        <w:t xml:space="preserve">cases </w:t>
      </w:r>
      <w:r w:rsidR="00A31CF3">
        <w:rPr>
          <w:sz w:val="22"/>
          <w:szCs w:val="22"/>
        </w:rPr>
        <w:t xml:space="preserve">sampled </w:t>
      </w:r>
      <w:r>
        <w:rPr>
          <w:sz w:val="22"/>
          <w:szCs w:val="22"/>
        </w:rPr>
        <w:t xml:space="preserve">from the last survey cycle, </w:t>
      </w:r>
      <w:r w:rsidR="00F61CFB">
        <w:rPr>
          <w:sz w:val="22"/>
          <w:szCs w:val="22"/>
        </w:rPr>
        <w:t xml:space="preserve">and </w:t>
      </w:r>
      <w:r>
        <w:rPr>
          <w:sz w:val="22"/>
          <w:szCs w:val="22"/>
        </w:rPr>
        <w:t>10,</w:t>
      </w:r>
      <w:r w:rsidR="00A4259F">
        <w:rPr>
          <w:sz w:val="22"/>
          <w:szCs w:val="22"/>
        </w:rPr>
        <w:t xml:space="preserve">000 </w:t>
      </w:r>
      <w:r>
        <w:rPr>
          <w:sz w:val="22"/>
          <w:szCs w:val="22"/>
        </w:rPr>
        <w:t xml:space="preserve">new cohort </w:t>
      </w:r>
      <w:r w:rsidR="005B494B">
        <w:rPr>
          <w:sz w:val="22"/>
          <w:szCs w:val="22"/>
        </w:rPr>
        <w:t xml:space="preserve">sampled </w:t>
      </w:r>
      <w:r>
        <w:rPr>
          <w:sz w:val="22"/>
          <w:szCs w:val="22"/>
        </w:rPr>
        <w:t xml:space="preserve">cases who are recent doctorate recipients from academic years </w:t>
      </w:r>
      <w:r w:rsidR="00F61CFB">
        <w:rPr>
          <w:sz w:val="22"/>
          <w:szCs w:val="22"/>
        </w:rPr>
        <w:t>20</w:t>
      </w:r>
      <w:r w:rsidR="00504318">
        <w:rPr>
          <w:sz w:val="22"/>
          <w:szCs w:val="22"/>
        </w:rPr>
        <w:t>20</w:t>
      </w:r>
      <w:r w:rsidR="00F61CFB">
        <w:rPr>
          <w:sz w:val="22"/>
          <w:szCs w:val="22"/>
        </w:rPr>
        <w:t xml:space="preserve"> </w:t>
      </w:r>
      <w:r>
        <w:rPr>
          <w:sz w:val="22"/>
          <w:szCs w:val="22"/>
        </w:rPr>
        <w:t xml:space="preserve">and </w:t>
      </w:r>
      <w:r w:rsidR="00F61CFB">
        <w:rPr>
          <w:sz w:val="22"/>
          <w:szCs w:val="22"/>
        </w:rPr>
        <w:t>20</w:t>
      </w:r>
      <w:r w:rsidR="00504318">
        <w:rPr>
          <w:sz w:val="22"/>
          <w:szCs w:val="22"/>
        </w:rPr>
        <w:t>21</w:t>
      </w:r>
      <w:r>
        <w:rPr>
          <w:sz w:val="22"/>
          <w:szCs w:val="22"/>
        </w:rPr>
        <w:t>.</w:t>
      </w:r>
    </w:p>
    <w:p w:rsidR="004737F5" w:rsidP="007936F2" w14:paraId="5D4DA673" w14:textId="06F779A6">
      <w:pPr>
        <w:pStyle w:val="BodyText"/>
        <w:rPr>
          <w:sz w:val="22"/>
          <w:szCs w:val="22"/>
        </w:rPr>
      </w:pPr>
    </w:p>
    <w:p w:rsidR="00655643" w:rsidRPr="00C12F60" w:rsidP="00C12F60" w14:paraId="001DABAA" w14:textId="5215BBE0">
      <w:pPr>
        <w:pStyle w:val="BodyText"/>
        <w:rPr>
          <w:sz w:val="22"/>
          <w:szCs w:val="22"/>
        </w:rPr>
      </w:pPr>
      <w:r>
        <w:rPr>
          <w:sz w:val="22"/>
          <w:szCs w:val="22"/>
        </w:rPr>
        <w:t>A</w:t>
      </w:r>
      <w:r w:rsidR="00FA6583">
        <w:rPr>
          <w:sz w:val="22"/>
          <w:szCs w:val="22"/>
        </w:rPr>
        <w:t xml:space="preserve">pproximately 40,000 </w:t>
      </w:r>
      <w:r w:rsidRPr="00C12F60" w:rsidR="00FA6583">
        <w:rPr>
          <w:sz w:val="22"/>
          <w:szCs w:val="22"/>
        </w:rPr>
        <w:t xml:space="preserve">of </w:t>
      </w:r>
      <w:r w:rsidR="00FA6583">
        <w:rPr>
          <w:sz w:val="22"/>
          <w:szCs w:val="22"/>
        </w:rPr>
        <w:t xml:space="preserve">the </w:t>
      </w:r>
      <w:r w:rsidR="00F61CFB">
        <w:rPr>
          <w:sz w:val="22"/>
          <w:szCs w:val="22"/>
        </w:rPr>
        <w:t>202</w:t>
      </w:r>
      <w:r w:rsidR="0049731E">
        <w:rPr>
          <w:sz w:val="22"/>
          <w:szCs w:val="22"/>
        </w:rPr>
        <w:t>3</w:t>
      </w:r>
      <w:r w:rsidR="00F61CFB">
        <w:rPr>
          <w:sz w:val="22"/>
          <w:szCs w:val="22"/>
        </w:rPr>
        <w:t xml:space="preserve"> </w:t>
      </w:r>
      <w:r>
        <w:rPr>
          <w:sz w:val="22"/>
          <w:szCs w:val="22"/>
        </w:rPr>
        <w:t xml:space="preserve">SDR sample </w:t>
      </w:r>
      <w:r w:rsidR="00FA6583">
        <w:rPr>
          <w:sz w:val="22"/>
          <w:szCs w:val="22"/>
        </w:rPr>
        <w:t xml:space="preserve">who participated in </w:t>
      </w:r>
      <w:r w:rsidR="00D876D4">
        <w:rPr>
          <w:sz w:val="22"/>
          <w:szCs w:val="22"/>
        </w:rPr>
        <w:t xml:space="preserve">the </w:t>
      </w:r>
      <w:r>
        <w:rPr>
          <w:sz w:val="22"/>
          <w:szCs w:val="22"/>
        </w:rPr>
        <w:t>2015</w:t>
      </w:r>
      <w:r w:rsidR="00D876D4">
        <w:rPr>
          <w:sz w:val="22"/>
          <w:szCs w:val="22"/>
        </w:rPr>
        <w:t xml:space="preserve"> SDR</w:t>
      </w:r>
      <w:r>
        <w:rPr>
          <w:sz w:val="22"/>
          <w:szCs w:val="22"/>
        </w:rPr>
        <w:t xml:space="preserve"> </w:t>
      </w:r>
      <w:r w:rsidR="00F61CFB">
        <w:rPr>
          <w:sz w:val="22"/>
          <w:szCs w:val="22"/>
        </w:rPr>
        <w:t>make up the</w:t>
      </w:r>
      <w:r w:rsidRPr="00C12F60" w:rsidR="00FA6583">
        <w:rPr>
          <w:sz w:val="22"/>
          <w:szCs w:val="22"/>
        </w:rPr>
        <w:t xml:space="preserve"> </w:t>
      </w:r>
      <w:r w:rsidR="005B494B">
        <w:rPr>
          <w:sz w:val="22"/>
          <w:szCs w:val="22"/>
        </w:rPr>
        <w:t xml:space="preserve">SDR </w:t>
      </w:r>
      <w:r w:rsidRPr="00C12F60" w:rsidR="00FA6583">
        <w:rPr>
          <w:sz w:val="22"/>
          <w:szCs w:val="22"/>
        </w:rPr>
        <w:t xml:space="preserve">longitudinal </w:t>
      </w:r>
      <w:r w:rsidR="000023E1">
        <w:rPr>
          <w:sz w:val="22"/>
          <w:szCs w:val="22"/>
        </w:rPr>
        <w:t>sample</w:t>
      </w:r>
      <w:r w:rsidRPr="00C12F60" w:rsidR="00FA6583">
        <w:rPr>
          <w:sz w:val="22"/>
          <w:szCs w:val="22"/>
        </w:rPr>
        <w:t xml:space="preserve"> representing </w:t>
      </w:r>
      <w:r w:rsidR="00C80BB2">
        <w:rPr>
          <w:sz w:val="22"/>
          <w:szCs w:val="22"/>
        </w:rPr>
        <w:t xml:space="preserve">those who </w:t>
      </w:r>
      <w:r w:rsidR="00F66976">
        <w:rPr>
          <w:sz w:val="22"/>
          <w:szCs w:val="22"/>
        </w:rPr>
        <w:t>were</w:t>
      </w:r>
      <w:r w:rsidR="00C80BB2">
        <w:rPr>
          <w:sz w:val="22"/>
          <w:szCs w:val="22"/>
        </w:rPr>
        <w:t xml:space="preserve"> less than 65 years of age in </w:t>
      </w:r>
      <w:r w:rsidRPr="00C12F60" w:rsidR="00FA6583">
        <w:rPr>
          <w:sz w:val="22"/>
          <w:szCs w:val="22"/>
        </w:rPr>
        <w:t>the 2015 SDR target population</w:t>
      </w:r>
      <w:r w:rsidR="00FA6583">
        <w:rPr>
          <w:sz w:val="22"/>
          <w:szCs w:val="22"/>
        </w:rPr>
        <w:t xml:space="preserve"> moving forward into the 202</w:t>
      </w:r>
      <w:r w:rsidR="002F735E">
        <w:rPr>
          <w:sz w:val="22"/>
          <w:szCs w:val="22"/>
        </w:rPr>
        <w:t>3</w:t>
      </w:r>
      <w:r w:rsidR="00FA6583">
        <w:rPr>
          <w:sz w:val="22"/>
          <w:szCs w:val="22"/>
        </w:rPr>
        <w:t xml:space="preserve"> </w:t>
      </w:r>
      <w:r w:rsidR="005B494B">
        <w:rPr>
          <w:sz w:val="22"/>
          <w:szCs w:val="22"/>
        </w:rPr>
        <w:t>survey</w:t>
      </w:r>
      <w:r w:rsidR="00FA6583">
        <w:rPr>
          <w:sz w:val="22"/>
          <w:szCs w:val="22"/>
        </w:rPr>
        <w:t xml:space="preserve"> cycle of data collection</w:t>
      </w:r>
      <w:r w:rsidRPr="00C12F60" w:rsidR="00FA6583">
        <w:rPr>
          <w:sz w:val="22"/>
          <w:szCs w:val="22"/>
        </w:rPr>
        <w:t xml:space="preserve">. This panel will be weighted and maintained </w:t>
      </w:r>
      <w:r w:rsidR="005B494B">
        <w:rPr>
          <w:sz w:val="22"/>
          <w:szCs w:val="22"/>
        </w:rPr>
        <w:t xml:space="preserve">up </w:t>
      </w:r>
      <w:r w:rsidRPr="00C12F60" w:rsidR="00FA6583">
        <w:rPr>
          <w:sz w:val="22"/>
          <w:szCs w:val="22"/>
        </w:rPr>
        <w:t xml:space="preserve">through the </w:t>
      </w:r>
      <w:r w:rsidR="00FA6583">
        <w:rPr>
          <w:sz w:val="22"/>
          <w:szCs w:val="22"/>
        </w:rPr>
        <w:t>2</w:t>
      </w:r>
      <w:r w:rsidRPr="00C12F60" w:rsidR="00FA6583">
        <w:rPr>
          <w:sz w:val="22"/>
          <w:szCs w:val="22"/>
        </w:rPr>
        <w:t xml:space="preserve">025 cycle </w:t>
      </w:r>
      <w:r w:rsidR="00FA6583">
        <w:rPr>
          <w:sz w:val="22"/>
          <w:szCs w:val="22"/>
        </w:rPr>
        <w:t xml:space="preserve">of the </w:t>
      </w:r>
      <w:r w:rsidR="005B494B">
        <w:rPr>
          <w:sz w:val="22"/>
          <w:szCs w:val="22"/>
        </w:rPr>
        <w:t xml:space="preserve">biennial </w:t>
      </w:r>
      <w:r w:rsidR="00FA6583">
        <w:rPr>
          <w:sz w:val="22"/>
          <w:szCs w:val="22"/>
        </w:rPr>
        <w:t xml:space="preserve">SDR </w:t>
      </w:r>
      <w:r w:rsidRPr="00C12F60" w:rsidR="00FA6583">
        <w:rPr>
          <w:sz w:val="22"/>
          <w:szCs w:val="22"/>
        </w:rPr>
        <w:t xml:space="preserve">to provide longitudinal data for the </w:t>
      </w:r>
      <w:r w:rsidR="00FA6583">
        <w:rPr>
          <w:sz w:val="22"/>
          <w:szCs w:val="22"/>
        </w:rPr>
        <w:t xml:space="preserve">10-year </w:t>
      </w:r>
      <w:r w:rsidR="00FA6583">
        <w:rPr>
          <w:sz w:val="22"/>
          <w:szCs w:val="22"/>
        </w:rPr>
        <w:t>time period</w:t>
      </w:r>
      <w:r w:rsidR="00FA6583">
        <w:rPr>
          <w:sz w:val="22"/>
          <w:szCs w:val="22"/>
        </w:rPr>
        <w:t xml:space="preserve"> </w:t>
      </w:r>
      <w:r w:rsidRPr="00C12F60" w:rsidR="00FA6583">
        <w:rPr>
          <w:sz w:val="22"/>
          <w:szCs w:val="22"/>
        </w:rPr>
        <w:t>2015-2025.</w:t>
      </w:r>
      <w:r w:rsidR="00FA6583">
        <w:rPr>
          <w:sz w:val="22"/>
          <w:szCs w:val="22"/>
        </w:rPr>
        <w:t xml:space="preserve"> (See </w:t>
      </w:r>
      <w:r w:rsidR="00D876D4">
        <w:rPr>
          <w:sz w:val="22"/>
          <w:szCs w:val="22"/>
        </w:rPr>
        <w:t xml:space="preserve">“Consultation Outside the Agency” within </w:t>
      </w:r>
      <w:r w:rsidR="00FA6583">
        <w:rPr>
          <w:sz w:val="22"/>
          <w:szCs w:val="22"/>
        </w:rPr>
        <w:t>Section A.8</w:t>
      </w:r>
      <w:r w:rsidR="00D876D4">
        <w:rPr>
          <w:sz w:val="22"/>
          <w:szCs w:val="22"/>
        </w:rPr>
        <w:t xml:space="preserve"> </w:t>
      </w:r>
      <w:r w:rsidR="00FA6583">
        <w:rPr>
          <w:sz w:val="22"/>
          <w:szCs w:val="22"/>
        </w:rPr>
        <w:t xml:space="preserve">for </w:t>
      </w:r>
      <w:r w:rsidR="005B494B">
        <w:rPr>
          <w:sz w:val="22"/>
          <w:szCs w:val="22"/>
        </w:rPr>
        <w:t xml:space="preserve">further </w:t>
      </w:r>
      <w:r w:rsidR="00FA6583">
        <w:rPr>
          <w:sz w:val="22"/>
          <w:szCs w:val="22"/>
        </w:rPr>
        <w:t xml:space="preserve">background information on </w:t>
      </w:r>
      <w:r w:rsidR="00D82A02">
        <w:rPr>
          <w:sz w:val="22"/>
          <w:szCs w:val="22"/>
        </w:rPr>
        <w:t>its</w:t>
      </w:r>
      <w:r w:rsidR="00FA6583">
        <w:rPr>
          <w:sz w:val="22"/>
          <w:szCs w:val="22"/>
        </w:rPr>
        <w:t xml:space="preserve"> development</w:t>
      </w:r>
      <w:r w:rsidR="00D876D4">
        <w:rPr>
          <w:sz w:val="22"/>
          <w:szCs w:val="22"/>
        </w:rPr>
        <w:t>).</w:t>
      </w:r>
    </w:p>
    <w:p w:rsidR="00C12F60" w:rsidRPr="00C12F60" w:rsidP="00C12F60" w14:paraId="783EDA84" w14:textId="77777777">
      <w:pPr>
        <w:pStyle w:val="BodyText"/>
        <w:rPr>
          <w:sz w:val="22"/>
          <w:szCs w:val="22"/>
        </w:rPr>
      </w:pPr>
    </w:p>
    <w:p w:rsidR="007936F2" w:rsidP="007936F2" w14:paraId="4D956039" w14:textId="77777777">
      <w:pPr>
        <w:pStyle w:val="BodyText"/>
        <w:spacing w:after="120"/>
        <w:rPr>
          <w:b/>
          <w:szCs w:val="24"/>
        </w:rPr>
      </w:pPr>
      <w:r w:rsidRPr="00420C59">
        <w:rPr>
          <w:b/>
          <w:szCs w:val="24"/>
        </w:rPr>
        <w:t xml:space="preserve">1.1 </w:t>
      </w:r>
      <w:r w:rsidRPr="00B23A4D">
        <w:rPr>
          <w:b/>
          <w:szCs w:val="24"/>
        </w:rPr>
        <w:t>Frame</w:t>
      </w:r>
    </w:p>
    <w:p w:rsidR="007936F2" w:rsidRPr="001863B8" w:rsidP="007936F2" w14:paraId="76995AE0" w14:textId="5F762FC1">
      <w:pPr>
        <w:rPr>
          <w:color w:val="000000"/>
          <w:sz w:val="22"/>
          <w:szCs w:val="22"/>
        </w:rPr>
      </w:pPr>
      <w:r w:rsidRPr="5AB30E5D">
        <w:rPr>
          <w:color w:val="000000" w:themeColor="text1"/>
          <w:sz w:val="22"/>
          <w:szCs w:val="22"/>
        </w:rPr>
        <w:t xml:space="preserve">The </w:t>
      </w:r>
      <w:r w:rsidRPr="5AB30E5D" w:rsidR="22B56964">
        <w:rPr>
          <w:color w:val="000000" w:themeColor="text1"/>
          <w:sz w:val="22"/>
          <w:szCs w:val="22"/>
        </w:rPr>
        <w:t xml:space="preserve">source of the </w:t>
      </w:r>
      <w:r w:rsidRPr="5AB30E5D">
        <w:rPr>
          <w:color w:val="000000" w:themeColor="text1"/>
          <w:sz w:val="22"/>
          <w:szCs w:val="22"/>
        </w:rPr>
        <w:t xml:space="preserve">primary sampling for the SDR is the Doctorate Records File (DRF). The DRF is a cumulative file listing research doctorates awarded from U.S. institutions since 1920. It is updated </w:t>
      </w:r>
      <w:r w:rsidRPr="5AB30E5D" w:rsidR="22B56964">
        <w:rPr>
          <w:color w:val="000000" w:themeColor="text1"/>
          <w:sz w:val="22"/>
          <w:szCs w:val="22"/>
        </w:rPr>
        <w:t xml:space="preserve">annually </w:t>
      </w:r>
      <w:r w:rsidRPr="5AB30E5D">
        <w:rPr>
          <w:color w:val="000000" w:themeColor="text1"/>
          <w:sz w:val="22"/>
          <w:szCs w:val="22"/>
        </w:rPr>
        <w:t xml:space="preserve">with new research doctorate recipients through </w:t>
      </w:r>
      <w:r w:rsidRPr="5AB30E5D" w:rsidR="700752A0">
        <w:rPr>
          <w:color w:val="000000" w:themeColor="text1"/>
          <w:sz w:val="22"/>
          <w:szCs w:val="22"/>
        </w:rPr>
        <w:t xml:space="preserve">NCSES’s Survey of Earned </w:t>
      </w:r>
      <w:r w:rsidRPr="5AB30E5D" w:rsidR="227FE0B0">
        <w:rPr>
          <w:color w:val="000000" w:themeColor="text1"/>
          <w:sz w:val="22"/>
          <w:szCs w:val="22"/>
        </w:rPr>
        <w:t>Doctorates (</w:t>
      </w:r>
      <w:r w:rsidRPr="5AB30E5D">
        <w:rPr>
          <w:color w:val="000000" w:themeColor="text1"/>
          <w:sz w:val="22"/>
          <w:szCs w:val="22"/>
        </w:rPr>
        <w:t>SED</w:t>
      </w:r>
      <w:r w:rsidRPr="5AB30E5D" w:rsidR="700752A0">
        <w:rPr>
          <w:color w:val="000000" w:themeColor="text1"/>
          <w:sz w:val="22"/>
          <w:szCs w:val="22"/>
        </w:rPr>
        <w:t>)</w:t>
      </w:r>
      <w:r w:rsidRPr="5AB30E5D">
        <w:rPr>
          <w:color w:val="000000" w:themeColor="text1"/>
          <w:sz w:val="22"/>
          <w:szCs w:val="22"/>
        </w:rPr>
        <w:t>. The 20</w:t>
      </w:r>
      <w:r w:rsidRPr="5AB30E5D" w:rsidR="668A9E2F">
        <w:rPr>
          <w:color w:val="000000" w:themeColor="text1"/>
          <w:sz w:val="22"/>
          <w:szCs w:val="22"/>
        </w:rPr>
        <w:t>21</w:t>
      </w:r>
      <w:r w:rsidRPr="5AB30E5D">
        <w:rPr>
          <w:color w:val="000000" w:themeColor="text1"/>
          <w:sz w:val="22"/>
          <w:szCs w:val="22"/>
        </w:rPr>
        <w:t xml:space="preserve"> SDR </w:t>
      </w:r>
      <w:r w:rsidRPr="5AB30E5D" w:rsidR="3F8E29CF">
        <w:rPr>
          <w:color w:val="000000" w:themeColor="text1"/>
          <w:sz w:val="22"/>
          <w:szCs w:val="22"/>
        </w:rPr>
        <w:t>sample selected</w:t>
      </w:r>
      <w:r w:rsidRPr="5AB30E5D">
        <w:rPr>
          <w:color w:val="000000" w:themeColor="text1"/>
          <w:sz w:val="22"/>
          <w:szCs w:val="22"/>
        </w:rPr>
        <w:t xml:space="preserve"> from the 201</w:t>
      </w:r>
      <w:r w:rsidRPr="5AB30E5D" w:rsidR="315C5785">
        <w:rPr>
          <w:color w:val="000000" w:themeColor="text1"/>
          <w:sz w:val="22"/>
          <w:szCs w:val="22"/>
        </w:rPr>
        <w:t>9</w:t>
      </w:r>
      <w:r w:rsidRPr="5AB30E5D">
        <w:rPr>
          <w:color w:val="000000" w:themeColor="text1"/>
          <w:sz w:val="22"/>
          <w:szCs w:val="22"/>
        </w:rPr>
        <w:t xml:space="preserve"> DRF</w:t>
      </w:r>
      <w:r w:rsidRPr="5AB30E5D" w:rsidR="3F8E29CF">
        <w:rPr>
          <w:color w:val="000000" w:themeColor="text1"/>
          <w:sz w:val="22"/>
          <w:szCs w:val="22"/>
        </w:rPr>
        <w:t xml:space="preserve"> represented a </w:t>
      </w:r>
      <w:r w:rsidRPr="5AB30E5D" w:rsidR="5E206CAC">
        <w:rPr>
          <w:color w:val="000000" w:themeColor="text1"/>
          <w:sz w:val="22"/>
          <w:szCs w:val="22"/>
        </w:rPr>
        <w:t xml:space="preserve">surviving </w:t>
      </w:r>
      <w:r w:rsidRPr="5AB30E5D" w:rsidR="3F8E29CF">
        <w:rPr>
          <w:color w:val="000000" w:themeColor="text1"/>
          <w:sz w:val="22"/>
          <w:szCs w:val="22"/>
        </w:rPr>
        <w:t>population of nearly 1.</w:t>
      </w:r>
      <w:r w:rsidRPr="5AB30E5D" w:rsidR="7B8FF37D">
        <w:rPr>
          <w:color w:val="000000" w:themeColor="text1"/>
          <w:sz w:val="22"/>
          <w:szCs w:val="22"/>
        </w:rPr>
        <w:t>16</w:t>
      </w:r>
      <w:r w:rsidRPr="5AB30E5D" w:rsidR="3F8E29CF">
        <w:rPr>
          <w:color w:val="000000" w:themeColor="text1"/>
          <w:sz w:val="22"/>
          <w:szCs w:val="22"/>
        </w:rPr>
        <w:t xml:space="preserve"> million Science, Engineering</w:t>
      </w:r>
      <w:r w:rsidRPr="5AB30E5D" w:rsidR="21B540A0">
        <w:rPr>
          <w:color w:val="000000" w:themeColor="text1"/>
          <w:sz w:val="22"/>
          <w:szCs w:val="22"/>
        </w:rPr>
        <w:t>,</w:t>
      </w:r>
      <w:r w:rsidRPr="5AB30E5D" w:rsidR="3F8E29CF">
        <w:rPr>
          <w:color w:val="000000" w:themeColor="text1"/>
          <w:sz w:val="22"/>
          <w:szCs w:val="22"/>
        </w:rPr>
        <w:t xml:space="preserve"> and Health (SEH) doctorate holders less than 76 years of age</w:t>
      </w:r>
      <w:r w:rsidRPr="5AB30E5D">
        <w:rPr>
          <w:color w:val="000000" w:themeColor="text1"/>
          <w:sz w:val="22"/>
          <w:szCs w:val="22"/>
        </w:rPr>
        <w:t>.</w:t>
      </w:r>
      <w:r w:rsidRPr="5AB30E5D" w:rsidR="5E206CAC">
        <w:rPr>
          <w:color w:val="000000" w:themeColor="text1"/>
          <w:sz w:val="22"/>
          <w:szCs w:val="22"/>
        </w:rPr>
        <w:t xml:space="preserve"> The 202</w:t>
      </w:r>
      <w:r w:rsidRPr="5AB30E5D" w:rsidR="7611B922">
        <w:rPr>
          <w:color w:val="000000" w:themeColor="text1"/>
          <w:sz w:val="22"/>
          <w:szCs w:val="22"/>
        </w:rPr>
        <w:t>3</w:t>
      </w:r>
      <w:r w:rsidRPr="5AB30E5D" w:rsidR="5E206CAC">
        <w:rPr>
          <w:color w:val="000000" w:themeColor="text1"/>
          <w:sz w:val="22"/>
          <w:szCs w:val="22"/>
        </w:rPr>
        <w:t xml:space="preserve"> SDR is expected to represent about 1.23 million SEH doctorate holders from the 20</w:t>
      </w:r>
      <w:r w:rsidRPr="5AB30E5D" w:rsidR="41686754">
        <w:rPr>
          <w:color w:val="000000" w:themeColor="text1"/>
          <w:sz w:val="22"/>
          <w:szCs w:val="22"/>
        </w:rPr>
        <w:t>21</w:t>
      </w:r>
      <w:r w:rsidRPr="5AB30E5D" w:rsidR="5E206CAC">
        <w:rPr>
          <w:color w:val="000000" w:themeColor="text1"/>
          <w:sz w:val="22"/>
          <w:szCs w:val="22"/>
        </w:rPr>
        <w:t xml:space="preserve"> DRF, including over 8</w:t>
      </w:r>
      <w:r w:rsidRPr="5AB30E5D" w:rsidR="43DB9B84">
        <w:rPr>
          <w:color w:val="000000" w:themeColor="text1"/>
          <w:sz w:val="22"/>
          <w:szCs w:val="22"/>
        </w:rPr>
        <w:t>3</w:t>
      </w:r>
      <w:r w:rsidRPr="5AB30E5D" w:rsidR="5E206CAC">
        <w:rPr>
          <w:color w:val="000000" w:themeColor="text1"/>
          <w:sz w:val="22"/>
          <w:szCs w:val="22"/>
        </w:rPr>
        <w:t>,000 from the two most recent academic years, 20</w:t>
      </w:r>
      <w:r w:rsidRPr="5AB30E5D" w:rsidR="41686754">
        <w:rPr>
          <w:color w:val="000000" w:themeColor="text1"/>
          <w:sz w:val="22"/>
          <w:szCs w:val="22"/>
        </w:rPr>
        <w:t>20</w:t>
      </w:r>
      <w:r w:rsidRPr="5AB30E5D" w:rsidR="5E206CAC">
        <w:rPr>
          <w:color w:val="000000" w:themeColor="text1"/>
          <w:sz w:val="22"/>
          <w:szCs w:val="22"/>
        </w:rPr>
        <w:t xml:space="preserve"> and 20</w:t>
      </w:r>
      <w:r w:rsidRPr="5AB30E5D" w:rsidR="41686754">
        <w:rPr>
          <w:color w:val="000000" w:themeColor="text1"/>
          <w:sz w:val="22"/>
          <w:szCs w:val="22"/>
        </w:rPr>
        <w:t>21</w:t>
      </w:r>
      <w:r w:rsidRPr="5AB30E5D" w:rsidR="5E206CAC">
        <w:rPr>
          <w:color w:val="000000" w:themeColor="text1"/>
          <w:sz w:val="22"/>
          <w:szCs w:val="22"/>
        </w:rPr>
        <w:t xml:space="preserve">. </w:t>
      </w:r>
    </w:p>
    <w:p w:rsidR="007936F2" w:rsidRPr="00DF6D09" w:rsidP="007936F2" w14:paraId="744030FE" w14:textId="77777777">
      <w:pPr>
        <w:rPr>
          <w:color w:val="000000"/>
          <w:sz w:val="22"/>
          <w:szCs w:val="22"/>
        </w:rPr>
      </w:pPr>
    </w:p>
    <w:p w:rsidR="007936F2" w:rsidRPr="00161918" w:rsidP="007936F2" w14:paraId="5DA47695" w14:textId="7867A679">
      <w:pPr>
        <w:rPr>
          <w:color w:val="000000"/>
          <w:sz w:val="22"/>
          <w:szCs w:val="22"/>
        </w:rPr>
      </w:pPr>
      <w:r>
        <w:rPr>
          <w:color w:val="000000"/>
          <w:sz w:val="22"/>
          <w:szCs w:val="22"/>
        </w:rPr>
        <w:t>The target population for the</w:t>
      </w:r>
      <w:r w:rsidRPr="00161918">
        <w:rPr>
          <w:color w:val="000000"/>
          <w:sz w:val="22"/>
          <w:szCs w:val="22"/>
        </w:rPr>
        <w:t xml:space="preserve"> 20</w:t>
      </w:r>
      <w:r w:rsidR="00D82A02">
        <w:rPr>
          <w:color w:val="000000"/>
          <w:sz w:val="22"/>
          <w:szCs w:val="22"/>
        </w:rPr>
        <w:t>2</w:t>
      </w:r>
      <w:r w:rsidR="008C2545">
        <w:rPr>
          <w:color w:val="000000"/>
          <w:sz w:val="22"/>
          <w:szCs w:val="22"/>
        </w:rPr>
        <w:t>3</w:t>
      </w:r>
      <w:r w:rsidRPr="00161918">
        <w:rPr>
          <w:color w:val="000000"/>
          <w:sz w:val="22"/>
          <w:szCs w:val="22"/>
        </w:rPr>
        <w:t xml:space="preserve"> SDR </w:t>
      </w:r>
      <w:r>
        <w:rPr>
          <w:color w:val="000000"/>
          <w:sz w:val="22"/>
          <w:szCs w:val="22"/>
        </w:rPr>
        <w:t>includes individuals who</w:t>
      </w:r>
      <w:r w:rsidR="000023E1">
        <w:rPr>
          <w:color w:val="000000"/>
          <w:sz w:val="22"/>
          <w:szCs w:val="22"/>
        </w:rPr>
        <w:t xml:space="preserve"> must</w:t>
      </w:r>
      <w:r w:rsidRPr="00161918">
        <w:rPr>
          <w:color w:val="000000"/>
          <w:sz w:val="22"/>
          <w:szCs w:val="22"/>
        </w:rPr>
        <w:t>:</w:t>
      </w:r>
    </w:p>
    <w:p w:rsidR="007936F2" w:rsidRPr="00161918" w:rsidP="007936F2" w14:paraId="09662B24" w14:textId="21F7D30A">
      <w:pPr>
        <w:numPr>
          <w:ilvl w:val="0"/>
          <w:numId w:val="4"/>
        </w:numPr>
        <w:tabs>
          <w:tab w:val="clear" w:pos="360"/>
          <w:tab w:val="num" w:pos="720"/>
        </w:tabs>
        <w:spacing w:before="120"/>
        <w:ind w:left="720"/>
        <w:rPr>
          <w:rFonts w:eastAsiaTheme="minorEastAsia"/>
          <w:spacing w:val="-2"/>
          <w:sz w:val="22"/>
          <w:szCs w:val="22"/>
        </w:rPr>
      </w:pPr>
      <w:r w:rsidRPr="00161918">
        <w:rPr>
          <w:rFonts w:eastAsiaTheme="minorEastAsia"/>
          <w:spacing w:val="-2"/>
          <w:sz w:val="22"/>
          <w:szCs w:val="22"/>
        </w:rPr>
        <w:t xml:space="preserve">Have </w:t>
      </w:r>
      <w:r>
        <w:rPr>
          <w:rFonts w:eastAsiaTheme="minorEastAsia"/>
          <w:spacing w:val="-2"/>
          <w:sz w:val="22"/>
          <w:szCs w:val="22"/>
        </w:rPr>
        <w:t xml:space="preserve">earned </w:t>
      </w:r>
      <w:r w:rsidRPr="00161918">
        <w:rPr>
          <w:rFonts w:eastAsiaTheme="minorEastAsia"/>
          <w:spacing w:val="-2"/>
          <w:sz w:val="22"/>
          <w:szCs w:val="22"/>
        </w:rPr>
        <w:t xml:space="preserve">a research doctoral degree in a </w:t>
      </w:r>
      <w:r w:rsidR="00E20D77">
        <w:rPr>
          <w:rFonts w:eastAsiaTheme="minorEastAsia"/>
          <w:spacing w:val="-2"/>
          <w:sz w:val="22"/>
          <w:szCs w:val="22"/>
        </w:rPr>
        <w:t>SEH</w:t>
      </w:r>
      <w:r w:rsidRPr="00161918">
        <w:rPr>
          <w:rFonts w:eastAsiaTheme="minorEastAsia"/>
          <w:spacing w:val="-2"/>
          <w:sz w:val="22"/>
          <w:szCs w:val="22"/>
        </w:rPr>
        <w:t xml:space="preserve"> field from a U.S. institution, awarded no later than academic year </w:t>
      </w:r>
      <w:r w:rsidR="00F61CFB">
        <w:rPr>
          <w:rFonts w:eastAsiaTheme="minorEastAsia"/>
          <w:spacing w:val="-2"/>
          <w:sz w:val="22"/>
          <w:szCs w:val="22"/>
        </w:rPr>
        <w:t>20</w:t>
      </w:r>
      <w:r w:rsidR="00070821">
        <w:rPr>
          <w:rFonts w:eastAsiaTheme="minorEastAsia"/>
          <w:spacing w:val="-2"/>
          <w:sz w:val="22"/>
          <w:szCs w:val="22"/>
        </w:rPr>
        <w:t>21</w:t>
      </w:r>
      <w:r w:rsidRPr="00161918">
        <w:rPr>
          <w:rFonts w:eastAsiaTheme="minorEastAsia"/>
          <w:spacing w:val="-2"/>
          <w:sz w:val="22"/>
          <w:szCs w:val="22"/>
        </w:rPr>
        <w:t>, and</w:t>
      </w:r>
    </w:p>
    <w:p w:rsidR="007936F2" w:rsidP="007936F2" w14:paraId="2F91C4F8" w14:textId="3B67EA25">
      <w:pPr>
        <w:numPr>
          <w:ilvl w:val="0"/>
          <w:numId w:val="4"/>
        </w:numPr>
        <w:tabs>
          <w:tab w:val="clear" w:pos="360"/>
          <w:tab w:val="num" w:pos="720"/>
        </w:tabs>
        <w:spacing w:before="120"/>
        <w:ind w:left="720"/>
        <w:rPr>
          <w:rFonts w:eastAsiaTheme="minorEastAsia"/>
          <w:spacing w:val="-2"/>
          <w:sz w:val="22"/>
          <w:szCs w:val="22"/>
        </w:rPr>
      </w:pPr>
      <w:r w:rsidRPr="00161918">
        <w:rPr>
          <w:rFonts w:eastAsiaTheme="minorEastAsia"/>
          <w:spacing w:val="-2"/>
          <w:sz w:val="22"/>
          <w:szCs w:val="22"/>
        </w:rPr>
        <w:t xml:space="preserve">Be less than 76 years of age on 1 February </w:t>
      </w:r>
      <w:r w:rsidR="00F61CFB">
        <w:rPr>
          <w:rFonts w:eastAsiaTheme="minorEastAsia"/>
          <w:spacing w:val="-2"/>
          <w:sz w:val="22"/>
          <w:szCs w:val="22"/>
        </w:rPr>
        <w:t>202</w:t>
      </w:r>
      <w:r w:rsidR="00070821">
        <w:rPr>
          <w:rFonts w:eastAsiaTheme="minorEastAsia"/>
          <w:spacing w:val="-2"/>
          <w:sz w:val="22"/>
          <w:szCs w:val="22"/>
        </w:rPr>
        <w:t>3</w:t>
      </w:r>
      <w:r w:rsidRPr="00161918" w:rsidR="00F61CFB">
        <w:rPr>
          <w:rFonts w:eastAsiaTheme="minorEastAsia"/>
          <w:spacing w:val="-2"/>
          <w:sz w:val="22"/>
          <w:szCs w:val="22"/>
        </w:rPr>
        <w:t xml:space="preserve"> </w:t>
      </w:r>
      <w:r w:rsidRPr="00161918">
        <w:rPr>
          <w:rFonts w:eastAsiaTheme="minorEastAsia"/>
          <w:spacing w:val="-2"/>
          <w:sz w:val="22"/>
          <w:szCs w:val="22"/>
        </w:rPr>
        <w:t xml:space="preserve">based on their </w:t>
      </w:r>
      <w:r w:rsidR="00D82A02">
        <w:rPr>
          <w:rFonts w:eastAsiaTheme="minorEastAsia"/>
          <w:spacing w:val="-2"/>
          <w:sz w:val="22"/>
          <w:szCs w:val="22"/>
        </w:rPr>
        <w:t>month and year</w:t>
      </w:r>
      <w:r w:rsidRPr="00161918">
        <w:rPr>
          <w:rFonts w:eastAsiaTheme="minorEastAsia"/>
          <w:spacing w:val="-2"/>
          <w:sz w:val="22"/>
          <w:szCs w:val="22"/>
        </w:rPr>
        <w:t xml:space="preserve"> of birth</w:t>
      </w:r>
      <w:r>
        <w:rPr>
          <w:rFonts w:eastAsiaTheme="minorEastAsia"/>
          <w:spacing w:val="-2"/>
          <w:sz w:val="22"/>
          <w:szCs w:val="22"/>
        </w:rPr>
        <w:t>, and</w:t>
      </w:r>
    </w:p>
    <w:p w:rsidR="007936F2" w:rsidRPr="00161918" w:rsidP="007936F2" w14:paraId="063E1D1D" w14:textId="1C8E5A2C">
      <w:pPr>
        <w:numPr>
          <w:ilvl w:val="0"/>
          <w:numId w:val="4"/>
        </w:numPr>
        <w:tabs>
          <w:tab w:val="clear" w:pos="360"/>
          <w:tab w:val="num" w:pos="720"/>
        </w:tabs>
        <w:spacing w:before="120"/>
        <w:ind w:left="720"/>
        <w:rPr>
          <w:rFonts w:eastAsiaTheme="minorEastAsia"/>
          <w:spacing w:val="-2"/>
          <w:sz w:val="22"/>
          <w:szCs w:val="22"/>
        </w:rPr>
      </w:pPr>
      <w:r>
        <w:rPr>
          <w:rFonts w:eastAsiaTheme="minorEastAsia"/>
          <w:spacing w:val="-2"/>
          <w:sz w:val="22"/>
          <w:szCs w:val="22"/>
        </w:rPr>
        <w:t>Be l</w:t>
      </w:r>
      <w:r>
        <w:rPr>
          <w:rFonts w:eastAsiaTheme="minorEastAsia"/>
          <w:spacing w:val="-2"/>
          <w:sz w:val="22"/>
          <w:szCs w:val="22"/>
        </w:rPr>
        <w:t xml:space="preserve">iving in a noninstitutionalized setting on 1 February </w:t>
      </w:r>
      <w:r w:rsidR="00F61CFB">
        <w:rPr>
          <w:rFonts w:eastAsiaTheme="minorEastAsia"/>
          <w:spacing w:val="-2"/>
          <w:sz w:val="22"/>
          <w:szCs w:val="22"/>
        </w:rPr>
        <w:t>202</w:t>
      </w:r>
      <w:r w:rsidR="00070821">
        <w:rPr>
          <w:rFonts w:eastAsiaTheme="minorEastAsia"/>
          <w:spacing w:val="-2"/>
          <w:sz w:val="22"/>
          <w:szCs w:val="22"/>
        </w:rPr>
        <w:t>3</w:t>
      </w:r>
      <w:r w:rsidR="00F61CFB">
        <w:rPr>
          <w:rFonts w:eastAsiaTheme="minorEastAsia"/>
          <w:spacing w:val="-2"/>
          <w:sz w:val="22"/>
          <w:szCs w:val="22"/>
        </w:rPr>
        <w:t>, and not terminally ill</w:t>
      </w:r>
      <w:r w:rsidR="00944334">
        <w:rPr>
          <w:rFonts w:eastAsiaTheme="minorEastAsia"/>
          <w:spacing w:val="-2"/>
          <w:sz w:val="22"/>
          <w:szCs w:val="22"/>
        </w:rPr>
        <w:t>.</w:t>
      </w:r>
    </w:p>
    <w:p w:rsidR="007936F2" w:rsidP="007936F2" w14:paraId="17EF8BCC" w14:textId="77777777">
      <w:pPr>
        <w:pStyle w:val="BodyText"/>
        <w:rPr>
          <w:sz w:val="22"/>
          <w:szCs w:val="22"/>
        </w:rPr>
      </w:pPr>
    </w:p>
    <w:p w:rsidR="007936F2" w:rsidRPr="006F18E5" w:rsidP="007936F2" w14:paraId="5BD2D5AB" w14:textId="778FF6AB">
      <w:pPr>
        <w:rPr>
          <w:color w:val="000000"/>
          <w:sz w:val="22"/>
          <w:szCs w:val="22"/>
        </w:rPr>
      </w:pPr>
      <w:r w:rsidRPr="5AB30E5D">
        <w:rPr>
          <w:sz w:val="22"/>
          <w:szCs w:val="22"/>
        </w:rPr>
        <w:t xml:space="preserve">The final </w:t>
      </w:r>
      <w:r w:rsidRPr="5AB30E5D" w:rsidR="3F8E29CF">
        <w:rPr>
          <w:sz w:val="22"/>
          <w:szCs w:val="22"/>
        </w:rPr>
        <w:t>202</w:t>
      </w:r>
      <w:r w:rsidRPr="5AB30E5D" w:rsidR="6E18E29A">
        <w:rPr>
          <w:sz w:val="22"/>
          <w:szCs w:val="22"/>
        </w:rPr>
        <w:t>3</w:t>
      </w:r>
      <w:r w:rsidRPr="5AB30E5D" w:rsidR="3F8E29CF">
        <w:rPr>
          <w:sz w:val="22"/>
          <w:szCs w:val="22"/>
        </w:rPr>
        <w:t xml:space="preserve"> </w:t>
      </w:r>
      <w:r w:rsidRPr="5AB30E5D">
        <w:rPr>
          <w:sz w:val="22"/>
          <w:szCs w:val="22"/>
        </w:rPr>
        <w:t xml:space="preserve">SDR sampling frame can be classified into </w:t>
      </w:r>
      <w:r w:rsidRPr="5AB30E5D" w:rsidR="6E18E29A">
        <w:rPr>
          <w:sz w:val="22"/>
          <w:szCs w:val="22"/>
        </w:rPr>
        <w:t xml:space="preserve">five </w:t>
      </w:r>
      <w:r w:rsidRPr="5AB30E5D" w:rsidR="0DD60EBB">
        <w:rPr>
          <w:sz w:val="22"/>
          <w:szCs w:val="22"/>
        </w:rPr>
        <w:t>groups</w:t>
      </w:r>
      <w:r w:rsidRPr="5AB30E5D" w:rsidR="22EC5A23">
        <w:rPr>
          <w:sz w:val="22"/>
          <w:szCs w:val="22"/>
        </w:rPr>
        <w:t xml:space="preserve"> </w:t>
      </w:r>
      <w:r w:rsidRPr="5AB30E5D">
        <w:rPr>
          <w:sz w:val="22"/>
          <w:szCs w:val="22"/>
        </w:rPr>
        <w:t>as shown in Table 1</w:t>
      </w:r>
      <w:r w:rsidR="0020099B">
        <w:rPr>
          <w:sz w:val="22"/>
          <w:szCs w:val="22"/>
        </w:rPr>
        <w:t xml:space="preserve"> and described here</w:t>
      </w:r>
      <w:r w:rsidRPr="5AB30E5D">
        <w:rPr>
          <w:sz w:val="22"/>
          <w:szCs w:val="22"/>
        </w:rPr>
        <w:t xml:space="preserve">. </w:t>
      </w:r>
    </w:p>
    <w:p w:rsidR="00E20D77" w:rsidP="005F64C7" w14:paraId="34366231" w14:textId="2E56D6B2">
      <w:pPr>
        <w:pStyle w:val="ListParagraph"/>
        <w:numPr>
          <w:ilvl w:val="0"/>
          <w:numId w:val="13"/>
        </w:numPr>
        <w:rPr>
          <w:color w:val="000000"/>
        </w:rPr>
      </w:pPr>
      <w:r w:rsidRPr="006F18E5">
        <w:rPr>
          <w:color w:val="000000"/>
        </w:rPr>
        <w:t xml:space="preserve">Frame Group 1 contains </w:t>
      </w:r>
      <w:r>
        <w:rPr>
          <w:color w:val="000000"/>
        </w:rPr>
        <w:t xml:space="preserve">individuals </w:t>
      </w:r>
      <w:r w:rsidR="002A378B">
        <w:rPr>
          <w:color w:val="000000"/>
        </w:rPr>
        <w:t xml:space="preserve">that were </w:t>
      </w:r>
      <w:r w:rsidR="00DC71F8">
        <w:rPr>
          <w:color w:val="000000"/>
        </w:rPr>
        <w:t xml:space="preserve">identified as </w:t>
      </w:r>
      <w:r>
        <w:rPr>
          <w:color w:val="000000"/>
        </w:rPr>
        <w:t>eligible for</w:t>
      </w:r>
      <w:r w:rsidRPr="006F18E5">
        <w:rPr>
          <w:color w:val="000000"/>
        </w:rPr>
        <w:t xml:space="preserve"> the 2015 SDR </w:t>
      </w:r>
      <w:r w:rsidR="000658A8">
        <w:rPr>
          <w:color w:val="000000"/>
        </w:rPr>
        <w:t>survey cycle</w:t>
      </w:r>
      <w:r w:rsidR="008D5AC3">
        <w:rPr>
          <w:color w:val="000000"/>
        </w:rPr>
        <w:t>.</w:t>
      </w:r>
      <w:r w:rsidR="0020099B">
        <w:rPr>
          <w:color w:val="000000"/>
        </w:rPr>
        <w:t xml:space="preserve"> </w:t>
      </w:r>
      <w:r>
        <w:rPr>
          <w:color w:val="000000"/>
        </w:rPr>
        <w:t xml:space="preserve">These cases were </w:t>
      </w:r>
      <w:r w:rsidR="00C216C8">
        <w:rPr>
          <w:color w:val="000000"/>
        </w:rPr>
        <w:t xml:space="preserve">from the 1960 though </w:t>
      </w:r>
      <w:r w:rsidR="006B1B40">
        <w:rPr>
          <w:color w:val="000000"/>
        </w:rPr>
        <w:t>2013</w:t>
      </w:r>
      <w:r w:rsidR="00C32F91">
        <w:rPr>
          <w:color w:val="000000"/>
        </w:rPr>
        <w:t xml:space="preserve"> SED </w:t>
      </w:r>
      <w:r w:rsidR="00CC4762">
        <w:rPr>
          <w:color w:val="000000"/>
        </w:rPr>
        <w:t>academic years</w:t>
      </w:r>
      <w:r w:rsidR="007E7F93">
        <w:rPr>
          <w:color w:val="000000"/>
        </w:rPr>
        <w:t>.</w:t>
      </w:r>
      <w:r w:rsidR="00CC4762">
        <w:rPr>
          <w:color w:val="000000"/>
        </w:rPr>
        <w:t xml:space="preserve"> </w:t>
      </w:r>
    </w:p>
    <w:p w:rsidR="00E20D77" w:rsidP="005F64C7" w14:paraId="2561CB7E" w14:textId="54772C4D">
      <w:pPr>
        <w:pStyle w:val="ListParagraph"/>
        <w:numPr>
          <w:ilvl w:val="0"/>
          <w:numId w:val="13"/>
        </w:numPr>
        <w:rPr>
          <w:color w:val="000000"/>
        </w:rPr>
      </w:pPr>
      <w:r>
        <w:rPr>
          <w:color w:val="000000"/>
        </w:rPr>
        <w:t xml:space="preserve">Frame Group 2 contains individuals </w:t>
      </w:r>
      <w:bookmarkStart w:id="5" w:name="_Hlk17386695"/>
      <w:r>
        <w:rPr>
          <w:color w:val="000000"/>
        </w:rPr>
        <w:t xml:space="preserve">that became </w:t>
      </w:r>
      <w:r w:rsidR="000E48CE">
        <w:rPr>
          <w:color w:val="000000"/>
        </w:rPr>
        <w:t xml:space="preserve">newly </w:t>
      </w:r>
      <w:r>
        <w:rPr>
          <w:color w:val="000000"/>
        </w:rPr>
        <w:t xml:space="preserve">eligible for </w:t>
      </w:r>
      <w:r w:rsidR="000E48CE">
        <w:rPr>
          <w:color w:val="000000"/>
        </w:rPr>
        <w:t xml:space="preserve">inclusion in </w:t>
      </w:r>
      <w:r>
        <w:rPr>
          <w:color w:val="000000"/>
        </w:rPr>
        <w:t xml:space="preserve">the </w:t>
      </w:r>
      <w:r w:rsidR="000E48CE">
        <w:rPr>
          <w:color w:val="000000"/>
        </w:rPr>
        <w:t xml:space="preserve">2017 </w:t>
      </w:r>
      <w:r>
        <w:rPr>
          <w:color w:val="000000"/>
        </w:rPr>
        <w:t xml:space="preserve">SDR </w:t>
      </w:r>
      <w:r w:rsidR="000658A8">
        <w:rPr>
          <w:color w:val="000000"/>
        </w:rPr>
        <w:t>survey cycle</w:t>
      </w:r>
      <w:r>
        <w:rPr>
          <w:color w:val="000000"/>
        </w:rPr>
        <w:t xml:space="preserve">. These cases were </w:t>
      </w:r>
      <w:r w:rsidR="009327A1">
        <w:rPr>
          <w:color w:val="000000"/>
        </w:rPr>
        <w:t xml:space="preserve">from the </w:t>
      </w:r>
      <w:r w:rsidR="00040B3A">
        <w:rPr>
          <w:color w:val="000000"/>
        </w:rPr>
        <w:t>2014 and 2015 SED academic years</w:t>
      </w:r>
      <w:r w:rsidR="007E7F93">
        <w:rPr>
          <w:color w:val="000000"/>
        </w:rPr>
        <w:t>.</w:t>
      </w:r>
      <w:r w:rsidR="00040B3A">
        <w:rPr>
          <w:color w:val="000000"/>
        </w:rPr>
        <w:t xml:space="preserve"> </w:t>
      </w:r>
    </w:p>
    <w:bookmarkEnd w:id="5"/>
    <w:p w:rsidR="000E48CE" w:rsidP="005F64C7" w14:paraId="74729F5E" w14:textId="7AEB644E">
      <w:pPr>
        <w:pStyle w:val="ListParagraph"/>
        <w:numPr>
          <w:ilvl w:val="0"/>
          <w:numId w:val="13"/>
        </w:numPr>
        <w:rPr>
          <w:color w:val="000000"/>
        </w:rPr>
      </w:pPr>
      <w:r w:rsidRPr="00531AB4">
        <w:t xml:space="preserve">Frame Group </w:t>
      </w:r>
      <w:r>
        <w:t>3</w:t>
      </w:r>
      <w:r w:rsidRPr="00531AB4">
        <w:t xml:space="preserve"> contains individuals </w:t>
      </w:r>
      <w:r>
        <w:rPr>
          <w:color w:val="000000"/>
        </w:rPr>
        <w:t>that became newly eligible for inclusion in the 2019</w:t>
      </w:r>
      <w:r w:rsidR="00F6367C">
        <w:rPr>
          <w:color w:val="000000"/>
        </w:rPr>
        <w:t xml:space="preserve"> SDR</w:t>
      </w:r>
      <w:r w:rsidR="00B02EA3">
        <w:rPr>
          <w:color w:val="000000"/>
        </w:rPr>
        <w:t xml:space="preserve"> </w:t>
      </w:r>
      <w:r w:rsidR="000658A8">
        <w:rPr>
          <w:color w:val="000000"/>
        </w:rPr>
        <w:t>survey cycle</w:t>
      </w:r>
      <w:r w:rsidR="00F6367C">
        <w:rPr>
          <w:color w:val="000000"/>
        </w:rPr>
        <w:t xml:space="preserve">. </w:t>
      </w:r>
      <w:r w:rsidR="000658A8">
        <w:rPr>
          <w:color w:val="000000"/>
        </w:rPr>
        <w:t>These cases</w:t>
      </w:r>
      <w:r w:rsidR="00E060DD">
        <w:rPr>
          <w:color w:val="000000"/>
        </w:rPr>
        <w:t xml:space="preserve"> were from the 20</w:t>
      </w:r>
      <w:r w:rsidR="00A8222E">
        <w:rPr>
          <w:color w:val="000000"/>
        </w:rPr>
        <w:t>16 and 2017 SED academic years</w:t>
      </w:r>
      <w:r w:rsidR="007E7F93">
        <w:rPr>
          <w:color w:val="000000"/>
        </w:rPr>
        <w:t>.</w:t>
      </w:r>
    </w:p>
    <w:p w:rsidR="00B02EA3" w:rsidRPr="00B02EA3" w:rsidP="00B02EA3" w14:paraId="0C47A434" w14:textId="77777777">
      <w:pPr>
        <w:pStyle w:val="ListParagraph"/>
        <w:numPr>
          <w:ilvl w:val="0"/>
          <w:numId w:val="13"/>
        </w:numPr>
        <w:rPr>
          <w:color w:val="000000"/>
        </w:rPr>
      </w:pPr>
      <w:r>
        <w:t xml:space="preserve">Frame Group 4 contains individuals that became newly eligible for inclusion in the 2021 SDR survey cycle. </w:t>
      </w:r>
      <w:r w:rsidR="001A7F21">
        <w:rPr>
          <w:color w:val="000000"/>
        </w:rPr>
        <w:t>These cases were from the 2018 and 2019 SED academic years.</w:t>
      </w:r>
      <w:r>
        <w:t xml:space="preserve"> </w:t>
      </w:r>
    </w:p>
    <w:p w:rsidR="00E20D77" w:rsidRPr="00B02EA3" w:rsidP="00B02EA3" w14:paraId="33C86482" w14:textId="016EFC77">
      <w:pPr>
        <w:pStyle w:val="ListParagraph"/>
        <w:numPr>
          <w:ilvl w:val="0"/>
          <w:numId w:val="13"/>
        </w:numPr>
        <w:rPr>
          <w:color w:val="000000"/>
        </w:rPr>
      </w:pPr>
      <w:r>
        <w:t>Frame</w:t>
      </w:r>
      <w:r w:rsidR="00715409">
        <w:t xml:space="preserve"> Group 5 contains individuals that became newly eligible for inclu</w:t>
      </w:r>
      <w:r w:rsidR="0080290C">
        <w:t>sion</w:t>
      </w:r>
      <w:r w:rsidR="00715409">
        <w:t xml:space="preserve"> in the 202</w:t>
      </w:r>
      <w:r w:rsidR="00A91A70">
        <w:t>3</w:t>
      </w:r>
      <w:r w:rsidR="00715409">
        <w:t xml:space="preserve"> SDR survey cycle. </w:t>
      </w:r>
      <w:r w:rsidRPr="00B02EA3" w:rsidR="00715409">
        <w:rPr>
          <w:color w:val="000000"/>
        </w:rPr>
        <w:t xml:space="preserve">These </w:t>
      </w:r>
      <w:r w:rsidRPr="00B02EA3" w:rsidR="00D6282E">
        <w:rPr>
          <w:color w:val="000000"/>
        </w:rPr>
        <w:t xml:space="preserve">cases </w:t>
      </w:r>
      <w:r w:rsidRPr="00B02EA3" w:rsidR="001A7F21">
        <w:rPr>
          <w:color w:val="000000"/>
        </w:rPr>
        <w:t>are from</w:t>
      </w:r>
      <w:r w:rsidRPr="00B02EA3" w:rsidR="00D6282E">
        <w:rPr>
          <w:color w:val="000000"/>
        </w:rPr>
        <w:t xml:space="preserve"> the 20</w:t>
      </w:r>
      <w:r w:rsidRPr="00B02EA3" w:rsidR="006C1C63">
        <w:rPr>
          <w:color w:val="000000"/>
        </w:rPr>
        <w:t xml:space="preserve">20 and 2021 </w:t>
      </w:r>
      <w:r w:rsidRPr="00B02EA3" w:rsidR="001A7F21">
        <w:rPr>
          <w:color w:val="000000"/>
        </w:rPr>
        <w:t xml:space="preserve">SED </w:t>
      </w:r>
      <w:r w:rsidRPr="00B02EA3" w:rsidR="006C1C63">
        <w:rPr>
          <w:color w:val="000000"/>
        </w:rPr>
        <w:t>academic years.</w:t>
      </w:r>
    </w:p>
    <w:p w:rsidR="00022C17" w14:paraId="0CA9761B" w14:textId="77777777">
      <w:pPr>
        <w:rPr>
          <w:b/>
          <w:sz w:val="22"/>
          <w:szCs w:val="22"/>
        </w:rPr>
      </w:pPr>
      <w:r>
        <w:rPr>
          <w:b/>
          <w:sz w:val="22"/>
          <w:szCs w:val="22"/>
        </w:rPr>
        <w:br w:type="page"/>
      </w:r>
    </w:p>
    <w:p w:rsidR="007936F2" w:rsidP="007936F2" w14:paraId="56E1B28A" w14:textId="43B833D6">
      <w:pPr>
        <w:spacing w:after="120"/>
        <w:rPr>
          <w:b/>
          <w:sz w:val="22"/>
          <w:szCs w:val="22"/>
        </w:rPr>
      </w:pPr>
      <w:r w:rsidRPr="006F18E5">
        <w:rPr>
          <w:b/>
          <w:sz w:val="22"/>
          <w:szCs w:val="22"/>
        </w:rPr>
        <w:t xml:space="preserve">Table 1: The </w:t>
      </w:r>
      <w:r w:rsidR="007C2C93">
        <w:rPr>
          <w:b/>
          <w:sz w:val="22"/>
          <w:szCs w:val="22"/>
        </w:rPr>
        <w:t>202</w:t>
      </w:r>
      <w:r w:rsidR="008560C3">
        <w:rPr>
          <w:b/>
          <w:sz w:val="22"/>
          <w:szCs w:val="22"/>
        </w:rPr>
        <w:t>3</w:t>
      </w:r>
      <w:r w:rsidRPr="006F18E5" w:rsidR="007C2C93">
        <w:rPr>
          <w:b/>
          <w:sz w:val="22"/>
          <w:szCs w:val="22"/>
        </w:rPr>
        <w:t xml:space="preserve"> </w:t>
      </w:r>
      <w:r w:rsidRPr="006F18E5">
        <w:rPr>
          <w:b/>
          <w:sz w:val="22"/>
          <w:szCs w:val="22"/>
        </w:rPr>
        <w:t xml:space="preserve">SDR Frame </w:t>
      </w:r>
      <w:r>
        <w:rPr>
          <w:b/>
          <w:sz w:val="22"/>
          <w:szCs w:val="22"/>
        </w:rPr>
        <w:t>Groups by Sample Component</w:t>
      </w:r>
    </w:p>
    <w:tbl>
      <w:tblPr>
        <w:tblW w:w="92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787"/>
        <w:gridCol w:w="3150"/>
        <w:gridCol w:w="1260"/>
        <w:gridCol w:w="1170"/>
        <w:gridCol w:w="1980"/>
        <w:gridCol w:w="887"/>
      </w:tblGrid>
      <w:tr w14:paraId="3EE76216" w14:textId="77777777" w:rsidTr="00521EFD">
        <w:tblPrEx>
          <w:tblW w:w="92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val="536"/>
          <w:tblHeader/>
        </w:trPr>
        <w:tc>
          <w:tcPr>
            <w:tcW w:w="787" w:type="dxa"/>
            <w:tcMar>
              <w:top w:w="0" w:type="dxa"/>
              <w:left w:w="108" w:type="dxa"/>
              <w:bottom w:w="0" w:type="dxa"/>
              <w:right w:w="108" w:type="dxa"/>
            </w:tcMar>
            <w:vAlign w:val="center"/>
            <w:hideMark/>
          </w:tcPr>
          <w:p w:rsidR="00315707" w:rsidRPr="00531AB4" w:rsidP="005525FA" w14:paraId="2C17D510" w14:textId="1D4DBBFB">
            <w:pPr>
              <w:ind w:left="-128"/>
              <w:jc w:val="center"/>
              <w:rPr>
                <w:rFonts w:eastAsiaTheme="minorHAnsi"/>
                <w:b/>
                <w:bCs/>
                <w:sz w:val="20"/>
                <w:szCs w:val="20"/>
                <w:lang w:eastAsia="zh-CN"/>
              </w:rPr>
            </w:pPr>
            <w:r w:rsidRPr="00531AB4">
              <w:rPr>
                <w:b/>
                <w:bCs/>
                <w:sz w:val="20"/>
                <w:szCs w:val="20"/>
                <w:lang w:eastAsia="zh-CN"/>
              </w:rPr>
              <w:t>FrameGroup</w:t>
            </w:r>
          </w:p>
        </w:tc>
        <w:tc>
          <w:tcPr>
            <w:tcW w:w="3150" w:type="dxa"/>
            <w:tcMar>
              <w:top w:w="0" w:type="dxa"/>
              <w:left w:w="108" w:type="dxa"/>
              <w:bottom w:w="0" w:type="dxa"/>
              <w:right w:w="108" w:type="dxa"/>
            </w:tcMar>
            <w:vAlign w:val="center"/>
            <w:hideMark/>
          </w:tcPr>
          <w:p w:rsidR="00315707" w:rsidRPr="00531AB4" w:rsidP="00521EFD" w14:paraId="2955A2AD" w14:textId="6E70C63E">
            <w:pPr>
              <w:jc w:val="center"/>
              <w:rPr>
                <w:rFonts w:eastAsiaTheme="minorHAnsi"/>
                <w:b/>
                <w:bCs/>
                <w:sz w:val="20"/>
                <w:szCs w:val="20"/>
                <w:lang w:eastAsia="zh-CN"/>
              </w:rPr>
            </w:pPr>
            <w:r w:rsidRPr="00531AB4">
              <w:rPr>
                <w:b/>
                <w:bCs/>
                <w:sz w:val="20"/>
                <w:szCs w:val="20"/>
                <w:lang w:eastAsia="zh-CN"/>
              </w:rPr>
              <w:t>Description</w:t>
            </w:r>
          </w:p>
        </w:tc>
        <w:tc>
          <w:tcPr>
            <w:tcW w:w="1260" w:type="dxa"/>
            <w:tcMar>
              <w:top w:w="0" w:type="dxa"/>
              <w:left w:w="108" w:type="dxa"/>
              <w:bottom w:w="0" w:type="dxa"/>
              <w:right w:w="108" w:type="dxa"/>
            </w:tcMar>
            <w:vAlign w:val="center"/>
            <w:hideMark/>
          </w:tcPr>
          <w:p w:rsidR="00315707" w:rsidRPr="00531AB4" w:rsidP="007031A2" w14:paraId="554E94D9" w14:textId="363325AF">
            <w:pPr>
              <w:jc w:val="center"/>
              <w:rPr>
                <w:rFonts w:eastAsiaTheme="minorHAnsi"/>
                <w:b/>
                <w:bCs/>
                <w:sz w:val="20"/>
                <w:szCs w:val="20"/>
                <w:lang w:eastAsia="zh-CN"/>
              </w:rPr>
            </w:pPr>
            <w:r w:rsidRPr="00531AB4">
              <w:rPr>
                <w:b/>
                <w:bCs/>
                <w:sz w:val="20"/>
                <w:szCs w:val="20"/>
                <w:lang w:eastAsia="zh-CN"/>
              </w:rPr>
              <w:t>SED Academic Years (AY)</w:t>
            </w:r>
          </w:p>
        </w:tc>
        <w:tc>
          <w:tcPr>
            <w:tcW w:w="1170" w:type="dxa"/>
            <w:tcMar>
              <w:top w:w="0" w:type="dxa"/>
              <w:left w:w="108" w:type="dxa"/>
              <w:bottom w:w="0" w:type="dxa"/>
              <w:right w:w="108" w:type="dxa"/>
            </w:tcMar>
            <w:vAlign w:val="center"/>
            <w:hideMark/>
          </w:tcPr>
          <w:p w:rsidR="00315707" w:rsidRPr="00531AB4" w:rsidP="00D10031" w14:paraId="42B1260B" w14:textId="3AD40E71">
            <w:pPr>
              <w:jc w:val="center"/>
              <w:rPr>
                <w:rFonts w:eastAsiaTheme="minorHAnsi"/>
                <w:b/>
                <w:bCs/>
                <w:sz w:val="20"/>
                <w:szCs w:val="20"/>
                <w:lang w:eastAsia="zh-CN"/>
              </w:rPr>
            </w:pPr>
            <w:r>
              <w:rPr>
                <w:b/>
                <w:bCs/>
                <w:sz w:val="20"/>
                <w:szCs w:val="20"/>
                <w:lang w:eastAsia="zh-CN"/>
              </w:rPr>
              <w:t>Population Size</w:t>
            </w:r>
          </w:p>
        </w:tc>
        <w:tc>
          <w:tcPr>
            <w:tcW w:w="1980" w:type="dxa"/>
            <w:vAlign w:val="center"/>
          </w:tcPr>
          <w:p w:rsidR="00315707" w:rsidRPr="00531AB4" w:rsidP="00D10031" w14:paraId="210D4C57" w14:textId="2C887989">
            <w:pPr>
              <w:jc w:val="center"/>
              <w:rPr>
                <w:b/>
                <w:bCs/>
                <w:sz w:val="20"/>
                <w:szCs w:val="20"/>
                <w:lang w:eastAsia="zh-CN"/>
              </w:rPr>
            </w:pPr>
            <w:r>
              <w:rPr>
                <w:b/>
                <w:bCs/>
                <w:sz w:val="20"/>
                <w:szCs w:val="20"/>
                <w:lang w:eastAsia="zh-CN"/>
              </w:rPr>
              <w:t>Sample Component</w:t>
            </w:r>
          </w:p>
        </w:tc>
        <w:tc>
          <w:tcPr>
            <w:tcW w:w="887" w:type="dxa"/>
            <w:vAlign w:val="center"/>
          </w:tcPr>
          <w:p w:rsidR="00315707" w:rsidP="00D10031" w14:paraId="16365F01" w14:textId="4846A0D0">
            <w:pPr>
              <w:jc w:val="center"/>
              <w:rPr>
                <w:b/>
                <w:bCs/>
                <w:sz w:val="20"/>
                <w:szCs w:val="20"/>
                <w:lang w:eastAsia="zh-CN"/>
              </w:rPr>
            </w:pPr>
            <w:r>
              <w:rPr>
                <w:b/>
                <w:bCs/>
                <w:sz w:val="20"/>
                <w:szCs w:val="20"/>
                <w:lang w:eastAsia="zh-CN"/>
              </w:rPr>
              <w:t>Sample Size</w:t>
            </w:r>
          </w:p>
        </w:tc>
      </w:tr>
      <w:tr w14:paraId="495A6CBC" w14:textId="77777777" w:rsidTr="00D10031">
        <w:tblPrEx>
          <w:tblW w:w="9234" w:type="dxa"/>
          <w:tblInd w:w="108" w:type="dxa"/>
          <w:tblLayout w:type="fixed"/>
          <w:tblCellMar>
            <w:left w:w="0" w:type="dxa"/>
            <w:right w:w="0" w:type="dxa"/>
          </w:tblCellMar>
          <w:tblLook w:val="04A0"/>
        </w:tblPrEx>
        <w:trPr>
          <w:cantSplit/>
          <w:trHeight w:val="258"/>
        </w:trPr>
        <w:tc>
          <w:tcPr>
            <w:tcW w:w="787" w:type="dxa"/>
            <w:vMerge w:val="restart"/>
            <w:noWrap/>
            <w:tcMar>
              <w:top w:w="0" w:type="dxa"/>
              <w:left w:w="108" w:type="dxa"/>
              <w:bottom w:w="0" w:type="dxa"/>
              <w:right w:w="108" w:type="dxa"/>
            </w:tcMar>
            <w:vAlign w:val="center"/>
            <w:hideMark/>
          </w:tcPr>
          <w:p w:rsidR="00315707" w:rsidRPr="00531AB4" w:rsidP="007031A2" w14:paraId="4DAAACB9" w14:textId="47A07FA5">
            <w:pPr>
              <w:jc w:val="center"/>
              <w:rPr>
                <w:rFonts w:eastAsiaTheme="minorHAnsi"/>
                <w:color w:val="000000"/>
                <w:sz w:val="20"/>
                <w:szCs w:val="20"/>
                <w:lang w:eastAsia="zh-CN"/>
              </w:rPr>
            </w:pPr>
            <w:r w:rsidRPr="00531AB4">
              <w:rPr>
                <w:color w:val="000000"/>
                <w:sz w:val="20"/>
                <w:szCs w:val="20"/>
                <w:lang w:eastAsia="zh-CN"/>
              </w:rPr>
              <w:t>1</w:t>
            </w:r>
          </w:p>
        </w:tc>
        <w:tc>
          <w:tcPr>
            <w:tcW w:w="3150" w:type="dxa"/>
            <w:vMerge w:val="restart"/>
            <w:tcMar>
              <w:top w:w="0" w:type="dxa"/>
              <w:left w:w="108" w:type="dxa"/>
              <w:bottom w:w="0" w:type="dxa"/>
              <w:right w:w="108" w:type="dxa"/>
            </w:tcMar>
            <w:vAlign w:val="center"/>
            <w:hideMark/>
          </w:tcPr>
          <w:p w:rsidR="00315707" w:rsidRPr="00531AB4" w:rsidP="007031A2" w14:paraId="27B12108" w14:textId="7E2C72B2">
            <w:pPr>
              <w:spacing w:before="40" w:after="40"/>
              <w:rPr>
                <w:rFonts w:eastAsiaTheme="minorHAnsi"/>
                <w:color w:val="000000"/>
                <w:sz w:val="20"/>
                <w:szCs w:val="20"/>
                <w:lang w:eastAsia="zh-CN"/>
              </w:rPr>
            </w:pPr>
            <w:r w:rsidRPr="00531AB4">
              <w:rPr>
                <w:color w:val="000000"/>
                <w:sz w:val="20"/>
                <w:szCs w:val="20"/>
                <w:lang w:eastAsia="zh-CN"/>
              </w:rPr>
              <w:t xml:space="preserve">2015 SDR </w:t>
            </w:r>
            <w:r>
              <w:rPr>
                <w:color w:val="000000"/>
                <w:sz w:val="20"/>
                <w:szCs w:val="20"/>
                <w:lang w:eastAsia="zh-CN"/>
              </w:rPr>
              <w:t xml:space="preserve">target population </w:t>
            </w:r>
            <w:r w:rsidRPr="00531AB4">
              <w:rPr>
                <w:color w:val="000000"/>
                <w:sz w:val="20"/>
                <w:szCs w:val="20"/>
                <w:lang w:eastAsia="zh-CN"/>
              </w:rPr>
              <w:t xml:space="preserve">that remain eligible for </w:t>
            </w:r>
            <w:r>
              <w:rPr>
                <w:color w:val="000000"/>
                <w:sz w:val="20"/>
                <w:szCs w:val="20"/>
                <w:lang w:eastAsia="zh-CN"/>
              </w:rPr>
              <w:t>202</w:t>
            </w:r>
            <w:r w:rsidR="009E3037">
              <w:rPr>
                <w:color w:val="000000"/>
                <w:sz w:val="20"/>
                <w:szCs w:val="20"/>
                <w:lang w:eastAsia="zh-CN"/>
              </w:rPr>
              <w:t>3</w:t>
            </w:r>
          </w:p>
        </w:tc>
        <w:tc>
          <w:tcPr>
            <w:tcW w:w="1260" w:type="dxa"/>
            <w:vMerge w:val="restart"/>
            <w:tcMar>
              <w:top w:w="0" w:type="dxa"/>
              <w:left w:w="108" w:type="dxa"/>
              <w:bottom w:w="0" w:type="dxa"/>
              <w:right w:w="108" w:type="dxa"/>
            </w:tcMar>
            <w:vAlign w:val="center"/>
            <w:hideMark/>
          </w:tcPr>
          <w:p w:rsidR="00315707" w:rsidRPr="00531AB4" w:rsidP="007031A2" w14:paraId="514CF1FE" w14:textId="7D1D5E86">
            <w:pPr>
              <w:jc w:val="center"/>
              <w:rPr>
                <w:rFonts w:eastAsiaTheme="minorHAnsi"/>
                <w:color w:val="000000"/>
                <w:sz w:val="20"/>
                <w:szCs w:val="20"/>
                <w:lang w:eastAsia="zh-CN"/>
              </w:rPr>
            </w:pPr>
            <w:r w:rsidRPr="00531AB4">
              <w:rPr>
                <w:color w:val="000000"/>
                <w:sz w:val="20"/>
                <w:szCs w:val="20"/>
                <w:lang w:eastAsia="zh-CN"/>
              </w:rPr>
              <w:t>1960-201</w:t>
            </w:r>
            <w:r>
              <w:rPr>
                <w:color w:val="000000"/>
                <w:sz w:val="20"/>
                <w:szCs w:val="20"/>
                <w:lang w:eastAsia="zh-CN"/>
              </w:rPr>
              <w:t>3</w:t>
            </w:r>
          </w:p>
        </w:tc>
        <w:tc>
          <w:tcPr>
            <w:tcW w:w="1170" w:type="dxa"/>
            <w:vMerge w:val="restart"/>
            <w:tcMar>
              <w:top w:w="0" w:type="dxa"/>
              <w:left w:w="108" w:type="dxa"/>
              <w:bottom w:w="0" w:type="dxa"/>
              <w:right w:w="108" w:type="dxa"/>
            </w:tcMar>
            <w:vAlign w:val="center"/>
            <w:hideMark/>
          </w:tcPr>
          <w:p w:rsidR="00315707" w:rsidRPr="00531AB4" w:rsidP="00D10031" w14:paraId="0FEC7F0F" w14:textId="0A390A48">
            <w:pPr>
              <w:jc w:val="center"/>
              <w:rPr>
                <w:rFonts w:eastAsiaTheme="minorHAnsi"/>
                <w:color w:val="000000"/>
                <w:sz w:val="20"/>
                <w:szCs w:val="20"/>
                <w:lang w:eastAsia="zh-CN"/>
              </w:rPr>
            </w:pPr>
            <w:r>
              <w:rPr>
                <w:color w:val="000000"/>
                <w:sz w:val="20"/>
                <w:szCs w:val="20"/>
                <w:lang w:eastAsia="zh-CN"/>
              </w:rPr>
              <w:t>9</w:t>
            </w:r>
            <w:r w:rsidR="004353E6">
              <w:rPr>
                <w:color w:val="000000"/>
                <w:sz w:val="20"/>
                <w:szCs w:val="20"/>
                <w:lang w:eastAsia="zh-CN"/>
              </w:rPr>
              <w:t>06,687</w:t>
            </w:r>
          </w:p>
        </w:tc>
        <w:tc>
          <w:tcPr>
            <w:tcW w:w="1980" w:type="dxa"/>
            <w:tcBorders>
              <w:bottom w:val="single" w:sz="4" w:space="0" w:color="auto"/>
            </w:tcBorders>
            <w:vAlign w:val="center"/>
          </w:tcPr>
          <w:p w:rsidR="00315707" w:rsidRPr="00BC7C5A" w:rsidP="00D10031" w14:paraId="7ED3177F" w14:textId="09F36F50">
            <w:pPr>
              <w:jc w:val="center"/>
              <w:rPr>
                <w:sz w:val="20"/>
                <w:szCs w:val="20"/>
                <w:lang w:eastAsia="zh-CN"/>
              </w:rPr>
            </w:pPr>
            <w:r>
              <w:rPr>
                <w:sz w:val="20"/>
                <w:szCs w:val="20"/>
                <w:lang w:eastAsia="zh-CN"/>
              </w:rPr>
              <w:t xml:space="preserve">2015 </w:t>
            </w:r>
            <w:r w:rsidR="003F5EBA">
              <w:rPr>
                <w:sz w:val="20"/>
                <w:szCs w:val="20"/>
                <w:lang w:eastAsia="zh-CN"/>
              </w:rPr>
              <w:t xml:space="preserve">SDR </w:t>
            </w:r>
            <w:r>
              <w:rPr>
                <w:sz w:val="20"/>
                <w:szCs w:val="20"/>
                <w:lang w:eastAsia="zh-CN"/>
              </w:rPr>
              <w:t>sample</w:t>
            </w:r>
          </w:p>
        </w:tc>
        <w:tc>
          <w:tcPr>
            <w:tcW w:w="887" w:type="dxa"/>
            <w:tcBorders>
              <w:bottom w:val="single" w:sz="4" w:space="0" w:color="auto"/>
            </w:tcBorders>
            <w:vAlign w:val="center"/>
          </w:tcPr>
          <w:p w:rsidR="00315707" w:rsidP="00D10031" w14:paraId="0339540F" w14:textId="09F8C96C">
            <w:pPr>
              <w:jc w:val="center"/>
              <w:rPr>
                <w:sz w:val="20"/>
                <w:szCs w:val="20"/>
                <w:lang w:eastAsia="zh-CN"/>
              </w:rPr>
            </w:pPr>
            <w:r>
              <w:rPr>
                <w:sz w:val="20"/>
                <w:szCs w:val="20"/>
                <w:lang w:eastAsia="zh-CN"/>
              </w:rPr>
              <w:t>78,619</w:t>
            </w:r>
          </w:p>
        </w:tc>
      </w:tr>
      <w:tr w14:paraId="2A29C0C9" w14:textId="77777777" w:rsidTr="00D10031">
        <w:tblPrEx>
          <w:tblW w:w="9234" w:type="dxa"/>
          <w:tblInd w:w="108" w:type="dxa"/>
          <w:tblLayout w:type="fixed"/>
          <w:tblCellMar>
            <w:left w:w="0" w:type="dxa"/>
            <w:right w:w="0" w:type="dxa"/>
          </w:tblCellMar>
          <w:tblLook w:val="04A0"/>
        </w:tblPrEx>
        <w:trPr>
          <w:cantSplit/>
          <w:trHeight w:val="258"/>
        </w:trPr>
        <w:tc>
          <w:tcPr>
            <w:tcW w:w="787" w:type="dxa"/>
            <w:vMerge/>
            <w:noWrap/>
            <w:tcMar>
              <w:top w:w="0" w:type="dxa"/>
              <w:left w:w="108" w:type="dxa"/>
              <w:bottom w:w="0" w:type="dxa"/>
              <w:right w:w="108" w:type="dxa"/>
            </w:tcMar>
            <w:vAlign w:val="center"/>
          </w:tcPr>
          <w:p w:rsidR="00315707" w:rsidRPr="00531AB4" w:rsidP="007031A2" w14:paraId="2D0A455D" w14:textId="77777777">
            <w:pPr>
              <w:jc w:val="center"/>
              <w:rPr>
                <w:color w:val="000000"/>
                <w:sz w:val="20"/>
                <w:szCs w:val="20"/>
                <w:lang w:eastAsia="zh-CN"/>
              </w:rPr>
            </w:pPr>
          </w:p>
        </w:tc>
        <w:tc>
          <w:tcPr>
            <w:tcW w:w="3150" w:type="dxa"/>
            <w:vMerge/>
            <w:tcMar>
              <w:top w:w="0" w:type="dxa"/>
              <w:left w:w="108" w:type="dxa"/>
              <w:bottom w:w="0" w:type="dxa"/>
              <w:right w:w="108" w:type="dxa"/>
            </w:tcMar>
            <w:vAlign w:val="center"/>
          </w:tcPr>
          <w:p w:rsidR="00315707" w:rsidRPr="00531AB4" w:rsidP="007031A2" w14:paraId="7E13BBD3" w14:textId="77777777">
            <w:pPr>
              <w:spacing w:before="40" w:after="40"/>
              <w:rPr>
                <w:color w:val="000000"/>
                <w:sz w:val="20"/>
                <w:szCs w:val="20"/>
                <w:lang w:eastAsia="zh-CN"/>
              </w:rPr>
            </w:pPr>
          </w:p>
        </w:tc>
        <w:tc>
          <w:tcPr>
            <w:tcW w:w="1260" w:type="dxa"/>
            <w:vMerge/>
            <w:tcMar>
              <w:top w:w="0" w:type="dxa"/>
              <w:left w:w="108" w:type="dxa"/>
              <w:bottom w:w="0" w:type="dxa"/>
              <w:right w:w="108" w:type="dxa"/>
            </w:tcMar>
            <w:vAlign w:val="center"/>
          </w:tcPr>
          <w:p w:rsidR="00315707" w:rsidRPr="00531AB4" w:rsidP="007031A2" w14:paraId="561992F3" w14:textId="77777777">
            <w:pPr>
              <w:jc w:val="center"/>
              <w:rPr>
                <w:color w:val="000000"/>
                <w:sz w:val="20"/>
                <w:szCs w:val="20"/>
                <w:lang w:eastAsia="zh-CN"/>
              </w:rPr>
            </w:pPr>
          </w:p>
        </w:tc>
        <w:tc>
          <w:tcPr>
            <w:tcW w:w="1170" w:type="dxa"/>
            <w:vMerge/>
            <w:tcMar>
              <w:top w:w="0" w:type="dxa"/>
              <w:left w:w="108" w:type="dxa"/>
              <w:bottom w:w="0" w:type="dxa"/>
              <w:right w:w="108" w:type="dxa"/>
            </w:tcMar>
            <w:vAlign w:val="center"/>
          </w:tcPr>
          <w:p w:rsidR="00315707" w:rsidP="00D10031" w14:paraId="2E275383" w14:textId="77777777">
            <w:pPr>
              <w:jc w:val="center"/>
              <w:rPr>
                <w:color w:val="000000"/>
                <w:sz w:val="20"/>
                <w:szCs w:val="20"/>
                <w:lang w:eastAsia="zh-CN"/>
              </w:rPr>
            </w:pPr>
          </w:p>
        </w:tc>
        <w:tc>
          <w:tcPr>
            <w:tcW w:w="1980" w:type="dxa"/>
            <w:tcBorders>
              <w:bottom w:val="single" w:sz="4" w:space="0" w:color="auto"/>
            </w:tcBorders>
            <w:vAlign w:val="center"/>
          </w:tcPr>
          <w:p w:rsidR="00315707" w:rsidP="00D10031" w14:paraId="35BB9D43" w14:textId="525F5304">
            <w:pPr>
              <w:jc w:val="center"/>
              <w:rPr>
                <w:sz w:val="20"/>
                <w:szCs w:val="20"/>
                <w:lang w:eastAsia="zh-CN"/>
              </w:rPr>
            </w:pPr>
            <w:r>
              <w:rPr>
                <w:sz w:val="20"/>
                <w:szCs w:val="20"/>
                <w:lang w:eastAsia="zh-CN"/>
              </w:rPr>
              <w:t>2</w:t>
            </w:r>
            <w:r w:rsidR="000B670A">
              <w:rPr>
                <w:sz w:val="20"/>
                <w:szCs w:val="20"/>
                <w:lang w:eastAsia="zh-CN"/>
              </w:rPr>
              <w:t xml:space="preserve">015 </w:t>
            </w:r>
            <w:r>
              <w:rPr>
                <w:sz w:val="20"/>
                <w:szCs w:val="20"/>
                <w:lang w:eastAsia="zh-CN"/>
              </w:rPr>
              <w:t>Supplemental sample</w:t>
            </w:r>
            <w:r w:rsidR="008C69A4">
              <w:rPr>
                <w:sz w:val="20"/>
                <w:szCs w:val="20"/>
                <w:lang w:eastAsia="zh-CN"/>
              </w:rPr>
              <w:t xml:space="preserve"> </w:t>
            </w:r>
            <w:r w:rsidRPr="000B670A" w:rsidR="000B670A">
              <w:rPr>
                <w:sz w:val="18"/>
                <w:szCs w:val="18"/>
                <w:lang w:eastAsia="zh-CN"/>
              </w:rPr>
              <w:t>(</w:t>
            </w:r>
            <w:r w:rsidRPr="000B670A" w:rsidR="008C69A4">
              <w:rPr>
                <w:sz w:val="18"/>
                <w:szCs w:val="18"/>
                <w:lang w:eastAsia="zh-CN"/>
              </w:rPr>
              <w:t>selected in 2019</w:t>
            </w:r>
            <w:r w:rsidRPr="000B670A" w:rsidR="003F5EBA">
              <w:rPr>
                <w:sz w:val="18"/>
                <w:szCs w:val="18"/>
                <w:lang w:eastAsia="zh-CN"/>
              </w:rPr>
              <w:t xml:space="preserve"> from 2015</w:t>
            </w:r>
            <w:r w:rsidRPr="000B670A" w:rsidR="00066DD4">
              <w:rPr>
                <w:sz w:val="18"/>
                <w:szCs w:val="18"/>
                <w:lang w:eastAsia="zh-CN"/>
              </w:rPr>
              <w:t xml:space="preserve"> </w:t>
            </w:r>
            <w:r w:rsidRPr="000B670A" w:rsidR="004B5533">
              <w:rPr>
                <w:sz w:val="18"/>
                <w:szCs w:val="18"/>
                <w:lang w:eastAsia="zh-CN"/>
              </w:rPr>
              <w:t xml:space="preserve">eligible </w:t>
            </w:r>
            <w:r w:rsidRPr="000B670A" w:rsidR="00066DD4">
              <w:rPr>
                <w:sz w:val="18"/>
                <w:szCs w:val="18"/>
                <w:lang w:eastAsia="zh-CN"/>
              </w:rPr>
              <w:t>frame</w:t>
            </w:r>
            <w:r w:rsidRPr="000B670A" w:rsidR="000B670A">
              <w:rPr>
                <w:sz w:val="18"/>
                <w:szCs w:val="18"/>
                <w:lang w:eastAsia="zh-CN"/>
              </w:rPr>
              <w:t>)</w:t>
            </w:r>
          </w:p>
        </w:tc>
        <w:tc>
          <w:tcPr>
            <w:tcW w:w="887" w:type="dxa"/>
            <w:tcBorders>
              <w:bottom w:val="single" w:sz="4" w:space="0" w:color="auto"/>
            </w:tcBorders>
            <w:vAlign w:val="center"/>
          </w:tcPr>
          <w:p w:rsidR="00315707" w:rsidP="00D10031" w14:paraId="798CD08E" w14:textId="2853E5C4">
            <w:pPr>
              <w:jc w:val="center"/>
              <w:rPr>
                <w:sz w:val="20"/>
                <w:szCs w:val="20"/>
                <w:lang w:eastAsia="zh-CN"/>
              </w:rPr>
            </w:pPr>
            <w:r>
              <w:rPr>
                <w:sz w:val="20"/>
                <w:szCs w:val="20"/>
                <w:lang w:eastAsia="zh-CN"/>
              </w:rPr>
              <w:t>7,376</w:t>
            </w:r>
          </w:p>
        </w:tc>
      </w:tr>
      <w:tr w14:paraId="7429D795" w14:textId="77777777" w:rsidTr="00D10031">
        <w:tblPrEx>
          <w:tblW w:w="9234" w:type="dxa"/>
          <w:tblInd w:w="108" w:type="dxa"/>
          <w:tblLayout w:type="fixed"/>
          <w:tblCellMar>
            <w:left w:w="0" w:type="dxa"/>
            <w:right w:w="0" w:type="dxa"/>
          </w:tblCellMar>
          <w:tblLook w:val="04A0"/>
        </w:tblPrEx>
        <w:trPr>
          <w:cantSplit/>
          <w:trHeight w:val="359"/>
        </w:trPr>
        <w:tc>
          <w:tcPr>
            <w:tcW w:w="787" w:type="dxa"/>
            <w:tcBorders>
              <w:bottom w:val="single" w:sz="4" w:space="0" w:color="auto"/>
            </w:tcBorders>
            <w:noWrap/>
            <w:tcMar>
              <w:top w:w="0" w:type="dxa"/>
              <w:left w:w="108" w:type="dxa"/>
              <w:bottom w:w="0" w:type="dxa"/>
              <w:right w:w="108" w:type="dxa"/>
            </w:tcMar>
            <w:vAlign w:val="center"/>
            <w:hideMark/>
          </w:tcPr>
          <w:p w:rsidR="00315707" w:rsidRPr="00531AB4" w:rsidP="007031A2" w14:paraId="1ED5B9C3" w14:textId="77777777">
            <w:pPr>
              <w:jc w:val="center"/>
              <w:rPr>
                <w:rFonts w:eastAsiaTheme="minorHAnsi"/>
                <w:sz w:val="20"/>
                <w:szCs w:val="20"/>
                <w:lang w:eastAsia="zh-CN"/>
              </w:rPr>
            </w:pPr>
            <w:r w:rsidRPr="00531AB4">
              <w:rPr>
                <w:sz w:val="20"/>
                <w:szCs w:val="20"/>
                <w:lang w:eastAsia="zh-CN"/>
              </w:rPr>
              <w:t>2</w:t>
            </w:r>
          </w:p>
        </w:tc>
        <w:tc>
          <w:tcPr>
            <w:tcW w:w="3150" w:type="dxa"/>
            <w:tcBorders>
              <w:bottom w:val="single" w:sz="4" w:space="0" w:color="auto"/>
            </w:tcBorders>
            <w:tcMar>
              <w:top w:w="0" w:type="dxa"/>
              <w:left w:w="108" w:type="dxa"/>
              <w:bottom w:w="0" w:type="dxa"/>
              <w:right w:w="108" w:type="dxa"/>
            </w:tcMar>
            <w:vAlign w:val="center"/>
            <w:hideMark/>
          </w:tcPr>
          <w:p w:rsidR="00315707" w:rsidRPr="00531AB4" w:rsidP="007031A2" w14:paraId="0844200C" w14:textId="35A24627">
            <w:pPr>
              <w:rPr>
                <w:rFonts w:eastAsiaTheme="minorHAnsi"/>
                <w:sz w:val="20"/>
                <w:szCs w:val="20"/>
                <w:lang w:eastAsia="zh-CN"/>
              </w:rPr>
            </w:pPr>
            <w:r>
              <w:rPr>
                <w:rFonts w:eastAsiaTheme="minorHAnsi"/>
                <w:sz w:val="20"/>
                <w:szCs w:val="20"/>
                <w:lang w:eastAsia="zh-CN"/>
              </w:rPr>
              <w:t>2017 SDR newly sampled cases that remain eligible for 202</w:t>
            </w:r>
            <w:r w:rsidR="009E3037">
              <w:rPr>
                <w:rFonts w:eastAsiaTheme="minorHAnsi"/>
                <w:sz w:val="20"/>
                <w:szCs w:val="20"/>
                <w:lang w:eastAsia="zh-CN"/>
              </w:rPr>
              <w:t>3</w:t>
            </w:r>
          </w:p>
        </w:tc>
        <w:tc>
          <w:tcPr>
            <w:tcW w:w="1260" w:type="dxa"/>
            <w:tcBorders>
              <w:bottom w:val="single" w:sz="4" w:space="0" w:color="auto"/>
            </w:tcBorders>
            <w:tcMar>
              <w:top w:w="0" w:type="dxa"/>
              <w:left w:w="108" w:type="dxa"/>
              <w:bottom w:w="0" w:type="dxa"/>
              <w:right w:w="108" w:type="dxa"/>
            </w:tcMar>
            <w:vAlign w:val="center"/>
            <w:hideMark/>
          </w:tcPr>
          <w:p w:rsidR="00315707" w:rsidRPr="00531AB4" w:rsidP="007031A2" w14:paraId="388E144C" w14:textId="77777777">
            <w:pPr>
              <w:jc w:val="center"/>
              <w:rPr>
                <w:rFonts w:eastAsiaTheme="minorHAnsi"/>
                <w:sz w:val="20"/>
                <w:szCs w:val="20"/>
                <w:lang w:eastAsia="zh-CN"/>
              </w:rPr>
            </w:pPr>
            <w:r w:rsidRPr="00531AB4">
              <w:rPr>
                <w:sz w:val="20"/>
                <w:szCs w:val="20"/>
                <w:lang w:eastAsia="zh-CN"/>
              </w:rPr>
              <w:t>2014-2015</w:t>
            </w:r>
          </w:p>
        </w:tc>
        <w:tc>
          <w:tcPr>
            <w:tcW w:w="1170" w:type="dxa"/>
            <w:tcBorders>
              <w:bottom w:val="single" w:sz="4" w:space="0" w:color="auto"/>
            </w:tcBorders>
            <w:tcMar>
              <w:top w:w="0" w:type="dxa"/>
              <w:left w:w="108" w:type="dxa"/>
              <w:bottom w:w="0" w:type="dxa"/>
              <w:right w:w="108" w:type="dxa"/>
            </w:tcMar>
            <w:vAlign w:val="center"/>
            <w:hideMark/>
          </w:tcPr>
          <w:p w:rsidR="00315707" w:rsidRPr="00531AB4" w:rsidP="00D10031" w14:paraId="3DAD7A55" w14:textId="2D6A179E">
            <w:pPr>
              <w:jc w:val="center"/>
              <w:rPr>
                <w:rFonts w:eastAsiaTheme="minorHAnsi"/>
                <w:sz w:val="20"/>
                <w:szCs w:val="20"/>
                <w:lang w:eastAsia="zh-CN"/>
              </w:rPr>
            </w:pPr>
            <w:r>
              <w:rPr>
                <w:color w:val="000000"/>
                <w:sz w:val="20"/>
                <w:szCs w:val="20"/>
                <w:lang w:eastAsia="zh-CN"/>
              </w:rPr>
              <w:t>81,963</w:t>
            </w:r>
          </w:p>
        </w:tc>
        <w:tc>
          <w:tcPr>
            <w:tcW w:w="1980" w:type="dxa"/>
            <w:tcBorders>
              <w:bottom w:val="single" w:sz="4" w:space="0" w:color="auto"/>
            </w:tcBorders>
            <w:vAlign w:val="center"/>
          </w:tcPr>
          <w:p w:rsidR="00315707" w:rsidRPr="00F54966" w:rsidP="00D10031" w14:paraId="433AD6BC" w14:textId="77777777">
            <w:pPr>
              <w:jc w:val="center"/>
              <w:rPr>
                <w:sz w:val="20"/>
                <w:szCs w:val="20"/>
                <w:lang w:eastAsia="zh-CN"/>
              </w:rPr>
            </w:pPr>
            <w:r>
              <w:rPr>
                <w:sz w:val="20"/>
                <w:szCs w:val="20"/>
                <w:lang w:eastAsia="zh-CN"/>
              </w:rPr>
              <w:t>2017 new cohort</w:t>
            </w:r>
          </w:p>
        </w:tc>
        <w:tc>
          <w:tcPr>
            <w:tcW w:w="887" w:type="dxa"/>
            <w:tcBorders>
              <w:bottom w:val="single" w:sz="4" w:space="0" w:color="auto"/>
            </w:tcBorders>
            <w:vAlign w:val="center"/>
          </w:tcPr>
          <w:p w:rsidR="00315707" w:rsidP="00D10031" w14:paraId="434CCB8E" w14:textId="5A18CCE2">
            <w:pPr>
              <w:jc w:val="center"/>
              <w:rPr>
                <w:sz w:val="20"/>
                <w:szCs w:val="20"/>
                <w:lang w:eastAsia="zh-CN"/>
              </w:rPr>
            </w:pPr>
            <w:r>
              <w:rPr>
                <w:sz w:val="20"/>
                <w:szCs w:val="20"/>
                <w:lang w:eastAsia="zh-CN"/>
              </w:rPr>
              <w:t>9,326</w:t>
            </w:r>
          </w:p>
        </w:tc>
      </w:tr>
      <w:tr w14:paraId="5FE7846C" w14:textId="77777777" w:rsidTr="00D10031">
        <w:tblPrEx>
          <w:tblW w:w="9234" w:type="dxa"/>
          <w:tblInd w:w="108" w:type="dxa"/>
          <w:tblLayout w:type="fixed"/>
          <w:tblCellMar>
            <w:left w:w="0" w:type="dxa"/>
            <w:right w:w="0" w:type="dxa"/>
          </w:tblCellMar>
          <w:tblLook w:val="04A0"/>
        </w:tblPrEx>
        <w:trPr>
          <w:cantSplit/>
          <w:trHeight w:val="277"/>
        </w:trPr>
        <w:tc>
          <w:tcPr>
            <w:tcW w:w="787" w:type="dxa"/>
            <w:noWrap/>
            <w:tcMar>
              <w:top w:w="0" w:type="dxa"/>
              <w:left w:w="108" w:type="dxa"/>
              <w:bottom w:w="0" w:type="dxa"/>
              <w:right w:w="108" w:type="dxa"/>
            </w:tcMar>
            <w:vAlign w:val="center"/>
          </w:tcPr>
          <w:p w:rsidR="00315707" w:rsidP="007031A2" w14:paraId="04405689" w14:textId="77777777">
            <w:pPr>
              <w:jc w:val="center"/>
              <w:rPr>
                <w:sz w:val="20"/>
                <w:szCs w:val="20"/>
                <w:lang w:eastAsia="zh-CN"/>
              </w:rPr>
            </w:pPr>
            <w:r>
              <w:rPr>
                <w:sz w:val="20"/>
                <w:szCs w:val="20"/>
                <w:lang w:eastAsia="zh-CN"/>
              </w:rPr>
              <w:t>3</w:t>
            </w:r>
          </w:p>
        </w:tc>
        <w:tc>
          <w:tcPr>
            <w:tcW w:w="3150" w:type="dxa"/>
            <w:tcMar>
              <w:top w:w="0" w:type="dxa"/>
              <w:left w:w="108" w:type="dxa"/>
              <w:bottom w:w="0" w:type="dxa"/>
              <w:right w:w="108" w:type="dxa"/>
            </w:tcMar>
            <w:vAlign w:val="center"/>
          </w:tcPr>
          <w:p w:rsidR="00315707" w:rsidRPr="00531AB4" w:rsidP="007031A2" w14:paraId="33446C5C" w14:textId="0478D4B2">
            <w:pPr>
              <w:rPr>
                <w:sz w:val="20"/>
                <w:szCs w:val="20"/>
                <w:lang w:eastAsia="zh-CN"/>
              </w:rPr>
            </w:pPr>
            <w:r>
              <w:rPr>
                <w:sz w:val="20"/>
                <w:szCs w:val="20"/>
                <w:lang w:eastAsia="zh-CN"/>
              </w:rPr>
              <w:t>2019 SDR newly sampled cases that remain eligible for 202</w:t>
            </w:r>
            <w:r w:rsidR="009E3037">
              <w:rPr>
                <w:sz w:val="20"/>
                <w:szCs w:val="20"/>
                <w:lang w:eastAsia="zh-CN"/>
              </w:rPr>
              <w:t>3</w:t>
            </w:r>
          </w:p>
        </w:tc>
        <w:tc>
          <w:tcPr>
            <w:tcW w:w="1260" w:type="dxa"/>
            <w:tcMar>
              <w:top w:w="0" w:type="dxa"/>
              <w:left w:w="108" w:type="dxa"/>
              <w:bottom w:w="0" w:type="dxa"/>
              <w:right w:w="108" w:type="dxa"/>
            </w:tcMar>
            <w:vAlign w:val="center"/>
          </w:tcPr>
          <w:p w:rsidR="00315707" w:rsidRPr="00531AB4" w:rsidP="007031A2" w14:paraId="62FDCDCD" w14:textId="77777777">
            <w:pPr>
              <w:jc w:val="center"/>
              <w:rPr>
                <w:sz w:val="20"/>
                <w:szCs w:val="20"/>
                <w:lang w:eastAsia="zh-CN"/>
              </w:rPr>
            </w:pPr>
            <w:r w:rsidRPr="00531AB4">
              <w:rPr>
                <w:sz w:val="20"/>
                <w:szCs w:val="20"/>
                <w:lang w:eastAsia="zh-CN"/>
              </w:rPr>
              <w:t>201</w:t>
            </w:r>
            <w:r>
              <w:rPr>
                <w:sz w:val="20"/>
                <w:szCs w:val="20"/>
                <w:lang w:eastAsia="zh-CN"/>
              </w:rPr>
              <w:t>6</w:t>
            </w:r>
            <w:r w:rsidRPr="00531AB4">
              <w:rPr>
                <w:sz w:val="20"/>
                <w:szCs w:val="20"/>
                <w:lang w:eastAsia="zh-CN"/>
              </w:rPr>
              <w:t>-201</w:t>
            </w:r>
            <w:r>
              <w:rPr>
                <w:sz w:val="20"/>
                <w:szCs w:val="20"/>
                <w:lang w:eastAsia="zh-CN"/>
              </w:rPr>
              <w:t>7</w:t>
            </w:r>
          </w:p>
        </w:tc>
        <w:tc>
          <w:tcPr>
            <w:tcW w:w="1170" w:type="dxa"/>
            <w:tcMar>
              <w:top w:w="0" w:type="dxa"/>
              <w:left w:w="108" w:type="dxa"/>
              <w:bottom w:w="0" w:type="dxa"/>
              <w:right w:w="108" w:type="dxa"/>
            </w:tcMar>
            <w:vAlign w:val="center"/>
          </w:tcPr>
          <w:p w:rsidR="00315707" w:rsidP="00D10031" w14:paraId="3DCD1D25" w14:textId="2A8454EE">
            <w:pPr>
              <w:jc w:val="center"/>
              <w:rPr>
                <w:color w:val="000000"/>
                <w:sz w:val="20"/>
                <w:szCs w:val="20"/>
                <w:lang w:eastAsia="zh-CN"/>
              </w:rPr>
            </w:pPr>
            <w:r>
              <w:rPr>
                <w:color w:val="000000"/>
                <w:sz w:val="20"/>
                <w:szCs w:val="20"/>
                <w:lang w:eastAsia="zh-CN"/>
              </w:rPr>
              <w:t>82,083</w:t>
            </w:r>
          </w:p>
        </w:tc>
        <w:tc>
          <w:tcPr>
            <w:tcW w:w="1980" w:type="dxa"/>
            <w:vAlign w:val="center"/>
          </w:tcPr>
          <w:p w:rsidR="00315707" w:rsidP="00D10031" w14:paraId="00E3EEF5" w14:textId="17EB3DEF">
            <w:pPr>
              <w:jc w:val="center"/>
              <w:rPr>
                <w:sz w:val="20"/>
                <w:szCs w:val="20"/>
                <w:lang w:eastAsia="zh-CN"/>
              </w:rPr>
            </w:pPr>
            <w:r>
              <w:rPr>
                <w:sz w:val="20"/>
                <w:szCs w:val="20"/>
                <w:lang w:eastAsia="zh-CN"/>
              </w:rPr>
              <w:t>2019 new cohort</w:t>
            </w:r>
          </w:p>
        </w:tc>
        <w:tc>
          <w:tcPr>
            <w:tcW w:w="887" w:type="dxa"/>
            <w:vAlign w:val="center"/>
          </w:tcPr>
          <w:p w:rsidR="00315707" w:rsidP="00D10031" w14:paraId="4352F0AA" w14:textId="31BB0501">
            <w:pPr>
              <w:jc w:val="center"/>
              <w:rPr>
                <w:sz w:val="20"/>
                <w:szCs w:val="20"/>
                <w:lang w:eastAsia="zh-CN"/>
              </w:rPr>
            </w:pPr>
            <w:r>
              <w:rPr>
                <w:sz w:val="20"/>
                <w:szCs w:val="20"/>
                <w:lang w:eastAsia="zh-CN"/>
              </w:rPr>
              <w:t>9,</w:t>
            </w:r>
            <w:r w:rsidR="00882C73">
              <w:rPr>
                <w:sz w:val="20"/>
                <w:szCs w:val="20"/>
                <w:lang w:eastAsia="zh-CN"/>
              </w:rPr>
              <w:t>947</w:t>
            </w:r>
          </w:p>
        </w:tc>
      </w:tr>
      <w:tr w14:paraId="4023357C" w14:textId="77777777" w:rsidTr="00D10031">
        <w:tblPrEx>
          <w:tblW w:w="9234" w:type="dxa"/>
          <w:tblInd w:w="108" w:type="dxa"/>
          <w:tblLayout w:type="fixed"/>
          <w:tblCellMar>
            <w:left w:w="0" w:type="dxa"/>
            <w:right w:w="0" w:type="dxa"/>
          </w:tblCellMar>
          <w:tblLook w:val="04A0"/>
        </w:tblPrEx>
        <w:trPr>
          <w:cantSplit/>
          <w:trHeight w:val="277"/>
        </w:trPr>
        <w:tc>
          <w:tcPr>
            <w:tcW w:w="787" w:type="dxa"/>
            <w:tcBorders>
              <w:bottom w:val="single" w:sz="4" w:space="0" w:color="auto"/>
            </w:tcBorders>
            <w:noWrap/>
            <w:tcMar>
              <w:top w:w="0" w:type="dxa"/>
              <w:left w:w="108" w:type="dxa"/>
              <w:bottom w:w="0" w:type="dxa"/>
              <w:right w:w="108" w:type="dxa"/>
            </w:tcMar>
            <w:vAlign w:val="center"/>
          </w:tcPr>
          <w:p w:rsidR="00315707" w:rsidRPr="00531AB4" w:rsidP="007031A2" w14:paraId="4FD0004B" w14:textId="00A2B591">
            <w:pPr>
              <w:jc w:val="center"/>
              <w:rPr>
                <w:sz w:val="20"/>
                <w:szCs w:val="20"/>
                <w:lang w:eastAsia="zh-CN"/>
              </w:rPr>
            </w:pPr>
            <w:r>
              <w:rPr>
                <w:sz w:val="20"/>
                <w:szCs w:val="20"/>
                <w:lang w:eastAsia="zh-CN"/>
              </w:rPr>
              <w:t>4</w:t>
            </w:r>
          </w:p>
        </w:tc>
        <w:tc>
          <w:tcPr>
            <w:tcW w:w="3150" w:type="dxa"/>
            <w:tcBorders>
              <w:bottom w:val="single" w:sz="4" w:space="0" w:color="auto"/>
            </w:tcBorders>
            <w:tcMar>
              <w:top w:w="0" w:type="dxa"/>
              <w:left w:w="108" w:type="dxa"/>
              <w:bottom w:w="0" w:type="dxa"/>
              <w:right w:w="108" w:type="dxa"/>
            </w:tcMar>
            <w:vAlign w:val="center"/>
          </w:tcPr>
          <w:p w:rsidR="00315707" w:rsidRPr="00531AB4" w:rsidP="007031A2" w14:paraId="79A82E03" w14:textId="3EDAEC32">
            <w:pPr>
              <w:rPr>
                <w:sz w:val="20"/>
                <w:szCs w:val="20"/>
                <w:lang w:eastAsia="zh-CN"/>
              </w:rPr>
            </w:pPr>
            <w:r>
              <w:rPr>
                <w:sz w:val="20"/>
                <w:szCs w:val="20"/>
                <w:lang w:eastAsia="zh-CN"/>
              </w:rPr>
              <w:t xml:space="preserve">2021 </w:t>
            </w:r>
            <w:r w:rsidR="003B2EC9">
              <w:rPr>
                <w:sz w:val="20"/>
                <w:szCs w:val="20"/>
                <w:lang w:eastAsia="zh-CN"/>
              </w:rPr>
              <w:t xml:space="preserve">SDR newly sampled cases that remain eligible for </w:t>
            </w:r>
            <w:r w:rsidR="009E3037">
              <w:rPr>
                <w:sz w:val="20"/>
                <w:szCs w:val="20"/>
                <w:lang w:eastAsia="zh-CN"/>
              </w:rPr>
              <w:t xml:space="preserve">2023 </w:t>
            </w:r>
          </w:p>
        </w:tc>
        <w:tc>
          <w:tcPr>
            <w:tcW w:w="1260" w:type="dxa"/>
            <w:tcBorders>
              <w:bottom w:val="single" w:sz="4" w:space="0" w:color="auto"/>
            </w:tcBorders>
            <w:tcMar>
              <w:top w:w="0" w:type="dxa"/>
              <w:left w:w="108" w:type="dxa"/>
              <w:bottom w:w="0" w:type="dxa"/>
              <w:right w:w="108" w:type="dxa"/>
            </w:tcMar>
            <w:vAlign w:val="center"/>
          </w:tcPr>
          <w:p w:rsidR="00315707" w:rsidRPr="00531AB4" w:rsidP="007031A2" w14:paraId="43FA1117" w14:textId="77777777">
            <w:pPr>
              <w:jc w:val="center"/>
              <w:rPr>
                <w:sz w:val="20"/>
                <w:szCs w:val="20"/>
                <w:lang w:eastAsia="zh-CN"/>
              </w:rPr>
            </w:pPr>
            <w:r>
              <w:rPr>
                <w:sz w:val="20"/>
                <w:szCs w:val="20"/>
                <w:lang w:eastAsia="zh-CN"/>
              </w:rPr>
              <w:t>2018-2019</w:t>
            </w:r>
          </w:p>
        </w:tc>
        <w:tc>
          <w:tcPr>
            <w:tcW w:w="1170" w:type="dxa"/>
            <w:tcBorders>
              <w:bottom w:val="single" w:sz="4" w:space="0" w:color="auto"/>
            </w:tcBorders>
            <w:tcMar>
              <w:top w:w="0" w:type="dxa"/>
              <w:left w:w="108" w:type="dxa"/>
              <w:bottom w:w="0" w:type="dxa"/>
              <w:right w:w="108" w:type="dxa"/>
            </w:tcMar>
            <w:vAlign w:val="center"/>
          </w:tcPr>
          <w:p w:rsidR="00315707" w:rsidRPr="00531AB4" w:rsidP="00D10031" w14:paraId="6B6E7DB0" w14:textId="6FA41A4B">
            <w:pPr>
              <w:jc w:val="center"/>
              <w:rPr>
                <w:color w:val="000000"/>
                <w:sz w:val="20"/>
                <w:szCs w:val="20"/>
                <w:lang w:eastAsia="zh-CN"/>
              </w:rPr>
            </w:pPr>
            <w:r>
              <w:rPr>
                <w:color w:val="000000"/>
                <w:sz w:val="20"/>
                <w:szCs w:val="20"/>
                <w:lang w:eastAsia="zh-CN"/>
              </w:rPr>
              <w:t>85,</w:t>
            </w:r>
            <w:r w:rsidR="009338B1">
              <w:rPr>
                <w:color w:val="000000"/>
                <w:sz w:val="20"/>
                <w:szCs w:val="20"/>
                <w:lang w:eastAsia="zh-CN"/>
              </w:rPr>
              <w:t>083</w:t>
            </w:r>
          </w:p>
        </w:tc>
        <w:tc>
          <w:tcPr>
            <w:tcW w:w="1980" w:type="dxa"/>
            <w:tcBorders>
              <w:bottom w:val="single" w:sz="4" w:space="0" w:color="auto"/>
            </w:tcBorders>
            <w:vAlign w:val="center"/>
          </w:tcPr>
          <w:p w:rsidR="00315707" w:rsidP="00D10031" w14:paraId="08D8BD14" w14:textId="77777777">
            <w:pPr>
              <w:jc w:val="center"/>
              <w:rPr>
                <w:sz w:val="20"/>
                <w:szCs w:val="20"/>
                <w:lang w:eastAsia="zh-CN"/>
              </w:rPr>
            </w:pPr>
            <w:r>
              <w:rPr>
                <w:sz w:val="20"/>
                <w:szCs w:val="20"/>
                <w:lang w:eastAsia="zh-CN"/>
              </w:rPr>
              <w:t>2021 new cohort</w:t>
            </w:r>
          </w:p>
        </w:tc>
        <w:tc>
          <w:tcPr>
            <w:tcW w:w="887" w:type="dxa"/>
            <w:tcBorders>
              <w:bottom w:val="single" w:sz="4" w:space="0" w:color="auto"/>
            </w:tcBorders>
            <w:vAlign w:val="center"/>
          </w:tcPr>
          <w:p w:rsidR="00315707" w:rsidP="00D10031" w14:paraId="7DDA70B8" w14:textId="4146BDA0">
            <w:pPr>
              <w:jc w:val="center"/>
              <w:rPr>
                <w:sz w:val="20"/>
                <w:szCs w:val="20"/>
                <w:lang w:eastAsia="zh-CN"/>
              </w:rPr>
            </w:pPr>
            <w:r>
              <w:rPr>
                <w:sz w:val="20"/>
                <w:szCs w:val="20"/>
                <w:lang w:eastAsia="zh-CN"/>
              </w:rPr>
              <w:t>9,978</w:t>
            </w:r>
          </w:p>
        </w:tc>
      </w:tr>
      <w:tr w14:paraId="37CCFD69" w14:textId="77777777" w:rsidTr="00D10031">
        <w:tblPrEx>
          <w:tblW w:w="9234" w:type="dxa"/>
          <w:tblInd w:w="108" w:type="dxa"/>
          <w:tblLayout w:type="fixed"/>
          <w:tblCellMar>
            <w:left w:w="0" w:type="dxa"/>
            <w:right w:w="0" w:type="dxa"/>
          </w:tblCellMar>
          <w:tblLook w:val="04A0"/>
        </w:tblPrEx>
        <w:trPr>
          <w:cantSplit/>
          <w:trHeight w:val="277"/>
        </w:trPr>
        <w:tc>
          <w:tcPr>
            <w:tcW w:w="787" w:type="dxa"/>
            <w:tcBorders>
              <w:bottom w:val="double" w:sz="4" w:space="0" w:color="auto"/>
            </w:tcBorders>
            <w:noWrap/>
            <w:tcMar>
              <w:top w:w="0" w:type="dxa"/>
              <w:left w:w="108" w:type="dxa"/>
              <w:bottom w:w="0" w:type="dxa"/>
              <w:right w:w="108" w:type="dxa"/>
            </w:tcMar>
            <w:vAlign w:val="center"/>
          </w:tcPr>
          <w:p w:rsidR="006E27B3" w:rsidP="007031A2" w14:paraId="56395E03" w14:textId="6B1B739C">
            <w:pPr>
              <w:jc w:val="center"/>
              <w:rPr>
                <w:sz w:val="20"/>
                <w:szCs w:val="20"/>
                <w:lang w:eastAsia="zh-CN"/>
              </w:rPr>
            </w:pPr>
            <w:r>
              <w:rPr>
                <w:sz w:val="20"/>
                <w:szCs w:val="20"/>
                <w:lang w:eastAsia="zh-CN"/>
              </w:rPr>
              <w:t>5</w:t>
            </w:r>
          </w:p>
        </w:tc>
        <w:tc>
          <w:tcPr>
            <w:tcW w:w="3150" w:type="dxa"/>
            <w:tcBorders>
              <w:bottom w:val="double" w:sz="4" w:space="0" w:color="auto"/>
            </w:tcBorders>
            <w:tcMar>
              <w:top w:w="0" w:type="dxa"/>
              <w:left w:w="108" w:type="dxa"/>
              <w:bottom w:w="0" w:type="dxa"/>
              <w:right w:w="108" w:type="dxa"/>
            </w:tcMar>
            <w:vAlign w:val="center"/>
          </w:tcPr>
          <w:p w:rsidR="006E27B3" w:rsidRPr="00531AB4" w:rsidP="007031A2" w14:paraId="71D8819D" w14:textId="6EB57C4C">
            <w:pPr>
              <w:rPr>
                <w:sz w:val="20"/>
                <w:szCs w:val="20"/>
                <w:lang w:eastAsia="zh-CN"/>
              </w:rPr>
            </w:pPr>
            <w:r w:rsidRPr="00531AB4">
              <w:rPr>
                <w:sz w:val="20"/>
                <w:szCs w:val="20"/>
                <w:lang w:eastAsia="zh-CN"/>
              </w:rPr>
              <w:t>New cohort cases from SED AY 20</w:t>
            </w:r>
            <w:r w:rsidR="00F45CAC">
              <w:rPr>
                <w:sz w:val="20"/>
                <w:szCs w:val="20"/>
                <w:lang w:eastAsia="zh-CN"/>
              </w:rPr>
              <w:t>20</w:t>
            </w:r>
            <w:r w:rsidRPr="00531AB4">
              <w:rPr>
                <w:sz w:val="20"/>
                <w:szCs w:val="20"/>
                <w:lang w:eastAsia="zh-CN"/>
              </w:rPr>
              <w:t xml:space="preserve"> and 20</w:t>
            </w:r>
            <w:r w:rsidR="00F45CAC">
              <w:rPr>
                <w:sz w:val="20"/>
                <w:szCs w:val="20"/>
                <w:lang w:eastAsia="zh-CN"/>
              </w:rPr>
              <w:t>21</w:t>
            </w:r>
          </w:p>
        </w:tc>
        <w:tc>
          <w:tcPr>
            <w:tcW w:w="1260" w:type="dxa"/>
            <w:tcBorders>
              <w:bottom w:val="double" w:sz="4" w:space="0" w:color="auto"/>
            </w:tcBorders>
            <w:tcMar>
              <w:top w:w="0" w:type="dxa"/>
              <w:left w:w="108" w:type="dxa"/>
              <w:bottom w:w="0" w:type="dxa"/>
              <w:right w:w="108" w:type="dxa"/>
            </w:tcMar>
            <w:vAlign w:val="center"/>
          </w:tcPr>
          <w:p w:rsidR="006E27B3" w:rsidP="007031A2" w14:paraId="19F14CCA" w14:textId="0AF247E5">
            <w:pPr>
              <w:jc w:val="center"/>
              <w:rPr>
                <w:sz w:val="20"/>
                <w:szCs w:val="20"/>
                <w:lang w:eastAsia="zh-CN"/>
              </w:rPr>
            </w:pPr>
            <w:r>
              <w:rPr>
                <w:sz w:val="20"/>
                <w:szCs w:val="20"/>
                <w:lang w:eastAsia="zh-CN"/>
              </w:rPr>
              <w:t>2020-2021</w:t>
            </w:r>
          </w:p>
        </w:tc>
        <w:tc>
          <w:tcPr>
            <w:tcW w:w="1170" w:type="dxa"/>
            <w:tcBorders>
              <w:bottom w:val="double" w:sz="4" w:space="0" w:color="auto"/>
            </w:tcBorders>
            <w:tcMar>
              <w:top w:w="0" w:type="dxa"/>
              <w:left w:w="108" w:type="dxa"/>
              <w:bottom w:w="0" w:type="dxa"/>
              <w:right w:w="108" w:type="dxa"/>
            </w:tcMar>
            <w:vAlign w:val="center"/>
          </w:tcPr>
          <w:p w:rsidR="006E27B3" w:rsidP="00D10031" w14:paraId="591B9276" w14:textId="660C32AF">
            <w:pPr>
              <w:jc w:val="center"/>
              <w:rPr>
                <w:color w:val="000000"/>
                <w:sz w:val="20"/>
                <w:szCs w:val="20"/>
                <w:lang w:eastAsia="zh-CN"/>
              </w:rPr>
            </w:pPr>
            <w:r w:rsidRPr="00667634">
              <w:rPr>
                <w:color w:val="000000"/>
                <w:sz w:val="20"/>
                <w:szCs w:val="20"/>
                <w:lang w:eastAsia="zh-CN"/>
              </w:rPr>
              <w:t>83</w:t>
            </w:r>
            <w:r>
              <w:rPr>
                <w:color w:val="000000"/>
                <w:sz w:val="20"/>
                <w:szCs w:val="20"/>
                <w:lang w:eastAsia="zh-CN"/>
              </w:rPr>
              <w:t>,</w:t>
            </w:r>
            <w:r w:rsidRPr="00667634">
              <w:rPr>
                <w:color w:val="000000"/>
                <w:sz w:val="20"/>
                <w:szCs w:val="20"/>
                <w:lang w:eastAsia="zh-CN"/>
              </w:rPr>
              <w:t>367</w:t>
            </w:r>
          </w:p>
        </w:tc>
        <w:tc>
          <w:tcPr>
            <w:tcW w:w="1980" w:type="dxa"/>
            <w:tcBorders>
              <w:bottom w:val="double" w:sz="4" w:space="0" w:color="auto"/>
            </w:tcBorders>
            <w:vAlign w:val="center"/>
          </w:tcPr>
          <w:p w:rsidR="006E27B3" w:rsidP="00D10031" w14:paraId="11CE91BC" w14:textId="6D7CE3A7">
            <w:pPr>
              <w:jc w:val="center"/>
              <w:rPr>
                <w:sz w:val="20"/>
                <w:szCs w:val="20"/>
                <w:lang w:eastAsia="zh-CN"/>
              </w:rPr>
            </w:pPr>
            <w:r>
              <w:rPr>
                <w:sz w:val="20"/>
                <w:szCs w:val="20"/>
                <w:lang w:eastAsia="zh-CN"/>
              </w:rPr>
              <w:t>2023 new cohort</w:t>
            </w:r>
          </w:p>
        </w:tc>
        <w:tc>
          <w:tcPr>
            <w:tcW w:w="887" w:type="dxa"/>
            <w:tcBorders>
              <w:bottom w:val="double" w:sz="4" w:space="0" w:color="auto"/>
            </w:tcBorders>
            <w:vAlign w:val="center"/>
          </w:tcPr>
          <w:p w:rsidR="006E27B3" w:rsidP="00D10031" w14:paraId="3CB99D1C" w14:textId="089C5BA4">
            <w:pPr>
              <w:jc w:val="center"/>
              <w:rPr>
                <w:sz w:val="20"/>
                <w:szCs w:val="20"/>
                <w:lang w:eastAsia="zh-CN"/>
              </w:rPr>
            </w:pPr>
            <w:r>
              <w:rPr>
                <w:sz w:val="20"/>
                <w:szCs w:val="20"/>
                <w:lang w:eastAsia="zh-CN"/>
              </w:rPr>
              <w:t>10,000</w:t>
            </w:r>
          </w:p>
        </w:tc>
      </w:tr>
      <w:tr w14:paraId="1E5A37CA" w14:textId="77777777" w:rsidTr="00D10031">
        <w:tblPrEx>
          <w:tblW w:w="9234" w:type="dxa"/>
          <w:tblInd w:w="108" w:type="dxa"/>
          <w:tblLayout w:type="fixed"/>
          <w:tblCellMar>
            <w:left w:w="0" w:type="dxa"/>
            <w:right w:w="0" w:type="dxa"/>
          </w:tblCellMar>
          <w:tblLook w:val="04A0"/>
        </w:tblPrEx>
        <w:trPr>
          <w:cantSplit/>
          <w:trHeight w:val="277"/>
        </w:trPr>
        <w:tc>
          <w:tcPr>
            <w:tcW w:w="5197" w:type="dxa"/>
            <w:gridSpan w:val="3"/>
            <w:tcBorders>
              <w:top w:val="double" w:sz="4" w:space="0" w:color="auto"/>
              <w:bottom w:val="single" w:sz="4" w:space="0" w:color="auto"/>
            </w:tcBorders>
            <w:noWrap/>
            <w:tcMar>
              <w:top w:w="0" w:type="dxa"/>
              <w:left w:w="108" w:type="dxa"/>
              <w:bottom w:w="0" w:type="dxa"/>
              <w:right w:w="108" w:type="dxa"/>
            </w:tcMar>
            <w:vAlign w:val="center"/>
          </w:tcPr>
          <w:p w:rsidR="00315707" w:rsidRPr="00531AB4" w:rsidP="007031A2" w14:paraId="21C7AC97" w14:textId="77777777">
            <w:pPr>
              <w:jc w:val="center"/>
              <w:rPr>
                <w:sz w:val="20"/>
                <w:szCs w:val="20"/>
                <w:lang w:eastAsia="zh-CN"/>
              </w:rPr>
            </w:pPr>
            <w:r>
              <w:rPr>
                <w:sz w:val="20"/>
                <w:szCs w:val="20"/>
                <w:lang w:eastAsia="zh-CN"/>
              </w:rPr>
              <w:t>Total</w:t>
            </w:r>
          </w:p>
        </w:tc>
        <w:tc>
          <w:tcPr>
            <w:tcW w:w="1170" w:type="dxa"/>
            <w:tcBorders>
              <w:top w:val="double" w:sz="4" w:space="0" w:color="auto"/>
              <w:bottom w:val="single" w:sz="4" w:space="0" w:color="auto"/>
            </w:tcBorders>
            <w:tcMar>
              <w:top w:w="0" w:type="dxa"/>
              <w:left w:w="108" w:type="dxa"/>
              <w:bottom w:w="0" w:type="dxa"/>
              <w:right w:w="108" w:type="dxa"/>
            </w:tcMar>
            <w:vAlign w:val="center"/>
          </w:tcPr>
          <w:p w:rsidR="00315707" w:rsidP="00D10031" w14:paraId="0434EED5" w14:textId="51E57865">
            <w:pPr>
              <w:jc w:val="center"/>
              <w:rPr>
                <w:color w:val="000000"/>
                <w:sz w:val="20"/>
                <w:szCs w:val="20"/>
                <w:lang w:eastAsia="zh-CN"/>
              </w:rPr>
            </w:pPr>
            <w:r>
              <w:rPr>
                <w:color w:val="000000"/>
                <w:sz w:val="20"/>
                <w:szCs w:val="20"/>
                <w:lang w:eastAsia="zh-CN"/>
              </w:rPr>
              <w:t>1,239,897</w:t>
            </w:r>
          </w:p>
        </w:tc>
        <w:tc>
          <w:tcPr>
            <w:tcW w:w="1980" w:type="dxa"/>
            <w:tcBorders>
              <w:top w:val="double" w:sz="4" w:space="0" w:color="auto"/>
              <w:bottom w:val="single" w:sz="4" w:space="0" w:color="auto"/>
            </w:tcBorders>
            <w:vAlign w:val="center"/>
          </w:tcPr>
          <w:p w:rsidR="00315707" w:rsidP="00D10031" w14:paraId="7DBB09E9" w14:textId="3FB7E149">
            <w:pPr>
              <w:jc w:val="center"/>
              <w:rPr>
                <w:sz w:val="20"/>
                <w:szCs w:val="20"/>
                <w:lang w:eastAsia="zh-CN"/>
              </w:rPr>
            </w:pPr>
            <w:r>
              <w:rPr>
                <w:sz w:val="20"/>
                <w:szCs w:val="20"/>
                <w:lang w:eastAsia="zh-CN"/>
              </w:rPr>
              <w:t>All</w:t>
            </w:r>
          </w:p>
        </w:tc>
        <w:tc>
          <w:tcPr>
            <w:tcW w:w="887" w:type="dxa"/>
            <w:tcBorders>
              <w:top w:val="double" w:sz="4" w:space="0" w:color="auto"/>
              <w:bottom w:val="single" w:sz="4" w:space="0" w:color="auto"/>
            </w:tcBorders>
            <w:vAlign w:val="center"/>
          </w:tcPr>
          <w:p w:rsidR="00315707" w:rsidP="00D10031" w14:paraId="0B783A1E" w14:textId="0D2622F3">
            <w:pPr>
              <w:jc w:val="center"/>
              <w:rPr>
                <w:sz w:val="20"/>
                <w:szCs w:val="20"/>
                <w:lang w:eastAsia="zh-CN"/>
              </w:rPr>
            </w:pPr>
            <w:bookmarkStart w:id="6" w:name="_Hlk127366369"/>
            <w:r>
              <w:rPr>
                <w:sz w:val="20"/>
                <w:szCs w:val="20"/>
                <w:lang w:eastAsia="zh-CN"/>
              </w:rPr>
              <w:t>125,</w:t>
            </w:r>
            <w:r w:rsidR="00C77137">
              <w:rPr>
                <w:sz w:val="20"/>
                <w:szCs w:val="20"/>
                <w:lang w:eastAsia="zh-CN"/>
              </w:rPr>
              <w:t>246</w:t>
            </w:r>
            <w:bookmarkEnd w:id="6"/>
          </w:p>
        </w:tc>
      </w:tr>
    </w:tbl>
    <w:p w:rsidR="00315707" w:rsidP="007936F2" w14:paraId="2F71F87C" w14:textId="53C9B74F">
      <w:pPr>
        <w:spacing w:after="120"/>
        <w:rPr>
          <w:b/>
          <w:sz w:val="22"/>
          <w:szCs w:val="22"/>
        </w:rPr>
      </w:pPr>
    </w:p>
    <w:p w:rsidR="007936F2" w:rsidRPr="00545173" w:rsidP="007936F2" w14:paraId="4B3843E6" w14:textId="63A71481">
      <w:pPr>
        <w:spacing w:after="120"/>
        <w:rPr>
          <w:b/>
        </w:rPr>
      </w:pPr>
      <w:r w:rsidRPr="007E2986">
        <w:rPr>
          <w:b/>
        </w:rPr>
        <w:t xml:space="preserve">1.2 </w:t>
      </w:r>
      <w:r w:rsidRPr="007E2986" w:rsidR="002E6709">
        <w:rPr>
          <w:b/>
        </w:rPr>
        <w:t>20</w:t>
      </w:r>
      <w:r w:rsidR="002E6709">
        <w:rPr>
          <w:b/>
        </w:rPr>
        <w:t>2</w:t>
      </w:r>
      <w:r w:rsidR="00CA251C">
        <w:rPr>
          <w:b/>
        </w:rPr>
        <w:t>3</w:t>
      </w:r>
      <w:r w:rsidRPr="007E2986" w:rsidR="002E6709">
        <w:rPr>
          <w:b/>
        </w:rPr>
        <w:t xml:space="preserve"> </w:t>
      </w:r>
      <w:r w:rsidRPr="007E2986">
        <w:rPr>
          <w:b/>
        </w:rPr>
        <w:t>Sample Design</w:t>
      </w:r>
    </w:p>
    <w:p w:rsidR="000C0719" w:rsidRPr="00E7197B" w:rsidP="00342FB9" w14:paraId="55AE6D19" w14:textId="77777777">
      <w:pPr>
        <w:rPr>
          <w:sz w:val="22"/>
          <w:szCs w:val="22"/>
        </w:rPr>
      </w:pPr>
      <w:r w:rsidRPr="00E7197B">
        <w:rPr>
          <w:sz w:val="22"/>
          <w:szCs w:val="22"/>
        </w:rPr>
        <w:t>In the 2015 survey cycle, the SDR sample size increased</w:t>
      </w:r>
      <w:r w:rsidRPr="00E7197B" w:rsidR="3A763A9C">
        <w:rPr>
          <w:sz w:val="22"/>
          <w:szCs w:val="22"/>
        </w:rPr>
        <w:t xml:space="preserve"> from 4</w:t>
      </w:r>
      <w:r w:rsidRPr="00E7197B" w:rsidR="46BC0618">
        <w:rPr>
          <w:sz w:val="22"/>
          <w:szCs w:val="22"/>
        </w:rPr>
        <w:t>5</w:t>
      </w:r>
      <w:r w:rsidRPr="00E7197B" w:rsidR="3A763A9C">
        <w:rPr>
          <w:sz w:val="22"/>
          <w:szCs w:val="22"/>
        </w:rPr>
        <w:t>,000</w:t>
      </w:r>
      <w:r w:rsidRPr="00E7197B">
        <w:rPr>
          <w:sz w:val="22"/>
          <w:szCs w:val="22"/>
        </w:rPr>
        <w:t xml:space="preserve"> to 120,000 individuals</w:t>
      </w:r>
      <w:r w:rsidRPr="00E7197B" w:rsidR="10290E96">
        <w:rPr>
          <w:sz w:val="22"/>
          <w:szCs w:val="22"/>
        </w:rPr>
        <w:t xml:space="preserve">. The goal of the </w:t>
      </w:r>
      <w:r w:rsidRPr="00E7197B" w:rsidR="51F323AE">
        <w:rPr>
          <w:sz w:val="22"/>
          <w:szCs w:val="22"/>
        </w:rPr>
        <w:t xml:space="preserve">large </w:t>
      </w:r>
      <w:r w:rsidRPr="00E7197B" w:rsidR="10290E96">
        <w:rPr>
          <w:sz w:val="22"/>
          <w:szCs w:val="22"/>
        </w:rPr>
        <w:t xml:space="preserve">sample size increase was to improve the precision of estimates for </w:t>
      </w:r>
      <w:r w:rsidRPr="00E7197B" w:rsidR="3600686D">
        <w:rPr>
          <w:sz w:val="22"/>
          <w:szCs w:val="22"/>
        </w:rPr>
        <w:t xml:space="preserve">key analytic </w:t>
      </w:r>
      <w:r w:rsidRPr="00E7197B" w:rsidR="10290E96">
        <w:rPr>
          <w:sz w:val="22"/>
          <w:szCs w:val="22"/>
        </w:rPr>
        <w:t xml:space="preserve">domains of interest, </w:t>
      </w:r>
      <w:r w:rsidRPr="00E7197B" w:rsidR="5218B169">
        <w:rPr>
          <w:sz w:val="22"/>
          <w:szCs w:val="22"/>
        </w:rPr>
        <w:t xml:space="preserve">especially the </w:t>
      </w:r>
      <w:r w:rsidRPr="00E7197B">
        <w:rPr>
          <w:sz w:val="22"/>
          <w:szCs w:val="22"/>
        </w:rPr>
        <w:t xml:space="preserve">fine field of degree (FFOD) </w:t>
      </w:r>
      <w:r w:rsidRPr="00E7197B" w:rsidR="51F323AE">
        <w:rPr>
          <w:sz w:val="22"/>
          <w:szCs w:val="22"/>
        </w:rPr>
        <w:t>categories</w:t>
      </w:r>
      <w:r w:rsidRPr="00E7197B">
        <w:rPr>
          <w:sz w:val="22"/>
          <w:szCs w:val="22"/>
        </w:rPr>
        <w:t xml:space="preserve"> reported in the SED. </w:t>
      </w:r>
      <w:r w:rsidRPr="00E7197B" w:rsidR="4754583A">
        <w:rPr>
          <w:sz w:val="22"/>
          <w:szCs w:val="22"/>
        </w:rPr>
        <w:t xml:space="preserve">Over 200 </w:t>
      </w:r>
      <w:r w:rsidRPr="00E7197B">
        <w:rPr>
          <w:sz w:val="22"/>
          <w:szCs w:val="22"/>
        </w:rPr>
        <w:t xml:space="preserve">FFODs served as the explicit sampling strata </w:t>
      </w:r>
      <w:r w:rsidRPr="00E7197B" w:rsidR="10290E96">
        <w:rPr>
          <w:sz w:val="22"/>
          <w:szCs w:val="22"/>
        </w:rPr>
        <w:t xml:space="preserve">in the sample design for </w:t>
      </w:r>
      <w:r w:rsidRPr="00E7197B">
        <w:rPr>
          <w:sz w:val="22"/>
          <w:szCs w:val="22"/>
        </w:rPr>
        <w:t xml:space="preserve">both the 2015 and 2017 </w:t>
      </w:r>
      <w:r w:rsidRPr="00E7197B" w:rsidR="10290E96">
        <w:rPr>
          <w:sz w:val="22"/>
          <w:szCs w:val="22"/>
        </w:rPr>
        <w:t>cycles</w:t>
      </w:r>
      <w:r w:rsidRPr="00E7197B">
        <w:rPr>
          <w:sz w:val="22"/>
          <w:szCs w:val="22"/>
        </w:rPr>
        <w:t xml:space="preserve">. </w:t>
      </w:r>
      <w:r w:rsidRPr="00E7197B" w:rsidR="3A763A9C">
        <w:rPr>
          <w:sz w:val="22"/>
          <w:szCs w:val="22"/>
        </w:rPr>
        <w:t>For the 2019 survey cycle, adjustments to the SDR sample design were made based on feedback from SDR stakeholders in combination with evaluations of the reliability and utility of the 2015 and 2017 estimates at the 200+ FFOD stratification levels.</w:t>
      </w:r>
      <w:r w:rsidRPr="00E7197B" w:rsidR="46BC0618">
        <w:rPr>
          <w:sz w:val="22"/>
          <w:szCs w:val="22"/>
        </w:rPr>
        <w:t xml:space="preserve"> </w:t>
      </w:r>
      <w:r w:rsidRPr="00E7197B" w:rsidR="51F323AE">
        <w:rPr>
          <w:sz w:val="22"/>
          <w:szCs w:val="22"/>
        </w:rPr>
        <w:t>As with the 2019 SDR, the 2021 SDR stratifie</w:t>
      </w:r>
      <w:r w:rsidRPr="00E7197B" w:rsidR="001A7E2A">
        <w:rPr>
          <w:sz w:val="22"/>
          <w:szCs w:val="22"/>
        </w:rPr>
        <w:t>d</w:t>
      </w:r>
      <w:r w:rsidRPr="00E7197B" w:rsidR="51F323AE">
        <w:rPr>
          <w:sz w:val="22"/>
          <w:szCs w:val="22"/>
        </w:rPr>
        <w:t xml:space="preserve"> the sample frame by 77 detailed fields</w:t>
      </w:r>
      <w:r w:rsidRPr="00E7197B" w:rsidR="3600686D">
        <w:rPr>
          <w:sz w:val="22"/>
          <w:szCs w:val="22"/>
        </w:rPr>
        <w:t>, and sex and minority status,</w:t>
      </w:r>
      <w:r w:rsidRPr="00E7197B" w:rsidR="51F323AE">
        <w:rPr>
          <w:sz w:val="22"/>
          <w:szCs w:val="22"/>
        </w:rPr>
        <w:t xml:space="preserve"> rather than </w:t>
      </w:r>
      <w:r w:rsidRPr="00E7197B" w:rsidR="3600686D">
        <w:rPr>
          <w:sz w:val="22"/>
          <w:szCs w:val="22"/>
        </w:rPr>
        <w:t>roughly 220</w:t>
      </w:r>
      <w:r w:rsidRPr="00E7197B" w:rsidR="51F323AE">
        <w:rPr>
          <w:sz w:val="22"/>
          <w:szCs w:val="22"/>
        </w:rPr>
        <w:t xml:space="preserve"> FFODs used in the 2015 and 2017 SDR cycles. </w:t>
      </w:r>
      <w:r w:rsidRPr="00E7197B" w:rsidR="10290E96">
        <w:rPr>
          <w:sz w:val="22"/>
          <w:szCs w:val="22"/>
        </w:rPr>
        <w:t>The 202</w:t>
      </w:r>
      <w:r w:rsidRPr="00E7197B" w:rsidR="4B63410A">
        <w:rPr>
          <w:sz w:val="22"/>
          <w:szCs w:val="22"/>
        </w:rPr>
        <w:t>3</w:t>
      </w:r>
      <w:r w:rsidRPr="00E7197B" w:rsidR="10290E96">
        <w:rPr>
          <w:sz w:val="22"/>
          <w:szCs w:val="22"/>
        </w:rPr>
        <w:t xml:space="preserve"> survey cycle will use the same general approach </w:t>
      </w:r>
      <w:r w:rsidRPr="00E7197B" w:rsidR="51F323AE">
        <w:rPr>
          <w:sz w:val="22"/>
          <w:szCs w:val="22"/>
        </w:rPr>
        <w:t>that</w:t>
      </w:r>
      <w:r w:rsidRPr="00E7197B" w:rsidR="10290E96">
        <w:rPr>
          <w:sz w:val="22"/>
          <w:szCs w:val="22"/>
        </w:rPr>
        <w:t xml:space="preserve"> was used in </w:t>
      </w:r>
      <w:r w:rsidRPr="00E7197B" w:rsidR="00900885">
        <w:rPr>
          <w:sz w:val="22"/>
          <w:szCs w:val="22"/>
        </w:rPr>
        <w:t>the last two cycles</w:t>
      </w:r>
      <w:r w:rsidRPr="00E7197B" w:rsidR="3600686D">
        <w:rPr>
          <w:sz w:val="22"/>
          <w:szCs w:val="22"/>
        </w:rPr>
        <w:t xml:space="preserve">. The </w:t>
      </w:r>
      <w:r w:rsidRPr="00E7197B" w:rsidR="579F1D7E">
        <w:rPr>
          <w:sz w:val="22"/>
          <w:szCs w:val="22"/>
        </w:rPr>
        <w:t>2023</w:t>
      </w:r>
      <w:r w:rsidRPr="00E7197B" w:rsidR="0F2DC744">
        <w:rPr>
          <w:sz w:val="22"/>
          <w:szCs w:val="22"/>
        </w:rPr>
        <w:t xml:space="preserve"> SDR </w:t>
      </w:r>
      <w:r w:rsidRPr="00E7197B" w:rsidR="3600686D">
        <w:rPr>
          <w:sz w:val="22"/>
          <w:szCs w:val="22"/>
        </w:rPr>
        <w:t>sampling design ha</w:t>
      </w:r>
      <w:r w:rsidRPr="00E7197B" w:rsidR="0639E59F">
        <w:rPr>
          <w:sz w:val="22"/>
          <w:szCs w:val="22"/>
        </w:rPr>
        <w:t xml:space="preserve">s </w:t>
      </w:r>
      <w:r w:rsidRPr="00E7197B" w:rsidR="592B0A16">
        <w:rPr>
          <w:sz w:val="22"/>
          <w:szCs w:val="22"/>
        </w:rPr>
        <w:t xml:space="preserve">the following </w:t>
      </w:r>
      <w:r w:rsidRPr="00E7197B" w:rsidR="62DDF45A">
        <w:rPr>
          <w:sz w:val="22"/>
          <w:szCs w:val="22"/>
        </w:rPr>
        <w:t>features</w:t>
      </w:r>
      <w:r w:rsidRPr="00E7197B" w:rsidR="592B0A16">
        <w:rPr>
          <w:sz w:val="22"/>
          <w:szCs w:val="22"/>
        </w:rPr>
        <w:t>:</w:t>
      </w:r>
      <w:r w:rsidRPr="00E7197B" w:rsidR="51F323AE">
        <w:rPr>
          <w:sz w:val="22"/>
          <w:szCs w:val="22"/>
        </w:rPr>
        <w:t xml:space="preserve"> </w:t>
      </w:r>
    </w:p>
    <w:p w:rsidR="00E20D77" w:rsidP="005F64C7" w14:paraId="10EC53B1" w14:textId="6FF1BCA1">
      <w:pPr>
        <w:pStyle w:val="ListParagraph"/>
        <w:numPr>
          <w:ilvl w:val="0"/>
          <w:numId w:val="16"/>
        </w:numPr>
      </w:pPr>
      <w:r>
        <w:t>T</w:t>
      </w:r>
      <w:r w:rsidR="3A763A9C">
        <w:t xml:space="preserve">he </w:t>
      </w:r>
      <w:r w:rsidR="00900885">
        <w:t>stratification</w:t>
      </w:r>
      <w:r w:rsidR="33450AE1">
        <w:t xml:space="preserve"> is made of </w:t>
      </w:r>
      <w:r w:rsidR="3A763A9C">
        <w:t>a set of 308 sampling strata defined by crossing 77 detailed fields of degree (DFOD) with gender (2 categories: male and female) and underrepresented minority (URM) status</w:t>
      </w:r>
      <w:r>
        <w:rPr>
          <w:rStyle w:val="FootnoteReference"/>
        </w:rPr>
        <w:footnoteReference w:id="3"/>
      </w:r>
      <w:r w:rsidR="3A763A9C">
        <w:t xml:space="preserve"> (2 categories: URM and non-URM). Th</w:t>
      </w:r>
      <w:r w:rsidR="00ED4CBB">
        <w:t>is</w:t>
      </w:r>
      <w:r w:rsidR="3A763A9C">
        <w:t xml:space="preserve"> stratification </w:t>
      </w:r>
      <w:r w:rsidR="00ED4CBB">
        <w:t>is</w:t>
      </w:r>
      <w:r w:rsidR="10290E96">
        <w:t xml:space="preserve"> </w:t>
      </w:r>
      <w:r w:rsidR="3A763A9C">
        <w:t xml:space="preserve">designed to produce </w:t>
      </w:r>
      <w:r w:rsidR="592B0A16">
        <w:t xml:space="preserve">sustainable and </w:t>
      </w:r>
      <w:r w:rsidR="3600686D">
        <w:t xml:space="preserve">reliable </w:t>
      </w:r>
      <w:r w:rsidR="3A763A9C">
        <w:t xml:space="preserve">estimates for population subgroups that can be supported by the sample </w:t>
      </w:r>
      <w:r w:rsidR="592B0A16">
        <w:t xml:space="preserve">size </w:t>
      </w:r>
      <w:r w:rsidR="3A763A9C">
        <w:t>and are aligned with the NCSES taxonomy of disciplines (TOD).</w:t>
      </w:r>
    </w:p>
    <w:p w:rsidR="00E20D77" w:rsidP="005F64C7" w14:paraId="3CA0A08F" w14:textId="6FE1DACD">
      <w:pPr>
        <w:pStyle w:val="ListParagraph"/>
        <w:numPr>
          <w:ilvl w:val="0"/>
          <w:numId w:val="16"/>
        </w:numPr>
      </w:pPr>
      <w:r>
        <w:t>E</w:t>
      </w:r>
      <w:r w:rsidR="3A763A9C">
        <w:t xml:space="preserve">stimation precision requirements </w:t>
      </w:r>
      <w:r w:rsidR="790525E9">
        <w:t xml:space="preserve">are </w:t>
      </w:r>
      <w:r w:rsidR="3A763A9C">
        <w:t>set for three levels of aggregation over the 308 sampling strata</w:t>
      </w:r>
      <w:r w:rsidR="7E87552E">
        <w:t>,</w:t>
      </w:r>
      <w:r w:rsidR="3D70E211">
        <w:t xml:space="preserve"> as </w:t>
      </w:r>
      <w:r w:rsidR="10290E96">
        <w:t>shown</w:t>
      </w:r>
      <w:r w:rsidR="3A763A9C">
        <w:t xml:space="preserve"> in Table 2. </w:t>
      </w:r>
    </w:p>
    <w:p w:rsidR="007936F2" w:rsidP="007936F2" w14:paraId="4340403A" w14:textId="77777777">
      <w:pPr>
        <w:rPr>
          <w:sz w:val="22"/>
          <w:szCs w:val="22"/>
        </w:rPr>
      </w:pPr>
    </w:p>
    <w:p w:rsidR="007936F2" w:rsidP="008F5AB9" w14:paraId="12ECD21B" w14:textId="2B5DE779">
      <w:pPr>
        <w:spacing w:after="120"/>
        <w:ind w:firstLine="720"/>
        <w:rPr>
          <w:b/>
          <w:bCs/>
          <w:sz w:val="22"/>
          <w:szCs w:val="22"/>
        </w:rPr>
      </w:pPr>
      <w:r w:rsidRPr="5AB30E5D">
        <w:rPr>
          <w:b/>
          <w:bCs/>
          <w:sz w:val="22"/>
          <w:szCs w:val="22"/>
        </w:rPr>
        <w:t xml:space="preserve">Table 2: The </w:t>
      </w:r>
      <w:r w:rsidRPr="5AB30E5D" w:rsidR="7EF131FA">
        <w:rPr>
          <w:b/>
          <w:bCs/>
          <w:sz w:val="22"/>
          <w:szCs w:val="22"/>
        </w:rPr>
        <w:t>202</w:t>
      </w:r>
      <w:r w:rsidRPr="5AB30E5D" w:rsidR="4FB3C9D6">
        <w:rPr>
          <w:b/>
          <w:bCs/>
          <w:sz w:val="22"/>
          <w:szCs w:val="22"/>
        </w:rPr>
        <w:t>3</w:t>
      </w:r>
      <w:r w:rsidRPr="5AB30E5D" w:rsidR="7EF131FA">
        <w:rPr>
          <w:b/>
          <w:bCs/>
          <w:sz w:val="22"/>
          <w:szCs w:val="22"/>
        </w:rPr>
        <w:t xml:space="preserve"> </w:t>
      </w:r>
      <w:r w:rsidRPr="5AB30E5D">
        <w:rPr>
          <w:b/>
          <w:bCs/>
          <w:sz w:val="22"/>
          <w:szCs w:val="22"/>
        </w:rPr>
        <w:t>SDR Overall Precision Requirements</w:t>
      </w:r>
    </w:p>
    <w:tbl>
      <w:tblPr>
        <w:tblStyle w:val="TableGrid"/>
        <w:tblW w:w="0" w:type="auto"/>
        <w:tblInd w:w="720" w:type="dxa"/>
        <w:tblLook w:val="04A0"/>
      </w:tblPr>
      <w:tblGrid>
        <w:gridCol w:w="1975"/>
        <w:gridCol w:w="2700"/>
        <w:gridCol w:w="3420"/>
      </w:tblGrid>
      <w:tr w14:paraId="014E01BC" w14:textId="77777777" w:rsidTr="002A76AD">
        <w:tblPrEx>
          <w:tblW w:w="0" w:type="auto"/>
          <w:tblInd w:w="720" w:type="dxa"/>
          <w:tblLook w:val="04A0"/>
        </w:tblPrEx>
        <w:trPr>
          <w:tblHeader/>
        </w:trPr>
        <w:tc>
          <w:tcPr>
            <w:tcW w:w="1975" w:type="dxa"/>
          </w:tcPr>
          <w:p w:rsidR="007936F2" w:rsidRPr="00FE50EA" w:rsidP="0069333B" w14:paraId="4ECC9851" w14:textId="77777777">
            <w:pPr>
              <w:rPr>
                <w:b/>
                <w:bCs/>
                <w:sz w:val="20"/>
                <w:szCs w:val="20"/>
              </w:rPr>
            </w:pPr>
            <w:r w:rsidRPr="00FE50EA">
              <w:rPr>
                <w:b/>
                <w:bCs/>
                <w:sz w:val="20"/>
                <w:szCs w:val="20"/>
              </w:rPr>
              <w:t>Domain</w:t>
            </w:r>
          </w:p>
        </w:tc>
        <w:tc>
          <w:tcPr>
            <w:tcW w:w="2700" w:type="dxa"/>
          </w:tcPr>
          <w:p w:rsidR="007936F2" w:rsidRPr="00FE50EA" w:rsidP="0069333B" w14:paraId="19FC4D9F" w14:textId="77777777">
            <w:pPr>
              <w:jc w:val="center"/>
              <w:rPr>
                <w:b/>
                <w:bCs/>
                <w:sz w:val="20"/>
                <w:szCs w:val="20"/>
              </w:rPr>
            </w:pPr>
            <w:r w:rsidRPr="00FE50EA">
              <w:rPr>
                <w:b/>
                <w:bCs/>
                <w:sz w:val="20"/>
                <w:szCs w:val="20"/>
              </w:rPr>
              <w:t>Margin of Error</w:t>
            </w:r>
          </w:p>
        </w:tc>
        <w:tc>
          <w:tcPr>
            <w:tcW w:w="3420" w:type="dxa"/>
          </w:tcPr>
          <w:p w:rsidR="007936F2" w:rsidRPr="00FE50EA" w:rsidP="0069333B" w14:paraId="7F3A7957" w14:textId="77777777">
            <w:pPr>
              <w:jc w:val="center"/>
              <w:rPr>
                <w:b/>
                <w:bCs/>
                <w:sz w:val="20"/>
                <w:szCs w:val="20"/>
              </w:rPr>
            </w:pPr>
            <w:r w:rsidRPr="00FE50EA">
              <w:rPr>
                <w:b/>
                <w:bCs/>
                <w:sz w:val="20"/>
                <w:szCs w:val="20"/>
              </w:rPr>
              <w:t>Minimum Number of Completes</w:t>
            </w:r>
          </w:p>
        </w:tc>
      </w:tr>
      <w:tr w14:paraId="46B94AAD" w14:textId="77777777" w:rsidTr="00FE50EA">
        <w:tblPrEx>
          <w:tblW w:w="0" w:type="auto"/>
          <w:tblInd w:w="720" w:type="dxa"/>
          <w:tblLook w:val="04A0"/>
        </w:tblPrEx>
        <w:tc>
          <w:tcPr>
            <w:tcW w:w="1975" w:type="dxa"/>
          </w:tcPr>
          <w:p w:rsidR="007936F2" w:rsidRPr="00FE50EA" w:rsidP="0069333B" w14:paraId="28A537FB" w14:textId="77777777">
            <w:pPr>
              <w:rPr>
                <w:sz w:val="20"/>
                <w:szCs w:val="20"/>
              </w:rPr>
            </w:pPr>
            <w:r w:rsidRPr="00FE50EA">
              <w:rPr>
                <w:sz w:val="20"/>
                <w:szCs w:val="20"/>
              </w:rPr>
              <w:t>DFOD</w:t>
            </w:r>
          </w:p>
        </w:tc>
        <w:tc>
          <w:tcPr>
            <w:tcW w:w="2700" w:type="dxa"/>
          </w:tcPr>
          <w:p w:rsidR="007936F2" w:rsidRPr="00FE50EA" w:rsidP="0069333B" w14:paraId="656151E1" w14:textId="77777777">
            <w:pPr>
              <w:jc w:val="center"/>
              <w:rPr>
                <w:sz w:val="20"/>
                <w:szCs w:val="20"/>
              </w:rPr>
            </w:pPr>
            <w:r w:rsidRPr="00FE50EA">
              <w:rPr>
                <w:sz w:val="20"/>
                <w:szCs w:val="20"/>
              </w:rPr>
              <w:t>5%</w:t>
            </w:r>
          </w:p>
        </w:tc>
        <w:tc>
          <w:tcPr>
            <w:tcW w:w="3420" w:type="dxa"/>
          </w:tcPr>
          <w:p w:rsidR="007936F2" w:rsidRPr="00FE50EA" w:rsidP="0069333B" w14:paraId="618F04D5" w14:textId="77777777">
            <w:pPr>
              <w:jc w:val="center"/>
              <w:rPr>
                <w:sz w:val="20"/>
                <w:szCs w:val="20"/>
              </w:rPr>
            </w:pPr>
            <w:r w:rsidRPr="00FE50EA">
              <w:rPr>
                <w:sz w:val="20"/>
                <w:szCs w:val="20"/>
              </w:rPr>
              <w:t>270</w:t>
            </w:r>
          </w:p>
        </w:tc>
      </w:tr>
      <w:tr w14:paraId="6EF59264" w14:textId="77777777" w:rsidTr="00FE50EA">
        <w:tblPrEx>
          <w:tblW w:w="0" w:type="auto"/>
          <w:tblInd w:w="720" w:type="dxa"/>
          <w:tblLook w:val="04A0"/>
        </w:tblPrEx>
        <w:tc>
          <w:tcPr>
            <w:tcW w:w="1975" w:type="dxa"/>
          </w:tcPr>
          <w:p w:rsidR="007936F2" w:rsidRPr="00FE50EA" w:rsidP="0069333B" w14:paraId="4D72ACE2" w14:textId="4072751D">
            <w:pPr>
              <w:rPr>
                <w:sz w:val="20"/>
                <w:szCs w:val="20"/>
              </w:rPr>
            </w:pPr>
            <w:r w:rsidRPr="00FE50EA">
              <w:rPr>
                <w:sz w:val="20"/>
                <w:szCs w:val="20"/>
              </w:rPr>
              <w:t xml:space="preserve">DFOD x </w:t>
            </w:r>
            <w:r w:rsidR="00740126">
              <w:rPr>
                <w:sz w:val="20"/>
                <w:szCs w:val="20"/>
              </w:rPr>
              <w:t>GENDER</w:t>
            </w:r>
          </w:p>
        </w:tc>
        <w:tc>
          <w:tcPr>
            <w:tcW w:w="2700" w:type="dxa"/>
          </w:tcPr>
          <w:p w:rsidR="007936F2" w:rsidRPr="00FE50EA" w:rsidP="0069333B" w14:paraId="435F325E" w14:textId="77777777">
            <w:pPr>
              <w:jc w:val="center"/>
              <w:rPr>
                <w:sz w:val="20"/>
                <w:szCs w:val="20"/>
              </w:rPr>
            </w:pPr>
            <w:r w:rsidRPr="00FE50EA">
              <w:rPr>
                <w:sz w:val="20"/>
                <w:szCs w:val="20"/>
              </w:rPr>
              <w:t>6%</w:t>
            </w:r>
          </w:p>
        </w:tc>
        <w:tc>
          <w:tcPr>
            <w:tcW w:w="3420" w:type="dxa"/>
          </w:tcPr>
          <w:p w:rsidR="007936F2" w:rsidRPr="00FE50EA" w:rsidP="0069333B" w14:paraId="361C18F0" w14:textId="77777777">
            <w:pPr>
              <w:jc w:val="center"/>
              <w:rPr>
                <w:sz w:val="20"/>
                <w:szCs w:val="20"/>
              </w:rPr>
            </w:pPr>
            <w:r w:rsidRPr="00FE50EA">
              <w:rPr>
                <w:sz w:val="20"/>
                <w:szCs w:val="20"/>
              </w:rPr>
              <w:t>190</w:t>
            </w:r>
          </w:p>
        </w:tc>
      </w:tr>
      <w:tr w14:paraId="781A9193" w14:textId="77777777" w:rsidTr="00FE50EA">
        <w:tblPrEx>
          <w:tblW w:w="0" w:type="auto"/>
          <w:tblInd w:w="720" w:type="dxa"/>
          <w:tblLook w:val="04A0"/>
        </w:tblPrEx>
        <w:tc>
          <w:tcPr>
            <w:tcW w:w="1975" w:type="dxa"/>
          </w:tcPr>
          <w:p w:rsidR="007936F2" w:rsidRPr="00FE50EA" w:rsidP="0069333B" w14:paraId="5DFDF30C" w14:textId="77777777">
            <w:pPr>
              <w:rPr>
                <w:sz w:val="20"/>
                <w:szCs w:val="20"/>
              </w:rPr>
            </w:pPr>
            <w:r w:rsidRPr="00FE50EA">
              <w:rPr>
                <w:sz w:val="20"/>
                <w:szCs w:val="20"/>
              </w:rPr>
              <w:t>DFOD x URM</w:t>
            </w:r>
          </w:p>
        </w:tc>
        <w:tc>
          <w:tcPr>
            <w:tcW w:w="2700" w:type="dxa"/>
          </w:tcPr>
          <w:p w:rsidR="007936F2" w:rsidRPr="00FE50EA" w:rsidP="0069333B" w14:paraId="726202C6" w14:textId="77777777">
            <w:pPr>
              <w:jc w:val="center"/>
              <w:rPr>
                <w:sz w:val="20"/>
                <w:szCs w:val="20"/>
              </w:rPr>
            </w:pPr>
            <w:r w:rsidRPr="00FE50EA">
              <w:rPr>
                <w:sz w:val="20"/>
                <w:szCs w:val="20"/>
              </w:rPr>
              <w:t>7%</w:t>
            </w:r>
          </w:p>
        </w:tc>
        <w:tc>
          <w:tcPr>
            <w:tcW w:w="3420" w:type="dxa"/>
          </w:tcPr>
          <w:p w:rsidR="007936F2" w:rsidRPr="00FE50EA" w:rsidP="0069333B" w14:paraId="351169F4" w14:textId="77777777">
            <w:pPr>
              <w:jc w:val="center"/>
              <w:rPr>
                <w:sz w:val="20"/>
                <w:szCs w:val="20"/>
              </w:rPr>
            </w:pPr>
            <w:r w:rsidRPr="00FE50EA">
              <w:rPr>
                <w:sz w:val="20"/>
                <w:szCs w:val="20"/>
              </w:rPr>
              <w:t>135</w:t>
            </w:r>
          </w:p>
        </w:tc>
      </w:tr>
    </w:tbl>
    <w:p w:rsidR="00E325F4" w:rsidP="007936F2" w14:paraId="6BCF9075" w14:textId="77777777">
      <w:pPr>
        <w:rPr>
          <w:sz w:val="22"/>
          <w:szCs w:val="22"/>
        </w:rPr>
      </w:pPr>
    </w:p>
    <w:p w:rsidR="007936F2" w:rsidP="00954D55" w14:paraId="2E4FAFBC" w14:textId="201D81BC">
      <w:pPr>
        <w:ind w:left="720"/>
        <w:rPr>
          <w:sz w:val="22"/>
          <w:szCs w:val="22"/>
        </w:rPr>
      </w:pPr>
      <w:r w:rsidRPr="001D5E50">
        <w:rPr>
          <w:sz w:val="22"/>
          <w:szCs w:val="22"/>
        </w:rPr>
        <w:t xml:space="preserve">In Table 2, the margin of error </w:t>
      </w:r>
      <w:r w:rsidR="006314FE">
        <w:rPr>
          <w:sz w:val="22"/>
          <w:szCs w:val="22"/>
        </w:rPr>
        <w:t xml:space="preserve">in the first column </w:t>
      </w:r>
      <w:r w:rsidRPr="001D5E50">
        <w:rPr>
          <w:sz w:val="22"/>
          <w:szCs w:val="22"/>
        </w:rPr>
        <w:t xml:space="preserve">is two times the standard error associated with estimating a population proportion of 50% at the 90% confidence level. The </w:t>
      </w:r>
      <w:r w:rsidR="008C7D0F">
        <w:rPr>
          <w:sz w:val="22"/>
          <w:szCs w:val="22"/>
        </w:rPr>
        <w:t xml:space="preserve">second </w:t>
      </w:r>
      <w:r w:rsidRPr="001D5E50">
        <w:rPr>
          <w:sz w:val="22"/>
          <w:szCs w:val="22"/>
        </w:rPr>
        <w:t xml:space="preserve">column shows the required </w:t>
      </w:r>
      <w:r w:rsidR="006314FE">
        <w:rPr>
          <w:sz w:val="22"/>
          <w:szCs w:val="22"/>
        </w:rPr>
        <w:t xml:space="preserve">minimum </w:t>
      </w:r>
      <w:r w:rsidRPr="001D5E50">
        <w:rPr>
          <w:sz w:val="22"/>
          <w:szCs w:val="22"/>
        </w:rPr>
        <w:t>number of complete</w:t>
      </w:r>
      <w:r w:rsidR="00E325F4">
        <w:rPr>
          <w:sz w:val="22"/>
          <w:szCs w:val="22"/>
        </w:rPr>
        <w:t>d</w:t>
      </w:r>
      <w:r w:rsidRPr="001D5E50">
        <w:rPr>
          <w:sz w:val="22"/>
          <w:szCs w:val="22"/>
        </w:rPr>
        <w:t xml:space="preserve"> surveys to achieve the precision requirement per domain.</w:t>
      </w:r>
      <w:r w:rsidR="006314FE">
        <w:rPr>
          <w:sz w:val="22"/>
          <w:szCs w:val="22"/>
        </w:rPr>
        <w:t xml:space="preserve"> Based on these constraints, minimum sample sizes for each sampling strata could be determined</w:t>
      </w:r>
      <w:r w:rsidR="00A37B5C">
        <w:rPr>
          <w:sz w:val="22"/>
          <w:szCs w:val="22"/>
        </w:rPr>
        <w:t>.</w:t>
      </w:r>
      <w:r w:rsidR="008C7D0F">
        <w:rPr>
          <w:sz w:val="22"/>
          <w:szCs w:val="22"/>
        </w:rPr>
        <w:t xml:space="preserve"> Finally, the allocation was performed by finding an allocation that is as close as possible to the proportional allocation, subject to the minimum sample size constraints</w:t>
      </w:r>
      <w:r w:rsidRPr="001D5E50" w:rsidR="008C7D0F">
        <w:rPr>
          <w:sz w:val="22"/>
          <w:szCs w:val="22"/>
        </w:rPr>
        <w:t>.</w:t>
      </w:r>
    </w:p>
    <w:p w:rsidR="00954D55" w:rsidRPr="00E1581A" w:rsidP="5AB30E5D" w14:paraId="6A8E6C0C" w14:textId="1564BFAA">
      <w:pPr>
        <w:pStyle w:val="ListParagraph"/>
        <w:numPr>
          <w:ilvl w:val="0"/>
          <w:numId w:val="17"/>
        </w:numPr>
      </w:pPr>
      <w:r>
        <w:t xml:space="preserve">The third </w:t>
      </w:r>
      <w:r w:rsidR="5657CA9D">
        <w:t xml:space="preserve">feature </w:t>
      </w:r>
      <w:r w:rsidR="5140C892">
        <w:t>was</w:t>
      </w:r>
      <w:r>
        <w:t xml:space="preserve"> to </w:t>
      </w:r>
      <w:r w:rsidR="2C568883">
        <w:t xml:space="preserve">drop chronic nonrespondents from the sample. </w:t>
      </w:r>
      <w:r w:rsidR="00E253E0">
        <w:t>C</w:t>
      </w:r>
      <w:r w:rsidRPr="5AB30E5D" w:rsidR="2F564001">
        <w:t>ases which were part of the 2015 supplemental sample that were nonrespondents in the 2019 and 2021 cycles were dropped for the 2023 SDR (5,321 cases) and cases from the 2017 new cohort which were nonrespondents in the 2017, 2019, and 2021 cycles (1,363 cases) were dropped for the 2023 SDR cycle.</w:t>
      </w:r>
    </w:p>
    <w:p w:rsidR="00954D55" w:rsidRPr="00D22F67" w:rsidP="007936F2" w14:paraId="6CB99113" w14:textId="77777777">
      <w:pPr>
        <w:rPr>
          <w:sz w:val="22"/>
          <w:szCs w:val="22"/>
        </w:rPr>
      </w:pPr>
    </w:p>
    <w:p w:rsidR="00BA2C40" w:rsidP="5AB30E5D" w14:paraId="15328CC8" w14:textId="31EFC20D">
      <w:pPr>
        <w:rPr>
          <w:rStyle w:val="MemoBody"/>
          <w:sz w:val="22"/>
          <w:szCs w:val="22"/>
        </w:rPr>
      </w:pPr>
      <w:r w:rsidRPr="3645D7ED">
        <w:rPr>
          <w:sz w:val="22"/>
          <w:szCs w:val="22"/>
        </w:rPr>
        <w:t>In addition, the 202</w:t>
      </w:r>
      <w:r w:rsidRPr="3645D7ED" w:rsidR="26CC17EF">
        <w:rPr>
          <w:sz w:val="22"/>
          <w:szCs w:val="22"/>
        </w:rPr>
        <w:t>3</w:t>
      </w:r>
      <w:r w:rsidRPr="3645D7ED">
        <w:rPr>
          <w:sz w:val="22"/>
          <w:szCs w:val="22"/>
        </w:rPr>
        <w:t xml:space="preserve"> </w:t>
      </w:r>
      <w:r w:rsidRPr="3645D7ED" w:rsidR="22ABC935">
        <w:rPr>
          <w:sz w:val="22"/>
          <w:szCs w:val="22"/>
        </w:rPr>
        <w:t>sample</w:t>
      </w:r>
      <w:r w:rsidRPr="3645D7ED">
        <w:rPr>
          <w:sz w:val="22"/>
          <w:szCs w:val="22"/>
        </w:rPr>
        <w:t xml:space="preserve"> includes</w:t>
      </w:r>
      <w:r w:rsidRPr="3645D7ED" w:rsidR="22ABC935">
        <w:rPr>
          <w:sz w:val="22"/>
          <w:szCs w:val="22"/>
        </w:rPr>
        <w:t xml:space="preserve"> 10,00</w:t>
      </w:r>
      <w:r w:rsidRPr="3645D7ED" w:rsidR="717F3703">
        <w:rPr>
          <w:sz w:val="22"/>
          <w:szCs w:val="22"/>
        </w:rPr>
        <w:t>0</w:t>
      </w:r>
      <w:r w:rsidRPr="3645D7ED" w:rsidR="22ABC935">
        <w:rPr>
          <w:sz w:val="22"/>
          <w:szCs w:val="22"/>
        </w:rPr>
        <w:t xml:space="preserve"> individuals </w:t>
      </w:r>
      <w:r w:rsidRPr="3645D7ED">
        <w:rPr>
          <w:sz w:val="22"/>
          <w:szCs w:val="22"/>
        </w:rPr>
        <w:t xml:space="preserve">sampled from among those </w:t>
      </w:r>
      <w:r w:rsidRPr="3645D7ED" w:rsidR="22ABC935">
        <w:rPr>
          <w:sz w:val="22"/>
          <w:szCs w:val="22"/>
        </w:rPr>
        <w:t xml:space="preserve">who obtained their </w:t>
      </w:r>
      <w:r w:rsidRPr="3645D7ED">
        <w:rPr>
          <w:sz w:val="22"/>
          <w:szCs w:val="22"/>
        </w:rPr>
        <w:t xml:space="preserve">SEH </w:t>
      </w:r>
      <w:r w:rsidRPr="3645D7ED" w:rsidR="22ABC935">
        <w:rPr>
          <w:sz w:val="22"/>
          <w:szCs w:val="22"/>
        </w:rPr>
        <w:t>doctorate degree since the 20</w:t>
      </w:r>
      <w:r w:rsidRPr="3645D7ED" w:rsidR="26CC17EF">
        <w:rPr>
          <w:sz w:val="22"/>
          <w:szCs w:val="22"/>
        </w:rPr>
        <w:t>21</w:t>
      </w:r>
      <w:r w:rsidRPr="3645D7ED" w:rsidR="22ABC935">
        <w:rPr>
          <w:sz w:val="22"/>
          <w:szCs w:val="22"/>
        </w:rPr>
        <w:t xml:space="preserve"> SDR sample selection. This sample, referred to as the 202</w:t>
      </w:r>
      <w:r w:rsidRPr="3645D7ED" w:rsidR="0D231AE4">
        <w:rPr>
          <w:sz w:val="22"/>
          <w:szCs w:val="22"/>
        </w:rPr>
        <w:t>3</w:t>
      </w:r>
      <w:r w:rsidRPr="3645D7ED" w:rsidR="22ABC935">
        <w:rPr>
          <w:sz w:val="22"/>
          <w:szCs w:val="22"/>
        </w:rPr>
        <w:t xml:space="preserve"> “new cohort” sample, follows the same stratification </w:t>
      </w:r>
      <w:r w:rsidRPr="3645D7ED" w:rsidR="3AD2A792">
        <w:rPr>
          <w:sz w:val="22"/>
          <w:szCs w:val="22"/>
        </w:rPr>
        <w:t>design</w:t>
      </w:r>
      <w:r w:rsidRPr="3645D7ED" w:rsidR="7E1A512F">
        <w:rPr>
          <w:sz w:val="22"/>
          <w:szCs w:val="22"/>
        </w:rPr>
        <w:t xml:space="preserve"> as the </w:t>
      </w:r>
      <w:r w:rsidRPr="3645D7ED" w:rsidR="61D83DC2">
        <w:rPr>
          <w:sz w:val="22"/>
          <w:szCs w:val="22"/>
        </w:rPr>
        <w:t xml:space="preserve">continuing </w:t>
      </w:r>
      <w:r w:rsidRPr="3645D7ED" w:rsidR="7E1A512F">
        <w:rPr>
          <w:sz w:val="22"/>
          <w:szCs w:val="22"/>
        </w:rPr>
        <w:t>sample cohort.</w:t>
      </w:r>
      <w:r w:rsidRPr="3645D7ED" w:rsidR="26B0E8AE">
        <w:rPr>
          <w:sz w:val="22"/>
          <w:szCs w:val="22"/>
        </w:rPr>
        <w:t xml:space="preserve"> </w:t>
      </w:r>
      <w:r w:rsidR="00266AAD">
        <w:rPr>
          <w:sz w:val="22"/>
          <w:szCs w:val="22"/>
        </w:rPr>
        <w:t>Similar to the change made to the URM stratification variable in the continuing sample cohort, the new cohort sample also will use a changed URM stratification variable definition t</w:t>
      </w:r>
      <w:r w:rsidRPr="3645D7ED" w:rsidR="724F8F28">
        <w:rPr>
          <w:sz w:val="22"/>
          <w:szCs w:val="22"/>
        </w:rPr>
        <w:t>o</w:t>
      </w:r>
      <w:r w:rsidRPr="3645D7ED" w:rsidR="4C91616D">
        <w:rPr>
          <w:sz w:val="22"/>
          <w:szCs w:val="22"/>
        </w:rPr>
        <w:t xml:space="preserve"> be</w:t>
      </w:r>
      <w:r w:rsidRPr="3645D7ED" w:rsidR="1C352E20">
        <w:rPr>
          <w:sz w:val="22"/>
          <w:szCs w:val="22"/>
        </w:rPr>
        <w:t>t</w:t>
      </w:r>
      <w:r w:rsidRPr="3645D7ED" w:rsidR="4C91616D">
        <w:rPr>
          <w:sz w:val="22"/>
          <w:szCs w:val="22"/>
        </w:rPr>
        <w:t>ter</w:t>
      </w:r>
      <w:r w:rsidRPr="3645D7ED" w:rsidR="724F8F28">
        <w:rPr>
          <w:sz w:val="22"/>
          <w:szCs w:val="22"/>
        </w:rPr>
        <w:t xml:space="preserve"> align </w:t>
      </w:r>
      <w:r w:rsidR="00266AAD">
        <w:rPr>
          <w:sz w:val="22"/>
          <w:szCs w:val="22"/>
        </w:rPr>
        <w:t xml:space="preserve">the SDR </w:t>
      </w:r>
      <w:r w:rsidRPr="3645D7ED" w:rsidR="724F8F28">
        <w:rPr>
          <w:sz w:val="22"/>
          <w:szCs w:val="22"/>
        </w:rPr>
        <w:t xml:space="preserve">oversampling of URM with </w:t>
      </w:r>
      <w:r w:rsidRPr="3645D7ED" w:rsidR="12EFE9A6">
        <w:rPr>
          <w:sz w:val="22"/>
          <w:szCs w:val="22"/>
        </w:rPr>
        <w:t xml:space="preserve">the URM definition </w:t>
      </w:r>
      <w:r w:rsidRPr="3645D7ED" w:rsidR="55A1BD17">
        <w:rPr>
          <w:sz w:val="22"/>
          <w:szCs w:val="22"/>
        </w:rPr>
        <w:t xml:space="preserve">used in </w:t>
      </w:r>
      <w:r w:rsidRPr="3645D7ED" w:rsidR="724F8F28">
        <w:rPr>
          <w:sz w:val="22"/>
          <w:szCs w:val="22"/>
        </w:rPr>
        <w:t>NCSES</w:t>
      </w:r>
      <w:r w:rsidRPr="3645D7ED" w:rsidR="006BFF5C">
        <w:rPr>
          <w:sz w:val="22"/>
          <w:szCs w:val="22"/>
        </w:rPr>
        <w:t xml:space="preserve"> publications </w:t>
      </w:r>
      <w:r w:rsidRPr="3645D7ED" w:rsidR="777BC1E5">
        <w:rPr>
          <w:sz w:val="22"/>
          <w:szCs w:val="22"/>
        </w:rPr>
        <w:t xml:space="preserve">such as the </w:t>
      </w:r>
      <w:r w:rsidRPr="00BD3F9F" w:rsidR="777BC1E5">
        <w:rPr>
          <w:i/>
          <w:iCs/>
          <w:sz w:val="22"/>
          <w:szCs w:val="22"/>
        </w:rPr>
        <w:t xml:space="preserve">Diversity </w:t>
      </w:r>
      <w:r w:rsidR="00663A5F">
        <w:rPr>
          <w:i/>
          <w:iCs/>
          <w:sz w:val="22"/>
          <w:szCs w:val="22"/>
        </w:rPr>
        <w:t>and</w:t>
      </w:r>
      <w:r w:rsidRPr="00BD3F9F" w:rsidR="777BC1E5">
        <w:rPr>
          <w:i/>
          <w:iCs/>
          <w:sz w:val="22"/>
          <w:szCs w:val="22"/>
        </w:rPr>
        <w:t xml:space="preserve"> STEM;</w:t>
      </w:r>
      <w:r w:rsidRPr="00BD3F9F" w:rsidR="00E5541F">
        <w:rPr>
          <w:i/>
          <w:iCs/>
          <w:sz w:val="22"/>
          <w:szCs w:val="22"/>
        </w:rPr>
        <w:t xml:space="preserve"> </w:t>
      </w:r>
      <w:r w:rsidRPr="00BD3F9F" w:rsidR="777BC1E5">
        <w:rPr>
          <w:i/>
          <w:iCs/>
          <w:sz w:val="22"/>
          <w:szCs w:val="22"/>
        </w:rPr>
        <w:t>Women, Minorities, and</w:t>
      </w:r>
      <w:r w:rsidRPr="00BD3F9F" w:rsidR="6DE5787E">
        <w:rPr>
          <w:i/>
          <w:iCs/>
          <w:sz w:val="22"/>
          <w:szCs w:val="22"/>
        </w:rPr>
        <w:t xml:space="preserve"> People with Disabilities </w:t>
      </w:r>
      <w:r w:rsidR="00663A5F">
        <w:rPr>
          <w:sz w:val="22"/>
          <w:szCs w:val="22"/>
        </w:rPr>
        <w:t>r</w:t>
      </w:r>
      <w:r w:rsidRPr="3645D7ED" w:rsidR="6DE5787E">
        <w:rPr>
          <w:sz w:val="22"/>
          <w:szCs w:val="22"/>
        </w:rPr>
        <w:t>eport</w:t>
      </w:r>
      <w:r w:rsidR="00266AAD">
        <w:rPr>
          <w:sz w:val="22"/>
          <w:szCs w:val="22"/>
        </w:rPr>
        <w:t>.</w:t>
      </w:r>
      <w:r>
        <w:rPr>
          <w:rStyle w:val="FootnoteReference"/>
          <w:sz w:val="22"/>
          <w:szCs w:val="22"/>
        </w:rPr>
        <w:footnoteReference w:id="4"/>
      </w:r>
      <w:r w:rsidRPr="3645D7ED" w:rsidR="261F9B8D">
        <w:rPr>
          <w:sz w:val="22"/>
          <w:szCs w:val="22"/>
        </w:rPr>
        <w:t xml:space="preserve"> </w:t>
      </w:r>
      <w:r w:rsidR="00266AAD">
        <w:rPr>
          <w:sz w:val="22"/>
          <w:szCs w:val="22"/>
        </w:rPr>
        <w:t>In the 2023 SDR stratification, n</w:t>
      </w:r>
      <w:r w:rsidRPr="3645D7ED" w:rsidR="45FA036E">
        <w:rPr>
          <w:sz w:val="22"/>
          <w:szCs w:val="22"/>
        </w:rPr>
        <w:t>on-Hispanic multi-race</w:t>
      </w:r>
      <w:r w:rsidRPr="3645D7ED" w:rsidR="224EB298">
        <w:rPr>
          <w:sz w:val="22"/>
          <w:szCs w:val="22"/>
        </w:rPr>
        <w:t xml:space="preserve"> </w:t>
      </w:r>
      <w:r w:rsidRPr="3645D7ED" w:rsidR="36C5D592">
        <w:rPr>
          <w:sz w:val="22"/>
          <w:szCs w:val="22"/>
        </w:rPr>
        <w:t>is</w:t>
      </w:r>
      <w:r w:rsidRPr="3645D7ED" w:rsidR="224EB298">
        <w:rPr>
          <w:sz w:val="22"/>
          <w:szCs w:val="22"/>
        </w:rPr>
        <w:t xml:space="preserve"> removed </w:t>
      </w:r>
      <w:r w:rsidRPr="3645D7ED" w:rsidR="35002025">
        <w:rPr>
          <w:sz w:val="22"/>
          <w:szCs w:val="22"/>
        </w:rPr>
        <w:t>from</w:t>
      </w:r>
      <w:r w:rsidRPr="3645D7ED" w:rsidR="224EB298">
        <w:rPr>
          <w:sz w:val="22"/>
          <w:szCs w:val="22"/>
        </w:rPr>
        <w:t xml:space="preserve"> the </w:t>
      </w:r>
      <w:r w:rsidRPr="3645D7ED" w:rsidR="4A4D286D">
        <w:rPr>
          <w:sz w:val="22"/>
          <w:szCs w:val="22"/>
        </w:rPr>
        <w:t>URM group and assigned to non-URM group</w:t>
      </w:r>
      <w:r w:rsidRPr="3645D7ED" w:rsidR="2C9B8686">
        <w:rPr>
          <w:sz w:val="22"/>
          <w:szCs w:val="22"/>
        </w:rPr>
        <w:t>.</w:t>
      </w:r>
      <w:r w:rsidRPr="3645D7ED" w:rsidR="68DB3384">
        <w:rPr>
          <w:sz w:val="22"/>
          <w:szCs w:val="22"/>
        </w:rPr>
        <w:t xml:space="preserve"> </w:t>
      </w:r>
      <w:r w:rsidRPr="3645D7ED" w:rsidR="02C1672C">
        <w:rPr>
          <w:sz w:val="22"/>
          <w:szCs w:val="22"/>
        </w:rPr>
        <w:t xml:space="preserve">It is projected that </w:t>
      </w:r>
      <w:r w:rsidRPr="3645D7ED" w:rsidR="00266AAD">
        <w:rPr>
          <w:sz w:val="22"/>
          <w:szCs w:val="22"/>
        </w:rPr>
        <w:t xml:space="preserve">this change in the URM definition </w:t>
      </w:r>
      <w:r w:rsidR="00D93633">
        <w:rPr>
          <w:sz w:val="22"/>
          <w:szCs w:val="22"/>
        </w:rPr>
        <w:t xml:space="preserve">will increase </w:t>
      </w:r>
      <w:r w:rsidRPr="3645D7ED" w:rsidR="02C1672C">
        <w:rPr>
          <w:sz w:val="22"/>
          <w:szCs w:val="22"/>
        </w:rPr>
        <w:t xml:space="preserve">the number of Hispanic and </w:t>
      </w:r>
      <w:r w:rsidRPr="3645D7ED" w:rsidR="4FAC8695">
        <w:rPr>
          <w:sz w:val="22"/>
          <w:szCs w:val="22"/>
        </w:rPr>
        <w:t>n</w:t>
      </w:r>
      <w:r w:rsidRPr="3645D7ED" w:rsidR="02C1672C">
        <w:rPr>
          <w:sz w:val="22"/>
          <w:szCs w:val="22"/>
        </w:rPr>
        <w:t>on-Hispanic single race URM f</w:t>
      </w:r>
      <w:r w:rsidRPr="3645D7ED" w:rsidR="0D30DD30">
        <w:rPr>
          <w:sz w:val="22"/>
          <w:szCs w:val="22"/>
        </w:rPr>
        <w:t>rom</w:t>
      </w:r>
      <w:r w:rsidRPr="3645D7ED" w:rsidR="02C1672C">
        <w:rPr>
          <w:sz w:val="22"/>
          <w:szCs w:val="22"/>
        </w:rPr>
        <w:t xml:space="preserve"> 2,097 to 2,265. </w:t>
      </w:r>
      <w:r w:rsidRPr="3645D7ED" w:rsidR="2C9B8686">
        <w:rPr>
          <w:sz w:val="22"/>
          <w:szCs w:val="22"/>
        </w:rPr>
        <w:t>W</w:t>
      </w:r>
      <w:r w:rsidRPr="3645D7ED" w:rsidR="22ABC935">
        <w:rPr>
          <w:sz w:val="22"/>
          <w:szCs w:val="22"/>
        </w:rPr>
        <w:t>hen drawing the new cohort sample</w:t>
      </w:r>
      <w:r w:rsidRPr="3645D7ED" w:rsidR="0305422D">
        <w:rPr>
          <w:sz w:val="22"/>
          <w:szCs w:val="22"/>
        </w:rPr>
        <w:t>,</w:t>
      </w:r>
      <w:r w:rsidRPr="3645D7ED" w:rsidR="22ABC935">
        <w:rPr>
          <w:sz w:val="22"/>
          <w:szCs w:val="22"/>
        </w:rPr>
        <w:t xml:space="preserve"> </w:t>
      </w:r>
      <w:r w:rsidRPr="3645D7ED" w:rsidR="3FCCBEED">
        <w:rPr>
          <w:sz w:val="22"/>
          <w:szCs w:val="22"/>
        </w:rPr>
        <w:t xml:space="preserve">variables such as race/ethnicity categories, citizenship at birth, predicted resident location, disability </w:t>
      </w:r>
      <w:r w:rsidRPr="3645D7ED" w:rsidR="0305422D">
        <w:rPr>
          <w:sz w:val="22"/>
          <w:szCs w:val="22"/>
        </w:rPr>
        <w:t>status</w:t>
      </w:r>
      <w:r w:rsidRPr="3645D7ED" w:rsidR="3FCCBEED">
        <w:rPr>
          <w:sz w:val="22"/>
          <w:szCs w:val="22"/>
        </w:rPr>
        <w:t>, age</w:t>
      </w:r>
      <w:r w:rsidRPr="3645D7ED" w:rsidR="0305422D">
        <w:rPr>
          <w:sz w:val="22"/>
          <w:szCs w:val="22"/>
        </w:rPr>
        <w:t xml:space="preserve"> group</w:t>
      </w:r>
      <w:r w:rsidRPr="3645D7ED" w:rsidR="3FCCBEED">
        <w:rPr>
          <w:sz w:val="22"/>
          <w:szCs w:val="22"/>
        </w:rPr>
        <w:t xml:space="preserve">, and doctorate award year, are used as sorting variables within each stratum to improve their representation in the sample. The new cohort sample </w:t>
      </w:r>
      <w:r w:rsidRPr="3645D7ED" w:rsidR="1F6573AE">
        <w:rPr>
          <w:sz w:val="22"/>
          <w:szCs w:val="22"/>
        </w:rPr>
        <w:t>is then drawn</w:t>
      </w:r>
      <w:r w:rsidRPr="3645D7ED" w:rsidR="3FCCBEED">
        <w:rPr>
          <w:sz w:val="22"/>
          <w:szCs w:val="22"/>
        </w:rPr>
        <w:t xml:space="preserve"> systematically with equal probability within each stratum</w:t>
      </w:r>
      <w:r w:rsidRPr="3645D7ED" w:rsidR="38ECED26">
        <w:rPr>
          <w:sz w:val="22"/>
          <w:szCs w:val="22"/>
        </w:rPr>
        <w:t xml:space="preserve"> (</w:t>
      </w:r>
      <w:r w:rsidRPr="3645D7ED" w:rsidR="16AABF0D">
        <w:rPr>
          <w:sz w:val="22"/>
          <w:szCs w:val="22"/>
        </w:rPr>
        <w:t>s</w:t>
      </w:r>
      <w:r w:rsidRPr="3645D7ED" w:rsidR="38ECED26">
        <w:rPr>
          <w:sz w:val="22"/>
          <w:szCs w:val="22"/>
        </w:rPr>
        <w:t xml:space="preserve">ee </w:t>
      </w:r>
      <w:r w:rsidRPr="3645D7ED" w:rsidR="16AABF0D">
        <w:rPr>
          <w:sz w:val="22"/>
          <w:szCs w:val="22"/>
        </w:rPr>
        <w:t>A</w:t>
      </w:r>
      <w:r w:rsidRPr="3645D7ED" w:rsidR="38ECED26">
        <w:rPr>
          <w:sz w:val="22"/>
          <w:szCs w:val="22"/>
        </w:rPr>
        <w:t xml:space="preserve">ppendix </w:t>
      </w:r>
      <w:r w:rsidRPr="3645D7ED" w:rsidR="5E770627">
        <w:rPr>
          <w:sz w:val="22"/>
          <w:szCs w:val="22"/>
        </w:rPr>
        <w:t>F)</w:t>
      </w:r>
      <w:r w:rsidRPr="3645D7ED" w:rsidR="3FCCBEED">
        <w:rPr>
          <w:sz w:val="22"/>
          <w:szCs w:val="22"/>
        </w:rPr>
        <w:t xml:space="preserve">. </w:t>
      </w:r>
      <w:r w:rsidRPr="3645D7ED" w:rsidR="22ABC935">
        <w:rPr>
          <w:rStyle w:val="MemoBody"/>
          <w:sz w:val="22"/>
          <w:szCs w:val="22"/>
        </w:rPr>
        <w:t xml:space="preserve">After combining the </w:t>
      </w:r>
      <w:r w:rsidRPr="3645D7ED" w:rsidR="042C14FB">
        <w:rPr>
          <w:rStyle w:val="MemoBody"/>
          <w:sz w:val="22"/>
          <w:szCs w:val="22"/>
        </w:rPr>
        <w:t xml:space="preserve">continuing </w:t>
      </w:r>
      <w:r w:rsidRPr="3645D7ED" w:rsidR="59579638">
        <w:rPr>
          <w:rStyle w:val="MemoBody"/>
          <w:sz w:val="22"/>
          <w:szCs w:val="22"/>
        </w:rPr>
        <w:t xml:space="preserve">sample </w:t>
      </w:r>
      <w:r w:rsidRPr="3645D7ED" w:rsidR="22ABC935">
        <w:rPr>
          <w:rStyle w:val="MemoBody"/>
          <w:sz w:val="22"/>
          <w:szCs w:val="22"/>
        </w:rPr>
        <w:t>and new cohort, the 202</w:t>
      </w:r>
      <w:r w:rsidRPr="3645D7ED" w:rsidR="139BA66E">
        <w:rPr>
          <w:rStyle w:val="MemoBody"/>
          <w:sz w:val="22"/>
          <w:szCs w:val="22"/>
        </w:rPr>
        <w:t>3</w:t>
      </w:r>
      <w:r w:rsidRPr="3645D7ED" w:rsidR="22ABC935">
        <w:rPr>
          <w:rStyle w:val="MemoBody"/>
          <w:sz w:val="22"/>
          <w:szCs w:val="22"/>
        </w:rPr>
        <w:t xml:space="preserve"> SDR sample will consist of </w:t>
      </w:r>
      <w:r w:rsidRPr="3645D7ED" w:rsidR="22ABC935">
        <w:rPr>
          <w:sz w:val="22"/>
          <w:szCs w:val="22"/>
          <w:lang w:eastAsia="zh-CN"/>
        </w:rPr>
        <w:t>12</w:t>
      </w:r>
      <w:r w:rsidRPr="3645D7ED" w:rsidR="0305422D">
        <w:rPr>
          <w:sz w:val="22"/>
          <w:szCs w:val="22"/>
          <w:lang w:eastAsia="zh-CN"/>
        </w:rPr>
        <w:t>5</w:t>
      </w:r>
      <w:r w:rsidRPr="3645D7ED" w:rsidR="22ABC935">
        <w:rPr>
          <w:sz w:val="22"/>
          <w:szCs w:val="22"/>
          <w:lang w:eastAsia="zh-CN"/>
        </w:rPr>
        <w:t>,</w:t>
      </w:r>
      <w:r w:rsidRPr="3645D7ED" w:rsidR="11670EC2">
        <w:rPr>
          <w:sz w:val="22"/>
          <w:szCs w:val="22"/>
          <w:lang w:eastAsia="zh-CN"/>
        </w:rPr>
        <w:t>246</w:t>
      </w:r>
      <w:r w:rsidRPr="3645D7ED" w:rsidR="338F875E">
        <w:rPr>
          <w:sz w:val="22"/>
          <w:szCs w:val="22"/>
          <w:lang w:eastAsia="zh-CN"/>
        </w:rPr>
        <w:t xml:space="preserve"> </w:t>
      </w:r>
      <w:r w:rsidRPr="3645D7ED" w:rsidR="22ABC935">
        <w:rPr>
          <w:rStyle w:val="MemoBody"/>
          <w:sz w:val="22"/>
          <w:szCs w:val="22"/>
        </w:rPr>
        <w:t xml:space="preserve">individuals.  </w:t>
      </w:r>
    </w:p>
    <w:p w:rsidR="00BA2C40" w:rsidP="00BA2C40" w14:paraId="4F4F8210" w14:textId="77777777">
      <w:pPr>
        <w:rPr>
          <w:rStyle w:val="MemoBody"/>
          <w:sz w:val="22"/>
          <w:szCs w:val="22"/>
        </w:rPr>
      </w:pPr>
    </w:p>
    <w:p w:rsidR="00BA2C40" w:rsidP="00BA2C40" w14:paraId="5F3A6AE4" w14:textId="1E8DCCE6">
      <w:pPr>
        <w:rPr>
          <w:rStyle w:val="MemoBody"/>
          <w:sz w:val="22"/>
          <w:szCs w:val="22"/>
        </w:rPr>
      </w:pPr>
      <w:r w:rsidRPr="5AB30E5D">
        <w:rPr>
          <w:rStyle w:val="MemoBody"/>
          <w:sz w:val="22"/>
          <w:szCs w:val="22"/>
        </w:rPr>
        <w:t>Furthermore, t</w:t>
      </w:r>
      <w:r w:rsidRPr="5AB30E5D" w:rsidR="6374EC7C">
        <w:rPr>
          <w:rStyle w:val="MemoBody"/>
          <w:sz w:val="22"/>
          <w:szCs w:val="22"/>
        </w:rPr>
        <w:t xml:space="preserve">he </w:t>
      </w:r>
      <w:r w:rsidRPr="5AB30E5D" w:rsidR="2CEF0A55">
        <w:rPr>
          <w:rStyle w:val="MemoBody"/>
          <w:sz w:val="22"/>
          <w:szCs w:val="22"/>
        </w:rPr>
        <w:t xml:space="preserve">2023 SDR </w:t>
      </w:r>
      <w:r w:rsidRPr="5AB30E5D" w:rsidR="6374EC7C">
        <w:rPr>
          <w:rStyle w:val="MemoBody"/>
          <w:sz w:val="22"/>
          <w:szCs w:val="22"/>
        </w:rPr>
        <w:t>contains a longitudinal sample of 40,000 individuals that were selected in 2019 from</w:t>
      </w:r>
      <w:r w:rsidRPr="5AB30E5D" w:rsidR="0B5B17D9">
        <w:rPr>
          <w:rStyle w:val="MemoBody"/>
          <w:sz w:val="22"/>
          <w:szCs w:val="22"/>
        </w:rPr>
        <w:t xml:space="preserve"> among</w:t>
      </w:r>
      <w:r w:rsidRPr="5AB30E5D" w:rsidR="6374EC7C">
        <w:rPr>
          <w:rStyle w:val="MemoBody"/>
          <w:sz w:val="22"/>
          <w:szCs w:val="22"/>
        </w:rPr>
        <w:t xml:space="preserve"> sample respondents </w:t>
      </w:r>
      <w:r w:rsidRPr="5AB30E5D" w:rsidR="0B5B17D9">
        <w:rPr>
          <w:rStyle w:val="MemoBody"/>
          <w:sz w:val="22"/>
          <w:szCs w:val="22"/>
        </w:rPr>
        <w:t>to</w:t>
      </w:r>
      <w:r w:rsidRPr="5AB30E5D" w:rsidR="6374EC7C">
        <w:rPr>
          <w:rStyle w:val="MemoBody"/>
          <w:sz w:val="22"/>
          <w:szCs w:val="22"/>
        </w:rPr>
        <w:t xml:space="preserve"> the 2015 SDR who were less than 66 years old on February</w:t>
      </w:r>
      <w:r w:rsidRPr="5AB30E5D" w:rsidR="0B5B17D9">
        <w:rPr>
          <w:rStyle w:val="MemoBody"/>
          <w:sz w:val="22"/>
          <w:szCs w:val="22"/>
        </w:rPr>
        <w:t xml:space="preserve"> 1,</w:t>
      </w:r>
      <w:r w:rsidRPr="5AB30E5D" w:rsidR="6374EC7C">
        <w:rPr>
          <w:rStyle w:val="MemoBody"/>
          <w:sz w:val="22"/>
          <w:szCs w:val="22"/>
        </w:rPr>
        <w:t xml:space="preserve"> 2015</w:t>
      </w:r>
      <w:r w:rsidRPr="5AB30E5D" w:rsidR="0B5B17D9">
        <w:rPr>
          <w:rStyle w:val="MemoBody"/>
          <w:sz w:val="22"/>
          <w:szCs w:val="22"/>
        </w:rPr>
        <w:t>, the survey reference date</w:t>
      </w:r>
      <w:r w:rsidRPr="5AB30E5D" w:rsidR="6374EC7C">
        <w:rPr>
          <w:rStyle w:val="MemoBody"/>
          <w:sz w:val="22"/>
          <w:szCs w:val="22"/>
        </w:rPr>
        <w:t>.</w:t>
      </w:r>
      <w:r>
        <w:rPr>
          <w:rStyle w:val="FootnoteReference"/>
          <w:sz w:val="22"/>
          <w:szCs w:val="22"/>
        </w:rPr>
        <w:footnoteReference w:id="5"/>
      </w:r>
      <w:r w:rsidRPr="5AB30E5D" w:rsidR="6374EC7C">
        <w:rPr>
          <w:rStyle w:val="MemoBody"/>
          <w:sz w:val="22"/>
          <w:szCs w:val="22"/>
        </w:rPr>
        <w:t xml:space="preserve"> This longitudinal sample will continue to be followed in 2023 and </w:t>
      </w:r>
      <w:r w:rsidRPr="5AB30E5D" w:rsidR="32E2F950">
        <w:rPr>
          <w:rStyle w:val="MemoBody"/>
          <w:sz w:val="22"/>
          <w:szCs w:val="22"/>
        </w:rPr>
        <w:t xml:space="preserve">in </w:t>
      </w:r>
      <w:r w:rsidRPr="5AB30E5D" w:rsidR="0A30A9AA">
        <w:rPr>
          <w:rStyle w:val="MemoBody"/>
          <w:sz w:val="22"/>
          <w:szCs w:val="22"/>
        </w:rPr>
        <w:t>the</w:t>
      </w:r>
      <w:r w:rsidRPr="5AB30E5D" w:rsidR="32E2F950">
        <w:rPr>
          <w:rStyle w:val="MemoBody"/>
          <w:sz w:val="22"/>
          <w:szCs w:val="22"/>
        </w:rPr>
        <w:t xml:space="preserve"> </w:t>
      </w:r>
      <w:r w:rsidRPr="5AB30E5D" w:rsidR="6374EC7C">
        <w:rPr>
          <w:rStyle w:val="MemoBody"/>
          <w:sz w:val="22"/>
          <w:szCs w:val="22"/>
        </w:rPr>
        <w:t xml:space="preserve">2025 survey </w:t>
      </w:r>
      <w:r w:rsidRPr="5AB30E5D" w:rsidR="2B3057D7">
        <w:rPr>
          <w:rStyle w:val="MemoBody"/>
          <w:sz w:val="22"/>
          <w:szCs w:val="22"/>
        </w:rPr>
        <w:t>cycle</w:t>
      </w:r>
      <w:r w:rsidRPr="5AB30E5D" w:rsidR="6374EC7C">
        <w:rPr>
          <w:rStyle w:val="MemoBody"/>
          <w:sz w:val="22"/>
          <w:szCs w:val="22"/>
        </w:rPr>
        <w:t>. Because these cases are part of the cross-sectional sample, data collection</w:t>
      </w:r>
      <w:r w:rsidRPr="5AB30E5D" w:rsidR="0B5B17D9">
        <w:rPr>
          <w:rStyle w:val="MemoBody"/>
          <w:sz w:val="22"/>
          <w:szCs w:val="22"/>
        </w:rPr>
        <w:t>, editing,</w:t>
      </w:r>
      <w:r w:rsidRPr="5AB30E5D" w:rsidR="6374EC7C">
        <w:rPr>
          <w:rStyle w:val="MemoBody"/>
          <w:sz w:val="22"/>
          <w:szCs w:val="22"/>
        </w:rPr>
        <w:t xml:space="preserve"> and </w:t>
      </w:r>
      <w:r w:rsidRPr="5AB30E5D" w:rsidR="0B5B17D9">
        <w:rPr>
          <w:rStyle w:val="MemoBody"/>
          <w:sz w:val="22"/>
          <w:szCs w:val="22"/>
        </w:rPr>
        <w:t xml:space="preserve">other processing steps </w:t>
      </w:r>
      <w:r w:rsidRPr="5AB30E5D" w:rsidR="6374EC7C">
        <w:rPr>
          <w:rStyle w:val="MemoBody"/>
          <w:sz w:val="22"/>
          <w:szCs w:val="22"/>
        </w:rPr>
        <w:t xml:space="preserve">will not be treated differently. However, the longitudinal sample requires statistical procedures that differ from those used for the cross-sectional sample, as described in </w:t>
      </w:r>
      <w:r w:rsidR="008F5AB9">
        <w:rPr>
          <w:rStyle w:val="MemoBody"/>
          <w:sz w:val="22"/>
          <w:szCs w:val="22"/>
        </w:rPr>
        <w:t>S</w:t>
      </w:r>
      <w:r w:rsidRPr="5AB30E5D" w:rsidR="6374EC7C">
        <w:rPr>
          <w:rStyle w:val="MemoBody"/>
          <w:sz w:val="22"/>
          <w:szCs w:val="22"/>
        </w:rPr>
        <w:t xml:space="preserve">ection 2 below.  </w:t>
      </w:r>
    </w:p>
    <w:p w:rsidR="00046B7E" w:rsidRPr="009830D0" w:rsidP="00EF74E7" w14:paraId="7900243A" w14:textId="527C9E62">
      <w:pPr>
        <w:pStyle w:val="Heading2"/>
        <w:spacing w:before="280" w:after="280"/>
        <w:rPr>
          <w:i w:val="0"/>
          <w:sz w:val="22"/>
          <w:szCs w:val="22"/>
        </w:rPr>
      </w:pPr>
      <w:bookmarkStart w:id="7" w:name="_Toc410981792"/>
      <w:bookmarkStart w:id="8" w:name="_Toc475701069"/>
      <w:bookmarkEnd w:id="0"/>
      <w:r w:rsidRPr="009830D0">
        <w:rPr>
          <w:i w:val="0"/>
        </w:rPr>
        <w:t>2.</w:t>
      </w:r>
      <w:r w:rsidRPr="009830D0">
        <w:rPr>
          <w:i w:val="0"/>
        </w:rPr>
        <w:tab/>
        <w:t>STATISTICAL PROCEDURES</w:t>
      </w:r>
      <w:bookmarkEnd w:id="7"/>
      <w:bookmarkEnd w:id="8"/>
    </w:p>
    <w:p w:rsidR="00046B7E" w:rsidP="00046B7E" w14:paraId="157AAF3F" w14:textId="2E425676">
      <w:pPr>
        <w:rPr>
          <w:sz w:val="22"/>
          <w:szCs w:val="22"/>
        </w:rPr>
      </w:pPr>
      <w:r>
        <w:rPr>
          <w:sz w:val="22"/>
          <w:szCs w:val="22"/>
        </w:rPr>
        <w:t>The SDR statistical data processing procedures have several components includ</w:t>
      </w:r>
      <w:r w:rsidR="00954D55">
        <w:rPr>
          <w:sz w:val="22"/>
          <w:szCs w:val="22"/>
        </w:rPr>
        <w:t>ing</w:t>
      </w:r>
      <w:r>
        <w:rPr>
          <w:sz w:val="22"/>
          <w:szCs w:val="22"/>
        </w:rPr>
        <w:t xml:space="preserve"> </w:t>
      </w:r>
      <w:r w:rsidR="00EB7169">
        <w:rPr>
          <w:sz w:val="22"/>
          <w:szCs w:val="22"/>
        </w:rPr>
        <w:t xml:space="preserve">sampling weight adjustments </w:t>
      </w:r>
      <w:r>
        <w:rPr>
          <w:sz w:val="22"/>
          <w:szCs w:val="22"/>
        </w:rPr>
        <w:t xml:space="preserve">to compensate for </w:t>
      </w:r>
      <w:r w:rsidR="00C575B6">
        <w:rPr>
          <w:sz w:val="22"/>
          <w:szCs w:val="22"/>
        </w:rPr>
        <w:t xml:space="preserve">the </w:t>
      </w:r>
      <w:r w:rsidR="00EB7169">
        <w:rPr>
          <w:sz w:val="22"/>
          <w:szCs w:val="22"/>
        </w:rPr>
        <w:t xml:space="preserve">stratified </w:t>
      </w:r>
      <w:r w:rsidR="00867BF7">
        <w:rPr>
          <w:sz w:val="22"/>
          <w:szCs w:val="22"/>
        </w:rPr>
        <w:t xml:space="preserve">sampling </w:t>
      </w:r>
      <w:r>
        <w:rPr>
          <w:sz w:val="22"/>
          <w:szCs w:val="22"/>
        </w:rPr>
        <w:t>design features</w:t>
      </w:r>
      <w:r w:rsidR="00C575B6">
        <w:rPr>
          <w:sz w:val="22"/>
          <w:szCs w:val="22"/>
        </w:rPr>
        <w:t xml:space="preserve"> and </w:t>
      </w:r>
      <w:r w:rsidR="00121366">
        <w:rPr>
          <w:sz w:val="22"/>
          <w:szCs w:val="22"/>
        </w:rPr>
        <w:t xml:space="preserve">differential </w:t>
      </w:r>
      <w:r w:rsidR="00C575B6">
        <w:rPr>
          <w:sz w:val="22"/>
          <w:szCs w:val="22"/>
        </w:rPr>
        <w:t>response rates</w:t>
      </w:r>
      <w:r>
        <w:rPr>
          <w:sz w:val="22"/>
          <w:szCs w:val="22"/>
        </w:rPr>
        <w:t xml:space="preserve">, </w:t>
      </w:r>
      <w:r w:rsidR="00292BEF">
        <w:rPr>
          <w:sz w:val="22"/>
          <w:szCs w:val="22"/>
        </w:rPr>
        <w:t>imput</w:t>
      </w:r>
      <w:r w:rsidR="00EB7169">
        <w:rPr>
          <w:sz w:val="22"/>
          <w:szCs w:val="22"/>
        </w:rPr>
        <w:t>ation procedures t</w:t>
      </w:r>
      <w:r w:rsidR="00954D55">
        <w:rPr>
          <w:sz w:val="22"/>
          <w:szCs w:val="22"/>
        </w:rPr>
        <w:t xml:space="preserve">o address </w:t>
      </w:r>
      <w:r w:rsidR="00867BF7">
        <w:rPr>
          <w:sz w:val="22"/>
          <w:szCs w:val="22"/>
        </w:rPr>
        <w:t>item nonresponse</w:t>
      </w:r>
      <w:r>
        <w:rPr>
          <w:sz w:val="22"/>
          <w:szCs w:val="22"/>
        </w:rPr>
        <w:t xml:space="preserve">, and </w:t>
      </w:r>
      <w:r w:rsidR="00A73EB0">
        <w:rPr>
          <w:sz w:val="22"/>
          <w:szCs w:val="22"/>
        </w:rPr>
        <w:t xml:space="preserve">variance </w:t>
      </w:r>
      <w:r w:rsidR="007E0FE9">
        <w:rPr>
          <w:sz w:val="22"/>
          <w:szCs w:val="22"/>
        </w:rPr>
        <w:t>estimat</w:t>
      </w:r>
      <w:r w:rsidR="00EB7169">
        <w:rPr>
          <w:sz w:val="22"/>
          <w:szCs w:val="22"/>
        </w:rPr>
        <w:t xml:space="preserve">ion </w:t>
      </w:r>
      <w:r w:rsidR="00C575B6">
        <w:rPr>
          <w:sz w:val="22"/>
          <w:szCs w:val="22"/>
        </w:rPr>
        <w:t xml:space="preserve">procedures for calculating </w:t>
      </w:r>
      <w:r w:rsidR="007E0FE9">
        <w:rPr>
          <w:sz w:val="22"/>
          <w:szCs w:val="22"/>
        </w:rPr>
        <w:t>sampling error</w:t>
      </w:r>
      <w:r w:rsidR="004D2048">
        <w:rPr>
          <w:sz w:val="22"/>
          <w:szCs w:val="22"/>
        </w:rPr>
        <w:t>.</w:t>
      </w:r>
    </w:p>
    <w:p w:rsidR="00046B7E" w:rsidP="00046B7E" w14:paraId="1EA1C633" w14:textId="77777777">
      <w:pPr>
        <w:rPr>
          <w:b/>
          <w:i/>
          <w:sz w:val="22"/>
          <w:szCs w:val="22"/>
        </w:rPr>
      </w:pPr>
    </w:p>
    <w:p w:rsidR="00046B7E" w:rsidRPr="00420C59" w:rsidP="00046B7E" w14:paraId="3F3D62DA" w14:textId="27212FE8">
      <w:pPr>
        <w:spacing w:after="120"/>
      </w:pPr>
      <w:r w:rsidRPr="00420C59">
        <w:rPr>
          <w:b/>
        </w:rPr>
        <w:t>2.1 Weighting</w:t>
      </w:r>
    </w:p>
    <w:p w:rsidR="00046B7E" w:rsidP="00046B7E" w14:paraId="3106143F" w14:textId="1C71B900">
      <w:pPr>
        <w:rPr>
          <w:sz w:val="22"/>
          <w:szCs w:val="22"/>
        </w:rPr>
      </w:pPr>
      <w:r w:rsidRPr="00163325">
        <w:rPr>
          <w:sz w:val="22"/>
          <w:szCs w:val="22"/>
        </w:rPr>
        <w:t>A final weight will be computed for ea</w:t>
      </w:r>
      <w:r>
        <w:rPr>
          <w:sz w:val="22"/>
          <w:szCs w:val="22"/>
        </w:rPr>
        <w:t>ch completed interview</w:t>
      </w:r>
      <w:r w:rsidR="000953DF">
        <w:rPr>
          <w:sz w:val="22"/>
          <w:szCs w:val="22"/>
        </w:rPr>
        <w:t xml:space="preserve"> in the cross-sectional sample</w:t>
      </w:r>
      <w:r w:rsidR="00C575B6">
        <w:rPr>
          <w:sz w:val="22"/>
          <w:szCs w:val="22"/>
        </w:rPr>
        <w:t xml:space="preserve"> including its longitudinal sample</w:t>
      </w:r>
      <w:r w:rsidR="00553EE2">
        <w:rPr>
          <w:sz w:val="22"/>
          <w:szCs w:val="22"/>
        </w:rPr>
        <w:t xml:space="preserve"> cases</w:t>
      </w:r>
      <w:r w:rsidR="000953DF">
        <w:rPr>
          <w:sz w:val="22"/>
          <w:szCs w:val="22"/>
        </w:rPr>
        <w:t xml:space="preserve">. These weights are </w:t>
      </w:r>
      <w:r w:rsidR="001359EB">
        <w:rPr>
          <w:sz w:val="22"/>
          <w:szCs w:val="22"/>
        </w:rPr>
        <w:t xml:space="preserve">intended to be </w:t>
      </w:r>
      <w:r w:rsidR="000953DF">
        <w:rPr>
          <w:sz w:val="22"/>
          <w:szCs w:val="22"/>
        </w:rPr>
        <w:t xml:space="preserve">used to conduct </w:t>
      </w:r>
      <w:r w:rsidR="00C575B6">
        <w:rPr>
          <w:sz w:val="22"/>
          <w:szCs w:val="22"/>
        </w:rPr>
        <w:t xml:space="preserve">cross-sectional </w:t>
      </w:r>
      <w:r w:rsidR="000953DF">
        <w:rPr>
          <w:sz w:val="22"/>
          <w:szCs w:val="22"/>
        </w:rPr>
        <w:t xml:space="preserve">statistical </w:t>
      </w:r>
      <w:r w:rsidR="000953DF">
        <w:rPr>
          <w:sz w:val="22"/>
          <w:szCs w:val="22"/>
        </w:rPr>
        <w:t xml:space="preserve">analysis of the data from </w:t>
      </w:r>
      <w:r w:rsidR="00C575B6">
        <w:rPr>
          <w:sz w:val="22"/>
          <w:szCs w:val="22"/>
        </w:rPr>
        <w:t>all</w:t>
      </w:r>
      <w:r w:rsidR="000953DF">
        <w:rPr>
          <w:sz w:val="22"/>
          <w:szCs w:val="22"/>
        </w:rPr>
        <w:t xml:space="preserve"> 202</w:t>
      </w:r>
      <w:r w:rsidR="003922C5">
        <w:rPr>
          <w:sz w:val="22"/>
          <w:szCs w:val="22"/>
        </w:rPr>
        <w:t>3</w:t>
      </w:r>
      <w:r w:rsidR="000953DF">
        <w:rPr>
          <w:sz w:val="22"/>
          <w:szCs w:val="22"/>
        </w:rPr>
        <w:t xml:space="preserve"> SDR respondents so that the results represent the eligible population of doctorate recipients (i.e., individuals who earned a research doctoral degree in a science, engineering</w:t>
      </w:r>
      <w:r w:rsidR="00C575B6">
        <w:rPr>
          <w:sz w:val="22"/>
          <w:szCs w:val="22"/>
        </w:rPr>
        <w:t>,</w:t>
      </w:r>
      <w:r w:rsidR="000953DF">
        <w:rPr>
          <w:sz w:val="22"/>
          <w:szCs w:val="22"/>
        </w:rPr>
        <w:t xml:space="preserve"> or health field from a U.S. institution awarded no later than academic year 20</w:t>
      </w:r>
      <w:r w:rsidR="00385217">
        <w:rPr>
          <w:sz w:val="22"/>
          <w:szCs w:val="22"/>
        </w:rPr>
        <w:t>21</w:t>
      </w:r>
      <w:r w:rsidR="000953DF">
        <w:rPr>
          <w:sz w:val="22"/>
          <w:szCs w:val="22"/>
        </w:rPr>
        <w:t xml:space="preserve"> and are less </w:t>
      </w:r>
      <w:r w:rsidR="003B37EF">
        <w:rPr>
          <w:sz w:val="22"/>
          <w:szCs w:val="22"/>
        </w:rPr>
        <w:t>tha</w:t>
      </w:r>
      <w:r w:rsidR="00AF240C">
        <w:rPr>
          <w:sz w:val="22"/>
          <w:szCs w:val="22"/>
        </w:rPr>
        <w:t>n</w:t>
      </w:r>
      <w:r w:rsidR="003B37EF">
        <w:rPr>
          <w:sz w:val="22"/>
          <w:szCs w:val="22"/>
        </w:rPr>
        <w:t xml:space="preserve"> </w:t>
      </w:r>
      <w:r w:rsidR="000953DF">
        <w:rPr>
          <w:sz w:val="22"/>
          <w:szCs w:val="22"/>
        </w:rPr>
        <w:t xml:space="preserve">76 years of age). </w:t>
      </w:r>
      <w:r w:rsidRPr="00163325">
        <w:rPr>
          <w:sz w:val="22"/>
          <w:szCs w:val="22"/>
        </w:rPr>
        <w:t xml:space="preserve">The weighting procedures </w:t>
      </w:r>
      <w:r w:rsidR="000953DF">
        <w:rPr>
          <w:sz w:val="22"/>
          <w:szCs w:val="22"/>
        </w:rPr>
        <w:t>consist of</w:t>
      </w:r>
      <w:r w:rsidRPr="00163325">
        <w:rPr>
          <w:sz w:val="22"/>
          <w:szCs w:val="22"/>
        </w:rPr>
        <w:t xml:space="preserve"> a seri</w:t>
      </w:r>
      <w:r>
        <w:rPr>
          <w:sz w:val="22"/>
          <w:szCs w:val="22"/>
        </w:rPr>
        <w:t>e</w:t>
      </w:r>
      <w:r w:rsidRPr="00163325">
        <w:rPr>
          <w:sz w:val="22"/>
          <w:szCs w:val="22"/>
        </w:rPr>
        <w:t>s of</w:t>
      </w:r>
      <w:r w:rsidR="003A7A1C">
        <w:rPr>
          <w:sz w:val="22"/>
          <w:szCs w:val="22"/>
        </w:rPr>
        <w:t xml:space="preserve"> statistical</w:t>
      </w:r>
      <w:r w:rsidRPr="00163325">
        <w:rPr>
          <w:sz w:val="22"/>
          <w:szCs w:val="22"/>
        </w:rPr>
        <w:t xml:space="preserve"> adjustments to the</w:t>
      </w:r>
      <w:r w:rsidR="003A7A1C">
        <w:rPr>
          <w:sz w:val="22"/>
          <w:szCs w:val="22"/>
        </w:rPr>
        <w:t xml:space="preserve"> original</w:t>
      </w:r>
      <w:r w:rsidRPr="00163325">
        <w:rPr>
          <w:sz w:val="22"/>
          <w:szCs w:val="22"/>
        </w:rPr>
        <w:t xml:space="preserve"> sampling weights </w:t>
      </w:r>
      <w:r w:rsidR="003A7A1C">
        <w:rPr>
          <w:sz w:val="22"/>
          <w:szCs w:val="22"/>
        </w:rPr>
        <w:t xml:space="preserve">and will follow </w:t>
      </w:r>
      <w:r w:rsidR="007E0FE9">
        <w:rPr>
          <w:sz w:val="22"/>
          <w:szCs w:val="22"/>
        </w:rPr>
        <w:t xml:space="preserve">methods </w:t>
      </w:r>
      <w:r w:rsidR="007E0FE9">
        <w:rPr>
          <w:sz w:val="22"/>
          <w:szCs w:val="22"/>
        </w:rPr>
        <w:t>similar to</w:t>
      </w:r>
      <w:r w:rsidRPr="006474BE">
        <w:rPr>
          <w:sz w:val="22"/>
          <w:szCs w:val="22"/>
        </w:rPr>
        <w:t xml:space="preserve"> </w:t>
      </w:r>
      <w:r w:rsidR="003A7A1C">
        <w:rPr>
          <w:sz w:val="22"/>
          <w:szCs w:val="22"/>
        </w:rPr>
        <w:t xml:space="preserve">those applied in the development of the </w:t>
      </w:r>
      <w:r w:rsidR="001359EB">
        <w:rPr>
          <w:sz w:val="22"/>
          <w:szCs w:val="22"/>
        </w:rPr>
        <w:t>20</w:t>
      </w:r>
      <w:r w:rsidR="00385217">
        <w:rPr>
          <w:sz w:val="22"/>
          <w:szCs w:val="22"/>
        </w:rPr>
        <w:t>21</w:t>
      </w:r>
      <w:r w:rsidRPr="006474BE">
        <w:rPr>
          <w:sz w:val="22"/>
          <w:szCs w:val="22"/>
        </w:rPr>
        <w:t xml:space="preserve"> SDR</w:t>
      </w:r>
      <w:r w:rsidRPr="00163325">
        <w:rPr>
          <w:sz w:val="22"/>
          <w:szCs w:val="22"/>
        </w:rPr>
        <w:t xml:space="preserve"> </w:t>
      </w:r>
      <w:r w:rsidR="003A7A1C">
        <w:rPr>
          <w:sz w:val="22"/>
          <w:szCs w:val="22"/>
        </w:rPr>
        <w:t>weights</w:t>
      </w:r>
      <w:r w:rsidRPr="00163325">
        <w:rPr>
          <w:sz w:val="22"/>
          <w:szCs w:val="22"/>
        </w:rPr>
        <w:t>.</w:t>
      </w:r>
      <w:r>
        <w:rPr>
          <w:sz w:val="22"/>
          <w:szCs w:val="22"/>
        </w:rPr>
        <w:t xml:space="preserve"> </w:t>
      </w:r>
      <w:r w:rsidR="003A7A1C">
        <w:rPr>
          <w:sz w:val="22"/>
          <w:szCs w:val="22"/>
        </w:rPr>
        <w:t>These methods are briefly described below.</w:t>
      </w:r>
    </w:p>
    <w:p w:rsidR="00046B7E" w:rsidP="00046B7E" w14:paraId="51438090" w14:textId="77777777">
      <w:pPr>
        <w:rPr>
          <w:sz w:val="22"/>
          <w:szCs w:val="22"/>
        </w:rPr>
      </w:pPr>
    </w:p>
    <w:p w:rsidR="00046B7E" w:rsidRPr="00D21758" w:rsidP="00046B7E" w14:paraId="25A7FFB0" w14:textId="71EF0AC1">
      <w:pPr>
        <w:rPr>
          <w:sz w:val="22"/>
          <w:szCs w:val="22"/>
        </w:rPr>
      </w:pPr>
      <w:r w:rsidRPr="00265B8F">
        <w:rPr>
          <w:sz w:val="22"/>
          <w:szCs w:val="22"/>
        </w:rPr>
        <w:t xml:space="preserve">For a </w:t>
      </w:r>
      <w:r w:rsidRPr="00D21758">
        <w:rPr>
          <w:sz w:val="22"/>
          <w:szCs w:val="22"/>
        </w:rPr>
        <w:t>sample member</w:t>
      </w:r>
      <w:r>
        <w:rPr>
          <w:noProof/>
          <w:position w:val="-10"/>
          <w:sz w:val="22"/>
          <w:szCs w:val="22"/>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pt;height:15pt;mso-height-percent:0;mso-width-percent:0" o:oleicon="f" o:ole="">
            <v:imagedata r:id="rId16" o:title=""/>
          </v:shape>
          <o:OLEObject Type="Embed" ProgID="Equation.3" ShapeID="_x0000_i1025" DrawAspect="Content" ObjectID="_1748344174" r:id="rId17"/>
        </w:object>
      </w:r>
      <w:r w:rsidRPr="00D21758">
        <w:rPr>
          <w:sz w:val="22"/>
          <w:szCs w:val="22"/>
        </w:rPr>
        <w:t xml:space="preserve">, its </w:t>
      </w:r>
      <w:r w:rsidR="003A7A1C">
        <w:rPr>
          <w:sz w:val="22"/>
          <w:szCs w:val="22"/>
        </w:rPr>
        <w:t xml:space="preserve">original </w:t>
      </w:r>
      <w:r w:rsidRPr="00D21758">
        <w:rPr>
          <w:sz w:val="22"/>
          <w:szCs w:val="22"/>
        </w:rPr>
        <w:t>sampling weight will be computed as</w:t>
      </w:r>
    </w:p>
    <w:p w:rsidR="00046B7E" w:rsidRPr="00D21758" w:rsidP="330628E2" w14:paraId="1FF71EEA" w14:textId="77777777">
      <w:pPr>
        <w:jc w:val="center"/>
        <w:rPr>
          <w:rFonts w:asciiTheme="minorHAnsi" w:hAnsiTheme="minorHAnsi"/>
          <w:sz w:val="22"/>
          <w:szCs w:val="22"/>
        </w:rPr>
      </w:pPr>
      <w:r>
        <w:rPr>
          <w:rFonts w:asciiTheme="minorHAnsi" w:hAnsiTheme="minorHAnsi"/>
          <w:noProof/>
          <w:position w:val="-32"/>
          <w:sz w:val="22"/>
          <w:szCs w:val="22"/>
        </w:rPr>
        <w:object>
          <v:shape id="_x0000_i1026" type="#_x0000_t75" style="width:46.8pt;height:36pt;mso-height-percent:0;mso-width-percent:0" o:oleicon="f" o:ole="">
            <v:imagedata r:id="rId18" o:title=""/>
          </v:shape>
          <o:OLEObject Type="Embed" ProgID="Equation.3" ShapeID="_x0000_i1026" DrawAspect="Content" ObjectID="_1748344175" r:id="rId19"/>
        </w:object>
      </w:r>
      <w:r w:rsidRPr="330628E2">
        <w:rPr>
          <w:rFonts w:asciiTheme="minorHAnsi" w:hAnsiTheme="minorHAnsi"/>
          <w:sz w:val="22"/>
          <w:szCs w:val="22"/>
        </w:rPr>
        <w:t xml:space="preserve">                                </w:t>
      </w:r>
    </w:p>
    <w:p w:rsidR="00046B7E" w:rsidP="00046B7E" w14:paraId="7EA449E1" w14:textId="77777777">
      <w:pPr>
        <w:rPr>
          <w:sz w:val="22"/>
          <w:szCs w:val="22"/>
        </w:rPr>
      </w:pPr>
      <w:r w:rsidRPr="00D21758">
        <w:rPr>
          <w:sz w:val="22"/>
          <w:szCs w:val="22"/>
        </w:rPr>
        <w:t>where</w:t>
      </w:r>
      <w:r>
        <w:rPr>
          <w:noProof/>
          <w:position w:val="-14"/>
          <w:sz w:val="22"/>
          <w:szCs w:val="22"/>
        </w:rPr>
        <w:object>
          <v:shape id="_x0000_i1027" type="#_x0000_t75" style="width:15pt;height:21pt;mso-height-percent:0;mso-width-percent:0" o:oleicon="f" o:ole="">
            <v:imagedata r:id="rId20" o:title=""/>
          </v:shape>
          <o:OLEObject Type="Embed" ProgID="Equation.3" ShapeID="_x0000_i1027" DrawAspect="Content" ObjectID="_1748344176" r:id="rId21"/>
        </w:object>
      </w:r>
      <w:r w:rsidRPr="00D21758">
        <w:rPr>
          <w:sz w:val="22"/>
          <w:szCs w:val="22"/>
        </w:rPr>
        <w:t>is the inclusion</w:t>
      </w:r>
      <w:r w:rsidRPr="00265B8F">
        <w:rPr>
          <w:sz w:val="22"/>
          <w:szCs w:val="22"/>
        </w:rPr>
        <w:t xml:space="preserve"> probability under the sample design. </w:t>
      </w:r>
    </w:p>
    <w:p w:rsidR="00046B7E" w:rsidP="00046B7E" w14:paraId="7FB33B37" w14:textId="77777777">
      <w:pPr>
        <w:rPr>
          <w:sz w:val="22"/>
          <w:szCs w:val="22"/>
        </w:rPr>
      </w:pPr>
    </w:p>
    <w:p w:rsidR="00046B7E" w:rsidRPr="00CD2205" w:rsidP="00046B7E" w14:paraId="19F39E33" w14:textId="4E0BE08C">
      <w:pPr>
        <w:rPr>
          <w:sz w:val="22"/>
          <w:szCs w:val="22"/>
        </w:rPr>
      </w:pPr>
      <w:r w:rsidRPr="5AB30E5D">
        <w:rPr>
          <w:sz w:val="22"/>
          <w:szCs w:val="22"/>
        </w:rPr>
        <w:t xml:space="preserve">The sampling weight will be adjusted in sequence for unknown eligibility, unit nonresponse, and frame coverage based on similar methodologies </w:t>
      </w:r>
      <w:r w:rsidRPr="5AB30E5D" w:rsidR="500FEA99">
        <w:rPr>
          <w:sz w:val="22"/>
          <w:szCs w:val="22"/>
        </w:rPr>
        <w:t>used</w:t>
      </w:r>
      <w:r w:rsidRPr="5AB30E5D">
        <w:rPr>
          <w:sz w:val="22"/>
          <w:szCs w:val="22"/>
        </w:rPr>
        <w:t xml:space="preserve"> for the </w:t>
      </w:r>
      <w:r w:rsidRPr="5AB30E5D" w:rsidR="305D0A49">
        <w:rPr>
          <w:sz w:val="22"/>
          <w:szCs w:val="22"/>
        </w:rPr>
        <w:t>20</w:t>
      </w:r>
      <w:r w:rsidRPr="5AB30E5D" w:rsidR="6CF242C9">
        <w:rPr>
          <w:sz w:val="22"/>
          <w:szCs w:val="22"/>
        </w:rPr>
        <w:t>21</w:t>
      </w:r>
      <w:r w:rsidRPr="5AB30E5D" w:rsidR="305D0A49">
        <w:rPr>
          <w:sz w:val="22"/>
          <w:szCs w:val="22"/>
        </w:rPr>
        <w:t xml:space="preserve"> </w:t>
      </w:r>
      <w:r w:rsidRPr="5AB30E5D">
        <w:rPr>
          <w:sz w:val="22"/>
          <w:szCs w:val="22"/>
        </w:rPr>
        <w:t xml:space="preserve">SDR. First, for cases whose eligibility status is not determined by the end of the survey, their assigned base weights are transferred to cases whose eligibility is known. Next, among </w:t>
      </w:r>
      <w:r w:rsidRPr="5AB30E5D" w:rsidR="2B3057D7">
        <w:rPr>
          <w:sz w:val="22"/>
          <w:szCs w:val="22"/>
        </w:rPr>
        <w:t xml:space="preserve">known </w:t>
      </w:r>
      <w:r w:rsidRPr="5AB30E5D">
        <w:rPr>
          <w:sz w:val="22"/>
          <w:szCs w:val="22"/>
        </w:rPr>
        <w:t>eligible cases, the weights of nonrespo</w:t>
      </w:r>
      <w:r w:rsidRPr="5AB30E5D" w:rsidR="4256DE45">
        <w:rPr>
          <w:sz w:val="22"/>
          <w:szCs w:val="22"/>
        </w:rPr>
        <w:t>n</w:t>
      </w:r>
      <w:r w:rsidRPr="5AB30E5D">
        <w:rPr>
          <w:sz w:val="22"/>
          <w:szCs w:val="22"/>
        </w:rPr>
        <w:t xml:space="preserve">dents are transferred to the respondents so that the respondents represent all eligible cases in the sample. Finally, a raking adjustment aligns the sample to the frame population so that the sample estimates agree with the frame counts with respect to factors not explicitly controlled </w:t>
      </w:r>
      <w:r w:rsidRPr="5AB30E5D" w:rsidR="4DA8B65B">
        <w:rPr>
          <w:sz w:val="22"/>
          <w:szCs w:val="22"/>
        </w:rPr>
        <w:t xml:space="preserve">for </w:t>
      </w:r>
      <w:r w:rsidRPr="5AB30E5D">
        <w:rPr>
          <w:sz w:val="22"/>
          <w:szCs w:val="22"/>
        </w:rPr>
        <w:t xml:space="preserve">in the sample design. </w:t>
      </w:r>
    </w:p>
    <w:p w:rsidR="00046B7E" w:rsidRPr="00CD2205" w:rsidP="00046B7E" w14:paraId="3208CFB0" w14:textId="77777777">
      <w:pPr>
        <w:rPr>
          <w:sz w:val="22"/>
          <w:szCs w:val="22"/>
        </w:rPr>
      </w:pPr>
    </w:p>
    <w:p w:rsidR="00046B7E" w:rsidP="00046B7E" w14:paraId="17145F84" w14:textId="3052790E">
      <w:pPr>
        <w:rPr>
          <w:sz w:val="22"/>
          <w:szCs w:val="22"/>
        </w:rPr>
      </w:pPr>
      <w:r w:rsidRPr="5AB30E5D">
        <w:rPr>
          <w:sz w:val="22"/>
          <w:szCs w:val="22"/>
        </w:rPr>
        <w:t>L</w:t>
      </w:r>
      <w:r w:rsidRPr="5AB30E5D" w:rsidR="5C2FB065">
        <w:rPr>
          <w:sz w:val="22"/>
          <w:szCs w:val="22"/>
        </w:rPr>
        <w:t xml:space="preserve">ogistic regression models will be used to derive unknown eligibility and nonresponse weighting adjustment factors for different segments of the sample. </w:t>
      </w:r>
      <w:r w:rsidRPr="5AB30E5D" w:rsidR="79B4FCB6">
        <w:rPr>
          <w:sz w:val="22"/>
          <w:szCs w:val="22"/>
        </w:rPr>
        <w:t>Resulting p</w:t>
      </w:r>
      <w:r w:rsidRPr="5AB30E5D" w:rsidR="5C2FB065">
        <w:rPr>
          <w:sz w:val="22"/>
          <w:szCs w:val="22"/>
        </w:rPr>
        <w:t xml:space="preserve">ropensity scores will be used to define weighting classes, and extreme weights will be trimmed to reduce the variation of the weights prior to </w:t>
      </w:r>
      <w:r w:rsidRPr="5AB30E5D" w:rsidR="10D6F9E3">
        <w:rPr>
          <w:sz w:val="22"/>
          <w:szCs w:val="22"/>
        </w:rPr>
        <w:t xml:space="preserve">and after </w:t>
      </w:r>
      <w:r w:rsidRPr="5AB30E5D" w:rsidR="5C2FB065">
        <w:rPr>
          <w:sz w:val="22"/>
          <w:szCs w:val="22"/>
        </w:rPr>
        <w:t xml:space="preserve">raking. With a final weight, the Horvitz-Thompson estimator will be used to derive point estimates for SDR variables. </w:t>
      </w:r>
    </w:p>
    <w:p w:rsidR="003A7A1C" w:rsidP="00046B7E" w14:paraId="76364B4E" w14:textId="58AAE384">
      <w:pPr>
        <w:rPr>
          <w:sz w:val="22"/>
          <w:szCs w:val="22"/>
        </w:rPr>
      </w:pPr>
    </w:p>
    <w:p w:rsidR="003A7A1C" w:rsidRPr="003C4997" w:rsidP="003A7A1C" w14:paraId="70ADCA17" w14:textId="3CCED1FA">
      <w:pPr>
        <w:rPr>
          <w:sz w:val="22"/>
          <w:szCs w:val="22"/>
        </w:rPr>
      </w:pPr>
      <w:r>
        <w:rPr>
          <w:sz w:val="22"/>
          <w:szCs w:val="22"/>
        </w:rPr>
        <w:t>In addition to the weights for the cross-sectional sample</w:t>
      </w:r>
      <w:r w:rsidR="00CE7CF5">
        <w:rPr>
          <w:sz w:val="22"/>
          <w:szCs w:val="22"/>
        </w:rPr>
        <w:t xml:space="preserve">, </w:t>
      </w:r>
      <w:r>
        <w:rPr>
          <w:sz w:val="22"/>
          <w:szCs w:val="22"/>
        </w:rPr>
        <w:t>we</w:t>
      </w:r>
      <w:r w:rsidR="00CE7CF5">
        <w:rPr>
          <w:sz w:val="22"/>
          <w:szCs w:val="22"/>
        </w:rPr>
        <w:t>ights</w:t>
      </w:r>
      <w:r>
        <w:rPr>
          <w:sz w:val="22"/>
          <w:szCs w:val="22"/>
        </w:rPr>
        <w:t xml:space="preserve"> will also </w:t>
      </w:r>
      <w:r w:rsidR="00CE7CF5">
        <w:rPr>
          <w:sz w:val="22"/>
          <w:szCs w:val="22"/>
        </w:rPr>
        <w:t xml:space="preserve">be created </w:t>
      </w:r>
      <w:r>
        <w:rPr>
          <w:sz w:val="22"/>
          <w:szCs w:val="22"/>
        </w:rPr>
        <w:t xml:space="preserve">for the longitudinal sample. Methods </w:t>
      </w:r>
      <w:r>
        <w:rPr>
          <w:sz w:val="22"/>
          <w:szCs w:val="22"/>
        </w:rPr>
        <w:t>similar to</w:t>
      </w:r>
      <w:r>
        <w:rPr>
          <w:sz w:val="22"/>
          <w:szCs w:val="22"/>
        </w:rPr>
        <w:t xml:space="preserve"> those used for the 20</w:t>
      </w:r>
      <w:r w:rsidR="0013205F">
        <w:rPr>
          <w:sz w:val="22"/>
          <w:szCs w:val="22"/>
        </w:rPr>
        <w:t>21</w:t>
      </w:r>
      <w:r>
        <w:rPr>
          <w:sz w:val="22"/>
          <w:szCs w:val="22"/>
        </w:rPr>
        <w:t xml:space="preserve"> longitudinal weighting will be followed. Because this </w:t>
      </w:r>
      <w:r w:rsidRPr="00E625DA">
        <w:rPr>
          <w:sz w:val="22"/>
          <w:szCs w:val="22"/>
        </w:rPr>
        <w:t xml:space="preserve">sample is drawn from the 2015 SDR respondents, </w:t>
      </w:r>
      <w:bookmarkStart w:id="9" w:name="_Hlk60662196"/>
      <w:r w:rsidRPr="00E625DA">
        <w:rPr>
          <w:sz w:val="22"/>
          <w:szCs w:val="22"/>
        </w:rPr>
        <w:t xml:space="preserve">the target population for these weights is the estimated </w:t>
      </w:r>
      <w:r w:rsidRPr="00E625DA">
        <w:t>860,264</w:t>
      </w:r>
      <w:r w:rsidRPr="00E625DA">
        <w:rPr>
          <w:sz w:val="22"/>
          <w:szCs w:val="22"/>
        </w:rPr>
        <w:t xml:space="preserve"> individuals </w:t>
      </w:r>
      <w:bookmarkEnd w:id="9"/>
      <w:r w:rsidRPr="001C5614">
        <w:rPr>
          <w:sz w:val="22"/>
          <w:szCs w:val="22"/>
        </w:rPr>
        <w:t>who</w:t>
      </w:r>
      <w:r w:rsidRPr="00E625DA">
        <w:rPr>
          <w:sz w:val="22"/>
          <w:szCs w:val="22"/>
        </w:rPr>
        <w:t xml:space="preserve"> ha</w:t>
      </w:r>
      <w:r w:rsidR="00CE7CF5">
        <w:rPr>
          <w:sz w:val="22"/>
          <w:szCs w:val="22"/>
        </w:rPr>
        <w:t>d</w:t>
      </w:r>
      <w:r w:rsidRPr="00E625DA">
        <w:rPr>
          <w:sz w:val="22"/>
          <w:szCs w:val="22"/>
        </w:rPr>
        <w:t xml:space="preserve"> received a research doctoral degree in a science, engineering</w:t>
      </w:r>
      <w:r w:rsidR="00CE7CF5">
        <w:rPr>
          <w:sz w:val="22"/>
          <w:szCs w:val="22"/>
        </w:rPr>
        <w:t>,</w:t>
      </w:r>
      <w:r w:rsidRPr="00E625DA">
        <w:rPr>
          <w:sz w:val="22"/>
          <w:szCs w:val="22"/>
        </w:rPr>
        <w:t xml:space="preserve"> or health field from a U.S. institution by June 2013 and are less than 66 years of age on 1 February 2015.</w:t>
      </w:r>
      <w:r>
        <w:rPr>
          <w:sz w:val="22"/>
          <w:szCs w:val="22"/>
        </w:rPr>
        <w:t xml:space="preserve"> As </w:t>
      </w:r>
      <w:r w:rsidR="00D33B76">
        <w:rPr>
          <w:sz w:val="22"/>
          <w:szCs w:val="22"/>
        </w:rPr>
        <w:t xml:space="preserve">with </w:t>
      </w:r>
      <w:r>
        <w:rPr>
          <w:sz w:val="22"/>
          <w:szCs w:val="22"/>
        </w:rPr>
        <w:t>the cross-sectional weights, the longitudinal weighting procedures consist of a series of statistical adjustments</w:t>
      </w:r>
      <w:r w:rsidRPr="00163325">
        <w:rPr>
          <w:sz w:val="22"/>
          <w:szCs w:val="22"/>
        </w:rPr>
        <w:t xml:space="preserve"> </w:t>
      </w:r>
      <w:r>
        <w:rPr>
          <w:sz w:val="22"/>
          <w:szCs w:val="22"/>
        </w:rPr>
        <w:t>to the</w:t>
      </w:r>
      <w:r w:rsidR="005154D2">
        <w:rPr>
          <w:sz w:val="22"/>
          <w:szCs w:val="22"/>
        </w:rPr>
        <w:t xml:space="preserve">ir </w:t>
      </w:r>
      <w:r w:rsidRPr="00163325">
        <w:rPr>
          <w:sz w:val="22"/>
          <w:szCs w:val="22"/>
        </w:rPr>
        <w:t>sampl</w:t>
      </w:r>
      <w:r w:rsidR="00D33B76">
        <w:rPr>
          <w:sz w:val="22"/>
          <w:szCs w:val="22"/>
        </w:rPr>
        <w:t>e</w:t>
      </w:r>
      <w:r w:rsidRPr="00163325">
        <w:rPr>
          <w:sz w:val="22"/>
          <w:szCs w:val="22"/>
        </w:rPr>
        <w:t xml:space="preserve"> weights</w:t>
      </w:r>
      <w:r w:rsidR="00D33B76">
        <w:rPr>
          <w:sz w:val="22"/>
          <w:szCs w:val="22"/>
        </w:rPr>
        <w:t xml:space="preserve"> as well</w:t>
      </w:r>
      <w:r>
        <w:rPr>
          <w:sz w:val="22"/>
          <w:szCs w:val="22"/>
        </w:rPr>
        <w:t xml:space="preserve">. To account for the two-phase nature of the sample, the sampling weights are the final 2015 cross-sectional weights divided by the selection probabilities associated with inclusion into the longitudinal sample. These sampling weights are </w:t>
      </w:r>
      <w:r w:rsidR="00D33B76">
        <w:rPr>
          <w:sz w:val="22"/>
          <w:szCs w:val="22"/>
        </w:rPr>
        <w:t xml:space="preserve">then </w:t>
      </w:r>
      <w:r>
        <w:rPr>
          <w:sz w:val="22"/>
          <w:szCs w:val="22"/>
        </w:rPr>
        <w:t xml:space="preserve">adjusted for unknown eligibility and nonresponse, </w:t>
      </w:r>
      <w:r>
        <w:rPr>
          <w:sz w:val="22"/>
          <w:szCs w:val="22"/>
        </w:rPr>
        <w:t>similar to</w:t>
      </w:r>
      <w:r>
        <w:rPr>
          <w:sz w:val="22"/>
          <w:szCs w:val="22"/>
        </w:rPr>
        <w:t xml:space="preserve"> the procedures for the cross-sectional sample. Finally, they are adjusted by raking to </w:t>
      </w:r>
      <w:r w:rsidR="00D33B76">
        <w:rPr>
          <w:sz w:val="22"/>
          <w:szCs w:val="22"/>
        </w:rPr>
        <w:t xml:space="preserve">the </w:t>
      </w:r>
      <w:r>
        <w:rPr>
          <w:sz w:val="22"/>
          <w:szCs w:val="22"/>
        </w:rPr>
        <w:t>2015 frame totals</w:t>
      </w:r>
      <w:r w:rsidR="005D4722">
        <w:rPr>
          <w:sz w:val="22"/>
          <w:szCs w:val="22"/>
        </w:rPr>
        <w:t xml:space="preserve"> </w:t>
      </w:r>
      <w:r w:rsidR="00D33B76">
        <w:rPr>
          <w:sz w:val="22"/>
          <w:szCs w:val="22"/>
        </w:rPr>
        <w:t xml:space="preserve">noted above </w:t>
      </w:r>
      <w:r>
        <w:rPr>
          <w:sz w:val="22"/>
          <w:szCs w:val="22"/>
        </w:rPr>
        <w:t xml:space="preserve">and to </w:t>
      </w:r>
      <w:r w:rsidR="00D33B76">
        <w:rPr>
          <w:sz w:val="22"/>
          <w:szCs w:val="22"/>
        </w:rPr>
        <w:t xml:space="preserve">the </w:t>
      </w:r>
      <w:r>
        <w:rPr>
          <w:sz w:val="22"/>
          <w:szCs w:val="22"/>
        </w:rPr>
        <w:t xml:space="preserve">cross-sectional </w:t>
      </w:r>
      <w:r w:rsidR="00D33B76">
        <w:rPr>
          <w:sz w:val="22"/>
          <w:szCs w:val="22"/>
        </w:rPr>
        <w:t xml:space="preserve">population </w:t>
      </w:r>
      <w:r>
        <w:rPr>
          <w:sz w:val="22"/>
          <w:szCs w:val="22"/>
        </w:rPr>
        <w:t>estimates of the 2017, 2019</w:t>
      </w:r>
      <w:r w:rsidR="00AF2C46">
        <w:rPr>
          <w:sz w:val="22"/>
          <w:szCs w:val="22"/>
        </w:rPr>
        <w:t>, 2021</w:t>
      </w:r>
      <w:r>
        <w:rPr>
          <w:sz w:val="22"/>
          <w:szCs w:val="22"/>
        </w:rPr>
        <w:t xml:space="preserve"> and </w:t>
      </w:r>
      <w:r w:rsidR="005154D2">
        <w:rPr>
          <w:sz w:val="22"/>
          <w:szCs w:val="22"/>
        </w:rPr>
        <w:t xml:space="preserve">subsequent </w:t>
      </w:r>
      <w:r>
        <w:rPr>
          <w:sz w:val="22"/>
          <w:szCs w:val="22"/>
        </w:rPr>
        <w:t>202</w:t>
      </w:r>
      <w:r w:rsidR="00AF2C46">
        <w:rPr>
          <w:sz w:val="22"/>
          <w:szCs w:val="22"/>
        </w:rPr>
        <w:t>3</w:t>
      </w:r>
      <w:r>
        <w:rPr>
          <w:sz w:val="22"/>
          <w:szCs w:val="22"/>
        </w:rPr>
        <w:t xml:space="preserve"> SDR.</w:t>
      </w:r>
    </w:p>
    <w:p w:rsidR="00046B7E" w:rsidRPr="003C4997" w:rsidP="00046B7E" w14:paraId="03A116DC" w14:textId="77777777">
      <w:pPr>
        <w:rPr>
          <w:b/>
          <w:i/>
          <w:sz w:val="22"/>
          <w:szCs w:val="22"/>
        </w:rPr>
      </w:pPr>
    </w:p>
    <w:p w:rsidR="00046B7E" w:rsidRPr="003C4997" w:rsidP="00046B7E" w14:paraId="55F6A979" w14:textId="77777777">
      <w:pPr>
        <w:spacing w:after="120"/>
      </w:pPr>
      <w:r w:rsidRPr="003C4997">
        <w:rPr>
          <w:b/>
        </w:rPr>
        <w:t>2.2 Item Nonresponse Adjustment</w:t>
      </w:r>
    </w:p>
    <w:p w:rsidR="11403257" w:rsidP="556638B9" w14:paraId="0EA9BF05" w14:textId="55576C8A">
      <w:pPr>
        <w:rPr>
          <w:sz w:val="22"/>
          <w:szCs w:val="22"/>
        </w:rPr>
      </w:pPr>
      <w:r w:rsidRPr="556638B9">
        <w:rPr>
          <w:sz w:val="22"/>
          <w:szCs w:val="22"/>
        </w:rPr>
        <w:t>Historically, t</w:t>
      </w:r>
      <w:r w:rsidRPr="556638B9" w:rsidR="0B858240">
        <w:rPr>
          <w:sz w:val="22"/>
          <w:szCs w:val="22"/>
        </w:rPr>
        <w:t>he SDR has conducted comprehensive imputation to fill in item-level missing data</w:t>
      </w:r>
      <w:r w:rsidRPr="556638B9" w:rsidR="687159FC">
        <w:rPr>
          <w:sz w:val="22"/>
          <w:szCs w:val="22"/>
        </w:rPr>
        <w:t xml:space="preserve"> in the cross-sectional sample</w:t>
      </w:r>
      <w:r w:rsidRPr="556638B9" w:rsidR="0B858240">
        <w:rPr>
          <w:sz w:val="22"/>
          <w:szCs w:val="22"/>
        </w:rPr>
        <w:t xml:space="preserve">. Two general methods of imputation, logical </w:t>
      </w:r>
      <w:r w:rsidRPr="556638B9" w:rsidR="0B858240">
        <w:rPr>
          <w:sz w:val="22"/>
          <w:szCs w:val="22"/>
        </w:rPr>
        <w:t>imputation</w:t>
      </w:r>
      <w:r w:rsidRPr="556638B9" w:rsidR="0B858240">
        <w:rPr>
          <w:sz w:val="22"/>
          <w:szCs w:val="22"/>
        </w:rPr>
        <w:t xml:space="preserve"> and </w:t>
      </w:r>
      <w:r w:rsidRPr="556638B9" w:rsidR="1AE44848">
        <w:rPr>
          <w:sz w:val="22"/>
          <w:szCs w:val="22"/>
        </w:rPr>
        <w:t>hot deck</w:t>
      </w:r>
      <w:r w:rsidRPr="556638B9" w:rsidR="0B858240">
        <w:rPr>
          <w:sz w:val="22"/>
          <w:szCs w:val="22"/>
        </w:rPr>
        <w:t xml:space="preserve"> imputation, have been used. The logical imputation method is employed during the data editing process when the answer to a missing item can be deduced from past data, or from other responses from the same respondent. For those items still missing after logical imputation, a hot deck imputation method is employed. </w:t>
      </w:r>
    </w:p>
    <w:p w:rsidR="556638B9" w:rsidP="556638B9" w14:paraId="22F6B65B" w14:textId="5AA2575C">
      <w:pPr>
        <w:rPr>
          <w:sz w:val="22"/>
          <w:szCs w:val="22"/>
        </w:rPr>
      </w:pPr>
    </w:p>
    <w:p w:rsidR="003A7A1C" w:rsidP="556638B9" w14:paraId="18CBF827" w14:textId="144D9E7A">
      <w:pPr>
        <w:rPr>
          <w:sz w:val="22"/>
          <w:szCs w:val="22"/>
        </w:rPr>
      </w:pPr>
      <w:r w:rsidRPr="1C238FF3">
        <w:rPr>
          <w:sz w:val="22"/>
          <w:szCs w:val="22"/>
        </w:rPr>
        <w:t xml:space="preserve">In hot-deck imputation, a missing survey item for </w:t>
      </w:r>
      <w:r w:rsidR="00A744E0">
        <w:rPr>
          <w:sz w:val="22"/>
          <w:szCs w:val="22"/>
        </w:rPr>
        <w:t>any</w:t>
      </w:r>
      <w:r w:rsidRPr="1C238FF3" w:rsidR="00A744E0">
        <w:rPr>
          <w:sz w:val="22"/>
          <w:szCs w:val="22"/>
        </w:rPr>
        <w:t xml:space="preserve"> </w:t>
      </w:r>
      <w:r w:rsidRPr="1C238FF3">
        <w:rPr>
          <w:sz w:val="22"/>
          <w:szCs w:val="22"/>
        </w:rPr>
        <w:t xml:space="preserve">respondent is </w:t>
      </w:r>
      <w:r w:rsidRPr="1C238FF3" w:rsidR="73829B73">
        <w:rPr>
          <w:sz w:val="22"/>
          <w:szCs w:val="22"/>
        </w:rPr>
        <w:t>replaced</w:t>
      </w:r>
      <w:r w:rsidRPr="1C238FF3">
        <w:rPr>
          <w:sz w:val="22"/>
          <w:szCs w:val="22"/>
        </w:rPr>
        <w:t xml:space="preserve"> </w:t>
      </w:r>
      <w:r w:rsidRPr="1C238FF3" w:rsidR="7A2E4067">
        <w:rPr>
          <w:sz w:val="22"/>
          <w:szCs w:val="22"/>
        </w:rPr>
        <w:t>with</w:t>
      </w:r>
      <w:r w:rsidRPr="1C238FF3">
        <w:rPr>
          <w:sz w:val="22"/>
          <w:szCs w:val="22"/>
        </w:rPr>
        <w:t xml:space="preserve"> </w:t>
      </w:r>
      <w:r w:rsidRPr="1C238FF3" w:rsidR="2E941C99">
        <w:rPr>
          <w:sz w:val="22"/>
          <w:szCs w:val="22"/>
        </w:rPr>
        <w:t xml:space="preserve">reported </w:t>
      </w:r>
      <w:r w:rsidRPr="1C238FF3">
        <w:rPr>
          <w:sz w:val="22"/>
          <w:szCs w:val="22"/>
        </w:rPr>
        <w:t>data from another respondent</w:t>
      </w:r>
      <w:r w:rsidRPr="1C238FF3" w:rsidR="18F6D6F0">
        <w:rPr>
          <w:sz w:val="22"/>
          <w:szCs w:val="22"/>
        </w:rPr>
        <w:t xml:space="preserve">, </w:t>
      </w:r>
      <w:r w:rsidRPr="1C238FF3">
        <w:rPr>
          <w:sz w:val="22"/>
          <w:szCs w:val="22"/>
        </w:rPr>
        <w:t xml:space="preserve">referred to as a donor. The respondent with the imputed survey data is referred to as a recipient. For each imputed item, potential donors are selected </w:t>
      </w:r>
      <w:r w:rsidRPr="1C238FF3" w:rsidR="134BF1B0">
        <w:rPr>
          <w:sz w:val="22"/>
          <w:szCs w:val="22"/>
        </w:rPr>
        <w:t xml:space="preserve">within the same class </w:t>
      </w:r>
      <w:r w:rsidRPr="1C238FF3">
        <w:rPr>
          <w:sz w:val="22"/>
          <w:szCs w:val="22"/>
        </w:rPr>
        <w:t xml:space="preserve">to match recipients based on </w:t>
      </w:r>
      <w:r w:rsidRPr="1C238FF3" w:rsidR="37A2AF80">
        <w:rPr>
          <w:sz w:val="22"/>
          <w:szCs w:val="22"/>
        </w:rPr>
        <w:t xml:space="preserve">key </w:t>
      </w:r>
      <w:r w:rsidRPr="1C238FF3" w:rsidR="641C35C9">
        <w:rPr>
          <w:sz w:val="22"/>
          <w:szCs w:val="22"/>
        </w:rPr>
        <w:t xml:space="preserve">class </w:t>
      </w:r>
      <w:r w:rsidRPr="1C238FF3">
        <w:rPr>
          <w:sz w:val="22"/>
          <w:szCs w:val="22"/>
        </w:rPr>
        <w:t xml:space="preserve">variables. </w:t>
      </w:r>
      <w:r w:rsidRPr="1C238FF3" w:rsidR="0B858240">
        <w:rPr>
          <w:sz w:val="22"/>
          <w:szCs w:val="22"/>
        </w:rPr>
        <w:t xml:space="preserve">The </w:t>
      </w:r>
      <w:r w:rsidRPr="1C238FF3" w:rsidR="55717956">
        <w:rPr>
          <w:sz w:val="22"/>
          <w:szCs w:val="22"/>
        </w:rPr>
        <w:t>202</w:t>
      </w:r>
      <w:r w:rsidRPr="1C238FF3" w:rsidR="34CCEEFB">
        <w:rPr>
          <w:sz w:val="22"/>
          <w:szCs w:val="22"/>
        </w:rPr>
        <w:t>3</w:t>
      </w:r>
      <w:r w:rsidRPr="1C238FF3" w:rsidR="55717956">
        <w:rPr>
          <w:sz w:val="22"/>
          <w:szCs w:val="22"/>
        </w:rPr>
        <w:t xml:space="preserve"> </w:t>
      </w:r>
      <w:r w:rsidRPr="1C238FF3" w:rsidR="0B858240">
        <w:rPr>
          <w:sz w:val="22"/>
          <w:szCs w:val="22"/>
        </w:rPr>
        <w:t>SDR will use similar imputation techniques, although the actual imputation models may differ</w:t>
      </w:r>
      <w:r w:rsidRPr="1C238FF3" w:rsidR="766516DB">
        <w:rPr>
          <w:sz w:val="22"/>
          <w:szCs w:val="22"/>
        </w:rPr>
        <w:t xml:space="preserve"> </w:t>
      </w:r>
      <w:r w:rsidRPr="1C238FF3" w:rsidR="499C04FA">
        <w:rPr>
          <w:sz w:val="22"/>
          <w:szCs w:val="22"/>
        </w:rPr>
        <w:t>since</w:t>
      </w:r>
      <w:r w:rsidRPr="1C238FF3" w:rsidR="1AE44848">
        <w:rPr>
          <w:sz w:val="22"/>
          <w:szCs w:val="22"/>
        </w:rPr>
        <w:t xml:space="preserve"> </w:t>
      </w:r>
      <w:r w:rsidRPr="1C238FF3" w:rsidR="64664EC3">
        <w:rPr>
          <w:sz w:val="22"/>
          <w:szCs w:val="22"/>
        </w:rPr>
        <w:t xml:space="preserve">we will have additional </w:t>
      </w:r>
      <w:r w:rsidRPr="1C238FF3" w:rsidR="766516DB">
        <w:rPr>
          <w:sz w:val="22"/>
          <w:szCs w:val="22"/>
        </w:rPr>
        <w:t xml:space="preserve">data from the </w:t>
      </w:r>
      <w:r w:rsidRPr="1C238FF3" w:rsidR="687159FC">
        <w:rPr>
          <w:sz w:val="22"/>
          <w:szCs w:val="22"/>
        </w:rPr>
        <w:t>20</w:t>
      </w:r>
      <w:r w:rsidRPr="1C238FF3" w:rsidR="65645940">
        <w:rPr>
          <w:sz w:val="22"/>
          <w:szCs w:val="22"/>
        </w:rPr>
        <w:t>21</w:t>
      </w:r>
      <w:r w:rsidRPr="1C238FF3" w:rsidR="687159FC">
        <w:rPr>
          <w:sz w:val="22"/>
          <w:szCs w:val="22"/>
        </w:rPr>
        <w:t xml:space="preserve"> </w:t>
      </w:r>
      <w:r w:rsidRPr="1C238FF3" w:rsidR="766516DB">
        <w:rPr>
          <w:sz w:val="22"/>
          <w:szCs w:val="22"/>
        </w:rPr>
        <w:t>cycle to identify donors</w:t>
      </w:r>
      <w:r w:rsidRPr="1C238FF3" w:rsidR="40610705">
        <w:rPr>
          <w:sz w:val="22"/>
          <w:szCs w:val="22"/>
        </w:rPr>
        <w:t>, instead of only considering same-cycle (202</w:t>
      </w:r>
      <w:r w:rsidRPr="1C238FF3" w:rsidR="4CE567AF">
        <w:rPr>
          <w:sz w:val="22"/>
          <w:szCs w:val="22"/>
        </w:rPr>
        <w:t>3</w:t>
      </w:r>
      <w:r w:rsidRPr="1C238FF3" w:rsidR="40610705">
        <w:rPr>
          <w:sz w:val="22"/>
          <w:szCs w:val="22"/>
        </w:rPr>
        <w:t>) data</w:t>
      </w:r>
      <w:r w:rsidRPr="1C238FF3" w:rsidR="0B858240">
        <w:rPr>
          <w:sz w:val="22"/>
          <w:szCs w:val="22"/>
        </w:rPr>
        <w:t xml:space="preserve">. </w:t>
      </w:r>
    </w:p>
    <w:p w:rsidR="002F1B22" w:rsidP="556638B9" w14:paraId="57C383CF" w14:textId="77777777">
      <w:pPr>
        <w:rPr>
          <w:sz w:val="22"/>
          <w:szCs w:val="22"/>
        </w:rPr>
      </w:pPr>
    </w:p>
    <w:p w:rsidR="003A7A1C" w:rsidP="556638B9" w14:paraId="1396CE66" w14:textId="143AE97F">
      <w:pPr>
        <w:rPr>
          <w:sz w:val="22"/>
          <w:szCs w:val="22"/>
        </w:rPr>
      </w:pPr>
      <w:r w:rsidRPr="556638B9">
        <w:rPr>
          <w:sz w:val="22"/>
          <w:szCs w:val="22"/>
        </w:rPr>
        <w:t>For the longitudinal sample, item-level imputations from the cross-sectional sample will be retained for respondents to each cycle year. If a full cycle of data is missing for longitudinal sample members, a combination of logical and hot-deck imputation will be used to fill in complete information for the missing cycle year. In the longitudinal hot-deck imputation method, donors are selected based on similarity in key variables in the observed cycle years</w:t>
      </w:r>
      <w:r w:rsidRPr="556638B9" w:rsidR="64664EC3">
        <w:rPr>
          <w:sz w:val="22"/>
          <w:szCs w:val="22"/>
        </w:rPr>
        <w:t xml:space="preserve"> (</w:t>
      </w:r>
      <w:r w:rsidRPr="556638B9" w:rsidR="64CEA543">
        <w:rPr>
          <w:sz w:val="22"/>
          <w:szCs w:val="22"/>
        </w:rPr>
        <w:t xml:space="preserve">i.e., </w:t>
      </w:r>
      <w:r w:rsidRPr="556638B9" w:rsidR="64664EC3">
        <w:rPr>
          <w:sz w:val="22"/>
          <w:szCs w:val="22"/>
        </w:rPr>
        <w:t xml:space="preserve">responses in any of the </w:t>
      </w:r>
      <w:r w:rsidR="00133087">
        <w:rPr>
          <w:sz w:val="22"/>
          <w:szCs w:val="22"/>
        </w:rPr>
        <w:t xml:space="preserve">2015, </w:t>
      </w:r>
      <w:r w:rsidRPr="556638B9" w:rsidR="64664EC3">
        <w:rPr>
          <w:sz w:val="22"/>
          <w:szCs w:val="22"/>
        </w:rPr>
        <w:t>201</w:t>
      </w:r>
      <w:r w:rsidRPr="556638B9" w:rsidR="041876B7">
        <w:rPr>
          <w:sz w:val="22"/>
          <w:szCs w:val="22"/>
        </w:rPr>
        <w:t>7</w:t>
      </w:r>
      <w:r w:rsidRPr="556638B9" w:rsidR="64664EC3">
        <w:rPr>
          <w:sz w:val="22"/>
          <w:szCs w:val="22"/>
        </w:rPr>
        <w:t>, 201</w:t>
      </w:r>
      <w:r w:rsidRPr="556638B9" w:rsidR="6BCAA98E">
        <w:rPr>
          <w:sz w:val="22"/>
          <w:szCs w:val="22"/>
        </w:rPr>
        <w:t>9</w:t>
      </w:r>
      <w:r w:rsidRPr="556638B9" w:rsidR="64664EC3">
        <w:rPr>
          <w:sz w:val="22"/>
          <w:szCs w:val="22"/>
        </w:rPr>
        <w:t xml:space="preserve"> and 20</w:t>
      </w:r>
      <w:r w:rsidRPr="556638B9" w:rsidR="452A904A">
        <w:rPr>
          <w:sz w:val="22"/>
          <w:szCs w:val="22"/>
        </w:rPr>
        <w:t>21</w:t>
      </w:r>
      <w:r w:rsidRPr="556638B9" w:rsidR="64664EC3">
        <w:rPr>
          <w:sz w:val="22"/>
          <w:szCs w:val="22"/>
        </w:rPr>
        <w:t xml:space="preserve"> cycles)</w:t>
      </w:r>
      <w:r w:rsidRPr="556638B9">
        <w:rPr>
          <w:sz w:val="22"/>
          <w:szCs w:val="22"/>
        </w:rPr>
        <w:t>.</w:t>
      </w:r>
    </w:p>
    <w:p w:rsidR="00046B7E" w:rsidP="00046B7E" w14:paraId="3EF045DA" w14:textId="77777777">
      <w:pPr>
        <w:jc w:val="center"/>
        <w:rPr>
          <w:b/>
          <w:i/>
          <w:sz w:val="22"/>
          <w:szCs w:val="22"/>
        </w:rPr>
      </w:pPr>
    </w:p>
    <w:p w:rsidR="00046B7E" w:rsidRPr="00F0460B" w:rsidP="00046B7E" w14:paraId="22B48AF2" w14:textId="06BB4C1C">
      <w:pPr>
        <w:spacing w:after="120"/>
      </w:pPr>
      <w:r w:rsidRPr="003C4997">
        <w:rPr>
          <w:b/>
        </w:rPr>
        <w:t xml:space="preserve">2.3 </w:t>
      </w:r>
      <w:r w:rsidRPr="00F0460B">
        <w:rPr>
          <w:b/>
        </w:rPr>
        <w:t>Variance Estimation</w:t>
      </w:r>
    </w:p>
    <w:p w:rsidR="00046B7E" w:rsidP="00046B7E" w14:paraId="4564C71F" w14:textId="480596F9">
      <w:pPr>
        <w:rPr>
          <w:sz w:val="22"/>
          <w:szCs w:val="22"/>
        </w:rPr>
      </w:pPr>
      <w:r w:rsidRPr="003F1BFE">
        <w:rPr>
          <w:sz w:val="22"/>
          <w:szCs w:val="22"/>
        </w:rPr>
        <w:t xml:space="preserve">The SDR has </w:t>
      </w:r>
      <w:r w:rsidR="00954D55">
        <w:rPr>
          <w:sz w:val="22"/>
          <w:szCs w:val="22"/>
        </w:rPr>
        <w:t>used the</w:t>
      </w:r>
      <w:r w:rsidRPr="003F1BFE">
        <w:rPr>
          <w:sz w:val="22"/>
          <w:szCs w:val="22"/>
        </w:rPr>
        <w:t xml:space="preserve"> Successive Difference Replication Method (SDRM) for variance estimation</w:t>
      </w:r>
      <w:r w:rsidR="0063305B">
        <w:rPr>
          <w:sz w:val="22"/>
          <w:szCs w:val="22"/>
        </w:rPr>
        <w:t xml:space="preserve"> since 2015</w:t>
      </w:r>
      <w:r w:rsidRPr="003F1BFE">
        <w:rPr>
          <w:sz w:val="22"/>
          <w:szCs w:val="22"/>
        </w:rPr>
        <w:t xml:space="preserve">. The SDRM method was designed to be used with systematic samples </w:t>
      </w:r>
      <w:r>
        <w:rPr>
          <w:sz w:val="22"/>
          <w:szCs w:val="22"/>
        </w:rPr>
        <w:t>when</w:t>
      </w:r>
      <w:r w:rsidRPr="003F1BFE">
        <w:rPr>
          <w:sz w:val="22"/>
          <w:szCs w:val="22"/>
        </w:rPr>
        <w:t xml:space="preserve"> the sort order of the sample is informative</w:t>
      </w:r>
      <w:r>
        <w:rPr>
          <w:sz w:val="22"/>
          <w:szCs w:val="22"/>
        </w:rPr>
        <w:t>.</w:t>
      </w:r>
      <w:r w:rsidRPr="003F1BFE">
        <w:rPr>
          <w:sz w:val="22"/>
          <w:szCs w:val="22"/>
        </w:rPr>
        <w:t xml:space="preserve"> </w:t>
      </w:r>
      <w:r>
        <w:rPr>
          <w:sz w:val="22"/>
          <w:szCs w:val="22"/>
        </w:rPr>
        <w:t>This</w:t>
      </w:r>
      <w:r w:rsidRPr="003F1BFE">
        <w:rPr>
          <w:sz w:val="22"/>
          <w:szCs w:val="22"/>
        </w:rPr>
        <w:t xml:space="preserve"> is the case </w:t>
      </w:r>
      <w:r>
        <w:rPr>
          <w:sz w:val="22"/>
          <w:szCs w:val="22"/>
        </w:rPr>
        <w:t xml:space="preserve">for the </w:t>
      </w:r>
      <w:r w:rsidR="003A7A1C">
        <w:rPr>
          <w:sz w:val="22"/>
          <w:szCs w:val="22"/>
        </w:rPr>
        <w:t>202</w:t>
      </w:r>
      <w:r w:rsidR="006D37F1">
        <w:rPr>
          <w:sz w:val="22"/>
          <w:szCs w:val="22"/>
        </w:rPr>
        <w:t>3</w:t>
      </w:r>
      <w:r w:rsidRPr="003F1BFE" w:rsidR="003A7A1C">
        <w:rPr>
          <w:sz w:val="22"/>
          <w:szCs w:val="22"/>
        </w:rPr>
        <w:t xml:space="preserve"> </w:t>
      </w:r>
      <w:r w:rsidRPr="003F1BFE">
        <w:rPr>
          <w:sz w:val="22"/>
          <w:szCs w:val="22"/>
        </w:rPr>
        <w:t>SDR</w:t>
      </w:r>
      <w:r>
        <w:rPr>
          <w:sz w:val="22"/>
          <w:szCs w:val="22"/>
        </w:rPr>
        <w:t>,</w:t>
      </w:r>
      <w:r w:rsidRPr="003F1BFE">
        <w:rPr>
          <w:sz w:val="22"/>
          <w:szCs w:val="22"/>
        </w:rPr>
        <w:t xml:space="preserve"> </w:t>
      </w:r>
      <w:r>
        <w:rPr>
          <w:sz w:val="22"/>
          <w:szCs w:val="22"/>
        </w:rPr>
        <w:t>which employs systematic sampling</w:t>
      </w:r>
      <w:r w:rsidRPr="003F1BFE">
        <w:rPr>
          <w:sz w:val="22"/>
          <w:szCs w:val="22"/>
        </w:rPr>
        <w:t xml:space="preserve"> after sorting cases within each stratum by selected demographic variables. </w:t>
      </w:r>
      <w:r w:rsidR="003A7A1C">
        <w:rPr>
          <w:sz w:val="22"/>
          <w:szCs w:val="22"/>
        </w:rPr>
        <w:t>As in prior cycles</w:t>
      </w:r>
      <w:r w:rsidRPr="001F3FBC">
        <w:rPr>
          <w:sz w:val="22"/>
          <w:szCs w:val="22"/>
        </w:rPr>
        <w:t xml:space="preserve">, a total of </w:t>
      </w:r>
      <w:r w:rsidRPr="003C4997">
        <w:rPr>
          <w:sz w:val="22"/>
          <w:szCs w:val="22"/>
        </w:rPr>
        <w:t>104</w:t>
      </w:r>
      <w:r w:rsidRPr="001F3FBC">
        <w:rPr>
          <w:sz w:val="22"/>
          <w:szCs w:val="22"/>
        </w:rPr>
        <w:t xml:space="preserve"> replicates </w:t>
      </w:r>
      <w:r w:rsidR="003A7A1C">
        <w:rPr>
          <w:sz w:val="22"/>
          <w:szCs w:val="22"/>
        </w:rPr>
        <w:t>will be used for both the cross-sectional and the longitudinal samples</w:t>
      </w:r>
      <w:r w:rsidR="0063305B">
        <w:rPr>
          <w:sz w:val="22"/>
          <w:szCs w:val="22"/>
        </w:rPr>
        <w:t xml:space="preserve"> for the 202</w:t>
      </w:r>
      <w:r w:rsidR="00961250">
        <w:rPr>
          <w:sz w:val="22"/>
          <w:szCs w:val="22"/>
        </w:rPr>
        <w:t>3</w:t>
      </w:r>
      <w:r w:rsidR="0063305B">
        <w:rPr>
          <w:sz w:val="22"/>
          <w:szCs w:val="22"/>
        </w:rPr>
        <w:t xml:space="preserve"> SDR</w:t>
      </w:r>
      <w:r>
        <w:rPr>
          <w:sz w:val="22"/>
          <w:szCs w:val="22"/>
        </w:rPr>
        <w:t xml:space="preserve">. Within each replicate, the final weight is developed using the same </w:t>
      </w:r>
      <w:r w:rsidR="00954D55">
        <w:rPr>
          <w:sz w:val="22"/>
          <w:szCs w:val="22"/>
        </w:rPr>
        <w:t xml:space="preserve">weighting adjustment </w:t>
      </w:r>
      <w:r>
        <w:rPr>
          <w:sz w:val="22"/>
          <w:szCs w:val="22"/>
        </w:rPr>
        <w:t>procedures applied to the full sample</w:t>
      </w:r>
      <w:r w:rsidR="00F976FB">
        <w:rPr>
          <w:sz w:val="22"/>
          <w:szCs w:val="22"/>
        </w:rPr>
        <w:t xml:space="preserve"> (i.e., the </w:t>
      </w:r>
      <w:r w:rsidR="00E87DCA">
        <w:rPr>
          <w:sz w:val="22"/>
          <w:szCs w:val="22"/>
        </w:rPr>
        <w:t>cross-sectional and longitudinal sample combined)</w:t>
      </w:r>
      <w:r w:rsidR="00B36669">
        <w:rPr>
          <w:sz w:val="22"/>
          <w:szCs w:val="22"/>
        </w:rPr>
        <w:t>.</w:t>
      </w:r>
      <w:r w:rsidR="003A7A1C">
        <w:rPr>
          <w:sz w:val="22"/>
          <w:szCs w:val="22"/>
        </w:rPr>
        <w:t xml:space="preserve"> In the case of the longitudinal sample, the two-phase nature of the sampling weights will be incorporated into the variance estimation by applying the raking step for each replicate to control totals that are derived from the cross-sectional replicates instead of the fixed control totals used for the cross-sectional sample.</w:t>
      </w:r>
      <w:r w:rsidR="00B36669">
        <w:rPr>
          <w:sz w:val="22"/>
          <w:szCs w:val="22"/>
        </w:rPr>
        <w:t xml:space="preserve"> </w:t>
      </w:r>
      <w:r w:rsidRPr="001F3FBC">
        <w:rPr>
          <w:sz w:val="22"/>
          <w:szCs w:val="22"/>
        </w:rPr>
        <w:t xml:space="preserve">The SDRM replicate weights can </w:t>
      </w:r>
      <w:r>
        <w:rPr>
          <w:sz w:val="22"/>
          <w:szCs w:val="22"/>
        </w:rPr>
        <w:t xml:space="preserve">be </w:t>
      </w:r>
      <w:r w:rsidRPr="001F3FBC">
        <w:rPr>
          <w:sz w:val="22"/>
          <w:szCs w:val="22"/>
        </w:rPr>
        <w:t>use</w:t>
      </w:r>
      <w:r>
        <w:rPr>
          <w:sz w:val="22"/>
          <w:szCs w:val="22"/>
        </w:rPr>
        <w:t>d</w:t>
      </w:r>
      <w:r w:rsidRPr="001F3FBC">
        <w:rPr>
          <w:sz w:val="22"/>
          <w:szCs w:val="22"/>
        </w:rPr>
        <w:t xml:space="preserve"> to </w:t>
      </w:r>
      <w:r w:rsidR="003A7A1C">
        <w:rPr>
          <w:sz w:val="22"/>
          <w:szCs w:val="22"/>
        </w:rPr>
        <w:t>estimate</w:t>
      </w:r>
      <w:r w:rsidRPr="001F3FBC" w:rsidR="003A7A1C">
        <w:rPr>
          <w:sz w:val="22"/>
          <w:szCs w:val="22"/>
        </w:rPr>
        <w:t xml:space="preserve"> </w:t>
      </w:r>
      <w:r w:rsidRPr="001F3FBC">
        <w:rPr>
          <w:sz w:val="22"/>
          <w:szCs w:val="22"/>
        </w:rPr>
        <w:t xml:space="preserve">the variance of point estimates by using </w:t>
      </w:r>
      <w:r w:rsidR="003A7A1C">
        <w:rPr>
          <w:sz w:val="22"/>
          <w:szCs w:val="22"/>
        </w:rPr>
        <w:t xml:space="preserve">survey </w:t>
      </w:r>
      <w:r w:rsidRPr="001F3FBC">
        <w:rPr>
          <w:sz w:val="22"/>
          <w:szCs w:val="22"/>
        </w:rPr>
        <w:t>variance estimation software pa</w:t>
      </w:r>
      <w:r>
        <w:rPr>
          <w:sz w:val="22"/>
          <w:szCs w:val="22"/>
        </w:rPr>
        <w:t xml:space="preserve">ckages such as SAS </w:t>
      </w:r>
      <w:r w:rsidR="003A7A1C">
        <w:rPr>
          <w:sz w:val="22"/>
          <w:szCs w:val="22"/>
        </w:rPr>
        <w:t>or R</w:t>
      </w:r>
      <w:r>
        <w:rPr>
          <w:sz w:val="22"/>
          <w:szCs w:val="22"/>
        </w:rPr>
        <w:t xml:space="preserve">. </w:t>
      </w:r>
    </w:p>
    <w:p w:rsidR="00046B7E" w:rsidRPr="009C4537" w:rsidP="00720C04" w14:paraId="082B417C" w14:textId="77777777">
      <w:pPr>
        <w:pStyle w:val="Heading2"/>
        <w:spacing w:before="280" w:after="280"/>
        <w:ind w:left="547" w:hanging="547"/>
        <w:rPr>
          <w:i w:val="0"/>
        </w:rPr>
      </w:pPr>
      <w:bookmarkStart w:id="10" w:name="_Toc475701070"/>
      <w:bookmarkStart w:id="11" w:name="_Toc410981793"/>
      <w:r w:rsidRPr="009C4537">
        <w:rPr>
          <w:i w:val="0"/>
        </w:rPr>
        <w:t>3.</w:t>
      </w:r>
      <w:r w:rsidRPr="009C4537">
        <w:rPr>
          <w:i w:val="0"/>
        </w:rPr>
        <w:tab/>
        <w:t>METHODS TO MAXIMIZE RESPONSE</w:t>
      </w:r>
      <w:bookmarkEnd w:id="10"/>
    </w:p>
    <w:p w:rsidR="00046B7E" w:rsidRPr="009C4537" w:rsidP="00046B7E" w14:paraId="7E7BE4B2" w14:textId="77777777">
      <w:pPr>
        <w:pStyle w:val="Heading3"/>
        <w:rPr>
          <w:i w:val="0"/>
          <w:sz w:val="24"/>
        </w:rPr>
      </w:pPr>
      <w:bookmarkStart w:id="12" w:name="_Toc410981794"/>
      <w:bookmarkEnd w:id="11"/>
      <w:r w:rsidRPr="009C4537">
        <w:rPr>
          <w:i w:val="0"/>
          <w:sz w:val="24"/>
        </w:rPr>
        <w:t>3</w:t>
      </w:r>
      <w:r w:rsidRPr="009C4537">
        <w:rPr>
          <w:i w:val="0"/>
          <w:sz w:val="24"/>
          <w:lang w:val="x-none"/>
        </w:rPr>
        <w:t>.</w:t>
      </w:r>
      <w:r w:rsidRPr="009C4537">
        <w:rPr>
          <w:i w:val="0"/>
          <w:sz w:val="24"/>
        </w:rPr>
        <w:t>1 Maximizing Response Rates</w:t>
      </w:r>
      <w:bookmarkEnd w:id="12"/>
    </w:p>
    <w:p w:rsidR="00046B7E" w:rsidRPr="008D68C2" w:rsidP="00046B7E" w14:paraId="720178C5" w14:textId="55488C61">
      <w:pPr>
        <w:pStyle w:val="BodyText"/>
        <w:rPr>
          <w:color w:val="auto"/>
          <w:sz w:val="22"/>
          <w:szCs w:val="22"/>
        </w:rPr>
      </w:pPr>
      <w:r w:rsidRPr="009C4537">
        <w:rPr>
          <w:sz w:val="22"/>
          <w:szCs w:val="22"/>
        </w:rPr>
        <w:t xml:space="preserve">The weighted response rate for the </w:t>
      </w:r>
      <w:r w:rsidR="00DB71F1">
        <w:rPr>
          <w:sz w:val="22"/>
          <w:szCs w:val="22"/>
        </w:rPr>
        <w:t>20</w:t>
      </w:r>
      <w:r w:rsidR="00F06438">
        <w:rPr>
          <w:sz w:val="22"/>
          <w:szCs w:val="22"/>
        </w:rPr>
        <w:t>21</w:t>
      </w:r>
      <w:r w:rsidRPr="009C4537" w:rsidR="00DB71F1">
        <w:rPr>
          <w:sz w:val="22"/>
          <w:szCs w:val="22"/>
        </w:rPr>
        <w:t xml:space="preserve"> </w:t>
      </w:r>
      <w:r w:rsidRPr="009C4537">
        <w:rPr>
          <w:sz w:val="22"/>
          <w:szCs w:val="22"/>
        </w:rPr>
        <w:t xml:space="preserve">SDR was </w:t>
      </w:r>
      <w:r w:rsidR="00DB71F1">
        <w:rPr>
          <w:sz w:val="22"/>
          <w:szCs w:val="22"/>
        </w:rPr>
        <w:t>6</w:t>
      </w:r>
      <w:r w:rsidR="00F06438">
        <w:rPr>
          <w:sz w:val="22"/>
          <w:szCs w:val="22"/>
        </w:rPr>
        <w:t>5</w:t>
      </w:r>
      <w:r w:rsidRPr="009C4537" w:rsidR="00D0276C">
        <w:rPr>
          <w:sz w:val="22"/>
          <w:szCs w:val="22"/>
        </w:rPr>
        <w:t>%</w:t>
      </w:r>
      <w:r w:rsidRPr="009C4537">
        <w:rPr>
          <w:sz w:val="22"/>
          <w:szCs w:val="22"/>
        </w:rPr>
        <w:t xml:space="preserve"> (unweighted, </w:t>
      </w:r>
      <w:r w:rsidRPr="009C4537" w:rsidR="00DB71F1">
        <w:rPr>
          <w:sz w:val="22"/>
          <w:szCs w:val="22"/>
        </w:rPr>
        <w:t>6</w:t>
      </w:r>
      <w:r w:rsidR="00F06438">
        <w:rPr>
          <w:sz w:val="22"/>
          <w:szCs w:val="22"/>
        </w:rPr>
        <w:t>5</w:t>
      </w:r>
      <w:r w:rsidRPr="009C4537" w:rsidR="00EB6D51">
        <w:rPr>
          <w:sz w:val="22"/>
          <w:szCs w:val="22"/>
        </w:rPr>
        <w:t>%</w:t>
      </w:r>
      <w:r w:rsidRPr="009C4537" w:rsidR="004C013B">
        <w:rPr>
          <w:sz w:val="22"/>
          <w:szCs w:val="22"/>
        </w:rPr>
        <w:t>)</w:t>
      </w:r>
      <w:r w:rsidRPr="009C4537">
        <w:rPr>
          <w:sz w:val="22"/>
          <w:szCs w:val="22"/>
        </w:rPr>
        <w:t xml:space="preserve">. </w:t>
      </w:r>
      <w:r w:rsidR="00B64E91">
        <w:rPr>
          <w:sz w:val="22"/>
          <w:szCs w:val="22"/>
        </w:rPr>
        <w:t>T</w:t>
      </w:r>
      <w:r w:rsidRPr="009C4537" w:rsidR="00B64E91">
        <w:rPr>
          <w:sz w:val="22"/>
          <w:szCs w:val="22"/>
        </w:rPr>
        <w:t>o attain a targeted response rate of 7</w:t>
      </w:r>
      <w:r w:rsidR="00B64E91">
        <w:rPr>
          <w:sz w:val="22"/>
          <w:szCs w:val="22"/>
        </w:rPr>
        <w:t>0</w:t>
      </w:r>
      <w:r w:rsidRPr="009C4537" w:rsidR="00B64E91">
        <w:rPr>
          <w:sz w:val="22"/>
          <w:szCs w:val="22"/>
        </w:rPr>
        <w:t>% for 20</w:t>
      </w:r>
      <w:r w:rsidR="00B64E91">
        <w:rPr>
          <w:sz w:val="22"/>
          <w:szCs w:val="22"/>
        </w:rPr>
        <w:t>2</w:t>
      </w:r>
      <w:r w:rsidR="00F06438">
        <w:rPr>
          <w:sz w:val="22"/>
          <w:szCs w:val="22"/>
        </w:rPr>
        <w:t>3</w:t>
      </w:r>
      <w:r w:rsidR="00B64E91">
        <w:rPr>
          <w:sz w:val="22"/>
          <w:szCs w:val="22"/>
        </w:rPr>
        <w:t>, e</w:t>
      </w:r>
      <w:r w:rsidRPr="009C4537">
        <w:rPr>
          <w:sz w:val="22"/>
          <w:szCs w:val="22"/>
        </w:rPr>
        <w:t>xtensive locating efforts, nonresponse follow-up survey procedures, and targeted data collection protocols will be used</w:t>
      </w:r>
      <w:r w:rsidR="00B64E91">
        <w:rPr>
          <w:sz w:val="22"/>
          <w:szCs w:val="22"/>
        </w:rPr>
        <w:t xml:space="preserve"> during data collection</w:t>
      </w:r>
      <w:r w:rsidRPr="008D68C2" w:rsidR="00B64E91">
        <w:rPr>
          <w:color w:val="auto"/>
          <w:sz w:val="22"/>
          <w:szCs w:val="22"/>
        </w:rPr>
        <w:t>.</w:t>
      </w:r>
      <w:r w:rsidRPr="008D68C2">
        <w:rPr>
          <w:color w:val="auto"/>
          <w:sz w:val="22"/>
          <w:szCs w:val="22"/>
        </w:rPr>
        <w:t xml:space="preserve"> </w:t>
      </w:r>
      <w:r w:rsidRPr="008D68C2" w:rsidR="00B64E91">
        <w:rPr>
          <w:color w:val="auto"/>
          <w:sz w:val="22"/>
          <w:szCs w:val="22"/>
        </w:rPr>
        <w:t>In addition, b</w:t>
      </w:r>
      <w:r w:rsidRPr="008D68C2" w:rsidR="00EC5D14">
        <w:rPr>
          <w:color w:val="auto"/>
          <w:sz w:val="22"/>
          <w:szCs w:val="22"/>
        </w:rPr>
        <w:t xml:space="preserve">oth </w:t>
      </w:r>
      <w:r w:rsidRPr="008D68C2" w:rsidR="00B944DA">
        <w:rPr>
          <w:color w:val="auto"/>
          <w:sz w:val="22"/>
          <w:szCs w:val="22"/>
        </w:rPr>
        <w:t>a</w:t>
      </w:r>
      <w:r w:rsidRPr="008D68C2">
        <w:rPr>
          <w:color w:val="auto"/>
          <w:sz w:val="22"/>
          <w:szCs w:val="22"/>
        </w:rPr>
        <w:t>n early</w:t>
      </w:r>
      <w:r w:rsidRPr="008D68C2" w:rsidR="009C4537">
        <w:rPr>
          <w:color w:val="auto"/>
          <w:sz w:val="22"/>
          <w:szCs w:val="22"/>
        </w:rPr>
        <w:t>-stage</w:t>
      </w:r>
      <w:r w:rsidRPr="008D68C2">
        <w:rPr>
          <w:color w:val="auto"/>
          <w:sz w:val="22"/>
          <w:szCs w:val="22"/>
        </w:rPr>
        <w:t xml:space="preserve"> </w:t>
      </w:r>
      <w:r w:rsidRPr="008D68C2" w:rsidR="00B944DA">
        <w:rPr>
          <w:color w:val="auto"/>
          <w:sz w:val="22"/>
          <w:szCs w:val="22"/>
        </w:rPr>
        <w:t>and late</w:t>
      </w:r>
      <w:r w:rsidRPr="008D68C2" w:rsidR="009C4537">
        <w:rPr>
          <w:color w:val="auto"/>
          <w:sz w:val="22"/>
          <w:szCs w:val="22"/>
        </w:rPr>
        <w:t>-stage</w:t>
      </w:r>
      <w:r w:rsidRPr="008D68C2" w:rsidR="00B944DA">
        <w:rPr>
          <w:color w:val="auto"/>
          <w:sz w:val="22"/>
          <w:szCs w:val="22"/>
        </w:rPr>
        <w:t xml:space="preserve"> monetary </w:t>
      </w:r>
      <w:r w:rsidRPr="008D68C2">
        <w:rPr>
          <w:color w:val="auto"/>
          <w:sz w:val="22"/>
          <w:szCs w:val="22"/>
        </w:rPr>
        <w:t xml:space="preserve">incentive </w:t>
      </w:r>
      <w:r w:rsidRPr="008D68C2" w:rsidR="00B944DA">
        <w:rPr>
          <w:color w:val="auto"/>
          <w:sz w:val="22"/>
          <w:szCs w:val="22"/>
        </w:rPr>
        <w:t>will be offer</w:t>
      </w:r>
      <w:r w:rsidRPr="008D68C2" w:rsidR="00DB71F1">
        <w:rPr>
          <w:color w:val="auto"/>
          <w:sz w:val="22"/>
          <w:szCs w:val="22"/>
        </w:rPr>
        <w:t>ed</w:t>
      </w:r>
      <w:r w:rsidRPr="008D68C2" w:rsidR="00B944DA">
        <w:rPr>
          <w:color w:val="auto"/>
          <w:sz w:val="22"/>
          <w:szCs w:val="22"/>
        </w:rPr>
        <w:t xml:space="preserve"> </w:t>
      </w:r>
      <w:r w:rsidRPr="008D68C2">
        <w:rPr>
          <w:color w:val="auto"/>
          <w:sz w:val="22"/>
          <w:szCs w:val="22"/>
        </w:rPr>
        <w:t xml:space="preserve">as outlined in </w:t>
      </w:r>
      <w:r w:rsidR="00E44DFE">
        <w:rPr>
          <w:color w:val="auto"/>
          <w:sz w:val="22"/>
          <w:szCs w:val="22"/>
        </w:rPr>
        <w:t>S</w:t>
      </w:r>
      <w:r w:rsidRPr="008D68C2">
        <w:rPr>
          <w:color w:val="auto"/>
          <w:sz w:val="22"/>
          <w:szCs w:val="22"/>
        </w:rPr>
        <w:t>ection A.9</w:t>
      </w:r>
      <w:r w:rsidRPr="008D68C2" w:rsidR="00EB6D51">
        <w:rPr>
          <w:color w:val="auto"/>
          <w:sz w:val="22"/>
          <w:szCs w:val="22"/>
        </w:rPr>
        <w:t xml:space="preserve"> </w:t>
      </w:r>
      <w:r w:rsidRPr="008D68C2" w:rsidR="00CB2B3C">
        <w:rPr>
          <w:color w:val="auto"/>
          <w:sz w:val="22"/>
          <w:szCs w:val="22"/>
        </w:rPr>
        <w:t xml:space="preserve">and </w:t>
      </w:r>
      <w:r w:rsidR="00E44DFE">
        <w:rPr>
          <w:color w:val="auto"/>
          <w:sz w:val="22"/>
          <w:szCs w:val="22"/>
        </w:rPr>
        <w:t>S</w:t>
      </w:r>
      <w:r w:rsidRPr="008D68C2" w:rsidR="00CB2B3C">
        <w:rPr>
          <w:color w:val="auto"/>
          <w:sz w:val="22"/>
          <w:szCs w:val="22"/>
        </w:rPr>
        <w:t>ection B.4</w:t>
      </w:r>
      <w:r w:rsidR="00E44DFE">
        <w:rPr>
          <w:color w:val="auto"/>
          <w:sz w:val="22"/>
          <w:szCs w:val="22"/>
        </w:rPr>
        <w:t>.</w:t>
      </w:r>
    </w:p>
    <w:p w:rsidR="00046B7E" w:rsidRPr="000D77AA" w:rsidP="00046B7E" w14:paraId="3D83245D" w14:textId="77777777">
      <w:pPr>
        <w:pStyle w:val="BodyText"/>
        <w:rPr>
          <w:sz w:val="22"/>
          <w:szCs w:val="22"/>
        </w:rPr>
      </w:pPr>
    </w:p>
    <w:p w:rsidR="00046B7E" w:rsidRPr="003C4997" w:rsidP="00046B7E" w14:paraId="6B16D4EE" w14:textId="19588B6A">
      <w:pPr>
        <w:pStyle w:val="Heading3"/>
        <w:rPr>
          <w:i w:val="0"/>
          <w:sz w:val="24"/>
        </w:rPr>
      </w:pPr>
      <w:bookmarkStart w:id="13" w:name="_Toc410981795"/>
      <w:bookmarkStart w:id="14" w:name="OLE_LINK7"/>
      <w:r w:rsidRPr="003C4997">
        <w:rPr>
          <w:i w:val="0"/>
          <w:sz w:val="24"/>
        </w:rPr>
        <w:t>3</w:t>
      </w:r>
      <w:r w:rsidRPr="003C4997">
        <w:rPr>
          <w:i w:val="0"/>
          <w:sz w:val="24"/>
          <w:lang w:val="x-none"/>
        </w:rPr>
        <w:t>.</w:t>
      </w:r>
      <w:r w:rsidRPr="003C4997">
        <w:rPr>
          <w:i w:val="0"/>
          <w:sz w:val="24"/>
        </w:rPr>
        <w:t>2 Locating</w:t>
      </w:r>
      <w:bookmarkEnd w:id="13"/>
    </w:p>
    <w:p w:rsidR="00046B7E" w:rsidP="00046B7E" w14:paraId="65F3A3CC" w14:textId="1C98E7C5">
      <w:pPr>
        <w:rPr>
          <w:rFonts w:eastAsia="Calibri"/>
          <w:sz w:val="22"/>
          <w:szCs w:val="22"/>
          <w:lang w:bidi="en-US"/>
        </w:rPr>
      </w:pPr>
      <w:r>
        <w:rPr>
          <w:sz w:val="22"/>
          <w:szCs w:val="22"/>
        </w:rPr>
        <w:t xml:space="preserve">Continuing </w:t>
      </w:r>
      <w:r w:rsidRPr="5AB30E5D" w:rsidR="774DBA49">
        <w:rPr>
          <w:sz w:val="22"/>
          <w:szCs w:val="22"/>
        </w:rPr>
        <w:t xml:space="preserve">sample members </w:t>
      </w:r>
      <w:r w:rsidRPr="5AB30E5D" w:rsidR="36F59F43">
        <w:rPr>
          <w:sz w:val="22"/>
          <w:szCs w:val="22"/>
        </w:rPr>
        <w:t>who</w:t>
      </w:r>
      <w:r w:rsidRPr="5AB30E5D" w:rsidR="774DBA49">
        <w:rPr>
          <w:sz w:val="22"/>
          <w:szCs w:val="22"/>
        </w:rPr>
        <w:t xml:space="preserve"> </w:t>
      </w:r>
      <w:r w:rsidR="00B21EA2">
        <w:rPr>
          <w:sz w:val="22"/>
          <w:szCs w:val="22"/>
        </w:rPr>
        <w:t>we</w:t>
      </w:r>
      <w:r w:rsidRPr="5AB30E5D" w:rsidR="00B21EA2">
        <w:rPr>
          <w:sz w:val="22"/>
          <w:szCs w:val="22"/>
        </w:rPr>
        <w:t xml:space="preserve">re </w:t>
      </w:r>
      <w:r w:rsidRPr="5AB30E5D" w:rsidR="36F59F43">
        <w:rPr>
          <w:sz w:val="22"/>
          <w:szCs w:val="22"/>
        </w:rPr>
        <w:t>categorized</w:t>
      </w:r>
      <w:r w:rsidRPr="5AB30E5D" w:rsidR="42BB7284">
        <w:rPr>
          <w:sz w:val="22"/>
          <w:szCs w:val="22"/>
        </w:rPr>
        <w:t xml:space="preserve"> as </w:t>
      </w:r>
      <w:r w:rsidR="0064126A">
        <w:rPr>
          <w:sz w:val="22"/>
          <w:szCs w:val="22"/>
        </w:rPr>
        <w:t xml:space="preserve">being difficult to </w:t>
      </w:r>
      <w:r w:rsidRPr="5AB30E5D" w:rsidR="774DBA49">
        <w:rPr>
          <w:sz w:val="22"/>
          <w:szCs w:val="22"/>
        </w:rPr>
        <w:t>locat</w:t>
      </w:r>
      <w:r w:rsidR="0064126A">
        <w:rPr>
          <w:sz w:val="22"/>
          <w:szCs w:val="22"/>
        </w:rPr>
        <w:t>e</w:t>
      </w:r>
      <w:r w:rsidRPr="5AB30E5D" w:rsidR="774DBA49">
        <w:rPr>
          <w:sz w:val="22"/>
          <w:szCs w:val="22"/>
        </w:rPr>
        <w:t xml:space="preserve"> </w:t>
      </w:r>
      <w:r w:rsidR="00E62C31">
        <w:rPr>
          <w:sz w:val="22"/>
          <w:szCs w:val="22"/>
        </w:rPr>
        <w:t>or were not found</w:t>
      </w:r>
      <w:r w:rsidRPr="5AB30E5D" w:rsidR="00E62C31">
        <w:rPr>
          <w:sz w:val="22"/>
          <w:szCs w:val="22"/>
        </w:rPr>
        <w:t xml:space="preserve"> </w:t>
      </w:r>
      <w:r w:rsidRPr="5AB30E5D" w:rsidR="774DBA49">
        <w:rPr>
          <w:sz w:val="22"/>
          <w:szCs w:val="22"/>
        </w:rPr>
        <w:t xml:space="preserve">in </w:t>
      </w:r>
      <w:r w:rsidRPr="5AB30E5D" w:rsidR="219C073E">
        <w:rPr>
          <w:sz w:val="22"/>
          <w:szCs w:val="22"/>
        </w:rPr>
        <w:t>2021</w:t>
      </w:r>
      <w:r w:rsidR="0064126A">
        <w:rPr>
          <w:sz w:val="22"/>
          <w:szCs w:val="22"/>
        </w:rPr>
        <w:t xml:space="preserve"> </w:t>
      </w:r>
      <w:r w:rsidRPr="5AB30E5D" w:rsidR="774DBA49">
        <w:rPr>
          <w:sz w:val="22"/>
          <w:szCs w:val="22"/>
        </w:rPr>
        <w:t>and n</w:t>
      </w:r>
      <w:r w:rsidRPr="5AB30E5D" w:rsidR="5C2FB065">
        <w:rPr>
          <w:sz w:val="22"/>
          <w:szCs w:val="22"/>
        </w:rPr>
        <w:t xml:space="preserve">ew sample members </w:t>
      </w:r>
      <w:r w:rsidRPr="5AB30E5D" w:rsidR="774DBA49">
        <w:rPr>
          <w:sz w:val="22"/>
          <w:szCs w:val="22"/>
        </w:rPr>
        <w:t xml:space="preserve">with incomplete contacting data </w:t>
      </w:r>
      <w:r w:rsidRPr="5AB30E5D" w:rsidR="5C2FB065">
        <w:rPr>
          <w:sz w:val="22"/>
          <w:szCs w:val="22"/>
        </w:rPr>
        <w:t xml:space="preserve">will first need to be located before a request for </w:t>
      </w:r>
      <w:r w:rsidR="00456766">
        <w:rPr>
          <w:sz w:val="22"/>
          <w:szCs w:val="22"/>
        </w:rPr>
        <w:t xml:space="preserve">the 2023 </w:t>
      </w:r>
      <w:r w:rsidRPr="5AB30E5D" w:rsidR="5C2FB065">
        <w:rPr>
          <w:sz w:val="22"/>
          <w:szCs w:val="22"/>
        </w:rPr>
        <w:t>survey participation</w:t>
      </w:r>
      <w:r w:rsidR="005666EC">
        <w:rPr>
          <w:sz w:val="22"/>
          <w:szCs w:val="22"/>
        </w:rPr>
        <w:t xml:space="preserve"> can be made</w:t>
      </w:r>
      <w:r w:rsidRPr="5AB30E5D" w:rsidR="5C2FB065">
        <w:rPr>
          <w:sz w:val="22"/>
          <w:szCs w:val="22"/>
        </w:rPr>
        <w:t xml:space="preserve">. </w:t>
      </w:r>
      <w:r w:rsidRPr="5AB30E5D" w:rsidR="5C2FB065">
        <w:rPr>
          <w:rFonts w:eastAsia="Calibri"/>
          <w:sz w:val="22"/>
          <w:szCs w:val="22"/>
          <w:lang w:bidi="en-US"/>
        </w:rPr>
        <w:t xml:space="preserve">The </w:t>
      </w:r>
      <w:r w:rsidRPr="5AB30E5D" w:rsidR="219C073E">
        <w:rPr>
          <w:rFonts w:eastAsia="Calibri"/>
          <w:sz w:val="22"/>
          <w:szCs w:val="22"/>
          <w:lang w:bidi="en-US"/>
        </w:rPr>
        <w:t>202</w:t>
      </w:r>
      <w:r w:rsidRPr="5AB30E5D" w:rsidR="2B407248">
        <w:rPr>
          <w:rFonts w:eastAsia="Calibri"/>
          <w:sz w:val="22"/>
          <w:szCs w:val="22"/>
          <w:lang w:bidi="en-US"/>
        </w:rPr>
        <w:t>3</w:t>
      </w:r>
      <w:r w:rsidRPr="5AB30E5D" w:rsidR="219C073E">
        <w:rPr>
          <w:rFonts w:eastAsia="Calibri"/>
          <w:sz w:val="22"/>
          <w:szCs w:val="22"/>
          <w:lang w:bidi="en-US"/>
        </w:rPr>
        <w:t xml:space="preserve"> </w:t>
      </w:r>
      <w:r w:rsidRPr="5AB30E5D" w:rsidR="5C2FB065">
        <w:rPr>
          <w:rFonts w:eastAsia="Calibri"/>
          <w:sz w:val="22"/>
          <w:szCs w:val="22"/>
          <w:lang w:bidi="en-US"/>
        </w:rPr>
        <w:t>SDR will follow a locating protocol</w:t>
      </w:r>
      <w:r w:rsidRPr="5AB30E5D" w:rsidR="756C08F5">
        <w:rPr>
          <w:rFonts w:eastAsia="Calibri"/>
          <w:sz w:val="22"/>
          <w:szCs w:val="22"/>
          <w:lang w:bidi="en-US"/>
        </w:rPr>
        <w:t xml:space="preserve"> </w:t>
      </w:r>
      <w:r w:rsidRPr="5AB30E5D" w:rsidR="756C08F5">
        <w:rPr>
          <w:rFonts w:eastAsia="Calibri"/>
          <w:sz w:val="22"/>
          <w:szCs w:val="22"/>
          <w:lang w:bidi="en-US"/>
        </w:rPr>
        <w:t>similar to</w:t>
      </w:r>
      <w:r w:rsidRPr="5AB30E5D" w:rsidR="756C08F5">
        <w:rPr>
          <w:rFonts w:eastAsia="Calibri"/>
          <w:sz w:val="22"/>
          <w:szCs w:val="22"/>
          <w:lang w:bidi="en-US"/>
        </w:rPr>
        <w:t xml:space="preserve"> </w:t>
      </w:r>
      <w:r w:rsidRPr="5AB30E5D" w:rsidR="5C2FB065">
        <w:rPr>
          <w:rFonts w:eastAsia="Calibri"/>
          <w:sz w:val="22"/>
          <w:szCs w:val="22"/>
          <w:lang w:bidi="en-US"/>
        </w:rPr>
        <w:t>th</w:t>
      </w:r>
      <w:r w:rsidRPr="5AB30E5D" w:rsidR="47311004">
        <w:rPr>
          <w:rFonts w:eastAsia="Calibri"/>
          <w:sz w:val="22"/>
          <w:szCs w:val="22"/>
          <w:lang w:bidi="en-US"/>
        </w:rPr>
        <w:t>e approach</w:t>
      </w:r>
      <w:r w:rsidRPr="5AB30E5D" w:rsidR="5C2FB065">
        <w:rPr>
          <w:rFonts w:eastAsia="Calibri"/>
          <w:sz w:val="22"/>
          <w:szCs w:val="22"/>
          <w:lang w:bidi="en-US"/>
        </w:rPr>
        <w:t xml:space="preserve"> implemented in </w:t>
      </w:r>
      <w:r w:rsidRPr="5AB30E5D" w:rsidR="219C073E">
        <w:rPr>
          <w:rFonts w:eastAsia="Calibri"/>
          <w:sz w:val="22"/>
          <w:szCs w:val="22"/>
          <w:lang w:bidi="en-US"/>
        </w:rPr>
        <w:t>prior cycles</w:t>
      </w:r>
      <w:r w:rsidRPr="5AB30E5D" w:rsidR="5C2FB065">
        <w:rPr>
          <w:rFonts w:eastAsia="Calibri"/>
          <w:sz w:val="22"/>
          <w:szCs w:val="22"/>
          <w:lang w:bidi="en-US"/>
        </w:rPr>
        <w:t xml:space="preserve">. The contacting information obtained from the </w:t>
      </w:r>
      <w:r w:rsidRPr="5AB30E5D" w:rsidR="219C073E">
        <w:rPr>
          <w:rFonts w:eastAsia="Calibri"/>
          <w:sz w:val="22"/>
          <w:szCs w:val="22"/>
          <w:lang w:bidi="en-US"/>
        </w:rPr>
        <w:t>20</w:t>
      </w:r>
      <w:r w:rsidRPr="5AB30E5D" w:rsidR="2B407248">
        <w:rPr>
          <w:rFonts w:eastAsia="Calibri"/>
          <w:sz w:val="22"/>
          <w:szCs w:val="22"/>
          <w:lang w:bidi="en-US"/>
        </w:rPr>
        <w:t>21</w:t>
      </w:r>
      <w:r w:rsidRPr="5AB30E5D" w:rsidR="219C073E">
        <w:rPr>
          <w:rFonts w:eastAsia="Calibri"/>
          <w:sz w:val="22"/>
          <w:szCs w:val="22"/>
          <w:lang w:bidi="en-US"/>
        </w:rPr>
        <w:t xml:space="preserve"> </w:t>
      </w:r>
      <w:r w:rsidRPr="5AB30E5D" w:rsidR="5C2FB065">
        <w:rPr>
          <w:rFonts w:eastAsia="Calibri"/>
          <w:sz w:val="22"/>
          <w:szCs w:val="22"/>
          <w:lang w:bidi="en-US"/>
        </w:rPr>
        <w:t xml:space="preserve">SDR and prior cycles will be used to locate and contact the </w:t>
      </w:r>
      <w:r>
        <w:rPr>
          <w:rFonts w:eastAsia="Calibri"/>
          <w:sz w:val="22"/>
          <w:szCs w:val="22"/>
          <w:lang w:bidi="en-US"/>
        </w:rPr>
        <w:t xml:space="preserve">continuing </w:t>
      </w:r>
      <w:r w:rsidRPr="5AB30E5D" w:rsidR="43B66C89">
        <w:rPr>
          <w:rFonts w:eastAsia="Calibri"/>
          <w:sz w:val="22"/>
          <w:szCs w:val="22"/>
          <w:lang w:bidi="en-US"/>
        </w:rPr>
        <w:t>sample members</w:t>
      </w:r>
      <w:r w:rsidRPr="5AB30E5D" w:rsidR="5C2FB065">
        <w:rPr>
          <w:rFonts w:eastAsia="Calibri"/>
          <w:sz w:val="22"/>
          <w:szCs w:val="22"/>
          <w:lang w:bidi="en-US"/>
        </w:rPr>
        <w:t xml:space="preserve">; the information from the SED will be the starting information used to locate and contact </w:t>
      </w:r>
      <w:r w:rsidRPr="5AB30E5D" w:rsidR="43B66C89">
        <w:rPr>
          <w:rFonts w:eastAsia="Calibri"/>
          <w:sz w:val="22"/>
          <w:szCs w:val="22"/>
          <w:lang w:bidi="en-US"/>
        </w:rPr>
        <w:t xml:space="preserve">the new sample members </w:t>
      </w:r>
      <w:r w:rsidRPr="5AB30E5D" w:rsidR="5C2FB065">
        <w:rPr>
          <w:rFonts w:eastAsia="Calibri"/>
          <w:sz w:val="22"/>
          <w:szCs w:val="22"/>
          <w:lang w:bidi="en-US"/>
        </w:rPr>
        <w:t xml:space="preserve">in </w:t>
      </w:r>
      <w:r w:rsidRPr="5AB30E5D" w:rsidR="219C073E">
        <w:rPr>
          <w:rFonts w:eastAsia="Calibri"/>
          <w:sz w:val="22"/>
          <w:szCs w:val="22"/>
          <w:lang w:bidi="en-US"/>
        </w:rPr>
        <w:t>202</w:t>
      </w:r>
      <w:r w:rsidRPr="5AB30E5D" w:rsidR="3A36A2F9">
        <w:rPr>
          <w:rFonts w:eastAsia="Calibri"/>
          <w:sz w:val="22"/>
          <w:szCs w:val="22"/>
          <w:lang w:bidi="en-US"/>
        </w:rPr>
        <w:t>3</w:t>
      </w:r>
      <w:r w:rsidRPr="5AB30E5D" w:rsidR="5C2FB065">
        <w:rPr>
          <w:rFonts w:eastAsia="Calibri"/>
          <w:sz w:val="22"/>
          <w:szCs w:val="22"/>
          <w:lang w:bidi="en-US"/>
        </w:rPr>
        <w:t xml:space="preserve">. </w:t>
      </w:r>
    </w:p>
    <w:p w:rsidR="00046B7E" w:rsidP="00046B7E" w14:paraId="4EDFB455" w14:textId="77777777">
      <w:pPr>
        <w:rPr>
          <w:rFonts w:eastAsia="Calibri"/>
          <w:sz w:val="22"/>
          <w:szCs w:val="22"/>
          <w:lang w:bidi="en-US"/>
        </w:rPr>
      </w:pPr>
    </w:p>
    <w:p w:rsidR="00046B7E" w:rsidRPr="00880EF4" w:rsidP="00046B7E" w14:paraId="7715F7F1" w14:textId="7BF293A6">
      <w:pPr>
        <w:rPr>
          <w:rFonts w:eastAsia="Calibri"/>
          <w:sz w:val="22"/>
          <w:szCs w:val="22"/>
          <w:lang w:bidi="en-US"/>
        </w:rPr>
      </w:pPr>
      <w:r w:rsidRPr="3645D7ED">
        <w:rPr>
          <w:rFonts w:eastAsia="Calibri"/>
          <w:b/>
          <w:bCs/>
          <w:sz w:val="22"/>
          <w:szCs w:val="22"/>
          <w:lang w:bidi="en-US"/>
        </w:rPr>
        <w:t>20</w:t>
      </w:r>
      <w:r w:rsidRPr="3645D7ED" w:rsidR="01AADCAA">
        <w:rPr>
          <w:rFonts w:eastAsia="Calibri"/>
          <w:b/>
          <w:bCs/>
          <w:sz w:val="22"/>
          <w:szCs w:val="22"/>
          <w:lang w:bidi="en-US"/>
        </w:rPr>
        <w:t>23</w:t>
      </w:r>
      <w:r w:rsidRPr="3645D7ED">
        <w:rPr>
          <w:rFonts w:eastAsia="Calibri"/>
          <w:b/>
          <w:bCs/>
          <w:sz w:val="22"/>
          <w:szCs w:val="22"/>
          <w:lang w:bidi="en-US"/>
        </w:rPr>
        <w:t xml:space="preserve"> SDR Locating Protocol Overview. </w:t>
      </w:r>
      <w:r w:rsidRPr="00113EBC">
        <w:rPr>
          <w:rFonts w:eastAsia="Calibri"/>
          <w:sz w:val="22"/>
          <w:szCs w:val="22"/>
          <w:lang w:bidi="en-US"/>
        </w:rPr>
        <w:t xml:space="preserve">As in prior SDR cycles, there will be two phases of locating for the </w:t>
      </w:r>
      <w:r w:rsidRPr="00113EBC" w:rsidR="397CF5AA">
        <w:rPr>
          <w:rFonts w:eastAsia="Calibri"/>
          <w:sz w:val="22"/>
          <w:szCs w:val="22"/>
          <w:lang w:bidi="en-US"/>
        </w:rPr>
        <w:t>2</w:t>
      </w:r>
      <w:r w:rsidR="397CF5AA">
        <w:rPr>
          <w:rFonts w:eastAsia="Calibri"/>
          <w:sz w:val="22"/>
          <w:szCs w:val="22"/>
          <w:lang w:bidi="en-US"/>
        </w:rPr>
        <w:t>02</w:t>
      </w:r>
      <w:r w:rsidR="01AADCAA">
        <w:rPr>
          <w:rFonts w:eastAsia="Calibri"/>
          <w:sz w:val="22"/>
          <w:szCs w:val="22"/>
          <w:lang w:bidi="en-US"/>
        </w:rPr>
        <w:t>3</w:t>
      </w:r>
      <w:r w:rsidRPr="00113EBC" w:rsidR="397CF5AA">
        <w:rPr>
          <w:rFonts w:eastAsia="Calibri"/>
          <w:sz w:val="22"/>
          <w:szCs w:val="22"/>
          <w:lang w:bidi="en-US"/>
        </w:rPr>
        <w:t xml:space="preserve"> </w:t>
      </w:r>
      <w:r w:rsidRPr="00113EBC">
        <w:rPr>
          <w:rFonts w:eastAsia="Calibri"/>
          <w:sz w:val="22"/>
          <w:szCs w:val="22"/>
          <w:lang w:bidi="en-US"/>
        </w:rPr>
        <w:t xml:space="preserve">SDR: </w:t>
      </w:r>
      <w:r w:rsidRPr="00113EBC">
        <w:rPr>
          <w:rFonts w:eastAsia="Calibri"/>
          <w:sz w:val="22"/>
          <w:szCs w:val="22"/>
          <w:lang w:bidi="en-US"/>
        </w:rPr>
        <w:t>prefield</w:t>
      </w:r>
      <w:r w:rsidR="7171A7EF">
        <w:rPr>
          <w:rFonts w:eastAsia="Calibri"/>
          <w:sz w:val="22"/>
          <w:szCs w:val="22"/>
          <w:lang w:bidi="en-US"/>
        </w:rPr>
        <w:t xml:space="preserve"> locating</w:t>
      </w:r>
      <w:r w:rsidRPr="00113EBC">
        <w:rPr>
          <w:rFonts w:eastAsia="Calibri"/>
          <w:sz w:val="22"/>
          <w:szCs w:val="22"/>
          <w:lang w:bidi="en-US"/>
        </w:rPr>
        <w:t xml:space="preserve"> and main locating</w:t>
      </w:r>
      <w:r>
        <w:rPr>
          <w:rFonts w:eastAsia="Calibri"/>
          <w:sz w:val="22"/>
          <w:szCs w:val="22"/>
          <w:lang w:bidi="en-US"/>
        </w:rPr>
        <w:t xml:space="preserve">. </w:t>
      </w:r>
      <w:r w:rsidRPr="00113EBC">
        <w:rPr>
          <w:rFonts w:eastAsia="Calibri"/>
          <w:sz w:val="22"/>
          <w:szCs w:val="22"/>
          <w:lang w:bidi="en-US"/>
        </w:rPr>
        <w:t>Prefield</w:t>
      </w:r>
      <w:r w:rsidRPr="00113EBC">
        <w:rPr>
          <w:rFonts w:eastAsia="Calibri"/>
          <w:sz w:val="22"/>
          <w:szCs w:val="22"/>
          <w:lang w:bidi="en-US"/>
        </w:rPr>
        <w:t xml:space="preserve"> locating activities include</w:t>
      </w:r>
      <w:r w:rsidR="7171A7EF">
        <w:rPr>
          <w:rFonts w:eastAsia="Calibri"/>
          <w:sz w:val="22"/>
          <w:szCs w:val="22"/>
          <w:lang w:bidi="en-US"/>
        </w:rPr>
        <w:t xml:space="preserve"> batch processing</w:t>
      </w:r>
      <w:r w:rsidR="4F3EE250">
        <w:rPr>
          <w:rFonts w:eastAsia="Calibri"/>
          <w:sz w:val="22"/>
          <w:szCs w:val="22"/>
          <w:lang w:bidi="en-US"/>
        </w:rPr>
        <w:t xml:space="preserve"> </w:t>
      </w:r>
      <w:r w:rsidR="7171A7EF">
        <w:rPr>
          <w:rFonts w:eastAsia="Calibri"/>
          <w:sz w:val="22"/>
          <w:szCs w:val="22"/>
          <w:lang w:bidi="en-US"/>
        </w:rPr>
        <w:t xml:space="preserve">of </w:t>
      </w:r>
      <w:r w:rsidR="7171A7EF">
        <w:rPr>
          <w:rFonts w:eastAsia="Calibri"/>
          <w:sz w:val="22"/>
          <w:szCs w:val="22"/>
          <w:lang w:bidi="en-US"/>
        </w:rPr>
        <w:t>sampled cases through</w:t>
      </w:r>
      <w:r w:rsidRPr="00113EBC">
        <w:rPr>
          <w:rFonts w:eastAsia="Calibri"/>
          <w:sz w:val="22"/>
          <w:szCs w:val="22"/>
          <w:lang w:bidi="en-US"/>
        </w:rPr>
        <w:t xml:space="preserve"> </w:t>
      </w:r>
      <w:r w:rsidR="397CF5AA">
        <w:rPr>
          <w:rFonts w:eastAsia="Calibri"/>
          <w:sz w:val="22"/>
          <w:szCs w:val="22"/>
          <w:lang w:bidi="en-US"/>
        </w:rPr>
        <w:t>LexisNexis</w:t>
      </w:r>
      <w:bookmarkStart w:id="15" w:name="OLE_LINK11"/>
      <w:r w:rsidRPr="00113EBC" w:rsidR="397CF5AA">
        <w:rPr>
          <w:rFonts w:eastAsia="Calibri"/>
          <w:sz w:val="22"/>
          <w:szCs w:val="22"/>
          <w:lang w:bidi="en-US"/>
        </w:rPr>
        <w:t>®</w:t>
      </w:r>
      <w:bookmarkEnd w:id="15"/>
      <w:r w:rsidR="397CF5AA">
        <w:rPr>
          <w:rFonts w:eastAsia="Calibri"/>
          <w:sz w:val="22"/>
          <w:szCs w:val="22"/>
          <w:lang w:bidi="en-US"/>
        </w:rPr>
        <w:t xml:space="preserve"> (formerly, </w:t>
      </w:r>
      <w:r w:rsidRPr="00113EBC">
        <w:rPr>
          <w:rFonts w:eastAsia="Calibri"/>
          <w:sz w:val="22"/>
          <w:szCs w:val="22"/>
          <w:lang w:bidi="en-US"/>
        </w:rPr>
        <w:t>Accurint®</w:t>
      </w:r>
      <w:r w:rsidR="397CF5AA">
        <w:rPr>
          <w:rFonts w:eastAsia="Calibri"/>
          <w:sz w:val="22"/>
          <w:szCs w:val="22"/>
          <w:lang w:bidi="en-US"/>
        </w:rPr>
        <w:t>)</w:t>
      </w:r>
      <w:r>
        <w:rPr>
          <w:rStyle w:val="FootnoteReference"/>
          <w:rFonts w:eastAsia="Calibri"/>
          <w:sz w:val="22"/>
          <w:szCs w:val="22"/>
          <w:lang w:bidi="en-US"/>
        </w:rPr>
        <w:footnoteReference w:id="6"/>
      </w:r>
      <w:r w:rsidRPr="00113EBC">
        <w:rPr>
          <w:rFonts w:eastAsia="Calibri"/>
          <w:sz w:val="22"/>
          <w:szCs w:val="22"/>
          <w:lang w:bidi="en-US"/>
        </w:rPr>
        <w:t xml:space="preserve"> </w:t>
      </w:r>
      <w:r>
        <w:rPr>
          <w:rFonts w:eastAsia="Calibri"/>
          <w:sz w:val="22"/>
          <w:szCs w:val="22"/>
          <w:lang w:bidi="en-US"/>
        </w:rPr>
        <w:t xml:space="preserve">and </w:t>
      </w:r>
      <w:r w:rsidR="7171A7EF">
        <w:rPr>
          <w:rFonts w:eastAsia="Calibri"/>
          <w:sz w:val="22"/>
          <w:szCs w:val="22"/>
          <w:lang w:bidi="en-US"/>
        </w:rPr>
        <w:t xml:space="preserve">online </w:t>
      </w:r>
      <w:r>
        <w:rPr>
          <w:rFonts w:eastAsia="Calibri"/>
          <w:sz w:val="22"/>
          <w:szCs w:val="22"/>
          <w:lang w:bidi="en-US"/>
        </w:rPr>
        <w:t>searches</w:t>
      </w:r>
      <w:r w:rsidRPr="00113EBC">
        <w:rPr>
          <w:rFonts w:eastAsia="Calibri"/>
          <w:sz w:val="22"/>
          <w:szCs w:val="22"/>
          <w:lang w:bidi="en-US"/>
        </w:rPr>
        <w:t>, address review, and individual case locating (also called manual locating)</w:t>
      </w:r>
      <w:r>
        <w:rPr>
          <w:rFonts w:eastAsia="Calibri"/>
          <w:sz w:val="22"/>
          <w:szCs w:val="22"/>
          <w:lang w:bidi="en-US"/>
        </w:rPr>
        <w:t xml:space="preserve">. </w:t>
      </w:r>
      <w:r w:rsidRPr="00113EBC">
        <w:rPr>
          <w:rFonts w:eastAsia="Calibri"/>
          <w:sz w:val="22"/>
          <w:szCs w:val="22"/>
          <w:lang w:bidi="en-US"/>
        </w:rPr>
        <w:t>Prefield</w:t>
      </w:r>
      <w:r w:rsidRPr="00880EF4">
        <w:rPr>
          <w:rFonts w:eastAsia="Calibri"/>
          <w:sz w:val="22"/>
          <w:szCs w:val="22"/>
          <w:lang w:bidi="en-US"/>
        </w:rPr>
        <w:t xml:space="preserve"> locating occurs </w:t>
      </w:r>
      <w:r w:rsidR="397CF5AA">
        <w:rPr>
          <w:rFonts w:eastAsia="Calibri"/>
          <w:sz w:val="22"/>
          <w:szCs w:val="22"/>
          <w:lang w:bidi="en-US"/>
        </w:rPr>
        <w:t>approximately three</w:t>
      </w:r>
      <w:r w:rsidR="3BC21995">
        <w:rPr>
          <w:rFonts w:eastAsia="Calibri"/>
          <w:sz w:val="22"/>
          <w:szCs w:val="22"/>
          <w:lang w:bidi="en-US"/>
        </w:rPr>
        <w:t xml:space="preserve"> month</w:t>
      </w:r>
      <w:r w:rsidR="397CF5AA">
        <w:rPr>
          <w:rFonts w:eastAsia="Calibri"/>
          <w:sz w:val="22"/>
          <w:szCs w:val="22"/>
          <w:lang w:bidi="en-US"/>
        </w:rPr>
        <w:t>s</w:t>
      </w:r>
      <w:r w:rsidR="3BC21995">
        <w:rPr>
          <w:rFonts w:eastAsia="Calibri"/>
          <w:sz w:val="22"/>
          <w:szCs w:val="22"/>
          <w:lang w:bidi="en-US"/>
        </w:rPr>
        <w:t xml:space="preserve"> </w:t>
      </w:r>
      <w:r w:rsidRPr="00880EF4">
        <w:rPr>
          <w:rFonts w:eastAsia="Calibri"/>
          <w:sz w:val="22"/>
          <w:szCs w:val="22"/>
          <w:lang w:bidi="en-US"/>
        </w:rPr>
        <w:t xml:space="preserve">before the start of data collection </w:t>
      </w:r>
      <w:r>
        <w:rPr>
          <w:rFonts w:eastAsia="Calibri"/>
          <w:sz w:val="22"/>
          <w:szCs w:val="22"/>
          <w:lang w:bidi="en-US"/>
        </w:rPr>
        <w:t xml:space="preserve">and is used </w:t>
      </w:r>
      <w:r w:rsidRPr="00880EF4">
        <w:rPr>
          <w:rFonts w:eastAsia="Calibri"/>
          <w:sz w:val="22"/>
          <w:szCs w:val="22"/>
          <w:lang w:bidi="en-US"/>
        </w:rPr>
        <w:t>to ensure th</w:t>
      </w:r>
      <w:r w:rsidR="073AB941">
        <w:rPr>
          <w:rFonts w:eastAsia="Calibri"/>
          <w:sz w:val="22"/>
          <w:szCs w:val="22"/>
          <w:lang w:bidi="en-US"/>
        </w:rPr>
        <w:t>at</w:t>
      </w:r>
      <w:r w:rsidRPr="00880EF4">
        <w:rPr>
          <w:rFonts w:eastAsia="Calibri"/>
          <w:sz w:val="22"/>
          <w:szCs w:val="22"/>
          <w:lang w:bidi="en-US"/>
        </w:rPr>
        <w:t xml:space="preserve"> initial </w:t>
      </w:r>
      <w:r w:rsidR="189CD411">
        <w:rPr>
          <w:rFonts w:eastAsia="Calibri"/>
          <w:sz w:val="22"/>
          <w:szCs w:val="22"/>
          <w:lang w:bidi="en-US"/>
        </w:rPr>
        <w:t xml:space="preserve">invitational </w:t>
      </w:r>
      <w:r w:rsidRPr="00880EF4">
        <w:rPr>
          <w:rFonts w:eastAsia="Calibri"/>
          <w:sz w:val="22"/>
          <w:szCs w:val="22"/>
          <w:lang w:bidi="en-US"/>
        </w:rPr>
        <w:t>outreach</w:t>
      </w:r>
      <w:r w:rsidR="4D19521E">
        <w:rPr>
          <w:rFonts w:eastAsia="Calibri"/>
          <w:sz w:val="22"/>
          <w:szCs w:val="22"/>
          <w:lang w:bidi="en-US"/>
        </w:rPr>
        <w:t xml:space="preserve"> by</w:t>
      </w:r>
      <w:r w:rsidRPr="00880EF4">
        <w:rPr>
          <w:rFonts w:eastAsia="Calibri"/>
          <w:sz w:val="22"/>
          <w:szCs w:val="22"/>
          <w:lang w:bidi="en-US"/>
        </w:rPr>
        <w:t xml:space="preserve"> </w:t>
      </w:r>
      <w:r w:rsidR="44DBEE83">
        <w:rPr>
          <w:rFonts w:eastAsia="Calibri"/>
          <w:sz w:val="22"/>
          <w:szCs w:val="22"/>
          <w:lang w:bidi="en-US"/>
        </w:rPr>
        <w:t>mail</w:t>
      </w:r>
      <w:r w:rsidR="5F41129F">
        <w:rPr>
          <w:rFonts w:eastAsia="Calibri"/>
          <w:sz w:val="22"/>
          <w:szCs w:val="22"/>
          <w:lang w:bidi="en-US"/>
        </w:rPr>
        <w:t xml:space="preserve">, telephone, and </w:t>
      </w:r>
      <w:r w:rsidR="44DBEE83">
        <w:rPr>
          <w:rFonts w:eastAsia="Calibri"/>
          <w:sz w:val="22"/>
          <w:szCs w:val="22"/>
          <w:lang w:bidi="en-US"/>
        </w:rPr>
        <w:t xml:space="preserve">email </w:t>
      </w:r>
      <w:r w:rsidRPr="00880EF4">
        <w:rPr>
          <w:rFonts w:eastAsia="Calibri"/>
          <w:sz w:val="22"/>
          <w:szCs w:val="22"/>
          <w:lang w:bidi="en-US"/>
        </w:rPr>
        <w:t>request</w:t>
      </w:r>
      <w:r w:rsidR="4D19521E">
        <w:rPr>
          <w:rFonts w:eastAsia="Calibri"/>
          <w:sz w:val="22"/>
          <w:szCs w:val="22"/>
          <w:lang w:bidi="en-US"/>
        </w:rPr>
        <w:t>ing</w:t>
      </w:r>
      <w:r w:rsidRPr="00880EF4">
        <w:rPr>
          <w:rFonts w:eastAsia="Calibri"/>
          <w:sz w:val="22"/>
          <w:szCs w:val="22"/>
          <w:lang w:bidi="en-US"/>
        </w:rPr>
        <w:t xml:space="preserve"> survey participation </w:t>
      </w:r>
      <w:r w:rsidR="3D5ADEA1">
        <w:rPr>
          <w:rFonts w:eastAsia="Calibri"/>
          <w:sz w:val="22"/>
          <w:szCs w:val="22"/>
          <w:lang w:bidi="en-US"/>
        </w:rPr>
        <w:t>reaches</w:t>
      </w:r>
      <w:r w:rsidRPr="00880EF4">
        <w:rPr>
          <w:rFonts w:eastAsia="Calibri"/>
          <w:sz w:val="22"/>
          <w:szCs w:val="22"/>
          <w:lang w:bidi="en-US"/>
        </w:rPr>
        <w:t xml:space="preserve"> as many sample members as possible</w:t>
      </w:r>
      <w:r>
        <w:rPr>
          <w:rFonts w:eastAsia="Calibri"/>
          <w:sz w:val="22"/>
          <w:szCs w:val="22"/>
          <w:lang w:bidi="en-US"/>
        </w:rPr>
        <w:t xml:space="preserve">. </w:t>
      </w:r>
      <w:r w:rsidRPr="00880EF4">
        <w:rPr>
          <w:rFonts w:eastAsia="Calibri"/>
          <w:sz w:val="22"/>
          <w:szCs w:val="22"/>
          <w:lang w:bidi="en-US"/>
        </w:rPr>
        <w:t>Prefield</w:t>
      </w:r>
      <w:r w:rsidRPr="00880EF4">
        <w:rPr>
          <w:rFonts w:eastAsia="Calibri"/>
          <w:sz w:val="22"/>
          <w:szCs w:val="22"/>
          <w:lang w:bidi="en-US"/>
        </w:rPr>
        <w:t xml:space="preserve"> </w:t>
      </w:r>
      <w:r>
        <w:rPr>
          <w:rFonts w:eastAsia="Calibri"/>
          <w:sz w:val="22"/>
          <w:szCs w:val="22"/>
          <w:lang w:bidi="en-US"/>
        </w:rPr>
        <w:t>individual case locating includes online searches</w:t>
      </w:r>
      <w:r w:rsidR="4EBF66C7">
        <w:rPr>
          <w:rFonts w:eastAsia="Calibri"/>
          <w:sz w:val="22"/>
          <w:szCs w:val="22"/>
          <w:lang w:bidi="en-US"/>
        </w:rPr>
        <w:t xml:space="preserve">, </w:t>
      </w:r>
      <w:r w:rsidR="47AC7044">
        <w:rPr>
          <w:rFonts w:eastAsia="Calibri"/>
          <w:sz w:val="22"/>
          <w:szCs w:val="22"/>
          <w:lang w:bidi="en-US"/>
        </w:rPr>
        <w:t>telephone</w:t>
      </w:r>
      <w:r w:rsidR="18798FF6">
        <w:rPr>
          <w:rFonts w:eastAsia="Calibri"/>
          <w:sz w:val="22"/>
          <w:szCs w:val="22"/>
          <w:lang w:bidi="en-US"/>
        </w:rPr>
        <w:t xml:space="preserve"> calls</w:t>
      </w:r>
      <w:r w:rsidR="64E477BE">
        <w:rPr>
          <w:rFonts w:eastAsia="Calibri"/>
          <w:sz w:val="22"/>
          <w:szCs w:val="22"/>
          <w:lang w:bidi="en-US"/>
        </w:rPr>
        <w:t>,</w:t>
      </w:r>
      <w:r w:rsidR="47AC7044">
        <w:rPr>
          <w:rFonts w:eastAsia="Calibri"/>
          <w:sz w:val="22"/>
          <w:szCs w:val="22"/>
          <w:lang w:bidi="en-US"/>
        </w:rPr>
        <w:t xml:space="preserve"> and email</w:t>
      </w:r>
      <w:r w:rsidR="18798FF6">
        <w:rPr>
          <w:rFonts w:eastAsia="Calibri"/>
          <w:sz w:val="22"/>
          <w:szCs w:val="22"/>
          <w:lang w:bidi="en-US"/>
        </w:rPr>
        <w:t>s</w:t>
      </w:r>
      <w:r w:rsidR="47AC7044">
        <w:rPr>
          <w:rFonts w:eastAsia="Calibri"/>
          <w:sz w:val="22"/>
          <w:szCs w:val="22"/>
          <w:lang w:bidi="en-US"/>
        </w:rPr>
        <w:t xml:space="preserve"> </w:t>
      </w:r>
      <w:r>
        <w:rPr>
          <w:rFonts w:eastAsia="Calibri"/>
          <w:sz w:val="22"/>
          <w:szCs w:val="22"/>
          <w:lang w:bidi="en-US"/>
        </w:rPr>
        <w:t>to sample members, and telephone calls and emails to contact persons</w:t>
      </w:r>
      <w:r w:rsidRPr="00880EF4">
        <w:rPr>
          <w:rFonts w:eastAsia="Calibri"/>
          <w:sz w:val="22"/>
          <w:szCs w:val="22"/>
          <w:lang w:bidi="en-US"/>
        </w:rPr>
        <w:t xml:space="preserve"> </w:t>
      </w:r>
      <w:r w:rsidR="00B86258">
        <w:rPr>
          <w:rFonts w:eastAsia="Calibri"/>
          <w:sz w:val="22"/>
          <w:szCs w:val="22"/>
          <w:lang w:bidi="en-US"/>
        </w:rPr>
        <w:t xml:space="preserve">(previously provided by the sample member in the SED or prior SDR) </w:t>
      </w:r>
      <w:r w:rsidRPr="00880EF4">
        <w:rPr>
          <w:rFonts w:eastAsia="Calibri"/>
          <w:sz w:val="22"/>
          <w:szCs w:val="22"/>
          <w:lang w:bidi="en-US"/>
        </w:rPr>
        <w:t>who</w:t>
      </w:r>
      <w:r w:rsidR="73311198">
        <w:rPr>
          <w:rFonts w:eastAsia="Calibri"/>
          <w:sz w:val="22"/>
          <w:szCs w:val="22"/>
          <w:lang w:bidi="en-US"/>
        </w:rPr>
        <w:t xml:space="preserve"> </w:t>
      </w:r>
      <w:r w:rsidR="433A98D8">
        <w:rPr>
          <w:rFonts w:eastAsia="Calibri"/>
          <w:sz w:val="22"/>
          <w:szCs w:val="22"/>
          <w:lang w:bidi="en-US"/>
        </w:rPr>
        <w:t>may</w:t>
      </w:r>
      <w:r w:rsidRPr="00880EF4">
        <w:rPr>
          <w:rFonts w:eastAsia="Calibri"/>
          <w:sz w:val="22"/>
          <w:szCs w:val="22"/>
          <w:lang w:bidi="en-US"/>
        </w:rPr>
        <w:t xml:space="preserve"> know </w:t>
      </w:r>
      <w:r>
        <w:rPr>
          <w:rFonts w:eastAsia="Calibri"/>
          <w:sz w:val="22"/>
          <w:szCs w:val="22"/>
          <w:lang w:bidi="en-US"/>
        </w:rPr>
        <w:t xml:space="preserve">how to reach </w:t>
      </w:r>
      <w:r w:rsidRPr="00880EF4">
        <w:rPr>
          <w:rFonts w:eastAsia="Calibri"/>
          <w:sz w:val="22"/>
          <w:szCs w:val="22"/>
          <w:lang w:bidi="en-US"/>
        </w:rPr>
        <w:t>the sample member</w:t>
      </w:r>
      <w:r>
        <w:rPr>
          <w:rFonts w:eastAsia="Calibri"/>
          <w:sz w:val="22"/>
          <w:szCs w:val="22"/>
          <w:lang w:bidi="en-US"/>
        </w:rPr>
        <w:t>s.</w:t>
      </w:r>
      <w:r w:rsidR="47AC7044">
        <w:rPr>
          <w:rFonts w:eastAsia="Calibri"/>
          <w:sz w:val="22"/>
          <w:szCs w:val="22"/>
          <w:lang w:bidi="en-US"/>
        </w:rPr>
        <w:t xml:space="preserve"> </w:t>
      </w:r>
      <w:r w:rsidR="3B73083C">
        <w:rPr>
          <w:rFonts w:eastAsia="Calibri"/>
          <w:sz w:val="22"/>
          <w:szCs w:val="22"/>
          <w:lang w:bidi="en-US"/>
        </w:rPr>
        <w:t>S</w:t>
      </w:r>
      <w:r w:rsidR="057C22F2">
        <w:rPr>
          <w:rFonts w:eastAsia="Calibri"/>
          <w:sz w:val="22"/>
          <w:szCs w:val="22"/>
          <w:lang w:bidi="en-US"/>
        </w:rPr>
        <w:t>ample members</w:t>
      </w:r>
      <w:r w:rsidR="4965AD2C">
        <w:rPr>
          <w:rFonts w:eastAsia="Calibri"/>
          <w:sz w:val="22"/>
          <w:szCs w:val="22"/>
          <w:lang w:bidi="en-US"/>
        </w:rPr>
        <w:t xml:space="preserve"> </w:t>
      </w:r>
      <w:r w:rsidR="057C22F2">
        <w:rPr>
          <w:rFonts w:eastAsia="Calibri"/>
          <w:sz w:val="22"/>
          <w:szCs w:val="22"/>
          <w:lang w:bidi="en-US"/>
        </w:rPr>
        <w:t>who</w:t>
      </w:r>
      <w:r w:rsidR="4965AD2C">
        <w:rPr>
          <w:rFonts w:eastAsia="Calibri"/>
          <w:sz w:val="22"/>
          <w:szCs w:val="22"/>
          <w:lang w:bidi="en-US"/>
        </w:rPr>
        <w:t xml:space="preserve"> are eligible for individual case locating</w:t>
      </w:r>
      <w:r w:rsidR="057C22F2">
        <w:rPr>
          <w:rFonts w:eastAsia="Calibri"/>
          <w:sz w:val="22"/>
          <w:szCs w:val="22"/>
          <w:lang w:bidi="en-US"/>
        </w:rPr>
        <w:t xml:space="preserve"> </w:t>
      </w:r>
      <w:r w:rsidR="23B36559">
        <w:rPr>
          <w:rFonts w:eastAsia="Calibri"/>
          <w:sz w:val="22"/>
          <w:szCs w:val="22"/>
          <w:lang w:bidi="en-US"/>
        </w:rPr>
        <w:t>may</w:t>
      </w:r>
      <w:r w:rsidR="057C22F2">
        <w:rPr>
          <w:rFonts w:eastAsia="Calibri"/>
          <w:sz w:val="22"/>
          <w:szCs w:val="22"/>
          <w:lang w:bidi="en-US"/>
        </w:rPr>
        <w:t xml:space="preserve"> </w:t>
      </w:r>
      <w:r w:rsidR="736D7D85">
        <w:rPr>
          <w:rFonts w:eastAsia="Calibri"/>
          <w:sz w:val="22"/>
          <w:szCs w:val="22"/>
          <w:lang w:bidi="en-US"/>
        </w:rPr>
        <w:t xml:space="preserve">also </w:t>
      </w:r>
      <w:r w:rsidR="057C22F2">
        <w:rPr>
          <w:rFonts w:eastAsia="Calibri"/>
          <w:sz w:val="22"/>
          <w:szCs w:val="22"/>
          <w:lang w:bidi="en-US"/>
        </w:rPr>
        <w:t>receive</w:t>
      </w:r>
      <w:r w:rsidR="25921417">
        <w:rPr>
          <w:rFonts w:eastAsia="Calibri"/>
          <w:sz w:val="22"/>
          <w:szCs w:val="22"/>
          <w:lang w:bidi="en-US"/>
        </w:rPr>
        <w:t xml:space="preserve"> </w:t>
      </w:r>
      <w:r w:rsidR="4D1B19A0">
        <w:rPr>
          <w:rFonts w:eastAsia="Calibri"/>
          <w:sz w:val="22"/>
          <w:szCs w:val="22"/>
          <w:lang w:bidi="en-US"/>
        </w:rPr>
        <w:t xml:space="preserve">individual </w:t>
      </w:r>
      <w:r w:rsidR="25921417">
        <w:rPr>
          <w:rFonts w:eastAsia="Calibri"/>
          <w:sz w:val="22"/>
          <w:szCs w:val="22"/>
          <w:lang w:bidi="en-US"/>
        </w:rPr>
        <w:t>LexisNexis</w:t>
      </w:r>
      <w:r w:rsidR="25C5B32C">
        <w:rPr>
          <w:rFonts w:eastAsia="Calibri"/>
          <w:sz w:val="22"/>
          <w:szCs w:val="22"/>
          <w:vertAlign w:val="superscript"/>
          <w:lang w:bidi="en-US"/>
        </w:rPr>
        <w:t>®</w:t>
      </w:r>
      <w:r w:rsidR="25921417">
        <w:rPr>
          <w:rFonts w:eastAsia="Calibri"/>
          <w:sz w:val="22"/>
          <w:szCs w:val="22"/>
          <w:lang w:bidi="en-US"/>
        </w:rPr>
        <w:t xml:space="preserve"> AML Insight </w:t>
      </w:r>
      <w:r w:rsidR="1FB785D3">
        <w:rPr>
          <w:rFonts w:eastAsia="Calibri"/>
          <w:sz w:val="22"/>
          <w:szCs w:val="22"/>
          <w:lang w:bidi="en-US"/>
        </w:rPr>
        <w:t xml:space="preserve">match (AIM) </w:t>
      </w:r>
      <w:r w:rsidR="25921417">
        <w:rPr>
          <w:rFonts w:eastAsia="Calibri"/>
          <w:sz w:val="22"/>
          <w:szCs w:val="22"/>
          <w:lang w:bidi="en-US"/>
        </w:rPr>
        <w:t>searches</w:t>
      </w:r>
      <w:r w:rsidR="736D7D85">
        <w:rPr>
          <w:rFonts w:eastAsia="Calibri"/>
          <w:sz w:val="22"/>
          <w:szCs w:val="22"/>
          <w:lang w:bidi="en-US"/>
        </w:rPr>
        <w:t xml:space="preserve"> conducted by the manual locators</w:t>
      </w:r>
      <w:r w:rsidR="4D1B19A0">
        <w:rPr>
          <w:rFonts w:eastAsia="Calibri"/>
          <w:sz w:val="22"/>
          <w:szCs w:val="22"/>
          <w:lang w:bidi="en-US"/>
        </w:rPr>
        <w:t xml:space="preserve">. </w:t>
      </w:r>
      <w:r w:rsidRPr="00880EF4">
        <w:rPr>
          <w:rFonts w:eastAsia="Calibri"/>
          <w:sz w:val="22"/>
          <w:szCs w:val="22"/>
          <w:lang w:bidi="en-US"/>
        </w:rPr>
        <w:t xml:space="preserve">Main locating includes manual locating and additional </w:t>
      </w:r>
      <w:r w:rsidR="51616D69">
        <w:rPr>
          <w:rFonts w:eastAsia="Calibri"/>
          <w:sz w:val="22"/>
          <w:szCs w:val="22"/>
          <w:lang w:bidi="en-US"/>
        </w:rPr>
        <w:t>LexisNexis</w:t>
      </w:r>
      <w:bookmarkStart w:id="16" w:name="OLE_LINK12"/>
      <w:r w:rsidRPr="00880EF4">
        <w:rPr>
          <w:rFonts w:eastAsia="Calibri"/>
          <w:sz w:val="22"/>
          <w:szCs w:val="22"/>
          <w:vertAlign w:val="superscript"/>
          <w:lang w:bidi="en-US"/>
        </w:rPr>
        <w:t>®</w:t>
      </w:r>
      <w:bookmarkEnd w:id="16"/>
      <w:r w:rsidRPr="00880EF4">
        <w:rPr>
          <w:rFonts w:eastAsia="Calibri"/>
          <w:sz w:val="22"/>
          <w:szCs w:val="22"/>
          <w:lang w:bidi="en-US"/>
        </w:rPr>
        <w:t xml:space="preserve"> </w:t>
      </w:r>
      <w:r w:rsidR="38EFC39A">
        <w:rPr>
          <w:rFonts w:eastAsia="Calibri"/>
          <w:sz w:val="22"/>
          <w:szCs w:val="22"/>
          <w:lang w:bidi="en-US"/>
        </w:rPr>
        <w:t>searching</w:t>
      </w:r>
      <w:r w:rsidRPr="00880EF4" w:rsidR="38EFC39A">
        <w:rPr>
          <w:rFonts w:eastAsia="Calibri"/>
          <w:sz w:val="22"/>
          <w:szCs w:val="22"/>
          <w:lang w:bidi="en-US"/>
        </w:rPr>
        <w:t xml:space="preserve"> </w:t>
      </w:r>
      <w:r w:rsidRPr="00880EF4">
        <w:rPr>
          <w:rFonts w:eastAsia="Calibri"/>
          <w:sz w:val="22"/>
          <w:szCs w:val="22"/>
          <w:lang w:bidi="en-US"/>
        </w:rPr>
        <w:t>as needed</w:t>
      </w:r>
      <w:r>
        <w:rPr>
          <w:rFonts w:eastAsia="Calibri"/>
          <w:sz w:val="22"/>
          <w:szCs w:val="22"/>
          <w:lang w:bidi="en-US"/>
        </w:rPr>
        <w:t>. M</w:t>
      </w:r>
      <w:r w:rsidRPr="00880EF4">
        <w:rPr>
          <w:rFonts w:eastAsia="Calibri"/>
          <w:sz w:val="22"/>
          <w:szCs w:val="22"/>
          <w:lang w:bidi="en-US"/>
        </w:rPr>
        <w:t>ain locating activit</w:t>
      </w:r>
      <w:r w:rsidR="4D19521E">
        <w:rPr>
          <w:rFonts w:eastAsia="Calibri"/>
          <w:sz w:val="22"/>
          <w:szCs w:val="22"/>
          <w:lang w:bidi="en-US"/>
        </w:rPr>
        <w:t>ies</w:t>
      </w:r>
      <w:r w:rsidRPr="00880EF4">
        <w:rPr>
          <w:rFonts w:eastAsia="Calibri"/>
          <w:sz w:val="22"/>
          <w:szCs w:val="22"/>
          <w:lang w:bidi="en-US"/>
        </w:rPr>
        <w:t xml:space="preserve"> will begin at the start of data collection and will include contact </w:t>
      </w:r>
      <w:r>
        <w:rPr>
          <w:rFonts w:eastAsia="Calibri"/>
          <w:sz w:val="22"/>
          <w:szCs w:val="22"/>
          <w:lang w:bidi="en-US"/>
        </w:rPr>
        <w:t xml:space="preserve">(by mail, telephone, or email) </w:t>
      </w:r>
      <w:r w:rsidRPr="00880EF4">
        <w:rPr>
          <w:rFonts w:eastAsia="Calibri"/>
          <w:sz w:val="22"/>
          <w:szCs w:val="22"/>
          <w:lang w:bidi="en-US"/>
        </w:rPr>
        <w:t xml:space="preserve">with sample members and other </w:t>
      </w:r>
      <w:r>
        <w:rPr>
          <w:rFonts w:eastAsia="Calibri"/>
          <w:sz w:val="22"/>
          <w:szCs w:val="22"/>
          <w:lang w:bidi="en-US"/>
        </w:rPr>
        <w:t xml:space="preserve">contact persons. </w:t>
      </w:r>
      <w:r w:rsidRPr="00880EF4">
        <w:rPr>
          <w:rFonts w:eastAsia="Calibri"/>
          <w:sz w:val="22"/>
          <w:szCs w:val="22"/>
          <w:lang w:bidi="en-US"/>
        </w:rPr>
        <w:t xml:space="preserve">Both the </w:t>
      </w:r>
      <w:r w:rsidRPr="00880EF4">
        <w:rPr>
          <w:rFonts w:eastAsia="Calibri"/>
          <w:sz w:val="22"/>
          <w:szCs w:val="22"/>
          <w:lang w:bidi="en-US"/>
        </w:rPr>
        <w:t>prefield</w:t>
      </w:r>
      <w:r w:rsidRPr="00880EF4">
        <w:rPr>
          <w:rFonts w:eastAsia="Calibri"/>
          <w:sz w:val="22"/>
          <w:szCs w:val="22"/>
          <w:lang w:bidi="en-US"/>
        </w:rPr>
        <w:t xml:space="preserve"> and main locating activities will be supported by an </w:t>
      </w:r>
      <w:r>
        <w:rPr>
          <w:rFonts w:eastAsia="Calibri"/>
          <w:sz w:val="22"/>
          <w:szCs w:val="22"/>
          <w:lang w:bidi="en-US"/>
        </w:rPr>
        <w:t>inte</w:t>
      </w:r>
      <w:r w:rsidR="3BC21995">
        <w:rPr>
          <w:rFonts w:eastAsia="Calibri"/>
          <w:sz w:val="22"/>
          <w:szCs w:val="22"/>
          <w:lang w:bidi="en-US"/>
        </w:rPr>
        <w:t>ractive (i.e., real</w:t>
      </w:r>
      <w:r w:rsidR="1A1DB6C0">
        <w:rPr>
          <w:rFonts w:eastAsia="Calibri"/>
          <w:sz w:val="22"/>
          <w:szCs w:val="22"/>
          <w:lang w:bidi="en-US"/>
        </w:rPr>
        <w:t>-</w:t>
      </w:r>
      <w:r w:rsidR="3BC21995">
        <w:rPr>
          <w:rFonts w:eastAsia="Calibri"/>
          <w:sz w:val="22"/>
          <w:szCs w:val="22"/>
          <w:lang w:bidi="en-US"/>
        </w:rPr>
        <w:t>time)</w:t>
      </w:r>
      <w:r>
        <w:rPr>
          <w:rFonts w:eastAsia="Calibri"/>
          <w:sz w:val="22"/>
          <w:szCs w:val="22"/>
          <w:lang w:bidi="en-US"/>
        </w:rPr>
        <w:t xml:space="preserve"> </w:t>
      </w:r>
      <w:r w:rsidRPr="00880EF4">
        <w:rPr>
          <w:rFonts w:eastAsia="Calibri"/>
          <w:sz w:val="22"/>
          <w:szCs w:val="22"/>
          <w:lang w:bidi="en-US"/>
        </w:rPr>
        <w:t>online case management system</w:t>
      </w:r>
      <w:r w:rsidR="3BC21995">
        <w:rPr>
          <w:rFonts w:eastAsia="Calibri"/>
          <w:sz w:val="22"/>
          <w:szCs w:val="22"/>
          <w:lang w:bidi="en-US"/>
        </w:rPr>
        <w:t xml:space="preserve"> (CMS)</w:t>
      </w:r>
      <w:r>
        <w:rPr>
          <w:rFonts w:eastAsia="Calibri"/>
          <w:sz w:val="22"/>
          <w:szCs w:val="22"/>
          <w:lang w:bidi="en-US"/>
        </w:rPr>
        <w:t xml:space="preserve">. </w:t>
      </w:r>
      <w:r w:rsidRPr="00880EF4">
        <w:rPr>
          <w:rFonts w:eastAsia="Calibri"/>
          <w:sz w:val="22"/>
          <w:szCs w:val="22"/>
          <w:lang w:bidi="en-US"/>
        </w:rPr>
        <w:t xml:space="preserve">The case management system </w:t>
      </w:r>
      <w:r>
        <w:rPr>
          <w:rFonts w:eastAsia="Calibri"/>
          <w:sz w:val="22"/>
          <w:szCs w:val="22"/>
          <w:lang w:bidi="en-US"/>
        </w:rPr>
        <w:t xml:space="preserve">will </w:t>
      </w:r>
      <w:r w:rsidRPr="00880EF4">
        <w:rPr>
          <w:rFonts w:eastAsia="Calibri"/>
          <w:sz w:val="22"/>
          <w:szCs w:val="22"/>
          <w:lang w:bidi="en-US"/>
        </w:rPr>
        <w:t xml:space="preserve">include background information </w:t>
      </w:r>
      <w:r w:rsidR="7ADBBC81">
        <w:rPr>
          <w:rFonts w:eastAsia="Calibri"/>
          <w:sz w:val="22"/>
          <w:szCs w:val="22"/>
          <w:lang w:bidi="en-US"/>
        </w:rPr>
        <w:t>about</w:t>
      </w:r>
      <w:r w:rsidRPr="00880EF4">
        <w:rPr>
          <w:rFonts w:eastAsia="Calibri"/>
          <w:sz w:val="22"/>
          <w:szCs w:val="22"/>
          <w:lang w:bidi="en-US"/>
        </w:rPr>
        <w:t xml:space="preserve"> each case, </w:t>
      </w:r>
      <w:r w:rsidRPr="00880EF4" w:rsidR="5219A339">
        <w:rPr>
          <w:rFonts w:eastAsia="Calibri"/>
          <w:sz w:val="22"/>
          <w:szCs w:val="22"/>
          <w:lang w:bidi="en-US"/>
        </w:rPr>
        <w:t>all</w:t>
      </w:r>
      <w:r w:rsidRPr="00880EF4">
        <w:rPr>
          <w:rFonts w:eastAsia="Calibri"/>
          <w:sz w:val="22"/>
          <w:szCs w:val="22"/>
          <w:lang w:bidi="en-US"/>
        </w:rPr>
        <w:t xml:space="preserve"> the locating leads, </w:t>
      </w:r>
      <w:r w:rsidR="2CBA2455">
        <w:rPr>
          <w:rFonts w:eastAsia="Calibri"/>
          <w:sz w:val="22"/>
          <w:szCs w:val="22"/>
          <w:lang w:bidi="en-US"/>
        </w:rPr>
        <w:t xml:space="preserve">a history of </w:t>
      </w:r>
      <w:r w:rsidRPr="00880EF4">
        <w:rPr>
          <w:rFonts w:eastAsia="Calibri"/>
          <w:sz w:val="22"/>
          <w:szCs w:val="22"/>
          <w:lang w:bidi="en-US"/>
        </w:rPr>
        <w:t xml:space="preserve">all searches conducted, and all outreach </w:t>
      </w:r>
      <w:r>
        <w:rPr>
          <w:rFonts w:eastAsia="Calibri"/>
          <w:sz w:val="22"/>
          <w:szCs w:val="22"/>
          <w:lang w:bidi="en-US"/>
        </w:rPr>
        <w:t>attempts</w:t>
      </w:r>
      <w:r w:rsidRPr="00880EF4">
        <w:rPr>
          <w:rFonts w:eastAsia="Calibri"/>
          <w:sz w:val="22"/>
          <w:szCs w:val="22"/>
          <w:lang w:bidi="en-US"/>
        </w:rPr>
        <w:t xml:space="preserve"> made which led to the newly found contacting information (including </w:t>
      </w:r>
      <w:r>
        <w:rPr>
          <w:rFonts w:eastAsia="Calibri"/>
          <w:sz w:val="22"/>
          <w:szCs w:val="22"/>
          <w:lang w:bidi="en-US"/>
        </w:rPr>
        <w:t xml:space="preserve">mailing </w:t>
      </w:r>
      <w:r w:rsidRPr="00880EF4">
        <w:rPr>
          <w:rFonts w:eastAsia="Calibri"/>
          <w:sz w:val="22"/>
          <w:szCs w:val="22"/>
          <w:lang w:bidi="en-US"/>
        </w:rPr>
        <w:t>addresses, telephone numbers, and email addresses).</w:t>
      </w:r>
      <w:r w:rsidR="3BC21995">
        <w:rPr>
          <w:rFonts w:eastAsia="Calibri"/>
          <w:sz w:val="22"/>
          <w:szCs w:val="22"/>
          <w:lang w:bidi="en-US"/>
        </w:rPr>
        <w:t xml:space="preserve"> CMS </w:t>
      </w:r>
      <w:r w:rsidR="4E02946D">
        <w:rPr>
          <w:rFonts w:eastAsia="Calibri"/>
          <w:sz w:val="22"/>
          <w:szCs w:val="22"/>
          <w:lang w:bidi="en-US"/>
        </w:rPr>
        <w:t xml:space="preserve">information </w:t>
      </w:r>
      <w:r w:rsidR="3BC21995">
        <w:rPr>
          <w:rFonts w:eastAsia="Calibri"/>
          <w:sz w:val="22"/>
          <w:szCs w:val="22"/>
          <w:lang w:bidi="en-US"/>
        </w:rPr>
        <w:t xml:space="preserve">will </w:t>
      </w:r>
      <w:r w:rsidR="4E02946D">
        <w:rPr>
          <w:rFonts w:eastAsia="Calibri"/>
          <w:sz w:val="22"/>
          <w:szCs w:val="22"/>
          <w:lang w:bidi="en-US"/>
        </w:rPr>
        <w:t xml:space="preserve">be integrated with survey </w:t>
      </w:r>
      <w:r w:rsidR="4E02946D">
        <w:rPr>
          <w:rFonts w:eastAsia="Calibri"/>
          <w:sz w:val="22"/>
          <w:szCs w:val="22"/>
          <w:lang w:bidi="en-US"/>
        </w:rPr>
        <w:t>paradata</w:t>
      </w:r>
      <w:r w:rsidR="4E02946D">
        <w:rPr>
          <w:rFonts w:eastAsia="Calibri"/>
          <w:sz w:val="22"/>
          <w:szCs w:val="22"/>
          <w:lang w:bidi="en-US"/>
        </w:rPr>
        <w:t xml:space="preserve"> and monitoring metrics that support </w:t>
      </w:r>
      <w:r w:rsidR="1474B747">
        <w:rPr>
          <w:rFonts w:eastAsia="Calibri"/>
          <w:sz w:val="22"/>
          <w:szCs w:val="22"/>
          <w:lang w:bidi="en-US"/>
        </w:rPr>
        <w:t>an</w:t>
      </w:r>
      <w:r w:rsidR="4E02946D">
        <w:rPr>
          <w:rFonts w:eastAsia="Calibri"/>
          <w:sz w:val="22"/>
          <w:szCs w:val="22"/>
          <w:lang w:bidi="en-US"/>
        </w:rPr>
        <w:t xml:space="preserve"> adaptive design approach</w:t>
      </w:r>
      <w:r w:rsidR="4EBF66C7">
        <w:rPr>
          <w:rFonts w:eastAsia="Calibri"/>
          <w:sz w:val="22"/>
          <w:szCs w:val="22"/>
          <w:lang w:bidi="en-US"/>
        </w:rPr>
        <w:t xml:space="preserve"> </w:t>
      </w:r>
      <w:r w:rsidR="234A2D7E">
        <w:rPr>
          <w:rFonts w:eastAsia="Calibri"/>
          <w:sz w:val="22"/>
          <w:szCs w:val="22"/>
          <w:lang w:bidi="en-US"/>
        </w:rPr>
        <w:t>(</w:t>
      </w:r>
      <w:r w:rsidR="5A4FA0A9">
        <w:rPr>
          <w:rFonts w:eastAsia="Calibri"/>
          <w:sz w:val="22"/>
          <w:szCs w:val="22"/>
          <w:lang w:bidi="en-US"/>
        </w:rPr>
        <w:t>s</w:t>
      </w:r>
      <w:r w:rsidR="4EBF66C7">
        <w:rPr>
          <w:rFonts w:eastAsia="Calibri"/>
          <w:sz w:val="22"/>
          <w:szCs w:val="22"/>
          <w:lang w:bidi="en-US"/>
        </w:rPr>
        <w:t xml:space="preserve">ee </w:t>
      </w:r>
      <w:r w:rsidR="76B44E7A">
        <w:rPr>
          <w:rFonts w:eastAsia="Calibri"/>
          <w:sz w:val="22"/>
          <w:szCs w:val="22"/>
          <w:lang w:bidi="en-US"/>
        </w:rPr>
        <w:t>S</w:t>
      </w:r>
      <w:r w:rsidR="4EBF66C7">
        <w:rPr>
          <w:rFonts w:eastAsia="Calibri"/>
          <w:sz w:val="22"/>
          <w:szCs w:val="22"/>
          <w:lang w:bidi="en-US"/>
        </w:rPr>
        <w:t>ection B.</w:t>
      </w:r>
      <w:r w:rsidR="6FAF1CB0">
        <w:rPr>
          <w:rFonts w:eastAsia="Calibri"/>
          <w:sz w:val="22"/>
          <w:szCs w:val="22"/>
          <w:lang w:bidi="en-US"/>
        </w:rPr>
        <w:t>4.4</w:t>
      </w:r>
      <w:r w:rsidR="5A4FA0A9">
        <w:rPr>
          <w:rFonts w:eastAsia="Calibri"/>
          <w:sz w:val="22"/>
          <w:szCs w:val="22"/>
          <w:lang w:bidi="en-US"/>
        </w:rPr>
        <w:t xml:space="preserve"> </w:t>
      </w:r>
      <w:r w:rsidR="4EBF66C7">
        <w:rPr>
          <w:rFonts w:eastAsia="Calibri"/>
          <w:sz w:val="22"/>
          <w:szCs w:val="22"/>
          <w:lang w:bidi="en-US"/>
        </w:rPr>
        <w:t>for more information on the adaptive design plans for 20</w:t>
      </w:r>
      <w:r w:rsidR="234A2D7E">
        <w:rPr>
          <w:rFonts w:eastAsia="Calibri"/>
          <w:sz w:val="22"/>
          <w:szCs w:val="22"/>
          <w:lang w:bidi="en-US"/>
        </w:rPr>
        <w:t>2</w:t>
      </w:r>
      <w:r w:rsidR="2D738902">
        <w:rPr>
          <w:rFonts w:eastAsia="Calibri"/>
          <w:sz w:val="22"/>
          <w:szCs w:val="22"/>
          <w:lang w:bidi="en-US"/>
        </w:rPr>
        <w:t>3</w:t>
      </w:r>
      <w:r w:rsidR="234A2D7E">
        <w:rPr>
          <w:rFonts w:eastAsia="Calibri"/>
          <w:sz w:val="22"/>
          <w:szCs w:val="22"/>
          <w:lang w:bidi="en-US"/>
        </w:rPr>
        <w:t>)</w:t>
      </w:r>
      <w:r w:rsidR="4EBF66C7">
        <w:rPr>
          <w:rFonts w:eastAsia="Calibri"/>
          <w:sz w:val="22"/>
          <w:szCs w:val="22"/>
          <w:lang w:bidi="en-US"/>
        </w:rPr>
        <w:t>.</w:t>
      </w:r>
    </w:p>
    <w:p w:rsidR="00046B7E" w:rsidRPr="00880EF4" w:rsidP="00046B7E" w14:paraId="20D5DB4E" w14:textId="77777777">
      <w:pPr>
        <w:ind w:left="360"/>
        <w:rPr>
          <w:rFonts w:eastAsia="Calibri"/>
          <w:sz w:val="22"/>
          <w:szCs w:val="22"/>
          <w:lang w:bidi="en-US"/>
        </w:rPr>
      </w:pPr>
    </w:p>
    <w:p w:rsidR="00046B7E" w:rsidRPr="00163325" w:rsidP="00046B7E" w14:paraId="1D2D5028" w14:textId="0A82B9B2">
      <w:pPr>
        <w:tabs>
          <w:tab w:val="left" w:pos="360"/>
        </w:tabs>
        <w:rPr>
          <w:rFonts w:eastAsia="Calibri"/>
          <w:sz w:val="22"/>
          <w:szCs w:val="22"/>
          <w:lang w:bidi="en-US"/>
        </w:rPr>
      </w:pPr>
      <w:r w:rsidRPr="00880EF4">
        <w:rPr>
          <w:rFonts w:eastAsia="Calibri"/>
          <w:b/>
          <w:sz w:val="22"/>
          <w:szCs w:val="22"/>
          <w:lang w:bidi="en-US"/>
        </w:rPr>
        <w:t>Prefield</w:t>
      </w:r>
      <w:r w:rsidRPr="00880EF4">
        <w:rPr>
          <w:rFonts w:eastAsia="Calibri"/>
          <w:b/>
          <w:sz w:val="22"/>
          <w:szCs w:val="22"/>
          <w:lang w:bidi="en-US"/>
        </w:rPr>
        <w:t xml:space="preserve"> Locating Activities</w:t>
      </w:r>
      <w:r>
        <w:rPr>
          <w:rFonts w:eastAsia="Calibri"/>
          <w:b/>
          <w:sz w:val="22"/>
          <w:szCs w:val="22"/>
          <w:lang w:bidi="en-US"/>
        </w:rPr>
        <w:t xml:space="preserve">. </w:t>
      </w:r>
      <w:r>
        <w:rPr>
          <w:rFonts w:eastAsia="Calibri"/>
          <w:sz w:val="22"/>
          <w:szCs w:val="22"/>
          <w:lang w:bidi="en-US"/>
        </w:rPr>
        <w:t xml:space="preserve">The </w:t>
      </w:r>
      <w:r>
        <w:rPr>
          <w:rFonts w:eastAsia="Calibri"/>
          <w:sz w:val="22"/>
          <w:szCs w:val="22"/>
          <w:lang w:bidi="en-US"/>
        </w:rPr>
        <w:t>prefield</w:t>
      </w:r>
      <w:r>
        <w:rPr>
          <w:rFonts w:eastAsia="Calibri"/>
          <w:sz w:val="22"/>
          <w:szCs w:val="22"/>
          <w:lang w:bidi="en-US"/>
        </w:rPr>
        <w:t xml:space="preserve"> locating activities consist of </w:t>
      </w:r>
      <w:r w:rsidRPr="00CD2205">
        <w:rPr>
          <w:rFonts w:eastAsia="Calibri"/>
          <w:sz w:val="22"/>
          <w:szCs w:val="22"/>
          <w:lang w:bidi="en-US"/>
        </w:rPr>
        <w:t>four</w:t>
      </w:r>
      <w:r>
        <w:rPr>
          <w:rFonts w:eastAsia="Calibri"/>
          <w:sz w:val="22"/>
          <w:szCs w:val="22"/>
          <w:lang w:bidi="en-US"/>
        </w:rPr>
        <w:t xml:space="preserve"> major components</w:t>
      </w:r>
      <w:r w:rsidR="0085004B">
        <w:rPr>
          <w:rFonts w:eastAsia="Calibri"/>
          <w:sz w:val="22"/>
          <w:szCs w:val="22"/>
          <w:lang w:bidi="en-US"/>
        </w:rPr>
        <w:t xml:space="preserve"> as follows:</w:t>
      </w:r>
      <w:r>
        <w:rPr>
          <w:rFonts w:eastAsia="Calibri"/>
          <w:sz w:val="22"/>
          <w:szCs w:val="22"/>
          <w:lang w:bidi="en-US"/>
        </w:rPr>
        <w:t xml:space="preserve"> </w:t>
      </w:r>
    </w:p>
    <w:p w:rsidR="00046B7E" w:rsidP="00046B7E" w14:paraId="6E68D603" w14:textId="77777777">
      <w:pPr>
        <w:tabs>
          <w:tab w:val="left" w:pos="360"/>
        </w:tabs>
        <w:rPr>
          <w:rFonts w:eastAsia="Calibri"/>
          <w:b/>
          <w:sz w:val="22"/>
          <w:szCs w:val="22"/>
          <w:lang w:bidi="en-US"/>
        </w:rPr>
      </w:pPr>
    </w:p>
    <w:p w:rsidR="00046B7E" w:rsidRPr="008D68C2" w:rsidP="005F64C7" w14:paraId="46E715DE" w14:textId="00C56CBD">
      <w:pPr>
        <w:pStyle w:val="ListParagraph"/>
        <w:numPr>
          <w:ilvl w:val="0"/>
          <w:numId w:val="15"/>
        </w:numPr>
        <w:tabs>
          <w:tab w:val="left" w:pos="360"/>
        </w:tabs>
        <w:spacing w:before="0"/>
        <w:rPr>
          <w:rFonts w:eastAsia="Calibri"/>
          <w:b/>
          <w:lang w:bidi="en-US"/>
        </w:rPr>
      </w:pPr>
      <w:r>
        <w:rPr>
          <w:rFonts w:eastAsia="Calibri"/>
          <w:lang w:bidi="en-US"/>
        </w:rPr>
        <w:t>Prior to any mailing, the addresses f</w:t>
      </w:r>
      <w:r w:rsidRPr="0014735B">
        <w:rPr>
          <w:rFonts w:eastAsia="Calibri"/>
          <w:lang w:bidi="en-US"/>
        </w:rPr>
        <w:t xml:space="preserve">or </w:t>
      </w:r>
      <w:r w:rsidR="001802C4">
        <w:rPr>
          <w:rFonts w:eastAsia="Calibri"/>
          <w:lang w:bidi="en-US"/>
        </w:rPr>
        <w:t xml:space="preserve">both </w:t>
      </w:r>
      <w:r w:rsidRPr="0014735B">
        <w:rPr>
          <w:rFonts w:eastAsia="Calibri"/>
          <w:lang w:bidi="en-US"/>
        </w:rPr>
        <w:t xml:space="preserve">the </w:t>
      </w:r>
      <w:r w:rsidR="007913E3">
        <w:rPr>
          <w:rFonts w:eastAsia="Calibri"/>
          <w:lang w:bidi="en-US"/>
        </w:rPr>
        <w:t xml:space="preserve">continuing </w:t>
      </w:r>
      <w:r w:rsidRPr="0014735B">
        <w:rPr>
          <w:rFonts w:eastAsia="Calibri"/>
          <w:lang w:bidi="en-US"/>
        </w:rPr>
        <w:t>sample component</w:t>
      </w:r>
      <w:r w:rsidR="00322BE9">
        <w:rPr>
          <w:rFonts w:eastAsia="Calibri"/>
          <w:lang w:bidi="en-US"/>
        </w:rPr>
        <w:t xml:space="preserve"> and</w:t>
      </w:r>
      <w:r w:rsidRPr="0014735B">
        <w:rPr>
          <w:rFonts w:eastAsia="Calibri"/>
          <w:lang w:bidi="en-US"/>
        </w:rPr>
        <w:t xml:space="preserve"> the new cohort sample </w:t>
      </w:r>
      <w:r>
        <w:rPr>
          <w:rFonts w:eastAsia="Calibri"/>
          <w:lang w:bidi="en-US"/>
        </w:rPr>
        <w:t xml:space="preserve">component </w:t>
      </w:r>
      <w:r w:rsidR="00556ADB">
        <w:rPr>
          <w:rFonts w:eastAsia="Calibri"/>
          <w:lang w:bidi="en-US"/>
        </w:rPr>
        <w:t xml:space="preserve">will be run through </w:t>
      </w:r>
      <w:r w:rsidRPr="00556ADB" w:rsidR="00556ADB">
        <w:rPr>
          <w:rFonts w:eastAsia="Calibri"/>
          <w:lang w:bidi="en-US"/>
        </w:rPr>
        <w:t>Quadient</w:t>
      </w:r>
      <w:r w:rsidRPr="00556ADB" w:rsidR="00556ADB">
        <w:rPr>
          <w:rFonts w:eastAsia="Calibri"/>
          <w:lang w:bidi="en-US"/>
        </w:rPr>
        <w:t xml:space="preserve"> Bulk Mailer SMB </w:t>
      </w:r>
      <w:r w:rsidR="00556ADB">
        <w:rPr>
          <w:rFonts w:eastAsia="Calibri"/>
          <w:lang w:bidi="en-US"/>
        </w:rPr>
        <w:t>software</w:t>
      </w:r>
      <w:r w:rsidR="00BB57AC">
        <w:rPr>
          <w:rFonts w:eastAsia="Calibri"/>
          <w:lang w:bidi="en-US"/>
        </w:rPr>
        <w:t xml:space="preserve">. This is </w:t>
      </w:r>
      <w:r w:rsidR="00F42DE6">
        <w:rPr>
          <w:rFonts w:eastAsia="Calibri"/>
          <w:lang w:bidi="en-US"/>
        </w:rPr>
        <w:t>an address cleaning software that</w:t>
      </w:r>
      <w:r w:rsidR="00C26C07">
        <w:rPr>
          <w:rFonts w:eastAsia="Calibri"/>
          <w:lang w:bidi="en-US"/>
        </w:rPr>
        <w:t xml:space="preserve"> identifies potentially undeliverable addresses and incorporates </w:t>
      </w:r>
      <w:r w:rsidRPr="007D3D67">
        <w:rPr>
          <w:rFonts w:eastAsia="Calibri"/>
          <w:lang w:bidi="en-US"/>
        </w:rPr>
        <w:t xml:space="preserve">the U.S. Postal Service’s (USPS) automated National Change of Address (NCOA) database </w:t>
      </w:r>
      <w:r w:rsidR="00942190">
        <w:rPr>
          <w:rFonts w:eastAsia="Calibri"/>
          <w:lang w:bidi="en-US"/>
        </w:rPr>
        <w:t>to check for forwarding addresses</w:t>
      </w:r>
      <w:r>
        <w:rPr>
          <w:rFonts w:eastAsia="Calibri"/>
          <w:lang w:bidi="en-US"/>
        </w:rPr>
        <w:t xml:space="preserve">. </w:t>
      </w:r>
      <w:r w:rsidRPr="007D3D67">
        <w:rPr>
          <w:rFonts w:eastAsia="Calibri"/>
          <w:lang w:bidi="en-US"/>
        </w:rPr>
        <w:t>The NCOA incorporates all change of name/address orders submitted to the USPS nationwide for residential addr</w:t>
      </w:r>
      <w:r w:rsidRPr="004E2A30">
        <w:rPr>
          <w:rFonts w:eastAsia="Calibri"/>
          <w:lang w:bidi="en-US"/>
        </w:rPr>
        <w:t>esses</w:t>
      </w:r>
      <w:r>
        <w:rPr>
          <w:rFonts w:eastAsia="Calibri"/>
          <w:lang w:bidi="en-US"/>
        </w:rPr>
        <w:t xml:space="preserve">. </w:t>
      </w:r>
      <w:r w:rsidRPr="00125A55">
        <w:rPr>
          <w:rFonts w:eastAsia="Calibri"/>
          <w:lang w:bidi="en-US"/>
        </w:rPr>
        <w:t xml:space="preserve">The NCOA database maintains up to </w:t>
      </w:r>
      <w:r w:rsidR="00052E3A">
        <w:rPr>
          <w:rFonts w:eastAsia="Calibri"/>
          <w:lang w:bidi="en-US"/>
        </w:rPr>
        <w:t>48</w:t>
      </w:r>
      <w:r w:rsidRPr="00125A55">
        <w:rPr>
          <w:rFonts w:eastAsia="Calibri"/>
          <w:lang w:bidi="en-US"/>
        </w:rPr>
        <w:t xml:space="preserve"> months of historical records of previous address changes. </w:t>
      </w:r>
      <w:r w:rsidRPr="00C8571D">
        <w:rPr>
          <w:rFonts w:eastAsia="Calibri"/>
          <w:lang w:bidi="en-US"/>
        </w:rPr>
        <w:t xml:space="preserve">However, the NCOA updates will be less effective for the new sample </w:t>
      </w:r>
      <w:r w:rsidR="002B1027">
        <w:rPr>
          <w:rFonts w:eastAsia="Calibri"/>
          <w:lang w:bidi="en-US"/>
        </w:rPr>
        <w:t xml:space="preserve">because </w:t>
      </w:r>
      <w:r w:rsidRPr="00C8571D">
        <w:rPr>
          <w:rFonts w:eastAsia="Calibri"/>
          <w:lang w:bidi="en-US"/>
        </w:rPr>
        <w:t xml:space="preserve">the starting </w:t>
      </w:r>
      <w:r w:rsidR="009C6CDE">
        <w:rPr>
          <w:rFonts w:eastAsia="Calibri"/>
          <w:lang w:bidi="en-US"/>
        </w:rPr>
        <w:t xml:space="preserve">contact </w:t>
      </w:r>
      <w:r w:rsidRPr="00C8571D">
        <w:rPr>
          <w:rFonts w:eastAsia="Calibri"/>
          <w:lang w:bidi="en-US"/>
        </w:rPr>
        <w:t xml:space="preserve">information from SED </w:t>
      </w:r>
      <w:r>
        <w:rPr>
          <w:rFonts w:eastAsia="Calibri"/>
          <w:lang w:bidi="en-US"/>
        </w:rPr>
        <w:t xml:space="preserve">could </w:t>
      </w:r>
      <w:r w:rsidRPr="00C8571D">
        <w:rPr>
          <w:rFonts w:eastAsia="Calibri"/>
          <w:lang w:bidi="en-US"/>
        </w:rPr>
        <w:t xml:space="preserve">be </w:t>
      </w:r>
      <w:r>
        <w:rPr>
          <w:rFonts w:eastAsia="Calibri"/>
          <w:lang w:bidi="en-US"/>
        </w:rPr>
        <w:t xml:space="preserve">up to </w:t>
      </w:r>
      <w:r w:rsidRPr="00C8571D">
        <w:rPr>
          <w:rFonts w:eastAsia="Calibri"/>
          <w:lang w:bidi="en-US"/>
        </w:rPr>
        <w:t>three years out of date.</w:t>
      </w:r>
      <w:r w:rsidR="00B13B12">
        <w:rPr>
          <w:rFonts w:eastAsia="Calibri"/>
          <w:lang w:bidi="en-US"/>
        </w:rPr>
        <w:t xml:space="preserve"> </w:t>
      </w:r>
    </w:p>
    <w:p w:rsidR="00E836E7" w:rsidP="005F64C7" w14:paraId="04BEF76D" w14:textId="4A66852E">
      <w:pPr>
        <w:pStyle w:val="ListParagraph"/>
        <w:numPr>
          <w:ilvl w:val="0"/>
          <w:numId w:val="15"/>
        </w:numPr>
        <w:tabs>
          <w:tab w:val="left" w:pos="360"/>
        </w:tabs>
      </w:pPr>
      <w:r>
        <w:t>T</w:t>
      </w:r>
      <w:r w:rsidRPr="007D3D67" w:rsidR="001802C4">
        <w:t xml:space="preserve">he sample will be assessed to determine which cases require </w:t>
      </w:r>
      <w:r>
        <w:t xml:space="preserve">individual </w:t>
      </w:r>
      <w:r w:rsidRPr="007D3D67" w:rsidR="001802C4">
        <w:t>prefield</w:t>
      </w:r>
      <w:r w:rsidRPr="004E2A30" w:rsidR="001802C4">
        <w:t xml:space="preserve"> locating. This assessment is different for the </w:t>
      </w:r>
      <w:r w:rsidR="00A92CC9">
        <w:t>continuing</w:t>
      </w:r>
      <w:r w:rsidR="001802C4">
        <w:t xml:space="preserve"> </w:t>
      </w:r>
      <w:r w:rsidRPr="004E2A30" w:rsidR="001802C4">
        <w:t xml:space="preserve">cases </w:t>
      </w:r>
      <w:r w:rsidR="001802C4">
        <w:t>than for</w:t>
      </w:r>
      <w:r w:rsidRPr="0014735B" w:rsidR="001802C4">
        <w:t xml:space="preserve"> the new cohort</w:t>
      </w:r>
      <w:r w:rsidRPr="007D3D67" w:rsidR="001802C4">
        <w:t xml:space="preserve"> sample component.</w:t>
      </w:r>
      <w:r w:rsidR="001802C4">
        <w:t xml:space="preserve"> </w:t>
      </w:r>
    </w:p>
    <w:p w:rsidR="00E836E7" w:rsidP="00E836E7" w14:paraId="74766F10" w14:textId="199C5EFF">
      <w:pPr>
        <w:pStyle w:val="ListParagraph"/>
        <w:numPr>
          <w:ilvl w:val="1"/>
          <w:numId w:val="15"/>
        </w:numPr>
        <w:tabs>
          <w:tab w:val="left" w:pos="360"/>
        </w:tabs>
        <w:ind w:left="1080"/>
      </w:pPr>
      <w:r w:rsidRPr="007D3D67">
        <w:t>Prefield</w:t>
      </w:r>
      <w:r w:rsidRPr="007D3D67">
        <w:t xml:space="preserve"> locating will be conducted on cases which could not be found in the prior round of data</w:t>
      </w:r>
      <w:r w:rsidRPr="004E2A30">
        <w:t xml:space="preserve"> collection</w:t>
      </w:r>
      <w:r>
        <w:t xml:space="preserve"> or ended the round with unknown eligibility (meaning we </w:t>
      </w:r>
      <w:r w:rsidR="00E04EA0">
        <w:t xml:space="preserve">could not confirm if the sample member received </w:t>
      </w:r>
      <w:r w:rsidR="001D7A04">
        <w:t>the SDR</w:t>
      </w:r>
      <w:r w:rsidR="00E04EA0">
        <w:t xml:space="preserve"> contacts</w:t>
      </w:r>
      <w:r>
        <w:t>). A LexisNexis</w:t>
      </w:r>
      <w:bookmarkStart w:id="17" w:name="OLE_LINK14"/>
      <w:r w:rsidRPr="007D3D67">
        <w:t xml:space="preserve">® batch search </w:t>
      </w:r>
      <w:bookmarkEnd w:id="17"/>
      <w:r w:rsidRPr="007D3D67">
        <w:t>will be run</w:t>
      </w:r>
      <w:r>
        <w:t xml:space="preserve"> on the </w:t>
      </w:r>
      <w:r w:rsidR="00870244">
        <w:t xml:space="preserve">continuing </w:t>
      </w:r>
      <w:r>
        <w:t>cohort</w:t>
      </w:r>
      <w:r w:rsidRPr="007D3D67">
        <w:t xml:space="preserve"> using the available</w:t>
      </w:r>
      <w:r w:rsidR="00425988">
        <w:t xml:space="preserve"> prior survey cycle</w:t>
      </w:r>
      <w:r w:rsidRPr="007D3D67">
        <w:t xml:space="preserve"> information</w:t>
      </w:r>
      <w:r>
        <w:t>.</w:t>
      </w:r>
      <w:r w:rsidR="00F80250">
        <w:t xml:space="preserve"> In addit</w:t>
      </w:r>
      <w:r w:rsidR="002A5739">
        <w:t>ion,</w:t>
      </w:r>
      <w:r w:rsidR="004C6E67">
        <w:t xml:space="preserve"> </w:t>
      </w:r>
      <w:r w:rsidR="000730F2">
        <w:t>all</w:t>
      </w:r>
      <w:r w:rsidR="00D154CE">
        <w:t xml:space="preserve"> </w:t>
      </w:r>
      <w:r w:rsidR="002A3EA7">
        <w:t xml:space="preserve">continuing </w:t>
      </w:r>
      <w:r w:rsidR="00D154CE">
        <w:t>sample members over 49 years of age</w:t>
      </w:r>
      <w:r w:rsidR="00D77F99">
        <w:t xml:space="preserve"> will </w:t>
      </w:r>
      <w:r w:rsidR="00C86011">
        <w:t xml:space="preserve">receive a </w:t>
      </w:r>
      <w:r w:rsidR="001C3C84">
        <w:t xml:space="preserve">more limited LexisNexis® batch search </w:t>
      </w:r>
      <w:r w:rsidR="00BD419C">
        <w:t>for</w:t>
      </w:r>
      <w:r w:rsidR="00B308F9">
        <w:t xml:space="preserve"> potential date of death.</w:t>
      </w:r>
      <w:r w:rsidRPr="00D069ED" w:rsidR="00D069ED">
        <w:t xml:space="preserve"> </w:t>
      </w:r>
    </w:p>
    <w:p w:rsidR="00F3425A" w:rsidP="00F3425A" w14:paraId="26459B79" w14:textId="0AB988F5">
      <w:pPr>
        <w:pStyle w:val="ListParagraph"/>
        <w:numPr>
          <w:ilvl w:val="1"/>
          <w:numId w:val="15"/>
        </w:numPr>
        <w:tabs>
          <w:tab w:val="left" w:pos="360"/>
        </w:tabs>
        <w:spacing w:after="120"/>
        <w:ind w:left="1080"/>
      </w:pPr>
      <w:r w:rsidRPr="0014735B">
        <w:t>For the new</w:t>
      </w:r>
      <w:r>
        <w:t xml:space="preserve"> cohort</w:t>
      </w:r>
      <w:r w:rsidRPr="007D3D67">
        <w:t xml:space="preserve">, </w:t>
      </w:r>
      <w:r>
        <w:t>a LexisNexis</w:t>
      </w:r>
      <w:r w:rsidRPr="007D3D67">
        <w:t xml:space="preserve">® batch search will be run using the available information provided in the </w:t>
      </w:r>
      <w:r w:rsidR="00D9186D">
        <w:t xml:space="preserve">SED </w:t>
      </w:r>
      <w:r>
        <w:t>2020 and 2021.</w:t>
      </w:r>
      <w:r w:rsidR="00F0298E">
        <w:t xml:space="preserve"> </w:t>
      </w:r>
      <w:r w:rsidR="000D4A4A">
        <w:t>An</w:t>
      </w:r>
      <w:r w:rsidR="00F0298E">
        <w:t xml:space="preserve"> assessment of SED data and returns from </w:t>
      </w:r>
      <w:r w:rsidR="00F0298E">
        <w:t>LexisNexis® will determine</w:t>
      </w:r>
      <w:r w:rsidR="005F58C2">
        <w:t xml:space="preserve"> </w:t>
      </w:r>
      <w:r w:rsidR="000D4A4A">
        <w:t>which of</w:t>
      </w:r>
      <w:r w:rsidR="005F58C2">
        <w:t xml:space="preserve"> new cohort cases </w:t>
      </w:r>
      <w:r w:rsidR="000D4A4A">
        <w:t xml:space="preserve">will be </w:t>
      </w:r>
      <w:r w:rsidR="005F58C2">
        <w:t xml:space="preserve">identified for </w:t>
      </w:r>
      <w:r w:rsidR="00A07D54">
        <w:t xml:space="preserve">individual </w:t>
      </w:r>
      <w:r w:rsidR="005F58C2">
        <w:t>prefield</w:t>
      </w:r>
      <w:r w:rsidR="005F58C2">
        <w:t xml:space="preserve"> locating.</w:t>
      </w:r>
    </w:p>
    <w:p w:rsidR="00046B7E" w:rsidRPr="00D21758" w:rsidP="005F64C7" w14:paraId="212652F2" w14:textId="7532C1BE">
      <w:pPr>
        <w:pStyle w:val="ListParagraph"/>
        <w:numPr>
          <w:ilvl w:val="0"/>
          <w:numId w:val="15"/>
        </w:numPr>
        <w:tabs>
          <w:tab w:val="left" w:pos="360"/>
        </w:tabs>
        <w:spacing w:before="0"/>
        <w:rPr>
          <w:rFonts w:eastAsia="Calibri"/>
          <w:lang w:bidi="en-US"/>
        </w:rPr>
      </w:pPr>
      <w:r w:rsidRPr="007D3D67">
        <w:t xml:space="preserve">The returned results </w:t>
      </w:r>
      <w:r w:rsidR="000D4A4A">
        <w:t xml:space="preserve">from LexisNexis® </w:t>
      </w:r>
      <w:r w:rsidRPr="007D3D67">
        <w:t xml:space="preserve">will be assessed to determine which cases are ready for </w:t>
      </w:r>
      <w:r w:rsidR="00905368">
        <w:t>data collection</w:t>
      </w:r>
      <w:r w:rsidRPr="007D3D67">
        <w:t xml:space="preserve"> a</w:t>
      </w:r>
      <w:r w:rsidRPr="004E2A30">
        <w:t>nd which require</w:t>
      </w:r>
      <w:r w:rsidR="00417A27">
        <w:t xml:space="preserve"> further</w:t>
      </w:r>
      <w:r w:rsidRPr="004E2A30">
        <w:t xml:space="preserve"> </w:t>
      </w:r>
      <w:r w:rsidRPr="004E2A30">
        <w:t>prefield</w:t>
      </w:r>
      <w:r w:rsidRPr="004E2A30">
        <w:t xml:space="preserve"> locating.</w:t>
      </w:r>
      <w:r w:rsidRPr="00165560">
        <w:rPr>
          <w:rFonts w:eastAsia="Calibri"/>
          <w:lang w:bidi="en-US"/>
        </w:rPr>
        <w:t xml:space="preserve"> There are four potential data retur</w:t>
      </w:r>
      <w:r w:rsidRPr="00F65268">
        <w:rPr>
          <w:rFonts w:eastAsia="Calibri"/>
          <w:lang w:bidi="en-US"/>
        </w:rPr>
        <w:t xml:space="preserve">n </w:t>
      </w:r>
      <w:r w:rsidRPr="00D21758">
        <w:rPr>
          <w:rFonts w:eastAsia="Calibri"/>
          <w:lang w:bidi="en-US"/>
        </w:rPr>
        <w:t xml:space="preserve">outcomes from the </w:t>
      </w:r>
      <w:r w:rsidR="00577141">
        <w:rPr>
          <w:rFonts w:eastAsia="Calibri"/>
          <w:lang w:bidi="en-US"/>
        </w:rPr>
        <w:t>LexisNexis</w:t>
      </w:r>
      <w:r w:rsidRPr="00D21758">
        <w:rPr>
          <w:rFonts w:eastAsia="Calibri"/>
          <w:lang w:bidi="en-US"/>
        </w:rPr>
        <w:t>® batch search</w:t>
      </w:r>
      <w:r w:rsidR="004F3364">
        <w:rPr>
          <w:rFonts w:eastAsia="Calibri"/>
          <w:lang w:bidi="en-US"/>
        </w:rPr>
        <w:t xml:space="preserve"> for both the </w:t>
      </w:r>
      <w:r w:rsidR="00905368">
        <w:rPr>
          <w:rFonts w:eastAsia="Calibri"/>
          <w:lang w:bidi="en-US"/>
        </w:rPr>
        <w:t>continuing</w:t>
      </w:r>
      <w:r w:rsidR="004F3364">
        <w:rPr>
          <w:rFonts w:eastAsia="Calibri"/>
          <w:lang w:bidi="en-US"/>
        </w:rPr>
        <w:t xml:space="preserve"> </w:t>
      </w:r>
      <w:r w:rsidR="00B36C39">
        <w:rPr>
          <w:rFonts w:eastAsia="Calibri"/>
          <w:lang w:bidi="en-US"/>
        </w:rPr>
        <w:t xml:space="preserve">sample </w:t>
      </w:r>
      <w:r w:rsidR="004F3364">
        <w:rPr>
          <w:rFonts w:eastAsia="Calibri"/>
          <w:lang w:bidi="en-US"/>
        </w:rPr>
        <w:t xml:space="preserve">and the </w:t>
      </w:r>
      <w:r w:rsidR="00CD237F">
        <w:rPr>
          <w:rFonts w:eastAsia="Calibri"/>
          <w:lang w:bidi="en-US"/>
        </w:rPr>
        <w:t>new cohort</w:t>
      </w:r>
      <w:r w:rsidR="00905368">
        <w:rPr>
          <w:rFonts w:eastAsia="Calibri"/>
          <w:lang w:bidi="en-US"/>
        </w:rPr>
        <w:t>s</w:t>
      </w:r>
      <w:r w:rsidRPr="00D21758">
        <w:rPr>
          <w:rFonts w:eastAsia="Calibri"/>
          <w:lang w:bidi="en-US"/>
        </w:rPr>
        <w:t>:</w:t>
      </w:r>
    </w:p>
    <w:p w:rsidR="00046B7E" w:rsidRPr="00D21758" w:rsidP="00046B7E" w14:paraId="5648E3DB" w14:textId="77777777">
      <w:pPr>
        <w:tabs>
          <w:tab w:val="left" w:pos="360"/>
        </w:tabs>
        <w:rPr>
          <w:sz w:val="22"/>
          <w:szCs w:val="22"/>
        </w:rPr>
      </w:pPr>
    </w:p>
    <w:p w:rsidR="00046B7E" w:rsidRPr="00D21758" w:rsidP="005F64C7" w14:paraId="455A2F83" w14:textId="122A24DA">
      <w:pPr>
        <w:numPr>
          <w:ilvl w:val="0"/>
          <w:numId w:val="14"/>
        </w:numPr>
        <w:spacing w:after="120"/>
        <w:rPr>
          <w:rFonts w:eastAsia="Calibri"/>
          <w:sz w:val="22"/>
          <w:szCs w:val="22"/>
          <w:lang w:bidi="en-US"/>
        </w:rPr>
      </w:pPr>
      <w:r w:rsidRPr="009769B9">
        <w:rPr>
          <w:rFonts w:eastAsia="Calibri"/>
          <w:b/>
          <w:bCs/>
          <w:i/>
          <w:iCs/>
          <w:sz w:val="22"/>
          <w:szCs w:val="22"/>
          <w:lang w:bidi="en-US"/>
        </w:rPr>
        <w:t>Returned with a date of death.</w:t>
      </w:r>
      <w:r w:rsidRPr="00D21758">
        <w:rPr>
          <w:rFonts w:eastAsia="Calibri"/>
          <w:sz w:val="22"/>
          <w:szCs w:val="22"/>
          <w:lang w:bidi="en-US"/>
        </w:rPr>
        <w:t xml:space="preserve"> For those cases that return a date of death, the mortality status will be confirmed with an independent online source and finalized as deceased. When the deceased status cannot be confirmed, the cases will be queued for manual </w:t>
      </w:r>
      <w:r w:rsidRPr="00D21758">
        <w:rPr>
          <w:rFonts w:eastAsia="Calibri"/>
          <w:sz w:val="22"/>
          <w:szCs w:val="22"/>
          <w:lang w:bidi="en-US"/>
        </w:rPr>
        <w:t>prefield</w:t>
      </w:r>
      <w:r w:rsidRPr="00D21758">
        <w:rPr>
          <w:rFonts w:eastAsia="Calibri"/>
          <w:sz w:val="22"/>
          <w:szCs w:val="22"/>
          <w:lang w:bidi="en-US"/>
        </w:rPr>
        <w:t xml:space="preserve"> locating and the possible deceased outcome will be noted in the case record so further searching </w:t>
      </w:r>
      <w:r w:rsidR="00545EEF">
        <w:rPr>
          <w:rFonts w:eastAsia="Calibri"/>
          <w:sz w:val="22"/>
          <w:szCs w:val="22"/>
          <w:lang w:bidi="en-US"/>
        </w:rPr>
        <w:t xml:space="preserve">for a deceased confirmation and </w:t>
      </w:r>
      <w:r w:rsidRPr="00D21758">
        <w:rPr>
          <w:rFonts w:eastAsia="Calibri"/>
          <w:sz w:val="22"/>
          <w:szCs w:val="22"/>
          <w:lang w:bidi="en-US"/>
        </w:rPr>
        <w:t>possible date of death may be conducted.</w:t>
      </w:r>
    </w:p>
    <w:p w:rsidR="00046B7E" w:rsidRPr="00D21758" w:rsidP="005F64C7" w14:paraId="2FDD7E19" w14:textId="710AD87E">
      <w:pPr>
        <w:numPr>
          <w:ilvl w:val="0"/>
          <w:numId w:val="14"/>
        </w:numPr>
        <w:spacing w:after="120"/>
        <w:rPr>
          <w:rFonts w:eastAsia="Calibri"/>
          <w:sz w:val="22"/>
          <w:szCs w:val="22"/>
          <w:lang w:bidi="en-US"/>
        </w:rPr>
      </w:pPr>
      <w:r w:rsidRPr="009769B9">
        <w:rPr>
          <w:rFonts w:eastAsia="Calibri"/>
          <w:b/>
          <w:bCs/>
          <w:i/>
          <w:iCs/>
          <w:sz w:val="22"/>
          <w:szCs w:val="22"/>
          <w:lang w:bidi="en-US"/>
        </w:rPr>
        <w:t>Returned with existing address confirmed</w:t>
      </w:r>
      <w:r w:rsidRPr="00905368">
        <w:rPr>
          <w:rFonts w:eastAsia="Calibri"/>
          <w:b/>
          <w:bCs/>
          <w:sz w:val="22"/>
          <w:szCs w:val="22"/>
          <w:lang w:bidi="en-US"/>
        </w:rPr>
        <w:t>.</w:t>
      </w:r>
      <w:r w:rsidRPr="00D21758">
        <w:rPr>
          <w:rFonts w:eastAsia="Calibri"/>
          <w:sz w:val="22"/>
          <w:szCs w:val="22"/>
          <w:lang w:bidi="en-US"/>
        </w:rPr>
        <w:t xml:space="preserve"> For cases where </w:t>
      </w:r>
      <w:r w:rsidR="00577141">
        <w:rPr>
          <w:rFonts w:eastAsia="Calibri"/>
          <w:sz w:val="22"/>
          <w:szCs w:val="22"/>
          <w:lang w:bidi="en-US"/>
        </w:rPr>
        <w:t>LexisNexis</w:t>
      </w:r>
      <w:r w:rsidRPr="00D21758">
        <w:rPr>
          <w:rFonts w:eastAsia="Calibri"/>
          <w:sz w:val="22"/>
          <w:szCs w:val="22"/>
          <w:vertAlign w:val="superscript"/>
          <w:lang w:bidi="en-US"/>
        </w:rPr>
        <w:t>®</w:t>
      </w:r>
      <w:r w:rsidRPr="00D21758">
        <w:rPr>
          <w:rFonts w:eastAsia="Calibri"/>
          <w:sz w:val="22"/>
          <w:szCs w:val="22"/>
          <w:lang w:bidi="en-US"/>
        </w:rPr>
        <w:t xml:space="preserve"> confirms the </w:t>
      </w:r>
      <w:r w:rsidR="00F03713">
        <w:rPr>
          <w:rFonts w:eastAsia="Calibri"/>
          <w:sz w:val="22"/>
          <w:szCs w:val="22"/>
          <w:lang w:bidi="en-US"/>
        </w:rPr>
        <w:t xml:space="preserve">prior </w:t>
      </w:r>
      <w:r w:rsidR="00C44A28">
        <w:rPr>
          <w:rFonts w:eastAsia="Calibri"/>
          <w:sz w:val="22"/>
          <w:szCs w:val="22"/>
          <w:lang w:bidi="en-US"/>
        </w:rPr>
        <w:t>cycle’s</w:t>
      </w:r>
      <w:r w:rsidR="00F03713">
        <w:rPr>
          <w:rFonts w:eastAsia="Calibri"/>
          <w:sz w:val="22"/>
          <w:szCs w:val="22"/>
          <w:lang w:bidi="en-US"/>
        </w:rPr>
        <w:t xml:space="preserve"> </w:t>
      </w:r>
      <w:r w:rsidR="00C44A28">
        <w:rPr>
          <w:rFonts w:eastAsia="Calibri"/>
          <w:sz w:val="22"/>
          <w:szCs w:val="22"/>
          <w:lang w:bidi="en-US"/>
        </w:rPr>
        <w:t xml:space="preserve">address </w:t>
      </w:r>
      <w:r w:rsidR="00F03713">
        <w:rPr>
          <w:rFonts w:eastAsia="Calibri"/>
          <w:sz w:val="22"/>
          <w:szCs w:val="22"/>
          <w:lang w:bidi="en-US"/>
        </w:rPr>
        <w:t xml:space="preserve">or the </w:t>
      </w:r>
      <w:r w:rsidRPr="00D21758">
        <w:rPr>
          <w:rFonts w:eastAsia="Calibri"/>
          <w:sz w:val="22"/>
          <w:szCs w:val="22"/>
          <w:lang w:bidi="en-US"/>
        </w:rPr>
        <w:t xml:space="preserve">SED address as current (i.e., less than two years old), the case will be considered ready for data collection and will not receive </w:t>
      </w:r>
      <w:r w:rsidR="00417A27">
        <w:rPr>
          <w:rFonts w:eastAsia="Calibri"/>
          <w:sz w:val="22"/>
          <w:szCs w:val="22"/>
          <w:lang w:bidi="en-US"/>
        </w:rPr>
        <w:t xml:space="preserve">further </w:t>
      </w:r>
      <w:r w:rsidRPr="00D21758">
        <w:rPr>
          <w:rFonts w:eastAsia="Calibri"/>
          <w:sz w:val="22"/>
          <w:szCs w:val="22"/>
          <w:lang w:bidi="en-US"/>
        </w:rPr>
        <w:t>prefield</w:t>
      </w:r>
      <w:r w:rsidRPr="00D21758">
        <w:rPr>
          <w:rFonts w:eastAsia="Calibri"/>
          <w:sz w:val="22"/>
          <w:szCs w:val="22"/>
          <w:lang w:bidi="en-US"/>
        </w:rPr>
        <w:t xml:space="preserve"> locating.</w:t>
      </w:r>
    </w:p>
    <w:p w:rsidR="00046B7E" w:rsidRPr="00D21758" w:rsidP="005F64C7" w14:paraId="5F3B3FD3" w14:textId="5B21CEB9">
      <w:pPr>
        <w:numPr>
          <w:ilvl w:val="0"/>
          <w:numId w:val="14"/>
        </w:numPr>
        <w:spacing w:after="120"/>
        <w:rPr>
          <w:rFonts w:eastAsia="Calibri"/>
          <w:sz w:val="22"/>
          <w:szCs w:val="22"/>
          <w:lang w:bidi="en-US"/>
        </w:rPr>
      </w:pPr>
      <w:r w:rsidRPr="009769B9">
        <w:rPr>
          <w:rFonts w:eastAsia="Calibri"/>
          <w:b/>
          <w:bCs/>
          <w:i/>
          <w:iCs/>
          <w:sz w:val="22"/>
          <w:szCs w:val="22"/>
          <w:lang w:bidi="en-US"/>
        </w:rPr>
        <w:t>Returned with no new information</w:t>
      </w:r>
      <w:r w:rsidRPr="00905368">
        <w:rPr>
          <w:rFonts w:eastAsia="Calibri"/>
          <w:b/>
          <w:bCs/>
          <w:sz w:val="22"/>
          <w:szCs w:val="22"/>
          <w:lang w:bidi="en-US"/>
        </w:rPr>
        <w:t>.</w:t>
      </w:r>
      <w:r w:rsidRPr="00D21758">
        <w:rPr>
          <w:rFonts w:eastAsia="Calibri"/>
          <w:sz w:val="22"/>
          <w:szCs w:val="22"/>
          <w:lang w:bidi="en-US"/>
        </w:rPr>
        <w:t xml:space="preserve"> For cases where </w:t>
      </w:r>
      <w:r w:rsidR="00577141">
        <w:rPr>
          <w:rFonts w:eastAsia="Calibri"/>
          <w:sz w:val="22"/>
          <w:szCs w:val="22"/>
          <w:lang w:bidi="en-US"/>
        </w:rPr>
        <w:t>LexisNexis</w:t>
      </w:r>
      <w:r w:rsidRPr="00D21758">
        <w:rPr>
          <w:rFonts w:eastAsia="Calibri"/>
          <w:sz w:val="22"/>
          <w:szCs w:val="22"/>
          <w:vertAlign w:val="superscript"/>
          <w:lang w:bidi="en-US"/>
        </w:rPr>
        <w:t>®</w:t>
      </w:r>
      <w:r w:rsidRPr="00D21758">
        <w:rPr>
          <w:rFonts w:eastAsia="Calibri"/>
          <w:sz w:val="22"/>
          <w:szCs w:val="22"/>
          <w:lang w:bidi="en-US"/>
        </w:rPr>
        <w:t xml:space="preserve"> provides no new information or the date associated with new contacting information is more than two years out of date, the cases will be queued for manual </w:t>
      </w:r>
      <w:r w:rsidRPr="00D21758">
        <w:rPr>
          <w:rFonts w:eastAsia="Calibri"/>
          <w:sz w:val="22"/>
          <w:szCs w:val="22"/>
          <w:lang w:bidi="en-US"/>
        </w:rPr>
        <w:t>prefield</w:t>
      </w:r>
      <w:r w:rsidRPr="00D21758">
        <w:rPr>
          <w:rFonts w:eastAsia="Calibri"/>
          <w:sz w:val="22"/>
          <w:szCs w:val="22"/>
          <w:lang w:bidi="en-US"/>
        </w:rPr>
        <w:t xml:space="preserve"> locating.</w:t>
      </w:r>
    </w:p>
    <w:p w:rsidR="00046B7E" w:rsidRPr="00880EF4" w:rsidP="005F64C7" w14:paraId="7F0C6B13" w14:textId="1342DF3F">
      <w:pPr>
        <w:numPr>
          <w:ilvl w:val="0"/>
          <w:numId w:val="14"/>
        </w:numPr>
        <w:spacing w:after="120"/>
        <w:rPr>
          <w:rFonts w:eastAsia="Calibri"/>
          <w:sz w:val="22"/>
          <w:szCs w:val="22"/>
          <w:lang w:bidi="en-US"/>
        </w:rPr>
      </w:pPr>
      <w:r w:rsidRPr="009769B9">
        <w:rPr>
          <w:rFonts w:eastAsia="Calibri"/>
          <w:b/>
          <w:bCs/>
          <w:i/>
          <w:iCs/>
          <w:sz w:val="22"/>
          <w:szCs w:val="22"/>
          <w:lang w:bidi="en-US"/>
        </w:rPr>
        <w:t>Returned with new information</w:t>
      </w:r>
      <w:r w:rsidRPr="00905368">
        <w:rPr>
          <w:rFonts w:eastAsia="Calibri"/>
          <w:b/>
          <w:bCs/>
          <w:sz w:val="22"/>
          <w:szCs w:val="22"/>
          <w:lang w:bidi="en-US"/>
        </w:rPr>
        <w:t>.</w:t>
      </w:r>
      <w:r w:rsidRPr="00D21758">
        <w:rPr>
          <w:rFonts w:eastAsia="Calibri"/>
          <w:sz w:val="22"/>
          <w:szCs w:val="22"/>
          <w:lang w:bidi="en-US"/>
        </w:rPr>
        <w:t xml:space="preserve"> When </w:t>
      </w:r>
      <w:r w:rsidR="00577141">
        <w:rPr>
          <w:rFonts w:eastAsia="Calibri"/>
          <w:sz w:val="22"/>
          <w:szCs w:val="22"/>
          <w:lang w:bidi="en-US"/>
        </w:rPr>
        <w:t>LexisNexis</w:t>
      </w:r>
      <w:r w:rsidRPr="00D21758">
        <w:rPr>
          <w:rFonts w:eastAsia="Calibri"/>
          <w:sz w:val="22"/>
          <w:szCs w:val="22"/>
          <w:vertAlign w:val="superscript"/>
          <w:lang w:bidi="en-US"/>
        </w:rPr>
        <w:t>®</w:t>
      </w:r>
      <w:r w:rsidRPr="00D21758">
        <w:rPr>
          <w:rFonts w:eastAsia="Calibri"/>
          <w:sz w:val="22"/>
          <w:szCs w:val="22"/>
          <w:lang w:bidi="en-US"/>
        </w:rPr>
        <w:t xml:space="preserve"> provides new and current contacting information, the new information will be used</w:t>
      </w:r>
      <w:r w:rsidR="0060693B">
        <w:rPr>
          <w:rFonts w:eastAsia="Calibri"/>
          <w:sz w:val="22"/>
          <w:szCs w:val="22"/>
          <w:lang w:bidi="en-US"/>
        </w:rPr>
        <w:t xml:space="preserve"> for the start of data collection</w:t>
      </w:r>
      <w:r w:rsidR="00417A27">
        <w:rPr>
          <w:rFonts w:eastAsia="Calibri"/>
          <w:sz w:val="22"/>
          <w:szCs w:val="22"/>
          <w:lang w:bidi="en-US"/>
        </w:rPr>
        <w:t xml:space="preserve"> and</w:t>
      </w:r>
      <w:r w:rsidRPr="00D21758">
        <w:rPr>
          <w:rFonts w:eastAsia="Calibri"/>
          <w:sz w:val="22"/>
          <w:szCs w:val="22"/>
          <w:lang w:bidi="en-US"/>
        </w:rPr>
        <w:t xml:space="preserve"> the case will be considered ready for data collection</w:t>
      </w:r>
      <w:r w:rsidR="00417A27">
        <w:rPr>
          <w:rFonts w:eastAsia="Calibri"/>
          <w:sz w:val="22"/>
          <w:szCs w:val="22"/>
          <w:lang w:bidi="en-US"/>
        </w:rPr>
        <w:t xml:space="preserve"> with no further </w:t>
      </w:r>
      <w:r w:rsidRPr="00880EF4">
        <w:rPr>
          <w:rFonts w:eastAsia="Calibri"/>
          <w:sz w:val="22"/>
          <w:szCs w:val="22"/>
          <w:lang w:bidi="en-US"/>
        </w:rPr>
        <w:t>prefield</w:t>
      </w:r>
      <w:r w:rsidRPr="00880EF4">
        <w:rPr>
          <w:rFonts w:eastAsia="Calibri"/>
          <w:sz w:val="22"/>
          <w:szCs w:val="22"/>
          <w:lang w:bidi="en-US"/>
        </w:rPr>
        <w:t xml:space="preserve"> locating.</w:t>
      </w:r>
    </w:p>
    <w:p w:rsidR="00046B7E" w:rsidRPr="00163325" w:rsidP="005F64C7" w14:paraId="1A74A78C" w14:textId="26F1F10B">
      <w:pPr>
        <w:pStyle w:val="ListParagraph"/>
        <w:numPr>
          <w:ilvl w:val="0"/>
          <w:numId w:val="15"/>
        </w:numPr>
        <w:spacing w:after="120"/>
        <w:rPr>
          <w:rFonts w:eastAsia="Calibri"/>
          <w:lang w:bidi="en-US"/>
        </w:rPr>
      </w:pPr>
      <w:r>
        <w:rPr>
          <w:rFonts w:eastAsia="Calibri"/>
          <w:lang w:bidi="en-US"/>
        </w:rPr>
        <w:t>T</w:t>
      </w:r>
      <w:r w:rsidRPr="007D3D67">
        <w:rPr>
          <w:rFonts w:eastAsia="Calibri"/>
          <w:lang w:bidi="en-US"/>
        </w:rPr>
        <w:t>he manual locating effort</w:t>
      </w:r>
      <w:r>
        <w:rPr>
          <w:rFonts w:eastAsia="Calibri"/>
          <w:lang w:bidi="en-US"/>
        </w:rPr>
        <w:t xml:space="preserve"> throughout </w:t>
      </w:r>
      <w:r>
        <w:rPr>
          <w:rFonts w:eastAsia="Calibri"/>
          <w:lang w:bidi="en-US"/>
        </w:rPr>
        <w:t>prefield</w:t>
      </w:r>
      <w:r>
        <w:rPr>
          <w:rFonts w:eastAsia="Calibri"/>
          <w:lang w:bidi="en-US"/>
        </w:rPr>
        <w:t xml:space="preserve"> locating</w:t>
      </w:r>
      <w:r w:rsidRPr="0014735B">
        <w:rPr>
          <w:rFonts w:eastAsia="Calibri"/>
          <w:lang w:bidi="en-US"/>
        </w:rPr>
        <w:t xml:space="preserve"> </w:t>
      </w:r>
      <w:r>
        <w:rPr>
          <w:rFonts w:eastAsia="Calibri"/>
          <w:lang w:bidi="en-US"/>
        </w:rPr>
        <w:t>involves a</w:t>
      </w:r>
      <w:r w:rsidRPr="0014735B">
        <w:rPr>
          <w:rFonts w:eastAsia="Calibri"/>
          <w:lang w:bidi="en-US"/>
        </w:rPr>
        <w:t xml:space="preserve"> specially trained locating team</w:t>
      </w:r>
      <w:r w:rsidRPr="007D3D67">
        <w:rPr>
          <w:rFonts w:eastAsia="Calibri"/>
          <w:lang w:bidi="en-US"/>
        </w:rPr>
        <w:t xml:space="preserve"> </w:t>
      </w:r>
      <w:r>
        <w:rPr>
          <w:rFonts w:eastAsia="Calibri"/>
          <w:lang w:bidi="en-US"/>
        </w:rPr>
        <w:t xml:space="preserve">that </w:t>
      </w:r>
      <w:r w:rsidRPr="007D3D67">
        <w:rPr>
          <w:rFonts w:eastAsia="Calibri"/>
          <w:lang w:bidi="en-US"/>
        </w:rPr>
        <w:t xml:space="preserve">will conduct online searches </w:t>
      </w:r>
      <w:r w:rsidR="0006723F">
        <w:rPr>
          <w:rFonts w:eastAsia="Calibri"/>
          <w:lang w:bidi="en-US"/>
        </w:rPr>
        <w:t xml:space="preserve">and </w:t>
      </w:r>
      <w:r w:rsidR="003F762A">
        <w:rPr>
          <w:rFonts w:eastAsia="Calibri"/>
          <w:lang w:bidi="en-US"/>
        </w:rPr>
        <w:t xml:space="preserve">make </w:t>
      </w:r>
      <w:r w:rsidR="0006723F">
        <w:rPr>
          <w:rFonts w:eastAsia="Calibri"/>
          <w:lang w:bidi="en-US"/>
        </w:rPr>
        <w:t xml:space="preserve">limited calls to sample members and </w:t>
      </w:r>
      <w:r w:rsidR="004C013B">
        <w:rPr>
          <w:rFonts w:eastAsia="Calibri"/>
          <w:lang w:bidi="en-US"/>
        </w:rPr>
        <w:t xml:space="preserve">outreach </w:t>
      </w:r>
      <w:r w:rsidR="009B0743">
        <w:rPr>
          <w:rFonts w:eastAsia="Calibri"/>
          <w:lang w:bidi="en-US"/>
        </w:rPr>
        <w:t xml:space="preserve">to </w:t>
      </w:r>
      <w:r w:rsidR="0006723F">
        <w:rPr>
          <w:rFonts w:eastAsia="Calibri"/>
          <w:lang w:bidi="en-US"/>
        </w:rPr>
        <w:t>contact persons</w:t>
      </w:r>
      <w:r>
        <w:rPr>
          <w:rFonts w:eastAsia="Calibri"/>
          <w:lang w:bidi="en-US"/>
        </w:rPr>
        <w:t xml:space="preserve"> for t</w:t>
      </w:r>
      <w:r>
        <w:rPr>
          <w:rFonts w:eastAsia="Calibri"/>
          <w:lang w:bidi="en-US"/>
        </w:rPr>
        <w:t>hose individuals not found via the automated searches</w:t>
      </w:r>
      <w:r w:rsidRPr="0014735B">
        <w:rPr>
          <w:rFonts w:eastAsia="Calibri"/>
          <w:lang w:bidi="en-US"/>
        </w:rPr>
        <w:t xml:space="preserve">. Only </w:t>
      </w:r>
      <w:r w:rsidRPr="0014735B" w:rsidR="000450CF">
        <w:rPr>
          <w:rFonts w:eastAsia="Calibri"/>
          <w:lang w:bidi="en-US"/>
        </w:rPr>
        <w:t>publicly</w:t>
      </w:r>
      <w:r w:rsidRPr="0014735B">
        <w:rPr>
          <w:rFonts w:eastAsia="Calibri"/>
          <w:lang w:bidi="en-US"/>
        </w:rPr>
        <w:t xml:space="preserve"> available data will be accessed during the online searches</w:t>
      </w:r>
      <w:r>
        <w:rPr>
          <w:rFonts w:eastAsia="Calibri"/>
          <w:lang w:bidi="en-US"/>
        </w:rPr>
        <w:t xml:space="preserve">. </w:t>
      </w:r>
      <w:r w:rsidRPr="007D3D67">
        <w:rPr>
          <w:rFonts w:eastAsia="Calibri"/>
          <w:lang w:bidi="en-US"/>
        </w:rPr>
        <w:t>The locating staff will use search strategies that effectively combine and triangulate the sample member’s earned degree and academic institution information, demographic information, prior address information, any return informati</w:t>
      </w:r>
      <w:r w:rsidRPr="004E2A30">
        <w:rPr>
          <w:rFonts w:eastAsia="Calibri"/>
          <w:lang w:bidi="en-US"/>
        </w:rPr>
        <w:t xml:space="preserve">on from </w:t>
      </w:r>
      <w:r w:rsidR="00577141">
        <w:rPr>
          <w:rFonts w:eastAsia="Calibri"/>
          <w:lang w:bidi="en-US"/>
        </w:rPr>
        <w:t>LexisNexis</w:t>
      </w:r>
      <w:r w:rsidRPr="004E2A30">
        <w:rPr>
          <w:rFonts w:eastAsia="Calibri"/>
          <w:lang w:bidi="en-US"/>
        </w:rPr>
        <w:t>®, and</w:t>
      </w:r>
      <w:r w:rsidRPr="00034C5A">
        <w:rPr>
          <w:rFonts w:eastAsia="Calibri"/>
          <w:lang w:bidi="en-US"/>
        </w:rPr>
        <w:t xml:space="preserve"> information about any nominated contact persons</w:t>
      </w:r>
      <w:r>
        <w:rPr>
          <w:rFonts w:eastAsia="Calibri"/>
          <w:lang w:bidi="en-US"/>
        </w:rPr>
        <w:t xml:space="preserve">. </w:t>
      </w:r>
      <w:r>
        <w:rPr>
          <w:rFonts w:eastAsia="Calibri"/>
          <w:lang w:bidi="en-US"/>
        </w:rPr>
        <w:t>L</w:t>
      </w:r>
      <w:r w:rsidRPr="00034C5A">
        <w:rPr>
          <w:rFonts w:eastAsia="Calibri"/>
          <w:lang w:bidi="en-US"/>
        </w:rPr>
        <w:t xml:space="preserve">ocators will search employer directories, education institutions sites, alumni and professional association lists, white pages listings, real estate databases, online publication </w:t>
      </w:r>
      <w:r w:rsidRPr="00165560">
        <w:rPr>
          <w:rFonts w:eastAsia="Calibri"/>
          <w:lang w:bidi="en-US"/>
        </w:rPr>
        <w:t xml:space="preserve">databases (including those with dissertations), </w:t>
      </w:r>
      <w:r w:rsidR="005875EB">
        <w:rPr>
          <w:rFonts w:eastAsia="Calibri"/>
          <w:lang w:bidi="en-US"/>
        </w:rPr>
        <w:t xml:space="preserve">social media platforms, </w:t>
      </w:r>
      <w:r w:rsidRPr="00165560">
        <w:rPr>
          <w:rFonts w:eastAsia="Calibri"/>
          <w:lang w:bidi="en-US"/>
        </w:rPr>
        <w:t>on</w:t>
      </w:r>
      <w:r w:rsidRPr="00F65268">
        <w:rPr>
          <w:rFonts w:eastAsia="Calibri"/>
          <w:lang w:bidi="en-US"/>
        </w:rPr>
        <w:t>line voting records, and other administrative sources</w:t>
      </w:r>
      <w:r>
        <w:rPr>
          <w:rFonts w:eastAsia="Calibri"/>
          <w:lang w:bidi="en-US"/>
        </w:rPr>
        <w:t xml:space="preserve">. </w:t>
      </w:r>
      <w:r w:rsidR="000E1457">
        <w:rPr>
          <w:rFonts w:eastAsia="Calibri"/>
          <w:lang w:bidi="en-US"/>
        </w:rPr>
        <w:t xml:space="preserve">Bilingual locators will be hired whenever possible </w:t>
      </w:r>
      <w:r w:rsidR="00FF3254">
        <w:rPr>
          <w:rFonts w:eastAsia="Calibri"/>
          <w:lang w:bidi="en-US"/>
        </w:rPr>
        <w:t>to facilitate</w:t>
      </w:r>
      <w:r w:rsidR="00985EC3">
        <w:rPr>
          <w:rFonts w:eastAsia="Calibri"/>
          <w:lang w:bidi="en-US"/>
        </w:rPr>
        <w:t xml:space="preserve"> </w:t>
      </w:r>
      <w:r w:rsidR="004E5C9F">
        <w:rPr>
          <w:rFonts w:eastAsia="Calibri"/>
          <w:lang w:bidi="en-US"/>
        </w:rPr>
        <w:t>locating staff who may</w:t>
      </w:r>
      <w:r w:rsidR="00BD5F42">
        <w:rPr>
          <w:rFonts w:eastAsia="Calibri"/>
          <w:lang w:bidi="en-US"/>
        </w:rPr>
        <w:t xml:space="preserve"> </w:t>
      </w:r>
      <w:r w:rsidR="00F665FA">
        <w:rPr>
          <w:rFonts w:eastAsia="Calibri"/>
          <w:lang w:bidi="en-US"/>
        </w:rPr>
        <w:t>live outside</w:t>
      </w:r>
      <w:r w:rsidR="00BD5F42">
        <w:rPr>
          <w:rFonts w:eastAsia="Calibri"/>
          <w:lang w:bidi="en-US"/>
        </w:rPr>
        <w:t xml:space="preserve"> the US. </w:t>
      </w:r>
      <w:r w:rsidRPr="00F65268">
        <w:rPr>
          <w:rFonts w:eastAsia="Calibri"/>
          <w:lang w:bidi="en-US"/>
        </w:rPr>
        <w:t>Locating staff will be carefully trained to verify they have found the correct sample member by using personal identifying information such as name and date of birth, academic history, and past addres</w:t>
      </w:r>
      <w:r w:rsidRPr="00163325">
        <w:rPr>
          <w:rFonts w:eastAsia="Calibri"/>
          <w:lang w:bidi="en-US"/>
        </w:rPr>
        <w:t>s information from the SED and the SDR (where it exists).</w:t>
      </w:r>
    </w:p>
    <w:p w:rsidR="0090671D" w:rsidRPr="001F6E3E" w:rsidP="001F6E3E" w14:paraId="4F8CB98E" w14:textId="170D5108">
      <w:pPr>
        <w:pStyle w:val="ListParagraph"/>
        <w:numPr>
          <w:ilvl w:val="0"/>
          <w:numId w:val="0"/>
        </w:numPr>
        <w:spacing w:before="0" w:after="120"/>
        <w:ind w:left="720"/>
        <w:rPr>
          <w:rFonts w:eastAsia="Calibri"/>
          <w:lang w:bidi="en-US"/>
        </w:rPr>
      </w:pPr>
      <w:r w:rsidRPr="001F6E3E">
        <w:rPr>
          <w:rFonts w:eastAsia="Calibri"/>
          <w:lang w:bidi="en-US"/>
        </w:rPr>
        <w:t xml:space="preserve">Additionally, the </w:t>
      </w:r>
      <w:r w:rsidRPr="001F6E3E" w:rsidR="00577141">
        <w:rPr>
          <w:rFonts w:eastAsia="Calibri"/>
          <w:lang w:bidi="en-US"/>
        </w:rPr>
        <w:t>20</w:t>
      </w:r>
      <w:r w:rsidRPr="00C94EAD" w:rsidR="00577141">
        <w:rPr>
          <w:rFonts w:eastAsia="Calibri"/>
          <w:lang w:bidi="en-US"/>
        </w:rPr>
        <w:t>2</w:t>
      </w:r>
      <w:r w:rsidR="00075B71">
        <w:rPr>
          <w:rFonts w:eastAsia="Calibri"/>
          <w:lang w:bidi="en-US"/>
        </w:rPr>
        <w:t>3</w:t>
      </w:r>
      <w:r w:rsidRPr="00C94EAD" w:rsidR="00577141">
        <w:rPr>
          <w:rFonts w:eastAsia="Calibri"/>
          <w:lang w:bidi="en-US"/>
        </w:rPr>
        <w:t xml:space="preserve"> </w:t>
      </w:r>
      <w:r w:rsidRPr="00670BB2">
        <w:rPr>
          <w:rFonts w:eastAsia="Calibri"/>
          <w:lang w:bidi="en-US"/>
        </w:rPr>
        <w:t xml:space="preserve">SDR will use </w:t>
      </w:r>
      <w:r w:rsidRPr="00B708DE" w:rsidR="00577141">
        <w:rPr>
          <w:rFonts w:eastAsia="Calibri"/>
          <w:lang w:bidi="en-US"/>
        </w:rPr>
        <w:t>LexisNexis</w:t>
      </w:r>
      <w:r w:rsidRPr="00DE25E0">
        <w:rPr>
          <w:rFonts w:eastAsia="Calibri"/>
          <w:lang w:bidi="en-US"/>
        </w:rPr>
        <w:t xml:space="preserve">® </w:t>
      </w:r>
      <w:r w:rsidR="002F0F6E">
        <w:rPr>
          <w:rFonts w:eastAsia="Calibri"/>
          <w:lang w:bidi="en-US"/>
        </w:rPr>
        <w:t xml:space="preserve">AML Insight </w:t>
      </w:r>
      <w:r w:rsidRPr="00DE25E0">
        <w:rPr>
          <w:rFonts w:eastAsia="Calibri"/>
          <w:lang w:bidi="en-US"/>
        </w:rPr>
        <w:t>to conduct individual matched searches</w:t>
      </w:r>
      <w:r w:rsidRPr="002A4712" w:rsidR="009B0743">
        <w:rPr>
          <w:rFonts w:eastAsia="Calibri"/>
          <w:lang w:bidi="en-US"/>
        </w:rPr>
        <w:t xml:space="preserve">, also known as </w:t>
      </w:r>
      <w:r w:rsidRPr="002A4712">
        <w:rPr>
          <w:rFonts w:eastAsia="Calibri"/>
          <w:lang w:bidi="en-US"/>
        </w:rPr>
        <w:t xml:space="preserve">AIM searches. AIM allows locators to search on partial combinations of identifying information to obtain an individual’s full address history and discover critical name changes. This method has </w:t>
      </w:r>
      <w:r w:rsidRPr="002A4712" w:rsidR="009A72B1">
        <w:rPr>
          <w:rFonts w:eastAsia="Calibri"/>
          <w:lang w:bidi="en-US"/>
        </w:rPr>
        <w:t xml:space="preserve">been </w:t>
      </w:r>
      <w:r w:rsidRPr="002A4712">
        <w:rPr>
          <w:rFonts w:eastAsia="Calibri"/>
          <w:lang w:bidi="en-US"/>
        </w:rPr>
        <w:t>shown to be a cost-effective strategy when locating respondents with out-of-date contact information</w:t>
      </w:r>
      <w:r w:rsidRPr="002A4712" w:rsidR="009A72B1">
        <w:rPr>
          <w:rFonts w:eastAsia="Calibri"/>
          <w:lang w:bidi="en-US"/>
        </w:rPr>
        <w:t xml:space="preserve"> in prior SDR cycles as well as other studies</w:t>
      </w:r>
      <w:r w:rsidRPr="002A4712">
        <w:rPr>
          <w:rFonts w:eastAsia="Calibri"/>
          <w:lang w:bidi="en-US"/>
        </w:rPr>
        <w:t xml:space="preserve">. The AIM searching method will be implemented by </w:t>
      </w:r>
      <w:r w:rsidR="002F0F6E">
        <w:rPr>
          <w:rFonts w:eastAsia="Calibri"/>
          <w:lang w:bidi="en-US"/>
        </w:rPr>
        <w:t>experienced</w:t>
      </w:r>
      <w:r w:rsidRPr="002A4712" w:rsidR="002F0F6E">
        <w:rPr>
          <w:rFonts w:eastAsia="Calibri"/>
          <w:lang w:bidi="en-US"/>
        </w:rPr>
        <w:t xml:space="preserve"> </w:t>
      </w:r>
      <w:r w:rsidRPr="002A4712">
        <w:rPr>
          <w:rFonts w:eastAsia="Calibri"/>
          <w:lang w:bidi="en-US"/>
        </w:rPr>
        <w:t>locating staff and will be conducted on the subset of cases not found with regular online searches.</w:t>
      </w:r>
    </w:p>
    <w:p w:rsidR="006322EF" w14:paraId="508CA1B2" w14:textId="0ED99B96">
      <w:pPr>
        <w:rPr>
          <w:b/>
        </w:rPr>
      </w:pPr>
      <w:r w:rsidRPr="0056012C">
        <w:rPr>
          <w:rFonts w:eastAsia="Calibri"/>
          <w:b/>
          <w:sz w:val="22"/>
          <w:szCs w:val="22"/>
          <w:lang w:bidi="en-US"/>
        </w:rPr>
        <w:t>Main Locating Activities</w:t>
      </w:r>
      <w:r>
        <w:rPr>
          <w:rFonts w:eastAsia="Calibri"/>
          <w:b/>
          <w:sz w:val="22"/>
          <w:szCs w:val="22"/>
          <w:lang w:bidi="en-US"/>
        </w:rPr>
        <w:t xml:space="preserve">. </w:t>
      </w:r>
      <w:r w:rsidRPr="00880EF4">
        <w:rPr>
          <w:rFonts w:eastAsia="Calibri"/>
          <w:sz w:val="22"/>
          <w:szCs w:val="22"/>
          <w:lang w:bidi="en-US"/>
        </w:rPr>
        <w:t xml:space="preserve">Cases worked in main locating will include those not found during the </w:t>
      </w:r>
      <w:r w:rsidRPr="00880EF4">
        <w:rPr>
          <w:rFonts w:eastAsia="Calibri"/>
          <w:sz w:val="22"/>
          <w:szCs w:val="22"/>
          <w:lang w:bidi="en-US"/>
        </w:rPr>
        <w:t>prefield</w:t>
      </w:r>
      <w:r w:rsidRPr="00880EF4">
        <w:rPr>
          <w:rFonts w:eastAsia="Calibri"/>
          <w:sz w:val="22"/>
          <w:szCs w:val="22"/>
          <w:lang w:bidi="en-US"/>
        </w:rPr>
        <w:t xml:space="preserve"> locating period as well as cases determined to have outdated or incorrect contacting information from failed</w:t>
      </w:r>
      <w:r w:rsidR="00D222E4">
        <w:rPr>
          <w:rFonts w:eastAsia="Calibri"/>
          <w:sz w:val="22"/>
          <w:szCs w:val="22"/>
          <w:lang w:bidi="en-US"/>
        </w:rPr>
        <w:t xml:space="preserve"> </w:t>
      </w:r>
      <w:r w:rsidR="00577141">
        <w:rPr>
          <w:rFonts w:eastAsia="Calibri"/>
          <w:sz w:val="22"/>
          <w:szCs w:val="22"/>
          <w:lang w:bidi="en-US"/>
        </w:rPr>
        <w:t>202</w:t>
      </w:r>
      <w:r w:rsidR="004C2A62">
        <w:rPr>
          <w:rFonts w:eastAsia="Calibri"/>
          <w:sz w:val="22"/>
          <w:szCs w:val="22"/>
          <w:lang w:bidi="en-US"/>
        </w:rPr>
        <w:t>3</w:t>
      </w:r>
      <w:r w:rsidRPr="00880EF4" w:rsidR="00577141">
        <w:rPr>
          <w:rFonts w:eastAsia="Calibri"/>
          <w:sz w:val="22"/>
          <w:szCs w:val="22"/>
          <w:lang w:bidi="en-US"/>
        </w:rPr>
        <w:t xml:space="preserve"> </w:t>
      </w:r>
      <w:r w:rsidRPr="00880EF4">
        <w:rPr>
          <w:rFonts w:eastAsia="Calibri"/>
          <w:sz w:val="22"/>
          <w:szCs w:val="22"/>
          <w:lang w:bidi="en-US"/>
        </w:rPr>
        <w:t>data collection outreach activities</w:t>
      </w:r>
      <w:r>
        <w:rPr>
          <w:rFonts w:eastAsia="Calibri"/>
          <w:sz w:val="22"/>
          <w:szCs w:val="22"/>
          <w:lang w:bidi="en-US"/>
        </w:rPr>
        <w:t xml:space="preserve">. </w:t>
      </w:r>
      <w:r w:rsidRPr="00880EF4">
        <w:rPr>
          <w:rFonts w:eastAsia="Calibri"/>
          <w:sz w:val="22"/>
          <w:szCs w:val="22"/>
          <w:lang w:bidi="en-US"/>
        </w:rPr>
        <w:t xml:space="preserve">Prior to beginning the main locating work, locating staff </w:t>
      </w:r>
      <w:r>
        <w:rPr>
          <w:rFonts w:eastAsia="Calibri"/>
          <w:sz w:val="22"/>
          <w:szCs w:val="22"/>
          <w:lang w:bidi="en-US"/>
        </w:rPr>
        <w:t xml:space="preserve">who worked during the </w:t>
      </w:r>
      <w:r>
        <w:rPr>
          <w:rFonts w:eastAsia="Calibri"/>
          <w:sz w:val="22"/>
          <w:szCs w:val="22"/>
          <w:lang w:bidi="en-US"/>
        </w:rPr>
        <w:t>prefield</w:t>
      </w:r>
      <w:r>
        <w:rPr>
          <w:rFonts w:eastAsia="Calibri"/>
          <w:sz w:val="22"/>
          <w:szCs w:val="22"/>
          <w:lang w:bidi="en-US"/>
        </w:rPr>
        <w:t xml:space="preserve"> period </w:t>
      </w:r>
      <w:r w:rsidRPr="00880EF4">
        <w:rPr>
          <w:rFonts w:eastAsia="Calibri"/>
          <w:sz w:val="22"/>
          <w:szCs w:val="22"/>
          <w:lang w:bidi="en-US"/>
        </w:rPr>
        <w:t xml:space="preserve">will receive refresher training </w:t>
      </w:r>
      <w:r w:rsidR="00EC5D14">
        <w:rPr>
          <w:rFonts w:eastAsia="Calibri"/>
          <w:sz w:val="22"/>
          <w:szCs w:val="22"/>
          <w:lang w:bidi="en-US"/>
        </w:rPr>
        <w:t>that</w:t>
      </w:r>
      <w:r w:rsidRPr="00880EF4">
        <w:rPr>
          <w:rFonts w:eastAsia="Calibri"/>
          <w:sz w:val="22"/>
          <w:szCs w:val="22"/>
          <w:lang w:bidi="en-US"/>
        </w:rPr>
        <w:t xml:space="preserve"> focuses on maintaining</w:t>
      </w:r>
      <w:r w:rsidR="00374209">
        <w:rPr>
          <w:rFonts w:eastAsia="Calibri"/>
          <w:sz w:val="22"/>
          <w:szCs w:val="22"/>
          <w:lang w:bidi="en-US"/>
        </w:rPr>
        <w:t xml:space="preserve"> </w:t>
      </w:r>
      <w:r w:rsidRPr="00880EF4">
        <w:rPr>
          <w:rFonts w:eastAsia="Calibri"/>
          <w:sz w:val="22"/>
          <w:szCs w:val="22"/>
          <w:lang w:bidi="en-US"/>
        </w:rPr>
        <w:t>sample member</w:t>
      </w:r>
      <w:r w:rsidR="00374209">
        <w:rPr>
          <w:rFonts w:eastAsia="Calibri"/>
          <w:sz w:val="22"/>
          <w:szCs w:val="22"/>
          <w:lang w:bidi="en-US"/>
        </w:rPr>
        <w:t>s’</w:t>
      </w:r>
      <w:r w:rsidRPr="00880EF4">
        <w:rPr>
          <w:rFonts w:eastAsia="Calibri"/>
          <w:sz w:val="22"/>
          <w:szCs w:val="22"/>
          <w:lang w:bidi="en-US"/>
        </w:rPr>
        <w:t xml:space="preserve"> confidentiality particularly when making phone calls,</w:t>
      </w:r>
      <w:r>
        <w:rPr>
          <w:rFonts w:eastAsia="Calibri"/>
          <w:sz w:val="22"/>
          <w:szCs w:val="22"/>
          <w:lang w:bidi="en-US"/>
        </w:rPr>
        <w:t xml:space="preserve"> </w:t>
      </w:r>
      <w:r w:rsidR="00EC5D14">
        <w:rPr>
          <w:rFonts w:eastAsia="Calibri"/>
          <w:sz w:val="22"/>
          <w:szCs w:val="22"/>
          <w:lang w:bidi="en-US"/>
        </w:rPr>
        <w:t>o</w:t>
      </w:r>
      <w:r w:rsidR="00AE0E60">
        <w:rPr>
          <w:rFonts w:eastAsia="Calibri"/>
          <w:sz w:val="22"/>
          <w:szCs w:val="22"/>
          <w:lang w:bidi="en-US"/>
        </w:rPr>
        <w:t>r</w:t>
      </w:r>
      <w:r w:rsidR="00EC5D14">
        <w:rPr>
          <w:rFonts w:eastAsia="Calibri"/>
          <w:sz w:val="22"/>
          <w:szCs w:val="22"/>
          <w:lang w:bidi="en-US"/>
        </w:rPr>
        <w:t xml:space="preserve"> </w:t>
      </w:r>
      <w:r w:rsidRPr="00880EF4">
        <w:rPr>
          <w:rFonts w:eastAsia="Calibri"/>
          <w:sz w:val="22"/>
          <w:szCs w:val="22"/>
          <w:lang w:bidi="en-US"/>
        </w:rPr>
        <w:t xml:space="preserve">supplementing </w:t>
      </w:r>
      <w:r>
        <w:rPr>
          <w:rFonts w:eastAsia="Calibri"/>
          <w:sz w:val="22"/>
          <w:szCs w:val="22"/>
          <w:lang w:bidi="en-US"/>
        </w:rPr>
        <w:t xml:space="preserve">online </w:t>
      </w:r>
      <w:r w:rsidRPr="00880EF4">
        <w:rPr>
          <w:rFonts w:eastAsia="Calibri"/>
          <w:sz w:val="22"/>
          <w:szCs w:val="22"/>
          <w:lang w:bidi="en-US"/>
        </w:rPr>
        <w:t xml:space="preserve">searches </w:t>
      </w:r>
      <w:r w:rsidRPr="00880EF4">
        <w:rPr>
          <w:rFonts w:eastAsia="Calibri"/>
          <w:sz w:val="22"/>
          <w:szCs w:val="22"/>
          <w:lang w:bidi="en-US"/>
        </w:rPr>
        <w:t xml:space="preserve">with </w:t>
      </w:r>
      <w:r>
        <w:rPr>
          <w:rFonts w:eastAsia="Calibri"/>
          <w:sz w:val="22"/>
          <w:szCs w:val="22"/>
          <w:lang w:bidi="en-US"/>
        </w:rPr>
        <w:t xml:space="preserve">direct </w:t>
      </w:r>
      <w:r w:rsidRPr="00880EF4">
        <w:rPr>
          <w:rFonts w:eastAsia="Calibri"/>
          <w:sz w:val="22"/>
          <w:szCs w:val="22"/>
          <w:lang w:bidi="en-US"/>
        </w:rPr>
        <w:t>outreach to the sample members and other individuals</w:t>
      </w:r>
      <w:r>
        <w:rPr>
          <w:rFonts w:eastAsia="Calibri"/>
          <w:sz w:val="22"/>
          <w:szCs w:val="22"/>
          <w:lang w:bidi="en-US"/>
        </w:rPr>
        <w:t xml:space="preserve">, and gaining the cooperation of those sample members and other individuals successfully reached. </w:t>
      </w:r>
      <w:r w:rsidRPr="00880EF4">
        <w:rPr>
          <w:rFonts w:eastAsia="Calibri"/>
          <w:sz w:val="22"/>
          <w:szCs w:val="22"/>
          <w:lang w:bidi="en-US"/>
        </w:rPr>
        <w:t xml:space="preserve">The locating staff will continue to use and expand upon the online searching methods from the </w:t>
      </w:r>
      <w:r w:rsidRPr="00880EF4">
        <w:rPr>
          <w:rFonts w:eastAsia="Calibri"/>
          <w:sz w:val="22"/>
          <w:szCs w:val="22"/>
          <w:lang w:bidi="en-US"/>
        </w:rPr>
        <w:t>prefield</w:t>
      </w:r>
      <w:r w:rsidRPr="00880EF4">
        <w:rPr>
          <w:rFonts w:eastAsia="Calibri"/>
          <w:sz w:val="22"/>
          <w:szCs w:val="22"/>
          <w:lang w:bidi="en-US"/>
        </w:rPr>
        <w:t xml:space="preserve"> period and, ideally, gain survey cooperation from the found individuals</w:t>
      </w:r>
      <w:r>
        <w:rPr>
          <w:rFonts w:eastAsia="Calibri"/>
          <w:sz w:val="22"/>
          <w:szCs w:val="22"/>
          <w:lang w:bidi="en-US"/>
        </w:rPr>
        <w:t xml:space="preserve">. </w:t>
      </w:r>
      <w:r w:rsidRPr="00880EF4">
        <w:rPr>
          <w:rFonts w:eastAsia="Calibri"/>
          <w:sz w:val="22"/>
          <w:szCs w:val="22"/>
          <w:lang w:bidi="en-US"/>
        </w:rPr>
        <w:t xml:space="preserve">In addition to outreach to sample members, main locating activities during data collection will include calls and emails to dissertation advisors, employers, alumni associations, and other individuals who may know how to reach </w:t>
      </w:r>
      <w:r>
        <w:rPr>
          <w:rFonts w:eastAsia="Calibri"/>
          <w:sz w:val="22"/>
          <w:szCs w:val="22"/>
          <w:lang w:bidi="en-US"/>
        </w:rPr>
        <w:t>the sample member.</w:t>
      </w:r>
      <w:bookmarkStart w:id="18" w:name="_Toc410981796"/>
    </w:p>
    <w:bookmarkEnd w:id="14"/>
    <w:p w:rsidR="00356D1E" w:rsidP="00046B7E" w14:paraId="2955EDDB" w14:textId="77777777">
      <w:pPr>
        <w:pStyle w:val="Heading3"/>
        <w:rPr>
          <w:i w:val="0"/>
          <w:sz w:val="24"/>
        </w:rPr>
      </w:pPr>
    </w:p>
    <w:p w:rsidR="00046B7E" w:rsidRPr="00EC5BE8" w:rsidP="00046B7E" w14:paraId="16502DAD" w14:textId="57170634">
      <w:pPr>
        <w:pStyle w:val="Heading3"/>
        <w:rPr>
          <w:i w:val="0"/>
          <w:sz w:val="24"/>
        </w:rPr>
      </w:pPr>
      <w:r w:rsidRPr="00EC5BE8">
        <w:rPr>
          <w:i w:val="0"/>
          <w:sz w:val="24"/>
        </w:rPr>
        <w:t>3</w:t>
      </w:r>
      <w:r w:rsidRPr="0200BDE9">
        <w:rPr>
          <w:i w:val="0"/>
          <w:sz w:val="24"/>
        </w:rPr>
        <w:t>.</w:t>
      </w:r>
      <w:r w:rsidRPr="00EC5BE8">
        <w:rPr>
          <w:i w:val="0"/>
          <w:sz w:val="24"/>
        </w:rPr>
        <w:t>3 Data Collection Strategies</w:t>
      </w:r>
      <w:bookmarkEnd w:id="18"/>
    </w:p>
    <w:p w:rsidR="00A719EA" w:rsidP="00A719EA" w14:paraId="1255F4A8" w14:textId="6CE29CEF">
      <w:pPr>
        <w:pStyle w:val="BodyText"/>
        <w:rPr>
          <w:sz w:val="22"/>
          <w:szCs w:val="22"/>
        </w:rPr>
      </w:pPr>
      <w:r>
        <w:rPr>
          <w:sz w:val="22"/>
          <w:szCs w:val="22"/>
        </w:rPr>
        <w:t>As with prior cycles, the 202</w:t>
      </w:r>
      <w:r w:rsidR="008B7EB7">
        <w:rPr>
          <w:sz w:val="22"/>
          <w:szCs w:val="22"/>
        </w:rPr>
        <w:t>3</w:t>
      </w:r>
      <w:r>
        <w:rPr>
          <w:sz w:val="22"/>
          <w:szCs w:val="22"/>
        </w:rPr>
        <w:t xml:space="preserve"> SDR will continue using a</w:t>
      </w:r>
      <w:r w:rsidRPr="000D77AA">
        <w:rPr>
          <w:sz w:val="22"/>
          <w:szCs w:val="22"/>
        </w:rPr>
        <w:t xml:space="preserve"> multi-mode data collection protocol </w:t>
      </w:r>
      <w:r w:rsidR="00793020">
        <w:rPr>
          <w:sz w:val="22"/>
          <w:szCs w:val="22"/>
        </w:rPr>
        <w:t>including</w:t>
      </w:r>
      <w:r w:rsidR="00391BF8">
        <w:rPr>
          <w:sz w:val="22"/>
          <w:szCs w:val="22"/>
        </w:rPr>
        <w:t xml:space="preserve"> </w:t>
      </w:r>
      <w:r w:rsidR="008C65BC">
        <w:rPr>
          <w:sz w:val="22"/>
          <w:szCs w:val="22"/>
        </w:rPr>
        <w:t xml:space="preserve">self-administered </w:t>
      </w:r>
      <w:r>
        <w:rPr>
          <w:sz w:val="22"/>
          <w:szCs w:val="22"/>
        </w:rPr>
        <w:t>web</w:t>
      </w:r>
      <w:r w:rsidR="00BE5248">
        <w:rPr>
          <w:sz w:val="22"/>
          <w:szCs w:val="22"/>
        </w:rPr>
        <w:t xml:space="preserve"> form</w:t>
      </w:r>
      <w:r w:rsidR="00296E6C">
        <w:rPr>
          <w:sz w:val="22"/>
          <w:szCs w:val="22"/>
        </w:rPr>
        <w:t>s</w:t>
      </w:r>
      <w:r>
        <w:rPr>
          <w:sz w:val="22"/>
          <w:szCs w:val="22"/>
        </w:rPr>
        <w:t xml:space="preserve">, </w:t>
      </w:r>
      <w:r w:rsidRPr="000D77AA">
        <w:rPr>
          <w:sz w:val="22"/>
          <w:szCs w:val="22"/>
        </w:rPr>
        <w:t>mail</w:t>
      </w:r>
      <w:r w:rsidR="002D7258">
        <w:rPr>
          <w:sz w:val="22"/>
          <w:szCs w:val="22"/>
        </w:rPr>
        <w:t xml:space="preserve">ed paper </w:t>
      </w:r>
      <w:r w:rsidR="008C65BC">
        <w:rPr>
          <w:sz w:val="22"/>
          <w:szCs w:val="22"/>
        </w:rPr>
        <w:t xml:space="preserve">self-administered </w:t>
      </w:r>
      <w:r w:rsidR="002D7258">
        <w:rPr>
          <w:sz w:val="22"/>
          <w:szCs w:val="22"/>
        </w:rPr>
        <w:t>questionnaire</w:t>
      </w:r>
      <w:r w:rsidR="00296E6C">
        <w:rPr>
          <w:sz w:val="22"/>
          <w:szCs w:val="22"/>
        </w:rPr>
        <w:t>s</w:t>
      </w:r>
      <w:r w:rsidR="00391BF8">
        <w:rPr>
          <w:sz w:val="22"/>
          <w:szCs w:val="22"/>
        </w:rPr>
        <w:t xml:space="preserve"> (SAQ)</w:t>
      </w:r>
      <w:r w:rsidRPr="000D77AA">
        <w:rPr>
          <w:sz w:val="22"/>
          <w:szCs w:val="22"/>
        </w:rPr>
        <w:t xml:space="preserve">, </w:t>
      </w:r>
      <w:r>
        <w:rPr>
          <w:sz w:val="22"/>
          <w:szCs w:val="22"/>
        </w:rPr>
        <w:t xml:space="preserve">and </w:t>
      </w:r>
      <w:r w:rsidR="002223E2">
        <w:rPr>
          <w:sz w:val="22"/>
          <w:szCs w:val="22"/>
        </w:rPr>
        <w:t>computer-assisted telephone interview</w:t>
      </w:r>
      <w:r w:rsidR="00296E6C">
        <w:rPr>
          <w:sz w:val="22"/>
          <w:szCs w:val="22"/>
        </w:rPr>
        <w:t>s (</w:t>
      </w:r>
      <w:r w:rsidRPr="000D77AA">
        <w:rPr>
          <w:sz w:val="22"/>
          <w:szCs w:val="22"/>
        </w:rPr>
        <w:t xml:space="preserve">CATI) to facilitate </w:t>
      </w:r>
      <w:r>
        <w:rPr>
          <w:sz w:val="22"/>
          <w:szCs w:val="22"/>
        </w:rPr>
        <w:t xml:space="preserve">survey </w:t>
      </w:r>
      <w:r w:rsidRPr="000D77AA">
        <w:rPr>
          <w:sz w:val="22"/>
          <w:szCs w:val="22"/>
        </w:rPr>
        <w:t>participation, data c</w:t>
      </w:r>
      <w:r w:rsidR="00F9764F">
        <w:rPr>
          <w:sz w:val="22"/>
          <w:szCs w:val="22"/>
        </w:rPr>
        <w:t>apture</w:t>
      </w:r>
      <w:r>
        <w:rPr>
          <w:sz w:val="22"/>
          <w:szCs w:val="22"/>
        </w:rPr>
        <w:t>,</w:t>
      </w:r>
      <w:r w:rsidRPr="000D77AA">
        <w:rPr>
          <w:sz w:val="22"/>
          <w:szCs w:val="22"/>
        </w:rPr>
        <w:t xml:space="preserve"> and sample member </w:t>
      </w:r>
      <w:r w:rsidR="00062B44">
        <w:rPr>
          <w:sz w:val="22"/>
          <w:szCs w:val="22"/>
        </w:rPr>
        <w:t>convenience</w:t>
      </w:r>
      <w:r w:rsidRPr="000D77AA">
        <w:rPr>
          <w:sz w:val="22"/>
          <w:szCs w:val="22"/>
        </w:rPr>
        <w:t>.</w:t>
      </w:r>
      <w:r>
        <w:rPr>
          <w:sz w:val="22"/>
          <w:szCs w:val="22"/>
        </w:rPr>
        <w:t xml:space="preserve"> </w:t>
      </w:r>
      <w:r w:rsidRPr="004A3160">
        <w:rPr>
          <w:sz w:val="22"/>
          <w:szCs w:val="22"/>
        </w:rPr>
        <w:t>The 20</w:t>
      </w:r>
      <w:r>
        <w:rPr>
          <w:sz w:val="22"/>
          <w:szCs w:val="22"/>
        </w:rPr>
        <w:t>2</w:t>
      </w:r>
      <w:r w:rsidR="0017272D">
        <w:rPr>
          <w:sz w:val="22"/>
          <w:szCs w:val="22"/>
        </w:rPr>
        <w:t>3</w:t>
      </w:r>
      <w:r w:rsidRPr="004A3160">
        <w:rPr>
          <w:sz w:val="22"/>
          <w:szCs w:val="22"/>
        </w:rPr>
        <w:t xml:space="preserve"> SDR data collection protocols and contacting methods </w:t>
      </w:r>
      <w:r>
        <w:rPr>
          <w:sz w:val="22"/>
          <w:szCs w:val="22"/>
        </w:rPr>
        <w:t>build</w:t>
      </w:r>
      <w:r w:rsidRPr="004A3160">
        <w:rPr>
          <w:sz w:val="22"/>
          <w:szCs w:val="22"/>
        </w:rPr>
        <w:t xml:space="preserve"> upon the methodology used in </w:t>
      </w:r>
      <w:r>
        <w:rPr>
          <w:sz w:val="22"/>
          <w:szCs w:val="22"/>
        </w:rPr>
        <w:t>prior cycles.</w:t>
      </w:r>
      <w:r w:rsidR="007C7F39">
        <w:rPr>
          <w:sz w:val="22"/>
          <w:szCs w:val="22"/>
        </w:rPr>
        <w:t xml:space="preserve"> </w:t>
      </w:r>
      <w:bookmarkStart w:id="19" w:name="OLE_LINK6"/>
      <w:r w:rsidR="007C7F39">
        <w:rPr>
          <w:sz w:val="22"/>
          <w:szCs w:val="22"/>
        </w:rPr>
        <w:t>T</w:t>
      </w:r>
      <w:r w:rsidR="00F9764F">
        <w:rPr>
          <w:sz w:val="22"/>
          <w:szCs w:val="22"/>
        </w:rPr>
        <w:t xml:space="preserve">he </w:t>
      </w:r>
      <w:r w:rsidR="00041B5D">
        <w:rPr>
          <w:sz w:val="22"/>
          <w:szCs w:val="22"/>
        </w:rPr>
        <w:t>202</w:t>
      </w:r>
      <w:r w:rsidR="0017272D">
        <w:rPr>
          <w:sz w:val="22"/>
          <w:szCs w:val="22"/>
        </w:rPr>
        <w:t>3</w:t>
      </w:r>
      <w:r w:rsidR="00041B5D">
        <w:rPr>
          <w:sz w:val="22"/>
          <w:szCs w:val="22"/>
        </w:rPr>
        <w:t xml:space="preserve"> SDR </w:t>
      </w:r>
      <w:r w:rsidR="00D51959">
        <w:rPr>
          <w:sz w:val="22"/>
          <w:szCs w:val="22"/>
        </w:rPr>
        <w:t xml:space="preserve">data collection </w:t>
      </w:r>
      <w:r w:rsidR="005E5D8B">
        <w:rPr>
          <w:sz w:val="22"/>
          <w:szCs w:val="22"/>
        </w:rPr>
        <w:t xml:space="preserve">will </w:t>
      </w:r>
      <w:r w:rsidR="001122C3">
        <w:rPr>
          <w:sz w:val="22"/>
          <w:szCs w:val="22"/>
        </w:rPr>
        <w:t>include a variety of mail, email, and telephone outreach efforts</w:t>
      </w:r>
      <w:r w:rsidR="007C7F39">
        <w:rPr>
          <w:sz w:val="22"/>
          <w:szCs w:val="22"/>
        </w:rPr>
        <w:t xml:space="preserve"> organized in four phases </w:t>
      </w:r>
      <w:r w:rsidR="00F9764F">
        <w:rPr>
          <w:sz w:val="22"/>
          <w:szCs w:val="22"/>
        </w:rPr>
        <w:t xml:space="preserve">over </w:t>
      </w:r>
      <w:r w:rsidR="00B85FE3">
        <w:rPr>
          <w:sz w:val="22"/>
          <w:szCs w:val="22"/>
        </w:rPr>
        <w:t>a</w:t>
      </w:r>
      <w:r w:rsidR="00F9764F">
        <w:rPr>
          <w:sz w:val="22"/>
          <w:szCs w:val="22"/>
        </w:rPr>
        <w:t xml:space="preserve"> 6-month</w:t>
      </w:r>
      <w:r w:rsidR="00041B5D">
        <w:rPr>
          <w:sz w:val="22"/>
          <w:szCs w:val="22"/>
        </w:rPr>
        <w:t xml:space="preserve"> period</w:t>
      </w:r>
      <w:r w:rsidR="00F9764F">
        <w:rPr>
          <w:sz w:val="22"/>
          <w:szCs w:val="22"/>
        </w:rPr>
        <w:t xml:space="preserve"> </w:t>
      </w:r>
      <w:r w:rsidR="007C7F39">
        <w:rPr>
          <w:sz w:val="22"/>
          <w:szCs w:val="22"/>
        </w:rPr>
        <w:t>(</w:t>
      </w:r>
      <w:r w:rsidR="00F90820">
        <w:rPr>
          <w:sz w:val="22"/>
          <w:szCs w:val="22"/>
        </w:rPr>
        <w:t xml:space="preserve">i.e., </w:t>
      </w:r>
      <w:r w:rsidR="00FD717C">
        <w:rPr>
          <w:sz w:val="22"/>
          <w:szCs w:val="22"/>
        </w:rPr>
        <w:t xml:space="preserve">starting, interim, late-stage, </w:t>
      </w:r>
      <w:r w:rsidR="007C7F39">
        <w:rPr>
          <w:sz w:val="22"/>
          <w:szCs w:val="22"/>
        </w:rPr>
        <w:t xml:space="preserve">and </w:t>
      </w:r>
      <w:r w:rsidR="00A67B5C">
        <w:rPr>
          <w:sz w:val="22"/>
          <w:szCs w:val="22"/>
        </w:rPr>
        <w:t>last chance</w:t>
      </w:r>
      <w:r w:rsidR="007C7F39">
        <w:rPr>
          <w:sz w:val="22"/>
          <w:szCs w:val="22"/>
        </w:rPr>
        <w:t>).</w:t>
      </w:r>
      <w:r w:rsidR="00516AD9">
        <w:rPr>
          <w:sz w:val="22"/>
          <w:szCs w:val="22"/>
        </w:rPr>
        <w:t xml:space="preserve"> The general contact</w:t>
      </w:r>
      <w:r w:rsidR="00F90820">
        <w:rPr>
          <w:sz w:val="22"/>
          <w:szCs w:val="22"/>
        </w:rPr>
        <w:t>ing</w:t>
      </w:r>
      <w:r w:rsidR="00516AD9">
        <w:rPr>
          <w:sz w:val="22"/>
          <w:szCs w:val="22"/>
        </w:rPr>
        <w:t xml:space="preserve"> strategy for sample members </w:t>
      </w:r>
      <w:r w:rsidR="0045047E">
        <w:rPr>
          <w:sz w:val="22"/>
          <w:szCs w:val="22"/>
        </w:rPr>
        <w:t>residing in the U</w:t>
      </w:r>
      <w:r w:rsidR="00F90820">
        <w:rPr>
          <w:sz w:val="22"/>
          <w:szCs w:val="22"/>
        </w:rPr>
        <w:t>.</w:t>
      </w:r>
      <w:r w:rsidR="0045047E">
        <w:rPr>
          <w:sz w:val="22"/>
          <w:szCs w:val="22"/>
        </w:rPr>
        <w:t>S</w:t>
      </w:r>
      <w:r w:rsidR="00F90820">
        <w:rPr>
          <w:sz w:val="22"/>
          <w:szCs w:val="22"/>
        </w:rPr>
        <w:t>.</w:t>
      </w:r>
      <w:r w:rsidR="0045047E">
        <w:rPr>
          <w:sz w:val="22"/>
          <w:szCs w:val="22"/>
        </w:rPr>
        <w:t xml:space="preserve"> and internationally will be the same</w:t>
      </w:r>
      <w:r w:rsidRPr="72004ACF" w:rsidR="02D85000">
        <w:rPr>
          <w:sz w:val="22"/>
          <w:szCs w:val="22"/>
        </w:rPr>
        <w:t xml:space="preserve"> </w:t>
      </w:r>
      <w:r w:rsidRPr="3567FB9B" w:rsidR="02D85000">
        <w:rPr>
          <w:sz w:val="22"/>
          <w:szCs w:val="22"/>
        </w:rPr>
        <w:t xml:space="preserve">(as </w:t>
      </w:r>
      <w:r w:rsidRPr="671AA536" w:rsidR="02D85000">
        <w:rPr>
          <w:sz w:val="22"/>
          <w:szCs w:val="22"/>
        </w:rPr>
        <w:t>opposed to the 2021</w:t>
      </w:r>
      <w:r w:rsidRPr="14C30100" w:rsidR="02D85000">
        <w:rPr>
          <w:sz w:val="22"/>
          <w:szCs w:val="22"/>
        </w:rPr>
        <w:t xml:space="preserve"> round where international sample </w:t>
      </w:r>
      <w:r w:rsidRPr="0D5ECD99" w:rsidR="02D85000">
        <w:rPr>
          <w:sz w:val="22"/>
          <w:szCs w:val="22"/>
        </w:rPr>
        <w:t>members received fewer mailings)</w:t>
      </w:r>
      <w:r w:rsidRPr="0D5ECD99" w:rsidR="3237C1FD">
        <w:rPr>
          <w:sz w:val="22"/>
          <w:szCs w:val="22"/>
        </w:rPr>
        <w:t>.</w:t>
      </w:r>
      <w:r w:rsidR="00516AD9">
        <w:rPr>
          <w:sz w:val="22"/>
          <w:szCs w:val="22"/>
        </w:rPr>
        <w:t xml:space="preserve"> </w:t>
      </w:r>
      <w:r w:rsidR="001C3F00">
        <w:rPr>
          <w:sz w:val="22"/>
          <w:szCs w:val="22"/>
        </w:rPr>
        <w:t xml:space="preserve">The format and content of mailings will differ across each mailing. </w:t>
      </w:r>
      <w:r w:rsidR="00516AD9">
        <w:rPr>
          <w:sz w:val="22"/>
          <w:szCs w:val="22"/>
        </w:rPr>
        <w:t xml:space="preserve">An email will go out </w:t>
      </w:r>
      <w:r w:rsidR="0045047E">
        <w:rPr>
          <w:sz w:val="22"/>
          <w:szCs w:val="22"/>
        </w:rPr>
        <w:t>paired with the mailed letters</w:t>
      </w:r>
      <w:r w:rsidR="00516AD9">
        <w:rPr>
          <w:sz w:val="22"/>
          <w:szCs w:val="22"/>
        </w:rPr>
        <w:t>.</w:t>
      </w:r>
      <w:r w:rsidR="001C3F00">
        <w:rPr>
          <w:sz w:val="22"/>
          <w:szCs w:val="22"/>
        </w:rPr>
        <w:t xml:space="preserve"> </w:t>
      </w:r>
      <w:r w:rsidR="00B41AE6">
        <w:rPr>
          <w:sz w:val="22"/>
          <w:szCs w:val="22"/>
        </w:rPr>
        <w:t>Messages will be tailored based on past response history a</w:t>
      </w:r>
      <w:r w:rsidR="00331F37">
        <w:rPr>
          <w:sz w:val="22"/>
          <w:szCs w:val="22"/>
        </w:rPr>
        <w:t xml:space="preserve">nd </w:t>
      </w:r>
      <w:r w:rsidR="004E3357">
        <w:rPr>
          <w:sz w:val="22"/>
          <w:szCs w:val="22"/>
        </w:rPr>
        <w:t>whether the case is from the new cohort or reported being retired in</w:t>
      </w:r>
      <w:r w:rsidR="00CB626F">
        <w:rPr>
          <w:sz w:val="22"/>
          <w:szCs w:val="22"/>
        </w:rPr>
        <w:t xml:space="preserve"> the SDR. </w:t>
      </w:r>
      <w:r w:rsidR="00AF06D3">
        <w:rPr>
          <w:sz w:val="22"/>
          <w:szCs w:val="22"/>
        </w:rPr>
        <w:t xml:space="preserve">The 2023 SDR </w:t>
      </w:r>
      <w:r w:rsidR="00F214C3">
        <w:rPr>
          <w:sz w:val="22"/>
          <w:szCs w:val="22"/>
        </w:rPr>
        <w:t xml:space="preserve">main </w:t>
      </w:r>
      <w:r w:rsidR="00AF06D3">
        <w:rPr>
          <w:sz w:val="22"/>
          <w:szCs w:val="22"/>
        </w:rPr>
        <w:t>data collection protocol is illustrated in Figure 2</w:t>
      </w:r>
      <w:r w:rsidR="00F214C3">
        <w:rPr>
          <w:sz w:val="22"/>
          <w:szCs w:val="22"/>
        </w:rPr>
        <w:t xml:space="preserve"> </w:t>
      </w:r>
      <w:r w:rsidR="003F6E57">
        <w:rPr>
          <w:sz w:val="22"/>
          <w:szCs w:val="22"/>
        </w:rPr>
        <w:t>of Section B</w:t>
      </w:r>
      <w:r w:rsidR="00A9322A">
        <w:rPr>
          <w:sz w:val="22"/>
          <w:szCs w:val="22"/>
        </w:rPr>
        <w:t>4.4.</w:t>
      </w:r>
    </w:p>
    <w:bookmarkEnd w:id="19"/>
    <w:p w:rsidR="00A719EA" w:rsidP="00A719EA" w14:paraId="0697948C" w14:textId="77777777">
      <w:pPr>
        <w:pStyle w:val="BodyText"/>
        <w:rPr>
          <w:sz w:val="22"/>
          <w:szCs w:val="22"/>
        </w:rPr>
      </w:pPr>
    </w:p>
    <w:p w:rsidR="0059506E" w:rsidP="00A719EA" w14:paraId="1B984783" w14:textId="67174479">
      <w:pPr>
        <w:pStyle w:val="BodyText"/>
        <w:rPr>
          <w:sz w:val="22"/>
          <w:szCs w:val="22"/>
        </w:rPr>
      </w:pPr>
      <w:r>
        <w:rPr>
          <w:sz w:val="22"/>
          <w:szCs w:val="22"/>
        </w:rPr>
        <w:t xml:space="preserve">In the </w:t>
      </w:r>
      <w:r w:rsidR="00BC68E6">
        <w:rPr>
          <w:sz w:val="22"/>
          <w:szCs w:val="22"/>
        </w:rPr>
        <w:t xml:space="preserve">starting </w:t>
      </w:r>
      <w:r>
        <w:rPr>
          <w:sz w:val="22"/>
          <w:szCs w:val="22"/>
        </w:rPr>
        <w:t xml:space="preserve">stage, </w:t>
      </w:r>
      <w:r w:rsidR="00A719EA">
        <w:rPr>
          <w:sz w:val="22"/>
          <w:szCs w:val="22"/>
        </w:rPr>
        <w:t>all sample members will initially be encouraged to respond to the 202</w:t>
      </w:r>
      <w:r w:rsidR="00BC68E6">
        <w:rPr>
          <w:sz w:val="22"/>
          <w:szCs w:val="22"/>
        </w:rPr>
        <w:t>3</w:t>
      </w:r>
      <w:r w:rsidR="00A719EA">
        <w:rPr>
          <w:sz w:val="22"/>
          <w:szCs w:val="22"/>
        </w:rPr>
        <w:t xml:space="preserve"> SDR via the online questionnaire</w:t>
      </w:r>
      <w:r w:rsidR="0028026E">
        <w:rPr>
          <w:sz w:val="22"/>
          <w:szCs w:val="22"/>
        </w:rPr>
        <w:t xml:space="preserve"> </w:t>
      </w:r>
      <w:r>
        <w:rPr>
          <w:sz w:val="22"/>
          <w:szCs w:val="22"/>
        </w:rPr>
        <w:t>as was done in 20</w:t>
      </w:r>
      <w:r w:rsidR="00BC68E6">
        <w:rPr>
          <w:sz w:val="22"/>
          <w:szCs w:val="22"/>
        </w:rPr>
        <w:t>21</w:t>
      </w:r>
      <w:r w:rsidR="00A9136F">
        <w:rPr>
          <w:sz w:val="22"/>
          <w:szCs w:val="22"/>
        </w:rPr>
        <w:t xml:space="preserve">. </w:t>
      </w:r>
      <w:r w:rsidR="005008D9">
        <w:rPr>
          <w:sz w:val="22"/>
          <w:szCs w:val="22"/>
        </w:rPr>
        <w:t>Most</w:t>
      </w:r>
      <w:r w:rsidR="004B1E5A">
        <w:rPr>
          <w:sz w:val="22"/>
          <w:szCs w:val="22"/>
        </w:rPr>
        <w:t xml:space="preserve"> s</w:t>
      </w:r>
      <w:r w:rsidR="002E76E1">
        <w:rPr>
          <w:sz w:val="22"/>
          <w:szCs w:val="22"/>
        </w:rPr>
        <w:t xml:space="preserve">ample members who </w:t>
      </w:r>
      <w:r w:rsidR="00B35548">
        <w:rPr>
          <w:sz w:val="22"/>
          <w:szCs w:val="22"/>
        </w:rPr>
        <w:t xml:space="preserve">were in </w:t>
      </w:r>
      <w:r w:rsidR="002E76E1">
        <w:rPr>
          <w:sz w:val="22"/>
          <w:szCs w:val="22"/>
        </w:rPr>
        <w:t>20</w:t>
      </w:r>
      <w:r w:rsidR="00B35548">
        <w:rPr>
          <w:sz w:val="22"/>
          <w:szCs w:val="22"/>
        </w:rPr>
        <w:t>21</w:t>
      </w:r>
      <w:r w:rsidR="002E76E1">
        <w:rPr>
          <w:sz w:val="22"/>
          <w:szCs w:val="22"/>
        </w:rPr>
        <w:t xml:space="preserve"> will initially receive a postal letter </w:t>
      </w:r>
      <w:r w:rsidR="00B35548">
        <w:rPr>
          <w:sz w:val="22"/>
          <w:szCs w:val="22"/>
        </w:rPr>
        <w:t xml:space="preserve">and email </w:t>
      </w:r>
      <w:r w:rsidR="002E76E1">
        <w:rPr>
          <w:sz w:val="22"/>
          <w:szCs w:val="22"/>
        </w:rPr>
        <w:t>encouraging them to participate in the 202</w:t>
      </w:r>
      <w:r w:rsidR="00B35548">
        <w:rPr>
          <w:sz w:val="22"/>
          <w:szCs w:val="22"/>
        </w:rPr>
        <w:t>3</w:t>
      </w:r>
      <w:r w:rsidR="002E76E1">
        <w:rPr>
          <w:sz w:val="22"/>
          <w:szCs w:val="22"/>
        </w:rPr>
        <w:t xml:space="preserve"> SDR by completing the online questionnaire. New </w:t>
      </w:r>
      <w:r w:rsidR="005008D9">
        <w:rPr>
          <w:sz w:val="22"/>
          <w:szCs w:val="22"/>
        </w:rPr>
        <w:t>cohort</w:t>
      </w:r>
      <w:r w:rsidR="002E76E1">
        <w:rPr>
          <w:sz w:val="22"/>
          <w:szCs w:val="22"/>
        </w:rPr>
        <w:t xml:space="preserve"> sample members</w:t>
      </w:r>
      <w:r w:rsidR="000274B0">
        <w:rPr>
          <w:sz w:val="22"/>
          <w:szCs w:val="22"/>
        </w:rPr>
        <w:t>, as well as nonrespondent new cohort</w:t>
      </w:r>
      <w:r w:rsidR="004B1E5A">
        <w:rPr>
          <w:sz w:val="22"/>
          <w:szCs w:val="22"/>
        </w:rPr>
        <w:t xml:space="preserve"> sample members from 2019 and 2021,</w:t>
      </w:r>
      <w:r w:rsidR="00A74B65">
        <w:rPr>
          <w:sz w:val="22"/>
          <w:szCs w:val="22"/>
        </w:rPr>
        <w:t xml:space="preserve"> will receive an </w:t>
      </w:r>
      <w:r w:rsidR="00A74B65">
        <w:rPr>
          <w:sz w:val="22"/>
          <w:szCs w:val="22"/>
        </w:rPr>
        <w:t>infocard</w:t>
      </w:r>
      <w:r w:rsidR="00A74B65">
        <w:rPr>
          <w:sz w:val="22"/>
          <w:szCs w:val="22"/>
        </w:rPr>
        <w:t xml:space="preserve"> with their initial invitation</w:t>
      </w:r>
      <w:r w:rsidR="002E76E1">
        <w:rPr>
          <w:sz w:val="22"/>
          <w:szCs w:val="22"/>
        </w:rPr>
        <w:t xml:space="preserve">. </w:t>
      </w:r>
      <w:r w:rsidR="00A719EA">
        <w:rPr>
          <w:sz w:val="22"/>
          <w:szCs w:val="22"/>
        </w:rPr>
        <w:t xml:space="preserve">The invitation </w:t>
      </w:r>
      <w:r w:rsidR="00A9136F">
        <w:rPr>
          <w:sz w:val="22"/>
          <w:szCs w:val="22"/>
        </w:rPr>
        <w:t xml:space="preserve">postal </w:t>
      </w:r>
      <w:r w:rsidR="00A719EA">
        <w:rPr>
          <w:sz w:val="22"/>
          <w:szCs w:val="22"/>
        </w:rPr>
        <w:t>letter will include the 202</w:t>
      </w:r>
      <w:r w:rsidR="00A74B65">
        <w:rPr>
          <w:sz w:val="22"/>
          <w:szCs w:val="22"/>
        </w:rPr>
        <w:t>3</w:t>
      </w:r>
      <w:r w:rsidR="00A719EA">
        <w:rPr>
          <w:sz w:val="22"/>
          <w:szCs w:val="22"/>
        </w:rPr>
        <w:t xml:space="preserve"> SDR URL and their Personal Identification Number (PIN). The </w:t>
      </w:r>
      <w:r w:rsidR="00A9136F">
        <w:rPr>
          <w:sz w:val="22"/>
          <w:szCs w:val="22"/>
        </w:rPr>
        <w:t xml:space="preserve">invitation </w:t>
      </w:r>
      <w:r w:rsidR="00A719EA">
        <w:rPr>
          <w:sz w:val="22"/>
          <w:szCs w:val="22"/>
        </w:rPr>
        <w:t>email will include a live link that will take the sample member directly to the starting page of the SDR 202</w:t>
      </w:r>
      <w:r w:rsidR="00090DCA">
        <w:rPr>
          <w:sz w:val="22"/>
          <w:szCs w:val="22"/>
        </w:rPr>
        <w:t>3</w:t>
      </w:r>
      <w:r w:rsidR="00A719EA">
        <w:rPr>
          <w:sz w:val="22"/>
          <w:szCs w:val="22"/>
        </w:rPr>
        <w:t xml:space="preserve"> </w:t>
      </w:r>
      <w:r>
        <w:rPr>
          <w:sz w:val="22"/>
          <w:szCs w:val="22"/>
        </w:rPr>
        <w:t xml:space="preserve">web </w:t>
      </w:r>
      <w:r w:rsidR="00A719EA">
        <w:rPr>
          <w:sz w:val="22"/>
          <w:szCs w:val="22"/>
        </w:rPr>
        <w:t>instrument. In 20</w:t>
      </w:r>
      <w:r w:rsidR="00AD4884">
        <w:rPr>
          <w:sz w:val="22"/>
          <w:szCs w:val="22"/>
        </w:rPr>
        <w:t>21</w:t>
      </w:r>
      <w:r w:rsidR="00A719EA">
        <w:rPr>
          <w:sz w:val="22"/>
          <w:szCs w:val="22"/>
        </w:rPr>
        <w:t>, 9</w:t>
      </w:r>
      <w:r w:rsidR="00AD4884">
        <w:rPr>
          <w:sz w:val="22"/>
          <w:szCs w:val="22"/>
        </w:rPr>
        <w:t>9</w:t>
      </w:r>
      <w:r w:rsidR="00A719EA">
        <w:rPr>
          <w:sz w:val="22"/>
          <w:szCs w:val="22"/>
        </w:rPr>
        <w:t xml:space="preserve">% of respondents participated via the online questionnaire. </w:t>
      </w:r>
      <w:r w:rsidR="003D5E2F">
        <w:rPr>
          <w:sz w:val="22"/>
          <w:szCs w:val="22"/>
        </w:rPr>
        <w:t xml:space="preserve">Due to the changes in data collection protocols, </w:t>
      </w:r>
      <w:r w:rsidR="00A719EA">
        <w:rPr>
          <w:sz w:val="22"/>
          <w:szCs w:val="22"/>
        </w:rPr>
        <w:t xml:space="preserve">NCSES expects </w:t>
      </w:r>
      <w:r w:rsidR="00AD4884">
        <w:rPr>
          <w:sz w:val="22"/>
          <w:szCs w:val="22"/>
        </w:rPr>
        <w:t xml:space="preserve">this percentage to </w:t>
      </w:r>
      <w:r w:rsidR="00630129">
        <w:rPr>
          <w:sz w:val="22"/>
          <w:szCs w:val="22"/>
        </w:rPr>
        <w:t xml:space="preserve">be slightly lower </w:t>
      </w:r>
      <w:r w:rsidR="00AD4884">
        <w:rPr>
          <w:sz w:val="22"/>
          <w:szCs w:val="22"/>
        </w:rPr>
        <w:t>in 2023</w:t>
      </w:r>
      <w:r w:rsidR="00417D81">
        <w:rPr>
          <w:sz w:val="22"/>
          <w:szCs w:val="22"/>
        </w:rPr>
        <w:t xml:space="preserve"> but still </w:t>
      </w:r>
      <w:r w:rsidR="0012510F">
        <w:rPr>
          <w:sz w:val="22"/>
          <w:szCs w:val="22"/>
        </w:rPr>
        <w:t>over</w:t>
      </w:r>
      <w:r w:rsidR="009D5886">
        <w:rPr>
          <w:sz w:val="22"/>
          <w:szCs w:val="22"/>
        </w:rPr>
        <w:t xml:space="preserve"> 9</w:t>
      </w:r>
      <w:r w:rsidR="0012510F">
        <w:rPr>
          <w:sz w:val="22"/>
          <w:szCs w:val="22"/>
        </w:rPr>
        <w:t>0</w:t>
      </w:r>
      <w:r w:rsidR="009D5886">
        <w:rPr>
          <w:sz w:val="22"/>
          <w:szCs w:val="22"/>
        </w:rPr>
        <w:t>%</w:t>
      </w:r>
      <w:r w:rsidR="00A719EA">
        <w:rPr>
          <w:sz w:val="22"/>
          <w:szCs w:val="22"/>
        </w:rPr>
        <w:t>.</w:t>
      </w:r>
      <w:r w:rsidR="00B27B63">
        <w:rPr>
          <w:sz w:val="22"/>
          <w:szCs w:val="22"/>
        </w:rPr>
        <w:t xml:space="preserve"> </w:t>
      </w:r>
      <w:r w:rsidR="00E96F96">
        <w:rPr>
          <w:sz w:val="22"/>
          <w:szCs w:val="22"/>
        </w:rPr>
        <w:t>Sample members will receive a follow up mailing in weeks 3</w:t>
      </w:r>
      <w:r w:rsidR="009D5886">
        <w:rPr>
          <w:sz w:val="22"/>
          <w:szCs w:val="22"/>
        </w:rPr>
        <w:t xml:space="preserve"> and </w:t>
      </w:r>
      <w:r w:rsidR="00E96F96">
        <w:rPr>
          <w:sz w:val="22"/>
          <w:szCs w:val="22"/>
        </w:rPr>
        <w:t xml:space="preserve">4. </w:t>
      </w:r>
      <w:r w:rsidR="000F2099">
        <w:rPr>
          <w:sz w:val="22"/>
          <w:szCs w:val="22"/>
        </w:rPr>
        <w:t xml:space="preserve">Telephone prompting will begin in week 4, </w:t>
      </w:r>
      <w:r w:rsidR="00BE52F1">
        <w:rPr>
          <w:sz w:val="22"/>
          <w:szCs w:val="22"/>
        </w:rPr>
        <w:t xml:space="preserve">except for sample members who refused the survey in the past. </w:t>
      </w:r>
      <w:r w:rsidR="00405200">
        <w:rPr>
          <w:sz w:val="22"/>
          <w:szCs w:val="22"/>
        </w:rPr>
        <w:t xml:space="preserve">Callers will </w:t>
      </w:r>
      <w:r w:rsidR="006D4869">
        <w:rPr>
          <w:sz w:val="22"/>
          <w:szCs w:val="22"/>
        </w:rPr>
        <w:t>remind respondents about the survey</w:t>
      </w:r>
      <w:r w:rsidR="00D237DB">
        <w:rPr>
          <w:sz w:val="22"/>
          <w:szCs w:val="22"/>
        </w:rPr>
        <w:t>, resend survey access</w:t>
      </w:r>
      <w:r w:rsidR="00DC580F">
        <w:rPr>
          <w:sz w:val="22"/>
          <w:szCs w:val="22"/>
        </w:rPr>
        <w:t xml:space="preserve"> by email (if needed),</w:t>
      </w:r>
      <w:r w:rsidR="006D4869">
        <w:rPr>
          <w:sz w:val="22"/>
          <w:szCs w:val="22"/>
        </w:rPr>
        <w:t xml:space="preserve"> and offer to provide a CATI interview if preferred. </w:t>
      </w:r>
      <w:r w:rsidR="00BE52F1">
        <w:rPr>
          <w:sz w:val="22"/>
          <w:szCs w:val="22"/>
        </w:rPr>
        <w:t xml:space="preserve">Sample members who responded by paper in previous rounds will </w:t>
      </w:r>
      <w:r w:rsidR="00B0264D">
        <w:rPr>
          <w:sz w:val="22"/>
          <w:szCs w:val="22"/>
        </w:rPr>
        <w:t xml:space="preserve">be in an accelerated paper mode and will be mailed a self-administered </w:t>
      </w:r>
      <w:r w:rsidR="00DC580F">
        <w:rPr>
          <w:sz w:val="22"/>
          <w:szCs w:val="22"/>
        </w:rPr>
        <w:t xml:space="preserve">paper form </w:t>
      </w:r>
      <w:r w:rsidR="00B0264D">
        <w:rPr>
          <w:sz w:val="22"/>
          <w:szCs w:val="22"/>
        </w:rPr>
        <w:t>in week 6.</w:t>
      </w:r>
    </w:p>
    <w:p w:rsidR="0059506E" w:rsidP="00A719EA" w14:paraId="3B9F16BF" w14:textId="77777777">
      <w:pPr>
        <w:pStyle w:val="BodyText"/>
        <w:rPr>
          <w:sz w:val="22"/>
          <w:szCs w:val="22"/>
        </w:rPr>
      </w:pPr>
    </w:p>
    <w:p w:rsidR="00A719EA" w:rsidP="00A719EA" w14:paraId="757A158B" w14:textId="01DA9D39">
      <w:pPr>
        <w:pStyle w:val="BodyText"/>
        <w:rPr>
          <w:sz w:val="22"/>
          <w:szCs w:val="22"/>
        </w:rPr>
      </w:pPr>
      <w:r>
        <w:rPr>
          <w:sz w:val="22"/>
          <w:szCs w:val="22"/>
        </w:rPr>
        <w:t xml:space="preserve">In the </w:t>
      </w:r>
      <w:r w:rsidR="00B93075">
        <w:rPr>
          <w:sz w:val="22"/>
          <w:szCs w:val="22"/>
        </w:rPr>
        <w:t xml:space="preserve">interim </w:t>
      </w:r>
      <w:r>
        <w:rPr>
          <w:sz w:val="22"/>
          <w:szCs w:val="22"/>
        </w:rPr>
        <w:t xml:space="preserve">mode phase, </w:t>
      </w:r>
      <w:r w:rsidR="001522F9">
        <w:rPr>
          <w:sz w:val="22"/>
          <w:szCs w:val="22"/>
        </w:rPr>
        <w:t xml:space="preserve">sample members will receive a reminder letter </w:t>
      </w:r>
      <w:r w:rsidR="00634D2C">
        <w:rPr>
          <w:sz w:val="22"/>
          <w:szCs w:val="22"/>
        </w:rPr>
        <w:t xml:space="preserve">via email and USPS letter mailing </w:t>
      </w:r>
      <w:r w:rsidR="001522F9">
        <w:rPr>
          <w:sz w:val="22"/>
          <w:szCs w:val="22"/>
        </w:rPr>
        <w:t>at week 7. H</w:t>
      </w:r>
      <w:r>
        <w:rPr>
          <w:sz w:val="22"/>
          <w:szCs w:val="22"/>
        </w:rPr>
        <w:t xml:space="preserve">ardcopy </w:t>
      </w:r>
      <w:r w:rsidR="0028026E">
        <w:rPr>
          <w:sz w:val="22"/>
          <w:szCs w:val="22"/>
        </w:rPr>
        <w:t xml:space="preserve">paper </w:t>
      </w:r>
      <w:r>
        <w:rPr>
          <w:sz w:val="22"/>
          <w:szCs w:val="22"/>
        </w:rPr>
        <w:t>questionnaires will be offered at week 9 to</w:t>
      </w:r>
      <w:r w:rsidR="00227235">
        <w:rPr>
          <w:sz w:val="22"/>
          <w:szCs w:val="22"/>
        </w:rPr>
        <w:t xml:space="preserve"> sample members who have not yet responded (except those who received their hardcopy in week 6)</w:t>
      </w:r>
      <w:r w:rsidR="00133FF8">
        <w:rPr>
          <w:sz w:val="22"/>
          <w:szCs w:val="22"/>
        </w:rPr>
        <w:t>, followed by a reminder postcard a week later</w:t>
      </w:r>
      <w:r>
        <w:rPr>
          <w:sz w:val="22"/>
          <w:szCs w:val="22"/>
        </w:rPr>
        <w:t xml:space="preserve">. </w:t>
      </w:r>
      <w:r w:rsidR="00516AD9">
        <w:rPr>
          <w:sz w:val="22"/>
          <w:szCs w:val="22"/>
        </w:rPr>
        <w:t xml:space="preserve">In addition to these targeted mailings, the contractor will send paper questionnaires upon request throughout the data collection cycle. </w:t>
      </w:r>
    </w:p>
    <w:p w:rsidR="00770189" w:rsidP="00A719EA" w14:paraId="194AD7C7" w14:textId="00CC7718">
      <w:pPr>
        <w:pStyle w:val="BodyText"/>
        <w:rPr>
          <w:sz w:val="22"/>
          <w:szCs w:val="22"/>
        </w:rPr>
      </w:pPr>
    </w:p>
    <w:p w:rsidR="00770189" w:rsidP="00A719EA" w14:paraId="3F017F84" w14:textId="00C00884">
      <w:pPr>
        <w:pStyle w:val="BodyText"/>
        <w:rPr>
          <w:sz w:val="22"/>
          <w:szCs w:val="22"/>
        </w:rPr>
      </w:pPr>
      <w:r>
        <w:rPr>
          <w:sz w:val="22"/>
          <w:szCs w:val="22"/>
        </w:rPr>
        <w:t xml:space="preserve">The late-stage phase starts with an </w:t>
      </w:r>
      <w:r>
        <w:rPr>
          <w:sz w:val="22"/>
          <w:szCs w:val="22"/>
        </w:rPr>
        <w:t>infocard</w:t>
      </w:r>
      <w:r>
        <w:rPr>
          <w:sz w:val="22"/>
          <w:szCs w:val="22"/>
        </w:rPr>
        <w:t xml:space="preserve"> mailing to all sample members who have not yet responded</w:t>
      </w:r>
      <w:r w:rsidR="008E5BAC">
        <w:rPr>
          <w:sz w:val="22"/>
          <w:szCs w:val="22"/>
        </w:rPr>
        <w:t>, followed by telephone prompting in week 14 and a reminder email only in week 15.</w:t>
      </w:r>
      <w:r w:rsidR="00784673">
        <w:rPr>
          <w:sz w:val="22"/>
          <w:szCs w:val="22"/>
        </w:rPr>
        <w:t xml:space="preserve"> A second hard-copy paper survey will be sent in week 16 with a reminder postcard a week later. Respondents who have refused in the past will receive only the </w:t>
      </w:r>
      <w:r w:rsidR="00784673">
        <w:rPr>
          <w:sz w:val="22"/>
          <w:szCs w:val="22"/>
        </w:rPr>
        <w:t>infocard</w:t>
      </w:r>
      <w:r w:rsidR="00784673">
        <w:rPr>
          <w:sz w:val="22"/>
          <w:szCs w:val="22"/>
        </w:rPr>
        <w:t xml:space="preserve"> mailing an</w:t>
      </w:r>
      <w:r w:rsidR="005E1737">
        <w:rPr>
          <w:sz w:val="22"/>
          <w:szCs w:val="22"/>
        </w:rPr>
        <w:t>d the reminder email.</w:t>
      </w:r>
    </w:p>
    <w:p w:rsidR="00A719EA" w:rsidP="00A719EA" w14:paraId="67996D88" w14:textId="77777777">
      <w:pPr>
        <w:pStyle w:val="BodyText"/>
        <w:rPr>
          <w:sz w:val="22"/>
          <w:szCs w:val="22"/>
        </w:rPr>
      </w:pPr>
    </w:p>
    <w:p w:rsidR="00AA4C51" w:rsidP="00A719EA" w14:paraId="27B7733B" w14:textId="3B7FC4DE">
      <w:pPr>
        <w:pStyle w:val="BodyText"/>
        <w:rPr>
          <w:sz w:val="22"/>
          <w:szCs w:val="22"/>
        </w:rPr>
      </w:pPr>
      <w:r>
        <w:rPr>
          <w:sz w:val="22"/>
          <w:szCs w:val="22"/>
        </w:rPr>
        <w:t xml:space="preserve">The last </w:t>
      </w:r>
      <w:r w:rsidR="00E223B4">
        <w:rPr>
          <w:sz w:val="22"/>
          <w:szCs w:val="22"/>
        </w:rPr>
        <w:t xml:space="preserve">chance </w:t>
      </w:r>
      <w:r>
        <w:rPr>
          <w:sz w:val="22"/>
          <w:szCs w:val="22"/>
        </w:rPr>
        <w:t>stage of the contacting protocol</w:t>
      </w:r>
      <w:r w:rsidR="00FF4D34">
        <w:rPr>
          <w:sz w:val="22"/>
          <w:szCs w:val="22"/>
        </w:rPr>
        <w:t xml:space="preserve"> begins with a reminder letter in week 19 that will include a </w:t>
      </w:r>
      <w:r w:rsidR="00F14318">
        <w:rPr>
          <w:sz w:val="22"/>
          <w:szCs w:val="22"/>
        </w:rPr>
        <w:t>non-monetary</w:t>
      </w:r>
      <w:r w:rsidR="00BF0E34">
        <w:rPr>
          <w:sz w:val="22"/>
          <w:szCs w:val="22"/>
        </w:rPr>
        <w:t xml:space="preserve"> </w:t>
      </w:r>
      <w:r w:rsidR="00FF4D34">
        <w:rPr>
          <w:sz w:val="22"/>
          <w:szCs w:val="22"/>
        </w:rPr>
        <w:t>token</w:t>
      </w:r>
      <w:r w:rsidR="00F14318">
        <w:rPr>
          <w:sz w:val="22"/>
          <w:szCs w:val="22"/>
        </w:rPr>
        <w:t xml:space="preserve"> of appreciation</w:t>
      </w:r>
      <w:r w:rsidR="00AD3EE3">
        <w:rPr>
          <w:sz w:val="22"/>
          <w:szCs w:val="22"/>
        </w:rPr>
        <w:t xml:space="preserve"> (like a credit-card sized magnifying lens)</w:t>
      </w:r>
      <w:r w:rsidR="00FF7025">
        <w:rPr>
          <w:sz w:val="22"/>
          <w:szCs w:val="22"/>
        </w:rPr>
        <w:t xml:space="preserve"> followed by telephone </w:t>
      </w:r>
      <w:r w:rsidR="00FF7025">
        <w:rPr>
          <w:sz w:val="22"/>
          <w:szCs w:val="22"/>
        </w:rPr>
        <w:t>prompting in week</w:t>
      </w:r>
      <w:r w:rsidR="00F14318">
        <w:rPr>
          <w:sz w:val="22"/>
          <w:szCs w:val="22"/>
        </w:rPr>
        <w:t>s</w:t>
      </w:r>
      <w:r w:rsidR="00FF7025">
        <w:rPr>
          <w:sz w:val="22"/>
          <w:szCs w:val="22"/>
        </w:rPr>
        <w:t xml:space="preserve"> 2</w:t>
      </w:r>
      <w:r w:rsidR="00F14318">
        <w:rPr>
          <w:sz w:val="22"/>
          <w:szCs w:val="22"/>
        </w:rPr>
        <w:t>0</w:t>
      </w:r>
      <w:r w:rsidR="00CF5D2A">
        <w:rPr>
          <w:sz w:val="22"/>
          <w:szCs w:val="22"/>
        </w:rPr>
        <w:t xml:space="preserve"> and </w:t>
      </w:r>
      <w:r w:rsidR="00F14318">
        <w:rPr>
          <w:sz w:val="22"/>
          <w:szCs w:val="22"/>
        </w:rPr>
        <w:t>21</w:t>
      </w:r>
      <w:r w:rsidR="00BF0E34">
        <w:rPr>
          <w:sz w:val="22"/>
          <w:szCs w:val="22"/>
        </w:rPr>
        <w:t>.</w:t>
      </w:r>
      <w:r>
        <w:rPr>
          <w:sz w:val="22"/>
          <w:szCs w:val="22"/>
        </w:rPr>
        <w:t xml:space="preserve"> </w:t>
      </w:r>
      <w:r w:rsidR="000A0171">
        <w:rPr>
          <w:sz w:val="22"/>
          <w:szCs w:val="22"/>
        </w:rPr>
        <w:t xml:space="preserve">This stage also </w:t>
      </w:r>
      <w:r>
        <w:rPr>
          <w:sz w:val="22"/>
          <w:szCs w:val="22"/>
        </w:rPr>
        <w:t>offers an abbreviated version of the 202</w:t>
      </w:r>
      <w:r w:rsidR="009F6579">
        <w:rPr>
          <w:sz w:val="22"/>
          <w:szCs w:val="22"/>
        </w:rPr>
        <w:t>3</w:t>
      </w:r>
      <w:r>
        <w:rPr>
          <w:sz w:val="22"/>
          <w:szCs w:val="22"/>
        </w:rPr>
        <w:t xml:space="preserve"> SDR</w:t>
      </w:r>
      <w:r w:rsidR="00102D93">
        <w:rPr>
          <w:sz w:val="22"/>
          <w:szCs w:val="22"/>
        </w:rPr>
        <w:t>, the Critical Item Only (CIO)</w:t>
      </w:r>
      <w:r w:rsidR="00825FFE">
        <w:rPr>
          <w:sz w:val="22"/>
          <w:szCs w:val="22"/>
        </w:rPr>
        <w:t xml:space="preserve"> survey</w:t>
      </w:r>
      <w:r w:rsidR="00881406">
        <w:rPr>
          <w:sz w:val="22"/>
          <w:szCs w:val="22"/>
        </w:rPr>
        <w:t>,</w:t>
      </w:r>
      <w:r w:rsidR="00102D93">
        <w:rPr>
          <w:sz w:val="22"/>
          <w:szCs w:val="22"/>
        </w:rPr>
        <w:t xml:space="preserve"> </w:t>
      </w:r>
      <w:r w:rsidR="000F1EEE">
        <w:rPr>
          <w:sz w:val="22"/>
          <w:szCs w:val="22"/>
        </w:rPr>
        <w:t>as a method to motivate participation among these most re</w:t>
      </w:r>
      <w:r w:rsidR="004159F2">
        <w:rPr>
          <w:sz w:val="22"/>
          <w:szCs w:val="22"/>
        </w:rPr>
        <w:t>luctant</w:t>
      </w:r>
      <w:r w:rsidR="000F1EEE">
        <w:rPr>
          <w:sz w:val="22"/>
          <w:szCs w:val="22"/>
        </w:rPr>
        <w:t xml:space="preserve"> sample members who may not have time available to complete the full survey. The CIO instrument has been used in the prior SDR cycles as a method to motivate response </w:t>
      </w:r>
      <w:r w:rsidR="004159F2">
        <w:rPr>
          <w:sz w:val="22"/>
          <w:szCs w:val="22"/>
        </w:rPr>
        <w:t>as a last call for participation</w:t>
      </w:r>
      <w:r w:rsidR="000F1EEE">
        <w:rPr>
          <w:sz w:val="22"/>
          <w:szCs w:val="22"/>
        </w:rPr>
        <w:t xml:space="preserve">. </w:t>
      </w:r>
      <w:r w:rsidR="00AE0E60">
        <w:rPr>
          <w:sz w:val="22"/>
          <w:szCs w:val="22"/>
        </w:rPr>
        <w:t>S</w:t>
      </w:r>
      <w:r w:rsidR="000F1EEE">
        <w:rPr>
          <w:sz w:val="22"/>
          <w:szCs w:val="22"/>
        </w:rPr>
        <w:t>ample member</w:t>
      </w:r>
      <w:r w:rsidR="003B1681">
        <w:rPr>
          <w:sz w:val="22"/>
          <w:szCs w:val="22"/>
        </w:rPr>
        <w:t xml:space="preserve">s </w:t>
      </w:r>
      <w:r w:rsidR="00E81870">
        <w:rPr>
          <w:sz w:val="22"/>
          <w:szCs w:val="22"/>
        </w:rPr>
        <w:t>will be offered the CIO in a letter, then email, then over the phone in weeks 22</w:t>
      </w:r>
      <w:r w:rsidR="000104D5">
        <w:rPr>
          <w:sz w:val="22"/>
          <w:szCs w:val="22"/>
        </w:rPr>
        <w:t xml:space="preserve"> through </w:t>
      </w:r>
      <w:r w:rsidR="00E81870">
        <w:rPr>
          <w:sz w:val="22"/>
          <w:szCs w:val="22"/>
        </w:rPr>
        <w:t>24</w:t>
      </w:r>
      <w:r w:rsidR="000F1EEE">
        <w:rPr>
          <w:sz w:val="22"/>
          <w:szCs w:val="22"/>
        </w:rPr>
        <w:t xml:space="preserve">. </w:t>
      </w:r>
      <w:r>
        <w:rPr>
          <w:sz w:val="22"/>
          <w:szCs w:val="22"/>
        </w:rPr>
        <w:t>A final request letter and email will go out during week 25 with a final telep</w:t>
      </w:r>
      <w:r w:rsidR="003F78DF">
        <w:rPr>
          <w:sz w:val="22"/>
          <w:szCs w:val="22"/>
        </w:rPr>
        <w:t>hone prompt in week 26.</w:t>
      </w:r>
    </w:p>
    <w:p w:rsidR="000F1EEE" w:rsidP="00A719EA" w14:paraId="7A1F51EB" w14:textId="77777777">
      <w:pPr>
        <w:pStyle w:val="BodyText"/>
        <w:rPr>
          <w:sz w:val="22"/>
          <w:szCs w:val="22"/>
        </w:rPr>
      </w:pPr>
    </w:p>
    <w:p w:rsidR="00A719EA" w:rsidP="00A719EA" w14:paraId="109E69EB" w14:textId="31679FD9">
      <w:pPr>
        <w:pStyle w:val="BodyText"/>
        <w:rPr>
          <w:sz w:val="22"/>
          <w:szCs w:val="22"/>
        </w:rPr>
      </w:pPr>
      <w:r>
        <w:rPr>
          <w:sz w:val="22"/>
          <w:szCs w:val="22"/>
        </w:rPr>
        <w:t>As with the 20</w:t>
      </w:r>
      <w:r w:rsidR="003F78DF">
        <w:rPr>
          <w:sz w:val="22"/>
          <w:szCs w:val="22"/>
        </w:rPr>
        <w:t>21</w:t>
      </w:r>
      <w:r>
        <w:rPr>
          <w:sz w:val="22"/>
          <w:szCs w:val="22"/>
        </w:rPr>
        <w:t xml:space="preserve"> SDR</w:t>
      </w:r>
      <w:r w:rsidR="000F1754">
        <w:rPr>
          <w:sz w:val="22"/>
          <w:szCs w:val="22"/>
        </w:rPr>
        <w:t xml:space="preserve"> and prior cycles</w:t>
      </w:r>
      <w:r>
        <w:rPr>
          <w:sz w:val="22"/>
          <w:szCs w:val="22"/>
        </w:rPr>
        <w:t xml:space="preserve">, sample members who were </w:t>
      </w:r>
      <w:r w:rsidR="0032782B">
        <w:rPr>
          <w:sz w:val="22"/>
          <w:szCs w:val="22"/>
        </w:rPr>
        <w:t xml:space="preserve">a </w:t>
      </w:r>
      <w:r>
        <w:rPr>
          <w:sz w:val="22"/>
          <w:szCs w:val="22"/>
        </w:rPr>
        <w:t xml:space="preserve">hostile refusal in </w:t>
      </w:r>
      <w:r w:rsidR="0032782B">
        <w:rPr>
          <w:sz w:val="22"/>
          <w:szCs w:val="22"/>
        </w:rPr>
        <w:t xml:space="preserve">a </w:t>
      </w:r>
      <w:r>
        <w:rPr>
          <w:sz w:val="22"/>
          <w:szCs w:val="22"/>
        </w:rPr>
        <w:t xml:space="preserve">prior </w:t>
      </w:r>
      <w:r w:rsidR="0032782B">
        <w:rPr>
          <w:sz w:val="22"/>
          <w:szCs w:val="22"/>
        </w:rPr>
        <w:t xml:space="preserve">cycle </w:t>
      </w:r>
      <w:r>
        <w:rPr>
          <w:sz w:val="22"/>
          <w:szCs w:val="22"/>
        </w:rPr>
        <w:t>will receive limited contact requesting thei</w:t>
      </w:r>
      <w:r w:rsidR="00BF4928">
        <w:rPr>
          <w:sz w:val="22"/>
          <w:szCs w:val="22"/>
        </w:rPr>
        <w:t>r participation in the 202</w:t>
      </w:r>
      <w:r w:rsidR="003F78DF">
        <w:rPr>
          <w:sz w:val="22"/>
          <w:szCs w:val="22"/>
        </w:rPr>
        <w:t>3</w:t>
      </w:r>
      <w:r w:rsidR="00BF4928">
        <w:rPr>
          <w:sz w:val="22"/>
          <w:szCs w:val="22"/>
        </w:rPr>
        <w:t xml:space="preserve"> SDR. </w:t>
      </w:r>
      <w:r w:rsidR="00722F7A">
        <w:rPr>
          <w:sz w:val="22"/>
          <w:szCs w:val="22"/>
        </w:rPr>
        <w:t>P</w:t>
      </w:r>
      <w:r w:rsidR="00BF4928">
        <w:rPr>
          <w:sz w:val="22"/>
          <w:szCs w:val="22"/>
        </w:rPr>
        <w:t xml:space="preserve">rior round hostile refusals </w:t>
      </w:r>
      <w:r w:rsidR="00722F7A">
        <w:rPr>
          <w:sz w:val="22"/>
          <w:szCs w:val="22"/>
        </w:rPr>
        <w:t xml:space="preserve">will only be </w:t>
      </w:r>
      <w:r w:rsidR="00200FB2">
        <w:rPr>
          <w:sz w:val="22"/>
          <w:szCs w:val="22"/>
        </w:rPr>
        <w:t xml:space="preserve">contacted </w:t>
      </w:r>
      <w:r w:rsidR="009309A4">
        <w:rPr>
          <w:sz w:val="22"/>
          <w:szCs w:val="22"/>
        </w:rPr>
        <w:t>once, with a</w:t>
      </w:r>
      <w:r w:rsidR="00F66C16">
        <w:rPr>
          <w:sz w:val="22"/>
          <w:szCs w:val="22"/>
        </w:rPr>
        <w:t xml:space="preserve"> mailing of the hard-copy questionnaire</w:t>
      </w:r>
      <w:r w:rsidR="00814BEE">
        <w:rPr>
          <w:sz w:val="22"/>
          <w:szCs w:val="22"/>
        </w:rPr>
        <w:t xml:space="preserve"> with a cover letter</w:t>
      </w:r>
      <w:r w:rsidR="00865F6D">
        <w:rPr>
          <w:sz w:val="22"/>
          <w:szCs w:val="22"/>
        </w:rPr>
        <w:t xml:space="preserve"> that acknowledges their refusal </w:t>
      </w:r>
      <w:r w:rsidR="007423B9">
        <w:rPr>
          <w:sz w:val="22"/>
          <w:szCs w:val="22"/>
        </w:rPr>
        <w:t>and offers the web CIO</w:t>
      </w:r>
      <w:r w:rsidR="0032782B">
        <w:rPr>
          <w:sz w:val="22"/>
          <w:szCs w:val="22"/>
        </w:rPr>
        <w:t>.</w:t>
      </w:r>
      <w:r w:rsidR="008E36B0">
        <w:rPr>
          <w:sz w:val="22"/>
          <w:szCs w:val="22"/>
        </w:rPr>
        <w:t xml:space="preserve"> In 20</w:t>
      </w:r>
      <w:r w:rsidR="005D74D1">
        <w:rPr>
          <w:sz w:val="22"/>
          <w:szCs w:val="22"/>
        </w:rPr>
        <w:t>21</w:t>
      </w:r>
      <w:r w:rsidR="008E36B0">
        <w:rPr>
          <w:sz w:val="22"/>
          <w:szCs w:val="22"/>
        </w:rPr>
        <w:t>, the contractor fielded</w:t>
      </w:r>
      <w:r w:rsidR="0032782B">
        <w:rPr>
          <w:sz w:val="22"/>
          <w:szCs w:val="22"/>
        </w:rPr>
        <w:t xml:space="preserve"> </w:t>
      </w:r>
      <w:r w:rsidR="00775072">
        <w:rPr>
          <w:sz w:val="22"/>
          <w:szCs w:val="22"/>
        </w:rPr>
        <w:t>initial invitations to</w:t>
      </w:r>
      <w:r w:rsidR="00115551">
        <w:rPr>
          <w:sz w:val="22"/>
          <w:szCs w:val="22"/>
        </w:rPr>
        <w:t xml:space="preserve"> </w:t>
      </w:r>
      <w:r w:rsidR="00735166">
        <w:rPr>
          <w:sz w:val="22"/>
          <w:szCs w:val="22"/>
        </w:rPr>
        <w:t>a maximum of</w:t>
      </w:r>
      <w:r w:rsidR="00775072">
        <w:rPr>
          <w:sz w:val="22"/>
          <w:szCs w:val="22"/>
        </w:rPr>
        <w:t xml:space="preserve"> </w:t>
      </w:r>
      <w:r w:rsidR="008E36B0">
        <w:rPr>
          <w:sz w:val="22"/>
          <w:szCs w:val="22"/>
        </w:rPr>
        <w:t>8</w:t>
      </w:r>
      <w:r w:rsidR="00115551">
        <w:rPr>
          <w:sz w:val="22"/>
          <w:szCs w:val="22"/>
        </w:rPr>
        <w:t>6</w:t>
      </w:r>
      <w:r w:rsidR="008E36B0">
        <w:rPr>
          <w:sz w:val="22"/>
          <w:szCs w:val="22"/>
        </w:rPr>
        <w:t xml:space="preserve"> sample members who had closed out in the 20</w:t>
      </w:r>
      <w:r w:rsidR="00E26E21">
        <w:rPr>
          <w:sz w:val="22"/>
          <w:szCs w:val="22"/>
        </w:rPr>
        <w:t>19</w:t>
      </w:r>
      <w:r w:rsidR="008E36B0">
        <w:rPr>
          <w:sz w:val="22"/>
          <w:szCs w:val="22"/>
        </w:rPr>
        <w:t xml:space="preserve"> cycle as hostile refusals</w:t>
      </w:r>
      <w:r w:rsidR="0032782B">
        <w:rPr>
          <w:sz w:val="22"/>
          <w:szCs w:val="22"/>
        </w:rPr>
        <w:t xml:space="preserve"> and </w:t>
      </w:r>
      <w:r w:rsidR="007D5C10">
        <w:rPr>
          <w:sz w:val="22"/>
          <w:szCs w:val="22"/>
        </w:rPr>
        <w:t>four</w:t>
      </w:r>
      <w:r w:rsidR="008E36B0">
        <w:rPr>
          <w:sz w:val="22"/>
          <w:szCs w:val="22"/>
        </w:rPr>
        <w:t xml:space="preserve"> completed the survey.</w:t>
      </w:r>
      <w:r w:rsidR="00E26759">
        <w:rPr>
          <w:sz w:val="22"/>
          <w:szCs w:val="22"/>
        </w:rPr>
        <w:t xml:space="preserve"> </w:t>
      </w:r>
      <w:r w:rsidR="00E75B5D">
        <w:rPr>
          <w:sz w:val="22"/>
          <w:szCs w:val="22"/>
        </w:rPr>
        <w:t>Any</w:t>
      </w:r>
      <w:r w:rsidRPr="00E75B5D" w:rsidR="00E75B5D">
        <w:rPr>
          <w:sz w:val="22"/>
          <w:szCs w:val="22"/>
        </w:rPr>
        <w:t xml:space="preserve"> </w:t>
      </w:r>
      <w:r w:rsidR="002D6AEC">
        <w:rPr>
          <w:sz w:val="22"/>
          <w:szCs w:val="22"/>
        </w:rPr>
        <w:t>continuing sample</w:t>
      </w:r>
      <w:r w:rsidRPr="00E75B5D" w:rsidR="002D6AEC">
        <w:rPr>
          <w:sz w:val="22"/>
          <w:szCs w:val="22"/>
        </w:rPr>
        <w:t xml:space="preserve"> </w:t>
      </w:r>
      <w:r w:rsidRPr="00E75B5D" w:rsidR="00E75B5D">
        <w:rPr>
          <w:sz w:val="22"/>
          <w:szCs w:val="22"/>
        </w:rPr>
        <w:t>members classified as “congressional” refusals will not be contacted in 20</w:t>
      </w:r>
      <w:r w:rsidR="00E75B5D">
        <w:rPr>
          <w:sz w:val="22"/>
          <w:szCs w:val="22"/>
        </w:rPr>
        <w:t xml:space="preserve">23. </w:t>
      </w:r>
      <w:r w:rsidR="00E26759">
        <w:rPr>
          <w:sz w:val="22"/>
          <w:szCs w:val="22"/>
        </w:rPr>
        <w:t>Table 3 shows the maximum number of contacts to be made by mode</w:t>
      </w:r>
      <w:r w:rsidR="009B279D">
        <w:rPr>
          <w:sz w:val="22"/>
          <w:szCs w:val="22"/>
        </w:rPr>
        <w:t xml:space="preserve"> and</w:t>
      </w:r>
      <w:r w:rsidR="00E26759">
        <w:rPr>
          <w:sz w:val="22"/>
          <w:szCs w:val="22"/>
        </w:rPr>
        <w:t xml:space="preserve"> cohort for all other sample members.</w:t>
      </w:r>
    </w:p>
    <w:p w:rsidR="00200EF7" w:rsidP="000A00F6" w14:paraId="0F15722E" w14:textId="7A02C0B2">
      <w:pPr>
        <w:pStyle w:val="Heading3"/>
        <w:spacing w:after="0"/>
        <w:rPr>
          <w:i w:val="0"/>
          <w:sz w:val="24"/>
        </w:rPr>
      </w:pPr>
      <w:bookmarkStart w:id="20" w:name="_Toc410981797"/>
    </w:p>
    <w:p w:rsidR="00AD11F3" w:rsidRPr="00616325" w:rsidP="00FE50EA" w14:paraId="149E4C8A" w14:textId="55924411">
      <w:pPr>
        <w:spacing w:after="120"/>
        <w:rPr>
          <w:b/>
          <w:bCs/>
          <w:sz w:val="22"/>
          <w:szCs w:val="22"/>
        </w:rPr>
      </w:pPr>
      <w:bookmarkStart w:id="21" w:name="OLE_LINK18"/>
      <w:r w:rsidRPr="00616325">
        <w:rPr>
          <w:b/>
          <w:bCs/>
          <w:sz w:val="22"/>
          <w:szCs w:val="22"/>
        </w:rPr>
        <w:t>Table 3:  Maximum number of contacts by cohort and mode of contact</w:t>
      </w:r>
    </w:p>
    <w:bookmarkEnd w:id="21"/>
    <w:tbl>
      <w:tblPr>
        <w:tblStyle w:val="TableGrid"/>
        <w:tblW w:w="0" w:type="auto"/>
        <w:tblLook w:val="04A0"/>
      </w:tblPr>
      <w:tblGrid>
        <w:gridCol w:w="4405"/>
        <w:gridCol w:w="1080"/>
        <w:gridCol w:w="1080"/>
      </w:tblGrid>
      <w:tr w14:paraId="2B507570" w14:textId="77777777" w:rsidTr="00FE50EA">
        <w:tblPrEx>
          <w:tblW w:w="0" w:type="auto"/>
          <w:tblLook w:val="04A0"/>
        </w:tblPrEx>
        <w:trPr>
          <w:trHeight w:val="288"/>
        </w:trPr>
        <w:tc>
          <w:tcPr>
            <w:tcW w:w="4405" w:type="dxa"/>
            <w:vMerge w:val="restart"/>
            <w:noWrap/>
            <w:hideMark/>
          </w:tcPr>
          <w:p w:rsidR="00E22E93" w:rsidRPr="005F4817" w14:paraId="2769005E" w14:textId="77777777">
            <w:pPr>
              <w:rPr>
                <w:b/>
                <w:bCs/>
                <w:sz w:val="22"/>
                <w:szCs w:val="22"/>
              </w:rPr>
            </w:pPr>
          </w:p>
          <w:p w:rsidR="00E22E93" w:rsidRPr="005F4817" w14:paraId="2196CAB2" w14:textId="7F0182C8">
            <w:pPr>
              <w:rPr>
                <w:b/>
                <w:bCs/>
                <w:sz w:val="22"/>
                <w:szCs w:val="22"/>
              </w:rPr>
            </w:pPr>
            <w:r>
              <w:rPr>
                <w:b/>
                <w:bCs/>
                <w:sz w:val="22"/>
                <w:szCs w:val="22"/>
              </w:rPr>
              <w:t xml:space="preserve">2023 SDR </w:t>
            </w:r>
            <w:r w:rsidRPr="005F4817">
              <w:rPr>
                <w:b/>
                <w:bCs/>
                <w:sz w:val="22"/>
                <w:szCs w:val="22"/>
              </w:rPr>
              <w:t>Cohort</w:t>
            </w:r>
            <w:r>
              <w:rPr>
                <w:b/>
                <w:bCs/>
                <w:sz w:val="22"/>
                <w:szCs w:val="22"/>
              </w:rPr>
              <w:t xml:space="preserve"> </w:t>
            </w:r>
            <w:r w:rsidR="006F756A">
              <w:rPr>
                <w:b/>
                <w:bCs/>
                <w:sz w:val="22"/>
                <w:szCs w:val="22"/>
              </w:rPr>
              <w:t xml:space="preserve">and </w:t>
            </w:r>
            <w:r w:rsidR="001339F6">
              <w:rPr>
                <w:b/>
                <w:bCs/>
                <w:sz w:val="22"/>
                <w:szCs w:val="22"/>
              </w:rPr>
              <w:t>Refusal History</w:t>
            </w:r>
          </w:p>
        </w:tc>
        <w:tc>
          <w:tcPr>
            <w:tcW w:w="2160" w:type="dxa"/>
            <w:gridSpan w:val="2"/>
            <w:vAlign w:val="center"/>
            <w:hideMark/>
          </w:tcPr>
          <w:p w:rsidR="00E22E93" w:rsidRPr="005F4817" w:rsidP="00FE50EA" w14:paraId="30EAE176" w14:textId="33DB0CAC">
            <w:pPr>
              <w:jc w:val="center"/>
              <w:rPr>
                <w:b/>
                <w:bCs/>
                <w:sz w:val="22"/>
                <w:szCs w:val="22"/>
              </w:rPr>
            </w:pPr>
            <w:r w:rsidRPr="005F4817">
              <w:rPr>
                <w:b/>
                <w:bCs/>
                <w:sz w:val="22"/>
                <w:szCs w:val="22"/>
              </w:rPr>
              <w:t>Domestic</w:t>
            </w:r>
            <w:r>
              <w:rPr>
                <w:b/>
                <w:bCs/>
                <w:sz w:val="22"/>
                <w:szCs w:val="22"/>
              </w:rPr>
              <w:t xml:space="preserve"> and International</w:t>
            </w:r>
          </w:p>
        </w:tc>
      </w:tr>
      <w:tr w14:paraId="67B0748E" w14:textId="77777777" w:rsidTr="00FE50EA">
        <w:tblPrEx>
          <w:tblW w:w="0" w:type="auto"/>
          <w:tblLook w:val="04A0"/>
        </w:tblPrEx>
        <w:trPr>
          <w:trHeight w:val="300"/>
        </w:trPr>
        <w:tc>
          <w:tcPr>
            <w:tcW w:w="4405" w:type="dxa"/>
            <w:vMerge/>
            <w:hideMark/>
          </w:tcPr>
          <w:p w:rsidR="00E22E93" w:rsidRPr="005F4817" w14:paraId="48B61B0F" w14:textId="77777777">
            <w:pPr>
              <w:rPr>
                <w:b/>
                <w:bCs/>
                <w:sz w:val="22"/>
                <w:szCs w:val="22"/>
              </w:rPr>
            </w:pPr>
          </w:p>
        </w:tc>
        <w:tc>
          <w:tcPr>
            <w:tcW w:w="1080" w:type="dxa"/>
            <w:noWrap/>
            <w:vAlign w:val="center"/>
            <w:hideMark/>
          </w:tcPr>
          <w:p w:rsidR="00E22E93" w:rsidRPr="005F4817" w:rsidP="00FE50EA" w14:paraId="0D38F255" w14:textId="77777777">
            <w:pPr>
              <w:jc w:val="center"/>
              <w:rPr>
                <w:b/>
                <w:bCs/>
                <w:sz w:val="22"/>
                <w:szCs w:val="22"/>
              </w:rPr>
            </w:pPr>
            <w:r w:rsidRPr="005F4817">
              <w:rPr>
                <w:b/>
                <w:bCs/>
                <w:sz w:val="22"/>
                <w:szCs w:val="22"/>
              </w:rPr>
              <w:t>Mail</w:t>
            </w:r>
          </w:p>
        </w:tc>
        <w:tc>
          <w:tcPr>
            <w:tcW w:w="1080" w:type="dxa"/>
            <w:vAlign w:val="center"/>
            <w:hideMark/>
          </w:tcPr>
          <w:p w:rsidR="00E22E93" w:rsidRPr="005F4817" w:rsidP="00FE50EA" w14:paraId="5CB55F39" w14:textId="77777777">
            <w:pPr>
              <w:jc w:val="center"/>
              <w:rPr>
                <w:b/>
                <w:bCs/>
                <w:sz w:val="22"/>
                <w:szCs w:val="22"/>
              </w:rPr>
            </w:pPr>
            <w:r w:rsidRPr="005F4817">
              <w:rPr>
                <w:b/>
                <w:bCs/>
                <w:sz w:val="22"/>
                <w:szCs w:val="22"/>
              </w:rPr>
              <w:t>Email</w:t>
            </w:r>
          </w:p>
        </w:tc>
      </w:tr>
      <w:tr w14:paraId="2795B637" w14:textId="77777777" w:rsidTr="00FE50EA">
        <w:tblPrEx>
          <w:tblW w:w="0" w:type="auto"/>
          <w:tblLook w:val="04A0"/>
        </w:tblPrEx>
        <w:trPr>
          <w:trHeight w:val="288"/>
        </w:trPr>
        <w:tc>
          <w:tcPr>
            <w:tcW w:w="4405" w:type="dxa"/>
            <w:noWrap/>
            <w:vAlign w:val="center"/>
            <w:hideMark/>
          </w:tcPr>
          <w:p w:rsidR="00E22E93" w:rsidRPr="005F4817" w:rsidP="00FE50EA" w14:paraId="77745EF9" w14:textId="14D14A6D">
            <w:pPr>
              <w:rPr>
                <w:b/>
                <w:bCs/>
                <w:sz w:val="22"/>
                <w:szCs w:val="22"/>
              </w:rPr>
            </w:pPr>
            <w:r w:rsidRPr="005F4817">
              <w:rPr>
                <w:b/>
                <w:bCs/>
                <w:sz w:val="22"/>
                <w:szCs w:val="22"/>
              </w:rPr>
              <w:t>New</w:t>
            </w:r>
            <w:r w:rsidR="001339F6">
              <w:rPr>
                <w:b/>
                <w:bCs/>
                <w:sz w:val="22"/>
                <w:szCs w:val="22"/>
              </w:rPr>
              <w:t>, all</w:t>
            </w:r>
          </w:p>
        </w:tc>
        <w:tc>
          <w:tcPr>
            <w:tcW w:w="1080" w:type="dxa"/>
            <w:noWrap/>
            <w:vAlign w:val="center"/>
            <w:hideMark/>
          </w:tcPr>
          <w:p w:rsidR="00E22E93" w:rsidRPr="005F4817" w:rsidP="00FE50EA" w14:paraId="466C6C2B" w14:textId="674A32D0">
            <w:pPr>
              <w:jc w:val="center"/>
              <w:rPr>
                <w:sz w:val="22"/>
                <w:szCs w:val="22"/>
              </w:rPr>
            </w:pPr>
            <w:r>
              <w:rPr>
                <w:sz w:val="22"/>
                <w:szCs w:val="22"/>
              </w:rPr>
              <w:t>11</w:t>
            </w:r>
          </w:p>
        </w:tc>
        <w:tc>
          <w:tcPr>
            <w:tcW w:w="1080" w:type="dxa"/>
            <w:vAlign w:val="center"/>
            <w:hideMark/>
          </w:tcPr>
          <w:p w:rsidR="00E22E93" w:rsidRPr="005F4817" w:rsidP="00FE50EA" w14:paraId="487E953F" w14:textId="248C5252">
            <w:pPr>
              <w:jc w:val="center"/>
              <w:rPr>
                <w:sz w:val="22"/>
                <w:szCs w:val="22"/>
              </w:rPr>
            </w:pPr>
            <w:r>
              <w:rPr>
                <w:sz w:val="22"/>
                <w:szCs w:val="22"/>
              </w:rPr>
              <w:t>7</w:t>
            </w:r>
          </w:p>
        </w:tc>
      </w:tr>
      <w:tr w14:paraId="192ACA9C" w14:textId="77777777" w:rsidTr="00FE50EA">
        <w:tblPrEx>
          <w:tblW w:w="0" w:type="auto"/>
          <w:tblLook w:val="04A0"/>
        </w:tblPrEx>
        <w:trPr>
          <w:trHeight w:val="300"/>
        </w:trPr>
        <w:tc>
          <w:tcPr>
            <w:tcW w:w="4405" w:type="dxa"/>
            <w:noWrap/>
            <w:vAlign w:val="center"/>
            <w:hideMark/>
          </w:tcPr>
          <w:p w:rsidR="00E22E93" w:rsidRPr="005F4817" w:rsidP="00FE50EA" w14:paraId="357C2BEE" w14:textId="18477D67">
            <w:pPr>
              <w:rPr>
                <w:b/>
                <w:bCs/>
                <w:sz w:val="22"/>
                <w:szCs w:val="22"/>
              </w:rPr>
            </w:pPr>
            <w:r>
              <w:rPr>
                <w:b/>
                <w:bCs/>
                <w:sz w:val="22"/>
                <w:szCs w:val="22"/>
              </w:rPr>
              <w:t xml:space="preserve">Continuing </w:t>
            </w:r>
            <w:r w:rsidR="002D6AEC">
              <w:rPr>
                <w:b/>
                <w:bCs/>
                <w:sz w:val="22"/>
                <w:szCs w:val="22"/>
              </w:rPr>
              <w:t>sample</w:t>
            </w:r>
            <w:r w:rsidR="00585373">
              <w:rPr>
                <w:b/>
                <w:bCs/>
                <w:sz w:val="22"/>
                <w:szCs w:val="22"/>
              </w:rPr>
              <w:t>, non-refusal</w:t>
            </w:r>
          </w:p>
        </w:tc>
        <w:tc>
          <w:tcPr>
            <w:tcW w:w="1080" w:type="dxa"/>
            <w:noWrap/>
            <w:vAlign w:val="center"/>
            <w:hideMark/>
          </w:tcPr>
          <w:p w:rsidR="00E22E93" w:rsidRPr="005F4817" w:rsidP="00FE50EA" w14:paraId="77AE1C07" w14:textId="363ED7D3">
            <w:pPr>
              <w:jc w:val="center"/>
              <w:rPr>
                <w:sz w:val="22"/>
                <w:szCs w:val="22"/>
              </w:rPr>
            </w:pPr>
            <w:r>
              <w:rPr>
                <w:sz w:val="22"/>
                <w:szCs w:val="22"/>
              </w:rPr>
              <w:t>11</w:t>
            </w:r>
          </w:p>
        </w:tc>
        <w:tc>
          <w:tcPr>
            <w:tcW w:w="1080" w:type="dxa"/>
            <w:vAlign w:val="center"/>
            <w:hideMark/>
          </w:tcPr>
          <w:p w:rsidR="00E22E93" w:rsidRPr="005F4817" w:rsidP="00FE50EA" w14:paraId="6D763F30" w14:textId="23EA90CC">
            <w:pPr>
              <w:jc w:val="center"/>
              <w:rPr>
                <w:sz w:val="22"/>
                <w:szCs w:val="22"/>
              </w:rPr>
            </w:pPr>
            <w:r>
              <w:rPr>
                <w:sz w:val="22"/>
                <w:szCs w:val="22"/>
              </w:rPr>
              <w:t>7</w:t>
            </w:r>
          </w:p>
        </w:tc>
      </w:tr>
      <w:tr w14:paraId="73A03AC9" w14:textId="77777777" w:rsidTr="00FE50EA">
        <w:tblPrEx>
          <w:tblW w:w="0" w:type="auto"/>
          <w:tblLook w:val="04A0"/>
        </w:tblPrEx>
        <w:trPr>
          <w:trHeight w:val="300"/>
        </w:trPr>
        <w:tc>
          <w:tcPr>
            <w:tcW w:w="4405" w:type="dxa"/>
            <w:noWrap/>
            <w:vAlign w:val="center"/>
          </w:tcPr>
          <w:p w:rsidR="009B279D" w:rsidRPr="005F4817" w:rsidP="00FE50EA" w14:paraId="56DD1D19" w14:textId="686EB128">
            <w:pPr>
              <w:rPr>
                <w:b/>
                <w:bCs/>
                <w:sz w:val="22"/>
                <w:szCs w:val="22"/>
              </w:rPr>
            </w:pPr>
            <w:r>
              <w:rPr>
                <w:b/>
                <w:bCs/>
                <w:sz w:val="22"/>
                <w:szCs w:val="22"/>
              </w:rPr>
              <w:t xml:space="preserve">Continuing </w:t>
            </w:r>
            <w:r w:rsidR="002D6AEC">
              <w:rPr>
                <w:b/>
                <w:bCs/>
                <w:sz w:val="22"/>
                <w:szCs w:val="22"/>
              </w:rPr>
              <w:t>sample</w:t>
            </w:r>
            <w:r>
              <w:rPr>
                <w:b/>
                <w:bCs/>
                <w:sz w:val="22"/>
                <w:szCs w:val="22"/>
              </w:rPr>
              <w:t>, p</w:t>
            </w:r>
            <w:r>
              <w:rPr>
                <w:b/>
                <w:bCs/>
                <w:sz w:val="22"/>
                <w:szCs w:val="22"/>
              </w:rPr>
              <w:t xml:space="preserve">ast </w:t>
            </w:r>
            <w:r w:rsidR="005E4484">
              <w:rPr>
                <w:b/>
                <w:bCs/>
                <w:sz w:val="22"/>
                <w:szCs w:val="22"/>
              </w:rPr>
              <w:t>non-hostile</w:t>
            </w:r>
            <w:r w:rsidR="001F47E1">
              <w:rPr>
                <w:b/>
                <w:bCs/>
                <w:sz w:val="22"/>
                <w:szCs w:val="22"/>
              </w:rPr>
              <w:t xml:space="preserve"> </w:t>
            </w:r>
            <w:r>
              <w:rPr>
                <w:b/>
                <w:bCs/>
                <w:sz w:val="22"/>
                <w:szCs w:val="22"/>
              </w:rPr>
              <w:t>refusal</w:t>
            </w:r>
          </w:p>
        </w:tc>
        <w:tc>
          <w:tcPr>
            <w:tcW w:w="1080" w:type="dxa"/>
            <w:noWrap/>
            <w:vAlign w:val="center"/>
          </w:tcPr>
          <w:p w:rsidR="009B279D" w:rsidP="00FE50EA" w14:paraId="7BB23C5E" w14:textId="40D50608">
            <w:pPr>
              <w:jc w:val="center"/>
              <w:rPr>
                <w:sz w:val="22"/>
                <w:szCs w:val="22"/>
              </w:rPr>
            </w:pPr>
            <w:r>
              <w:rPr>
                <w:sz w:val="22"/>
                <w:szCs w:val="22"/>
              </w:rPr>
              <w:t>8</w:t>
            </w:r>
          </w:p>
        </w:tc>
        <w:tc>
          <w:tcPr>
            <w:tcW w:w="1080" w:type="dxa"/>
            <w:vAlign w:val="center"/>
          </w:tcPr>
          <w:p w:rsidR="009B279D" w:rsidP="00FE50EA" w14:paraId="7FC2EA37" w14:textId="12D1CB87">
            <w:pPr>
              <w:jc w:val="center"/>
              <w:rPr>
                <w:sz w:val="22"/>
                <w:szCs w:val="22"/>
              </w:rPr>
            </w:pPr>
            <w:r>
              <w:rPr>
                <w:sz w:val="22"/>
                <w:szCs w:val="22"/>
              </w:rPr>
              <w:t>5</w:t>
            </w:r>
          </w:p>
        </w:tc>
      </w:tr>
      <w:tr w14:paraId="248D0512" w14:textId="77777777" w:rsidTr="00FE50EA">
        <w:tblPrEx>
          <w:tblW w:w="0" w:type="auto"/>
          <w:tblLook w:val="04A0"/>
        </w:tblPrEx>
        <w:trPr>
          <w:trHeight w:val="300"/>
        </w:trPr>
        <w:tc>
          <w:tcPr>
            <w:tcW w:w="4405" w:type="dxa"/>
            <w:noWrap/>
            <w:vAlign w:val="center"/>
          </w:tcPr>
          <w:p w:rsidR="001F47E1" w:rsidP="00FE50EA" w14:paraId="66A1D270" w14:textId="20168E92">
            <w:pPr>
              <w:rPr>
                <w:b/>
                <w:bCs/>
                <w:sz w:val="22"/>
                <w:szCs w:val="22"/>
              </w:rPr>
            </w:pPr>
            <w:r>
              <w:rPr>
                <w:b/>
                <w:bCs/>
                <w:sz w:val="22"/>
                <w:szCs w:val="22"/>
              </w:rPr>
              <w:t xml:space="preserve">Continuing </w:t>
            </w:r>
            <w:r w:rsidR="002D6AEC">
              <w:rPr>
                <w:b/>
                <w:bCs/>
                <w:sz w:val="22"/>
                <w:szCs w:val="22"/>
              </w:rPr>
              <w:t>sample</w:t>
            </w:r>
            <w:r>
              <w:rPr>
                <w:b/>
                <w:bCs/>
                <w:sz w:val="22"/>
                <w:szCs w:val="22"/>
              </w:rPr>
              <w:t>, p</w:t>
            </w:r>
            <w:r>
              <w:rPr>
                <w:b/>
                <w:bCs/>
                <w:sz w:val="22"/>
                <w:szCs w:val="22"/>
              </w:rPr>
              <w:t>ast hostile refusal</w:t>
            </w:r>
          </w:p>
        </w:tc>
        <w:tc>
          <w:tcPr>
            <w:tcW w:w="1080" w:type="dxa"/>
            <w:noWrap/>
            <w:vAlign w:val="center"/>
          </w:tcPr>
          <w:p w:rsidR="001F47E1" w:rsidP="00FE50EA" w14:paraId="69130301" w14:textId="612DC237">
            <w:pPr>
              <w:jc w:val="center"/>
              <w:rPr>
                <w:sz w:val="22"/>
                <w:szCs w:val="22"/>
              </w:rPr>
            </w:pPr>
            <w:r>
              <w:rPr>
                <w:sz w:val="22"/>
                <w:szCs w:val="22"/>
              </w:rPr>
              <w:t>1</w:t>
            </w:r>
          </w:p>
        </w:tc>
        <w:tc>
          <w:tcPr>
            <w:tcW w:w="1080" w:type="dxa"/>
            <w:vAlign w:val="center"/>
          </w:tcPr>
          <w:p w:rsidR="001F47E1" w:rsidP="00FE50EA" w14:paraId="196721EB" w14:textId="42F2A870">
            <w:pPr>
              <w:jc w:val="center"/>
              <w:rPr>
                <w:sz w:val="22"/>
                <w:szCs w:val="22"/>
              </w:rPr>
            </w:pPr>
            <w:r>
              <w:rPr>
                <w:sz w:val="22"/>
                <w:szCs w:val="22"/>
              </w:rPr>
              <w:t>0</w:t>
            </w:r>
          </w:p>
        </w:tc>
      </w:tr>
    </w:tbl>
    <w:p w:rsidR="004E77BE" w:rsidP="00046B7E" w14:paraId="0D209E66" w14:textId="77777777">
      <w:pPr>
        <w:pStyle w:val="Heading3"/>
        <w:rPr>
          <w:i w:val="0"/>
          <w:sz w:val="24"/>
        </w:rPr>
      </w:pPr>
    </w:p>
    <w:p w:rsidR="00046B7E" w:rsidRPr="00222D20" w:rsidP="00046B7E" w14:paraId="44C9FF44" w14:textId="130FDD26">
      <w:pPr>
        <w:pStyle w:val="Heading3"/>
        <w:rPr>
          <w:i w:val="0"/>
          <w:sz w:val="24"/>
        </w:rPr>
      </w:pPr>
      <w:r w:rsidRPr="00222D20">
        <w:rPr>
          <w:i w:val="0"/>
          <w:sz w:val="24"/>
        </w:rPr>
        <w:t>3</w:t>
      </w:r>
      <w:r w:rsidRPr="00222D20">
        <w:rPr>
          <w:i w:val="0"/>
          <w:sz w:val="24"/>
          <w:lang w:val="x-none"/>
        </w:rPr>
        <w:t>.</w:t>
      </w:r>
      <w:r w:rsidRPr="00222D20">
        <w:rPr>
          <w:i w:val="0"/>
          <w:sz w:val="24"/>
        </w:rPr>
        <w:t xml:space="preserve">4 Incentive Plan for </w:t>
      </w:r>
      <w:bookmarkEnd w:id="20"/>
      <w:r w:rsidR="00106983">
        <w:rPr>
          <w:i w:val="0"/>
          <w:sz w:val="24"/>
        </w:rPr>
        <w:t>202</w:t>
      </w:r>
      <w:r w:rsidR="004443FC">
        <w:rPr>
          <w:i w:val="0"/>
          <w:sz w:val="24"/>
        </w:rPr>
        <w:t>3</w:t>
      </w:r>
    </w:p>
    <w:p w:rsidR="002C1EA8" w:rsidP="002C1EA8" w14:paraId="22471075" w14:textId="1F2266EE">
      <w:pPr>
        <w:rPr>
          <w:sz w:val="22"/>
          <w:szCs w:val="22"/>
        </w:rPr>
      </w:pPr>
      <w:bookmarkStart w:id="22" w:name="OLE_LINK10"/>
      <w:bookmarkStart w:id="23" w:name="OLE_LINK5"/>
      <w:r>
        <w:rPr>
          <w:spacing w:val="2"/>
          <w:sz w:val="22"/>
          <w:szCs w:val="22"/>
        </w:rPr>
        <w:t>The use of i</w:t>
      </w:r>
      <w:r>
        <w:rPr>
          <w:spacing w:val="2"/>
          <w:sz w:val="22"/>
          <w:szCs w:val="22"/>
        </w:rPr>
        <w:t>ncentives</w:t>
      </w:r>
      <w:r>
        <w:rPr>
          <w:spacing w:val="2"/>
          <w:sz w:val="22"/>
          <w:szCs w:val="22"/>
        </w:rPr>
        <w:t xml:space="preserve"> as part of the SDR data collection strategy</w:t>
      </w:r>
      <w:r>
        <w:rPr>
          <w:spacing w:val="2"/>
          <w:sz w:val="22"/>
          <w:szCs w:val="22"/>
        </w:rPr>
        <w:t xml:space="preserve"> began during the 2003 cycle and </w:t>
      </w:r>
      <w:r>
        <w:rPr>
          <w:spacing w:val="2"/>
          <w:sz w:val="22"/>
          <w:szCs w:val="22"/>
        </w:rPr>
        <w:t xml:space="preserve">has </w:t>
      </w:r>
      <w:r>
        <w:rPr>
          <w:spacing w:val="2"/>
          <w:sz w:val="22"/>
          <w:szCs w:val="22"/>
        </w:rPr>
        <w:t xml:space="preserve">continued for all subsequent cycles. </w:t>
      </w:r>
      <w:r w:rsidR="00AD6B91">
        <w:rPr>
          <w:spacing w:val="2"/>
          <w:sz w:val="22"/>
          <w:szCs w:val="22"/>
        </w:rPr>
        <w:t xml:space="preserve">As was briefly summarized in Section </w:t>
      </w:r>
      <w:r w:rsidR="00977566">
        <w:rPr>
          <w:spacing w:val="2"/>
          <w:sz w:val="22"/>
          <w:szCs w:val="22"/>
        </w:rPr>
        <w:t>9</w:t>
      </w:r>
      <w:r w:rsidR="00AD6B91">
        <w:rPr>
          <w:spacing w:val="2"/>
          <w:sz w:val="22"/>
          <w:szCs w:val="22"/>
        </w:rPr>
        <w:t xml:space="preserve"> of Supporting</w:t>
      </w:r>
      <w:r w:rsidR="0075473D">
        <w:rPr>
          <w:spacing w:val="2"/>
          <w:sz w:val="22"/>
          <w:szCs w:val="22"/>
        </w:rPr>
        <w:t xml:space="preserve"> Statement A</w:t>
      </w:r>
      <w:r w:rsidR="00747D49">
        <w:rPr>
          <w:spacing w:val="2"/>
          <w:sz w:val="22"/>
          <w:szCs w:val="22"/>
        </w:rPr>
        <w:t>, t</w:t>
      </w:r>
      <w:r>
        <w:rPr>
          <w:spacing w:val="2"/>
          <w:sz w:val="22"/>
          <w:szCs w:val="22"/>
        </w:rPr>
        <w:t xml:space="preserve">he </w:t>
      </w:r>
      <w:bookmarkStart w:id="24" w:name="OLE_LINK9"/>
      <w:r>
        <w:rPr>
          <w:spacing w:val="2"/>
          <w:sz w:val="22"/>
          <w:szCs w:val="22"/>
        </w:rPr>
        <w:t xml:space="preserve">2023 SDR incentive plan is modeled after the approach used in SDR survey cycles since 2013, using an early- and late-stage incentive protocol to gain cooperation from respondents. </w:t>
      </w:r>
      <w:r>
        <w:rPr>
          <w:sz w:val="22"/>
          <w:szCs w:val="22"/>
        </w:rPr>
        <w:t xml:space="preserve">In the initial phase of data collection, incentives will be offered at </w:t>
      </w:r>
      <w:r w:rsidR="00F30DA3">
        <w:rPr>
          <w:sz w:val="22"/>
          <w:szCs w:val="22"/>
        </w:rPr>
        <w:t xml:space="preserve">two </w:t>
      </w:r>
      <w:r>
        <w:rPr>
          <w:sz w:val="22"/>
          <w:szCs w:val="22"/>
        </w:rPr>
        <w:t>different time points to two types of sample members: 1) reluctant past participants</w:t>
      </w:r>
      <w:r w:rsidR="000C3C1F">
        <w:rPr>
          <w:sz w:val="22"/>
          <w:szCs w:val="22"/>
        </w:rPr>
        <w:t xml:space="preserve"> and </w:t>
      </w:r>
      <w:r w:rsidR="008F061A">
        <w:rPr>
          <w:sz w:val="22"/>
          <w:szCs w:val="22"/>
        </w:rPr>
        <w:t>reluctant</w:t>
      </w:r>
      <w:r w:rsidR="00A90E7F">
        <w:rPr>
          <w:sz w:val="22"/>
          <w:szCs w:val="22"/>
        </w:rPr>
        <w:t xml:space="preserve"> new cohort </w:t>
      </w:r>
      <w:r w:rsidR="00E37BF1">
        <w:rPr>
          <w:sz w:val="22"/>
          <w:szCs w:val="22"/>
        </w:rPr>
        <w:t>sample members</w:t>
      </w:r>
      <w:r>
        <w:rPr>
          <w:sz w:val="22"/>
          <w:szCs w:val="22"/>
        </w:rPr>
        <w:t xml:space="preserve">, and 2) </w:t>
      </w:r>
      <w:r w:rsidR="00177ED4">
        <w:rPr>
          <w:sz w:val="22"/>
          <w:szCs w:val="22"/>
        </w:rPr>
        <w:t xml:space="preserve">nonresponding continuing </w:t>
      </w:r>
      <w:r>
        <w:rPr>
          <w:sz w:val="22"/>
          <w:szCs w:val="22"/>
        </w:rPr>
        <w:t xml:space="preserve">sample members </w:t>
      </w:r>
      <w:r w:rsidR="00177ED4">
        <w:rPr>
          <w:sz w:val="22"/>
          <w:szCs w:val="22"/>
        </w:rPr>
        <w:t xml:space="preserve">and </w:t>
      </w:r>
      <w:r>
        <w:rPr>
          <w:sz w:val="22"/>
          <w:szCs w:val="22"/>
        </w:rPr>
        <w:t xml:space="preserve">nonresponding </w:t>
      </w:r>
      <w:r>
        <w:rPr>
          <w:sz w:val="22"/>
          <w:szCs w:val="22"/>
        </w:rPr>
        <w:t xml:space="preserve">new cohort sample members </w:t>
      </w:r>
      <w:r w:rsidR="00A53045">
        <w:rPr>
          <w:sz w:val="22"/>
          <w:szCs w:val="22"/>
        </w:rPr>
        <w:t>after the starting phase of data collection.</w:t>
      </w:r>
      <w:r>
        <w:rPr>
          <w:sz w:val="22"/>
          <w:szCs w:val="22"/>
        </w:rPr>
        <w:t xml:space="preserve"> Later in the field period, incentives will be offered to a subset of nonresponding sample members </w:t>
      </w:r>
      <w:r w:rsidR="00E92C85">
        <w:rPr>
          <w:sz w:val="22"/>
          <w:szCs w:val="22"/>
        </w:rPr>
        <w:t xml:space="preserve">not selected for early-stage incentives. The selection of </w:t>
      </w:r>
      <w:r w:rsidR="002267D3">
        <w:rPr>
          <w:sz w:val="22"/>
          <w:szCs w:val="22"/>
        </w:rPr>
        <w:t xml:space="preserve">nonresponding sample members for </w:t>
      </w:r>
      <w:r>
        <w:rPr>
          <w:sz w:val="22"/>
          <w:szCs w:val="22"/>
        </w:rPr>
        <w:t xml:space="preserve">the </w:t>
      </w:r>
      <w:r w:rsidR="002267D3">
        <w:rPr>
          <w:sz w:val="22"/>
          <w:szCs w:val="22"/>
        </w:rPr>
        <w:t xml:space="preserve">incentive </w:t>
      </w:r>
      <w:r w:rsidR="004D351A">
        <w:rPr>
          <w:sz w:val="22"/>
          <w:szCs w:val="22"/>
        </w:rPr>
        <w:t xml:space="preserve">offer will be </w:t>
      </w:r>
      <w:r w:rsidR="00291253">
        <w:rPr>
          <w:sz w:val="22"/>
          <w:szCs w:val="22"/>
        </w:rPr>
        <w:t xml:space="preserve">incorporated into the adaptive design strategy </w:t>
      </w:r>
      <w:r>
        <w:rPr>
          <w:sz w:val="22"/>
          <w:szCs w:val="22"/>
        </w:rPr>
        <w:t>to mitigate nonresponse bias of underrepresented subgroups in the final data set.</w:t>
      </w:r>
    </w:p>
    <w:p w:rsidR="002C1EA8" w:rsidP="002C1EA8" w14:paraId="1B4F1E90" w14:textId="77777777">
      <w:pPr>
        <w:rPr>
          <w:b/>
          <w:bCs/>
          <w:sz w:val="22"/>
          <w:szCs w:val="22"/>
        </w:rPr>
      </w:pPr>
    </w:p>
    <w:p w:rsidR="002C1EA8" w:rsidP="002C1EA8" w14:paraId="45544DC8" w14:textId="67901EAB">
      <w:pPr>
        <w:rPr>
          <w:sz w:val="22"/>
          <w:szCs w:val="22"/>
        </w:rPr>
      </w:pPr>
      <w:r>
        <w:rPr>
          <w:sz w:val="22"/>
          <w:szCs w:val="22"/>
        </w:rPr>
        <w:t xml:space="preserve">To ensure that incentives are only received by the targeted sample member, they will be primarily sent in the form of a prepaid $30 check made out to the sample member. This is a shift from the 2021 round, which primarily used prepaid debit cards. The 2023 SDR will also incorporate and test an alternate mode of incentive delivery that also ensures only the targeted sample member receives the incentive, the offer of a $30 </w:t>
      </w:r>
      <w:r w:rsidR="00E62C31">
        <w:rPr>
          <w:sz w:val="22"/>
          <w:szCs w:val="22"/>
        </w:rPr>
        <w:t xml:space="preserve">electronic </w:t>
      </w:r>
      <w:r>
        <w:rPr>
          <w:sz w:val="22"/>
          <w:szCs w:val="22"/>
        </w:rPr>
        <w:t>VISA gift c</w:t>
      </w:r>
      <w:r w:rsidR="00D6448B">
        <w:rPr>
          <w:sz w:val="22"/>
          <w:szCs w:val="22"/>
        </w:rPr>
        <w:t>ard</w:t>
      </w:r>
      <w:r>
        <w:rPr>
          <w:sz w:val="22"/>
          <w:szCs w:val="22"/>
        </w:rPr>
        <w:t xml:space="preserve"> delivered immediately upon survey completion.  </w:t>
      </w:r>
    </w:p>
    <w:p w:rsidR="002C1EA8" w:rsidP="002C1EA8" w14:paraId="4E38D8D5" w14:textId="77777777">
      <w:pPr>
        <w:rPr>
          <w:sz w:val="22"/>
          <w:szCs w:val="22"/>
        </w:rPr>
      </w:pPr>
    </w:p>
    <w:bookmarkEnd w:id="22"/>
    <w:bookmarkEnd w:id="24"/>
    <w:p w:rsidR="00062F61" w:rsidRPr="00B05A85" w:rsidP="00B10EC9" w14:paraId="5684ACF0" w14:textId="77777777">
      <w:pPr>
        <w:keepNext/>
        <w:spacing w:after="120"/>
        <w:rPr>
          <w:b/>
          <w:bCs/>
          <w:sz w:val="22"/>
          <w:szCs w:val="22"/>
        </w:rPr>
      </w:pPr>
      <w:r w:rsidRPr="00B05A85">
        <w:rPr>
          <w:b/>
          <w:bCs/>
          <w:sz w:val="22"/>
          <w:szCs w:val="22"/>
        </w:rPr>
        <w:t>Early Incentive Plan</w:t>
      </w:r>
    </w:p>
    <w:p w:rsidR="00062F61" w:rsidRPr="00B05A85" w:rsidP="00062F61" w14:paraId="3AEB58DE" w14:textId="7F55138D">
      <w:pPr>
        <w:rPr>
          <w:sz w:val="22"/>
          <w:szCs w:val="22"/>
        </w:rPr>
      </w:pPr>
      <w:r w:rsidRPr="00B05A85">
        <w:rPr>
          <w:sz w:val="22"/>
          <w:szCs w:val="22"/>
        </w:rPr>
        <w:t xml:space="preserve">In the </w:t>
      </w:r>
      <w:r w:rsidRPr="00B05A85" w:rsidR="0090675F">
        <w:rPr>
          <w:sz w:val="22"/>
          <w:szCs w:val="22"/>
        </w:rPr>
        <w:t xml:space="preserve">early </w:t>
      </w:r>
      <w:r w:rsidRPr="00B05A85">
        <w:rPr>
          <w:sz w:val="22"/>
          <w:szCs w:val="22"/>
        </w:rPr>
        <w:t>phase of data collection,</w:t>
      </w:r>
      <w:r w:rsidR="00FA20FE">
        <w:rPr>
          <w:sz w:val="22"/>
          <w:szCs w:val="22"/>
        </w:rPr>
        <w:t xml:space="preserve"> an</w:t>
      </w:r>
      <w:r w:rsidRPr="00B05A85">
        <w:rPr>
          <w:sz w:val="22"/>
          <w:szCs w:val="22"/>
        </w:rPr>
        <w:t xml:space="preserve"> incentive </w:t>
      </w:r>
      <w:r w:rsidRPr="00B05A85" w:rsidR="0090675F">
        <w:rPr>
          <w:sz w:val="22"/>
          <w:szCs w:val="22"/>
        </w:rPr>
        <w:t xml:space="preserve">will be </w:t>
      </w:r>
      <w:r w:rsidRPr="00B05A85">
        <w:rPr>
          <w:sz w:val="22"/>
          <w:szCs w:val="22"/>
        </w:rPr>
        <w:t>offer</w:t>
      </w:r>
      <w:r w:rsidRPr="00B05A85" w:rsidR="00543BE6">
        <w:rPr>
          <w:sz w:val="22"/>
          <w:szCs w:val="22"/>
        </w:rPr>
        <w:t>ed at two different time points. The first incentive offer will occur in week</w:t>
      </w:r>
      <w:r w:rsidRPr="00B05A85" w:rsidR="001F508B">
        <w:rPr>
          <w:sz w:val="22"/>
          <w:szCs w:val="22"/>
        </w:rPr>
        <w:t xml:space="preserve"> </w:t>
      </w:r>
      <w:r w:rsidRPr="00B05A85" w:rsidR="00543BE6">
        <w:rPr>
          <w:sz w:val="22"/>
          <w:szCs w:val="22"/>
        </w:rPr>
        <w:t>3 of field period and</w:t>
      </w:r>
      <w:r w:rsidRPr="00B05A85">
        <w:rPr>
          <w:sz w:val="22"/>
          <w:szCs w:val="22"/>
        </w:rPr>
        <w:t xml:space="preserve"> will be made </w:t>
      </w:r>
      <w:bookmarkStart w:id="25" w:name="OLE_LINK4"/>
      <w:r w:rsidRPr="00B05A85">
        <w:rPr>
          <w:sz w:val="22"/>
          <w:szCs w:val="22"/>
        </w:rPr>
        <w:t xml:space="preserve">to two types of sample members:  1) reluctant past </w:t>
      </w:r>
      <w:r w:rsidR="001E7B7C">
        <w:rPr>
          <w:sz w:val="22"/>
          <w:szCs w:val="22"/>
        </w:rPr>
        <w:t>participants</w:t>
      </w:r>
      <w:r w:rsidRPr="00B05A85">
        <w:rPr>
          <w:sz w:val="22"/>
          <w:szCs w:val="22"/>
        </w:rPr>
        <w:t xml:space="preserve">, and 2) </w:t>
      </w:r>
      <w:r w:rsidRPr="00B05A85" w:rsidR="00E37BF1">
        <w:rPr>
          <w:sz w:val="22"/>
          <w:szCs w:val="22"/>
        </w:rPr>
        <w:t xml:space="preserve">reluctant </w:t>
      </w:r>
      <w:r w:rsidRPr="00B05A85">
        <w:rPr>
          <w:sz w:val="22"/>
          <w:szCs w:val="22"/>
        </w:rPr>
        <w:t>new cohort sample members</w:t>
      </w:r>
      <w:r w:rsidR="001E7B7C">
        <w:rPr>
          <w:sz w:val="22"/>
          <w:szCs w:val="22"/>
        </w:rPr>
        <w:t>.</w:t>
      </w:r>
      <w:r w:rsidRPr="00B05A85">
        <w:rPr>
          <w:sz w:val="22"/>
          <w:szCs w:val="22"/>
        </w:rPr>
        <w:t xml:space="preserve"> </w:t>
      </w:r>
      <w:bookmarkEnd w:id="25"/>
    </w:p>
    <w:p w:rsidR="00062F61" w:rsidRPr="00B05A85" w:rsidP="00062F61" w14:paraId="71BD02C7" w14:textId="77777777">
      <w:pPr>
        <w:rPr>
          <w:sz w:val="22"/>
          <w:szCs w:val="22"/>
        </w:rPr>
      </w:pPr>
    </w:p>
    <w:p w:rsidR="008163EF" w:rsidP="009660F7" w14:paraId="5294A248" w14:textId="77777777">
      <w:pPr>
        <w:rPr>
          <w:sz w:val="22"/>
          <w:szCs w:val="22"/>
        </w:rPr>
      </w:pPr>
      <w:r w:rsidRPr="00B05A85">
        <w:rPr>
          <w:sz w:val="22"/>
          <w:szCs w:val="22"/>
        </w:rPr>
        <w:t xml:space="preserve">The </w:t>
      </w:r>
      <w:r w:rsidRPr="00B05A85" w:rsidR="00062F61">
        <w:rPr>
          <w:sz w:val="22"/>
          <w:szCs w:val="22"/>
        </w:rPr>
        <w:t xml:space="preserve">reluctant past </w:t>
      </w:r>
      <w:r w:rsidRPr="00B05A85">
        <w:rPr>
          <w:sz w:val="22"/>
          <w:szCs w:val="22"/>
        </w:rPr>
        <w:t xml:space="preserve">respondents </w:t>
      </w:r>
      <w:r w:rsidRPr="00B05A85" w:rsidR="00062F61">
        <w:rPr>
          <w:sz w:val="22"/>
          <w:szCs w:val="22"/>
        </w:rPr>
        <w:t xml:space="preserve">are defined as returning sample members who only participated in the SDR after </w:t>
      </w:r>
      <w:r w:rsidRPr="00B05A85" w:rsidR="008B125C">
        <w:rPr>
          <w:sz w:val="22"/>
          <w:szCs w:val="22"/>
        </w:rPr>
        <w:t xml:space="preserve">an incentive </w:t>
      </w:r>
      <w:r w:rsidRPr="00B05A85" w:rsidR="00C64AD4">
        <w:rPr>
          <w:sz w:val="22"/>
          <w:szCs w:val="22"/>
        </w:rPr>
        <w:t xml:space="preserve">was </w:t>
      </w:r>
      <w:r w:rsidRPr="00B05A85" w:rsidR="00062F61">
        <w:rPr>
          <w:sz w:val="22"/>
          <w:szCs w:val="22"/>
        </w:rPr>
        <w:t>offer</w:t>
      </w:r>
      <w:r w:rsidRPr="00B05A85" w:rsidR="00C64AD4">
        <w:rPr>
          <w:sz w:val="22"/>
          <w:szCs w:val="22"/>
        </w:rPr>
        <w:t xml:space="preserve">ed and that incentive was cashed </w:t>
      </w:r>
      <w:r w:rsidRPr="00B05A85" w:rsidR="00E1309E">
        <w:rPr>
          <w:sz w:val="22"/>
          <w:szCs w:val="22"/>
        </w:rPr>
        <w:t xml:space="preserve">for the latest </w:t>
      </w:r>
      <w:r w:rsidRPr="00B05A85" w:rsidR="00F91AE4">
        <w:rPr>
          <w:sz w:val="22"/>
          <w:szCs w:val="22"/>
        </w:rPr>
        <w:t>two</w:t>
      </w:r>
      <w:r w:rsidRPr="00B05A85" w:rsidR="00E1309E">
        <w:rPr>
          <w:sz w:val="22"/>
          <w:szCs w:val="22"/>
        </w:rPr>
        <w:t xml:space="preserve"> survey</w:t>
      </w:r>
      <w:r w:rsidRPr="00B05A85" w:rsidR="00F91AE4">
        <w:rPr>
          <w:sz w:val="22"/>
          <w:szCs w:val="22"/>
        </w:rPr>
        <w:t xml:space="preserve"> cycles</w:t>
      </w:r>
      <w:r w:rsidRPr="00B05A85" w:rsidR="00CD48EF">
        <w:rPr>
          <w:sz w:val="22"/>
          <w:szCs w:val="22"/>
        </w:rPr>
        <w:t>.</w:t>
      </w:r>
      <w:r w:rsidRPr="00B05A85" w:rsidR="00062F61">
        <w:rPr>
          <w:sz w:val="22"/>
          <w:szCs w:val="22"/>
        </w:rPr>
        <w:t xml:space="preserve"> </w:t>
      </w:r>
      <w:r w:rsidRPr="00B05A85" w:rsidR="00A53DE2">
        <w:rPr>
          <w:sz w:val="22"/>
          <w:szCs w:val="22"/>
        </w:rPr>
        <w:t>New cohort sample members will be defined as reluctant if they refused or failed to complete the SED. Reluctant past respondents and reluctant new cohort sample members eligible for the incentive will be offered a $30 personalized check in the second postal contact attempt in week 3.</w:t>
      </w:r>
      <w:r w:rsidRPr="00B05A85" w:rsidR="004002B9">
        <w:rPr>
          <w:sz w:val="22"/>
          <w:szCs w:val="22"/>
        </w:rPr>
        <w:t xml:space="preserve"> </w:t>
      </w:r>
    </w:p>
    <w:p w:rsidR="007E43F8" w:rsidP="009660F7" w14:paraId="4F167DC0" w14:textId="77777777">
      <w:pPr>
        <w:rPr>
          <w:sz w:val="22"/>
          <w:szCs w:val="22"/>
        </w:rPr>
      </w:pPr>
    </w:p>
    <w:p w:rsidR="009660F7" w:rsidRPr="00B05A85" w:rsidP="009660F7" w14:paraId="322A0587" w14:textId="237B8C5A">
      <w:pPr>
        <w:rPr>
          <w:sz w:val="22"/>
          <w:szCs w:val="22"/>
        </w:rPr>
      </w:pPr>
      <w:r w:rsidRPr="00B05A85">
        <w:rPr>
          <w:sz w:val="22"/>
          <w:szCs w:val="22"/>
        </w:rPr>
        <w:t xml:space="preserve">Other continuing </w:t>
      </w:r>
      <w:r w:rsidRPr="00B05A85" w:rsidR="00966108">
        <w:rPr>
          <w:sz w:val="22"/>
          <w:szCs w:val="22"/>
        </w:rPr>
        <w:t xml:space="preserve">sample </w:t>
      </w:r>
      <w:r w:rsidRPr="00B05A85" w:rsidR="00B115EB">
        <w:rPr>
          <w:sz w:val="22"/>
          <w:szCs w:val="22"/>
        </w:rPr>
        <w:t xml:space="preserve">and new cohort sample </w:t>
      </w:r>
      <w:r w:rsidRPr="00B05A85" w:rsidR="009907EA">
        <w:rPr>
          <w:sz w:val="22"/>
          <w:szCs w:val="22"/>
        </w:rPr>
        <w:t>members who are slow to part</w:t>
      </w:r>
      <w:r w:rsidRPr="00B05A85">
        <w:rPr>
          <w:sz w:val="22"/>
          <w:szCs w:val="22"/>
        </w:rPr>
        <w:t xml:space="preserve">icipate </w:t>
      </w:r>
      <w:r w:rsidRPr="00B05A85" w:rsidR="00B115EB">
        <w:rPr>
          <w:sz w:val="22"/>
          <w:szCs w:val="22"/>
        </w:rPr>
        <w:t xml:space="preserve">and remain a nonrespondent </w:t>
      </w:r>
      <w:r w:rsidR="00A40488">
        <w:rPr>
          <w:sz w:val="22"/>
          <w:szCs w:val="22"/>
        </w:rPr>
        <w:t>after</w:t>
      </w:r>
      <w:r w:rsidRPr="00B05A85" w:rsidR="00A40488">
        <w:rPr>
          <w:sz w:val="22"/>
          <w:szCs w:val="22"/>
        </w:rPr>
        <w:t xml:space="preserve"> </w:t>
      </w:r>
      <w:r w:rsidRPr="00B05A85" w:rsidR="00B115EB">
        <w:rPr>
          <w:sz w:val="22"/>
          <w:szCs w:val="22"/>
        </w:rPr>
        <w:t>the starting phase of data collection</w:t>
      </w:r>
      <w:r w:rsidRPr="00B05A85" w:rsidR="00693E39">
        <w:rPr>
          <w:sz w:val="22"/>
          <w:szCs w:val="22"/>
        </w:rPr>
        <w:t xml:space="preserve">, </w:t>
      </w:r>
      <w:r w:rsidRPr="00B05A85" w:rsidR="006C3CAD">
        <w:rPr>
          <w:sz w:val="22"/>
          <w:szCs w:val="22"/>
        </w:rPr>
        <w:t xml:space="preserve">will be offered </w:t>
      </w:r>
      <w:r w:rsidRPr="00B05A85" w:rsidR="004002B9">
        <w:rPr>
          <w:sz w:val="22"/>
          <w:szCs w:val="22"/>
        </w:rPr>
        <w:t xml:space="preserve">an incentive in week 7. </w:t>
      </w:r>
      <w:r w:rsidRPr="00B05A85" w:rsidR="00395E2E">
        <w:rPr>
          <w:sz w:val="22"/>
          <w:szCs w:val="22"/>
        </w:rPr>
        <w:t xml:space="preserve">This group </w:t>
      </w:r>
      <w:r w:rsidRPr="00B05A85" w:rsidR="00062F61">
        <w:rPr>
          <w:sz w:val="22"/>
          <w:szCs w:val="22"/>
        </w:rPr>
        <w:t xml:space="preserve">will be eligible for selection into an incentive offer experiment that will test the efficacy of receiving an incentive offer in the form of a prepaid check (treatment 1) or a post-paid incentive gift code (treatment 2) versus no incentive offer (control). </w:t>
      </w:r>
      <w:r w:rsidRPr="00B05A85">
        <w:rPr>
          <w:sz w:val="22"/>
          <w:szCs w:val="22"/>
        </w:rPr>
        <w:t>The adaptive design strategy will be applied to select the experimental groups and allocate the incentive offers to a subset of nonresponding sample members to mitigate nonresponse bias of underrepresented subgroups.</w:t>
      </w:r>
    </w:p>
    <w:p w:rsidR="00062F61" w:rsidRPr="00B05A85" w:rsidP="00062F61" w14:paraId="7B208D17" w14:textId="1122D553">
      <w:pPr>
        <w:rPr>
          <w:sz w:val="22"/>
          <w:szCs w:val="22"/>
        </w:rPr>
      </w:pPr>
    </w:p>
    <w:p w:rsidR="00062F61" w:rsidRPr="00B05A85" w:rsidP="00062F61" w14:paraId="1C67906E" w14:textId="7DDC06EC">
      <w:pPr>
        <w:rPr>
          <w:sz w:val="22"/>
          <w:szCs w:val="22"/>
        </w:rPr>
      </w:pPr>
      <w:r w:rsidRPr="00B05A85">
        <w:rPr>
          <w:sz w:val="22"/>
          <w:szCs w:val="22"/>
        </w:rPr>
        <w:t xml:space="preserve">Given the large amount of time that has passed since a post-paid incentive has been tested in the SDR and the greater efficiency in delivering a post-paid incentive via </w:t>
      </w:r>
      <w:r w:rsidRPr="00B05A85" w:rsidR="00B05A85">
        <w:rPr>
          <w:sz w:val="22"/>
          <w:szCs w:val="22"/>
        </w:rPr>
        <w:t>a</w:t>
      </w:r>
      <w:r w:rsidR="00E62C31">
        <w:rPr>
          <w:sz w:val="22"/>
          <w:szCs w:val="22"/>
        </w:rPr>
        <w:t>n electronic</w:t>
      </w:r>
      <w:r w:rsidR="001A020E">
        <w:rPr>
          <w:sz w:val="22"/>
          <w:szCs w:val="22"/>
        </w:rPr>
        <w:t xml:space="preserve"> </w:t>
      </w:r>
      <w:r w:rsidRPr="00B05A85" w:rsidR="00B05A85">
        <w:rPr>
          <w:sz w:val="22"/>
          <w:szCs w:val="22"/>
        </w:rPr>
        <w:t>gift c</w:t>
      </w:r>
      <w:r w:rsidR="00666D1C">
        <w:rPr>
          <w:sz w:val="22"/>
          <w:szCs w:val="22"/>
        </w:rPr>
        <w:t>ard</w:t>
      </w:r>
      <w:r w:rsidRPr="00B05A85" w:rsidR="00B05A85">
        <w:rPr>
          <w:sz w:val="22"/>
          <w:szCs w:val="22"/>
        </w:rPr>
        <w:t xml:space="preserve"> in </w:t>
      </w:r>
      <w:r w:rsidRPr="00B05A85" w:rsidR="00CE7D93">
        <w:rPr>
          <w:sz w:val="22"/>
          <w:szCs w:val="22"/>
        </w:rPr>
        <w:t xml:space="preserve">an </w:t>
      </w:r>
      <w:r w:rsidRPr="00B05A85">
        <w:rPr>
          <w:sz w:val="22"/>
          <w:szCs w:val="22"/>
        </w:rPr>
        <w:t xml:space="preserve">email </w:t>
      </w:r>
      <w:r w:rsidRPr="00B05A85" w:rsidR="007A243C">
        <w:rPr>
          <w:sz w:val="22"/>
          <w:szCs w:val="22"/>
        </w:rPr>
        <w:t xml:space="preserve">immediately following survey completion </w:t>
      </w:r>
      <w:r w:rsidR="00954893">
        <w:rPr>
          <w:sz w:val="22"/>
          <w:szCs w:val="22"/>
        </w:rPr>
        <w:t>over</w:t>
      </w:r>
      <w:r w:rsidRPr="00B05A85" w:rsidR="00AE412C">
        <w:rPr>
          <w:sz w:val="22"/>
          <w:szCs w:val="22"/>
        </w:rPr>
        <w:t xml:space="preserve"> mailing </w:t>
      </w:r>
      <w:r w:rsidRPr="00B05A85">
        <w:rPr>
          <w:sz w:val="22"/>
          <w:szCs w:val="22"/>
        </w:rPr>
        <w:t xml:space="preserve">a personalized check by USPS mail, </w:t>
      </w:r>
      <w:r w:rsidRPr="001A020E">
        <w:rPr>
          <w:sz w:val="22"/>
          <w:szCs w:val="22"/>
        </w:rPr>
        <w:t>the 2023 SDR incentive experiment will compare the outcome</w:t>
      </w:r>
      <w:r w:rsidRPr="001A020E" w:rsidR="00954893">
        <w:rPr>
          <w:sz w:val="22"/>
          <w:szCs w:val="22"/>
        </w:rPr>
        <w:t>s</w:t>
      </w:r>
      <w:r w:rsidRPr="001A020E">
        <w:rPr>
          <w:sz w:val="22"/>
          <w:szCs w:val="22"/>
        </w:rPr>
        <w:t xml:space="preserve"> and costs associated with the </w:t>
      </w:r>
      <w:r w:rsidRPr="00311F7F" w:rsidR="0011139B">
        <w:rPr>
          <w:sz w:val="22"/>
          <w:szCs w:val="22"/>
        </w:rPr>
        <w:t>two</w:t>
      </w:r>
      <w:r w:rsidRPr="00311F7F" w:rsidR="00A40488">
        <w:rPr>
          <w:sz w:val="22"/>
          <w:szCs w:val="22"/>
        </w:rPr>
        <w:t xml:space="preserve"> treatments:</w:t>
      </w:r>
      <w:r w:rsidRPr="00311F7F" w:rsidR="0011139B">
        <w:rPr>
          <w:sz w:val="22"/>
          <w:szCs w:val="22"/>
        </w:rPr>
        <w:t xml:space="preserve"> </w:t>
      </w:r>
      <w:r w:rsidRPr="001A020E" w:rsidR="00A40488">
        <w:rPr>
          <w:sz w:val="22"/>
          <w:szCs w:val="22"/>
        </w:rPr>
        <w:t>1</w:t>
      </w:r>
      <w:r w:rsidRPr="00A40488" w:rsidR="00A40488">
        <w:rPr>
          <w:sz w:val="22"/>
          <w:szCs w:val="22"/>
        </w:rPr>
        <w:t>) the survey request sent with a personalized check sent via USPS; and 2) the survey request which offers the an electronic VISA gift card immediately after the survey is complete also sent via USPS (see Appendix E.1 for the survey request letters offering the incentive upfront as a check or after survey completion as an electronic gift card).</w:t>
      </w:r>
    </w:p>
    <w:p w:rsidR="00062F61" w:rsidRPr="00B05A85" w:rsidP="00062F61" w14:paraId="4C1C897A" w14:textId="77777777">
      <w:pPr>
        <w:rPr>
          <w:sz w:val="22"/>
          <w:szCs w:val="22"/>
        </w:rPr>
      </w:pPr>
    </w:p>
    <w:p w:rsidR="00062F61" w:rsidP="00062F61" w14:paraId="7DD2EC07" w14:textId="77777777">
      <w:pPr>
        <w:spacing w:after="120"/>
        <w:rPr>
          <w:b/>
          <w:bCs/>
          <w:sz w:val="22"/>
          <w:szCs w:val="22"/>
        </w:rPr>
      </w:pPr>
      <w:r>
        <w:rPr>
          <w:b/>
          <w:bCs/>
          <w:sz w:val="22"/>
          <w:szCs w:val="22"/>
        </w:rPr>
        <w:t xml:space="preserve">Late-Stage Incentive Plan </w:t>
      </w:r>
    </w:p>
    <w:p w:rsidR="00062F61" w:rsidP="00062F61" w14:paraId="1FB5B92A" w14:textId="1B58539F">
      <w:pPr>
        <w:rPr>
          <w:sz w:val="22"/>
          <w:szCs w:val="22"/>
        </w:rPr>
      </w:pPr>
      <w:r>
        <w:rPr>
          <w:sz w:val="22"/>
          <w:szCs w:val="22"/>
        </w:rPr>
        <w:t xml:space="preserve">The overall strategy for the late-stage incentive is to ensure that all </w:t>
      </w:r>
      <w:r w:rsidR="00447BBA">
        <w:rPr>
          <w:sz w:val="22"/>
          <w:szCs w:val="22"/>
        </w:rPr>
        <w:t xml:space="preserve">U.S. residing </w:t>
      </w:r>
      <w:r>
        <w:rPr>
          <w:sz w:val="22"/>
          <w:szCs w:val="22"/>
        </w:rPr>
        <w:t>sample members who have been subject to the standard survey data collection protocols and remain survey nonrespondents will have a probability of receiving a monetary incentive</w:t>
      </w:r>
      <w:r w:rsidR="001C1A1B">
        <w:rPr>
          <w:sz w:val="22"/>
          <w:szCs w:val="22"/>
        </w:rPr>
        <w:t xml:space="preserve"> </w:t>
      </w:r>
      <w:r w:rsidR="00447BBA">
        <w:rPr>
          <w:sz w:val="22"/>
          <w:szCs w:val="22"/>
        </w:rPr>
        <w:t>at the start of the late-stage data collection phase</w:t>
      </w:r>
      <w:r>
        <w:rPr>
          <w:sz w:val="22"/>
          <w:szCs w:val="22"/>
        </w:rPr>
        <w:t xml:space="preserve">. </w:t>
      </w:r>
    </w:p>
    <w:p w:rsidR="00062F61" w:rsidP="00062F61" w14:paraId="198D3409" w14:textId="77777777">
      <w:pPr>
        <w:rPr>
          <w:sz w:val="22"/>
          <w:szCs w:val="22"/>
        </w:rPr>
      </w:pPr>
    </w:p>
    <w:p w:rsidR="00062F61" w:rsidP="00062F61" w14:paraId="59120473" w14:textId="6C389382">
      <w:pPr>
        <w:rPr>
          <w:sz w:val="22"/>
          <w:szCs w:val="22"/>
        </w:rPr>
      </w:pPr>
      <w:r>
        <w:rPr>
          <w:sz w:val="22"/>
          <w:szCs w:val="22"/>
        </w:rPr>
        <w:t xml:space="preserve">To allocate </w:t>
      </w:r>
      <w:r w:rsidR="007E3037">
        <w:rPr>
          <w:sz w:val="22"/>
          <w:szCs w:val="22"/>
        </w:rPr>
        <w:t>the</w:t>
      </w:r>
      <w:r>
        <w:rPr>
          <w:sz w:val="22"/>
          <w:szCs w:val="22"/>
        </w:rPr>
        <w:t xml:space="preserve"> available limited resources for the monetary incentive to late-stage survey nonrespondents most effectively, there will be an analysis of the characteristics of the remaining nonrespondents using a statistical model to determine which sample members should receive additional inducement to mitigate </w:t>
      </w:r>
      <w:r w:rsidR="001B47EE">
        <w:rPr>
          <w:sz w:val="22"/>
          <w:szCs w:val="22"/>
        </w:rPr>
        <w:t>potential non</w:t>
      </w:r>
      <w:r>
        <w:rPr>
          <w:sz w:val="22"/>
          <w:szCs w:val="22"/>
        </w:rPr>
        <w:t xml:space="preserve">response bias; </w:t>
      </w:r>
      <w:bookmarkStart w:id="26" w:name="OLE_LINK17"/>
      <w:r>
        <w:rPr>
          <w:sz w:val="22"/>
          <w:szCs w:val="22"/>
        </w:rPr>
        <w:t xml:space="preserve">the cases who are least similar to the existing survey participants and have the highest propensity to respond will be selected </w:t>
      </w:r>
      <w:bookmarkEnd w:id="26"/>
      <w:r>
        <w:rPr>
          <w:sz w:val="22"/>
          <w:szCs w:val="22"/>
        </w:rPr>
        <w:t>for the incentive provided they reside in the U.S. The volume of late-stage nonresponse cases to be incentivized will be determined based on the requirement that not more than 25 percent of the sample</w:t>
      </w:r>
      <w:bookmarkStart w:id="27" w:name="OLE_LINK16"/>
      <w:r w:rsidR="000752E6">
        <w:rPr>
          <w:sz w:val="22"/>
          <w:szCs w:val="22"/>
        </w:rPr>
        <w:t xml:space="preserve"> – </w:t>
      </w:r>
      <w:bookmarkEnd w:id="27"/>
      <w:r w:rsidR="000752E6">
        <w:rPr>
          <w:sz w:val="22"/>
          <w:szCs w:val="22"/>
        </w:rPr>
        <w:t xml:space="preserve">across both the early and late-stage incentive offers – </w:t>
      </w:r>
      <w:r>
        <w:rPr>
          <w:sz w:val="22"/>
          <w:szCs w:val="22"/>
        </w:rPr>
        <w:t>will be offered the incentive</w:t>
      </w:r>
      <w:r w:rsidR="008252E9">
        <w:rPr>
          <w:sz w:val="22"/>
          <w:szCs w:val="22"/>
        </w:rPr>
        <w:t xml:space="preserve">. The final number of cases to be offered an incentive in the late-stage phase </w:t>
      </w:r>
      <w:r w:rsidR="000B4D28">
        <w:rPr>
          <w:sz w:val="22"/>
          <w:szCs w:val="22"/>
        </w:rPr>
        <w:t xml:space="preserve">will be made </w:t>
      </w:r>
      <w:r w:rsidR="001B47EE">
        <w:rPr>
          <w:sz w:val="22"/>
          <w:szCs w:val="22"/>
        </w:rPr>
        <w:t>through discussions between NCSES and the data collection contractor</w:t>
      </w:r>
      <w:r>
        <w:rPr>
          <w:sz w:val="22"/>
          <w:szCs w:val="22"/>
        </w:rPr>
        <w:t xml:space="preserve">. </w:t>
      </w:r>
    </w:p>
    <w:p w:rsidR="00062F61" w:rsidP="00062F61" w14:paraId="23419F0C" w14:textId="77777777">
      <w:pPr>
        <w:rPr>
          <w:sz w:val="22"/>
          <w:szCs w:val="22"/>
        </w:rPr>
      </w:pPr>
    </w:p>
    <w:p w:rsidR="00062F61" w:rsidP="00062F61" w14:paraId="3E73F5AD" w14:textId="6DDB5DF0">
      <w:pPr>
        <w:rPr>
          <w:sz w:val="22"/>
          <w:szCs w:val="22"/>
        </w:rPr>
      </w:pPr>
      <w:r>
        <w:rPr>
          <w:sz w:val="22"/>
          <w:szCs w:val="22"/>
        </w:rPr>
        <w:t>Also, during this late-stage phase, any nonresponding sample members selected for any early incentive in the form of a prepaid check who were not previously sent their incentive due to locating problems or a lack of a mailing address, will be issued or reoffered the incentive at this time. Those nonrespondents who were successfully sent the incentive in the form of a prepaid check during the early phase will receive the non-incentivized late-stage treatment. Any nonresponding sample member selected for an early incentive in the form of the post-paid gift code will be reminded that the incentive offer is still available.</w:t>
      </w:r>
    </w:p>
    <w:p w:rsidR="00DD0348" w:rsidP="00062F61" w14:paraId="50176013" w14:textId="77777777">
      <w:pPr>
        <w:rPr>
          <w:sz w:val="22"/>
          <w:szCs w:val="22"/>
        </w:rPr>
      </w:pPr>
    </w:p>
    <w:p w:rsidR="003F5747" w:rsidP="00DD0348" w14:paraId="03355BC2" w14:textId="77777777">
      <w:pPr>
        <w:spacing w:after="120"/>
        <w:rPr>
          <w:b/>
          <w:bCs/>
          <w:sz w:val="22"/>
          <w:szCs w:val="22"/>
        </w:rPr>
      </w:pPr>
    </w:p>
    <w:p w:rsidR="00DD0348" w:rsidRPr="00987764" w:rsidP="00DD0348" w14:paraId="5E386256" w14:textId="4465748F">
      <w:pPr>
        <w:spacing w:after="120"/>
        <w:rPr>
          <w:b/>
          <w:bCs/>
          <w:sz w:val="22"/>
          <w:szCs w:val="22"/>
        </w:rPr>
      </w:pPr>
      <w:r w:rsidRPr="00987764">
        <w:rPr>
          <w:b/>
          <w:bCs/>
          <w:sz w:val="22"/>
          <w:szCs w:val="22"/>
        </w:rPr>
        <w:t>Incentive Experiment Design</w:t>
      </w:r>
    </w:p>
    <w:p w:rsidR="00DD0348" w:rsidRPr="00987764" w:rsidP="00DD0348" w14:paraId="34216159" w14:textId="0C2C393E">
      <w:pPr>
        <w:rPr>
          <w:sz w:val="22"/>
          <w:szCs w:val="22"/>
        </w:rPr>
      </w:pPr>
      <w:r w:rsidRPr="00987764">
        <w:rPr>
          <w:sz w:val="22"/>
          <w:szCs w:val="22"/>
        </w:rPr>
        <w:t>SDR sample members are highly educated which is associated with increased levels of geographic mobility.</w:t>
      </w:r>
      <w:r>
        <w:rPr>
          <w:rStyle w:val="FootnoteReference"/>
          <w:sz w:val="22"/>
          <w:szCs w:val="22"/>
        </w:rPr>
        <w:footnoteReference w:id="7"/>
      </w:r>
      <w:r w:rsidRPr="00987764">
        <w:rPr>
          <w:sz w:val="22"/>
          <w:szCs w:val="22"/>
        </w:rPr>
        <w:t xml:space="preserve"> Increase</w:t>
      </w:r>
      <w:r w:rsidR="20DAC76C">
        <w:rPr>
          <w:sz w:val="22"/>
          <w:szCs w:val="22"/>
        </w:rPr>
        <w:t>d</w:t>
      </w:r>
      <w:r w:rsidRPr="00987764">
        <w:rPr>
          <w:sz w:val="22"/>
          <w:szCs w:val="22"/>
        </w:rPr>
        <w:t xml:space="preserve"> geographic mobility leads to a higher need for locating SDR sample members from one cycle to the next and an increased chance that survey outreach contacts could be sent to the wrong USPS or email address. As a result, to reduce the chance an incentive offer</w:t>
      </w:r>
      <w:r w:rsidR="00A40488">
        <w:rPr>
          <w:sz w:val="22"/>
          <w:szCs w:val="22"/>
        </w:rPr>
        <w:t xml:space="preserve"> is</w:t>
      </w:r>
      <w:r w:rsidR="3487E2AA">
        <w:rPr>
          <w:sz w:val="22"/>
          <w:szCs w:val="22"/>
        </w:rPr>
        <w:t xml:space="preserve"> </w:t>
      </w:r>
      <w:r w:rsidRPr="00987764">
        <w:rPr>
          <w:sz w:val="22"/>
          <w:szCs w:val="22"/>
        </w:rPr>
        <w:t xml:space="preserve">inadvertently sent to the wrong address </w:t>
      </w:r>
      <w:r w:rsidR="00A40488">
        <w:rPr>
          <w:sz w:val="22"/>
          <w:szCs w:val="22"/>
        </w:rPr>
        <w:t>and</w:t>
      </w:r>
      <w:r w:rsidRPr="00987764" w:rsidR="00A40488">
        <w:rPr>
          <w:sz w:val="22"/>
          <w:szCs w:val="22"/>
        </w:rPr>
        <w:t xml:space="preserve"> </w:t>
      </w:r>
      <w:r w:rsidRPr="00987764">
        <w:rPr>
          <w:sz w:val="22"/>
          <w:szCs w:val="22"/>
        </w:rPr>
        <w:t xml:space="preserve">redeemed by a non-sample member, the incentive offer method needs to have restrictions on </w:t>
      </w:r>
      <w:r w:rsidR="00E13E9A">
        <w:rPr>
          <w:sz w:val="22"/>
          <w:szCs w:val="22"/>
        </w:rPr>
        <w:t xml:space="preserve">by </w:t>
      </w:r>
      <w:r w:rsidRPr="00987764">
        <w:rPr>
          <w:sz w:val="22"/>
          <w:szCs w:val="22"/>
        </w:rPr>
        <w:t>who</w:t>
      </w:r>
      <w:r w:rsidR="00E13E9A">
        <w:rPr>
          <w:sz w:val="22"/>
          <w:szCs w:val="22"/>
        </w:rPr>
        <w:t>m</w:t>
      </w:r>
      <w:r w:rsidRPr="00987764">
        <w:rPr>
          <w:sz w:val="22"/>
          <w:szCs w:val="22"/>
        </w:rPr>
        <w:t xml:space="preserve"> or how the offer can be redeemed. This requirement to restrict who may redeem the incentive offer excludes using cash and non-personalized debit cards as the incentive offer method.  </w:t>
      </w:r>
    </w:p>
    <w:p w:rsidR="00DD0348" w:rsidRPr="003F69E4" w:rsidP="00DD0348" w14:paraId="7FA06094" w14:textId="77777777">
      <w:pPr>
        <w:rPr>
          <w:sz w:val="22"/>
          <w:szCs w:val="22"/>
        </w:rPr>
      </w:pPr>
    </w:p>
    <w:p w:rsidR="00DD0348" w:rsidRPr="003F69E4" w:rsidP="00DD0348" w14:paraId="46A61862" w14:textId="7300A5C3">
      <w:pPr>
        <w:rPr>
          <w:sz w:val="22"/>
          <w:szCs w:val="22"/>
        </w:rPr>
      </w:pPr>
      <w:r w:rsidRPr="003F69E4">
        <w:rPr>
          <w:sz w:val="22"/>
          <w:szCs w:val="22"/>
        </w:rPr>
        <w:t xml:space="preserve">From the 2006 through 2019 cycles, the SDR effectively ensured the incentive offer was only redeemed by the target sample member by sending prepaid personalized checks. An alternative method to ensure the incentive offer is only redeemed by the target sample member is to offer a post-paid incentive after survey completion. </w:t>
      </w:r>
    </w:p>
    <w:p w:rsidR="00DD0348" w:rsidRPr="003F69E4" w:rsidP="00DD0348" w14:paraId="6D0242F0" w14:textId="77777777">
      <w:pPr>
        <w:rPr>
          <w:sz w:val="22"/>
          <w:szCs w:val="22"/>
        </w:rPr>
      </w:pPr>
    </w:p>
    <w:p w:rsidR="00DD0348" w:rsidP="00DD0348" w14:paraId="0ACEDB24" w14:textId="465926B3">
      <w:pPr>
        <w:rPr>
          <w:sz w:val="22"/>
          <w:szCs w:val="22"/>
        </w:rPr>
      </w:pPr>
      <w:r w:rsidRPr="003F69E4">
        <w:rPr>
          <w:sz w:val="22"/>
          <w:szCs w:val="22"/>
        </w:rPr>
        <w:t xml:space="preserve">The SDR has only offered a post-paid incentive in the 2003 cycle as a part of a late-stage incentive </w:t>
      </w:r>
      <w:r w:rsidRPr="00BC553E">
        <w:rPr>
          <w:sz w:val="22"/>
          <w:szCs w:val="22"/>
        </w:rPr>
        <w:t>experiment. The 2003 incentive experiment showed that a $30 prepaid, personalized check was more effective than a $50 post-paid offer. A similar experiment was conducted in 2018</w:t>
      </w:r>
      <w:r w:rsidRPr="00BC553E" w:rsidR="5C27BB95">
        <w:rPr>
          <w:sz w:val="22"/>
          <w:szCs w:val="22"/>
        </w:rPr>
        <w:t xml:space="preserve"> in another study</w:t>
      </w:r>
      <w:r w:rsidRPr="00BC553E">
        <w:rPr>
          <w:sz w:val="22"/>
          <w:szCs w:val="22"/>
        </w:rPr>
        <w:t>, where oncologists were offered either a $50 prepaid check versus a $50 post-paid check and it also found the prepaid check was more effective.</w:t>
      </w:r>
      <w:r>
        <w:rPr>
          <w:rStyle w:val="FootnoteReference"/>
          <w:sz w:val="22"/>
          <w:szCs w:val="22"/>
        </w:rPr>
        <w:footnoteReference w:id="8"/>
      </w:r>
      <w:r w:rsidRPr="00BC553E">
        <w:rPr>
          <w:sz w:val="22"/>
          <w:szCs w:val="22"/>
        </w:rPr>
        <w:t xml:space="preserve"> However, </w:t>
      </w:r>
      <w:r w:rsidRPr="00BC553E" w:rsidR="00E62C31">
        <w:rPr>
          <w:sz w:val="22"/>
          <w:szCs w:val="22"/>
        </w:rPr>
        <w:t xml:space="preserve">in </w:t>
      </w:r>
      <w:r w:rsidR="00A40488">
        <w:rPr>
          <w:sz w:val="22"/>
          <w:szCs w:val="22"/>
        </w:rPr>
        <w:t xml:space="preserve">a </w:t>
      </w:r>
      <w:r w:rsidRPr="00BC553E" w:rsidR="00E62C31">
        <w:rPr>
          <w:sz w:val="22"/>
          <w:szCs w:val="22"/>
        </w:rPr>
        <w:t xml:space="preserve">survey </w:t>
      </w:r>
      <w:r w:rsidR="00A40488">
        <w:rPr>
          <w:sz w:val="22"/>
          <w:szCs w:val="22"/>
        </w:rPr>
        <w:t>of</w:t>
      </w:r>
      <w:r w:rsidRPr="00BC553E" w:rsidR="00E62C31">
        <w:rPr>
          <w:sz w:val="22"/>
          <w:szCs w:val="22"/>
        </w:rPr>
        <w:t xml:space="preserve"> high-achieving, low-income college bound high school seniors, </w:t>
      </w:r>
      <w:r w:rsidRPr="00BC553E">
        <w:rPr>
          <w:sz w:val="22"/>
          <w:szCs w:val="22"/>
        </w:rPr>
        <w:t xml:space="preserve">a test of a $15 prepaid incentive versus a $15 post-paid incentive in the form of an immediately redeemable </w:t>
      </w:r>
      <w:r w:rsidRPr="00BC553E" w:rsidR="00E62C31">
        <w:rPr>
          <w:sz w:val="22"/>
          <w:szCs w:val="22"/>
        </w:rPr>
        <w:t xml:space="preserve">electronic </w:t>
      </w:r>
      <w:r w:rsidRPr="00BC553E">
        <w:rPr>
          <w:sz w:val="22"/>
          <w:szCs w:val="22"/>
        </w:rPr>
        <w:t>gift c</w:t>
      </w:r>
      <w:r w:rsidRPr="00BC553E" w:rsidR="00A37BF2">
        <w:rPr>
          <w:sz w:val="22"/>
          <w:szCs w:val="22"/>
        </w:rPr>
        <w:t>ard</w:t>
      </w:r>
      <w:r w:rsidRPr="00BC553E">
        <w:rPr>
          <w:sz w:val="22"/>
          <w:szCs w:val="22"/>
        </w:rPr>
        <w:t xml:space="preserve"> showed the post-paid incentive was more effective</w:t>
      </w:r>
      <w:r w:rsidRPr="00BC553E" w:rsidR="156C456C">
        <w:rPr>
          <w:sz w:val="22"/>
          <w:szCs w:val="22"/>
        </w:rPr>
        <w:t xml:space="preserve"> in gaining survey response</w:t>
      </w:r>
      <w:r w:rsidRPr="00BC553E">
        <w:rPr>
          <w:sz w:val="22"/>
          <w:szCs w:val="22"/>
        </w:rPr>
        <w:t>.</w:t>
      </w:r>
      <w:r>
        <w:rPr>
          <w:rStyle w:val="FootnoteReference"/>
          <w:sz w:val="22"/>
          <w:szCs w:val="22"/>
        </w:rPr>
        <w:footnoteReference w:id="9"/>
      </w:r>
      <w:r w:rsidRPr="00BC553E">
        <w:rPr>
          <w:sz w:val="22"/>
          <w:szCs w:val="22"/>
        </w:rPr>
        <w:t xml:space="preserve">  </w:t>
      </w:r>
    </w:p>
    <w:p w:rsidR="00284C38" w:rsidP="00DD0348" w14:paraId="6052EB52" w14:textId="77777777">
      <w:pPr>
        <w:rPr>
          <w:sz w:val="22"/>
          <w:szCs w:val="22"/>
        </w:rPr>
      </w:pPr>
    </w:p>
    <w:p w:rsidR="00284C38" w:rsidRPr="00BC553E" w:rsidP="00284C38" w14:paraId="15AB20AD" w14:textId="4574564B">
      <w:pPr>
        <w:rPr>
          <w:sz w:val="22"/>
          <w:szCs w:val="22"/>
        </w:rPr>
      </w:pPr>
      <w:r w:rsidRPr="00F30A6C">
        <w:rPr>
          <w:spacing w:val="2"/>
          <w:sz w:val="22"/>
          <w:szCs w:val="22"/>
        </w:rPr>
        <w:t xml:space="preserve">To test the efficacy of the two incentive offer methods, the two modes of incentive delivery will be randomly assigned to selected experimental groups in week 7 of the data collection period.  The </w:t>
      </w:r>
      <w:r w:rsidR="001A020E">
        <w:rPr>
          <w:spacing w:val="2"/>
          <w:sz w:val="22"/>
          <w:szCs w:val="22"/>
        </w:rPr>
        <w:t>treatment</w:t>
      </w:r>
      <w:r w:rsidRPr="00F30A6C">
        <w:rPr>
          <w:spacing w:val="2"/>
          <w:sz w:val="22"/>
          <w:szCs w:val="22"/>
        </w:rPr>
        <w:t xml:space="preserve"> group </w:t>
      </w:r>
      <w:r w:rsidR="001A020E">
        <w:rPr>
          <w:spacing w:val="2"/>
          <w:sz w:val="22"/>
          <w:szCs w:val="22"/>
        </w:rPr>
        <w:t xml:space="preserve">1 </w:t>
      </w:r>
      <w:r w:rsidRPr="00F30A6C">
        <w:rPr>
          <w:spacing w:val="2"/>
          <w:sz w:val="22"/>
          <w:szCs w:val="22"/>
        </w:rPr>
        <w:t xml:space="preserve">will be offered the incentive in the form of a prepaid $30 check personalized for the sample member, and the treatment group </w:t>
      </w:r>
      <w:r w:rsidR="001A020E">
        <w:rPr>
          <w:spacing w:val="2"/>
          <w:sz w:val="22"/>
          <w:szCs w:val="22"/>
        </w:rPr>
        <w:t xml:space="preserve">2 </w:t>
      </w:r>
      <w:r w:rsidRPr="00F30A6C">
        <w:rPr>
          <w:spacing w:val="2"/>
          <w:sz w:val="22"/>
          <w:szCs w:val="22"/>
        </w:rPr>
        <w:t>will be offered the incentive in the form of a $30 electronic VISA gift card delivered immediately upon survey completion</w:t>
      </w:r>
      <w:r w:rsidR="001A020E">
        <w:rPr>
          <w:spacing w:val="2"/>
          <w:sz w:val="22"/>
          <w:szCs w:val="22"/>
        </w:rPr>
        <w:t>; control cases will be sent a survey request without an incentive offer</w:t>
      </w:r>
      <w:r w:rsidRPr="00F30A6C">
        <w:rPr>
          <w:spacing w:val="2"/>
          <w:sz w:val="22"/>
          <w:szCs w:val="22"/>
        </w:rPr>
        <w:t>. For this experiment</w:t>
      </w:r>
      <w:r>
        <w:rPr>
          <w:spacing w:val="2"/>
          <w:sz w:val="22"/>
          <w:szCs w:val="22"/>
        </w:rPr>
        <w:t>,</w:t>
      </w:r>
      <w:r w:rsidRPr="00F30A6C">
        <w:rPr>
          <w:spacing w:val="2"/>
          <w:sz w:val="22"/>
          <w:szCs w:val="22"/>
        </w:rPr>
        <w:t xml:space="preserve"> incentives will be offered to a subset of sample members and an adaptive design strategy will be applied for selecting incentive samples to mitigate nonresponse bias of underrepresented subgroups in the final data set.</w:t>
      </w:r>
    </w:p>
    <w:p w:rsidR="001A020E" w:rsidRPr="00BC553E" w:rsidP="00DD0348" w14:paraId="4B467C44" w14:textId="77777777">
      <w:pPr>
        <w:rPr>
          <w:sz w:val="22"/>
          <w:szCs w:val="22"/>
        </w:rPr>
      </w:pPr>
    </w:p>
    <w:p w:rsidR="00BC553E" w:rsidRPr="00311F7F" w:rsidP="00BC553E" w14:paraId="503F8E9E" w14:textId="6BF0EA61">
      <w:pPr>
        <w:rPr>
          <w:spacing w:val="2"/>
          <w:sz w:val="22"/>
          <w:szCs w:val="22"/>
        </w:rPr>
      </w:pPr>
      <w:r w:rsidRPr="00BC553E">
        <w:rPr>
          <w:sz w:val="22"/>
          <w:szCs w:val="22"/>
        </w:rPr>
        <w:t>The benefits of using the post</w:t>
      </w:r>
      <w:r w:rsidRPr="00BC553E" w:rsidR="00680924">
        <w:rPr>
          <w:sz w:val="22"/>
          <w:szCs w:val="22"/>
        </w:rPr>
        <w:t>-</w:t>
      </w:r>
      <w:r w:rsidRPr="00BC553E">
        <w:rPr>
          <w:sz w:val="22"/>
          <w:szCs w:val="22"/>
        </w:rPr>
        <w:t xml:space="preserve">paid </w:t>
      </w:r>
      <w:r w:rsidRPr="00BC553E" w:rsidR="00E62C31">
        <w:rPr>
          <w:sz w:val="22"/>
          <w:szCs w:val="22"/>
        </w:rPr>
        <w:t xml:space="preserve">electronic </w:t>
      </w:r>
      <w:r w:rsidRPr="00BC553E">
        <w:rPr>
          <w:sz w:val="22"/>
          <w:szCs w:val="22"/>
        </w:rPr>
        <w:t xml:space="preserve">gift </w:t>
      </w:r>
      <w:r w:rsidRPr="00BC553E" w:rsidR="00E62C31">
        <w:rPr>
          <w:sz w:val="22"/>
          <w:szCs w:val="22"/>
        </w:rPr>
        <w:t xml:space="preserve">card </w:t>
      </w:r>
      <w:r w:rsidRPr="00BC553E">
        <w:rPr>
          <w:sz w:val="22"/>
          <w:szCs w:val="22"/>
        </w:rPr>
        <w:t xml:space="preserve">incentive method </w:t>
      </w:r>
      <w:r w:rsidRPr="00BC553E" w:rsidR="00BB387D">
        <w:rPr>
          <w:sz w:val="22"/>
          <w:szCs w:val="22"/>
        </w:rPr>
        <w:t>are</w:t>
      </w:r>
      <w:r w:rsidRPr="00BC553E">
        <w:rPr>
          <w:sz w:val="22"/>
          <w:szCs w:val="22"/>
        </w:rPr>
        <w:t xml:space="preserve"> the extremely high assurance that only those that complete the survey receive the incentive, the incentive is only </w:t>
      </w:r>
      <w:r w:rsidRPr="00BC553E" w:rsidR="00E62C31">
        <w:rPr>
          <w:sz w:val="22"/>
          <w:szCs w:val="22"/>
        </w:rPr>
        <w:t>provided to</w:t>
      </w:r>
      <w:r w:rsidRPr="00BC553E">
        <w:rPr>
          <w:sz w:val="22"/>
          <w:szCs w:val="22"/>
        </w:rPr>
        <w:t xml:space="preserve"> the target sample member who passed the “sample person verification” process, and the incentive offer method is secure and extremely efficient. </w:t>
      </w:r>
      <w:r w:rsidR="00A40488">
        <w:rPr>
          <w:sz w:val="22"/>
          <w:szCs w:val="22"/>
        </w:rPr>
        <w:t xml:space="preserve"> </w:t>
      </w:r>
      <w:bookmarkStart w:id="28" w:name="OLE_LINK40"/>
      <w:r w:rsidRPr="00311F7F">
        <w:rPr>
          <w:spacing w:val="2"/>
          <w:sz w:val="22"/>
          <w:szCs w:val="22"/>
        </w:rPr>
        <w:t>New research is needed as the delivery of the post-paid incentive in the form of an electronic gift card is improved and immediate. Electronic gift card incentives have a significant advantage in survey management as they are more efficient to offer, administer, and track than personalized checks. Further, there is no concern that any incentive funds will be provided to</w:t>
      </w:r>
      <w:r w:rsidR="00732ECA">
        <w:rPr>
          <w:spacing w:val="2"/>
          <w:sz w:val="22"/>
          <w:szCs w:val="22"/>
        </w:rPr>
        <w:t xml:space="preserve"> a</w:t>
      </w:r>
      <w:r w:rsidRPr="00311F7F">
        <w:rPr>
          <w:spacing w:val="2"/>
          <w:sz w:val="22"/>
          <w:szCs w:val="22"/>
        </w:rPr>
        <w:t xml:space="preserve"> non-participant as they are only fulfilled after survey completion.  </w:t>
      </w:r>
    </w:p>
    <w:p w:rsidR="00BC553E" w:rsidRPr="00311F7F" w:rsidP="00311F7F" w14:paraId="6AC6728F" w14:textId="77777777">
      <w:pPr>
        <w:rPr>
          <w:spacing w:val="2"/>
        </w:rPr>
      </w:pPr>
    </w:p>
    <w:p w:rsidR="00BC553E" w:rsidRPr="00BC553E" w:rsidP="00BC553E" w14:paraId="48DD571A" w14:textId="165A68C2">
      <w:pPr>
        <w:rPr>
          <w:sz w:val="22"/>
          <w:szCs w:val="22"/>
        </w:rPr>
      </w:pPr>
      <w:r w:rsidRPr="00311F7F">
        <w:rPr>
          <w:spacing w:val="2"/>
          <w:sz w:val="22"/>
          <w:szCs w:val="22"/>
        </w:rPr>
        <w:t xml:space="preserve">Ideally, this research will show </w:t>
      </w:r>
      <w:r w:rsidR="005D6AAF">
        <w:rPr>
          <w:spacing w:val="2"/>
          <w:sz w:val="22"/>
          <w:szCs w:val="22"/>
        </w:rPr>
        <w:t>th</w:t>
      </w:r>
      <w:r w:rsidR="00910004">
        <w:rPr>
          <w:spacing w:val="2"/>
          <w:sz w:val="22"/>
          <w:szCs w:val="22"/>
        </w:rPr>
        <w:t>at</w:t>
      </w:r>
      <w:r w:rsidR="005D6AAF">
        <w:rPr>
          <w:spacing w:val="2"/>
          <w:sz w:val="22"/>
          <w:szCs w:val="22"/>
        </w:rPr>
        <w:t xml:space="preserve"> </w:t>
      </w:r>
      <w:r w:rsidR="00D75770">
        <w:rPr>
          <w:spacing w:val="2"/>
          <w:sz w:val="22"/>
          <w:szCs w:val="22"/>
        </w:rPr>
        <w:t xml:space="preserve">the two </w:t>
      </w:r>
      <w:r w:rsidR="005D6AAF">
        <w:rPr>
          <w:spacing w:val="2"/>
          <w:sz w:val="22"/>
          <w:szCs w:val="22"/>
        </w:rPr>
        <w:t>incentive</w:t>
      </w:r>
      <w:r w:rsidR="00284C38">
        <w:rPr>
          <w:spacing w:val="2"/>
          <w:sz w:val="22"/>
          <w:szCs w:val="22"/>
        </w:rPr>
        <w:t xml:space="preserve"> offer</w:t>
      </w:r>
      <w:r w:rsidR="005D6AAF">
        <w:rPr>
          <w:spacing w:val="2"/>
          <w:sz w:val="22"/>
          <w:szCs w:val="22"/>
        </w:rPr>
        <w:t xml:space="preserve"> methods</w:t>
      </w:r>
      <w:r w:rsidRPr="00311F7F">
        <w:rPr>
          <w:spacing w:val="2"/>
          <w:sz w:val="22"/>
          <w:szCs w:val="22"/>
        </w:rPr>
        <w:t xml:space="preserve"> have a similar positive effect on survey response. This finding would allow the government to implement the more efficient incentive strategy in future rounds of the SDR and other surveys with confidence. </w:t>
      </w:r>
      <w:bookmarkEnd w:id="28"/>
    </w:p>
    <w:p w:rsidR="00DD0348" w:rsidRPr="00BC553E" w:rsidP="00DD0348" w14:paraId="673DDA1C" w14:textId="77777777">
      <w:pPr>
        <w:rPr>
          <w:sz w:val="22"/>
          <w:szCs w:val="22"/>
        </w:rPr>
      </w:pPr>
    </w:p>
    <w:p w:rsidR="00046B7E" w:rsidRPr="00F75952" w:rsidP="000A00F6" w14:paraId="492CE37B" w14:textId="4C017112">
      <w:pPr>
        <w:pStyle w:val="Heading2"/>
        <w:spacing w:before="280" w:after="280"/>
        <w:ind w:left="547" w:hanging="547"/>
      </w:pPr>
      <w:bookmarkStart w:id="29" w:name="_Toc410981798"/>
      <w:bookmarkStart w:id="30" w:name="_Toc475701071"/>
      <w:bookmarkEnd w:id="23"/>
      <w:r w:rsidRPr="00060181">
        <w:rPr>
          <w:i w:val="0"/>
        </w:rPr>
        <w:t>4.</w:t>
      </w:r>
      <w:r w:rsidRPr="00060181">
        <w:rPr>
          <w:i w:val="0"/>
        </w:rPr>
        <w:tab/>
        <w:t>TESTING OF PROCEDURES</w:t>
      </w:r>
      <w:bookmarkEnd w:id="29"/>
      <w:bookmarkEnd w:id="30"/>
    </w:p>
    <w:p w:rsidR="00046B7E" w:rsidP="00046B7E" w14:paraId="0D09601E" w14:textId="0A69CBCC">
      <w:pPr>
        <w:pStyle w:val="BodyText"/>
        <w:rPr>
          <w:sz w:val="22"/>
          <w:szCs w:val="22"/>
        </w:rPr>
      </w:pPr>
      <w:r>
        <w:rPr>
          <w:sz w:val="22"/>
          <w:szCs w:val="22"/>
        </w:rPr>
        <w:t xml:space="preserve">The </w:t>
      </w:r>
      <w:r>
        <w:rPr>
          <w:sz w:val="22"/>
          <w:szCs w:val="22"/>
        </w:rPr>
        <w:t xml:space="preserve">SDR and </w:t>
      </w:r>
      <w:r w:rsidR="00832834">
        <w:rPr>
          <w:sz w:val="22"/>
          <w:szCs w:val="22"/>
        </w:rPr>
        <w:t xml:space="preserve">NSCG </w:t>
      </w:r>
      <w:r w:rsidRPr="00421D36">
        <w:rPr>
          <w:sz w:val="22"/>
          <w:szCs w:val="22"/>
        </w:rPr>
        <w:t xml:space="preserve">are </w:t>
      </w:r>
      <w:r w:rsidR="005F61AC">
        <w:rPr>
          <w:sz w:val="22"/>
          <w:szCs w:val="22"/>
        </w:rPr>
        <w:t xml:space="preserve">complementary </w:t>
      </w:r>
      <w:r>
        <w:rPr>
          <w:sz w:val="22"/>
          <w:szCs w:val="22"/>
        </w:rPr>
        <w:t>workforce surveys</w:t>
      </w:r>
      <w:r w:rsidR="00CC10F2">
        <w:rPr>
          <w:sz w:val="22"/>
          <w:szCs w:val="22"/>
        </w:rPr>
        <w:t>. Therefore,</w:t>
      </w:r>
      <w:r>
        <w:rPr>
          <w:sz w:val="22"/>
          <w:szCs w:val="22"/>
        </w:rPr>
        <w:t xml:space="preserve"> </w:t>
      </w:r>
      <w:r w:rsidRPr="00421D36">
        <w:rPr>
          <w:sz w:val="22"/>
          <w:szCs w:val="22"/>
        </w:rPr>
        <w:t xml:space="preserve">the two surveys must be closely coordinated to provide comparable data. </w:t>
      </w:r>
      <w:r>
        <w:rPr>
          <w:sz w:val="22"/>
          <w:szCs w:val="22"/>
        </w:rPr>
        <w:t>Many of the</w:t>
      </w:r>
      <w:r w:rsidRPr="00421D36">
        <w:rPr>
          <w:sz w:val="22"/>
          <w:szCs w:val="22"/>
        </w:rPr>
        <w:t xml:space="preserve"> questionnaire items in the two surveys are the same</w:t>
      </w:r>
      <w:r w:rsidR="005F61AC">
        <w:rPr>
          <w:sz w:val="22"/>
          <w:szCs w:val="22"/>
        </w:rPr>
        <w:t>,</w:t>
      </w:r>
      <w:r>
        <w:rPr>
          <w:sz w:val="22"/>
          <w:szCs w:val="22"/>
        </w:rPr>
        <w:t xml:space="preserve"> including the reference date of 1 February </w:t>
      </w:r>
      <w:r w:rsidR="002643EF">
        <w:rPr>
          <w:sz w:val="22"/>
          <w:szCs w:val="22"/>
        </w:rPr>
        <w:t>202</w:t>
      </w:r>
      <w:r w:rsidR="00AF004B">
        <w:rPr>
          <w:sz w:val="22"/>
          <w:szCs w:val="22"/>
        </w:rPr>
        <w:t>3</w:t>
      </w:r>
      <w:r w:rsidRPr="00421D36">
        <w:rPr>
          <w:sz w:val="22"/>
          <w:szCs w:val="22"/>
        </w:rPr>
        <w:t>.</w:t>
      </w:r>
    </w:p>
    <w:p w:rsidR="002E6C3B" w:rsidRPr="00421D36" w:rsidP="00046B7E" w14:paraId="5242D884" w14:textId="77777777">
      <w:pPr>
        <w:pStyle w:val="BodyText"/>
        <w:rPr>
          <w:sz w:val="22"/>
          <w:szCs w:val="22"/>
        </w:rPr>
      </w:pPr>
    </w:p>
    <w:p w:rsidR="00046B7E" w:rsidP="00046B7E" w14:paraId="3BB90E54" w14:textId="1D2E9993">
      <w:pPr>
        <w:pStyle w:val="BodyText"/>
        <w:rPr>
          <w:sz w:val="22"/>
          <w:szCs w:val="22"/>
        </w:rPr>
      </w:pPr>
      <w:r w:rsidRPr="00421D36">
        <w:rPr>
          <w:sz w:val="22"/>
          <w:szCs w:val="22"/>
        </w:rPr>
        <w:t xml:space="preserve">The </w:t>
      </w:r>
      <w:r w:rsidR="005F61AC">
        <w:rPr>
          <w:sz w:val="22"/>
          <w:szCs w:val="22"/>
        </w:rPr>
        <w:t xml:space="preserve">complementary </w:t>
      </w:r>
      <w:r w:rsidRPr="00421D36">
        <w:rPr>
          <w:sz w:val="22"/>
          <w:szCs w:val="22"/>
        </w:rPr>
        <w:t xml:space="preserve">survey questionnaire items are divided into two types of questions: core and module. Core questions are defined as those considered to be </w:t>
      </w:r>
      <w:r w:rsidR="006D04AA">
        <w:rPr>
          <w:sz w:val="22"/>
          <w:szCs w:val="22"/>
        </w:rPr>
        <w:t xml:space="preserve">generic to both </w:t>
      </w:r>
      <w:r w:rsidRPr="00421D36">
        <w:rPr>
          <w:sz w:val="22"/>
          <w:szCs w:val="22"/>
        </w:rPr>
        <w:t xml:space="preserve">the </w:t>
      </w:r>
      <w:r>
        <w:rPr>
          <w:sz w:val="22"/>
          <w:szCs w:val="22"/>
        </w:rPr>
        <w:t xml:space="preserve">SDR </w:t>
      </w:r>
      <w:r w:rsidR="00400787">
        <w:rPr>
          <w:sz w:val="22"/>
          <w:szCs w:val="22"/>
        </w:rPr>
        <w:t>and</w:t>
      </w:r>
      <w:r>
        <w:rPr>
          <w:sz w:val="22"/>
          <w:szCs w:val="22"/>
        </w:rPr>
        <w:t xml:space="preserve"> NSCG</w:t>
      </w:r>
      <w:r w:rsidRPr="00421D36">
        <w:rPr>
          <w:sz w:val="22"/>
          <w:szCs w:val="22"/>
        </w:rPr>
        <w:t xml:space="preserve">. These items are essential for sampling, respondent verification, basic labor force information, </w:t>
      </w:r>
      <w:r w:rsidR="006D04AA">
        <w:rPr>
          <w:sz w:val="22"/>
          <w:szCs w:val="22"/>
        </w:rPr>
        <w:t>and NCSES</w:t>
      </w:r>
      <w:r w:rsidRPr="00421D36">
        <w:rPr>
          <w:sz w:val="22"/>
          <w:szCs w:val="22"/>
        </w:rPr>
        <w:t xml:space="preserve"> analyses of the science and engineering workforce. </w:t>
      </w:r>
      <w:r w:rsidR="007E7F93">
        <w:rPr>
          <w:sz w:val="22"/>
          <w:szCs w:val="22"/>
        </w:rPr>
        <w:t xml:space="preserve">The </w:t>
      </w:r>
      <w:r>
        <w:rPr>
          <w:sz w:val="22"/>
          <w:szCs w:val="22"/>
        </w:rPr>
        <w:t>SDR and NSCG</w:t>
      </w:r>
      <w:r w:rsidRPr="00421D36">
        <w:rPr>
          <w:sz w:val="22"/>
          <w:szCs w:val="22"/>
        </w:rPr>
        <w:t xml:space="preserve"> surveys ask </w:t>
      </w:r>
      <w:r w:rsidRPr="00421D36">
        <w:rPr>
          <w:sz w:val="22"/>
          <w:szCs w:val="22"/>
        </w:rPr>
        <w:t>core</w:t>
      </w:r>
      <w:r w:rsidR="009D0F0C">
        <w:rPr>
          <w:sz w:val="22"/>
          <w:szCs w:val="22"/>
        </w:rPr>
        <w:t xml:space="preserve"> q</w:t>
      </w:r>
      <w:r w:rsidRPr="00421D36">
        <w:rPr>
          <w:sz w:val="22"/>
          <w:szCs w:val="22"/>
        </w:rPr>
        <w:t xml:space="preserve">uestions </w:t>
      </w:r>
      <w:r>
        <w:rPr>
          <w:sz w:val="22"/>
          <w:szCs w:val="22"/>
        </w:rPr>
        <w:t>of</w:t>
      </w:r>
      <w:r w:rsidRPr="00421D36">
        <w:rPr>
          <w:sz w:val="22"/>
          <w:szCs w:val="22"/>
        </w:rPr>
        <w:t xml:space="preserve"> all respondents each time they are surveyed to establish baseline data and to update the respondents’ labor force status, changes in employment</w:t>
      </w:r>
      <w:r>
        <w:rPr>
          <w:sz w:val="22"/>
          <w:szCs w:val="22"/>
        </w:rPr>
        <w:t>,</w:t>
      </w:r>
      <w:r w:rsidRPr="00421D36">
        <w:rPr>
          <w:sz w:val="22"/>
          <w:szCs w:val="22"/>
        </w:rPr>
        <w:t xml:space="preserve"> and other characteristics. Modul</w:t>
      </w:r>
      <w:r w:rsidR="006D04AA">
        <w:rPr>
          <w:sz w:val="22"/>
          <w:szCs w:val="22"/>
        </w:rPr>
        <w:t>e</w:t>
      </w:r>
      <w:r w:rsidRPr="00421D36">
        <w:rPr>
          <w:sz w:val="22"/>
          <w:szCs w:val="22"/>
        </w:rPr>
        <w:t xml:space="preserve"> items are special topics that are asked less frequently on a rotational basis. Module items provide the data needed to satisfy specific policy</w:t>
      </w:r>
      <w:r>
        <w:rPr>
          <w:sz w:val="22"/>
          <w:szCs w:val="22"/>
        </w:rPr>
        <w:t xml:space="preserve"> or</w:t>
      </w:r>
      <w:r w:rsidRPr="00421D36">
        <w:rPr>
          <w:sz w:val="22"/>
          <w:szCs w:val="22"/>
        </w:rPr>
        <w:t xml:space="preserve"> research needs.</w:t>
      </w:r>
    </w:p>
    <w:p w:rsidR="00046B7E" w:rsidP="00046B7E" w14:paraId="45678588" w14:textId="77777777">
      <w:pPr>
        <w:pStyle w:val="BodyText"/>
        <w:rPr>
          <w:sz w:val="22"/>
          <w:szCs w:val="22"/>
        </w:rPr>
      </w:pPr>
    </w:p>
    <w:p w:rsidR="0053128C" w:rsidP="002643EF" w14:paraId="12330EE7" w14:textId="4E13CFE7">
      <w:pPr>
        <w:pStyle w:val="BodyText"/>
        <w:rPr>
          <w:sz w:val="22"/>
          <w:szCs w:val="22"/>
        </w:rPr>
      </w:pPr>
      <w:r>
        <w:rPr>
          <w:sz w:val="22"/>
          <w:szCs w:val="22"/>
        </w:rPr>
        <w:t xml:space="preserve">As in the </w:t>
      </w:r>
      <w:r w:rsidRPr="000A68AC">
        <w:rPr>
          <w:sz w:val="22"/>
          <w:szCs w:val="22"/>
        </w:rPr>
        <w:t>20</w:t>
      </w:r>
      <w:r w:rsidR="007705F8">
        <w:rPr>
          <w:sz w:val="22"/>
          <w:szCs w:val="22"/>
        </w:rPr>
        <w:t>21</w:t>
      </w:r>
      <w:r>
        <w:rPr>
          <w:sz w:val="22"/>
          <w:szCs w:val="22"/>
        </w:rPr>
        <w:t xml:space="preserve"> SDR</w:t>
      </w:r>
      <w:r w:rsidRPr="007806F0">
        <w:rPr>
          <w:sz w:val="22"/>
          <w:szCs w:val="22"/>
        </w:rPr>
        <w:t xml:space="preserve">, </w:t>
      </w:r>
      <w:r>
        <w:rPr>
          <w:sz w:val="22"/>
          <w:szCs w:val="22"/>
        </w:rPr>
        <w:t>sample members living inside and outside of the U</w:t>
      </w:r>
      <w:r w:rsidR="002E6C3B">
        <w:rPr>
          <w:sz w:val="22"/>
          <w:szCs w:val="22"/>
        </w:rPr>
        <w:t>.</w:t>
      </w:r>
      <w:r>
        <w:rPr>
          <w:sz w:val="22"/>
          <w:szCs w:val="22"/>
        </w:rPr>
        <w:t>S</w:t>
      </w:r>
      <w:r w:rsidR="002E6C3B">
        <w:rPr>
          <w:sz w:val="22"/>
          <w:szCs w:val="22"/>
        </w:rPr>
        <w:t>.</w:t>
      </w:r>
      <w:r>
        <w:rPr>
          <w:sz w:val="22"/>
          <w:szCs w:val="22"/>
        </w:rPr>
        <w:t xml:space="preserve"> will receive the same questionnaire content. </w:t>
      </w:r>
      <w:r w:rsidR="007C0D17">
        <w:rPr>
          <w:sz w:val="22"/>
          <w:szCs w:val="22"/>
        </w:rPr>
        <w:t>However, t</w:t>
      </w:r>
      <w:r w:rsidRPr="007806F0">
        <w:rPr>
          <w:sz w:val="22"/>
          <w:szCs w:val="22"/>
        </w:rPr>
        <w:t>he 20</w:t>
      </w:r>
      <w:r>
        <w:rPr>
          <w:sz w:val="22"/>
          <w:szCs w:val="22"/>
        </w:rPr>
        <w:t>2</w:t>
      </w:r>
      <w:r w:rsidR="007705F8">
        <w:rPr>
          <w:sz w:val="22"/>
          <w:szCs w:val="22"/>
        </w:rPr>
        <w:t>3</w:t>
      </w:r>
      <w:r w:rsidRPr="007806F0">
        <w:rPr>
          <w:sz w:val="22"/>
          <w:szCs w:val="22"/>
        </w:rPr>
        <w:t xml:space="preserve"> questionnaire </w:t>
      </w:r>
      <w:r>
        <w:rPr>
          <w:sz w:val="22"/>
          <w:szCs w:val="22"/>
        </w:rPr>
        <w:t xml:space="preserve">will reflect </w:t>
      </w:r>
      <w:r w:rsidR="00105C38">
        <w:rPr>
          <w:sz w:val="22"/>
          <w:szCs w:val="22"/>
        </w:rPr>
        <w:t>four</w:t>
      </w:r>
      <w:r>
        <w:rPr>
          <w:sz w:val="22"/>
          <w:szCs w:val="22"/>
        </w:rPr>
        <w:t xml:space="preserve"> </w:t>
      </w:r>
      <w:r w:rsidR="007C0D17">
        <w:rPr>
          <w:sz w:val="22"/>
          <w:szCs w:val="22"/>
        </w:rPr>
        <w:t xml:space="preserve">types of </w:t>
      </w:r>
      <w:r>
        <w:rPr>
          <w:sz w:val="22"/>
          <w:szCs w:val="22"/>
        </w:rPr>
        <w:t xml:space="preserve">modifications </w:t>
      </w:r>
      <w:r w:rsidR="007C0D17">
        <w:rPr>
          <w:sz w:val="22"/>
          <w:szCs w:val="22"/>
        </w:rPr>
        <w:t>relative to</w:t>
      </w:r>
      <w:r>
        <w:rPr>
          <w:sz w:val="22"/>
          <w:szCs w:val="22"/>
        </w:rPr>
        <w:t xml:space="preserve"> the prior cycle. </w:t>
      </w:r>
    </w:p>
    <w:p w:rsidR="0053128C" w:rsidP="002643EF" w14:paraId="00E38B38" w14:textId="77777777">
      <w:pPr>
        <w:pStyle w:val="BodyText"/>
        <w:rPr>
          <w:sz w:val="22"/>
          <w:szCs w:val="22"/>
        </w:rPr>
      </w:pPr>
    </w:p>
    <w:p w:rsidR="005069CA" w:rsidP="005F64C7" w14:paraId="4AF63C93" w14:textId="02DFE3A4">
      <w:pPr>
        <w:pStyle w:val="BodyText"/>
        <w:numPr>
          <w:ilvl w:val="0"/>
          <w:numId w:val="19"/>
        </w:numPr>
        <w:rPr>
          <w:sz w:val="22"/>
          <w:szCs w:val="22"/>
        </w:rPr>
      </w:pPr>
      <w:r>
        <w:rPr>
          <w:sz w:val="22"/>
          <w:szCs w:val="22"/>
        </w:rPr>
        <w:t xml:space="preserve">First, </w:t>
      </w:r>
      <w:bookmarkStart w:id="31" w:name="_Hlk65703463"/>
      <w:r>
        <w:rPr>
          <w:sz w:val="22"/>
          <w:szCs w:val="22"/>
        </w:rPr>
        <w:t xml:space="preserve">in alignment with </w:t>
      </w:r>
      <w:r w:rsidR="00504E61">
        <w:rPr>
          <w:sz w:val="22"/>
          <w:szCs w:val="22"/>
        </w:rPr>
        <w:t>the</w:t>
      </w:r>
      <w:r>
        <w:rPr>
          <w:sz w:val="22"/>
          <w:szCs w:val="22"/>
        </w:rPr>
        <w:t xml:space="preserve"> </w:t>
      </w:r>
      <w:r w:rsidR="00832834">
        <w:rPr>
          <w:sz w:val="22"/>
          <w:szCs w:val="22"/>
        </w:rPr>
        <w:t>NSCG</w:t>
      </w:r>
      <w:r>
        <w:rPr>
          <w:sz w:val="22"/>
          <w:szCs w:val="22"/>
        </w:rPr>
        <w:t>, the 202</w:t>
      </w:r>
      <w:r w:rsidR="00483D42">
        <w:rPr>
          <w:sz w:val="22"/>
          <w:szCs w:val="22"/>
        </w:rPr>
        <w:t>3</w:t>
      </w:r>
      <w:r>
        <w:rPr>
          <w:sz w:val="22"/>
          <w:szCs w:val="22"/>
        </w:rPr>
        <w:t xml:space="preserve"> </w:t>
      </w:r>
      <w:r w:rsidR="00504E61">
        <w:rPr>
          <w:sz w:val="22"/>
          <w:szCs w:val="22"/>
        </w:rPr>
        <w:t xml:space="preserve">SDR </w:t>
      </w:r>
      <w:r>
        <w:rPr>
          <w:sz w:val="22"/>
          <w:szCs w:val="22"/>
        </w:rPr>
        <w:t xml:space="preserve">will </w:t>
      </w:r>
      <w:r w:rsidR="00BD78A9">
        <w:rPr>
          <w:sz w:val="22"/>
          <w:szCs w:val="22"/>
        </w:rPr>
        <w:t xml:space="preserve">discontinue </w:t>
      </w:r>
      <w:r w:rsidR="007C0D17">
        <w:rPr>
          <w:sz w:val="22"/>
          <w:szCs w:val="22"/>
        </w:rPr>
        <w:t xml:space="preserve">modifications </w:t>
      </w:r>
      <w:r w:rsidR="004514D4">
        <w:rPr>
          <w:sz w:val="22"/>
          <w:szCs w:val="22"/>
        </w:rPr>
        <w:t xml:space="preserve">that were made </w:t>
      </w:r>
      <w:r w:rsidR="00355600">
        <w:rPr>
          <w:sz w:val="22"/>
          <w:szCs w:val="22"/>
        </w:rPr>
        <w:t xml:space="preserve">in the 2021 SDR </w:t>
      </w:r>
      <w:r w:rsidR="007C0D17">
        <w:rPr>
          <w:sz w:val="22"/>
          <w:szCs w:val="22"/>
        </w:rPr>
        <w:t>to</w:t>
      </w:r>
      <w:r w:rsidR="004D015B">
        <w:rPr>
          <w:sz w:val="22"/>
          <w:szCs w:val="22"/>
        </w:rPr>
        <w:t xml:space="preserve"> measure</w:t>
      </w:r>
      <w:r w:rsidR="007C0D17">
        <w:rPr>
          <w:sz w:val="22"/>
          <w:szCs w:val="22"/>
        </w:rPr>
        <w:t xml:space="preserve"> the effect of the coronavirus pandemic on the sample members’ employment situation. </w:t>
      </w:r>
      <w:bookmarkEnd w:id="31"/>
      <w:r w:rsidR="007C0D17">
        <w:rPr>
          <w:sz w:val="22"/>
          <w:szCs w:val="22"/>
        </w:rPr>
        <w:t xml:space="preserve">NCSES has </w:t>
      </w:r>
      <w:r w:rsidR="00112A75">
        <w:rPr>
          <w:sz w:val="22"/>
          <w:szCs w:val="22"/>
        </w:rPr>
        <w:t xml:space="preserve">discontinued </w:t>
      </w:r>
      <w:r w:rsidR="007C0D17">
        <w:rPr>
          <w:sz w:val="22"/>
          <w:szCs w:val="22"/>
        </w:rPr>
        <w:t>modifi</w:t>
      </w:r>
      <w:r w:rsidR="00570625">
        <w:rPr>
          <w:sz w:val="22"/>
          <w:szCs w:val="22"/>
        </w:rPr>
        <w:t>cations</w:t>
      </w:r>
      <w:r w:rsidR="0077710B">
        <w:rPr>
          <w:sz w:val="22"/>
          <w:szCs w:val="22"/>
        </w:rPr>
        <w:t xml:space="preserve"> to</w:t>
      </w:r>
      <w:r w:rsidR="007C0D17">
        <w:rPr>
          <w:sz w:val="22"/>
          <w:szCs w:val="22"/>
        </w:rPr>
        <w:t xml:space="preserve"> the response categories for five of the current SDR </w:t>
      </w:r>
      <w:r w:rsidR="00504E61">
        <w:rPr>
          <w:sz w:val="22"/>
          <w:szCs w:val="22"/>
        </w:rPr>
        <w:t xml:space="preserve">employment </w:t>
      </w:r>
      <w:r w:rsidR="007C0D17">
        <w:rPr>
          <w:sz w:val="22"/>
          <w:szCs w:val="22"/>
        </w:rPr>
        <w:t xml:space="preserve">questions and has </w:t>
      </w:r>
      <w:r w:rsidR="00B151A9">
        <w:rPr>
          <w:sz w:val="22"/>
          <w:szCs w:val="22"/>
        </w:rPr>
        <w:t xml:space="preserve">removed </w:t>
      </w:r>
      <w:r w:rsidR="003279B3">
        <w:rPr>
          <w:sz w:val="22"/>
          <w:szCs w:val="22"/>
        </w:rPr>
        <w:t>follow-up questions to the salary and earned income items</w:t>
      </w:r>
      <w:r w:rsidR="0081310F">
        <w:rPr>
          <w:sz w:val="22"/>
          <w:szCs w:val="22"/>
        </w:rPr>
        <w:t xml:space="preserve">. </w:t>
      </w:r>
      <w:r w:rsidR="003C3ADE">
        <w:rPr>
          <w:sz w:val="22"/>
          <w:szCs w:val="22"/>
        </w:rPr>
        <w:t>As a result of these changes,</w:t>
      </w:r>
      <w:r w:rsidR="00842869">
        <w:rPr>
          <w:sz w:val="22"/>
          <w:szCs w:val="22"/>
        </w:rPr>
        <w:t xml:space="preserve"> </w:t>
      </w:r>
      <w:r w:rsidR="007E7F93">
        <w:rPr>
          <w:sz w:val="22"/>
          <w:szCs w:val="22"/>
        </w:rPr>
        <w:t xml:space="preserve">the </w:t>
      </w:r>
      <w:r w:rsidR="001F300B">
        <w:rPr>
          <w:sz w:val="22"/>
          <w:szCs w:val="22"/>
        </w:rPr>
        <w:t xml:space="preserve">2023 SDR content </w:t>
      </w:r>
      <w:r w:rsidR="002D6D7F">
        <w:rPr>
          <w:sz w:val="22"/>
          <w:szCs w:val="22"/>
        </w:rPr>
        <w:t xml:space="preserve">on employment situation </w:t>
      </w:r>
      <w:r w:rsidR="008E0913">
        <w:rPr>
          <w:sz w:val="22"/>
          <w:szCs w:val="22"/>
        </w:rPr>
        <w:t>will</w:t>
      </w:r>
      <w:r w:rsidR="000A65F3">
        <w:rPr>
          <w:sz w:val="22"/>
          <w:szCs w:val="22"/>
        </w:rPr>
        <w:t xml:space="preserve"> be returned to their 2019 versions.</w:t>
      </w:r>
      <w:r w:rsidR="00AD67B6">
        <w:rPr>
          <w:sz w:val="22"/>
          <w:szCs w:val="22"/>
        </w:rPr>
        <w:t xml:space="preserve"> </w:t>
      </w:r>
      <w:r w:rsidR="007E7F93">
        <w:rPr>
          <w:sz w:val="22"/>
          <w:szCs w:val="22"/>
        </w:rPr>
        <w:t xml:space="preserve">The </w:t>
      </w:r>
      <w:r w:rsidR="005055F5">
        <w:rPr>
          <w:sz w:val="22"/>
          <w:szCs w:val="22"/>
        </w:rPr>
        <w:t>SDR wi</w:t>
      </w:r>
      <w:r w:rsidR="0051424E">
        <w:rPr>
          <w:sz w:val="22"/>
          <w:szCs w:val="22"/>
        </w:rPr>
        <w:t xml:space="preserve">ll also follow </w:t>
      </w:r>
      <w:r w:rsidR="007E7F93">
        <w:rPr>
          <w:sz w:val="22"/>
          <w:szCs w:val="22"/>
        </w:rPr>
        <w:t xml:space="preserve">the </w:t>
      </w:r>
      <w:r w:rsidR="0051424E">
        <w:rPr>
          <w:sz w:val="22"/>
          <w:szCs w:val="22"/>
        </w:rPr>
        <w:t>NSCG</w:t>
      </w:r>
      <w:r w:rsidR="004F3EDB">
        <w:rPr>
          <w:sz w:val="22"/>
          <w:szCs w:val="22"/>
        </w:rPr>
        <w:t xml:space="preserve"> </w:t>
      </w:r>
      <w:r w:rsidR="00FE18C6">
        <w:rPr>
          <w:sz w:val="22"/>
          <w:szCs w:val="22"/>
        </w:rPr>
        <w:t>by</w:t>
      </w:r>
      <w:r>
        <w:rPr>
          <w:sz w:val="22"/>
          <w:szCs w:val="22"/>
        </w:rPr>
        <w:t>:</w:t>
      </w:r>
    </w:p>
    <w:p w:rsidR="005069CA" w:rsidP="005069CA" w14:paraId="787DA0D7" w14:textId="5AB59C30">
      <w:pPr>
        <w:pStyle w:val="BodyText"/>
        <w:numPr>
          <w:ilvl w:val="1"/>
          <w:numId w:val="19"/>
        </w:numPr>
        <w:rPr>
          <w:sz w:val="22"/>
          <w:szCs w:val="22"/>
        </w:rPr>
      </w:pPr>
      <w:r>
        <w:rPr>
          <w:sz w:val="22"/>
          <w:szCs w:val="22"/>
        </w:rPr>
        <w:t>m</w:t>
      </w:r>
      <w:r w:rsidR="00FE18C6">
        <w:rPr>
          <w:sz w:val="22"/>
          <w:szCs w:val="22"/>
        </w:rPr>
        <w:t>odifying</w:t>
      </w:r>
      <w:r w:rsidR="004F3EDB">
        <w:rPr>
          <w:sz w:val="22"/>
          <w:szCs w:val="22"/>
        </w:rPr>
        <w:t xml:space="preserve"> </w:t>
      </w:r>
      <w:r w:rsidR="00BB3BA4">
        <w:rPr>
          <w:sz w:val="22"/>
          <w:szCs w:val="22"/>
        </w:rPr>
        <w:t xml:space="preserve">the </w:t>
      </w:r>
      <w:r w:rsidR="004F3EDB">
        <w:rPr>
          <w:sz w:val="22"/>
          <w:szCs w:val="22"/>
        </w:rPr>
        <w:t>telework</w:t>
      </w:r>
      <w:r w:rsidR="00BB3BA4">
        <w:rPr>
          <w:sz w:val="22"/>
          <w:szCs w:val="22"/>
        </w:rPr>
        <w:t xml:space="preserve"> measure</w:t>
      </w:r>
      <w:r w:rsidR="004F3EDB">
        <w:rPr>
          <w:sz w:val="22"/>
          <w:szCs w:val="22"/>
        </w:rPr>
        <w:t xml:space="preserve"> to collect information about remote work in general</w:t>
      </w:r>
      <w:r>
        <w:rPr>
          <w:sz w:val="22"/>
          <w:szCs w:val="22"/>
        </w:rPr>
        <w:t>, removing reference to the coronavirus pandemic</w:t>
      </w:r>
      <w:r w:rsidR="003963DB">
        <w:rPr>
          <w:sz w:val="22"/>
          <w:szCs w:val="22"/>
        </w:rPr>
        <w:t>, and</w:t>
      </w:r>
      <w:r w:rsidR="00EA4800">
        <w:rPr>
          <w:sz w:val="22"/>
          <w:szCs w:val="22"/>
        </w:rPr>
        <w:t xml:space="preserve"> </w:t>
      </w:r>
    </w:p>
    <w:p w:rsidR="005069CA" w:rsidP="005069CA" w14:paraId="4E43EF69" w14:textId="5FD70B40">
      <w:pPr>
        <w:pStyle w:val="BodyText"/>
        <w:numPr>
          <w:ilvl w:val="1"/>
          <w:numId w:val="19"/>
        </w:numPr>
        <w:rPr>
          <w:sz w:val="22"/>
          <w:szCs w:val="22"/>
        </w:rPr>
      </w:pPr>
      <w:r>
        <w:rPr>
          <w:sz w:val="22"/>
          <w:szCs w:val="22"/>
        </w:rPr>
        <w:t>u</w:t>
      </w:r>
      <w:r w:rsidR="00F013F1">
        <w:rPr>
          <w:sz w:val="22"/>
          <w:szCs w:val="22"/>
        </w:rPr>
        <w:t>pdating the list of occupation code</w:t>
      </w:r>
      <w:r w:rsidR="004F2D9A">
        <w:rPr>
          <w:sz w:val="22"/>
          <w:szCs w:val="22"/>
        </w:rPr>
        <w:t>s.</w:t>
      </w:r>
    </w:p>
    <w:p w:rsidR="003279B3" w:rsidP="005645F8" w14:paraId="2363E529" w14:textId="0F48266C">
      <w:pPr>
        <w:pStyle w:val="BodyText"/>
        <w:ind w:left="720"/>
        <w:rPr>
          <w:sz w:val="22"/>
          <w:szCs w:val="22"/>
        </w:rPr>
      </w:pPr>
      <w:r>
        <w:rPr>
          <w:sz w:val="22"/>
          <w:szCs w:val="22"/>
        </w:rPr>
        <w:t xml:space="preserve">The SDR will also </w:t>
      </w:r>
      <w:r w:rsidR="00224B2D">
        <w:rPr>
          <w:sz w:val="22"/>
          <w:szCs w:val="22"/>
        </w:rPr>
        <w:t xml:space="preserve">add a request to consent </w:t>
      </w:r>
      <w:r w:rsidR="006733D4">
        <w:rPr>
          <w:sz w:val="22"/>
          <w:szCs w:val="22"/>
        </w:rPr>
        <w:t xml:space="preserve">to </w:t>
      </w:r>
      <w:r w:rsidR="00224B2D">
        <w:rPr>
          <w:sz w:val="22"/>
          <w:szCs w:val="22"/>
        </w:rPr>
        <w:t xml:space="preserve">receiving text messages </w:t>
      </w:r>
      <w:r w:rsidR="00CC3AAD">
        <w:rPr>
          <w:sz w:val="22"/>
          <w:szCs w:val="22"/>
        </w:rPr>
        <w:t xml:space="preserve">for </w:t>
      </w:r>
      <w:r w:rsidR="007E7F93">
        <w:rPr>
          <w:sz w:val="22"/>
          <w:szCs w:val="22"/>
        </w:rPr>
        <w:t xml:space="preserve">the </w:t>
      </w:r>
      <w:r w:rsidR="00CC3AAD">
        <w:rPr>
          <w:sz w:val="22"/>
          <w:szCs w:val="22"/>
        </w:rPr>
        <w:t>2025 SDR</w:t>
      </w:r>
      <w:r w:rsidR="00BA16C7">
        <w:rPr>
          <w:sz w:val="22"/>
          <w:szCs w:val="22"/>
        </w:rPr>
        <w:t xml:space="preserve"> data collection prompting</w:t>
      </w:r>
      <w:r w:rsidR="00CC3AAD">
        <w:rPr>
          <w:sz w:val="22"/>
          <w:szCs w:val="22"/>
        </w:rPr>
        <w:t>.</w:t>
      </w:r>
      <w:r w:rsidR="00345E4C">
        <w:rPr>
          <w:sz w:val="22"/>
          <w:szCs w:val="22"/>
        </w:rPr>
        <w:t xml:space="preserve"> </w:t>
      </w:r>
      <w:bookmarkStart w:id="32" w:name="OLE_LINK1"/>
      <w:r w:rsidR="004F3EDB">
        <w:rPr>
          <w:sz w:val="22"/>
          <w:szCs w:val="22"/>
        </w:rPr>
        <w:t xml:space="preserve">See </w:t>
      </w:r>
      <w:r w:rsidRPr="00EC4CC0" w:rsidR="004F3EDB">
        <w:rPr>
          <w:sz w:val="22"/>
          <w:szCs w:val="22"/>
        </w:rPr>
        <w:t xml:space="preserve">Appendix </w:t>
      </w:r>
      <w:r w:rsidRPr="008B47F9" w:rsidR="004F3EDB">
        <w:rPr>
          <w:sz w:val="22"/>
          <w:szCs w:val="22"/>
        </w:rPr>
        <w:t>D.</w:t>
      </w:r>
      <w:r w:rsidRPr="008B47F9" w:rsidR="00EC4CC0">
        <w:rPr>
          <w:sz w:val="22"/>
          <w:szCs w:val="22"/>
        </w:rPr>
        <w:t>1</w:t>
      </w:r>
      <w:r w:rsidRPr="008B47F9" w:rsidR="004F3EDB">
        <w:rPr>
          <w:sz w:val="22"/>
          <w:szCs w:val="22"/>
        </w:rPr>
        <w:t xml:space="preserve"> </w:t>
      </w:r>
      <w:r w:rsidRPr="00EC4CC0" w:rsidR="004F3EDB">
        <w:rPr>
          <w:sz w:val="22"/>
          <w:szCs w:val="22"/>
        </w:rPr>
        <w:t xml:space="preserve">for the set of </w:t>
      </w:r>
      <w:r w:rsidRPr="00EC4CC0" w:rsidR="005635A9">
        <w:rPr>
          <w:sz w:val="22"/>
          <w:szCs w:val="22"/>
        </w:rPr>
        <w:t>items</w:t>
      </w:r>
      <w:r w:rsidRPr="00EC4CC0" w:rsidR="004F3EDB">
        <w:rPr>
          <w:sz w:val="22"/>
          <w:szCs w:val="22"/>
        </w:rPr>
        <w:t xml:space="preserve"> that have been added or changed </w:t>
      </w:r>
      <w:bookmarkEnd w:id="32"/>
      <w:r w:rsidRPr="00EC4CC0" w:rsidR="004F3EDB">
        <w:rPr>
          <w:sz w:val="22"/>
          <w:szCs w:val="22"/>
        </w:rPr>
        <w:t xml:space="preserve">from the 2021 </w:t>
      </w:r>
      <w:r w:rsidR="007E7F93">
        <w:rPr>
          <w:sz w:val="22"/>
          <w:szCs w:val="22"/>
        </w:rPr>
        <w:t>SDR questionnaire</w:t>
      </w:r>
      <w:r w:rsidRPr="00EC4CC0" w:rsidR="004F3EDB">
        <w:rPr>
          <w:sz w:val="22"/>
          <w:szCs w:val="22"/>
        </w:rPr>
        <w:t xml:space="preserve"> found in Appendix </w:t>
      </w:r>
      <w:r w:rsidRPr="00DC6EF5" w:rsidR="004F3EDB">
        <w:rPr>
          <w:sz w:val="22"/>
          <w:szCs w:val="22"/>
        </w:rPr>
        <w:t>D.</w:t>
      </w:r>
      <w:r w:rsidRPr="00DC6EF5" w:rsidR="00EC4CC0">
        <w:rPr>
          <w:sz w:val="22"/>
          <w:szCs w:val="22"/>
        </w:rPr>
        <w:t>2</w:t>
      </w:r>
      <w:r w:rsidRPr="00EC4CC0" w:rsidR="004F3EDB">
        <w:rPr>
          <w:sz w:val="22"/>
          <w:szCs w:val="22"/>
        </w:rPr>
        <w:t>.</w:t>
      </w:r>
    </w:p>
    <w:p w:rsidR="002068E2" w:rsidP="005645F8" w14:paraId="0691C8EA" w14:textId="77777777">
      <w:pPr>
        <w:pStyle w:val="BodyText"/>
        <w:ind w:left="720"/>
        <w:rPr>
          <w:sz w:val="22"/>
          <w:szCs w:val="22"/>
        </w:rPr>
      </w:pPr>
    </w:p>
    <w:p w:rsidR="002068E2" w:rsidP="00C6513C" w14:paraId="14BFDFB7" w14:textId="216D96D6">
      <w:pPr>
        <w:pStyle w:val="BodyText"/>
        <w:numPr>
          <w:ilvl w:val="0"/>
          <w:numId w:val="19"/>
        </w:numPr>
        <w:rPr>
          <w:sz w:val="22"/>
          <w:szCs w:val="22"/>
        </w:rPr>
      </w:pPr>
      <w:r w:rsidRPr="5AB30E5D">
        <w:rPr>
          <w:sz w:val="22"/>
          <w:szCs w:val="22"/>
        </w:rPr>
        <w:t xml:space="preserve">Second, the 2023 SDR will </w:t>
      </w:r>
      <w:r w:rsidRPr="5AB30E5D" w:rsidR="47294B01">
        <w:rPr>
          <w:sz w:val="22"/>
          <w:szCs w:val="22"/>
        </w:rPr>
        <w:t xml:space="preserve">largely </w:t>
      </w:r>
      <w:r w:rsidRPr="5AB30E5D">
        <w:rPr>
          <w:sz w:val="22"/>
          <w:szCs w:val="22"/>
        </w:rPr>
        <w:t xml:space="preserve">continue the implementation of dependent interviewing that was introduced in </w:t>
      </w:r>
      <w:r w:rsidR="007E7F93">
        <w:rPr>
          <w:sz w:val="22"/>
          <w:szCs w:val="22"/>
        </w:rPr>
        <w:t xml:space="preserve">the </w:t>
      </w:r>
      <w:r w:rsidRPr="5AB30E5D">
        <w:rPr>
          <w:sz w:val="22"/>
          <w:szCs w:val="22"/>
        </w:rPr>
        <w:t xml:space="preserve">2021 SDR electronic web and CATI questionnaires. </w:t>
      </w:r>
      <w:bookmarkStart w:id="33" w:name="OLE_LINK2"/>
      <w:r w:rsidRPr="5AB30E5D">
        <w:rPr>
          <w:sz w:val="22"/>
          <w:szCs w:val="22"/>
        </w:rPr>
        <w:t>The prefilled form version of those questionnaires will be</w:t>
      </w:r>
      <w:r w:rsidRPr="5AB30E5D" w:rsidR="50C80AAC">
        <w:rPr>
          <w:sz w:val="22"/>
          <w:szCs w:val="22"/>
        </w:rPr>
        <w:t xml:space="preserve"> slightly</w:t>
      </w:r>
      <w:r w:rsidRPr="5AB30E5D">
        <w:rPr>
          <w:sz w:val="22"/>
          <w:szCs w:val="22"/>
        </w:rPr>
        <w:t xml:space="preserve"> modified based on an assessment of the analytic report from the </w:t>
      </w:r>
      <w:r w:rsidRPr="00741D1F">
        <w:rPr>
          <w:i/>
          <w:iCs/>
          <w:sz w:val="22"/>
          <w:szCs w:val="22"/>
        </w:rPr>
        <w:t>2020 SDR Dependent Interviewing Survey Pilot Study</w:t>
      </w:r>
      <w:r w:rsidRPr="5AB30E5D">
        <w:rPr>
          <w:sz w:val="22"/>
          <w:szCs w:val="22"/>
        </w:rPr>
        <w:t xml:space="preserve"> and </w:t>
      </w:r>
      <w:r w:rsidRPr="5AB30E5D" w:rsidR="280556AA">
        <w:rPr>
          <w:sz w:val="22"/>
          <w:szCs w:val="22"/>
        </w:rPr>
        <w:t xml:space="preserve">of </w:t>
      </w:r>
      <w:r w:rsidRPr="5AB30E5D">
        <w:rPr>
          <w:sz w:val="22"/>
          <w:szCs w:val="22"/>
        </w:rPr>
        <w:t xml:space="preserve">prior implementation of prefilled items on the </w:t>
      </w:r>
      <w:r w:rsidR="00EC1FDE">
        <w:rPr>
          <w:sz w:val="22"/>
          <w:szCs w:val="22"/>
        </w:rPr>
        <w:t xml:space="preserve">2017 </w:t>
      </w:r>
      <w:r w:rsidRPr="5AB30E5D">
        <w:rPr>
          <w:sz w:val="22"/>
          <w:szCs w:val="22"/>
        </w:rPr>
        <w:t>CATI questionnaire.</w:t>
      </w:r>
      <w:r w:rsidRPr="5AB30E5D" w:rsidR="50C80AAC">
        <w:rPr>
          <w:sz w:val="22"/>
          <w:szCs w:val="22"/>
        </w:rPr>
        <w:t xml:space="preserve"> </w:t>
      </w:r>
    </w:p>
    <w:bookmarkEnd w:id="33"/>
    <w:p w:rsidR="002E6C3B" w:rsidP="002E6C3B" w14:paraId="7E330049" w14:textId="77777777">
      <w:pPr>
        <w:pStyle w:val="BodyText"/>
        <w:ind w:left="720"/>
        <w:rPr>
          <w:sz w:val="22"/>
          <w:szCs w:val="22"/>
        </w:rPr>
      </w:pPr>
    </w:p>
    <w:p w:rsidR="005322D9" w:rsidRPr="004F4773" w:rsidP="007B23FD" w14:paraId="64A7B8C7" w14:textId="3AC97C14">
      <w:pPr>
        <w:pStyle w:val="BodyText"/>
        <w:numPr>
          <w:ilvl w:val="0"/>
          <w:numId w:val="19"/>
        </w:numPr>
        <w:rPr>
          <w:rStyle w:val="normaltextrun"/>
          <w:sz w:val="22"/>
          <w:szCs w:val="22"/>
          <w:shd w:val="clear" w:color="auto" w:fill="FFFFFF"/>
        </w:rPr>
      </w:pPr>
      <w:r>
        <w:rPr>
          <w:sz w:val="22"/>
          <w:szCs w:val="22"/>
        </w:rPr>
        <w:t>Third</w:t>
      </w:r>
      <w:r w:rsidR="003279B3">
        <w:rPr>
          <w:sz w:val="22"/>
          <w:szCs w:val="22"/>
        </w:rPr>
        <w:t xml:space="preserve">, </w:t>
      </w:r>
      <w:r w:rsidR="00F96E63">
        <w:rPr>
          <w:sz w:val="22"/>
          <w:szCs w:val="22"/>
        </w:rPr>
        <w:t xml:space="preserve">the 2023 SDR will </w:t>
      </w:r>
      <w:r w:rsidR="00141610">
        <w:rPr>
          <w:sz w:val="22"/>
          <w:szCs w:val="22"/>
        </w:rPr>
        <w:t>feature</w:t>
      </w:r>
      <w:r w:rsidR="00F96E63">
        <w:rPr>
          <w:sz w:val="22"/>
          <w:szCs w:val="22"/>
        </w:rPr>
        <w:t xml:space="preserve"> a </w:t>
      </w:r>
      <w:r w:rsidR="00141610">
        <w:rPr>
          <w:sz w:val="22"/>
          <w:szCs w:val="22"/>
        </w:rPr>
        <w:t xml:space="preserve">new </w:t>
      </w:r>
      <w:r w:rsidR="00F96E63">
        <w:rPr>
          <w:sz w:val="22"/>
          <w:szCs w:val="22"/>
        </w:rPr>
        <w:t>retirement module</w:t>
      </w:r>
      <w:r w:rsidR="002201F9">
        <w:rPr>
          <w:sz w:val="22"/>
          <w:szCs w:val="22"/>
        </w:rPr>
        <w:t xml:space="preserve"> </w:t>
      </w:r>
      <w:r w:rsidRPr="004F4773" w:rsidR="004E47B0">
        <w:rPr>
          <w:sz w:val="22"/>
          <w:szCs w:val="22"/>
        </w:rPr>
        <w:t xml:space="preserve">to </w:t>
      </w:r>
      <w:r w:rsidRPr="004F4773" w:rsidR="004E47B0">
        <w:rPr>
          <w:rStyle w:val="normaltextrun"/>
          <w:sz w:val="22"/>
          <w:szCs w:val="22"/>
          <w:shd w:val="clear" w:color="auto" w:fill="FFFFFF"/>
        </w:rPr>
        <w:t>collect objective data on sample members</w:t>
      </w:r>
      <w:r w:rsidRPr="004F4773" w:rsidR="009050A5">
        <w:rPr>
          <w:rStyle w:val="normaltextrun"/>
          <w:sz w:val="22"/>
          <w:szCs w:val="22"/>
          <w:shd w:val="clear" w:color="auto" w:fill="FFFFFF"/>
        </w:rPr>
        <w:t>’</w:t>
      </w:r>
      <w:r w:rsidRPr="004F4773" w:rsidR="004E47B0">
        <w:rPr>
          <w:rStyle w:val="normaltextrun"/>
          <w:sz w:val="22"/>
          <w:szCs w:val="22"/>
          <w:shd w:val="clear" w:color="auto" w:fill="FFFFFF"/>
        </w:rPr>
        <w:t xml:space="preserve"> </w:t>
      </w:r>
      <w:r w:rsidRPr="004F4773" w:rsidR="005F0382">
        <w:rPr>
          <w:rStyle w:val="normaltextrun"/>
          <w:sz w:val="22"/>
          <w:szCs w:val="22"/>
          <w:shd w:val="clear" w:color="auto" w:fill="FFFFFF"/>
        </w:rPr>
        <w:t>pathway</w:t>
      </w:r>
      <w:r w:rsidRPr="004F4773" w:rsidR="009050A5">
        <w:rPr>
          <w:rStyle w:val="normaltextrun"/>
          <w:sz w:val="22"/>
          <w:szCs w:val="22"/>
          <w:shd w:val="clear" w:color="auto" w:fill="FFFFFF"/>
        </w:rPr>
        <w:t>s</w:t>
      </w:r>
      <w:r w:rsidRPr="004F4773" w:rsidR="005F0382">
        <w:rPr>
          <w:rStyle w:val="normaltextrun"/>
          <w:sz w:val="22"/>
          <w:szCs w:val="22"/>
          <w:shd w:val="clear" w:color="auto" w:fill="FFFFFF"/>
        </w:rPr>
        <w:t xml:space="preserve"> </w:t>
      </w:r>
      <w:r w:rsidRPr="004F4773" w:rsidR="009050A5">
        <w:rPr>
          <w:rStyle w:val="normaltextrun"/>
          <w:sz w:val="22"/>
          <w:szCs w:val="22"/>
          <w:shd w:val="clear" w:color="auto" w:fill="FFFFFF"/>
        </w:rPr>
        <w:t>to</w:t>
      </w:r>
      <w:r w:rsidRPr="004F4773" w:rsidR="005F0382">
        <w:rPr>
          <w:rStyle w:val="normaltextrun"/>
          <w:sz w:val="22"/>
          <w:szCs w:val="22"/>
          <w:shd w:val="clear" w:color="auto" w:fill="FFFFFF"/>
        </w:rPr>
        <w:t xml:space="preserve"> full retirement</w:t>
      </w:r>
      <w:r w:rsidRPr="004F4773" w:rsidR="009050A5">
        <w:rPr>
          <w:rStyle w:val="normaltextrun"/>
          <w:sz w:val="22"/>
          <w:szCs w:val="22"/>
          <w:shd w:val="clear" w:color="auto" w:fill="FFFFFF"/>
        </w:rPr>
        <w:t xml:space="preserve">, as well as </w:t>
      </w:r>
      <w:r w:rsidRPr="004F4773" w:rsidR="004E47B0">
        <w:rPr>
          <w:rStyle w:val="normaltextrun"/>
          <w:sz w:val="22"/>
          <w:szCs w:val="22"/>
          <w:shd w:val="clear" w:color="auto" w:fill="FFFFFF"/>
        </w:rPr>
        <w:t xml:space="preserve">circumstances and reasons for retirement, </w:t>
      </w:r>
      <w:r w:rsidRPr="004F4773" w:rsidR="009050A5">
        <w:rPr>
          <w:rStyle w:val="normaltextrun"/>
          <w:sz w:val="22"/>
          <w:szCs w:val="22"/>
          <w:shd w:val="clear" w:color="auto" w:fill="FFFFFF"/>
        </w:rPr>
        <w:t>and</w:t>
      </w:r>
      <w:r w:rsidRPr="004F4773" w:rsidR="004E47B0">
        <w:rPr>
          <w:rStyle w:val="normaltextrun"/>
          <w:sz w:val="22"/>
          <w:szCs w:val="22"/>
          <w:shd w:val="clear" w:color="auto" w:fill="FFFFFF"/>
        </w:rPr>
        <w:t xml:space="preserve"> post-employment activities</w:t>
      </w:r>
      <w:r w:rsidRPr="004F4773" w:rsidR="00953EA3">
        <w:rPr>
          <w:rStyle w:val="normaltextrun"/>
          <w:sz w:val="22"/>
          <w:szCs w:val="22"/>
          <w:shd w:val="clear" w:color="auto" w:fill="FFFFFF"/>
        </w:rPr>
        <w:t>.</w:t>
      </w:r>
      <w:r w:rsidRPr="004F4773" w:rsidR="00CA63B6">
        <w:rPr>
          <w:rStyle w:val="normaltextrun"/>
          <w:sz w:val="22"/>
          <w:szCs w:val="22"/>
          <w:shd w:val="clear" w:color="auto" w:fill="FFFFFF"/>
        </w:rPr>
        <w:t xml:space="preserve"> </w:t>
      </w:r>
      <w:r w:rsidRPr="004F4773" w:rsidR="00DE70E6">
        <w:rPr>
          <w:rStyle w:val="normaltextrun"/>
          <w:sz w:val="22"/>
          <w:szCs w:val="22"/>
          <w:shd w:val="clear" w:color="auto" w:fill="FFFFFF"/>
        </w:rPr>
        <w:t>T</w:t>
      </w:r>
      <w:r w:rsidRPr="004F4773" w:rsidR="00A83D45">
        <w:rPr>
          <w:rStyle w:val="normaltextrun"/>
          <w:sz w:val="22"/>
          <w:szCs w:val="22"/>
          <w:shd w:val="clear" w:color="auto" w:fill="FFFFFF"/>
        </w:rPr>
        <w:t xml:space="preserve">he SDR has </w:t>
      </w:r>
      <w:r w:rsidRPr="004F4773" w:rsidR="00DE70E6">
        <w:rPr>
          <w:rStyle w:val="normaltextrun"/>
          <w:sz w:val="22"/>
          <w:szCs w:val="22"/>
          <w:shd w:val="clear" w:color="auto" w:fill="FFFFFF"/>
        </w:rPr>
        <w:t xml:space="preserve">always </w:t>
      </w:r>
      <w:r w:rsidRPr="004F4773" w:rsidR="00A83D45">
        <w:rPr>
          <w:rStyle w:val="normaltextrun"/>
          <w:sz w:val="22"/>
          <w:szCs w:val="22"/>
          <w:shd w:val="clear" w:color="auto" w:fill="FFFFFF"/>
        </w:rPr>
        <w:t>included questions about the timing of and reasons for retirement</w:t>
      </w:r>
      <w:r w:rsidRPr="004F4773" w:rsidR="00DE70E6">
        <w:rPr>
          <w:rStyle w:val="normaltextrun"/>
          <w:sz w:val="22"/>
          <w:szCs w:val="22"/>
          <w:shd w:val="clear" w:color="auto" w:fill="FFFFFF"/>
        </w:rPr>
        <w:t xml:space="preserve">, but </w:t>
      </w:r>
      <w:r w:rsidRPr="004F4773" w:rsidR="00A83D45">
        <w:rPr>
          <w:rStyle w:val="normaltextrun"/>
          <w:sz w:val="22"/>
          <w:szCs w:val="22"/>
          <w:shd w:val="clear" w:color="auto" w:fill="FFFFFF"/>
        </w:rPr>
        <w:t xml:space="preserve">these questions have asked about a very limited set of measures and fail to capture key aspects of what can often be a complex and multifaceted process. The </w:t>
      </w:r>
      <w:r w:rsidRPr="004F4773" w:rsidR="00A83D45">
        <w:rPr>
          <w:rStyle w:val="normaltextrun"/>
          <w:sz w:val="22"/>
          <w:szCs w:val="22"/>
          <w:shd w:val="clear" w:color="auto" w:fill="FFFFFF"/>
        </w:rPr>
        <w:t xml:space="preserve">retirement module collects data that creates a nuanced picture of the pathways to retirement, recognizing the partial and phased approach people may take to decreasing and eventually breaking off from workforce participation. </w:t>
      </w:r>
    </w:p>
    <w:p w:rsidR="005322D9" w:rsidRPr="004F4773" w:rsidP="004F4773" w14:paraId="0D910556" w14:textId="77777777">
      <w:pPr>
        <w:pStyle w:val="BodyText"/>
        <w:ind w:left="720"/>
        <w:rPr>
          <w:rStyle w:val="normaltextrun"/>
          <w:rFonts w:ascii="Segoe UI" w:hAnsi="Segoe UI" w:cs="Segoe UI"/>
          <w:sz w:val="22"/>
          <w:szCs w:val="22"/>
        </w:rPr>
      </w:pPr>
    </w:p>
    <w:p w:rsidR="001B5FED" w:rsidRPr="004F4773" w:rsidP="004F4773" w14:paraId="0DAA5277" w14:textId="2DC34B49">
      <w:pPr>
        <w:pStyle w:val="BodyText"/>
        <w:ind w:left="720"/>
        <w:rPr>
          <w:rStyle w:val="normaltextrun"/>
          <w:rFonts w:ascii="Segoe UI" w:hAnsi="Segoe UI" w:cs="Segoe UI"/>
          <w:sz w:val="22"/>
          <w:szCs w:val="22"/>
        </w:rPr>
      </w:pPr>
      <w:r w:rsidRPr="004F4773">
        <w:rPr>
          <w:rStyle w:val="normaltextrun"/>
          <w:sz w:val="22"/>
          <w:szCs w:val="22"/>
        </w:rPr>
        <w:t>The retirement</w:t>
      </w:r>
      <w:r w:rsidRPr="004F4773" w:rsidR="009050A5">
        <w:rPr>
          <w:rStyle w:val="normaltextrun"/>
          <w:sz w:val="22"/>
          <w:szCs w:val="22"/>
        </w:rPr>
        <w:t xml:space="preserve"> questions</w:t>
      </w:r>
      <w:r w:rsidRPr="004F4773" w:rsidR="00CA63B6">
        <w:rPr>
          <w:rStyle w:val="normaltextrun"/>
          <w:sz w:val="22"/>
          <w:szCs w:val="22"/>
        </w:rPr>
        <w:t xml:space="preserve"> </w:t>
      </w:r>
      <w:r w:rsidRPr="004F4773" w:rsidR="00B50FC3">
        <w:rPr>
          <w:rStyle w:val="normaltextrun"/>
          <w:sz w:val="22"/>
          <w:szCs w:val="22"/>
        </w:rPr>
        <w:t xml:space="preserve">were developed </w:t>
      </w:r>
      <w:r w:rsidRPr="004F4773" w:rsidR="0050353F">
        <w:rPr>
          <w:rStyle w:val="normaltextrun"/>
          <w:sz w:val="22"/>
          <w:szCs w:val="22"/>
        </w:rPr>
        <w:t xml:space="preserve">from </w:t>
      </w:r>
      <w:r w:rsidRPr="004F4773" w:rsidR="00CA63B6">
        <w:rPr>
          <w:rStyle w:val="normaltextrun"/>
          <w:sz w:val="22"/>
          <w:szCs w:val="22"/>
        </w:rPr>
        <w:t>items in the following surveys:</w:t>
      </w:r>
      <w:r w:rsidRPr="004F4773" w:rsidR="00CA63B6">
        <w:rPr>
          <w:rStyle w:val="eop"/>
          <w:sz w:val="22"/>
          <w:szCs w:val="22"/>
        </w:rPr>
        <w:t> </w:t>
      </w:r>
      <w:r w:rsidRPr="004F4773" w:rsidR="00CA63B6">
        <w:rPr>
          <w:rStyle w:val="normaltextrun"/>
          <w:sz w:val="22"/>
          <w:szCs w:val="22"/>
        </w:rPr>
        <w:t>Health &amp; Retirement Study (HRS)</w:t>
      </w:r>
      <w:r w:rsidRPr="004F4773" w:rsidR="00CA63B6">
        <w:rPr>
          <w:rStyle w:val="eop"/>
          <w:sz w:val="22"/>
          <w:szCs w:val="22"/>
        </w:rPr>
        <w:t xml:space="preserve">; </w:t>
      </w:r>
      <w:r w:rsidRPr="004F4773" w:rsidR="00CA63B6">
        <w:rPr>
          <w:rStyle w:val="normaltextrun"/>
          <w:sz w:val="22"/>
          <w:szCs w:val="22"/>
        </w:rPr>
        <w:t>National Health &amp; Aging Trends Study (NHATS)</w:t>
      </w:r>
      <w:r w:rsidRPr="004F4773" w:rsidR="00CA63B6">
        <w:rPr>
          <w:rStyle w:val="eop"/>
          <w:sz w:val="22"/>
          <w:szCs w:val="22"/>
        </w:rPr>
        <w:t xml:space="preserve">; </w:t>
      </w:r>
      <w:r w:rsidRPr="004F4773" w:rsidR="00CA63B6">
        <w:rPr>
          <w:rStyle w:val="normaltextrun"/>
          <w:sz w:val="22"/>
          <w:szCs w:val="22"/>
        </w:rPr>
        <w:t xml:space="preserve">National Social Life, Health, and Aging Project (NSHAP); Survey of Health, Ageing, and Retirement in Europe (SHARE); </w:t>
      </w:r>
      <w:r w:rsidRPr="004F4773" w:rsidR="006C0520">
        <w:rPr>
          <w:rStyle w:val="normaltextrun"/>
          <w:sz w:val="22"/>
          <w:szCs w:val="22"/>
        </w:rPr>
        <w:t xml:space="preserve">and </w:t>
      </w:r>
      <w:r w:rsidRPr="004F4773" w:rsidR="00CA63B6">
        <w:rPr>
          <w:rStyle w:val="normaltextrun"/>
          <w:sz w:val="22"/>
          <w:szCs w:val="22"/>
        </w:rPr>
        <w:t>English Longitudinal Study of Ageing (ELSA)</w:t>
      </w:r>
      <w:r w:rsidRPr="004F4773" w:rsidR="006C0520">
        <w:rPr>
          <w:rStyle w:val="eop"/>
          <w:sz w:val="22"/>
          <w:szCs w:val="22"/>
        </w:rPr>
        <w:t xml:space="preserve">. However, these </w:t>
      </w:r>
      <w:r w:rsidRPr="004F4773" w:rsidR="00CA63B6">
        <w:rPr>
          <w:rStyle w:val="normaltextrun"/>
          <w:sz w:val="22"/>
          <w:szCs w:val="22"/>
        </w:rPr>
        <w:t xml:space="preserve">studies </w:t>
      </w:r>
      <w:r w:rsidRPr="004F4773" w:rsidR="00B162EF">
        <w:rPr>
          <w:rStyle w:val="normaltextrun"/>
          <w:sz w:val="22"/>
          <w:szCs w:val="22"/>
        </w:rPr>
        <w:t xml:space="preserve">differ from the SDR in that they </w:t>
      </w:r>
      <w:r w:rsidRPr="004F4773" w:rsidR="00CA63B6">
        <w:rPr>
          <w:rStyle w:val="normaltextrun"/>
          <w:sz w:val="22"/>
          <w:szCs w:val="22"/>
        </w:rPr>
        <w:t xml:space="preserve">have different target populations, thus limiting their utility for </w:t>
      </w:r>
      <w:r w:rsidRPr="004F4773" w:rsidR="00822B15">
        <w:rPr>
          <w:rStyle w:val="normaltextrun"/>
          <w:sz w:val="22"/>
          <w:szCs w:val="22"/>
        </w:rPr>
        <w:t>making estimates about</w:t>
      </w:r>
      <w:r w:rsidRPr="004F4773" w:rsidR="00CA63B6">
        <w:rPr>
          <w:rStyle w:val="normaltextrun"/>
          <w:sz w:val="22"/>
          <w:szCs w:val="22"/>
        </w:rPr>
        <w:t xml:space="preserve"> the science and engineering workforce</w:t>
      </w:r>
      <w:r w:rsidRPr="004F4773" w:rsidR="000B177C">
        <w:rPr>
          <w:rStyle w:val="normaltextrun"/>
          <w:sz w:val="22"/>
          <w:szCs w:val="22"/>
        </w:rPr>
        <w:t>, and that they are cross-sectional rather than longitudinal</w:t>
      </w:r>
      <w:r w:rsidRPr="004F4773" w:rsidR="00CA63B6">
        <w:rPr>
          <w:rStyle w:val="normaltextrun"/>
          <w:sz w:val="22"/>
          <w:szCs w:val="22"/>
        </w:rPr>
        <w:t xml:space="preserve">. </w:t>
      </w:r>
      <w:r w:rsidRPr="004F4773" w:rsidR="001976DE">
        <w:rPr>
          <w:rStyle w:val="normaltextrun"/>
          <w:sz w:val="22"/>
          <w:szCs w:val="22"/>
        </w:rPr>
        <w:t>Surveying</w:t>
      </w:r>
      <w:r w:rsidRPr="004F4773" w:rsidR="00CA63B6">
        <w:rPr>
          <w:rStyle w:val="normaltextrun"/>
          <w:sz w:val="22"/>
          <w:szCs w:val="22"/>
        </w:rPr>
        <w:t xml:space="preserve"> the same individuals over </w:t>
      </w:r>
      <w:r w:rsidRPr="004F4773" w:rsidR="001976DE">
        <w:rPr>
          <w:rStyle w:val="normaltextrun"/>
          <w:sz w:val="22"/>
          <w:szCs w:val="22"/>
        </w:rPr>
        <w:t>time</w:t>
      </w:r>
      <w:r w:rsidRPr="004F4773" w:rsidR="00CA63B6">
        <w:rPr>
          <w:rStyle w:val="normaltextrun"/>
          <w:sz w:val="22"/>
          <w:szCs w:val="22"/>
        </w:rPr>
        <w:t xml:space="preserve"> lend</w:t>
      </w:r>
      <w:r w:rsidRPr="004F4773" w:rsidR="001976DE">
        <w:rPr>
          <w:rStyle w:val="normaltextrun"/>
          <w:sz w:val="22"/>
          <w:szCs w:val="22"/>
        </w:rPr>
        <w:t>s</w:t>
      </w:r>
      <w:r w:rsidRPr="004F4773" w:rsidR="00CA63B6">
        <w:rPr>
          <w:rStyle w:val="normaltextrun"/>
          <w:sz w:val="22"/>
          <w:szCs w:val="22"/>
        </w:rPr>
        <w:t xml:space="preserve"> richness to the data and will yield information on the </w:t>
      </w:r>
      <w:r w:rsidRPr="004F4773" w:rsidR="001976DE">
        <w:rPr>
          <w:rStyle w:val="normaltextrun"/>
          <w:sz w:val="22"/>
          <w:szCs w:val="22"/>
        </w:rPr>
        <w:t xml:space="preserve">prevalent </w:t>
      </w:r>
      <w:r w:rsidRPr="004F4773" w:rsidR="00CA63B6">
        <w:rPr>
          <w:rStyle w:val="normaltextrun"/>
          <w:sz w:val="22"/>
          <w:szCs w:val="22"/>
        </w:rPr>
        <w:t>pathways to retirement for the nation’s scientists and engineers</w:t>
      </w:r>
      <w:r w:rsidRPr="004F4773" w:rsidR="00B94537">
        <w:rPr>
          <w:rStyle w:val="normaltextrun"/>
          <w:sz w:val="22"/>
          <w:szCs w:val="22"/>
        </w:rPr>
        <w:t>.</w:t>
      </w:r>
      <w:r w:rsidRPr="004F4773" w:rsidR="001B3B4A">
        <w:rPr>
          <w:rStyle w:val="normaltextrun"/>
          <w:sz w:val="22"/>
          <w:szCs w:val="22"/>
        </w:rPr>
        <w:t xml:space="preserve"> </w:t>
      </w:r>
    </w:p>
    <w:p w:rsidR="00DB5417" w:rsidP="00DB5417" w14:paraId="265CBE1D" w14:textId="77777777">
      <w:pPr>
        <w:pStyle w:val="BodyText"/>
        <w:ind w:left="720"/>
        <w:rPr>
          <w:sz w:val="22"/>
          <w:szCs w:val="22"/>
        </w:rPr>
      </w:pPr>
    </w:p>
    <w:p w:rsidR="00D9509C" w:rsidRPr="008C06FB" w:rsidP="005D496D" w14:paraId="1F7A5006" w14:textId="72B049F3">
      <w:pPr>
        <w:pStyle w:val="BodyText"/>
        <w:ind w:left="720"/>
        <w:rPr>
          <w:sz w:val="22"/>
          <w:szCs w:val="22"/>
        </w:rPr>
      </w:pPr>
      <w:r>
        <w:rPr>
          <w:sz w:val="22"/>
          <w:szCs w:val="22"/>
        </w:rPr>
        <w:t xml:space="preserve">Development and testing of the retirement module items </w:t>
      </w:r>
      <w:r w:rsidR="00BD1BDC">
        <w:rPr>
          <w:sz w:val="22"/>
          <w:szCs w:val="22"/>
        </w:rPr>
        <w:t xml:space="preserve">were informed by a </w:t>
      </w:r>
      <w:r w:rsidR="005D496D">
        <w:rPr>
          <w:sz w:val="22"/>
          <w:szCs w:val="22"/>
        </w:rPr>
        <w:t>literature review conducted to inform the development of the r</w:t>
      </w:r>
      <w:r w:rsidR="00AE1861">
        <w:rPr>
          <w:sz w:val="22"/>
          <w:szCs w:val="22"/>
        </w:rPr>
        <w:t xml:space="preserve">etirement </w:t>
      </w:r>
      <w:r w:rsidR="005D496D">
        <w:rPr>
          <w:sz w:val="22"/>
          <w:szCs w:val="22"/>
        </w:rPr>
        <w:t>m</w:t>
      </w:r>
      <w:r w:rsidR="00AE1861">
        <w:rPr>
          <w:sz w:val="22"/>
          <w:szCs w:val="22"/>
        </w:rPr>
        <w:t xml:space="preserve">odule </w:t>
      </w:r>
      <w:r w:rsidR="005D496D">
        <w:rPr>
          <w:sz w:val="22"/>
          <w:szCs w:val="22"/>
        </w:rPr>
        <w:t xml:space="preserve">for the NSCG and SDR </w:t>
      </w:r>
      <w:r w:rsidR="00DB5417">
        <w:rPr>
          <w:sz w:val="22"/>
          <w:szCs w:val="22"/>
        </w:rPr>
        <w:t xml:space="preserve">is included in </w:t>
      </w:r>
      <w:r w:rsidRPr="008C06FB" w:rsidR="00DB5417">
        <w:rPr>
          <w:sz w:val="22"/>
          <w:szCs w:val="22"/>
        </w:rPr>
        <w:t>Appendi</w:t>
      </w:r>
      <w:r w:rsidRPr="008C06FB" w:rsidR="006604DE">
        <w:rPr>
          <w:sz w:val="22"/>
          <w:szCs w:val="22"/>
        </w:rPr>
        <w:t>x</w:t>
      </w:r>
      <w:r w:rsidRPr="008C06FB" w:rsidR="00DB5417">
        <w:rPr>
          <w:sz w:val="22"/>
          <w:szCs w:val="22"/>
        </w:rPr>
        <w:t xml:space="preserve"> D.3</w:t>
      </w:r>
      <w:r w:rsidRPr="008C06FB" w:rsidR="00BD1BDC">
        <w:rPr>
          <w:sz w:val="22"/>
          <w:szCs w:val="22"/>
        </w:rPr>
        <w:t xml:space="preserve">. </w:t>
      </w:r>
      <w:r w:rsidRPr="008C06FB" w:rsidR="00685BA5">
        <w:rPr>
          <w:sz w:val="22"/>
          <w:szCs w:val="22"/>
        </w:rPr>
        <w:t>Findings from the subsequent t</w:t>
      </w:r>
      <w:r w:rsidRPr="008C06FB" w:rsidR="00685BA5">
        <w:rPr>
          <w:rStyle w:val="normaltextrun"/>
          <w:sz w:val="22"/>
          <w:szCs w:val="22"/>
        </w:rPr>
        <w:t xml:space="preserve">hree iterative rounds of cognitive testing and instrument refinement on the new items are documented in Appendix D.4. </w:t>
      </w:r>
      <w:r w:rsidRPr="008C06FB" w:rsidR="00BD1BDC">
        <w:rPr>
          <w:sz w:val="22"/>
          <w:szCs w:val="22"/>
        </w:rPr>
        <w:t>T</w:t>
      </w:r>
      <w:r w:rsidRPr="008C06FB" w:rsidR="005D496D">
        <w:rPr>
          <w:sz w:val="22"/>
          <w:szCs w:val="22"/>
        </w:rPr>
        <w:t xml:space="preserve">he retirement module items </w:t>
      </w:r>
      <w:r w:rsidRPr="008C06FB" w:rsidR="00BD1BDC">
        <w:rPr>
          <w:sz w:val="22"/>
          <w:szCs w:val="22"/>
        </w:rPr>
        <w:t xml:space="preserve">for inclusion in the 2023 </w:t>
      </w:r>
      <w:r w:rsidRPr="008C06FB" w:rsidR="00BD1BDC">
        <w:rPr>
          <w:sz w:val="22"/>
          <w:szCs w:val="22"/>
        </w:rPr>
        <w:t>subsequent to</w:t>
      </w:r>
      <w:r w:rsidRPr="008C06FB" w:rsidR="00BD1BDC">
        <w:rPr>
          <w:sz w:val="22"/>
          <w:szCs w:val="22"/>
        </w:rPr>
        <w:t xml:space="preserve"> development and several rounds of cognitive testing </w:t>
      </w:r>
      <w:r w:rsidRPr="008C06FB" w:rsidR="005D496D">
        <w:rPr>
          <w:sz w:val="22"/>
          <w:szCs w:val="22"/>
        </w:rPr>
        <w:t xml:space="preserve">may be found </w:t>
      </w:r>
      <w:r w:rsidRPr="008C06FB" w:rsidR="00BD1BDC">
        <w:rPr>
          <w:sz w:val="22"/>
          <w:szCs w:val="22"/>
        </w:rPr>
        <w:t xml:space="preserve">in </w:t>
      </w:r>
      <w:bookmarkStart w:id="34" w:name="OLE_LINK13"/>
      <w:r w:rsidRPr="008C06FB" w:rsidR="00BD1BDC">
        <w:rPr>
          <w:sz w:val="22"/>
          <w:szCs w:val="22"/>
        </w:rPr>
        <w:t xml:space="preserve">Appendix D.1 which shows the set of items </w:t>
      </w:r>
      <w:bookmarkEnd w:id="34"/>
      <w:r w:rsidRPr="008C06FB" w:rsidR="00BD1BDC">
        <w:rPr>
          <w:sz w:val="22"/>
          <w:szCs w:val="22"/>
        </w:rPr>
        <w:t>that have been added or changed from the 2021 SDR questionnaire, including the retirement module questions.</w:t>
      </w:r>
    </w:p>
    <w:p w:rsidR="00685BA5" w:rsidRPr="008C06FB" w:rsidP="005D496D" w14:paraId="61F29069" w14:textId="3DEB1507">
      <w:pPr>
        <w:pStyle w:val="BodyText"/>
        <w:ind w:left="720"/>
        <w:rPr>
          <w:sz w:val="22"/>
          <w:szCs w:val="22"/>
        </w:rPr>
      </w:pPr>
    </w:p>
    <w:p w:rsidR="00D924A0" w:rsidP="00D924A0" w14:paraId="3C01407D" w14:textId="42456706">
      <w:pPr>
        <w:pStyle w:val="BodyText"/>
        <w:numPr>
          <w:ilvl w:val="0"/>
          <w:numId w:val="19"/>
        </w:numPr>
        <w:autoSpaceDE w:val="0"/>
        <w:autoSpaceDN w:val="0"/>
        <w:adjustRightInd w:val="0"/>
        <w:rPr>
          <w:rFonts w:eastAsia="Calibri"/>
          <w:sz w:val="22"/>
          <w:szCs w:val="22"/>
          <w:lang w:eastAsia="zh-CN"/>
        </w:rPr>
      </w:pPr>
      <w:r w:rsidRPr="00D924A0">
        <w:rPr>
          <w:rStyle w:val="normaltextrun"/>
          <w:sz w:val="22"/>
          <w:szCs w:val="22"/>
        </w:rPr>
        <w:t xml:space="preserve">Fourth, the 2023 SDR will include an experiment to test three versions of questions on sex at birth, gender identity, and sexual orientation (SOGI) using the web instrument. This experiment is a part of the NCSES continuing research on optimal methods for collecting the SOGI information for three distinct </w:t>
      </w:r>
      <w:r w:rsidRPr="00D924A0">
        <w:rPr>
          <w:rStyle w:val="normaltextrun"/>
          <w:sz w:val="22"/>
          <w:szCs w:val="22"/>
        </w:rPr>
        <w:t>important demographic constructs</w:t>
      </w:r>
      <w:r w:rsidRPr="00D924A0">
        <w:rPr>
          <w:rStyle w:val="normaltextrun"/>
          <w:sz w:val="22"/>
          <w:szCs w:val="22"/>
        </w:rPr>
        <w:t xml:space="preserve">. This experiment includes questions developed by OMB’s best practices for general population surveys and by the methodological study tailored for the SED’s new recipients of research doctorates. </w:t>
      </w:r>
      <w:r w:rsidRPr="00D924A0">
        <w:rPr>
          <w:rStyle w:val="normaltextrun"/>
          <w:sz w:val="22"/>
          <w:szCs w:val="22"/>
        </w:rPr>
        <w:t xml:space="preserve">The differences between the questions asked in the SDR are in response to the differences in privacy and confidentiality requirements for the two surveys. </w:t>
      </w:r>
      <w:r w:rsidRPr="00D924A0">
        <w:rPr>
          <w:rStyle w:val="normaltextrun"/>
          <w:sz w:val="22"/>
          <w:szCs w:val="22"/>
        </w:rPr>
        <w:t xml:space="preserve">The SOGI items will be included </w:t>
      </w:r>
      <w:r w:rsidRPr="00D924A0">
        <w:rPr>
          <w:rStyle w:val="normaltextrun"/>
          <w:sz w:val="22"/>
          <w:szCs w:val="22"/>
        </w:rPr>
        <w:t xml:space="preserve">as a separate experimental section of the web survey after the </w:t>
      </w:r>
      <w:r w:rsidRPr="00D924A0">
        <w:rPr>
          <w:rStyle w:val="normaltextrun"/>
          <w:sz w:val="22"/>
          <w:szCs w:val="22"/>
        </w:rPr>
        <w:t>demographic section.</w:t>
      </w:r>
      <w:r w:rsidRPr="00D924A0">
        <w:rPr>
          <w:rStyle w:val="normaltextrun"/>
          <w:sz w:val="22"/>
          <w:szCs w:val="22"/>
        </w:rPr>
        <w:t xml:space="preserve"> Respondents will be informed</w:t>
      </w:r>
      <w:r>
        <w:rPr>
          <w:rStyle w:val="normaltextrun"/>
          <w:sz w:val="22"/>
          <w:szCs w:val="22"/>
        </w:rPr>
        <w:t xml:space="preserve"> that the SDR is a</w:t>
      </w:r>
      <w:r w:rsidRPr="00D924A0">
        <w:rPr>
          <w:rFonts w:eastAsia="Calibri"/>
          <w:sz w:val="22"/>
          <w:szCs w:val="22"/>
          <w:lang w:eastAsia="zh-CN"/>
        </w:rPr>
        <w:t>sking th</w:t>
      </w:r>
      <w:r>
        <w:rPr>
          <w:rFonts w:eastAsia="Calibri"/>
          <w:sz w:val="22"/>
          <w:szCs w:val="22"/>
          <w:lang w:eastAsia="zh-CN"/>
        </w:rPr>
        <w:t>e</w:t>
      </w:r>
      <w:r w:rsidRPr="00D924A0">
        <w:rPr>
          <w:rFonts w:eastAsia="Calibri"/>
          <w:sz w:val="22"/>
          <w:szCs w:val="22"/>
          <w:lang w:eastAsia="zh-CN"/>
        </w:rPr>
        <w:t xml:space="preserve"> question</w:t>
      </w:r>
      <w:r>
        <w:rPr>
          <w:rFonts w:eastAsia="Calibri"/>
          <w:sz w:val="22"/>
          <w:szCs w:val="22"/>
          <w:lang w:eastAsia="zh-CN"/>
        </w:rPr>
        <w:t>s</w:t>
      </w:r>
      <w:r w:rsidRPr="00D924A0">
        <w:rPr>
          <w:rFonts w:eastAsia="Calibri"/>
          <w:sz w:val="22"/>
          <w:szCs w:val="22"/>
          <w:lang w:eastAsia="zh-CN"/>
        </w:rPr>
        <w:t xml:space="preserve"> </w:t>
      </w:r>
      <w:r>
        <w:rPr>
          <w:rFonts w:eastAsia="Calibri"/>
          <w:sz w:val="22"/>
          <w:szCs w:val="22"/>
          <w:lang w:eastAsia="zh-CN"/>
        </w:rPr>
        <w:t xml:space="preserve">in this experimental section </w:t>
      </w:r>
      <w:r w:rsidRPr="00D924A0">
        <w:rPr>
          <w:rFonts w:eastAsia="Calibri"/>
          <w:sz w:val="22"/>
          <w:szCs w:val="22"/>
          <w:lang w:eastAsia="zh-CN"/>
        </w:rPr>
        <w:t xml:space="preserve">to be more inclusive and to study the differences in </w:t>
      </w:r>
      <w:r>
        <w:rPr>
          <w:rFonts w:eastAsia="Calibri"/>
          <w:sz w:val="22"/>
          <w:szCs w:val="22"/>
          <w:lang w:eastAsia="zh-CN"/>
        </w:rPr>
        <w:t xml:space="preserve">employment </w:t>
      </w:r>
      <w:r w:rsidRPr="00D924A0">
        <w:rPr>
          <w:rFonts w:eastAsia="Calibri"/>
          <w:sz w:val="22"/>
          <w:szCs w:val="22"/>
          <w:lang w:eastAsia="zh-CN"/>
        </w:rPr>
        <w:t>outcomes among minority groups</w:t>
      </w:r>
      <w:r>
        <w:rPr>
          <w:rFonts w:eastAsia="Calibri"/>
          <w:sz w:val="22"/>
          <w:szCs w:val="22"/>
          <w:lang w:eastAsia="zh-CN"/>
        </w:rPr>
        <w:t xml:space="preserve"> and that their r</w:t>
      </w:r>
      <w:r w:rsidRPr="00D924A0">
        <w:rPr>
          <w:rFonts w:eastAsia="Calibri"/>
          <w:sz w:val="22"/>
          <w:szCs w:val="22"/>
          <w:lang w:eastAsia="zh-CN"/>
        </w:rPr>
        <w:t xml:space="preserve">esponse will be kept confidential, used for experimental research only, and reported in a format that does not lead to individual identification. </w:t>
      </w:r>
    </w:p>
    <w:p w:rsidR="00D924A0" w:rsidRPr="00D924A0" w:rsidP="00D924A0" w14:paraId="59133C9B" w14:textId="77777777">
      <w:pPr>
        <w:pStyle w:val="BodyText"/>
        <w:autoSpaceDE w:val="0"/>
        <w:autoSpaceDN w:val="0"/>
        <w:adjustRightInd w:val="0"/>
        <w:ind w:left="720"/>
        <w:rPr>
          <w:rFonts w:eastAsia="Calibri"/>
          <w:sz w:val="22"/>
          <w:szCs w:val="22"/>
          <w:lang w:eastAsia="zh-CN"/>
        </w:rPr>
      </w:pPr>
    </w:p>
    <w:p w:rsidR="00685BA5" w:rsidRPr="00607235" w14:paraId="57C36FB8" w14:textId="7B8E2851">
      <w:pPr>
        <w:pStyle w:val="BodyText"/>
        <w:numPr>
          <w:ilvl w:val="0"/>
          <w:numId w:val="19"/>
        </w:numPr>
        <w:rPr>
          <w:rStyle w:val="normaltextrun"/>
          <w:color w:val="auto"/>
          <w:sz w:val="22"/>
          <w:szCs w:val="22"/>
        </w:rPr>
      </w:pPr>
      <w:r w:rsidRPr="008C06FB">
        <w:rPr>
          <w:rStyle w:val="normaltextrun"/>
          <w:sz w:val="22"/>
          <w:szCs w:val="22"/>
        </w:rPr>
        <w:t>After asking the SOGI items, respondents will be asked a brief set of follow-up questions to gauge their privacy concerns related to this new information collection. The 2023 SDR SOGI experiment plan is in Appendix D.</w:t>
      </w:r>
      <w:r w:rsidRPr="00311F7F" w:rsidR="008C06FB">
        <w:rPr>
          <w:rStyle w:val="normaltextrun"/>
          <w:sz w:val="22"/>
          <w:szCs w:val="22"/>
        </w:rPr>
        <w:t>5</w:t>
      </w:r>
      <w:r w:rsidRPr="008C06FB">
        <w:rPr>
          <w:rStyle w:val="normaltextrun"/>
          <w:sz w:val="22"/>
          <w:szCs w:val="22"/>
        </w:rPr>
        <w:t xml:space="preserve">.  </w:t>
      </w:r>
    </w:p>
    <w:p w:rsidR="00607235" w:rsidRPr="00311F7F" w:rsidP="00607235" w14:paraId="3B1390EF" w14:textId="77777777">
      <w:pPr>
        <w:pStyle w:val="BodyText"/>
        <w:rPr>
          <w:rStyle w:val="normaltextrun"/>
          <w:sz w:val="22"/>
          <w:szCs w:val="22"/>
        </w:rPr>
      </w:pPr>
    </w:p>
    <w:p w:rsidR="00607235" w:rsidRPr="00311F7F" w:rsidP="00311F7F" w14:paraId="529F6D32" w14:textId="730AA104">
      <w:pPr>
        <w:pStyle w:val="BodyText"/>
        <w:numPr>
          <w:ilvl w:val="0"/>
          <w:numId w:val="19"/>
        </w:numPr>
        <w:rPr>
          <w:rStyle w:val="normaltextrun"/>
          <w:color w:val="auto"/>
          <w:sz w:val="22"/>
          <w:szCs w:val="22"/>
        </w:rPr>
      </w:pPr>
      <w:r w:rsidRPr="00311F7F">
        <w:rPr>
          <w:rStyle w:val="normaltextrun"/>
          <w:color w:val="auto"/>
          <w:sz w:val="22"/>
          <w:szCs w:val="22"/>
        </w:rPr>
        <w:t xml:space="preserve">Fifth, </w:t>
      </w:r>
      <w:r w:rsidRPr="00311F7F" w:rsidR="00734617">
        <w:rPr>
          <w:color w:val="auto"/>
          <w:sz w:val="22"/>
          <w:szCs w:val="22"/>
        </w:rPr>
        <w:t>the 2023 SDR will test questionnaire modifications for the race and ethnicity questionnaire items. This research will support ongoing efforts for updating the OMB’s race and ethnicity statistical standards</w:t>
      </w:r>
      <w:r w:rsidRPr="00311F7F" w:rsidR="007707C4">
        <w:rPr>
          <w:color w:val="auto"/>
          <w:sz w:val="22"/>
          <w:szCs w:val="22"/>
        </w:rPr>
        <w:t>.</w:t>
      </w:r>
      <w:r w:rsidRPr="00311F7F" w:rsidR="00734617">
        <w:rPr>
          <w:color w:val="auto"/>
          <w:sz w:val="22"/>
          <w:szCs w:val="22"/>
        </w:rPr>
        <w:t xml:space="preserve"> A</w:t>
      </w:r>
      <w:r w:rsidRPr="00311F7F" w:rsidR="000D195E">
        <w:rPr>
          <w:color w:val="auto"/>
          <w:sz w:val="22"/>
          <w:szCs w:val="22"/>
        </w:rPr>
        <w:t xml:space="preserve"> </w:t>
      </w:r>
      <w:r w:rsidRPr="00311F7F" w:rsidR="00734617">
        <w:rPr>
          <w:color w:val="auto"/>
          <w:sz w:val="22"/>
          <w:szCs w:val="22"/>
        </w:rPr>
        <w:t>set of revised wording options</w:t>
      </w:r>
      <w:r>
        <w:rPr>
          <w:rStyle w:val="FootnoteReference"/>
          <w:color w:val="auto"/>
          <w:sz w:val="22"/>
          <w:szCs w:val="22"/>
        </w:rPr>
        <w:footnoteReference w:id="10"/>
      </w:r>
      <w:r w:rsidRPr="00311F7F" w:rsidR="00734617">
        <w:rPr>
          <w:color w:val="auto"/>
          <w:sz w:val="22"/>
          <w:szCs w:val="22"/>
        </w:rPr>
        <w:t xml:space="preserve"> for collecting race and ethnicity information will be included in the web survey.</w:t>
      </w:r>
    </w:p>
    <w:p w:rsidR="00676203" w:rsidRPr="00676203" w:rsidP="00676203" w14:paraId="232A8C11" w14:textId="77777777">
      <w:pPr>
        <w:pStyle w:val="BodyText"/>
        <w:ind w:left="720"/>
        <w:rPr>
          <w:rStyle w:val="normaltextrun"/>
          <w:sz w:val="22"/>
          <w:szCs w:val="22"/>
        </w:rPr>
      </w:pPr>
    </w:p>
    <w:p w:rsidR="00046B7E" w:rsidRPr="007806F0" w:rsidP="00046B7E" w14:paraId="75534B47" w14:textId="77777777">
      <w:pPr>
        <w:pStyle w:val="Heading3"/>
        <w:rPr>
          <w:i w:val="0"/>
          <w:sz w:val="24"/>
        </w:rPr>
      </w:pPr>
      <w:bookmarkStart w:id="35" w:name="_Toc410981799"/>
      <w:r w:rsidRPr="007806F0">
        <w:rPr>
          <w:i w:val="0"/>
          <w:sz w:val="24"/>
        </w:rPr>
        <w:t>4</w:t>
      </w:r>
      <w:r w:rsidRPr="007806F0">
        <w:rPr>
          <w:i w:val="0"/>
          <w:sz w:val="24"/>
          <w:lang w:val="x-none"/>
        </w:rPr>
        <w:t>.</w:t>
      </w:r>
      <w:r w:rsidRPr="007806F0">
        <w:rPr>
          <w:i w:val="0"/>
          <w:sz w:val="24"/>
        </w:rPr>
        <w:t>1 Survey Contact Materials</w:t>
      </w:r>
      <w:bookmarkEnd w:id="35"/>
    </w:p>
    <w:p w:rsidR="00B31268" w:rsidP="00046B7E" w14:paraId="39004F12" w14:textId="17ADB526">
      <w:pPr>
        <w:pStyle w:val="BodyText"/>
        <w:rPr>
          <w:sz w:val="22"/>
          <w:szCs w:val="22"/>
        </w:rPr>
      </w:pPr>
      <w:r>
        <w:rPr>
          <w:sz w:val="22"/>
          <w:szCs w:val="22"/>
        </w:rPr>
        <w:t>To</w:t>
      </w:r>
      <w:r w:rsidR="009C4ABC">
        <w:rPr>
          <w:sz w:val="22"/>
          <w:szCs w:val="22"/>
        </w:rPr>
        <w:t xml:space="preserve"> effectively gain survey cooperation</w:t>
      </w:r>
      <w:r w:rsidR="00B83D81">
        <w:rPr>
          <w:sz w:val="22"/>
          <w:szCs w:val="22"/>
        </w:rPr>
        <w:t xml:space="preserve"> in the 2023 cycle</w:t>
      </w:r>
      <w:r w:rsidR="009C4ABC">
        <w:rPr>
          <w:sz w:val="22"/>
          <w:szCs w:val="22"/>
        </w:rPr>
        <w:t>, s</w:t>
      </w:r>
      <w:r w:rsidRPr="00421D36" w:rsidR="00046B7E">
        <w:rPr>
          <w:sz w:val="22"/>
          <w:szCs w:val="22"/>
        </w:rPr>
        <w:t xml:space="preserve">urvey contact materials will be tailored to sample </w:t>
      </w:r>
      <w:r w:rsidRPr="00421D36" w:rsidR="000450CF">
        <w:rPr>
          <w:sz w:val="22"/>
          <w:szCs w:val="22"/>
        </w:rPr>
        <w:t>member</w:t>
      </w:r>
      <w:r w:rsidR="000261E0">
        <w:rPr>
          <w:sz w:val="22"/>
          <w:szCs w:val="22"/>
        </w:rPr>
        <w:t>s’ sample type,</w:t>
      </w:r>
      <w:r w:rsidRPr="00421D36" w:rsidR="00046B7E">
        <w:rPr>
          <w:sz w:val="22"/>
          <w:szCs w:val="22"/>
        </w:rPr>
        <w:t xml:space="preserve"> </w:t>
      </w:r>
      <w:r>
        <w:rPr>
          <w:sz w:val="22"/>
          <w:szCs w:val="22"/>
        </w:rPr>
        <w:t xml:space="preserve">current </w:t>
      </w:r>
      <w:r w:rsidR="00D05E35">
        <w:rPr>
          <w:sz w:val="22"/>
          <w:szCs w:val="22"/>
        </w:rPr>
        <w:t>predicted</w:t>
      </w:r>
      <w:r>
        <w:rPr>
          <w:sz w:val="22"/>
          <w:szCs w:val="22"/>
        </w:rPr>
        <w:t xml:space="preserve"> location</w:t>
      </w:r>
      <w:r>
        <w:rPr>
          <w:sz w:val="22"/>
          <w:szCs w:val="22"/>
        </w:rPr>
        <w:t xml:space="preserve">, </w:t>
      </w:r>
      <w:r>
        <w:rPr>
          <w:sz w:val="22"/>
          <w:szCs w:val="22"/>
        </w:rPr>
        <w:t>past participation</w:t>
      </w:r>
      <w:r w:rsidR="009C4ABC">
        <w:rPr>
          <w:sz w:val="22"/>
          <w:szCs w:val="22"/>
        </w:rPr>
        <w:t xml:space="preserve">, and </w:t>
      </w:r>
      <w:r w:rsidR="0045018D">
        <w:rPr>
          <w:sz w:val="22"/>
          <w:szCs w:val="22"/>
        </w:rPr>
        <w:t>reported retirement status</w:t>
      </w:r>
      <w:r w:rsidR="00ED21D3">
        <w:rPr>
          <w:sz w:val="22"/>
          <w:szCs w:val="22"/>
        </w:rPr>
        <w:t xml:space="preserve"> (see Appendix E.1 for </w:t>
      </w:r>
      <w:r w:rsidR="00790D88">
        <w:rPr>
          <w:sz w:val="22"/>
          <w:szCs w:val="22"/>
        </w:rPr>
        <w:t>tailoring implemented in the mailing materials)</w:t>
      </w:r>
      <w:r w:rsidR="0045018D">
        <w:rPr>
          <w:sz w:val="22"/>
          <w:szCs w:val="22"/>
        </w:rPr>
        <w:t>. All c</w:t>
      </w:r>
      <w:r w:rsidRPr="00421D36" w:rsidR="00046B7E">
        <w:rPr>
          <w:sz w:val="22"/>
          <w:szCs w:val="22"/>
        </w:rPr>
        <w:t xml:space="preserve">ontact materials </w:t>
      </w:r>
      <w:r w:rsidR="0045018D">
        <w:rPr>
          <w:sz w:val="22"/>
          <w:szCs w:val="22"/>
        </w:rPr>
        <w:t>will</w:t>
      </w:r>
      <w:r w:rsidRPr="00421D36" w:rsidR="00046B7E">
        <w:rPr>
          <w:sz w:val="22"/>
          <w:szCs w:val="22"/>
        </w:rPr>
        <w:t xml:space="preserve"> request sample </w:t>
      </w:r>
      <w:r w:rsidRPr="007806F0" w:rsidR="00046B7E">
        <w:rPr>
          <w:sz w:val="22"/>
          <w:szCs w:val="22"/>
        </w:rPr>
        <w:t xml:space="preserve">member participation via the web survey </w:t>
      </w:r>
      <w:r w:rsidR="0045018D">
        <w:rPr>
          <w:sz w:val="22"/>
          <w:szCs w:val="22"/>
        </w:rPr>
        <w:t>and will</w:t>
      </w:r>
      <w:r w:rsidRPr="007806F0" w:rsidR="00046B7E">
        <w:rPr>
          <w:sz w:val="22"/>
          <w:szCs w:val="22"/>
        </w:rPr>
        <w:t xml:space="preserve"> include access to the </w:t>
      </w:r>
      <w:r w:rsidR="002F16E9">
        <w:rPr>
          <w:sz w:val="22"/>
          <w:szCs w:val="22"/>
        </w:rPr>
        <w:t xml:space="preserve">online </w:t>
      </w:r>
      <w:r w:rsidRPr="007806F0" w:rsidR="00046B7E">
        <w:rPr>
          <w:sz w:val="22"/>
          <w:szCs w:val="22"/>
        </w:rPr>
        <w:t xml:space="preserve">survey. As has been done since 2003 SDR, the </w:t>
      </w:r>
      <w:r w:rsidRPr="007806F0" w:rsidR="002643EF">
        <w:rPr>
          <w:sz w:val="22"/>
          <w:szCs w:val="22"/>
        </w:rPr>
        <w:t>20</w:t>
      </w:r>
      <w:r w:rsidR="002643EF">
        <w:rPr>
          <w:sz w:val="22"/>
          <w:szCs w:val="22"/>
        </w:rPr>
        <w:t>2</w:t>
      </w:r>
      <w:r w:rsidR="00C51E48">
        <w:rPr>
          <w:sz w:val="22"/>
          <w:szCs w:val="22"/>
        </w:rPr>
        <w:t>3</w:t>
      </w:r>
      <w:r w:rsidRPr="007806F0" w:rsidR="002643EF">
        <w:rPr>
          <w:sz w:val="22"/>
          <w:szCs w:val="22"/>
        </w:rPr>
        <w:t xml:space="preserve"> </w:t>
      </w:r>
      <w:r w:rsidRPr="007806F0" w:rsidR="00046B7E">
        <w:rPr>
          <w:sz w:val="22"/>
          <w:szCs w:val="22"/>
        </w:rPr>
        <w:t>SDR letterhead</w:t>
      </w:r>
      <w:r w:rsidRPr="00421D36" w:rsidR="00046B7E">
        <w:rPr>
          <w:sz w:val="22"/>
          <w:szCs w:val="22"/>
        </w:rPr>
        <w:t xml:space="preserve"> stationery </w:t>
      </w:r>
      <w:r w:rsidR="00046B7E">
        <w:rPr>
          <w:sz w:val="22"/>
          <w:szCs w:val="22"/>
        </w:rPr>
        <w:t xml:space="preserve">will </w:t>
      </w:r>
      <w:r w:rsidRPr="00421D36" w:rsidR="00046B7E">
        <w:rPr>
          <w:sz w:val="22"/>
          <w:szCs w:val="22"/>
        </w:rPr>
        <w:t>include project and NSF</w:t>
      </w:r>
      <w:r w:rsidR="00E720B3">
        <w:rPr>
          <w:sz w:val="22"/>
          <w:szCs w:val="22"/>
        </w:rPr>
        <w:t>/NCSES</w:t>
      </w:r>
      <w:r w:rsidRPr="00421D36" w:rsidR="00046B7E">
        <w:rPr>
          <w:sz w:val="22"/>
          <w:szCs w:val="22"/>
        </w:rPr>
        <w:t xml:space="preserve"> website information</w:t>
      </w:r>
      <w:r w:rsidR="00046B7E">
        <w:rPr>
          <w:sz w:val="22"/>
          <w:szCs w:val="22"/>
        </w:rPr>
        <w:t>,</w:t>
      </w:r>
      <w:r w:rsidRPr="00421D36" w:rsidR="00046B7E">
        <w:rPr>
          <w:sz w:val="22"/>
          <w:szCs w:val="22"/>
        </w:rPr>
        <w:t xml:space="preserve"> </w:t>
      </w:r>
      <w:r w:rsidR="00C51E48">
        <w:rPr>
          <w:sz w:val="22"/>
          <w:szCs w:val="22"/>
        </w:rPr>
        <w:t xml:space="preserve">NSF mailing address, </w:t>
      </w:r>
      <w:r w:rsidRPr="00421D36" w:rsidR="00046B7E">
        <w:rPr>
          <w:sz w:val="22"/>
          <w:szCs w:val="22"/>
        </w:rPr>
        <w:t xml:space="preserve">and the </w:t>
      </w:r>
      <w:r w:rsidR="00046B7E">
        <w:rPr>
          <w:sz w:val="22"/>
          <w:szCs w:val="22"/>
        </w:rPr>
        <w:t xml:space="preserve">data collection </w:t>
      </w:r>
      <w:r w:rsidRPr="00421D36" w:rsidR="00046B7E">
        <w:rPr>
          <w:sz w:val="22"/>
          <w:szCs w:val="22"/>
        </w:rPr>
        <w:t xml:space="preserve">contractor’s project toll-free telephone line and email address. </w:t>
      </w:r>
      <w:r w:rsidR="00A05421">
        <w:rPr>
          <w:sz w:val="22"/>
          <w:szCs w:val="22"/>
        </w:rPr>
        <w:t>The s</w:t>
      </w:r>
      <w:r w:rsidRPr="00421D36" w:rsidR="00046B7E">
        <w:rPr>
          <w:sz w:val="22"/>
          <w:szCs w:val="22"/>
        </w:rPr>
        <w:t>tationery will contain the survey’s established logo as part of an effort to brand the communication to sample members for ease of recognition.</w:t>
      </w:r>
      <w:r w:rsidR="00D0276C">
        <w:rPr>
          <w:sz w:val="22"/>
          <w:szCs w:val="22"/>
        </w:rPr>
        <w:t xml:space="preserve"> The back of the stationery will display the basic elements of informed consent.</w:t>
      </w:r>
      <w:r w:rsidR="00974A1D">
        <w:rPr>
          <w:sz w:val="22"/>
          <w:szCs w:val="22"/>
        </w:rPr>
        <w:t xml:space="preserve"> </w:t>
      </w:r>
      <w:r w:rsidRPr="00974A1D">
        <w:rPr>
          <w:sz w:val="22"/>
          <w:szCs w:val="22"/>
        </w:rPr>
        <w:t xml:space="preserve">See Appendix </w:t>
      </w:r>
      <w:r w:rsidRPr="008B47F9" w:rsidR="00227526">
        <w:rPr>
          <w:sz w:val="22"/>
          <w:szCs w:val="22"/>
        </w:rPr>
        <w:t>E</w:t>
      </w:r>
      <w:r w:rsidRPr="008B47F9" w:rsidR="00AE7261">
        <w:rPr>
          <w:sz w:val="22"/>
          <w:szCs w:val="22"/>
        </w:rPr>
        <w:t>.1</w:t>
      </w:r>
      <w:r w:rsidRPr="00974A1D" w:rsidR="001F6E3E">
        <w:rPr>
          <w:sz w:val="22"/>
          <w:szCs w:val="22"/>
        </w:rPr>
        <w:t xml:space="preserve"> for </w:t>
      </w:r>
      <w:r w:rsidR="000F1EEE">
        <w:rPr>
          <w:sz w:val="22"/>
          <w:szCs w:val="22"/>
        </w:rPr>
        <w:t xml:space="preserve">draft </w:t>
      </w:r>
      <w:r w:rsidRPr="00974A1D" w:rsidR="001F6E3E">
        <w:rPr>
          <w:sz w:val="22"/>
          <w:szCs w:val="22"/>
        </w:rPr>
        <w:t>copies of the contacting materials</w:t>
      </w:r>
      <w:r w:rsidR="00C27711">
        <w:rPr>
          <w:sz w:val="22"/>
          <w:szCs w:val="22"/>
        </w:rPr>
        <w:t xml:space="preserve"> including the 2023 letterhead</w:t>
      </w:r>
      <w:r w:rsidRPr="00974A1D" w:rsidR="001F6E3E">
        <w:rPr>
          <w:sz w:val="22"/>
          <w:szCs w:val="22"/>
        </w:rPr>
        <w:t>.</w:t>
      </w:r>
    </w:p>
    <w:p w:rsidR="001B61F0" w:rsidP="00046B7E" w14:paraId="5AB53FA7" w14:textId="77777777">
      <w:pPr>
        <w:pStyle w:val="BodyText"/>
        <w:rPr>
          <w:sz w:val="22"/>
          <w:szCs w:val="22"/>
        </w:rPr>
      </w:pPr>
    </w:p>
    <w:p w:rsidR="001B61F0" w:rsidRPr="00C454F6" w:rsidP="00DB54D2" w14:paraId="2C5B34E6" w14:textId="67EFF2AC">
      <w:pPr>
        <w:pStyle w:val="BodyText"/>
        <w:keepNext/>
        <w:spacing w:after="120"/>
        <w:rPr>
          <w:b/>
          <w:sz w:val="22"/>
          <w:szCs w:val="22"/>
        </w:rPr>
      </w:pPr>
      <w:r w:rsidRPr="00C454F6">
        <w:rPr>
          <w:b/>
          <w:sz w:val="22"/>
          <w:szCs w:val="22"/>
        </w:rPr>
        <w:t>Between Cycle Contact Update Form</w:t>
      </w:r>
    </w:p>
    <w:p w:rsidR="00C454F6" w:rsidP="00616325" w14:paraId="1095666F" w14:textId="77D78234">
      <w:pPr>
        <w:pStyle w:val="BodyText"/>
        <w:keepNext/>
        <w:rPr>
          <w:color w:val="auto"/>
          <w:sz w:val="22"/>
          <w:szCs w:val="22"/>
        </w:rPr>
      </w:pPr>
      <w:r w:rsidRPr="001E0912">
        <w:rPr>
          <w:color w:val="auto"/>
          <w:sz w:val="22"/>
          <w:szCs w:val="22"/>
        </w:rPr>
        <w:t>Before the 202</w:t>
      </w:r>
      <w:r w:rsidR="00BD1BDC">
        <w:rPr>
          <w:color w:val="auto"/>
          <w:sz w:val="22"/>
          <w:szCs w:val="22"/>
        </w:rPr>
        <w:t>5</w:t>
      </w:r>
      <w:r w:rsidRPr="001E0912">
        <w:rPr>
          <w:color w:val="auto"/>
          <w:sz w:val="22"/>
          <w:szCs w:val="22"/>
        </w:rPr>
        <w:t xml:space="preserve"> SDR administration, we </w:t>
      </w:r>
      <w:r w:rsidRPr="001E0912" w:rsidR="002A5535">
        <w:rPr>
          <w:color w:val="auto"/>
          <w:sz w:val="22"/>
          <w:szCs w:val="22"/>
        </w:rPr>
        <w:t xml:space="preserve">will reach out to sample members </w:t>
      </w:r>
      <w:r w:rsidRPr="001E0912" w:rsidR="002D4944">
        <w:rPr>
          <w:color w:val="auto"/>
          <w:sz w:val="22"/>
          <w:szCs w:val="22"/>
        </w:rPr>
        <w:t xml:space="preserve">via email </w:t>
      </w:r>
      <w:r w:rsidRPr="001E0912" w:rsidR="002A5535">
        <w:rPr>
          <w:color w:val="auto"/>
          <w:sz w:val="22"/>
          <w:szCs w:val="22"/>
        </w:rPr>
        <w:t>who</w:t>
      </w:r>
      <w:r w:rsidRPr="001E0912" w:rsidR="002D4944">
        <w:rPr>
          <w:color w:val="auto"/>
          <w:sz w:val="22"/>
          <w:szCs w:val="22"/>
        </w:rPr>
        <w:t xml:space="preserve"> </w:t>
      </w:r>
      <w:r w:rsidRPr="001E0912" w:rsidR="00BD1BDC">
        <w:rPr>
          <w:color w:val="auto"/>
          <w:sz w:val="22"/>
          <w:szCs w:val="22"/>
        </w:rPr>
        <w:t>need</w:t>
      </w:r>
      <w:r w:rsidRPr="001E0912" w:rsidR="002D4944">
        <w:rPr>
          <w:color w:val="auto"/>
          <w:sz w:val="22"/>
          <w:szCs w:val="22"/>
        </w:rPr>
        <w:t xml:space="preserve"> locating (</w:t>
      </w:r>
      <w:r w:rsidR="00132E81">
        <w:rPr>
          <w:color w:val="auto"/>
          <w:sz w:val="22"/>
          <w:szCs w:val="22"/>
        </w:rPr>
        <w:t>yet</w:t>
      </w:r>
      <w:r w:rsidRPr="001E0912" w:rsidR="002D4944">
        <w:rPr>
          <w:color w:val="auto"/>
          <w:sz w:val="22"/>
          <w:szCs w:val="22"/>
        </w:rPr>
        <w:t xml:space="preserve"> have </w:t>
      </w:r>
      <w:r w:rsidRPr="001E0912" w:rsidR="00302885">
        <w:rPr>
          <w:color w:val="auto"/>
          <w:sz w:val="22"/>
          <w:szCs w:val="22"/>
        </w:rPr>
        <w:t>a</w:t>
      </w:r>
      <w:r w:rsidRPr="001E0912" w:rsidR="002237FD">
        <w:rPr>
          <w:color w:val="auto"/>
          <w:sz w:val="22"/>
          <w:szCs w:val="22"/>
        </w:rPr>
        <w:t xml:space="preserve">n email address on file) to ask them to update their contact information </w:t>
      </w:r>
      <w:r w:rsidRPr="001E0912" w:rsidR="00AE57CE">
        <w:rPr>
          <w:color w:val="auto"/>
          <w:sz w:val="22"/>
          <w:szCs w:val="22"/>
        </w:rPr>
        <w:t xml:space="preserve">in advance of survey </w:t>
      </w:r>
      <w:r w:rsidRPr="001E0912" w:rsidR="006C560F">
        <w:rPr>
          <w:color w:val="auto"/>
          <w:sz w:val="22"/>
          <w:szCs w:val="22"/>
        </w:rPr>
        <w:t xml:space="preserve">administration. </w:t>
      </w:r>
      <w:r w:rsidR="008D16F2">
        <w:rPr>
          <w:sz w:val="22"/>
          <w:szCs w:val="22"/>
        </w:rPr>
        <w:t>The between-cycle period will occur several months before the start of pre-field locating. At this time,</w:t>
      </w:r>
      <w:r w:rsidRPr="007F142B" w:rsidR="008D16F2">
        <w:rPr>
          <w:sz w:val="22"/>
          <w:szCs w:val="22"/>
        </w:rPr>
        <w:t xml:space="preserve"> </w:t>
      </w:r>
      <w:r w:rsidR="008D16F2">
        <w:rPr>
          <w:sz w:val="22"/>
          <w:szCs w:val="22"/>
        </w:rPr>
        <w:t xml:space="preserve">NCSES </w:t>
      </w:r>
      <w:r w:rsidRPr="007F142B" w:rsidR="008D16F2">
        <w:rPr>
          <w:sz w:val="22"/>
          <w:szCs w:val="22"/>
        </w:rPr>
        <w:t xml:space="preserve">will attempt to contact approximately 30% of the </w:t>
      </w:r>
      <w:r w:rsidR="008D16F2">
        <w:rPr>
          <w:sz w:val="22"/>
          <w:szCs w:val="22"/>
        </w:rPr>
        <w:t xml:space="preserve">production </w:t>
      </w:r>
      <w:r w:rsidRPr="007F142B" w:rsidR="008D16F2">
        <w:rPr>
          <w:sz w:val="22"/>
          <w:szCs w:val="22"/>
        </w:rPr>
        <w:t>sample</w:t>
      </w:r>
      <w:r w:rsidR="008D16F2">
        <w:rPr>
          <w:sz w:val="22"/>
          <w:szCs w:val="22"/>
        </w:rPr>
        <w:t xml:space="preserve"> </w:t>
      </w:r>
      <w:r w:rsidRPr="007F142B" w:rsidR="008D16F2">
        <w:rPr>
          <w:sz w:val="22"/>
          <w:szCs w:val="22"/>
        </w:rPr>
        <w:t>to update or confirm their mail, email, and phone information.</w:t>
      </w:r>
      <w:r w:rsidR="008D16F2">
        <w:rPr>
          <w:sz w:val="22"/>
          <w:szCs w:val="22"/>
        </w:rPr>
        <w:t xml:space="preserve"> </w:t>
      </w:r>
      <w:r w:rsidR="00BD1BDC">
        <w:rPr>
          <w:color w:val="auto"/>
          <w:sz w:val="22"/>
          <w:szCs w:val="22"/>
        </w:rPr>
        <w:t xml:space="preserve">In the </w:t>
      </w:r>
      <w:r w:rsidR="00BD1BDC">
        <w:rPr>
          <w:color w:val="auto"/>
          <w:sz w:val="22"/>
          <w:szCs w:val="22"/>
        </w:rPr>
        <w:t>prefield</w:t>
      </w:r>
      <w:r w:rsidR="00BD1BDC">
        <w:rPr>
          <w:color w:val="auto"/>
          <w:sz w:val="22"/>
          <w:szCs w:val="22"/>
        </w:rPr>
        <w:t xml:space="preserve"> period before the 2025 SDR, s</w:t>
      </w:r>
      <w:r w:rsidRPr="001E0912" w:rsidR="00D17047">
        <w:rPr>
          <w:color w:val="auto"/>
          <w:sz w:val="22"/>
          <w:szCs w:val="22"/>
        </w:rPr>
        <w:t xml:space="preserve">ample members will receive an email </w:t>
      </w:r>
      <w:r w:rsidRPr="001E0912" w:rsidR="00A8148F">
        <w:rPr>
          <w:color w:val="auto"/>
          <w:sz w:val="22"/>
          <w:szCs w:val="22"/>
        </w:rPr>
        <w:t xml:space="preserve">asking them to complete a short Contact Update Form which should take on average 3 minutes to fill out. </w:t>
      </w:r>
      <w:r w:rsidRPr="001E0912" w:rsidR="00DE1142">
        <w:rPr>
          <w:color w:val="auto"/>
          <w:sz w:val="22"/>
          <w:szCs w:val="22"/>
        </w:rPr>
        <w:t>This reduces the amount of effort</w:t>
      </w:r>
      <w:r w:rsidRPr="001E0912" w:rsidR="007A6B9C">
        <w:rPr>
          <w:color w:val="auto"/>
          <w:sz w:val="22"/>
          <w:szCs w:val="22"/>
        </w:rPr>
        <w:t xml:space="preserve"> and resources we will need to devote to locating</w:t>
      </w:r>
      <w:r w:rsidRPr="001E0912" w:rsidR="00D17047">
        <w:rPr>
          <w:color w:val="auto"/>
          <w:sz w:val="22"/>
          <w:szCs w:val="22"/>
        </w:rPr>
        <w:t xml:space="preserve"> and hopefully increases participation in the 202</w:t>
      </w:r>
      <w:r w:rsidR="00BD1BDC">
        <w:rPr>
          <w:color w:val="auto"/>
          <w:sz w:val="22"/>
          <w:szCs w:val="22"/>
        </w:rPr>
        <w:t>5</w:t>
      </w:r>
      <w:r w:rsidRPr="001E0912" w:rsidR="00D17047">
        <w:rPr>
          <w:color w:val="auto"/>
          <w:sz w:val="22"/>
          <w:szCs w:val="22"/>
        </w:rPr>
        <w:t xml:space="preserve"> SDR.</w:t>
      </w:r>
      <w:r w:rsidRPr="001E0912" w:rsidR="005C7C20">
        <w:rPr>
          <w:color w:val="auto"/>
          <w:sz w:val="22"/>
          <w:szCs w:val="22"/>
        </w:rPr>
        <w:t xml:space="preserve"> If typical batch tracing services provide valid contacting information for sample members, they will be dropped from this contact.</w:t>
      </w:r>
      <w:r w:rsidRPr="001E0912" w:rsidR="00666B52">
        <w:rPr>
          <w:color w:val="auto"/>
          <w:sz w:val="22"/>
          <w:szCs w:val="22"/>
        </w:rPr>
        <w:t xml:space="preserve"> Drafts of the emails and the Contact Update Form </w:t>
      </w:r>
      <w:r w:rsidR="00BD1BDC">
        <w:rPr>
          <w:color w:val="auto"/>
          <w:sz w:val="22"/>
          <w:szCs w:val="22"/>
        </w:rPr>
        <w:t xml:space="preserve">to be used in the 2025 </w:t>
      </w:r>
      <w:r w:rsidR="00BD1BDC">
        <w:rPr>
          <w:color w:val="auto"/>
          <w:sz w:val="22"/>
          <w:szCs w:val="22"/>
        </w:rPr>
        <w:t>prefield</w:t>
      </w:r>
      <w:r w:rsidR="00BD1BDC">
        <w:rPr>
          <w:color w:val="auto"/>
          <w:sz w:val="22"/>
          <w:szCs w:val="22"/>
        </w:rPr>
        <w:t xml:space="preserve"> period </w:t>
      </w:r>
      <w:r w:rsidRPr="001E0912" w:rsidR="00666B52">
        <w:rPr>
          <w:color w:val="auto"/>
          <w:sz w:val="22"/>
          <w:szCs w:val="22"/>
        </w:rPr>
        <w:t>are in Appendix E.2.</w:t>
      </w:r>
    </w:p>
    <w:p w:rsidR="00484376" w:rsidP="00616325" w14:paraId="34EE9899" w14:textId="4060E3EC">
      <w:pPr>
        <w:pStyle w:val="BodyText"/>
        <w:keepNext/>
        <w:rPr>
          <w:color w:val="auto"/>
          <w:sz w:val="22"/>
          <w:szCs w:val="22"/>
        </w:rPr>
      </w:pPr>
    </w:p>
    <w:p w:rsidR="00046B7E" w:rsidRPr="007806F0" w:rsidP="00046B7E" w14:paraId="1C2DEB9F" w14:textId="10773DC2">
      <w:pPr>
        <w:pStyle w:val="Heading3"/>
        <w:rPr>
          <w:i w:val="0"/>
          <w:sz w:val="24"/>
        </w:rPr>
      </w:pPr>
      <w:bookmarkStart w:id="36" w:name="_Toc410981800"/>
      <w:r w:rsidRPr="007806F0">
        <w:rPr>
          <w:i w:val="0"/>
          <w:sz w:val="24"/>
        </w:rPr>
        <w:t>4</w:t>
      </w:r>
      <w:r w:rsidRPr="007806F0">
        <w:rPr>
          <w:i w:val="0"/>
          <w:sz w:val="24"/>
          <w:lang w:val="x-none"/>
        </w:rPr>
        <w:t>.</w:t>
      </w:r>
      <w:r w:rsidRPr="007806F0">
        <w:rPr>
          <w:i w:val="0"/>
          <w:sz w:val="24"/>
        </w:rPr>
        <w:t>2 Questionnaire Layout</w:t>
      </w:r>
      <w:bookmarkEnd w:id="36"/>
    </w:p>
    <w:p w:rsidR="00046B7E" w:rsidRPr="00FB0156" w:rsidP="00046B7E" w14:paraId="28B501AA" w14:textId="7373C53D">
      <w:pPr>
        <w:rPr>
          <w:sz w:val="22"/>
          <w:szCs w:val="22"/>
        </w:rPr>
      </w:pPr>
      <w:r>
        <w:rPr>
          <w:sz w:val="22"/>
          <w:szCs w:val="22"/>
        </w:rPr>
        <w:t xml:space="preserve">There were </w:t>
      </w:r>
      <w:r w:rsidR="001F3793">
        <w:rPr>
          <w:sz w:val="22"/>
          <w:szCs w:val="22"/>
        </w:rPr>
        <w:t>some</w:t>
      </w:r>
      <w:r>
        <w:rPr>
          <w:sz w:val="22"/>
          <w:szCs w:val="22"/>
        </w:rPr>
        <w:t xml:space="preserve"> </w:t>
      </w:r>
      <w:r w:rsidRPr="00FB0156">
        <w:rPr>
          <w:sz w:val="22"/>
          <w:szCs w:val="22"/>
        </w:rPr>
        <w:t xml:space="preserve">changes to the 2021 SDR questionnaire </w:t>
      </w:r>
      <w:r w:rsidRPr="00FB0156" w:rsidR="000B311D">
        <w:rPr>
          <w:sz w:val="22"/>
          <w:szCs w:val="22"/>
        </w:rPr>
        <w:t xml:space="preserve">layout for the 2023 survey </w:t>
      </w:r>
      <w:r w:rsidRPr="00FB0156" w:rsidR="00FB0156">
        <w:rPr>
          <w:sz w:val="22"/>
          <w:szCs w:val="22"/>
        </w:rPr>
        <w:t>to</w:t>
      </w:r>
      <w:r w:rsidRPr="00FB0156">
        <w:rPr>
          <w:sz w:val="22"/>
          <w:szCs w:val="22"/>
        </w:rPr>
        <w:t xml:space="preserve"> accommodate the addition of the</w:t>
      </w:r>
      <w:r w:rsidRPr="00FB0156" w:rsidR="004F12D1">
        <w:rPr>
          <w:sz w:val="22"/>
          <w:szCs w:val="22"/>
        </w:rPr>
        <w:t xml:space="preserve"> new </w:t>
      </w:r>
      <w:r w:rsidRPr="00FB0156" w:rsidR="00E71D8C">
        <w:rPr>
          <w:sz w:val="22"/>
          <w:szCs w:val="22"/>
        </w:rPr>
        <w:t>retirement module</w:t>
      </w:r>
      <w:r w:rsidRPr="00FB0156" w:rsidR="000B311D">
        <w:rPr>
          <w:sz w:val="22"/>
          <w:szCs w:val="22"/>
        </w:rPr>
        <w:t xml:space="preserve">. </w:t>
      </w:r>
      <w:r w:rsidRPr="00FB0156" w:rsidR="00974AE1">
        <w:rPr>
          <w:sz w:val="22"/>
          <w:szCs w:val="22"/>
        </w:rPr>
        <w:t xml:space="preserve">These new questions </w:t>
      </w:r>
      <w:r w:rsidRPr="00FB0156" w:rsidR="00C04E42">
        <w:rPr>
          <w:sz w:val="22"/>
          <w:szCs w:val="22"/>
        </w:rPr>
        <w:t>will</w:t>
      </w:r>
      <w:r w:rsidRPr="00FB0156" w:rsidR="00AF7D82">
        <w:rPr>
          <w:sz w:val="22"/>
          <w:szCs w:val="22"/>
        </w:rPr>
        <w:t xml:space="preserve"> be</w:t>
      </w:r>
      <w:r w:rsidRPr="00FB0156" w:rsidR="00974AE1">
        <w:rPr>
          <w:sz w:val="22"/>
          <w:szCs w:val="22"/>
        </w:rPr>
        <w:t xml:space="preserve"> asked after questions about the current job</w:t>
      </w:r>
      <w:r w:rsidRPr="00FB0156" w:rsidR="0012351B">
        <w:rPr>
          <w:sz w:val="22"/>
          <w:szCs w:val="22"/>
        </w:rPr>
        <w:t xml:space="preserve"> </w:t>
      </w:r>
      <w:r w:rsidRPr="00FB0156" w:rsidR="009A0E1D">
        <w:rPr>
          <w:sz w:val="22"/>
          <w:szCs w:val="22"/>
        </w:rPr>
        <w:t>(</w:t>
      </w:r>
      <w:r w:rsidRPr="00FB0156" w:rsidR="00AF7D82">
        <w:rPr>
          <w:sz w:val="22"/>
          <w:szCs w:val="22"/>
        </w:rPr>
        <w:t>Part</w:t>
      </w:r>
      <w:r w:rsidRPr="00FB0156" w:rsidR="009A0E1D">
        <w:rPr>
          <w:sz w:val="22"/>
          <w:szCs w:val="22"/>
        </w:rPr>
        <w:t xml:space="preserve"> A</w:t>
      </w:r>
      <w:r w:rsidRPr="00FB0156" w:rsidR="00AF7D82">
        <w:rPr>
          <w:sz w:val="22"/>
          <w:szCs w:val="22"/>
        </w:rPr>
        <w:t xml:space="preserve">) </w:t>
      </w:r>
      <w:r w:rsidRPr="00FB0156" w:rsidR="0012351B">
        <w:rPr>
          <w:sz w:val="22"/>
          <w:szCs w:val="22"/>
        </w:rPr>
        <w:t>and past work experiences</w:t>
      </w:r>
      <w:r w:rsidRPr="00FB0156" w:rsidR="00AF7D82">
        <w:rPr>
          <w:sz w:val="22"/>
          <w:szCs w:val="22"/>
        </w:rPr>
        <w:t xml:space="preserve"> (Part B)</w:t>
      </w:r>
      <w:r w:rsidRPr="00FB0156" w:rsidR="0012351B">
        <w:rPr>
          <w:sz w:val="22"/>
          <w:szCs w:val="22"/>
        </w:rPr>
        <w:t xml:space="preserve">, and prior to the module on </w:t>
      </w:r>
      <w:r w:rsidRPr="00FB0156" w:rsidR="009A0E1D">
        <w:rPr>
          <w:sz w:val="22"/>
          <w:szCs w:val="22"/>
        </w:rPr>
        <w:t>other work-related experiences (</w:t>
      </w:r>
      <w:r w:rsidRPr="00FB0156" w:rsidR="00AF7D82">
        <w:rPr>
          <w:sz w:val="22"/>
          <w:szCs w:val="22"/>
        </w:rPr>
        <w:t>Part</w:t>
      </w:r>
      <w:r w:rsidRPr="00FB0156" w:rsidR="009A0E1D">
        <w:rPr>
          <w:sz w:val="22"/>
          <w:szCs w:val="22"/>
        </w:rPr>
        <w:t xml:space="preserve"> C)</w:t>
      </w:r>
      <w:r w:rsidRPr="00FB0156" w:rsidR="00974AE1">
        <w:rPr>
          <w:sz w:val="22"/>
          <w:szCs w:val="22"/>
        </w:rPr>
        <w:t xml:space="preserve">. </w:t>
      </w:r>
      <w:r w:rsidRPr="00FB0156">
        <w:rPr>
          <w:sz w:val="22"/>
          <w:szCs w:val="22"/>
        </w:rPr>
        <w:t>Through cognitive research</w:t>
      </w:r>
      <w:r w:rsidRPr="00FB0156" w:rsidR="007B715B">
        <w:rPr>
          <w:sz w:val="22"/>
          <w:szCs w:val="22"/>
        </w:rPr>
        <w:t>,</w:t>
      </w:r>
      <w:r w:rsidRPr="00FB0156">
        <w:rPr>
          <w:sz w:val="22"/>
          <w:szCs w:val="22"/>
        </w:rPr>
        <w:t xml:space="preserve"> testing, </w:t>
      </w:r>
      <w:r w:rsidRPr="00FB0156" w:rsidR="00375A55">
        <w:rPr>
          <w:sz w:val="22"/>
          <w:szCs w:val="22"/>
        </w:rPr>
        <w:t xml:space="preserve">and other </w:t>
      </w:r>
      <w:r w:rsidRPr="00FB0156" w:rsidR="007B715B">
        <w:rPr>
          <w:sz w:val="22"/>
          <w:szCs w:val="22"/>
        </w:rPr>
        <w:t xml:space="preserve">policy relevant </w:t>
      </w:r>
      <w:r w:rsidRPr="00FB0156" w:rsidR="00375A55">
        <w:rPr>
          <w:sz w:val="22"/>
          <w:szCs w:val="22"/>
        </w:rPr>
        <w:t>interest</w:t>
      </w:r>
      <w:r w:rsidRPr="00FB0156" w:rsidR="007B715B">
        <w:rPr>
          <w:sz w:val="22"/>
          <w:szCs w:val="22"/>
        </w:rPr>
        <w:t>s</w:t>
      </w:r>
      <w:r w:rsidRPr="00FB0156" w:rsidR="00375A55">
        <w:rPr>
          <w:sz w:val="22"/>
          <w:szCs w:val="22"/>
        </w:rPr>
        <w:t xml:space="preserve">, </w:t>
      </w:r>
      <w:r w:rsidRPr="00FB0156">
        <w:rPr>
          <w:sz w:val="22"/>
          <w:szCs w:val="22"/>
        </w:rPr>
        <w:t>NCSES continues to review</w:t>
      </w:r>
      <w:r w:rsidRPr="00FB0156" w:rsidR="00375A55">
        <w:rPr>
          <w:sz w:val="22"/>
          <w:szCs w:val="22"/>
        </w:rPr>
        <w:t xml:space="preserve"> and</w:t>
      </w:r>
      <w:r w:rsidRPr="00FB0156">
        <w:rPr>
          <w:sz w:val="22"/>
          <w:szCs w:val="22"/>
        </w:rPr>
        <w:t xml:space="preserve"> revise the content of its survey instruments. </w:t>
      </w:r>
      <w:r w:rsidRPr="00FB0156" w:rsidR="002643EF">
        <w:rPr>
          <w:sz w:val="22"/>
          <w:szCs w:val="22"/>
        </w:rPr>
        <w:t xml:space="preserve">After the </w:t>
      </w:r>
      <w:r w:rsidRPr="00FB0156" w:rsidR="00E32D10">
        <w:rPr>
          <w:sz w:val="22"/>
          <w:szCs w:val="22"/>
        </w:rPr>
        <w:t>2021</w:t>
      </w:r>
      <w:r w:rsidRPr="00FB0156" w:rsidR="002643EF">
        <w:rPr>
          <w:sz w:val="22"/>
          <w:szCs w:val="22"/>
        </w:rPr>
        <w:t xml:space="preserve"> data collection, NCSES made minor modifications to question</w:t>
      </w:r>
      <w:r w:rsidRPr="00FB0156" w:rsidR="007B715B">
        <w:rPr>
          <w:sz w:val="22"/>
          <w:szCs w:val="22"/>
        </w:rPr>
        <w:t xml:space="preserve"> lead-ins and response categories </w:t>
      </w:r>
      <w:r w:rsidRPr="00FB0156" w:rsidR="002643EF">
        <w:rPr>
          <w:sz w:val="22"/>
          <w:szCs w:val="22"/>
        </w:rPr>
        <w:t xml:space="preserve">common to both the </w:t>
      </w:r>
      <w:r w:rsidR="007E7F93">
        <w:rPr>
          <w:sz w:val="22"/>
          <w:szCs w:val="22"/>
        </w:rPr>
        <w:t>SDR</w:t>
      </w:r>
      <w:r w:rsidRPr="00FB0156" w:rsidR="002643EF">
        <w:rPr>
          <w:sz w:val="22"/>
          <w:szCs w:val="22"/>
        </w:rPr>
        <w:t xml:space="preserve"> and </w:t>
      </w:r>
      <w:r w:rsidR="007E7F93">
        <w:rPr>
          <w:sz w:val="22"/>
          <w:szCs w:val="22"/>
        </w:rPr>
        <w:t>NSCG</w:t>
      </w:r>
      <w:r w:rsidRPr="00FB0156" w:rsidR="002643EF">
        <w:rPr>
          <w:sz w:val="22"/>
          <w:szCs w:val="22"/>
        </w:rPr>
        <w:t xml:space="preserve"> to increase consistency between the two surveys. </w:t>
      </w:r>
      <w:r w:rsidRPr="00FB0156">
        <w:rPr>
          <w:sz w:val="22"/>
          <w:szCs w:val="22"/>
        </w:rPr>
        <w:t xml:space="preserve">NCSES will review the </w:t>
      </w:r>
      <w:r w:rsidRPr="00FB0156" w:rsidR="007B715B">
        <w:rPr>
          <w:sz w:val="22"/>
          <w:szCs w:val="22"/>
        </w:rPr>
        <w:t>information</w:t>
      </w:r>
      <w:r w:rsidRPr="00FB0156">
        <w:rPr>
          <w:sz w:val="22"/>
          <w:szCs w:val="22"/>
        </w:rPr>
        <w:t xml:space="preserve"> after the </w:t>
      </w:r>
      <w:r w:rsidRPr="00FB0156" w:rsidR="00E32D10">
        <w:rPr>
          <w:sz w:val="22"/>
          <w:szCs w:val="22"/>
        </w:rPr>
        <w:t xml:space="preserve">2023 </w:t>
      </w:r>
      <w:r w:rsidRPr="00FB0156" w:rsidR="00DB6255">
        <w:rPr>
          <w:sz w:val="22"/>
          <w:szCs w:val="22"/>
        </w:rPr>
        <w:t>round and</w:t>
      </w:r>
      <w:r w:rsidRPr="00FB0156">
        <w:rPr>
          <w:sz w:val="22"/>
          <w:szCs w:val="22"/>
        </w:rPr>
        <w:t xml:space="preserve"> will propose and test changes </w:t>
      </w:r>
      <w:r w:rsidRPr="00FB0156" w:rsidR="007B715B">
        <w:rPr>
          <w:sz w:val="22"/>
          <w:szCs w:val="22"/>
        </w:rPr>
        <w:t xml:space="preserve">and content improvements </w:t>
      </w:r>
      <w:r w:rsidRPr="00FB0156">
        <w:rPr>
          <w:sz w:val="22"/>
          <w:szCs w:val="22"/>
        </w:rPr>
        <w:t xml:space="preserve">for the </w:t>
      </w:r>
      <w:r w:rsidRPr="00FB0156" w:rsidR="002643EF">
        <w:rPr>
          <w:sz w:val="22"/>
          <w:szCs w:val="22"/>
        </w:rPr>
        <w:t>202</w:t>
      </w:r>
      <w:r w:rsidRPr="00FB0156" w:rsidR="00E32D10">
        <w:rPr>
          <w:sz w:val="22"/>
          <w:szCs w:val="22"/>
        </w:rPr>
        <w:t>5</w:t>
      </w:r>
      <w:r w:rsidRPr="00FB0156" w:rsidR="002643EF">
        <w:rPr>
          <w:sz w:val="22"/>
          <w:szCs w:val="22"/>
        </w:rPr>
        <w:t xml:space="preserve"> </w:t>
      </w:r>
      <w:r w:rsidRPr="00FB0156" w:rsidR="007B715B">
        <w:rPr>
          <w:sz w:val="22"/>
          <w:szCs w:val="22"/>
        </w:rPr>
        <w:t>survey cycle</w:t>
      </w:r>
      <w:r w:rsidRPr="00FB0156">
        <w:rPr>
          <w:sz w:val="22"/>
          <w:szCs w:val="22"/>
        </w:rPr>
        <w:t>.</w:t>
      </w:r>
    </w:p>
    <w:p w:rsidR="006322EF" w14:paraId="53EEB266" w14:textId="35429310">
      <w:pPr>
        <w:rPr>
          <w:b/>
        </w:rPr>
      </w:pPr>
      <w:bookmarkStart w:id="37" w:name="_Toc410981801"/>
    </w:p>
    <w:p w:rsidR="00046B7E" w:rsidRPr="007806F0" w:rsidP="00046B7E" w14:paraId="7B06BFBF" w14:textId="2F90753F">
      <w:pPr>
        <w:pStyle w:val="Heading3"/>
        <w:rPr>
          <w:i w:val="0"/>
          <w:sz w:val="24"/>
        </w:rPr>
      </w:pPr>
      <w:r w:rsidRPr="007806F0">
        <w:rPr>
          <w:i w:val="0"/>
          <w:sz w:val="24"/>
        </w:rPr>
        <w:t>4</w:t>
      </w:r>
      <w:r w:rsidRPr="007806F0">
        <w:rPr>
          <w:i w:val="0"/>
          <w:sz w:val="24"/>
          <w:lang w:val="x-none"/>
        </w:rPr>
        <w:t>.</w:t>
      </w:r>
      <w:r w:rsidRPr="007806F0">
        <w:rPr>
          <w:i w:val="0"/>
          <w:sz w:val="24"/>
        </w:rPr>
        <w:t>3 Web-Based Survey Instrument</w:t>
      </w:r>
      <w:bookmarkEnd w:id="37"/>
    </w:p>
    <w:p w:rsidR="00046B7E" w:rsidP="00046B7E" w14:paraId="4CF70D01" w14:textId="66660500">
      <w:pPr>
        <w:pStyle w:val="BodyText"/>
        <w:rPr>
          <w:sz w:val="22"/>
          <w:szCs w:val="22"/>
        </w:rPr>
      </w:pPr>
      <w:r>
        <w:rPr>
          <w:sz w:val="22"/>
          <w:szCs w:val="22"/>
        </w:rPr>
        <w:t>The SDR first introduced an online mode in 2003</w:t>
      </w:r>
      <w:r w:rsidRPr="00421D36">
        <w:rPr>
          <w:sz w:val="22"/>
          <w:szCs w:val="22"/>
        </w:rPr>
        <w:t xml:space="preserve">. </w:t>
      </w:r>
      <w:r w:rsidRPr="007806F0">
        <w:rPr>
          <w:sz w:val="22"/>
          <w:szCs w:val="22"/>
        </w:rPr>
        <w:t xml:space="preserve">Figure </w:t>
      </w:r>
      <w:r w:rsidR="00616325">
        <w:rPr>
          <w:sz w:val="22"/>
          <w:szCs w:val="22"/>
        </w:rPr>
        <w:t>1</w:t>
      </w:r>
      <w:r>
        <w:rPr>
          <w:sz w:val="22"/>
          <w:szCs w:val="22"/>
        </w:rPr>
        <w:t xml:space="preserve"> shows the rate of </w:t>
      </w:r>
      <w:r w:rsidR="007E7F93">
        <w:rPr>
          <w:sz w:val="22"/>
          <w:szCs w:val="22"/>
        </w:rPr>
        <w:t xml:space="preserve">the </w:t>
      </w:r>
      <w:r>
        <w:rPr>
          <w:sz w:val="22"/>
          <w:szCs w:val="22"/>
        </w:rPr>
        <w:t xml:space="preserve">SDR web survey participation from the 2003 through </w:t>
      </w:r>
      <w:r w:rsidR="002643EF">
        <w:rPr>
          <w:sz w:val="22"/>
          <w:szCs w:val="22"/>
        </w:rPr>
        <w:t>20</w:t>
      </w:r>
      <w:r>
        <w:rPr>
          <w:sz w:val="22"/>
          <w:szCs w:val="22"/>
        </w:rPr>
        <w:t>21</w:t>
      </w:r>
      <w:r w:rsidR="002643EF">
        <w:rPr>
          <w:sz w:val="22"/>
          <w:szCs w:val="22"/>
        </w:rPr>
        <w:t xml:space="preserve"> </w:t>
      </w:r>
      <w:r>
        <w:rPr>
          <w:sz w:val="22"/>
          <w:szCs w:val="22"/>
        </w:rPr>
        <w:t>survey cycles.</w:t>
      </w:r>
    </w:p>
    <w:p w:rsidR="006322EF" w14:paraId="75D60BD2" w14:textId="073EDBF5">
      <w:pPr>
        <w:rPr>
          <w:b/>
          <w:sz w:val="22"/>
          <w:szCs w:val="22"/>
        </w:rPr>
      </w:pPr>
    </w:p>
    <w:p w:rsidR="00046B7E" w:rsidP="00B975C0" w14:paraId="62994EF9" w14:textId="0C8556F0">
      <w:pPr>
        <w:keepNext/>
        <w:spacing w:after="120"/>
        <w:rPr>
          <w:b/>
          <w:sz w:val="22"/>
          <w:szCs w:val="22"/>
        </w:rPr>
      </w:pPr>
      <w:r w:rsidRPr="00580CAB">
        <w:rPr>
          <w:b/>
          <w:sz w:val="22"/>
          <w:szCs w:val="22"/>
        </w:rPr>
        <w:t xml:space="preserve">Figure </w:t>
      </w:r>
      <w:r w:rsidR="00616325">
        <w:rPr>
          <w:b/>
          <w:sz w:val="22"/>
          <w:szCs w:val="22"/>
        </w:rPr>
        <w:t>1</w:t>
      </w:r>
      <w:r w:rsidRPr="00580CAB">
        <w:rPr>
          <w:b/>
          <w:sz w:val="22"/>
          <w:szCs w:val="22"/>
        </w:rPr>
        <w:t>: Web Mode Participation Rate: 2003-</w:t>
      </w:r>
      <w:r w:rsidRPr="007806F0">
        <w:rPr>
          <w:b/>
          <w:sz w:val="22"/>
          <w:szCs w:val="22"/>
        </w:rPr>
        <w:t>20</w:t>
      </w:r>
      <w:r w:rsidR="00C51E48">
        <w:rPr>
          <w:b/>
          <w:sz w:val="22"/>
          <w:szCs w:val="22"/>
        </w:rPr>
        <w:t>21</w:t>
      </w:r>
      <w:r w:rsidRPr="007806F0">
        <w:rPr>
          <w:b/>
          <w:sz w:val="22"/>
          <w:szCs w:val="22"/>
        </w:rPr>
        <w:t xml:space="preserve"> SDR</w:t>
      </w:r>
    </w:p>
    <w:p w:rsidR="009A3C53" w:rsidP="00046B7E" w14:paraId="0CCE8BBB" w14:textId="12890150">
      <w:pPr>
        <w:spacing w:after="120"/>
        <w:rPr>
          <w:b/>
          <w:sz w:val="22"/>
          <w:szCs w:val="22"/>
        </w:rPr>
      </w:pPr>
      <w:r w:rsidRPr="00616325">
        <w:rPr>
          <w:b/>
          <w:noProof/>
          <w:color w:val="BFBFBF" w:themeColor="background1" w:themeShade="BF"/>
          <w:sz w:val="22"/>
          <w:szCs w:val="22"/>
        </w:rPr>
        <w:drawing>
          <wp:inline distT="0" distB="0" distL="0" distR="0">
            <wp:extent cx="5486400" cy="281940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046B7E" w:rsidRPr="005D2584" w:rsidP="00046B7E" w14:paraId="3E55BDAC" w14:textId="77777777">
      <w:pPr>
        <w:spacing w:after="120"/>
        <w:rPr>
          <w:sz w:val="20"/>
          <w:szCs w:val="22"/>
        </w:rPr>
      </w:pPr>
      <w:r w:rsidRPr="005D2584">
        <w:rPr>
          <w:sz w:val="20"/>
          <w:szCs w:val="22"/>
        </w:rPr>
        <w:t>*Other response modes are self-administered mail-in form or telephone interview.</w:t>
      </w:r>
    </w:p>
    <w:p w:rsidR="009D2D0E" w:rsidP="00046B7E" w14:paraId="33722D70" w14:textId="77777777">
      <w:pPr>
        <w:pStyle w:val="BodyText"/>
        <w:rPr>
          <w:sz w:val="22"/>
          <w:szCs w:val="22"/>
        </w:rPr>
      </w:pPr>
    </w:p>
    <w:p w:rsidR="00046B7E" w:rsidP="00297575" w14:paraId="7A5A4187" w14:textId="6728CD44">
      <w:pPr>
        <w:pStyle w:val="BodyText"/>
        <w:rPr>
          <w:sz w:val="22"/>
          <w:szCs w:val="22"/>
        </w:rPr>
      </w:pPr>
      <w:r>
        <w:rPr>
          <w:sz w:val="22"/>
          <w:szCs w:val="22"/>
        </w:rPr>
        <w:t>As in 20</w:t>
      </w:r>
      <w:r w:rsidR="002D4A8C">
        <w:rPr>
          <w:sz w:val="22"/>
          <w:szCs w:val="22"/>
        </w:rPr>
        <w:t>21</w:t>
      </w:r>
      <w:r>
        <w:rPr>
          <w:sz w:val="22"/>
          <w:szCs w:val="22"/>
        </w:rPr>
        <w:t>, t</w:t>
      </w:r>
      <w:r w:rsidRPr="00421D36">
        <w:rPr>
          <w:sz w:val="22"/>
          <w:szCs w:val="22"/>
        </w:rPr>
        <w:t xml:space="preserve">he </w:t>
      </w:r>
      <w:r w:rsidRPr="00A30797" w:rsidR="002643EF">
        <w:rPr>
          <w:sz w:val="22"/>
          <w:szCs w:val="22"/>
        </w:rPr>
        <w:t>20</w:t>
      </w:r>
      <w:r w:rsidR="002643EF">
        <w:rPr>
          <w:sz w:val="22"/>
          <w:szCs w:val="22"/>
        </w:rPr>
        <w:t>2</w:t>
      </w:r>
      <w:r w:rsidR="002D4A8C">
        <w:rPr>
          <w:sz w:val="22"/>
          <w:szCs w:val="22"/>
        </w:rPr>
        <w:t>3</w:t>
      </w:r>
      <w:r w:rsidRPr="00421D36" w:rsidR="002643EF">
        <w:rPr>
          <w:sz w:val="22"/>
          <w:szCs w:val="22"/>
        </w:rPr>
        <w:t xml:space="preserve"> </w:t>
      </w:r>
      <w:r>
        <w:rPr>
          <w:sz w:val="22"/>
          <w:szCs w:val="22"/>
        </w:rPr>
        <w:t>online survey</w:t>
      </w:r>
      <w:r w:rsidRPr="00421D36">
        <w:rPr>
          <w:sz w:val="22"/>
          <w:szCs w:val="22"/>
        </w:rPr>
        <w:t xml:space="preserve"> will </w:t>
      </w:r>
      <w:r w:rsidR="00297575">
        <w:rPr>
          <w:sz w:val="22"/>
          <w:szCs w:val="22"/>
        </w:rPr>
        <w:t xml:space="preserve">be a </w:t>
      </w:r>
      <w:r w:rsidRPr="00297575" w:rsidR="00297575">
        <w:rPr>
          <w:sz w:val="22"/>
          <w:szCs w:val="22"/>
        </w:rPr>
        <w:t>m</w:t>
      </w:r>
      <w:r w:rsidR="00297575">
        <w:rPr>
          <w:sz w:val="22"/>
          <w:szCs w:val="22"/>
        </w:rPr>
        <w:t>obile aware survey that renders</w:t>
      </w:r>
      <w:r w:rsidRPr="00297575" w:rsidR="00297575">
        <w:rPr>
          <w:sz w:val="22"/>
          <w:szCs w:val="22"/>
        </w:rPr>
        <w:t xml:space="preserve"> in a user</w:t>
      </w:r>
      <w:r w:rsidR="002075DC">
        <w:rPr>
          <w:sz w:val="22"/>
          <w:szCs w:val="22"/>
        </w:rPr>
        <w:t>-</w:t>
      </w:r>
      <w:r w:rsidRPr="00297575" w:rsidR="00297575">
        <w:rPr>
          <w:sz w:val="22"/>
          <w:szCs w:val="22"/>
        </w:rPr>
        <w:t>fr</w:t>
      </w:r>
      <w:r w:rsidR="00297575">
        <w:rPr>
          <w:sz w:val="22"/>
          <w:szCs w:val="22"/>
        </w:rPr>
        <w:t>iendly format on mobile devices</w:t>
      </w:r>
      <w:r w:rsidRPr="00421D36">
        <w:rPr>
          <w:sz w:val="22"/>
          <w:szCs w:val="22"/>
        </w:rPr>
        <w:t xml:space="preserve"> (e.g., smartphones and tablets) so that the respondent experience with the online survey will be similar regardless of the screen size or web browser used to access the survey. </w:t>
      </w:r>
      <w:r w:rsidR="00375A55">
        <w:rPr>
          <w:sz w:val="22"/>
          <w:szCs w:val="22"/>
        </w:rPr>
        <w:t>O</w:t>
      </w:r>
      <w:r>
        <w:rPr>
          <w:sz w:val="22"/>
          <w:szCs w:val="22"/>
        </w:rPr>
        <w:t>ver</w:t>
      </w:r>
      <w:r w:rsidRPr="00421D36">
        <w:rPr>
          <w:sz w:val="22"/>
          <w:szCs w:val="22"/>
        </w:rPr>
        <w:t xml:space="preserve"> </w:t>
      </w:r>
      <w:r w:rsidR="002643EF">
        <w:rPr>
          <w:sz w:val="22"/>
          <w:szCs w:val="22"/>
        </w:rPr>
        <w:t>9</w:t>
      </w:r>
      <w:r w:rsidRPr="00A30797" w:rsidR="002643EF">
        <w:rPr>
          <w:sz w:val="22"/>
          <w:szCs w:val="22"/>
        </w:rPr>
        <w:t>0</w:t>
      </w:r>
      <w:r w:rsidR="00D0276C">
        <w:rPr>
          <w:sz w:val="22"/>
          <w:szCs w:val="22"/>
        </w:rPr>
        <w:t>%</w:t>
      </w:r>
      <w:r w:rsidRPr="00421D36">
        <w:rPr>
          <w:sz w:val="22"/>
          <w:szCs w:val="22"/>
        </w:rPr>
        <w:t xml:space="preserve"> of the SDR respondents are expected to participate </w:t>
      </w:r>
      <w:r>
        <w:rPr>
          <w:sz w:val="22"/>
          <w:szCs w:val="22"/>
        </w:rPr>
        <w:t>via</w:t>
      </w:r>
      <w:r w:rsidRPr="00421D36">
        <w:rPr>
          <w:sz w:val="22"/>
          <w:szCs w:val="22"/>
        </w:rPr>
        <w:t xml:space="preserve"> </w:t>
      </w:r>
      <w:r>
        <w:rPr>
          <w:sz w:val="22"/>
          <w:szCs w:val="22"/>
        </w:rPr>
        <w:t>w</w:t>
      </w:r>
      <w:r w:rsidRPr="00421D36">
        <w:rPr>
          <w:sz w:val="22"/>
          <w:szCs w:val="22"/>
        </w:rPr>
        <w:t xml:space="preserve">eb based on </w:t>
      </w:r>
      <w:r w:rsidR="002643EF">
        <w:rPr>
          <w:sz w:val="22"/>
          <w:szCs w:val="22"/>
        </w:rPr>
        <w:t>the</w:t>
      </w:r>
      <w:r w:rsidRPr="00421D36">
        <w:rPr>
          <w:sz w:val="22"/>
          <w:szCs w:val="22"/>
        </w:rPr>
        <w:t xml:space="preserve"> online participation in the </w:t>
      </w:r>
      <w:r w:rsidR="002D4A8C">
        <w:rPr>
          <w:sz w:val="22"/>
          <w:szCs w:val="22"/>
        </w:rPr>
        <w:t>previous</w:t>
      </w:r>
      <w:r w:rsidRPr="00421D36" w:rsidR="002D4A8C">
        <w:rPr>
          <w:sz w:val="22"/>
          <w:szCs w:val="22"/>
        </w:rPr>
        <w:t xml:space="preserve"> </w:t>
      </w:r>
      <w:r w:rsidRPr="00421D36">
        <w:rPr>
          <w:sz w:val="22"/>
          <w:szCs w:val="22"/>
        </w:rPr>
        <w:t>survey cycle</w:t>
      </w:r>
      <w:r w:rsidR="002D4A8C">
        <w:rPr>
          <w:sz w:val="22"/>
          <w:szCs w:val="22"/>
        </w:rPr>
        <w:t>s</w:t>
      </w:r>
      <w:r w:rsidRPr="00421D36">
        <w:rPr>
          <w:sz w:val="22"/>
          <w:szCs w:val="22"/>
        </w:rPr>
        <w:t>.</w:t>
      </w:r>
      <w:r w:rsidR="00297575">
        <w:rPr>
          <w:sz w:val="22"/>
          <w:szCs w:val="22"/>
        </w:rPr>
        <w:t xml:space="preserve"> Of web respondents, 1</w:t>
      </w:r>
      <w:r w:rsidR="0080749A">
        <w:rPr>
          <w:sz w:val="22"/>
          <w:szCs w:val="22"/>
        </w:rPr>
        <w:t>6</w:t>
      </w:r>
      <w:r w:rsidR="00297575">
        <w:rPr>
          <w:sz w:val="22"/>
          <w:szCs w:val="22"/>
        </w:rPr>
        <w:t>% participated via a mobile device in 20</w:t>
      </w:r>
      <w:r w:rsidR="0080749A">
        <w:rPr>
          <w:sz w:val="22"/>
          <w:szCs w:val="22"/>
        </w:rPr>
        <w:t>21</w:t>
      </w:r>
      <w:r w:rsidR="00297575">
        <w:rPr>
          <w:sz w:val="22"/>
          <w:szCs w:val="22"/>
        </w:rPr>
        <w:t>.</w:t>
      </w:r>
    </w:p>
    <w:p w:rsidR="00D3342A" w:rsidP="00B80A10" w14:paraId="687C22EB" w14:textId="77777777">
      <w:pPr>
        <w:pStyle w:val="Heading3"/>
        <w:spacing w:after="0"/>
        <w:rPr>
          <w:i w:val="0"/>
          <w:sz w:val="24"/>
        </w:rPr>
      </w:pPr>
    </w:p>
    <w:p w:rsidR="00D66DB2" w:rsidRPr="007806F0" w:rsidP="00D66DB2" w14:paraId="123C9B0A" w14:textId="31175DF4">
      <w:pPr>
        <w:pStyle w:val="Heading3"/>
        <w:rPr>
          <w:i w:val="0"/>
          <w:sz w:val="24"/>
        </w:rPr>
      </w:pPr>
      <w:bookmarkStart w:id="38" w:name="_Hlk67917133"/>
      <w:r w:rsidRPr="007806F0">
        <w:rPr>
          <w:i w:val="0"/>
          <w:sz w:val="24"/>
        </w:rPr>
        <w:t>4</w:t>
      </w:r>
      <w:r w:rsidRPr="007806F0">
        <w:rPr>
          <w:i w:val="0"/>
          <w:sz w:val="24"/>
          <w:lang w:val="x-none"/>
        </w:rPr>
        <w:t>.</w:t>
      </w:r>
      <w:r w:rsidR="0090671D">
        <w:rPr>
          <w:i w:val="0"/>
          <w:sz w:val="24"/>
        </w:rPr>
        <w:t>4</w:t>
      </w:r>
      <w:r w:rsidRPr="007806F0">
        <w:rPr>
          <w:i w:val="0"/>
          <w:sz w:val="24"/>
        </w:rPr>
        <w:t xml:space="preserve"> </w:t>
      </w:r>
      <w:r>
        <w:rPr>
          <w:i w:val="0"/>
          <w:sz w:val="24"/>
        </w:rPr>
        <w:t>Adaptive Design Goals and Monitoring Metrics</w:t>
      </w:r>
      <w:bookmarkEnd w:id="38"/>
    </w:p>
    <w:p w:rsidR="00377852" w:rsidRPr="00C76D27" w:rsidP="00377852" w14:paraId="63794EF6" w14:textId="41D01FE1">
      <w:pPr>
        <w:pStyle w:val="BodyText"/>
        <w:rPr>
          <w:sz w:val="22"/>
          <w:szCs w:val="22"/>
        </w:rPr>
      </w:pPr>
      <w:r>
        <w:rPr>
          <w:sz w:val="22"/>
          <w:szCs w:val="22"/>
        </w:rPr>
        <w:t>Adaptive</w:t>
      </w:r>
      <w:r w:rsidR="007E35A9">
        <w:rPr>
          <w:sz w:val="22"/>
          <w:szCs w:val="22"/>
        </w:rPr>
        <w:t xml:space="preserve"> survey designs provide a framework for data-driven tailoring of data collection procedures</w:t>
      </w:r>
      <w:r w:rsidR="00255BC4">
        <w:rPr>
          <w:sz w:val="22"/>
          <w:szCs w:val="22"/>
        </w:rPr>
        <w:t xml:space="preserve"> to different sample members,</w:t>
      </w:r>
      <w:r w:rsidR="00094AD6">
        <w:rPr>
          <w:sz w:val="22"/>
          <w:szCs w:val="22"/>
        </w:rPr>
        <w:t xml:space="preserve"> </w:t>
      </w:r>
      <w:r w:rsidR="00A26677">
        <w:rPr>
          <w:sz w:val="22"/>
          <w:szCs w:val="22"/>
        </w:rPr>
        <w:t>often for cost and bias reduction.</w:t>
      </w:r>
      <w:r>
        <w:rPr>
          <w:rStyle w:val="FootnoteReference"/>
          <w:sz w:val="22"/>
          <w:szCs w:val="22"/>
        </w:rPr>
        <w:footnoteReference w:id="11"/>
      </w:r>
      <w:r w:rsidR="007E35A9">
        <w:rPr>
          <w:sz w:val="22"/>
          <w:szCs w:val="22"/>
        </w:rPr>
        <w:t xml:space="preserve"> </w:t>
      </w:r>
      <w:r w:rsidRPr="00C76D27">
        <w:rPr>
          <w:sz w:val="22"/>
          <w:szCs w:val="22"/>
        </w:rPr>
        <w:t xml:space="preserve">The </w:t>
      </w:r>
      <w:r w:rsidR="00043597">
        <w:rPr>
          <w:sz w:val="22"/>
          <w:szCs w:val="22"/>
        </w:rPr>
        <w:t>202</w:t>
      </w:r>
      <w:r w:rsidR="00914158">
        <w:rPr>
          <w:sz w:val="22"/>
          <w:szCs w:val="22"/>
        </w:rPr>
        <w:t>3</w:t>
      </w:r>
      <w:r w:rsidRPr="00C76D27" w:rsidR="00043597">
        <w:rPr>
          <w:sz w:val="22"/>
          <w:szCs w:val="22"/>
        </w:rPr>
        <w:t xml:space="preserve"> </w:t>
      </w:r>
      <w:r w:rsidRPr="00C76D27">
        <w:rPr>
          <w:sz w:val="22"/>
          <w:szCs w:val="22"/>
        </w:rPr>
        <w:t xml:space="preserve">data collection </w:t>
      </w:r>
      <w:r w:rsidRPr="00C76D27" w:rsidR="006D17A5">
        <w:rPr>
          <w:sz w:val="22"/>
          <w:szCs w:val="22"/>
        </w:rPr>
        <w:t xml:space="preserve">will </w:t>
      </w:r>
      <w:r w:rsidRPr="00C76D27">
        <w:rPr>
          <w:sz w:val="22"/>
          <w:szCs w:val="22"/>
        </w:rPr>
        <w:t xml:space="preserve">include an adaptive design strategy to help achieve a balanced sample to minimize </w:t>
      </w:r>
      <w:r w:rsidR="008D16F2">
        <w:rPr>
          <w:sz w:val="22"/>
          <w:szCs w:val="22"/>
        </w:rPr>
        <w:t xml:space="preserve">the potential for </w:t>
      </w:r>
      <w:r w:rsidRPr="00C76D27">
        <w:rPr>
          <w:sz w:val="22"/>
          <w:szCs w:val="22"/>
        </w:rPr>
        <w:t>nonresponse bias</w:t>
      </w:r>
      <w:r w:rsidR="00B17CE8">
        <w:rPr>
          <w:sz w:val="22"/>
          <w:szCs w:val="22"/>
        </w:rPr>
        <w:t>,</w:t>
      </w:r>
      <w:r w:rsidR="008B7732">
        <w:rPr>
          <w:sz w:val="22"/>
          <w:szCs w:val="22"/>
        </w:rPr>
        <w:t xml:space="preserve"> </w:t>
      </w:r>
      <w:r w:rsidRPr="00C76D27">
        <w:rPr>
          <w:sz w:val="22"/>
          <w:szCs w:val="22"/>
        </w:rPr>
        <w:t>achieve target</w:t>
      </w:r>
      <w:r w:rsidR="00C94EAD">
        <w:rPr>
          <w:sz w:val="22"/>
          <w:szCs w:val="22"/>
        </w:rPr>
        <w:t>ed</w:t>
      </w:r>
      <w:r w:rsidRPr="00C76D27">
        <w:rPr>
          <w:sz w:val="22"/>
          <w:szCs w:val="22"/>
        </w:rPr>
        <w:t xml:space="preserve"> numbers of completes for key analytic domains</w:t>
      </w:r>
      <w:r w:rsidR="00B17CE8">
        <w:rPr>
          <w:sz w:val="22"/>
          <w:szCs w:val="22"/>
        </w:rPr>
        <w:t>, and</w:t>
      </w:r>
      <w:r w:rsidR="00914158">
        <w:rPr>
          <w:sz w:val="22"/>
          <w:szCs w:val="22"/>
        </w:rPr>
        <w:t xml:space="preserve"> maintain the efficiency of data collection</w:t>
      </w:r>
      <w:r w:rsidRPr="00C76D27">
        <w:rPr>
          <w:sz w:val="22"/>
          <w:szCs w:val="22"/>
        </w:rPr>
        <w:t>.</w:t>
      </w:r>
      <w:r w:rsidRPr="008207D3" w:rsidR="008207D3">
        <w:rPr>
          <w:sz w:val="22"/>
          <w:szCs w:val="22"/>
        </w:rPr>
        <w:t xml:space="preserve"> This is the </w:t>
      </w:r>
      <w:r w:rsidR="00914158">
        <w:rPr>
          <w:sz w:val="22"/>
          <w:szCs w:val="22"/>
        </w:rPr>
        <w:t>5</w:t>
      </w:r>
      <w:r w:rsidR="001D0321">
        <w:rPr>
          <w:sz w:val="22"/>
          <w:szCs w:val="22"/>
        </w:rPr>
        <w:t>th</w:t>
      </w:r>
      <w:r w:rsidRPr="008207D3" w:rsidR="008207D3">
        <w:rPr>
          <w:sz w:val="22"/>
          <w:szCs w:val="22"/>
        </w:rPr>
        <w:t xml:space="preserve"> cycle of </w:t>
      </w:r>
      <w:r w:rsidR="007E7F93">
        <w:rPr>
          <w:sz w:val="22"/>
          <w:szCs w:val="22"/>
        </w:rPr>
        <w:t xml:space="preserve">the </w:t>
      </w:r>
      <w:r w:rsidRPr="008207D3" w:rsidR="008207D3">
        <w:rPr>
          <w:sz w:val="22"/>
          <w:szCs w:val="22"/>
        </w:rPr>
        <w:t>SDR to apply an adaptive design approach</w:t>
      </w:r>
      <w:r w:rsidR="00043597">
        <w:rPr>
          <w:sz w:val="22"/>
          <w:szCs w:val="22"/>
        </w:rPr>
        <w:t>.</w:t>
      </w:r>
      <w:r w:rsidRPr="008207D3" w:rsidR="008207D3">
        <w:rPr>
          <w:sz w:val="22"/>
          <w:szCs w:val="22"/>
        </w:rPr>
        <w:t xml:space="preserve"> </w:t>
      </w:r>
      <w:r w:rsidR="00043597">
        <w:rPr>
          <w:sz w:val="22"/>
          <w:szCs w:val="22"/>
        </w:rPr>
        <w:t>The</w:t>
      </w:r>
      <w:r w:rsidRPr="008207D3" w:rsidR="008207D3">
        <w:rPr>
          <w:sz w:val="22"/>
          <w:szCs w:val="22"/>
        </w:rPr>
        <w:t xml:space="preserve"> </w:t>
      </w:r>
      <w:r w:rsidR="00043597">
        <w:rPr>
          <w:sz w:val="22"/>
          <w:szCs w:val="22"/>
        </w:rPr>
        <w:t>202</w:t>
      </w:r>
      <w:r w:rsidR="00683C9A">
        <w:rPr>
          <w:sz w:val="22"/>
          <w:szCs w:val="22"/>
        </w:rPr>
        <w:t>3</w:t>
      </w:r>
      <w:r w:rsidRPr="003E7A4F" w:rsidR="00043597">
        <w:rPr>
          <w:sz w:val="22"/>
          <w:szCs w:val="22"/>
        </w:rPr>
        <w:t xml:space="preserve"> </w:t>
      </w:r>
      <w:r w:rsidRPr="003E7A4F" w:rsidR="008207D3">
        <w:rPr>
          <w:sz w:val="22"/>
          <w:szCs w:val="22"/>
        </w:rPr>
        <w:t xml:space="preserve">emphasis </w:t>
      </w:r>
      <w:r w:rsidR="00B64FFD">
        <w:rPr>
          <w:sz w:val="22"/>
          <w:szCs w:val="22"/>
        </w:rPr>
        <w:t xml:space="preserve">will </w:t>
      </w:r>
      <w:r w:rsidR="00043597">
        <w:rPr>
          <w:sz w:val="22"/>
          <w:szCs w:val="22"/>
        </w:rPr>
        <w:t xml:space="preserve">continue building on the procedures implemented during </w:t>
      </w:r>
      <w:r w:rsidR="00683C9A">
        <w:rPr>
          <w:sz w:val="22"/>
          <w:szCs w:val="22"/>
        </w:rPr>
        <w:t>prior</w:t>
      </w:r>
      <w:r w:rsidR="00043597">
        <w:rPr>
          <w:sz w:val="22"/>
          <w:szCs w:val="22"/>
        </w:rPr>
        <w:t xml:space="preserve"> cycle</w:t>
      </w:r>
      <w:r w:rsidR="008B7732">
        <w:rPr>
          <w:sz w:val="22"/>
          <w:szCs w:val="22"/>
        </w:rPr>
        <w:t>s</w:t>
      </w:r>
      <w:r w:rsidR="00043597">
        <w:rPr>
          <w:sz w:val="22"/>
          <w:szCs w:val="22"/>
        </w:rPr>
        <w:t>, including</w:t>
      </w:r>
      <w:r w:rsidR="00B64FFD">
        <w:rPr>
          <w:sz w:val="22"/>
          <w:szCs w:val="22"/>
        </w:rPr>
        <w:t xml:space="preserve"> </w:t>
      </w:r>
      <w:r w:rsidRPr="003E7A4F" w:rsidR="008207D3">
        <w:rPr>
          <w:sz w:val="22"/>
          <w:szCs w:val="22"/>
        </w:rPr>
        <w:t xml:space="preserve">the </w:t>
      </w:r>
      <w:r w:rsidR="00043597">
        <w:rPr>
          <w:sz w:val="22"/>
          <w:szCs w:val="22"/>
        </w:rPr>
        <w:t>development of improved</w:t>
      </w:r>
      <w:r w:rsidRPr="003E7A4F" w:rsidR="008207D3">
        <w:rPr>
          <w:sz w:val="22"/>
          <w:szCs w:val="22"/>
        </w:rPr>
        <w:t xml:space="preserve"> monitoring metrics </w:t>
      </w:r>
      <w:r w:rsidR="008905CE">
        <w:rPr>
          <w:sz w:val="22"/>
          <w:szCs w:val="22"/>
        </w:rPr>
        <w:t xml:space="preserve">that assess the </w:t>
      </w:r>
      <w:r w:rsidR="00315222">
        <w:rPr>
          <w:sz w:val="22"/>
          <w:szCs w:val="22"/>
        </w:rPr>
        <w:t xml:space="preserve">adaptive design’s </w:t>
      </w:r>
      <w:r w:rsidR="008905CE">
        <w:rPr>
          <w:sz w:val="22"/>
          <w:szCs w:val="22"/>
        </w:rPr>
        <w:t xml:space="preserve">effects of treatments and interventions </w:t>
      </w:r>
      <w:r w:rsidRPr="00AB57F4" w:rsidR="008207D3">
        <w:rPr>
          <w:sz w:val="22"/>
          <w:szCs w:val="22"/>
        </w:rPr>
        <w:t xml:space="preserve">used in prioritizing nonrespondents for </w:t>
      </w:r>
      <w:r w:rsidR="00D9776C">
        <w:rPr>
          <w:sz w:val="22"/>
          <w:szCs w:val="22"/>
        </w:rPr>
        <w:t>data collection</w:t>
      </w:r>
      <w:r w:rsidRPr="00AB57F4" w:rsidR="008207D3">
        <w:rPr>
          <w:sz w:val="22"/>
          <w:szCs w:val="22"/>
        </w:rPr>
        <w:t>.</w:t>
      </w:r>
      <w:r w:rsidR="006B4EEF">
        <w:rPr>
          <w:sz w:val="22"/>
          <w:szCs w:val="22"/>
        </w:rPr>
        <w:t xml:space="preserve"> In </w:t>
      </w:r>
      <w:r w:rsidR="006F73F2">
        <w:rPr>
          <w:sz w:val="22"/>
          <w:szCs w:val="22"/>
        </w:rPr>
        <w:t>addition,</w:t>
      </w:r>
      <w:r w:rsidR="006B4EEF">
        <w:rPr>
          <w:sz w:val="22"/>
          <w:szCs w:val="22"/>
        </w:rPr>
        <w:t xml:space="preserve"> </w:t>
      </w:r>
      <w:r w:rsidR="00C200A8">
        <w:rPr>
          <w:sz w:val="22"/>
          <w:szCs w:val="22"/>
        </w:rPr>
        <w:t>there will be a continued investigation on how best to use interim estimates</w:t>
      </w:r>
      <w:r w:rsidR="00325D13">
        <w:rPr>
          <w:sz w:val="22"/>
          <w:szCs w:val="22"/>
        </w:rPr>
        <w:t xml:space="preserve"> produced from flow processing in the adaptive design framework. Flow processing </w:t>
      </w:r>
      <w:r w:rsidR="006149AD">
        <w:rPr>
          <w:sz w:val="22"/>
          <w:szCs w:val="22"/>
        </w:rPr>
        <w:t xml:space="preserve">will be conducted weekly after the first month of data collection. This will include running all coding, editing, </w:t>
      </w:r>
      <w:r w:rsidR="00E846ED">
        <w:rPr>
          <w:sz w:val="22"/>
          <w:szCs w:val="22"/>
        </w:rPr>
        <w:t xml:space="preserve">weighting, imputation, and variance estimation </w:t>
      </w:r>
      <w:r w:rsidR="00F147C9">
        <w:rPr>
          <w:sz w:val="22"/>
          <w:szCs w:val="22"/>
        </w:rPr>
        <w:t xml:space="preserve">to produce </w:t>
      </w:r>
      <w:r w:rsidR="0029708E">
        <w:rPr>
          <w:sz w:val="22"/>
          <w:szCs w:val="22"/>
        </w:rPr>
        <w:t xml:space="preserve">key </w:t>
      </w:r>
      <w:r w:rsidR="006C5A9A">
        <w:rPr>
          <w:sz w:val="22"/>
          <w:szCs w:val="22"/>
        </w:rPr>
        <w:t>estimates during data collection.</w:t>
      </w:r>
    </w:p>
    <w:p w:rsidR="006D17A5" w:rsidRPr="00C76D27" w:rsidP="00377852" w14:paraId="3F5791E9" w14:textId="77777777">
      <w:pPr>
        <w:pStyle w:val="BodyText"/>
        <w:rPr>
          <w:sz w:val="22"/>
          <w:szCs w:val="22"/>
        </w:rPr>
      </w:pPr>
    </w:p>
    <w:p w:rsidR="005D3B7D" w:rsidP="00D9776C" w14:paraId="3564DD8C" w14:textId="417D9B52">
      <w:pPr>
        <w:pStyle w:val="BodyText"/>
        <w:rPr>
          <w:sz w:val="22"/>
          <w:szCs w:val="22"/>
        </w:rPr>
      </w:pPr>
      <w:r>
        <w:rPr>
          <w:sz w:val="22"/>
          <w:szCs w:val="22"/>
        </w:rPr>
        <w:t xml:space="preserve">The </w:t>
      </w:r>
      <w:r w:rsidR="00043597">
        <w:rPr>
          <w:sz w:val="22"/>
          <w:szCs w:val="22"/>
        </w:rPr>
        <w:t>202</w:t>
      </w:r>
      <w:r w:rsidR="00236450">
        <w:rPr>
          <w:sz w:val="22"/>
          <w:szCs w:val="22"/>
        </w:rPr>
        <w:t>3</w:t>
      </w:r>
      <w:r w:rsidRPr="00C76D27" w:rsidR="00043597">
        <w:rPr>
          <w:sz w:val="22"/>
          <w:szCs w:val="22"/>
        </w:rPr>
        <w:t xml:space="preserve"> </w:t>
      </w:r>
      <w:r w:rsidRPr="00C76D27" w:rsidR="00377852">
        <w:rPr>
          <w:sz w:val="22"/>
          <w:szCs w:val="22"/>
        </w:rPr>
        <w:t>SDR data collection w</w:t>
      </w:r>
      <w:r w:rsidRPr="00C76D27" w:rsidR="006D17A5">
        <w:rPr>
          <w:sz w:val="22"/>
          <w:szCs w:val="22"/>
        </w:rPr>
        <w:t>ill be</w:t>
      </w:r>
      <w:r w:rsidRPr="00C76D27" w:rsidR="00377852">
        <w:rPr>
          <w:sz w:val="22"/>
          <w:szCs w:val="22"/>
        </w:rPr>
        <w:t xml:space="preserve"> implemented in </w:t>
      </w:r>
      <w:r w:rsidR="00236450">
        <w:rPr>
          <w:sz w:val="22"/>
          <w:szCs w:val="22"/>
        </w:rPr>
        <w:t>four</w:t>
      </w:r>
      <w:r w:rsidR="00F26451">
        <w:rPr>
          <w:sz w:val="22"/>
          <w:szCs w:val="22"/>
        </w:rPr>
        <w:t xml:space="preserve"> </w:t>
      </w:r>
      <w:r w:rsidR="00707725">
        <w:rPr>
          <w:sz w:val="22"/>
          <w:szCs w:val="22"/>
        </w:rPr>
        <w:t xml:space="preserve">data collection </w:t>
      </w:r>
      <w:r w:rsidRPr="00C76D27" w:rsidR="00377852">
        <w:rPr>
          <w:sz w:val="22"/>
          <w:szCs w:val="22"/>
        </w:rPr>
        <w:t>phases</w:t>
      </w:r>
      <w:r w:rsidR="00C94EAD">
        <w:rPr>
          <w:sz w:val="22"/>
          <w:szCs w:val="22"/>
        </w:rPr>
        <w:t xml:space="preserve"> over the course of 2</w:t>
      </w:r>
      <w:r w:rsidR="00707725">
        <w:rPr>
          <w:sz w:val="22"/>
          <w:szCs w:val="22"/>
        </w:rPr>
        <w:t>6</w:t>
      </w:r>
      <w:r w:rsidR="00C94EAD">
        <w:rPr>
          <w:sz w:val="22"/>
          <w:szCs w:val="22"/>
        </w:rPr>
        <w:t xml:space="preserve"> weeks</w:t>
      </w:r>
      <w:r w:rsidR="00D9776C">
        <w:rPr>
          <w:sz w:val="22"/>
          <w:szCs w:val="22"/>
        </w:rPr>
        <w:t xml:space="preserve">. </w:t>
      </w:r>
      <w:r w:rsidR="00BB0AAE">
        <w:rPr>
          <w:sz w:val="22"/>
          <w:szCs w:val="22"/>
        </w:rPr>
        <w:t xml:space="preserve">The four data collection phases are (1) starting, (2) interim, (3) late-stage, and (4) last chance. </w:t>
      </w:r>
      <w:r w:rsidR="003637D6">
        <w:rPr>
          <w:sz w:val="22"/>
          <w:szCs w:val="22"/>
        </w:rPr>
        <w:t xml:space="preserve">Adaptive design interventions will vary across the </w:t>
      </w:r>
      <w:r w:rsidR="00A30E0D">
        <w:rPr>
          <w:sz w:val="22"/>
          <w:szCs w:val="22"/>
        </w:rPr>
        <w:t>prefield</w:t>
      </w:r>
      <w:r w:rsidR="00A30E0D">
        <w:rPr>
          <w:sz w:val="22"/>
          <w:szCs w:val="22"/>
        </w:rPr>
        <w:t xml:space="preserve"> period and </w:t>
      </w:r>
      <w:r w:rsidR="003637D6">
        <w:rPr>
          <w:sz w:val="22"/>
          <w:szCs w:val="22"/>
        </w:rPr>
        <w:t>four phases of data collection</w:t>
      </w:r>
      <w:r w:rsidR="006007A3">
        <w:rPr>
          <w:sz w:val="22"/>
          <w:szCs w:val="22"/>
        </w:rPr>
        <w:t>.</w:t>
      </w:r>
      <w:r w:rsidR="00DB6C3A">
        <w:rPr>
          <w:sz w:val="22"/>
          <w:szCs w:val="22"/>
        </w:rPr>
        <w:t xml:space="preserve"> </w:t>
      </w:r>
      <w:r w:rsidR="00BB0AAE">
        <w:rPr>
          <w:sz w:val="22"/>
          <w:szCs w:val="22"/>
        </w:rPr>
        <w:t>As shown in Figure 2, t</w:t>
      </w:r>
      <w:r w:rsidR="003637D6">
        <w:rPr>
          <w:sz w:val="22"/>
          <w:szCs w:val="22"/>
        </w:rPr>
        <w:t>hese interventions will impact</w:t>
      </w:r>
      <w:r w:rsidR="006007A3">
        <w:rPr>
          <w:sz w:val="22"/>
          <w:szCs w:val="22"/>
        </w:rPr>
        <w:t xml:space="preserve"> the following data collection operations</w:t>
      </w:r>
      <w:r w:rsidR="00C14CCA">
        <w:rPr>
          <w:sz w:val="22"/>
          <w:szCs w:val="22"/>
        </w:rPr>
        <w:t>:</w:t>
      </w:r>
      <w:r w:rsidR="006007A3">
        <w:rPr>
          <w:sz w:val="22"/>
          <w:szCs w:val="22"/>
        </w:rPr>
        <w:t xml:space="preserve"> (1) locating, (2)</w:t>
      </w:r>
      <w:r w:rsidR="00D9776C">
        <w:rPr>
          <w:sz w:val="22"/>
          <w:szCs w:val="22"/>
        </w:rPr>
        <w:t xml:space="preserve"> </w:t>
      </w:r>
      <w:r w:rsidR="0045092D">
        <w:rPr>
          <w:sz w:val="22"/>
          <w:szCs w:val="22"/>
        </w:rPr>
        <w:t>incentive</w:t>
      </w:r>
      <w:r w:rsidR="00D97C0C">
        <w:rPr>
          <w:sz w:val="22"/>
          <w:szCs w:val="22"/>
        </w:rPr>
        <w:t xml:space="preserve"> offer</w:t>
      </w:r>
      <w:r w:rsidR="0045092D">
        <w:rPr>
          <w:sz w:val="22"/>
          <w:szCs w:val="22"/>
        </w:rPr>
        <w:t>s, (3) telephone</w:t>
      </w:r>
      <w:r w:rsidR="00D97C0C">
        <w:rPr>
          <w:sz w:val="22"/>
          <w:szCs w:val="22"/>
        </w:rPr>
        <w:t xml:space="preserve"> outreach</w:t>
      </w:r>
      <w:r w:rsidR="000C0DC3">
        <w:rPr>
          <w:sz w:val="22"/>
          <w:szCs w:val="22"/>
        </w:rPr>
        <w:t xml:space="preserve">, </w:t>
      </w:r>
      <w:r w:rsidR="007E7F93">
        <w:rPr>
          <w:sz w:val="22"/>
          <w:szCs w:val="22"/>
        </w:rPr>
        <w:t xml:space="preserve">and </w:t>
      </w:r>
      <w:r w:rsidR="000C0DC3">
        <w:rPr>
          <w:sz w:val="22"/>
          <w:szCs w:val="22"/>
        </w:rPr>
        <w:t>(4) mailings</w:t>
      </w:r>
      <w:r w:rsidR="00610664">
        <w:rPr>
          <w:sz w:val="22"/>
          <w:szCs w:val="22"/>
        </w:rPr>
        <w:t xml:space="preserve">. </w:t>
      </w:r>
    </w:p>
    <w:p w:rsidR="005D3B7D" w:rsidP="00D9776C" w14:paraId="57D15FD4" w14:textId="77777777">
      <w:pPr>
        <w:pStyle w:val="BodyText"/>
        <w:rPr>
          <w:sz w:val="22"/>
          <w:szCs w:val="22"/>
        </w:rPr>
      </w:pPr>
    </w:p>
    <w:p w:rsidR="004C18CC" w:rsidP="00D9776C" w14:paraId="064BCC7C" w14:textId="4F47DAB2">
      <w:pPr>
        <w:pStyle w:val="BodyText"/>
        <w:rPr>
          <w:bCs/>
          <w:iCs/>
          <w:sz w:val="22"/>
          <w:szCs w:val="22"/>
        </w:rPr>
      </w:pPr>
      <w:r w:rsidRPr="009B0BAE">
        <w:rPr>
          <w:sz w:val="22"/>
          <w:szCs w:val="22"/>
        </w:rPr>
        <w:t xml:space="preserve">The 2023 SDR will feature an adaptive design strategy using priority scores (high or low) and case ranking (numeric ordering of cases) to direct differential treatment of cases during data collection and to prioritize the workload in locating and telephone prompting tasks. The priority and case ranking variables will be created at the start of the </w:t>
      </w:r>
      <w:r w:rsidRPr="009B0BAE">
        <w:rPr>
          <w:sz w:val="22"/>
          <w:szCs w:val="22"/>
        </w:rPr>
        <w:t>prefield</w:t>
      </w:r>
      <w:r w:rsidRPr="009B0BAE">
        <w:rPr>
          <w:sz w:val="22"/>
          <w:szCs w:val="22"/>
        </w:rPr>
        <w:t xml:space="preserve"> period and subsequently updated four times before the start of each data collection phase to direct the appropriate treatment of the cases during that phase based on the most up-to-date information available about the sample</w:t>
      </w:r>
      <w:r w:rsidR="000B25F8">
        <w:rPr>
          <w:sz w:val="22"/>
          <w:szCs w:val="22"/>
        </w:rPr>
        <w:t>. The prioritization is based on a mix of prior round outcomes,</w:t>
      </w:r>
      <w:r w:rsidR="001F4EAF">
        <w:rPr>
          <w:sz w:val="22"/>
          <w:szCs w:val="22"/>
        </w:rPr>
        <w:t xml:space="preserve"> predicted locating and response probabilities, </w:t>
      </w:r>
      <w:r w:rsidR="00C21FD5">
        <w:rPr>
          <w:sz w:val="22"/>
          <w:szCs w:val="22"/>
        </w:rPr>
        <w:t xml:space="preserve">and </w:t>
      </w:r>
      <w:r w:rsidR="00152C0C">
        <w:rPr>
          <w:sz w:val="22"/>
          <w:szCs w:val="22"/>
        </w:rPr>
        <w:t xml:space="preserve">current round </w:t>
      </w:r>
      <w:r w:rsidR="00346CC1">
        <w:rPr>
          <w:sz w:val="22"/>
          <w:szCs w:val="22"/>
        </w:rPr>
        <w:t>paradata</w:t>
      </w:r>
      <w:r w:rsidR="00346CC1">
        <w:rPr>
          <w:sz w:val="22"/>
          <w:szCs w:val="22"/>
        </w:rPr>
        <w:t>. In</w:t>
      </w:r>
      <w:r w:rsidR="00C21FD5">
        <w:rPr>
          <w:sz w:val="22"/>
          <w:szCs w:val="22"/>
        </w:rPr>
        <w:t xml:space="preserve"> addition,</w:t>
      </w:r>
      <w:r w:rsidR="00845E73">
        <w:rPr>
          <w:sz w:val="22"/>
          <w:szCs w:val="22"/>
        </w:rPr>
        <w:t xml:space="preserve"> a metric tha</w:t>
      </w:r>
      <w:r w:rsidR="003721C9">
        <w:rPr>
          <w:sz w:val="22"/>
          <w:szCs w:val="22"/>
        </w:rPr>
        <w:t>t measures the</w:t>
      </w:r>
      <w:r w:rsidRPr="006F34A5" w:rsidR="00845E73">
        <w:rPr>
          <w:bCs/>
          <w:iCs/>
          <w:sz w:val="22"/>
          <w:szCs w:val="22"/>
        </w:rPr>
        <w:t xml:space="preserve"> importance of the case in achieving sample size and precision goals in a set of target analytic domains</w:t>
      </w:r>
      <w:r w:rsidR="00346CC1">
        <w:rPr>
          <w:bCs/>
          <w:iCs/>
          <w:sz w:val="22"/>
          <w:szCs w:val="22"/>
        </w:rPr>
        <w:t xml:space="preserve"> is used in the prioritization</w:t>
      </w:r>
      <w:r w:rsidR="00493767">
        <w:rPr>
          <w:bCs/>
          <w:iCs/>
          <w:sz w:val="22"/>
          <w:szCs w:val="22"/>
        </w:rPr>
        <w:t>,</w:t>
      </w:r>
      <w:r w:rsidR="00346CC1">
        <w:rPr>
          <w:bCs/>
          <w:iCs/>
          <w:sz w:val="22"/>
          <w:szCs w:val="22"/>
        </w:rPr>
        <w:t xml:space="preserve"> particularly later in data collection.</w:t>
      </w:r>
    </w:p>
    <w:p w:rsidR="0040695A" w:rsidP="00D9776C" w14:paraId="3F6E818F" w14:textId="77777777">
      <w:pPr>
        <w:pStyle w:val="BodyText"/>
        <w:rPr>
          <w:bCs/>
          <w:iCs/>
          <w:sz w:val="22"/>
          <w:szCs w:val="22"/>
        </w:rPr>
      </w:pPr>
    </w:p>
    <w:p w:rsidR="00311F7F" w14:paraId="499EA00C" w14:textId="5087EEBA">
      <w:pPr>
        <w:rPr>
          <w:b/>
          <w:iCs/>
          <w:sz w:val="22"/>
          <w:szCs w:val="22"/>
        </w:rPr>
      </w:pPr>
      <w:bookmarkStart w:id="39" w:name="OLE_LINK8"/>
    </w:p>
    <w:p w:rsidR="009E5EC4" w:rsidP="00311F7F" w14:paraId="129DBB5A" w14:textId="00FECA2C">
      <w:pPr>
        <w:spacing w:after="120"/>
        <w:rPr>
          <w:b/>
          <w:iCs/>
          <w:sz w:val="22"/>
          <w:szCs w:val="22"/>
        </w:rPr>
      </w:pPr>
      <w:r w:rsidRPr="0040695A">
        <w:rPr>
          <w:b/>
          <w:iCs/>
          <w:sz w:val="22"/>
          <w:szCs w:val="22"/>
        </w:rPr>
        <w:t>Figure 2</w:t>
      </w:r>
      <w:r w:rsidRPr="0040695A" w:rsidR="0040695A">
        <w:rPr>
          <w:b/>
          <w:iCs/>
          <w:sz w:val="22"/>
          <w:szCs w:val="22"/>
        </w:rPr>
        <w:t>:</w:t>
      </w:r>
      <w:r w:rsidRPr="0040695A">
        <w:rPr>
          <w:b/>
          <w:iCs/>
          <w:sz w:val="22"/>
          <w:szCs w:val="22"/>
        </w:rPr>
        <w:t xml:space="preserve"> 2023 SDR Main Data Collection </w:t>
      </w:r>
      <w:r w:rsidRPr="0040695A" w:rsidR="0040695A">
        <w:rPr>
          <w:b/>
          <w:iCs/>
          <w:sz w:val="22"/>
          <w:szCs w:val="22"/>
        </w:rPr>
        <w:t>Protocol and Differential Adaptive Design Locating and Data Collection Treatments</w:t>
      </w:r>
    </w:p>
    <w:tbl>
      <w:tblPr>
        <w:tblW w:w="9301" w:type="dxa"/>
        <w:tblLook w:val="04A0"/>
      </w:tblPr>
      <w:tblGrid>
        <w:gridCol w:w="1062"/>
        <w:gridCol w:w="1066"/>
        <w:gridCol w:w="2517"/>
        <w:gridCol w:w="1955"/>
        <w:gridCol w:w="2750"/>
      </w:tblGrid>
      <w:tr w14:paraId="3DD4DF84" w14:textId="77777777" w:rsidTr="00A17345">
        <w:tblPrEx>
          <w:tblW w:w="9301" w:type="dxa"/>
          <w:tblLook w:val="04A0"/>
        </w:tblPrEx>
        <w:trPr>
          <w:trHeight w:val="580"/>
          <w:tblHeader/>
        </w:trPr>
        <w:tc>
          <w:tcPr>
            <w:tcW w:w="985" w:type="dxa"/>
            <w:tcBorders>
              <w:top w:val="single" w:sz="4" w:space="0" w:color="D9D9D9"/>
              <w:left w:val="single" w:sz="4" w:space="0" w:color="D9D9D9"/>
              <w:bottom w:val="single" w:sz="4" w:space="0" w:color="D9D9D9"/>
              <w:right w:val="nil"/>
            </w:tcBorders>
            <w:shd w:val="clear" w:color="000000" w:fill="808080"/>
            <w:vAlign w:val="center"/>
            <w:hideMark/>
          </w:tcPr>
          <w:p w:rsidR="001A08CF" w14:paraId="56739A93" w14:textId="77777777">
            <w:pPr>
              <w:jc w:val="center"/>
              <w:rPr>
                <w:b/>
                <w:bCs/>
                <w:color w:val="FFFFFF"/>
                <w:sz w:val="20"/>
                <w:szCs w:val="20"/>
              </w:rPr>
            </w:pPr>
            <w:r>
              <w:rPr>
                <w:b/>
                <w:bCs/>
                <w:color w:val="FFFFFF"/>
                <w:sz w:val="20"/>
                <w:szCs w:val="20"/>
              </w:rPr>
              <w:t>Phase</w:t>
            </w:r>
          </w:p>
        </w:tc>
        <w:tc>
          <w:tcPr>
            <w:tcW w:w="990" w:type="dxa"/>
            <w:tcBorders>
              <w:top w:val="single" w:sz="4" w:space="0" w:color="D9D9D9"/>
              <w:left w:val="nil"/>
              <w:bottom w:val="single" w:sz="4" w:space="0" w:color="D9D9D9"/>
              <w:right w:val="single" w:sz="4" w:space="0" w:color="D9D9D9"/>
            </w:tcBorders>
            <w:shd w:val="clear" w:color="000000" w:fill="808080"/>
            <w:vAlign w:val="center"/>
            <w:hideMark/>
          </w:tcPr>
          <w:p w:rsidR="001A08CF" w14:paraId="2BFDDC9C" w14:textId="77777777">
            <w:pPr>
              <w:jc w:val="center"/>
              <w:rPr>
                <w:b/>
                <w:bCs/>
                <w:color w:val="FFFFFF"/>
                <w:sz w:val="20"/>
                <w:szCs w:val="20"/>
              </w:rPr>
            </w:pPr>
            <w:r>
              <w:rPr>
                <w:b/>
                <w:bCs/>
                <w:color w:val="FFFFFF"/>
                <w:sz w:val="20"/>
                <w:szCs w:val="20"/>
              </w:rPr>
              <w:t>Week</w:t>
            </w:r>
          </w:p>
        </w:tc>
        <w:tc>
          <w:tcPr>
            <w:tcW w:w="2340" w:type="dxa"/>
            <w:tcBorders>
              <w:top w:val="single" w:sz="4" w:space="0" w:color="D9D9D9"/>
              <w:left w:val="nil"/>
              <w:bottom w:val="single" w:sz="4" w:space="0" w:color="D9D9D9"/>
              <w:right w:val="single" w:sz="4" w:space="0" w:color="D9D9D9"/>
            </w:tcBorders>
            <w:shd w:val="clear" w:color="000000" w:fill="808080"/>
            <w:vAlign w:val="center"/>
            <w:hideMark/>
          </w:tcPr>
          <w:p w:rsidR="001A08CF" w14:paraId="45051308" w14:textId="77777777">
            <w:pPr>
              <w:jc w:val="center"/>
              <w:rPr>
                <w:b/>
                <w:bCs/>
                <w:color w:val="FFFFFF"/>
                <w:sz w:val="20"/>
                <w:szCs w:val="20"/>
              </w:rPr>
            </w:pPr>
            <w:r>
              <w:rPr>
                <w:b/>
                <w:bCs/>
                <w:color w:val="FFFFFF"/>
                <w:sz w:val="20"/>
                <w:szCs w:val="20"/>
              </w:rPr>
              <w:t>Main Data Collection Protocol</w:t>
            </w:r>
          </w:p>
        </w:tc>
        <w:tc>
          <w:tcPr>
            <w:tcW w:w="2430" w:type="dxa"/>
            <w:tcBorders>
              <w:top w:val="single" w:sz="4" w:space="0" w:color="D9D9D9"/>
              <w:left w:val="nil"/>
              <w:bottom w:val="single" w:sz="4" w:space="0" w:color="D9D9D9"/>
              <w:right w:val="single" w:sz="4" w:space="0" w:color="D9D9D9"/>
            </w:tcBorders>
            <w:shd w:val="clear" w:color="000000" w:fill="808080"/>
            <w:vAlign w:val="center"/>
            <w:hideMark/>
          </w:tcPr>
          <w:p w:rsidR="001A08CF" w14:paraId="6EB7E2E2" w14:textId="77777777">
            <w:pPr>
              <w:jc w:val="center"/>
              <w:rPr>
                <w:b/>
                <w:bCs/>
                <w:color w:val="FFFFFF"/>
                <w:sz w:val="20"/>
                <w:szCs w:val="20"/>
              </w:rPr>
            </w:pPr>
            <w:r>
              <w:rPr>
                <w:b/>
                <w:bCs/>
                <w:color w:val="FFFFFF"/>
                <w:sz w:val="20"/>
                <w:szCs w:val="20"/>
              </w:rPr>
              <w:t>Differential Locating Treatment</w:t>
            </w:r>
          </w:p>
        </w:tc>
        <w:tc>
          <w:tcPr>
            <w:tcW w:w="2556" w:type="dxa"/>
            <w:tcBorders>
              <w:top w:val="single" w:sz="4" w:space="0" w:color="D9D9D9"/>
              <w:left w:val="nil"/>
              <w:bottom w:val="single" w:sz="4" w:space="0" w:color="D9D9D9"/>
              <w:right w:val="single" w:sz="4" w:space="0" w:color="D9D9D9"/>
            </w:tcBorders>
            <w:shd w:val="clear" w:color="000000" w:fill="808080"/>
            <w:vAlign w:val="center"/>
            <w:hideMark/>
          </w:tcPr>
          <w:p w:rsidR="001A08CF" w14:paraId="1F87F529" w14:textId="77777777">
            <w:pPr>
              <w:jc w:val="center"/>
              <w:rPr>
                <w:b/>
                <w:bCs/>
                <w:color w:val="FFFFFF"/>
                <w:sz w:val="20"/>
                <w:szCs w:val="20"/>
              </w:rPr>
            </w:pPr>
            <w:r>
              <w:rPr>
                <w:b/>
                <w:bCs/>
                <w:color w:val="FFFFFF"/>
                <w:sz w:val="20"/>
                <w:szCs w:val="20"/>
              </w:rPr>
              <w:t>Differential Data Collection Treatment</w:t>
            </w:r>
          </w:p>
        </w:tc>
      </w:tr>
      <w:tr w14:paraId="353A0AB1" w14:textId="77777777" w:rsidTr="00A17345">
        <w:tblPrEx>
          <w:tblW w:w="9301" w:type="dxa"/>
          <w:tblLook w:val="04A0"/>
        </w:tblPrEx>
        <w:trPr>
          <w:trHeight w:val="1300"/>
        </w:trPr>
        <w:tc>
          <w:tcPr>
            <w:tcW w:w="985" w:type="dxa"/>
            <w:vMerge w:val="restart"/>
            <w:tcBorders>
              <w:top w:val="nil"/>
              <w:left w:val="single" w:sz="4" w:space="0" w:color="D9D9D9"/>
              <w:bottom w:val="nil"/>
              <w:right w:val="single" w:sz="4" w:space="0" w:color="D9D9D9"/>
            </w:tcBorders>
            <w:shd w:val="clear" w:color="000000" w:fill="E7E6E6"/>
            <w:noWrap/>
            <w:vAlign w:val="center"/>
            <w:hideMark/>
          </w:tcPr>
          <w:p w:rsidR="001A08CF" w14:paraId="2A8F9895" w14:textId="77777777">
            <w:pPr>
              <w:jc w:val="center"/>
              <w:rPr>
                <w:b/>
                <w:bCs/>
                <w:color w:val="000000"/>
                <w:sz w:val="20"/>
                <w:szCs w:val="20"/>
              </w:rPr>
            </w:pPr>
            <w:r>
              <w:rPr>
                <w:b/>
                <w:bCs/>
                <w:color w:val="000000"/>
                <w:sz w:val="20"/>
                <w:szCs w:val="20"/>
              </w:rPr>
              <w:t>Prefield</w:t>
            </w:r>
          </w:p>
        </w:tc>
        <w:tc>
          <w:tcPr>
            <w:tcW w:w="990" w:type="dxa"/>
            <w:vMerge w:val="restart"/>
            <w:tcBorders>
              <w:top w:val="nil"/>
              <w:left w:val="single" w:sz="4" w:space="0" w:color="D9D9D9"/>
              <w:bottom w:val="nil"/>
              <w:right w:val="single" w:sz="4" w:space="0" w:color="D9D9D9"/>
            </w:tcBorders>
            <w:shd w:val="clear" w:color="auto" w:fill="auto"/>
            <w:vAlign w:val="center"/>
            <w:hideMark/>
          </w:tcPr>
          <w:p w:rsidR="001A08CF" w14:paraId="61DD467F" w14:textId="77777777">
            <w:pPr>
              <w:jc w:val="center"/>
              <w:rPr>
                <w:color w:val="000000"/>
                <w:sz w:val="20"/>
                <w:szCs w:val="20"/>
              </w:rPr>
            </w:pPr>
            <w:r>
              <w:rPr>
                <w:color w:val="000000"/>
                <w:sz w:val="20"/>
                <w:szCs w:val="20"/>
              </w:rPr>
              <w:t>3 months prior to Week 1</w:t>
            </w:r>
          </w:p>
        </w:tc>
        <w:tc>
          <w:tcPr>
            <w:tcW w:w="2340" w:type="dxa"/>
            <w:vMerge w:val="restart"/>
            <w:tcBorders>
              <w:top w:val="nil"/>
              <w:left w:val="single" w:sz="4" w:space="0" w:color="D9D9D9"/>
              <w:bottom w:val="nil"/>
              <w:right w:val="single" w:sz="4" w:space="0" w:color="D9D9D9"/>
            </w:tcBorders>
            <w:shd w:val="clear" w:color="auto" w:fill="auto"/>
            <w:vAlign w:val="center"/>
            <w:hideMark/>
          </w:tcPr>
          <w:p w:rsidR="001A08CF" w14:paraId="00E66316" w14:textId="77777777">
            <w:pPr>
              <w:jc w:val="center"/>
              <w:rPr>
                <w:color w:val="000000"/>
                <w:sz w:val="20"/>
                <w:szCs w:val="20"/>
              </w:rPr>
            </w:pPr>
            <w:r>
              <w:rPr>
                <w:color w:val="000000"/>
                <w:sz w:val="20"/>
                <w:szCs w:val="20"/>
              </w:rPr>
              <w:t>Prefield</w:t>
            </w:r>
            <w:r>
              <w:rPr>
                <w:color w:val="000000"/>
                <w:sz w:val="20"/>
                <w:szCs w:val="20"/>
              </w:rPr>
              <w:t xml:space="preserve"> locating</w:t>
            </w:r>
          </w:p>
        </w:tc>
        <w:tc>
          <w:tcPr>
            <w:tcW w:w="2430" w:type="dxa"/>
            <w:tcBorders>
              <w:top w:val="nil"/>
              <w:left w:val="nil"/>
              <w:bottom w:val="nil"/>
              <w:right w:val="single" w:sz="4" w:space="0" w:color="D9D9D9"/>
            </w:tcBorders>
            <w:shd w:val="clear" w:color="auto" w:fill="auto"/>
            <w:vAlign w:val="center"/>
            <w:hideMark/>
          </w:tcPr>
          <w:p w:rsidR="001A08CF" w14:paraId="2173FA84" w14:textId="71D09BCC">
            <w:pPr>
              <w:rPr>
                <w:color w:val="000000"/>
                <w:sz w:val="20"/>
                <w:szCs w:val="20"/>
              </w:rPr>
            </w:pPr>
            <w:r>
              <w:rPr>
                <w:color w:val="000000"/>
                <w:sz w:val="20"/>
                <w:szCs w:val="20"/>
              </w:rPr>
              <w:t xml:space="preserve">Locating cases searched in priority </w:t>
            </w:r>
            <w:r w:rsidR="002821B0">
              <w:rPr>
                <w:color w:val="000000"/>
                <w:sz w:val="20"/>
                <w:szCs w:val="20"/>
              </w:rPr>
              <w:t xml:space="preserve">rank </w:t>
            </w:r>
            <w:r>
              <w:rPr>
                <w:color w:val="000000"/>
                <w:sz w:val="20"/>
                <w:szCs w:val="20"/>
              </w:rPr>
              <w:t>order.</w:t>
            </w:r>
            <w:r>
              <w:rPr>
                <w:color w:val="000000"/>
                <w:sz w:val="20"/>
                <w:szCs w:val="20"/>
              </w:rPr>
              <w:br/>
            </w:r>
            <w:r>
              <w:rPr>
                <w:color w:val="000000"/>
                <w:sz w:val="20"/>
                <w:szCs w:val="20"/>
                <w:u w:val="single"/>
              </w:rPr>
              <w:br/>
              <w:t>High Priority Treatment</w:t>
            </w:r>
            <w:r>
              <w:rPr>
                <w:color w:val="000000"/>
                <w:sz w:val="20"/>
                <w:szCs w:val="20"/>
              </w:rPr>
              <w:t>:</w:t>
            </w:r>
            <w:r>
              <w:rPr>
                <w:color w:val="000000"/>
                <w:sz w:val="20"/>
                <w:szCs w:val="20"/>
              </w:rPr>
              <w:br/>
              <w:t>• AIM locating</w:t>
            </w:r>
            <w:r>
              <w:rPr>
                <w:color w:val="000000"/>
                <w:sz w:val="20"/>
                <w:szCs w:val="20"/>
              </w:rPr>
              <w:br/>
              <w:t>• 25 minutes per case</w:t>
            </w:r>
          </w:p>
        </w:tc>
        <w:tc>
          <w:tcPr>
            <w:tcW w:w="2556" w:type="dxa"/>
            <w:vMerge w:val="restart"/>
            <w:tcBorders>
              <w:top w:val="nil"/>
              <w:left w:val="single" w:sz="4" w:space="0" w:color="D9D9D9"/>
              <w:bottom w:val="nil"/>
              <w:right w:val="single" w:sz="4" w:space="0" w:color="D9D9D9"/>
            </w:tcBorders>
            <w:shd w:val="clear" w:color="auto" w:fill="auto"/>
            <w:vAlign w:val="center"/>
            <w:hideMark/>
          </w:tcPr>
          <w:p w:rsidR="001A08CF" w14:paraId="795E6448" w14:textId="77777777">
            <w:pPr>
              <w:jc w:val="center"/>
              <w:rPr>
                <w:color w:val="000000"/>
                <w:sz w:val="20"/>
                <w:szCs w:val="20"/>
              </w:rPr>
            </w:pPr>
            <w:r>
              <w:rPr>
                <w:color w:val="000000"/>
                <w:sz w:val="20"/>
                <w:szCs w:val="20"/>
              </w:rPr>
              <w:t>Not applicable.</w:t>
            </w:r>
          </w:p>
        </w:tc>
      </w:tr>
      <w:tr w14:paraId="64C91B0B" w14:textId="77777777" w:rsidTr="00A17345">
        <w:tblPrEx>
          <w:tblW w:w="9301" w:type="dxa"/>
          <w:tblLook w:val="04A0"/>
        </w:tblPrEx>
        <w:trPr>
          <w:trHeight w:val="600"/>
        </w:trPr>
        <w:tc>
          <w:tcPr>
            <w:tcW w:w="985" w:type="dxa"/>
            <w:vMerge/>
            <w:tcBorders>
              <w:top w:val="nil"/>
              <w:left w:val="single" w:sz="4" w:space="0" w:color="D9D9D9"/>
              <w:bottom w:val="nil"/>
              <w:right w:val="single" w:sz="4" w:space="0" w:color="D9D9D9"/>
            </w:tcBorders>
            <w:vAlign w:val="center"/>
            <w:hideMark/>
          </w:tcPr>
          <w:p w:rsidR="001A08CF" w14:paraId="0EB8F328" w14:textId="77777777">
            <w:pPr>
              <w:rPr>
                <w:b/>
                <w:bCs/>
                <w:color w:val="000000"/>
                <w:sz w:val="20"/>
                <w:szCs w:val="20"/>
              </w:rPr>
            </w:pPr>
          </w:p>
        </w:tc>
        <w:tc>
          <w:tcPr>
            <w:tcW w:w="990" w:type="dxa"/>
            <w:vMerge/>
            <w:tcBorders>
              <w:top w:val="nil"/>
              <w:left w:val="single" w:sz="4" w:space="0" w:color="D9D9D9"/>
              <w:bottom w:val="nil"/>
              <w:right w:val="single" w:sz="4" w:space="0" w:color="D9D9D9"/>
            </w:tcBorders>
            <w:vAlign w:val="center"/>
            <w:hideMark/>
          </w:tcPr>
          <w:p w:rsidR="001A08CF" w14:paraId="68550A9D" w14:textId="77777777">
            <w:pPr>
              <w:rPr>
                <w:color w:val="000000"/>
                <w:sz w:val="20"/>
                <w:szCs w:val="20"/>
              </w:rPr>
            </w:pPr>
          </w:p>
        </w:tc>
        <w:tc>
          <w:tcPr>
            <w:tcW w:w="2340" w:type="dxa"/>
            <w:vMerge/>
            <w:tcBorders>
              <w:top w:val="nil"/>
              <w:left w:val="single" w:sz="4" w:space="0" w:color="D9D9D9"/>
              <w:bottom w:val="nil"/>
              <w:right w:val="single" w:sz="4" w:space="0" w:color="D9D9D9"/>
            </w:tcBorders>
            <w:vAlign w:val="center"/>
            <w:hideMark/>
          </w:tcPr>
          <w:p w:rsidR="001A08CF" w14:paraId="21851502" w14:textId="77777777">
            <w:pPr>
              <w:rPr>
                <w:color w:val="000000"/>
                <w:sz w:val="20"/>
                <w:szCs w:val="20"/>
              </w:rPr>
            </w:pPr>
          </w:p>
        </w:tc>
        <w:tc>
          <w:tcPr>
            <w:tcW w:w="2430" w:type="dxa"/>
            <w:tcBorders>
              <w:top w:val="nil"/>
              <w:left w:val="nil"/>
              <w:bottom w:val="nil"/>
              <w:right w:val="single" w:sz="4" w:space="0" w:color="D9D9D9"/>
            </w:tcBorders>
            <w:shd w:val="clear" w:color="auto" w:fill="auto"/>
            <w:vAlign w:val="center"/>
            <w:hideMark/>
          </w:tcPr>
          <w:p w:rsidR="001A08CF" w14:paraId="0983BDC1" w14:textId="77777777">
            <w:pPr>
              <w:rPr>
                <w:color w:val="000000"/>
                <w:sz w:val="20"/>
                <w:szCs w:val="20"/>
              </w:rPr>
            </w:pPr>
            <w:r>
              <w:rPr>
                <w:color w:val="000000"/>
                <w:sz w:val="20"/>
                <w:szCs w:val="20"/>
                <w:u w:val="single"/>
              </w:rPr>
              <w:t>Low Priority Treatment</w:t>
            </w:r>
            <w:r>
              <w:rPr>
                <w:color w:val="000000"/>
                <w:sz w:val="20"/>
                <w:szCs w:val="20"/>
              </w:rPr>
              <w:t>:</w:t>
            </w:r>
            <w:r>
              <w:rPr>
                <w:color w:val="000000"/>
                <w:sz w:val="20"/>
                <w:szCs w:val="20"/>
              </w:rPr>
              <w:br/>
              <w:t>• 15 minutes per case</w:t>
            </w:r>
          </w:p>
        </w:tc>
        <w:tc>
          <w:tcPr>
            <w:tcW w:w="2556" w:type="dxa"/>
            <w:vMerge/>
            <w:tcBorders>
              <w:top w:val="nil"/>
              <w:left w:val="single" w:sz="4" w:space="0" w:color="D9D9D9"/>
              <w:bottom w:val="nil"/>
              <w:right w:val="single" w:sz="4" w:space="0" w:color="D9D9D9"/>
            </w:tcBorders>
            <w:vAlign w:val="center"/>
            <w:hideMark/>
          </w:tcPr>
          <w:p w:rsidR="001A08CF" w14:paraId="1E13484B" w14:textId="77777777">
            <w:pPr>
              <w:rPr>
                <w:color w:val="000000"/>
                <w:sz w:val="20"/>
                <w:szCs w:val="20"/>
              </w:rPr>
            </w:pPr>
          </w:p>
        </w:tc>
      </w:tr>
      <w:tr w14:paraId="132D071A" w14:textId="77777777" w:rsidTr="00A17345">
        <w:tblPrEx>
          <w:tblW w:w="9301" w:type="dxa"/>
          <w:tblLook w:val="04A0"/>
        </w:tblPrEx>
        <w:trPr>
          <w:trHeight w:val="570"/>
        </w:trPr>
        <w:tc>
          <w:tcPr>
            <w:tcW w:w="985" w:type="dxa"/>
            <w:vMerge w:val="restart"/>
            <w:tcBorders>
              <w:top w:val="nil"/>
              <w:left w:val="single" w:sz="4" w:space="0" w:color="D9D9D9"/>
              <w:bottom w:val="nil"/>
              <w:right w:val="single" w:sz="4" w:space="0" w:color="D9D9D9"/>
            </w:tcBorders>
            <w:shd w:val="clear" w:color="000000" w:fill="B4C6E7"/>
            <w:noWrap/>
            <w:vAlign w:val="center"/>
            <w:hideMark/>
          </w:tcPr>
          <w:p w:rsidR="001A08CF" w14:paraId="121F5EDF" w14:textId="77777777">
            <w:pPr>
              <w:jc w:val="center"/>
              <w:rPr>
                <w:b/>
                <w:bCs/>
                <w:color w:val="000000"/>
                <w:sz w:val="20"/>
                <w:szCs w:val="20"/>
              </w:rPr>
            </w:pPr>
            <w:r>
              <w:rPr>
                <w:b/>
                <w:bCs/>
                <w:color w:val="000000"/>
                <w:sz w:val="20"/>
                <w:szCs w:val="20"/>
              </w:rPr>
              <w:t>Starting</w:t>
            </w:r>
          </w:p>
        </w:tc>
        <w:tc>
          <w:tcPr>
            <w:tcW w:w="990" w:type="dxa"/>
            <w:tcBorders>
              <w:top w:val="nil"/>
              <w:left w:val="nil"/>
              <w:bottom w:val="nil"/>
              <w:right w:val="single" w:sz="4" w:space="0" w:color="D9D9D9"/>
            </w:tcBorders>
            <w:shd w:val="clear" w:color="000000" w:fill="D9E1F2"/>
            <w:noWrap/>
            <w:vAlign w:val="center"/>
            <w:hideMark/>
          </w:tcPr>
          <w:p w:rsidR="001A08CF" w14:paraId="58875DBD" w14:textId="77777777">
            <w:pPr>
              <w:jc w:val="center"/>
              <w:rPr>
                <w:color w:val="000000"/>
                <w:sz w:val="20"/>
                <w:szCs w:val="20"/>
              </w:rPr>
            </w:pPr>
            <w:r>
              <w:rPr>
                <w:color w:val="000000"/>
                <w:sz w:val="20"/>
                <w:szCs w:val="20"/>
              </w:rPr>
              <w:t>1</w:t>
            </w:r>
          </w:p>
        </w:tc>
        <w:tc>
          <w:tcPr>
            <w:tcW w:w="2340" w:type="dxa"/>
            <w:tcBorders>
              <w:top w:val="nil"/>
              <w:left w:val="nil"/>
              <w:bottom w:val="nil"/>
              <w:right w:val="single" w:sz="4" w:space="0" w:color="D9D9D9"/>
            </w:tcBorders>
            <w:shd w:val="clear" w:color="000000" w:fill="D9E1F2"/>
            <w:noWrap/>
            <w:vAlign w:val="center"/>
            <w:hideMark/>
          </w:tcPr>
          <w:p w:rsidR="001A08CF" w14:paraId="5C23F57F" w14:textId="77777777">
            <w:pPr>
              <w:rPr>
                <w:color w:val="000000"/>
                <w:sz w:val="20"/>
                <w:szCs w:val="20"/>
              </w:rPr>
            </w:pPr>
            <w:r>
              <w:rPr>
                <w:color w:val="000000"/>
                <w:sz w:val="20"/>
                <w:szCs w:val="20"/>
              </w:rPr>
              <w:t>Initial invite (M&amp;E)</w:t>
            </w:r>
          </w:p>
        </w:tc>
        <w:tc>
          <w:tcPr>
            <w:tcW w:w="2430" w:type="dxa"/>
            <w:tcBorders>
              <w:top w:val="nil"/>
              <w:left w:val="nil"/>
              <w:bottom w:val="nil"/>
              <w:right w:val="single" w:sz="4" w:space="0" w:color="D9D9D9"/>
            </w:tcBorders>
            <w:shd w:val="clear" w:color="000000" w:fill="D9E1F2"/>
            <w:vAlign w:val="bottom"/>
            <w:hideMark/>
          </w:tcPr>
          <w:p w:rsidR="001A08CF" w14:paraId="6A8E012B" w14:textId="658DDA25">
            <w:pPr>
              <w:rPr>
                <w:color w:val="000000"/>
                <w:sz w:val="20"/>
                <w:szCs w:val="20"/>
              </w:rPr>
            </w:pPr>
            <w:r>
              <w:rPr>
                <w:color w:val="000000"/>
                <w:sz w:val="20"/>
                <w:szCs w:val="20"/>
              </w:rPr>
              <w:t xml:space="preserve">Locating cases searched in priority </w:t>
            </w:r>
            <w:r w:rsidR="00596A78">
              <w:rPr>
                <w:color w:val="000000"/>
                <w:sz w:val="20"/>
                <w:szCs w:val="20"/>
              </w:rPr>
              <w:t xml:space="preserve">rank </w:t>
            </w:r>
            <w:r>
              <w:rPr>
                <w:color w:val="000000"/>
                <w:sz w:val="20"/>
                <w:szCs w:val="20"/>
              </w:rPr>
              <w:t>order.</w:t>
            </w:r>
          </w:p>
        </w:tc>
        <w:tc>
          <w:tcPr>
            <w:tcW w:w="2556" w:type="dxa"/>
            <w:tcBorders>
              <w:top w:val="nil"/>
              <w:left w:val="nil"/>
              <w:bottom w:val="nil"/>
              <w:right w:val="single" w:sz="4" w:space="0" w:color="D9D9D9"/>
            </w:tcBorders>
            <w:shd w:val="clear" w:color="000000" w:fill="D9E1F2"/>
            <w:vAlign w:val="center"/>
            <w:hideMark/>
          </w:tcPr>
          <w:p w:rsidR="001A08CF" w14:paraId="64CFCE5F" w14:textId="6B86AEE8">
            <w:pPr>
              <w:rPr>
                <w:color w:val="000000"/>
                <w:sz w:val="20"/>
                <w:szCs w:val="20"/>
              </w:rPr>
            </w:pPr>
            <w:r>
              <w:rPr>
                <w:color w:val="000000"/>
                <w:sz w:val="20"/>
                <w:szCs w:val="20"/>
              </w:rPr>
              <w:t>Telephone prompting</w:t>
            </w:r>
            <w:r>
              <w:rPr>
                <w:color w:val="000000"/>
                <w:sz w:val="20"/>
                <w:szCs w:val="20"/>
              </w:rPr>
              <w:t xml:space="preserve"> calls made in priority </w:t>
            </w:r>
            <w:r w:rsidR="00596A78">
              <w:rPr>
                <w:color w:val="000000"/>
                <w:sz w:val="20"/>
                <w:szCs w:val="20"/>
              </w:rPr>
              <w:t xml:space="preserve">rank </w:t>
            </w:r>
            <w:r>
              <w:rPr>
                <w:color w:val="000000"/>
                <w:sz w:val="20"/>
                <w:szCs w:val="20"/>
              </w:rPr>
              <w:t>order</w:t>
            </w:r>
            <w:r w:rsidR="00D42558">
              <w:rPr>
                <w:color w:val="000000"/>
                <w:sz w:val="20"/>
                <w:szCs w:val="20"/>
              </w:rPr>
              <w:t>.</w:t>
            </w:r>
          </w:p>
        </w:tc>
      </w:tr>
      <w:tr w14:paraId="203A7DF0" w14:textId="77777777" w:rsidTr="00A17345">
        <w:tblPrEx>
          <w:tblW w:w="9301" w:type="dxa"/>
          <w:tblLook w:val="04A0"/>
        </w:tblPrEx>
        <w:trPr>
          <w:trHeight w:val="420"/>
        </w:trPr>
        <w:tc>
          <w:tcPr>
            <w:tcW w:w="985" w:type="dxa"/>
            <w:vMerge/>
            <w:tcBorders>
              <w:top w:val="nil"/>
              <w:left w:val="single" w:sz="4" w:space="0" w:color="D9D9D9"/>
              <w:bottom w:val="nil"/>
              <w:right w:val="single" w:sz="4" w:space="0" w:color="D9D9D9"/>
            </w:tcBorders>
            <w:vAlign w:val="center"/>
            <w:hideMark/>
          </w:tcPr>
          <w:p w:rsidR="001A08CF" w14:paraId="41763C33" w14:textId="77777777">
            <w:pPr>
              <w:rPr>
                <w:b/>
                <w:bCs/>
                <w:color w:val="000000"/>
                <w:sz w:val="20"/>
                <w:szCs w:val="20"/>
              </w:rPr>
            </w:pPr>
          </w:p>
        </w:tc>
        <w:tc>
          <w:tcPr>
            <w:tcW w:w="990" w:type="dxa"/>
            <w:tcBorders>
              <w:top w:val="nil"/>
              <w:left w:val="nil"/>
              <w:bottom w:val="nil"/>
              <w:right w:val="single" w:sz="4" w:space="0" w:color="D9D9D9"/>
            </w:tcBorders>
            <w:shd w:val="clear" w:color="000000" w:fill="D9E1F2"/>
            <w:noWrap/>
            <w:vAlign w:val="center"/>
            <w:hideMark/>
          </w:tcPr>
          <w:p w:rsidR="001A08CF" w14:paraId="6FF03C81" w14:textId="77777777">
            <w:pPr>
              <w:jc w:val="center"/>
              <w:rPr>
                <w:color w:val="000000"/>
                <w:sz w:val="20"/>
                <w:szCs w:val="20"/>
              </w:rPr>
            </w:pPr>
            <w:r>
              <w:rPr>
                <w:color w:val="000000"/>
                <w:sz w:val="20"/>
                <w:szCs w:val="20"/>
              </w:rPr>
              <w:t>2</w:t>
            </w:r>
          </w:p>
        </w:tc>
        <w:tc>
          <w:tcPr>
            <w:tcW w:w="2340" w:type="dxa"/>
            <w:tcBorders>
              <w:top w:val="nil"/>
              <w:left w:val="nil"/>
              <w:bottom w:val="nil"/>
              <w:right w:val="single" w:sz="4" w:space="0" w:color="D9D9D9"/>
            </w:tcBorders>
            <w:shd w:val="clear" w:color="000000" w:fill="D9E1F2"/>
            <w:noWrap/>
            <w:vAlign w:val="center"/>
            <w:hideMark/>
          </w:tcPr>
          <w:p w:rsidR="001A08CF" w14:paraId="6E4E01BE" w14:textId="77777777">
            <w:pPr>
              <w:rPr>
                <w:color w:val="000000"/>
                <w:sz w:val="20"/>
                <w:szCs w:val="20"/>
              </w:rPr>
            </w:pPr>
            <w:r>
              <w:rPr>
                <w:color w:val="000000"/>
                <w:sz w:val="20"/>
                <w:szCs w:val="20"/>
              </w:rPr>
              <w:t> </w:t>
            </w:r>
          </w:p>
        </w:tc>
        <w:tc>
          <w:tcPr>
            <w:tcW w:w="2430" w:type="dxa"/>
            <w:vMerge w:val="restart"/>
            <w:tcBorders>
              <w:top w:val="nil"/>
              <w:left w:val="single" w:sz="4" w:space="0" w:color="D9D9D9"/>
              <w:bottom w:val="nil"/>
              <w:right w:val="single" w:sz="4" w:space="0" w:color="D9D9D9"/>
            </w:tcBorders>
            <w:shd w:val="clear" w:color="000000" w:fill="D9E1F2"/>
            <w:vAlign w:val="center"/>
            <w:hideMark/>
          </w:tcPr>
          <w:p w:rsidR="001A08CF" w14:paraId="41A5D0FB" w14:textId="77777777">
            <w:pPr>
              <w:rPr>
                <w:color w:val="000000"/>
                <w:sz w:val="20"/>
                <w:szCs w:val="20"/>
              </w:rPr>
            </w:pPr>
            <w:r>
              <w:rPr>
                <w:color w:val="000000"/>
                <w:sz w:val="20"/>
                <w:szCs w:val="20"/>
                <w:u w:val="single"/>
              </w:rPr>
              <w:t>High Priority Treatment</w:t>
            </w:r>
            <w:r>
              <w:rPr>
                <w:color w:val="000000"/>
                <w:sz w:val="20"/>
                <w:szCs w:val="20"/>
              </w:rPr>
              <w:t>:</w:t>
            </w:r>
            <w:r>
              <w:rPr>
                <w:color w:val="000000"/>
                <w:sz w:val="20"/>
                <w:szCs w:val="20"/>
              </w:rPr>
              <w:br/>
              <w:t>• AIM locating</w:t>
            </w:r>
            <w:r>
              <w:rPr>
                <w:color w:val="000000"/>
                <w:sz w:val="20"/>
                <w:szCs w:val="20"/>
              </w:rPr>
              <w:br/>
              <w:t>• 45 minutes per case</w:t>
            </w:r>
          </w:p>
        </w:tc>
        <w:tc>
          <w:tcPr>
            <w:tcW w:w="2556" w:type="dxa"/>
            <w:tcBorders>
              <w:top w:val="nil"/>
              <w:left w:val="nil"/>
              <w:bottom w:val="nil"/>
              <w:right w:val="single" w:sz="4" w:space="0" w:color="D9D9D9"/>
            </w:tcBorders>
            <w:shd w:val="clear" w:color="000000" w:fill="D9E1F2"/>
            <w:noWrap/>
            <w:vAlign w:val="bottom"/>
            <w:hideMark/>
          </w:tcPr>
          <w:p w:rsidR="001A08CF" w14:paraId="114F09E0" w14:textId="77777777">
            <w:pPr>
              <w:rPr>
                <w:color w:val="000000"/>
                <w:sz w:val="20"/>
                <w:szCs w:val="20"/>
              </w:rPr>
            </w:pPr>
            <w:r>
              <w:rPr>
                <w:color w:val="000000"/>
                <w:sz w:val="20"/>
                <w:szCs w:val="20"/>
              </w:rPr>
              <w:t> </w:t>
            </w:r>
          </w:p>
        </w:tc>
      </w:tr>
      <w:tr w14:paraId="3ACC3038" w14:textId="77777777" w:rsidTr="00A17345">
        <w:tblPrEx>
          <w:tblW w:w="9301" w:type="dxa"/>
          <w:tblLook w:val="04A0"/>
        </w:tblPrEx>
        <w:trPr>
          <w:trHeight w:val="420"/>
        </w:trPr>
        <w:tc>
          <w:tcPr>
            <w:tcW w:w="985" w:type="dxa"/>
            <w:vMerge/>
            <w:tcBorders>
              <w:top w:val="nil"/>
              <w:left w:val="single" w:sz="4" w:space="0" w:color="D9D9D9"/>
              <w:bottom w:val="nil"/>
              <w:right w:val="single" w:sz="4" w:space="0" w:color="D9D9D9"/>
            </w:tcBorders>
            <w:vAlign w:val="center"/>
            <w:hideMark/>
          </w:tcPr>
          <w:p w:rsidR="001A08CF" w14:paraId="7EFE366D" w14:textId="77777777">
            <w:pPr>
              <w:rPr>
                <w:b/>
                <w:bCs/>
                <w:color w:val="000000"/>
                <w:sz w:val="20"/>
                <w:szCs w:val="20"/>
              </w:rPr>
            </w:pPr>
          </w:p>
        </w:tc>
        <w:tc>
          <w:tcPr>
            <w:tcW w:w="990" w:type="dxa"/>
            <w:tcBorders>
              <w:top w:val="nil"/>
              <w:left w:val="nil"/>
              <w:bottom w:val="nil"/>
              <w:right w:val="single" w:sz="4" w:space="0" w:color="D9D9D9"/>
            </w:tcBorders>
            <w:shd w:val="clear" w:color="000000" w:fill="D9E1F2"/>
            <w:noWrap/>
            <w:vAlign w:val="center"/>
            <w:hideMark/>
          </w:tcPr>
          <w:p w:rsidR="001A08CF" w14:paraId="797AF66B" w14:textId="77777777">
            <w:pPr>
              <w:jc w:val="center"/>
              <w:rPr>
                <w:color w:val="000000"/>
                <w:sz w:val="20"/>
                <w:szCs w:val="20"/>
              </w:rPr>
            </w:pPr>
            <w:r>
              <w:rPr>
                <w:color w:val="000000"/>
                <w:sz w:val="20"/>
                <w:szCs w:val="20"/>
              </w:rPr>
              <w:t>3</w:t>
            </w:r>
          </w:p>
        </w:tc>
        <w:tc>
          <w:tcPr>
            <w:tcW w:w="2340" w:type="dxa"/>
            <w:tcBorders>
              <w:top w:val="nil"/>
              <w:left w:val="nil"/>
              <w:bottom w:val="nil"/>
              <w:right w:val="single" w:sz="4" w:space="0" w:color="D9D9D9"/>
            </w:tcBorders>
            <w:shd w:val="clear" w:color="000000" w:fill="D9E1F2"/>
            <w:noWrap/>
            <w:vAlign w:val="center"/>
            <w:hideMark/>
          </w:tcPr>
          <w:p w:rsidR="001A08CF" w14:paraId="7D4C6CC4" w14:textId="77777777">
            <w:pPr>
              <w:rPr>
                <w:color w:val="000000"/>
                <w:sz w:val="20"/>
                <w:szCs w:val="20"/>
              </w:rPr>
            </w:pPr>
            <w:r>
              <w:rPr>
                <w:color w:val="000000"/>
                <w:sz w:val="20"/>
                <w:szCs w:val="20"/>
              </w:rPr>
              <w:t>Follow-up contact (M&amp;E)</w:t>
            </w:r>
          </w:p>
        </w:tc>
        <w:tc>
          <w:tcPr>
            <w:tcW w:w="2430" w:type="dxa"/>
            <w:vMerge/>
            <w:tcBorders>
              <w:top w:val="nil"/>
              <w:left w:val="single" w:sz="4" w:space="0" w:color="D9D9D9"/>
              <w:bottom w:val="nil"/>
              <w:right w:val="single" w:sz="4" w:space="0" w:color="D9D9D9"/>
            </w:tcBorders>
            <w:vAlign w:val="center"/>
            <w:hideMark/>
          </w:tcPr>
          <w:p w:rsidR="001A08CF" w14:paraId="77F58BD1" w14:textId="77777777">
            <w:pPr>
              <w:rPr>
                <w:color w:val="000000"/>
                <w:sz w:val="20"/>
                <w:szCs w:val="20"/>
              </w:rPr>
            </w:pPr>
          </w:p>
        </w:tc>
        <w:tc>
          <w:tcPr>
            <w:tcW w:w="2556" w:type="dxa"/>
            <w:tcBorders>
              <w:top w:val="nil"/>
              <w:left w:val="nil"/>
              <w:bottom w:val="nil"/>
              <w:right w:val="single" w:sz="4" w:space="0" w:color="D9D9D9"/>
            </w:tcBorders>
            <w:shd w:val="clear" w:color="000000" w:fill="D9E1F2"/>
            <w:noWrap/>
            <w:vAlign w:val="bottom"/>
            <w:hideMark/>
          </w:tcPr>
          <w:p w:rsidR="001A08CF" w14:paraId="2201D16E" w14:textId="77777777">
            <w:pPr>
              <w:rPr>
                <w:color w:val="000000"/>
                <w:sz w:val="20"/>
                <w:szCs w:val="20"/>
              </w:rPr>
            </w:pPr>
            <w:r>
              <w:rPr>
                <w:color w:val="000000"/>
                <w:sz w:val="20"/>
                <w:szCs w:val="20"/>
              </w:rPr>
              <w:t> </w:t>
            </w:r>
          </w:p>
        </w:tc>
      </w:tr>
      <w:tr w14:paraId="3472F7F6" w14:textId="77777777" w:rsidTr="00A17345">
        <w:tblPrEx>
          <w:tblW w:w="9301" w:type="dxa"/>
          <w:tblLook w:val="04A0"/>
        </w:tblPrEx>
        <w:trPr>
          <w:trHeight w:val="420"/>
        </w:trPr>
        <w:tc>
          <w:tcPr>
            <w:tcW w:w="985" w:type="dxa"/>
            <w:vMerge/>
            <w:tcBorders>
              <w:top w:val="nil"/>
              <w:left w:val="single" w:sz="4" w:space="0" w:color="D9D9D9"/>
              <w:bottom w:val="nil"/>
              <w:right w:val="single" w:sz="4" w:space="0" w:color="D9D9D9"/>
            </w:tcBorders>
            <w:vAlign w:val="center"/>
            <w:hideMark/>
          </w:tcPr>
          <w:p w:rsidR="001A08CF" w14:paraId="4662A438" w14:textId="77777777">
            <w:pPr>
              <w:rPr>
                <w:b/>
                <w:bCs/>
                <w:color w:val="000000"/>
                <w:sz w:val="20"/>
                <w:szCs w:val="20"/>
              </w:rPr>
            </w:pPr>
          </w:p>
        </w:tc>
        <w:tc>
          <w:tcPr>
            <w:tcW w:w="990" w:type="dxa"/>
            <w:tcBorders>
              <w:top w:val="nil"/>
              <w:left w:val="nil"/>
              <w:bottom w:val="nil"/>
              <w:right w:val="single" w:sz="4" w:space="0" w:color="D9D9D9"/>
            </w:tcBorders>
            <w:shd w:val="clear" w:color="000000" w:fill="D9E1F2"/>
            <w:noWrap/>
            <w:vAlign w:val="center"/>
            <w:hideMark/>
          </w:tcPr>
          <w:p w:rsidR="001A08CF" w14:paraId="5142C3F2" w14:textId="77777777">
            <w:pPr>
              <w:jc w:val="center"/>
              <w:rPr>
                <w:color w:val="000000"/>
                <w:sz w:val="20"/>
                <w:szCs w:val="20"/>
              </w:rPr>
            </w:pPr>
            <w:r>
              <w:rPr>
                <w:color w:val="000000"/>
                <w:sz w:val="20"/>
                <w:szCs w:val="20"/>
              </w:rPr>
              <w:t>4</w:t>
            </w:r>
          </w:p>
        </w:tc>
        <w:tc>
          <w:tcPr>
            <w:tcW w:w="2340" w:type="dxa"/>
            <w:vMerge w:val="restart"/>
            <w:tcBorders>
              <w:top w:val="nil"/>
              <w:left w:val="single" w:sz="4" w:space="0" w:color="D9D9D9"/>
              <w:bottom w:val="nil"/>
              <w:right w:val="single" w:sz="4" w:space="0" w:color="D9D9D9"/>
            </w:tcBorders>
            <w:shd w:val="clear" w:color="000000" w:fill="D9E1F2"/>
            <w:vAlign w:val="center"/>
            <w:hideMark/>
          </w:tcPr>
          <w:p w:rsidR="001A08CF" w14:paraId="0963FF52" w14:textId="77777777">
            <w:pPr>
              <w:rPr>
                <w:color w:val="000000"/>
                <w:sz w:val="20"/>
                <w:szCs w:val="20"/>
              </w:rPr>
            </w:pPr>
            <w:r>
              <w:rPr>
                <w:color w:val="000000"/>
                <w:sz w:val="20"/>
                <w:szCs w:val="20"/>
              </w:rPr>
              <w:t>Telephone prompting</w:t>
            </w:r>
          </w:p>
        </w:tc>
        <w:tc>
          <w:tcPr>
            <w:tcW w:w="2430" w:type="dxa"/>
            <w:vMerge/>
            <w:tcBorders>
              <w:top w:val="nil"/>
              <w:left w:val="single" w:sz="4" w:space="0" w:color="D9D9D9"/>
              <w:bottom w:val="nil"/>
              <w:right w:val="single" w:sz="4" w:space="0" w:color="D9D9D9"/>
            </w:tcBorders>
            <w:vAlign w:val="center"/>
            <w:hideMark/>
          </w:tcPr>
          <w:p w:rsidR="001A08CF" w14:paraId="5C46AF8C" w14:textId="77777777">
            <w:pPr>
              <w:rPr>
                <w:color w:val="000000"/>
                <w:sz w:val="20"/>
                <w:szCs w:val="20"/>
              </w:rPr>
            </w:pPr>
          </w:p>
        </w:tc>
        <w:tc>
          <w:tcPr>
            <w:tcW w:w="2556" w:type="dxa"/>
            <w:tcBorders>
              <w:top w:val="nil"/>
              <w:left w:val="nil"/>
              <w:bottom w:val="nil"/>
              <w:right w:val="single" w:sz="4" w:space="0" w:color="D9D9D9"/>
            </w:tcBorders>
            <w:shd w:val="clear" w:color="000000" w:fill="D9E1F2"/>
            <w:noWrap/>
            <w:vAlign w:val="bottom"/>
            <w:hideMark/>
          </w:tcPr>
          <w:p w:rsidR="001A08CF" w14:paraId="1EC987FF" w14:textId="77777777">
            <w:pPr>
              <w:rPr>
                <w:color w:val="000000"/>
                <w:sz w:val="20"/>
                <w:szCs w:val="20"/>
              </w:rPr>
            </w:pPr>
            <w:r>
              <w:rPr>
                <w:color w:val="000000"/>
                <w:sz w:val="20"/>
                <w:szCs w:val="20"/>
              </w:rPr>
              <w:t> </w:t>
            </w:r>
          </w:p>
        </w:tc>
      </w:tr>
      <w:tr w14:paraId="6B5A0DF2" w14:textId="77777777" w:rsidTr="00A17345">
        <w:tblPrEx>
          <w:tblW w:w="9301" w:type="dxa"/>
          <w:tblLook w:val="04A0"/>
        </w:tblPrEx>
        <w:trPr>
          <w:trHeight w:val="420"/>
        </w:trPr>
        <w:tc>
          <w:tcPr>
            <w:tcW w:w="985" w:type="dxa"/>
            <w:vMerge/>
            <w:tcBorders>
              <w:top w:val="nil"/>
              <w:left w:val="single" w:sz="4" w:space="0" w:color="D9D9D9"/>
              <w:bottom w:val="nil"/>
              <w:right w:val="single" w:sz="4" w:space="0" w:color="D9D9D9"/>
            </w:tcBorders>
            <w:vAlign w:val="center"/>
            <w:hideMark/>
          </w:tcPr>
          <w:p w:rsidR="001A08CF" w14:paraId="399F664B" w14:textId="77777777">
            <w:pPr>
              <w:rPr>
                <w:b/>
                <w:bCs/>
                <w:color w:val="000000"/>
                <w:sz w:val="20"/>
                <w:szCs w:val="20"/>
              </w:rPr>
            </w:pPr>
          </w:p>
        </w:tc>
        <w:tc>
          <w:tcPr>
            <w:tcW w:w="990" w:type="dxa"/>
            <w:tcBorders>
              <w:top w:val="nil"/>
              <w:left w:val="nil"/>
              <w:bottom w:val="nil"/>
              <w:right w:val="single" w:sz="4" w:space="0" w:color="D9D9D9"/>
            </w:tcBorders>
            <w:shd w:val="clear" w:color="000000" w:fill="D9E1F2"/>
            <w:noWrap/>
            <w:vAlign w:val="center"/>
            <w:hideMark/>
          </w:tcPr>
          <w:p w:rsidR="001A08CF" w14:paraId="3324217D" w14:textId="77777777">
            <w:pPr>
              <w:jc w:val="center"/>
              <w:rPr>
                <w:color w:val="000000"/>
                <w:sz w:val="20"/>
                <w:szCs w:val="20"/>
              </w:rPr>
            </w:pPr>
            <w:r>
              <w:rPr>
                <w:color w:val="000000"/>
                <w:sz w:val="20"/>
                <w:szCs w:val="20"/>
              </w:rPr>
              <w:t>5</w:t>
            </w:r>
          </w:p>
        </w:tc>
        <w:tc>
          <w:tcPr>
            <w:tcW w:w="2340" w:type="dxa"/>
            <w:vMerge/>
            <w:tcBorders>
              <w:top w:val="nil"/>
              <w:left w:val="single" w:sz="4" w:space="0" w:color="D9D9D9"/>
              <w:bottom w:val="nil"/>
              <w:right w:val="single" w:sz="4" w:space="0" w:color="D9D9D9"/>
            </w:tcBorders>
            <w:vAlign w:val="center"/>
            <w:hideMark/>
          </w:tcPr>
          <w:p w:rsidR="001A08CF" w14:paraId="0C2594E0" w14:textId="77777777">
            <w:pPr>
              <w:rPr>
                <w:color w:val="000000"/>
                <w:sz w:val="20"/>
                <w:szCs w:val="20"/>
              </w:rPr>
            </w:pPr>
          </w:p>
        </w:tc>
        <w:tc>
          <w:tcPr>
            <w:tcW w:w="2430" w:type="dxa"/>
            <w:vMerge w:val="restart"/>
            <w:tcBorders>
              <w:top w:val="nil"/>
              <w:left w:val="single" w:sz="4" w:space="0" w:color="D9D9D9"/>
              <w:bottom w:val="nil"/>
              <w:right w:val="single" w:sz="4" w:space="0" w:color="D9D9D9"/>
            </w:tcBorders>
            <w:shd w:val="clear" w:color="000000" w:fill="D9E1F2"/>
            <w:vAlign w:val="center"/>
            <w:hideMark/>
          </w:tcPr>
          <w:p w:rsidR="001A08CF" w14:paraId="18CD0E66" w14:textId="77777777">
            <w:pPr>
              <w:rPr>
                <w:color w:val="000000"/>
                <w:sz w:val="20"/>
                <w:szCs w:val="20"/>
              </w:rPr>
            </w:pPr>
            <w:r>
              <w:rPr>
                <w:color w:val="000000"/>
                <w:sz w:val="20"/>
                <w:szCs w:val="20"/>
                <w:u w:val="single"/>
              </w:rPr>
              <w:t>Low Priority Treatment</w:t>
            </w:r>
            <w:r>
              <w:rPr>
                <w:color w:val="000000"/>
                <w:sz w:val="20"/>
                <w:szCs w:val="20"/>
              </w:rPr>
              <w:t>:</w:t>
            </w:r>
            <w:r>
              <w:rPr>
                <w:color w:val="000000"/>
                <w:sz w:val="20"/>
                <w:szCs w:val="20"/>
              </w:rPr>
              <w:br/>
              <w:t>• 25 minutes per case</w:t>
            </w:r>
          </w:p>
        </w:tc>
        <w:tc>
          <w:tcPr>
            <w:tcW w:w="2556" w:type="dxa"/>
            <w:tcBorders>
              <w:top w:val="nil"/>
              <w:left w:val="nil"/>
              <w:bottom w:val="nil"/>
              <w:right w:val="single" w:sz="4" w:space="0" w:color="D9D9D9"/>
            </w:tcBorders>
            <w:shd w:val="clear" w:color="000000" w:fill="D9E1F2"/>
            <w:vAlign w:val="center"/>
            <w:hideMark/>
          </w:tcPr>
          <w:p w:rsidR="001A08CF" w14:paraId="0DAE1B4D" w14:textId="77777777">
            <w:pPr>
              <w:rPr>
                <w:color w:val="000000"/>
                <w:sz w:val="20"/>
                <w:szCs w:val="20"/>
              </w:rPr>
            </w:pPr>
            <w:r>
              <w:rPr>
                <w:color w:val="000000"/>
                <w:sz w:val="20"/>
                <w:szCs w:val="20"/>
              </w:rPr>
              <w:t> </w:t>
            </w:r>
          </w:p>
        </w:tc>
      </w:tr>
      <w:tr w14:paraId="1BA7B195" w14:textId="77777777" w:rsidTr="00A17345">
        <w:tblPrEx>
          <w:tblW w:w="9301" w:type="dxa"/>
          <w:tblLook w:val="04A0"/>
        </w:tblPrEx>
        <w:trPr>
          <w:trHeight w:val="420"/>
        </w:trPr>
        <w:tc>
          <w:tcPr>
            <w:tcW w:w="985" w:type="dxa"/>
            <w:vMerge/>
            <w:tcBorders>
              <w:top w:val="nil"/>
              <w:left w:val="single" w:sz="4" w:space="0" w:color="D9D9D9"/>
              <w:bottom w:val="nil"/>
              <w:right w:val="single" w:sz="4" w:space="0" w:color="D9D9D9"/>
            </w:tcBorders>
            <w:vAlign w:val="center"/>
            <w:hideMark/>
          </w:tcPr>
          <w:p w:rsidR="001A08CF" w14:paraId="78D5E6DC" w14:textId="77777777">
            <w:pPr>
              <w:rPr>
                <w:b/>
                <w:bCs/>
                <w:color w:val="000000"/>
                <w:sz w:val="20"/>
                <w:szCs w:val="20"/>
              </w:rPr>
            </w:pPr>
          </w:p>
        </w:tc>
        <w:tc>
          <w:tcPr>
            <w:tcW w:w="990" w:type="dxa"/>
            <w:tcBorders>
              <w:top w:val="nil"/>
              <w:left w:val="nil"/>
              <w:bottom w:val="nil"/>
              <w:right w:val="single" w:sz="4" w:space="0" w:color="D9D9D9"/>
            </w:tcBorders>
            <w:shd w:val="clear" w:color="000000" w:fill="D9E1F2"/>
            <w:noWrap/>
            <w:vAlign w:val="center"/>
            <w:hideMark/>
          </w:tcPr>
          <w:p w:rsidR="001A08CF" w14:paraId="41068021" w14:textId="77777777">
            <w:pPr>
              <w:jc w:val="center"/>
              <w:rPr>
                <w:color w:val="000000"/>
                <w:sz w:val="20"/>
                <w:szCs w:val="20"/>
              </w:rPr>
            </w:pPr>
            <w:r>
              <w:rPr>
                <w:color w:val="000000"/>
                <w:sz w:val="20"/>
                <w:szCs w:val="20"/>
              </w:rPr>
              <w:t>6</w:t>
            </w:r>
          </w:p>
        </w:tc>
        <w:tc>
          <w:tcPr>
            <w:tcW w:w="2340" w:type="dxa"/>
            <w:vMerge/>
            <w:tcBorders>
              <w:top w:val="nil"/>
              <w:left w:val="single" w:sz="4" w:space="0" w:color="D9D9D9"/>
              <w:bottom w:val="nil"/>
              <w:right w:val="single" w:sz="4" w:space="0" w:color="D9D9D9"/>
            </w:tcBorders>
            <w:vAlign w:val="center"/>
            <w:hideMark/>
          </w:tcPr>
          <w:p w:rsidR="001A08CF" w14:paraId="316E55B8" w14:textId="77777777">
            <w:pPr>
              <w:rPr>
                <w:color w:val="000000"/>
                <w:sz w:val="20"/>
                <w:szCs w:val="20"/>
              </w:rPr>
            </w:pPr>
          </w:p>
        </w:tc>
        <w:tc>
          <w:tcPr>
            <w:tcW w:w="2430" w:type="dxa"/>
            <w:vMerge/>
            <w:tcBorders>
              <w:top w:val="nil"/>
              <w:left w:val="single" w:sz="4" w:space="0" w:color="D9D9D9"/>
              <w:bottom w:val="nil"/>
              <w:right w:val="single" w:sz="4" w:space="0" w:color="D9D9D9"/>
            </w:tcBorders>
            <w:vAlign w:val="center"/>
            <w:hideMark/>
          </w:tcPr>
          <w:p w:rsidR="001A08CF" w14:paraId="70DB449D" w14:textId="77777777">
            <w:pPr>
              <w:rPr>
                <w:color w:val="000000"/>
                <w:sz w:val="20"/>
                <w:szCs w:val="20"/>
              </w:rPr>
            </w:pPr>
          </w:p>
        </w:tc>
        <w:tc>
          <w:tcPr>
            <w:tcW w:w="2556" w:type="dxa"/>
            <w:tcBorders>
              <w:top w:val="nil"/>
              <w:left w:val="nil"/>
              <w:bottom w:val="nil"/>
              <w:right w:val="single" w:sz="4" w:space="0" w:color="D9D9D9"/>
            </w:tcBorders>
            <w:shd w:val="clear" w:color="000000" w:fill="D9E1F2"/>
            <w:vAlign w:val="center"/>
            <w:hideMark/>
          </w:tcPr>
          <w:p w:rsidR="001A08CF" w14:paraId="26E433E5" w14:textId="77777777">
            <w:pPr>
              <w:rPr>
                <w:color w:val="000000"/>
                <w:sz w:val="20"/>
                <w:szCs w:val="20"/>
              </w:rPr>
            </w:pPr>
            <w:r>
              <w:rPr>
                <w:color w:val="000000"/>
                <w:sz w:val="20"/>
                <w:szCs w:val="20"/>
              </w:rPr>
              <w:t> </w:t>
            </w:r>
          </w:p>
        </w:tc>
      </w:tr>
      <w:tr w14:paraId="1B8849F9" w14:textId="77777777" w:rsidTr="00A17345">
        <w:tblPrEx>
          <w:tblW w:w="9301" w:type="dxa"/>
          <w:tblLook w:val="04A0"/>
        </w:tblPrEx>
        <w:trPr>
          <w:trHeight w:val="570"/>
        </w:trPr>
        <w:tc>
          <w:tcPr>
            <w:tcW w:w="985" w:type="dxa"/>
            <w:vMerge w:val="restart"/>
            <w:tcBorders>
              <w:top w:val="nil"/>
              <w:left w:val="single" w:sz="4" w:space="0" w:color="D9D9D9"/>
              <w:bottom w:val="nil"/>
              <w:right w:val="single" w:sz="4" w:space="0" w:color="D9D9D9"/>
            </w:tcBorders>
            <w:shd w:val="clear" w:color="000000" w:fill="C6E0B4"/>
            <w:noWrap/>
            <w:vAlign w:val="center"/>
            <w:hideMark/>
          </w:tcPr>
          <w:p w:rsidR="009A1045" w14:paraId="0B546F5C" w14:textId="77777777">
            <w:pPr>
              <w:jc w:val="center"/>
              <w:rPr>
                <w:b/>
                <w:bCs/>
                <w:color w:val="000000"/>
                <w:sz w:val="20"/>
                <w:szCs w:val="20"/>
              </w:rPr>
            </w:pPr>
            <w:r>
              <w:rPr>
                <w:b/>
                <w:bCs/>
                <w:color w:val="000000"/>
                <w:sz w:val="20"/>
                <w:szCs w:val="20"/>
              </w:rPr>
              <w:t>Interim</w:t>
            </w:r>
          </w:p>
        </w:tc>
        <w:tc>
          <w:tcPr>
            <w:tcW w:w="990" w:type="dxa"/>
            <w:tcBorders>
              <w:top w:val="nil"/>
              <w:left w:val="nil"/>
              <w:bottom w:val="nil"/>
              <w:right w:val="single" w:sz="4" w:space="0" w:color="D9D9D9"/>
            </w:tcBorders>
            <w:shd w:val="clear" w:color="000000" w:fill="E2EFDA"/>
            <w:noWrap/>
            <w:vAlign w:val="center"/>
            <w:hideMark/>
          </w:tcPr>
          <w:p w:rsidR="009A1045" w14:paraId="4140C1D0" w14:textId="77777777">
            <w:pPr>
              <w:jc w:val="center"/>
              <w:rPr>
                <w:color w:val="000000"/>
                <w:sz w:val="20"/>
                <w:szCs w:val="20"/>
              </w:rPr>
            </w:pPr>
            <w:r>
              <w:rPr>
                <w:color w:val="000000"/>
                <w:sz w:val="20"/>
                <w:szCs w:val="20"/>
              </w:rPr>
              <w:t>7</w:t>
            </w:r>
          </w:p>
        </w:tc>
        <w:tc>
          <w:tcPr>
            <w:tcW w:w="2340" w:type="dxa"/>
            <w:tcBorders>
              <w:top w:val="nil"/>
              <w:left w:val="nil"/>
              <w:bottom w:val="nil"/>
              <w:right w:val="single" w:sz="4" w:space="0" w:color="D9D9D9"/>
            </w:tcBorders>
            <w:shd w:val="clear" w:color="000000" w:fill="E2EFDA"/>
            <w:noWrap/>
            <w:vAlign w:val="center"/>
            <w:hideMark/>
          </w:tcPr>
          <w:p w:rsidR="009A1045" w14:paraId="6C58148A" w14:textId="77777777">
            <w:pPr>
              <w:rPr>
                <w:color w:val="000000"/>
                <w:sz w:val="20"/>
                <w:szCs w:val="20"/>
              </w:rPr>
            </w:pPr>
            <w:r>
              <w:rPr>
                <w:color w:val="000000"/>
                <w:sz w:val="20"/>
                <w:szCs w:val="20"/>
              </w:rPr>
              <w:t>Reminder contact (M&amp;E)</w:t>
            </w:r>
          </w:p>
        </w:tc>
        <w:tc>
          <w:tcPr>
            <w:tcW w:w="2430" w:type="dxa"/>
            <w:tcBorders>
              <w:top w:val="nil"/>
              <w:left w:val="nil"/>
              <w:bottom w:val="nil"/>
              <w:right w:val="single" w:sz="4" w:space="0" w:color="D9D9D9"/>
            </w:tcBorders>
            <w:shd w:val="clear" w:color="000000" w:fill="E2EFDA"/>
            <w:vAlign w:val="bottom"/>
            <w:hideMark/>
          </w:tcPr>
          <w:p w:rsidR="009A1045" w14:paraId="0A18D305" w14:textId="7B3215D3">
            <w:pPr>
              <w:rPr>
                <w:color w:val="000000"/>
                <w:sz w:val="20"/>
                <w:szCs w:val="20"/>
              </w:rPr>
            </w:pPr>
            <w:r>
              <w:rPr>
                <w:color w:val="000000"/>
                <w:sz w:val="20"/>
                <w:szCs w:val="20"/>
              </w:rPr>
              <w:t xml:space="preserve">Locating cases searched in priority </w:t>
            </w:r>
            <w:r w:rsidR="00596A78">
              <w:rPr>
                <w:color w:val="000000"/>
                <w:sz w:val="20"/>
                <w:szCs w:val="20"/>
              </w:rPr>
              <w:t xml:space="preserve">rank </w:t>
            </w:r>
            <w:r>
              <w:rPr>
                <w:color w:val="000000"/>
                <w:sz w:val="20"/>
                <w:szCs w:val="20"/>
              </w:rPr>
              <w:t>order.</w:t>
            </w:r>
          </w:p>
        </w:tc>
        <w:tc>
          <w:tcPr>
            <w:tcW w:w="2556" w:type="dxa"/>
            <w:vMerge w:val="restart"/>
            <w:tcBorders>
              <w:top w:val="nil"/>
              <w:left w:val="nil"/>
              <w:right w:val="single" w:sz="4" w:space="0" w:color="D9D9D9"/>
            </w:tcBorders>
            <w:shd w:val="clear" w:color="000000" w:fill="E2EFDA"/>
            <w:noWrap/>
            <w:vAlign w:val="center"/>
            <w:hideMark/>
          </w:tcPr>
          <w:p w:rsidR="00F6010E" w:rsidP="00703A4F" w14:paraId="14118609" w14:textId="2E6EAE06">
            <w:pPr>
              <w:rPr>
                <w:color w:val="000000"/>
                <w:sz w:val="20"/>
                <w:szCs w:val="20"/>
                <w:u w:val="single"/>
              </w:rPr>
            </w:pPr>
            <w:r>
              <w:rPr>
                <w:color w:val="000000"/>
                <w:sz w:val="20"/>
                <w:szCs w:val="20"/>
                <w:u w:val="single"/>
              </w:rPr>
              <w:t xml:space="preserve">While not implemented as part of the overarching adaptive design strategy, </w:t>
            </w:r>
            <w:r w:rsidR="00DE40F5">
              <w:rPr>
                <w:color w:val="000000"/>
                <w:sz w:val="20"/>
                <w:szCs w:val="20"/>
                <w:u w:val="single"/>
              </w:rPr>
              <w:t>week 7 includes an incentive mode experiment.</w:t>
            </w:r>
          </w:p>
          <w:p w:rsidR="00DE40F5" w:rsidP="00703A4F" w14:paraId="6716E7DB" w14:textId="77777777">
            <w:pPr>
              <w:rPr>
                <w:color w:val="000000"/>
                <w:sz w:val="20"/>
                <w:szCs w:val="20"/>
                <w:u w:val="single"/>
              </w:rPr>
            </w:pPr>
          </w:p>
          <w:p w:rsidR="009A1045" w:rsidP="00703A4F" w14:paraId="5ED8A45D" w14:textId="3A276319">
            <w:pPr>
              <w:rPr>
                <w:color w:val="000000"/>
                <w:sz w:val="20"/>
                <w:szCs w:val="20"/>
              </w:rPr>
            </w:pPr>
            <w:r>
              <w:rPr>
                <w:color w:val="000000"/>
                <w:sz w:val="20"/>
                <w:szCs w:val="20"/>
                <w:u w:val="single"/>
              </w:rPr>
              <w:t>High Priority Treatment</w:t>
            </w:r>
            <w:r>
              <w:rPr>
                <w:color w:val="000000"/>
                <w:sz w:val="20"/>
                <w:szCs w:val="20"/>
              </w:rPr>
              <w:t>:</w:t>
            </w:r>
          </w:p>
          <w:p w:rsidR="009A1045" w:rsidP="002057DF" w14:paraId="0FA1227C" w14:textId="65545AE4">
            <w:pPr>
              <w:rPr>
                <w:color w:val="000000"/>
                <w:sz w:val="20"/>
                <w:szCs w:val="20"/>
              </w:rPr>
            </w:pPr>
            <w:r>
              <w:rPr>
                <w:color w:val="000000"/>
                <w:sz w:val="20"/>
                <w:szCs w:val="20"/>
              </w:rPr>
              <w:t xml:space="preserve">Incentive mode experiment </w:t>
            </w:r>
            <w:r w:rsidR="00DE40F5">
              <w:rPr>
                <w:color w:val="000000"/>
                <w:sz w:val="20"/>
                <w:szCs w:val="20"/>
              </w:rPr>
              <w:t xml:space="preserve">treatment groups will be </w:t>
            </w:r>
            <w:r>
              <w:rPr>
                <w:color w:val="000000"/>
                <w:sz w:val="20"/>
                <w:szCs w:val="20"/>
              </w:rPr>
              <w:t xml:space="preserve">offered </w:t>
            </w:r>
            <w:r w:rsidR="002023DF">
              <w:rPr>
                <w:color w:val="000000"/>
                <w:sz w:val="20"/>
                <w:szCs w:val="20"/>
              </w:rPr>
              <w:t xml:space="preserve">$30 pre- or post-paid </w:t>
            </w:r>
            <w:r w:rsidR="0070551D">
              <w:rPr>
                <w:color w:val="000000"/>
                <w:sz w:val="20"/>
                <w:szCs w:val="20"/>
              </w:rPr>
              <w:t xml:space="preserve">incentive </w:t>
            </w:r>
            <w:r>
              <w:rPr>
                <w:color w:val="000000"/>
                <w:sz w:val="20"/>
                <w:szCs w:val="20"/>
              </w:rPr>
              <w:t>in week 7</w:t>
            </w:r>
            <w:r w:rsidR="00D42558">
              <w:rPr>
                <w:color w:val="000000"/>
                <w:sz w:val="20"/>
                <w:szCs w:val="20"/>
              </w:rPr>
              <w:t>.</w:t>
            </w:r>
          </w:p>
          <w:p w:rsidR="0070551D" w:rsidP="002057DF" w14:paraId="31E5F635" w14:textId="77777777">
            <w:pPr>
              <w:rPr>
                <w:color w:val="000000"/>
                <w:sz w:val="20"/>
                <w:szCs w:val="20"/>
              </w:rPr>
            </w:pPr>
          </w:p>
          <w:p w:rsidR="0070551D" w:rsidP="002057DF" w14:paraId="425421AC" w14:textId="77777777">
            <w:pPr>
              <w:rPr>
                <w:color w:val="000000"/>
                <w:sz w:val="20"/>
                <w:szCs w:val="20"/>
              </w:rPr>
            </w:pPr>
            <w:r w:rsidRPr="0070551D">
              <w:rPr>
                <w:color w:val="000000"/>
                <w:sz w:val="20"/>
                <w:szCs w:val="20"/>
                <w:u w:val="single"/>
              </w:rPr>
              <w:t>Low Priority Treatment</w:t>
            </w:r>
            <w:r>
              <w:rPr>
                <w:color w:val="000000"/>
                <w:sz w:val="20"/>
                <w:szCs w:val="20"/>
              </w:rPr>
              <w:t>:</w:t>
            </w:r>
          </w:p>
          <w:p w:rsidR="0070551D" w:rsidP="002057DF" w14:paraId="7564150B" w14:textId="70E97297">
            <w:pPr>
              <w:rPr>
                <w:color w:val="000000"/>
                <w:sz w:val="20"/>
                <w:szCs w:val="20"/>
              </w:rPr>
            </w:pPr>
            <w:r>
              <w:rPr>
                <w:color w:val="000000"/>
                <w:sz w:val="20"/>
                <w:szCs w:val="20"/>
              </w:rPr>
              <w:t>Control groups will receive the r</w:t>
            </w:r>
            <w:r>
              <w:rPr>
                <w:color w:val="000000"/>
                <w:sz w:val="20"/>
                <w:szCs w:val="20"/>
              </w:rPr>
              <w:t>eminder mailing only</w:t>
            </w:r>
            <w:r w:rsidR="00D42558">
              <w:rPr>
                <w:color w:val="000000"/>
                <w:sz w:val="20"/>
                <w:szCs w:val="20"/>
              </w:rPr>
              <w:t>.</w:t>
            </w:r>
          </w:p>
        </w:tc>
      </w:tr>
      <w:tr w14:paraId="017A31F2" w14:textId="77777777" w:rsidTr="00A17345">
        <w:tblPrEx>
          <w:tblW w:w="9301" w:type="dxa"/>
          <w:tblLook w:val="04A0"/>
        </w:tblPrEx>
        <w:trPr>
          <w:trHeight w:val="420"/>
        </w:trPr>
        <w:tc>
          <w:tcPr>
            <w:tcW w:w="985" w:type="dxa"/>
            <w:vMerge/>
            <w:tcBorders>
              <w:top w:val="nil"/>
              <w:left w:val="single" w:sz="4" w:space="0" w:color="D9D9D9"/>
              <w:bottom w:val="nil"/>
              <w:right w:val="single" w:sz="4" w:space="0" w:color="D9D9D9"/>
            </w:tcBorders>
            <w:vAlign w:val="center"/>
            <w:hideMark/>
          </w:tcPr>
          <w:p w:rsidR="009A1045" w14:paraId="568A9C6A" w14:textId="77777777">
            <w:pPr>
              <w:rPr>
                <w:b/>
                <w:bCs/>
                <w:color w:val="000000"/>
                <w:sz w:val="20"/>
                <w:szCs w:val="20"/>
              </w:rPr>
            </w:pPr>
          </w:p>
        </w:tc>
        <w:tc>
          <w:tcPr>
            <w:tcW w:w="990" w:type="dxa"/>
            <w:tcBorders>
              <w:top w:val="nil"/>
              <w:left w:val="nil"/>
              <w:bottom w:val="nil"/>
              <w:right w:val="single" w:sz="4" w:space="0" w:color="D9D9D9"/>
            </w:tcBorders>
            <w:shd w:val="clear" w:color="000000" w:fill="E2EFDA"/>
            <w:noWrap/>
            <w:vAlign w:val="center"/>
            <w:hideMark/>
          </w:tcPr>
          <w:p w:rsidR="009A1045" w14:paraId="1E9F68E0" w14:textId="77777777">
            <w:pPr>
              <w:jc w:val="center"/>
              <w:rPr>
                <w:color w:val="000000"/>
                <w:sz w:val="20"/>
                <w:szCs w:val="20"/>
              </w:rPr>
            </w:pPr>
            <w:r>
              <w:rPr>
                <w:color w:val="000000"/>
                <w:sz w:val="20"/>
                <w:szCs w:val="20"/>
              </w:rPr>
              <w:t>8</w:t>
            </w:r>
          </w:p>
        </w:tc>
        <w:tc>
          <w:tcPr>
            <w:tcW w:w="2340" w:type="dxa"/>
            <w:tcBorders>
              <w:top w:val="nil"/>
              <w:left w:val="nil"/>
              <w:bottom w:val="nil"/>
              <w:right w:val="single" w:sz="4" w:space="0" w:color="D9D9D9"/>
            </w:tcBorders>
            <w:shd w:val="clear" w:color="000000" w:fill="E2EFDA"/>
            <w:noWrap/>
            <w:vAlign w:val="center"/>
            <w:hideMark/>
          </w:tcPr>
          <w:p w:rsidR="009A1045" w14:paraId="64870F19" w14:textId="77777777">
            <w:pPr>
              <w:rPr>
                <w:color w:val="000000"/>
                <w:sz w:val="20"/>
                <w:szCs w:val="20"/>
              </w:rPr>
            </w:pPr>
            <w:r>
              <w:rPr>
                <w:color w:val="000000"/>
                <w:sz w:val="20"/>
                <w:szCs w:val="20"/>
              </w:rPr>
              <w:t> </w:t>
            </w:r>
          </w:p>
        </w:tc>
        <w:tc>
          <w:tcPr>
            <w:tcW w:w="2430" w:type="dxa"/>
            <w:vMerge w:val="restart"/>
            <w:tcBorders>
              <w:top w:val="nil"/>
              <w:left w:val="single" w:sz="4" w:space="0" w:color="D9D9D9"/>
              <w:bottom w:val="nil"/>
              <w:right w:val="single" w:sz="4" w:space="0" w:color="D9D9D9"/>
            </w:tcBorders>
            <w:shd w:val="clear" w:color="000000" w:fill="E2EFDA"/>
            <w:vAlign w:val="center"/>
            <w:hideMark/>
          </w:tcPr>
          <w:p w:rsidR="009A1045" w14:paraId="2C5B14FD" w14:textId="7FBA3961">
            <w:pPr>
              <w:rPr>
                <w:color w:val="000000"/>
                <w:sz w:val="20"/>
                <w:szCs w:val="20"/>
              </w:rPr>
            </w:pPr>
            <w:r>
              <w:rPr>
                <w:color w:val="000000"/>
                <w:sz w:val="20"/>
                <w:szCs w:val="20"/>
              </w:rPr>
              <w:t>Same protocol as Starting Phase plus…</w:t>
            </w:r>
            <w:r>
              <w:rPr>
                <w:color w:val="000000"/>
                <w:sz w:val="20"/>
                <w:szCs w:val="20"/>
                <w:u w:val="single"/>
              </w:rPr>
              <w:br/>
            </w:r>
            <w:r>
              <w:rPr>
                <w:color w:val="000000"/>
                <w:sz w:val="20"/>
                <w:szCs w:val="20"/>
                <w:u w:val="single"/>
              </w:rPr>
              <w:br/>
              <w:t>High Priority Treatment</w:t>
            </w:r>
            <w:r w:rsidRPr="0067193D" w:rsidR="0067193D">
              <w:rPr>
                <w:color w:val="000000"/>
                <w:sz w:val="20"/>
                <w:szCs w:val="20"/>
              </w:rPr>
              <w:t>:</w:t>
            </w:r>
            <w:r w:rsidRPr="0067193D">
              <w:rPr>
                <w:color w:val="000000"/>
                <w:sz w:val="20"/>
                <w:szCs w:val="20"/>
              </w:rPr>
              <w:t xml:space="preserve"> </w:t>
            </w:r>
            <w:r w:rsidR="0067193D">
              <w:rPr>
                <w:color w:val="000000"/>
                <w:sz w:val="20"/>
                <w:szCs w:val="20"/>
              </w:rPr>
              <w:t>A</w:t>
            </w:r>
            <w:r>
              <w:rPr>
                <w:color w:val="000000"/>
                <w:sz w:val="20"/>
                <w:szCs w:val="20"/>
              </w:rPr>
              <w:t>dds Expert locating</w:t>
            </w:r>
            <w:r w:rsidR="00D42558">
              <w:rPr>
                <w:color w:val="000000"/>
                <w:sz w:val="20"/>
                <w:szCs w:val="20"/>
              </w:rPr>
              <w:t>.</w:t>
            </w:r>
          </w:p>
        </w:tc>
        <w:tc>
          <w:tcPr>
            <w:tcW w:w="2556" w:type="dxa"/>
            <w:vMerge/>
            <w:tcBorders>
              <w:left w:val="nil"/>
              <w:right w:val="single" w:sz="4" w:space="0" w:color="D9D9D9"/>
            </w:tcBorders>
            <w:shd w:val="clear" w:color="000000" w:fill="E2EFDA"/>
            <w:noWrap/>
            <w:vAlign w:val="bottom"/>
            <w:hideMark/>
          </w:tcPr>
          <w:p w:rsidR="009A1045" w:rsidP="002057DF" w14:paraId="3D40FEC2" w14:textId="7E0908AE">
            <w:pPr>
              <w:rPr>
                <w:color w:val="000000"/>
                <w:sz w:val="20"/>
                <w:szCs w:val="20"/>
              </w:rPr>
            </w:pPr>
          </w:p>
        </w:tc>
      </w:tr>
      <w:tr w14:paraId="5AECF068" w14:textId="77777777" w:rsidTr="00A17345">
        <w:tblPrEx>
          <w:tblW w:w="9301" w:type="dxa"/>
          <w:tblLook w:val="04A0"/>
        </w:tblPrEx>
        <w:trPr>
          <w:trHeight w:val="420"/>
        </w:trPr>
        <w:tc>
          <w:tcPr>
            <w:tcW w:w="985" w:type="dxa"/>
            <w:vMerge/>
            <w:tcBorders>
              <w:top w:val="nil"/>
              <w:left w:val="single" w:sz="4" w:space="0" w:color="D9D9D9"/>
              <w:bottom w:val="nil"/>
              <w:right w:val="single" w:sz="4" w:space="0" w:color="D9D9D9"/>
            </w:tcBorders>
            <w:vAlign w:val="center"/>
            <w:hideMark/>
          </w:tcPr>
          <w:p w:rsidR="009A1045" w14:paraId="47DABFBE" w14:textId="77777777">
            <w:pPr>
              <w:rPr>
                <w:b/>
                <w:bCs/>
                <w:color w:val="000000"/>
                <w:sz w:val="20"/>
                <w:szCs w:val="20"/>
              </w:rPr>
            </w:pPr>
          </w:p>
        </w:tc>
        <w:tc>
          <w:tcPr>
            <w:tcW w:w="990" w:type="dxa"/>
            <w:tcBorders>
              <w:top w:val="nil"/>
              <w:left w:val="nil"/>
              <w:bottom w:val="nil"/>
              <w:right w:val="single" w:sz="4" w:space="0" w:color="D9D9D9"/>
            </w:tcBorders>
            <w:shd w:val="clear" w:color="000000" w:fill="E2EFDA"/>
            <w:noWrap/>
            <w:vAlign w:val="center"/>
            <w:hideMark/>
          </w:tcPr>
          <w:p w:rsidR="009A1045" w14:paraId="2DFACA05" w14:textId="77777777">
            <w:pPr>
              <w:jc w:val="center"/>
              <w:rPr>
                <w:color w:val="000000"/>
                <w:sz w:val="20"/>
                <w:szCs w:val="20"/>
              </w:rPr>
            </w:pPr>
            <w:r>
              <w:rPr>
                <w:color w:val="000000"/>
                <w:sz w:val="20"/>
                <w:szCs w:val="20"/>
              </w:rPr>
              <w:t>9</w:t>
            </w:r>
          </w:p>
        </w:tc>
        <w:tc>
          <w:tcPr>
            <w:tcW w:w="2340" w:type="dxa"/>
            <w:tcBorders>
              <w:top w:val="nil"/>
              <w:left w:val="nil"/>
              <w:bottom w:val="nil"/>
              <w:right w:val="single" w:sz="4" w:space="0" w:color="D9D9D9"/>
            </w:tcBorders>
            <w:shd w:val="clear" w:color="000000" w:fill="E2EFDA"/>
            <w:noWrap/>
            <w:vAlign w:val="center"/>
            <w:hideMark/>
          </w:tcPr>
          <w:p w:rsidR="009A1045" w14:paraId="0924F9A3" w14:textId="7E0B20E2">
            <w:pPr>
              <w:rPr>
                <w:color w:val="000000"/>
                <w:sz w:val="20"/>
                <w:szCs w:val="20"/>
              </w:rPr>
            </w:pPr>
            <w:r>
              <w:rPr>
                <w:color w:val="000000"/>
                <w:sz w:val="20"/>
                <w:szCs w:val="20"/>
              </w:rPr>
              <w:t>Que</w:t>
            </w:r>
            <w:r w:rsidR="00841667">
              <w:rPr>
                <w:color w:val="000000"/>
                <w:sz w:val="20"/>
                <w:szCs w:val="20"/>
              </w:rPr>
              <w:t>stionnaire</w:t>
            </w:r>
            <w:r>
              <w:rPr>
                <w:color w:val="000000"/>
                <w:sz w:val="20"/>
                <w:szCs w:val="20"/>
              </w:rPr>
              <w:t xml:space="preserve"> #1</w:t>
            </w:r>
          </w:p>
        </w:tc>
        <w:tc>
          <w:tcPr>
            <w:tcW w:w="2430" w:type="dxa"/>
            <w:vMerge/>
            <w:tcBorders>
              <w:top w:val="nil"/>
              <w:left w:val="single" w:sz="4" w:space="0" w:color="D9D9D9"/>
              <w:bottom w:val="nil"/>
              <w:right w:val="single" w:sz="4" w:space="0" w:color="D9D9D9"/>
            </w:tcBorders>
            <w:vAlign w:val="center"/>
            <w:hideMark/>
          </w:tcPr>
          <w:p w:rsidR="009A1045" w14:paraId="6A899131" w14:textId="77777777">
            <w:pPr>
              <w:rPr>
                <w:color w:val="000000"/>
                <w:sz w:val="20"/>
                <w:szCs w:val="20"/>
              </w:rPr>
            </w:pPr>
          </w:p>
        </w:tc>
        <w:tc>
          <w:tcPr>
            <w:tcW w:w="2556" w:type="dxa"/>
            <w:vMerge/>
            <w:tcBorders>
              <w:left w:val="nil"/>
              <w:right w:val="single" w:sz="4" w:space="0" w:color="D9D9D9"/>
            </w:tcBorders>
            <w:shd w:val="clear" w:color="000000" w:fill="E2EFDA"/>
            <w:noWrap/>
            <w:vAlign w:val="bottom"/>
            <w:hideMark/>
          </w:tcPr>
          <w:p w:rsidR="009A1045" w:rsidP="002057DF" w14:paraId="3A9400BC" w14:textId="265B1F89">
            <w:pPr>
              <w:rPr>
                <w:color w:val="000000"/>
                <w:sz w:val="20"/>
                <w:szCs w:val="20"/>
              </w:rPr>
            </w:pPr>
          </w:p>
        </w:tc>
      </w:tr>
      <w:tr w14:paraId="48A264DF" w14:textId="77777777" w:rsidTr="00A17345">
        <w:tblPrEx>
          <w:tblW w:w="9301" w:type="dxa"/>
          <w:tblLook w:val="04A0"/>
        </w:tblPrEx>
        <w:trPr>
          <w:trHeight w:val="420"/>
        </w:trPr>
        <w:tc>
          <w:tcPr>
            <w:tcW w:w="985" w:type="dxa"/>
            <w:vMerge/>
            <w:tcBorders>
              <w:top w:val="nil"/>
              <w:left w:val="single" w:sz="4" w:space="0" w:color="D9D9D9"/>
              <w:bottom w:val="nil"/>
              <w:right w:val="single" w:sz="4" w:space="0" w:color="D9D9D9"/>
            </w:tcBorders>
            <w:vAlign w:val="center"/>
            <w:hideMark/>
          </w:tcPr>
          <w:p w:rsidR="009A1045" w14:paraId="4ECFA3E4" w14:textId="77777777">
            <w:pPr>
              <w:rPr>
                <w:b/>
                <w:bCs/>
                <w:color w:val="000000"/>
                <w:sz w:val="20"/>
                <w:szCs w:val="20"/>
              </w:rPr>
            </w:pPr>
          </w:p>
        </w:tc>
        <w:tc>
          <w:tcPr>
            <w:tcW w:w="990" w:type="dxa"/>
            <w:tcBorders>
              <w:top w:val="nil"/>
              <w:left w:val="nil"/>
              <w:bottom w:val="nil"/>
              <w:right w:val="single" w:sz="4" w:space="0" w:color="D9D9D9"/>
            </w:tcBorders>
            <w:shd w:val="clear" w:color="000000" w:fill="E2EFDA"/>
            <w:noWrap/>
            <w:vAlign w:val="center"/>
            <w:hideMark/>
          </w:tcPr>
          <w:p w:rsidR="009A1045" w14:paraId="0ECF4111" w14:textId="77777777">
            <w:pPr>
              <w:jc w:val="center"/>
              <w:rPr>
                <w:color w:val="000000"/>
                <w:sz w:val="20"/>
                <w:szCs w:val="20"/>
              </w:rPr>
            </w:pPr>
            <w:r>
              <w:rPr>
                <w:color w:val="000000"/>
                <w:sz w:val="20"/>
                <w:szCs w:val="20"/>
              </w:rPr>
              <w:t>10</w:t>
            </w:r>
          </w:p>
        </w:tc>
        <w:tc>
          <w:tcPr>
            <w:tcW w:w="2340" w:type="dxa"/>
            <w:tcBorders>
              <w:top w:val="nil"/>
              <w:left w:val="nil"/>
              <w:bottom w:val="nil"/>
              <w:right w:val="single" w:sz="4" w:space="0" w:color="D9D9D9"/>
            </w:tcBorders>
            <w:shd w:val="clear" w:color="000000" w:fill="E2EFDA"/>
            <w:noWrap/>
            <w:vAlign w:val="center"/>
            <w:hideMark/>
          </w:tcPr>
          <w:p w:rsidR="009A1045" w14:paraId="3FFFD77B" w14:textId="77777777">
            <w:pPr>
              <w:rPr>
                <w:color w:val="000000"/>
                <w:sz w:val="20"/>
                <w:szCs w:val="20"/>
              </w:rPr>
            </w:pPr>
            <w:r>
              <w:rPr>
                <w:color w:val="000000"/>
                <w:sz w:val="20"/>
                <w:szCs w:val="20"/>
              </w:rPr>
              <w:t>Reminder PC</w:t>
            </w:r>
          </w:p>
        </w:tc>
        <w:tc>
          <w:tcPr>
            <w:tcW w:w="2430" w:type="dxa"/>
            <w:vMerge/>
            <w:tcBorders>
              <w:top w:val="nil"/>
              <w:left w:val="single" w:sz="4" w:space="0" w:color="D9D9D9"/>
              <w:bottom w:val="nil"/>
              <w:right w:val="single" w:sz="4" w:space="0" w:color="D9D9D9"/>
            </w:tcBorders>
            <w:vAlign w:val="center"/>
            <w:hideMark/>
          </w:tcPr>
          <w:p w:rsidR="009A1045" w14:paraId="54FA6D43" w14:textId="77777777">
            <w:pPr>
              <w:rPr>
                <w:color w:val="000000"/>
                <w:sz w:val="20"/>
                <w:szCs w:val="20"/>
              </w:rPr>
            </w:pPr>
          </w:p>
        </w:tc>
        <w:tc>
          <w:tcPr>
            <w:tcW w:w="2556" w:type="dxa"/>
            <w:vMerge/>
            <w:tcBorders>
              <w:left w:val="nil"/>
              <w:right w:val="single" w:sz="4" w:space="0" w:color="D9D9D9"/>
            </w:tcBorders>
            <w:shd w:val="clear" w:color="000000" w:fill="E2EFDA"/>
            <w:noWrap/>
            <w:vAlign w:val="bottom"/>
            <w:hideMark/>
          </w:tcPr>
          <w:p w:rsidR="009A1045" w:rsidP="002057DF" w14:paraId="263E8C8B" w14:textId="35DDFF32">
            <w:pPr>
              <w:rPr>
                <w:color w:val="000000"/>
                <w:sz w:val="20"/>
                <w:szCs w:val="20"/>
              </w:rPr>
            </w:pPr>
          </w:p>
        </w:tc>
      </w:tr>
      <w:tr w14:paraId="563F1D6A" w14:textId="77777777" w:rsidTr="00A17345">
        <w:tblPrEx>
          <w:tblW w:w="9301" w:type="dxa"/>
          <w:tblLook w:val="04A0"/>
        </w:tblPrEx>
        <w:trPr>
          <w:trHeight w:val="420"/>
        </w:trPr>
        <w:tc>
          <w:tcPr>
            <w:tcW w:w="985" w:type="dxa"/>
            <w:vMerge/>
            <w:tcBorders>
              <w:top w:val="nil"/>
              <w:left w:val="single" w:sz="4" w:space="0" w:color="D9D9D9"/>
              <w:bottom w:val="nil"/>
              <w:right w:val="single" w:sz="4" w:space="0" w:color="D9D9D9"/>
            </w:tcBorders>
            <w:vAlign w:val="center"/>
            <w:hideMark/>
          </w:tcPr>
          <w:p w:rsidR="009A1045" w14:paraId="19049794" w14:textId="77777777">
            <w:pPr>
              <w:rPr>
                <w:b/>
                <w:bCs/>
                <w:color w:val="000000"/>
                <w:sz w:val="20"/>
                <w:szCs w:val="20"/>
              </w:rPr>
            </w:pPr>
          </w:p>
        </w:tc>
        <w:tc>
          <w:tcPr>
            <w:tcW w:w="990" w:type="dxa"/>
            <w:tcBorders>
              <w:top w:val="nil"/>
              <w:left w:val="nil"/>
              <w:bottom w:val="nil"/>
              <w:right w:val="single" w:sz="4" w:space="0" w:color="D9D9D9"/>
            </w:tcBorders>
            <w:shd w:val="clear" w:color="000000" w:fill="E2EFDA"/>
            <w:noWrap/>
            <w:vAlign w:val="center"/>
            <w:hideMark/>
          </w:tcPr>
          <w:p w:rsidR="009A1045" w14:paraId="6037D710" w14:textId="77777777">
            <w:pPr>
              <w:jc w:val="center"/>
              <w:rPr>
                <w:color w:val="000000"/>
                <w:sz w:val="20"/>
                <w:szCs w:val="20"/>
              </w:rPr>
            </w:pPr>
            <w:r>
              <w:rPr>
                <w:color w:val="000000"/>
                <w:sz w:val="20"/>
                <w:szCs w:val="20"/>
              </w:rPr>
              <w:t>11</w:t>
            </w:r>
          </w:p>
        </w:tc>
        <w:tc>
          <w:tcPr>
            <w:tcW w:w="2340" w:type="dxa"/>
            <w:tcBorders>
              <w:top w:val="nil"/>
              <w:left w:val="nil"/>
              <w:bottom w:val="nil"/>
              <w:right w:val="single" w:sz="4" w:space="0" w:color="D9D9D9"/>
            </w:tcBorders>
            <w:shd w:val="clear" w:color="000000" w:fill="E2EFDA"/>
            <w:noWrap/>
            <w:vAlign w:val="center"/>
            <w:hideMark/>
          </w:tcPr>
          <w:p w:rsidR="009A1045" w14:paraId="594279E5" w14:textId="77777777">
            <w:pPr>
              <w:rPr>
                <w:color w:val="000000"/>
                <w:sz w:val="20"/>
                <w:szCs w:val="20"/>
              </w:rPr>
            </w:pPr>
            <w:r>
              <w:rPr>
                <w:color w:val="000000"/>
                <w:sz w:val="20"/>
                <w:szCs w:val="20"/>
              </w:rPr>
              <w:t> </w:t>
            </w:r>
          </w:p>
        </w:tc>
        <w:tc>
          <w:tcPr>
            <w:tcW w:w="2430" w:type="dxa"/>
            <w:vMerge w:val="restart"/>
            <w:tcBorders>
              <w:top w:val="nil"/>
              <w:left w:val="single" w:sz="4" w:space="0" w:color="D9D9D9"/>
              <w:bottom w:val="nil"/>
              <w:right w:val="single" w:sz="4" w:space="0" w:color="D9D9D9"/>
            </w:tcBorders>
            <w:shd w:val="clear" w:color="000000" w:fill="E2EFDA"/>
            <w:vAlign w:val="center"/>
            <w:hideMark/>
          </w:tcPr>
          <w:p w:rsidR="0067193D" w14:paraId="5C59F66E" w14:textId="77777777">
            <w:pPr>
              <w:rPr>
                <w:color w:val="000000"/>
                <w:sz w:val="20"/>
                <w:szCs w:val="20"/>
                <w:u w:val="single"/>
              </w:rPr>
            </w:pPr>
            <w:r>
              <w:rPr>
                <w:color w:val="000000"/>
                <w:sz w:val="20"/>
                <w:szCs w:val="20"/>
                <w:u w:val="single"/>
              </w:rPr>
              <w:t>Low Priority Treatmen</w:t>
            </w:r>
            <w:r w:rsidRPr="0067193D">
              <w:rPr>
                <w:color w:val="000000"/>
                <w:sz w:val="20"/>
                <w:szCs w:val="20"/>
              </w:rPr>
              <w:t>t</w:t>
            </w:r>
            <w:r w:rsidRPr="0067193D">
              <w:rPr>
                <w:color w:val="000000"/>
                <w:sz w:val="20"/>
                <w:szCs w:val="20"/>
              </w:rPr>
              <w:t>:</w:t>
            </w:r>
          </w:p>
          <w:p w:rsidR="009A1045" w14:paraId="664B3469" w14:textId="263831DB">
            <w:pPr>
              <w:rPr>
                <w:color w:val="000000"/>
                <w:sz w:val="20"/>
                <w:szCs w:val="20"/>
              </w:rPr>
            </w:pPr>
            <w:r>
              <w:rPr>
                <w:color w:val="000000"/>
                <w:sz w:val="20"/>
                <w:szCs w:val="20"/>
              </w:rPr>
              <w:t>R</w:t>
            </w:r>
            <w:r>
              <w:rPr>
                <w:color w:val="000000"/>
                <w:sz w:val="20"/>
                <w:szCs w:val="20"/>
              </w:rPr>
              <w:t>emains Basic search protocol</w:t>
            </w:r>
            <w:r w:rsidR="00D42558">
              <w:rPr>
                <w:color w:val="000000"/>
                <w:sz w:val="20"/>
                <w:szCs w:val="20"/>
              </w:rPr>
              <w:t>.</w:t>
            </w:r>
          </w:p>
        </w:tc>
        <w:tc>
          <w:tcPr>
            <w:tcW w:w="2556" w:type="dxa"/>
            <w:vMerge/>
            <w:tcBorders>
              <w:left w:val="nil"/>
              <w:right w:val="single" w:sz="4" w:space="0" w:color="D9D9D9"/>
            </w:tcBorders>
            <w:shd w:val="clear" w:color="000000" w:fill="E2EFDA"/>
            <w:noWrap/>
            <w:vAlign w:val="bottom"/>
            <w:hideMark/>
          </w:tcPr>
          <w:p w:rsidR="009A1045" w:rsidP="002057DF" w14:paraId="6E268166" w14:textId="5361A093">
            <w:pPr>
              <w:rPr>
                <w:color w:val="000000"/>
                <w:sz w:val="20"/>
                <w:szCs w:val="20"/>
              </w:rPr>
            </w:pPr>
          </w:p>
        </w:tc>
      </w:tr>
      <w:tr w14:paraId="6C33155F" w14:textId="77777777" w:rsidTr="00A17345">
        <w:tblPrEx>
          <w:tblW w:w="9301" w:type="dxa"/>
          <w:tblLook w:val="04A0"/>
        </w:tblPrEx>
        <w:trPr>
          <w:trHeight w:val="420"/>
        </w:trPr>
        <w:tc>
          <w:tcPr>
            <w:tcW w:w="985" w:type="dxa"/>
            <w:vMerge/>
            <w:tcBorders>
              <w:top w:val="nil"/>
              <w:left w:val="single" w:sz="4" w:space="0" w:color="D9D9D9"/>
              <w:bottom w:val="nil"/>
              <w:right w:val="single" w:sz="4" w:space="0" w:color="D9D9D9"/>
            </w:tcBorders>
            <w:vAlign w:val="center"/>
            <w:hideMark/>
          </w:tcPr>
          <w:p w:rsidR="009A1045" w14:paraId="4E5852FC" w14:textId="77777777">
            <w:pPr>
              <w:rPr>
                <w:b/>
                <w:bCs/>
                <w:color w:val="000000"/>
                <w:sz w:val="20"/>
                <w:szCs w:val="20"/>
              </w:rPr>
            </w:pPr>
          </w:p>
        </w:tc>
        <w:tc>
          <w:tcPr>
            <w:tcW w:w="990" w:type="dxa"/>
            <w:tcBorders>
              <w:top w:val="nil"/>
              <w:left w:val="nil"/>
              <w:bottom w:val="nil"/>
              <w:right w:val="single" w:sz="4" w:space="0" w:color="D9D9D9"/>
            </w:tcBorders>
            <w:shd w:val="clear" w:color="000000" w:fill="E2EFDA"/>
            <w:noWrap/>
            <w:vAlign w:val="center"/>
            <w:hideMark/>
          </w:tcPr>
          <w:p w:rsidR="009A1045" w14:paraId="2D746178" w14:textId="77777777">
            <w:pPr>
              <w:jc w:val="center"/>
              <w:rPr>
                <w:color w:val="000000"/>
                <w:sz w:val="20"/>
                <w:szCs w:val="20"/>
              </w:rPr>
            </w:pPr>
            <w:r>
              <w:rPr>
                <w:color w:val="000000"/>
                <w:sz w:val="20"/>
                <w:szCs w:val="20"/>
              </w:rPr>
              <w:t>12</w:t>
            </w:r>
          </w:p>
        </w:tc>
        <w:tc>
          <w:tcPr>
            <w:tcW w:w="2340" w:type="dxa"/>
            <w:tcBorders>
              <w:top w:val="nil"/>
              <w:left w:val="nil"/>
              <w:bottom w:val="nil"/>
              <w:right w:val="single" w:sz="4" w:space="0" w:color="D9D9D9"/>
            </w:tcBorders>
            <w:shd w:val="clear" w:color="000000" w:fill="E2EFDA"/>
            <w:noWrap/>
            <w:vAlign w:val="center"/>
            <w:hideMark/>
          </w:tcPr>
          <w:p w:rsidR="009A1045" w14:paraId="64CBFCDA" w14:textId="77777777">
            <w:pPr>
              <w:rPr>
                <w:color w:val="000000"/>
                <w:sz w:val="20"/>
                <w:szCs w:val="20"/>
              </w:rPr>
            </w:pPr>
            <w:r>
              <w:rPr>
                <w:color w:val="000000"/>
                <w:sz w:val="20"/>
                <w:szCs w:val="20"/>
              </w:rPr>
              <w:t> </w:t>
            </w:r>
          </w:p>
        </w:tc>
        <w:tc>
          <w:tcPr>
            <w:tcW w:w="2430" w:type="dxa"/>
            <w:vMerge/>
            <w:tcBorders>
              <w:top w:val="nil"/>
              <w:left w:val="single" w:sz="4" w:space="0" w:color="D9D9D9"/>
              <w:bottom w:val="nil"/>
              <w:right w:val="single" w:sz="4" w:space="0" w:color="D9D9D9"/>
            </w:tcBorders>
            <w:vAlign w:val="center"/>
            <w:hideMark/>
          </w:tcPr>
          <w:p w:rsidR="009A1045" w14:paraId="00B0233F" w14:textId="77777777">
            <w:pPr>
              <w:rPr>
                <w:color w:val="000000"/>
                <w:sz w:val="20"/>
                <w:szCs w:val="20"/>
              </w:rPr>
            </w:pPr>
          </w:p>
        </w:tc>
        <w:tc>
          <w:tcPr>
            <w:tcW w:w="2556" w:type="dxa"/>
            <w:vMerge/>
            <w:tcBorders>
              <w:left w:val="nil"/>
              <w:bottom w:val="nil"/>
              <w:right w:val="single" w:sz="4" w:space="0" w:color="D9D9D9"/>
            </w:tcBorders>
            <w:shd w:val="clear" w:color="000000" w:fill="E2EFDA"/>
            <w:noWrap/>
            <w:vAlign w:val="bottom"/>
            <w:hideMark/>
          </w:tcPr>
          <w:p w:rsidR="009A1045" w14:paraId="0044D885" w14:textId="42BED782">
            <w:pPr>
              <w:rPr>
                <w:color w:val="000000"/>
                <w:sz w:val="20"/>
                <w:szCs w:val="20"/>
              </w:rPr>
            </w:pPr>
          </w:p>
        </w:tc>
      </w:tr>
      <w:tr w14:paraId="075FBFBA" w14:textId="77777777" w:rsidTr="00A17345">
        <w:tblPrEx>
          <w:tblW w:w="9301" w:type="dxa"/>
          <w:tblLook w:val="04A0"/>
        </w:tblPrEx>
        <w:trPr>
          <w:trHeight w:val="420"/>
        </w:trPr>
        <w:tc>
          <w:tcPr>
            <w:tcW w:w="985" w:type="dxa"/>
            <w:vMerge w:val="restart"/>
            <w:tcBorders>
              <w:top w:val="nil"/>
              <w:left w:val="single" w:sz="4" w:space="0" w:color="D9D9D9"/>
              <w:bottom w:val="nil"/>
              <w:right w:val="single" w:sz="4" w:space="0" w:color="D9D9D9"/>
            </w:tcBorders>
            <w:shd w:val="clear" w:color="000000" w:fill="F8CBAD"/>
            <w:noWrap/>
            <w:vAlign w:val="center"/>
            <w:hideMark/>
          </w:tcPr>
          <w:p w:rsidR="001A08CF" w:rsidP="00311F7F" w14:paraId="7EC7C58B" w14:textId="77777777">
            <w:pPr>
              <w:keepNext/>
              <w:jc w:val="center"/>
              <w:rPr>
                <w:b/>
                <w:bCs/>
                <w:color w:val="000000"/>
                <w:sz w:val="20"/>
                <w:szCs w:val="20"/>
              </w:rPr>
            </w:pPr>
            <w:r>
              <w:rPr>
                <w:b/>
                <w:bCs/>
                <w:color w:val="000000"/>
                <w:sz w:val="20"/>
                <w:szCs w:val="20"/>
              </w:rPr>
              <w:t>Late-Stage</w:t>
            </w:r>
          </w:p>
        </w:tc>
        <w:tc>
          <w:tcPr>
            <w:tcW w:w="990" w:type="dxa"/>
            <w:tcBorders>
              <w:top w:val="nil"/>
              <w:left w:val="nil"/>
              <w:bottom w:val="nil"/>
              <w:right w:val="single" w:sz="4" w:space="0" w:color="D9D9D9"/>
            </w:tcBorders>
            <w:shd w:val="clear" w:color="000000" w:fill="FCE4D6"/>
            <w:noWrap/>
            <w:vAlign w:val="center"/>
            <w:hideMark/>
          </w:tcPr>
          <w:p w:rsidR="001A08CF" w:rsidP="00311F7F" w14:paraId="50F26CBE" w14:textId="77777777">
            <w:pPr>
              <w:keepNext/>
              <w:jc w:val="center"/>
              <w:rPr>
                <w:color w:val="000000"/>
                <w:sz w:val="20"/>
                <w:szCs w:val="20"/>
              </w:rPr>
            </w:pPr>
            <w:r>
              <w:rPr>
                <w:color w:val="000000"/>
                <w:sz w:val="20"/>
                <w:szCs w:val="20"/>
              </w:rPr>
              <w:t>13</w:t>
            </w:r>
          </w:p>
        </w:tc>
        <w:tc>
          <w:tcPr>
            <w:tcW w:w="2340" w:type="dxa"/>
            <w:tcBorders>
              <w:top w:val="nil"/>
              <w:left w:val="nil"/>
              <w:bottom w:val="nil"/>
              <w:right w:val="single" w:sz="4" w:space="0" w:color="D9D9D9"/>
            </w:tcBorders>
            <w:shd w:val="clear" w:color="000000" w:fill="FCE4D6"/>
            <w:noWrap/>
            <w:vAlign w:val="center"/>
            <w:hideMark/>
          </w:tcPr>
          <w:p w:rsidR="001A08CF" w:rsidP="00311F7F" w14:paraId="7F42899D" w14:textId="77777777">
            <w:pPr>
              <w:keepNext/>
              <w:rPr>
                <w:color w:val="000000"/>
                <w:sz w:val="20"/>
                <w:szCs w:val="20"/>
              </w:rPr>
            </w:pPr>
            <w:r>
              <w:rPr>
                <w:color w:val="000000"/>
                <w:sz w:val="20"/>
                <w:szCs w:val="20"/>
              </w:rPr>
              <w:t>Infocard</w:t>
            </w:r>
            <w:r>
              <w:rPr>
                <w:color w:val="000000"/>
                <w:sz w:val="20"/>
                <w:szCs w:val="20"/>
              </w:rPr>
              <w:t xml:space="preserve"> mailing</w:t>
            </w:r>
          </w:p>
        </w:tc>
        <w:tc>
          <w:tcPr>
            <w:tcW w:w="2430" w:type="dxa"/>
            <w:vMerge w:val="restart"/>
            <w:tcBorders>
              <w:top w:val="nil"/>
              <w:left w:val="single" w:sz="4" w:space="0" w:color="D9D9D9"/>
              <w:bottom w:val="nil"/>
              <w:right w:val="single" w:sz="4" w:space="0" w:color="D9D9D9"/>
            </w:tcBorders>
            <w:shd w:val="clear" w:color="000000" w:fill="FCE4D6"/>
            <w:vAlign w:val="center"/>
            <w:hideMark/>
          </w:tcPr>
          <w:p w:rsidR="001A08CF" w:rsidP="00311F7F" w14:paraId="36A64F03" w14:textId="66020B53">
            <w:pPr>
              <w:keepNext/>
              <w:jc w:val="center"/>
              <w:rPr>
                <w:color w:val="000000"/>
                <w:sz w:val="20"/>
                <w:szCs w:val="20"/>
              </w:rPr>
            </w:pPr>
            <w:r>
              <w:rPr>
                <w:color w:val="000000"/>
                <w:sz w:val="20"/>
                <w:szCs w:val="20"/>
              </w:rPr>
              <w:t xml:space="preserve">Same </w:t>
            </w:r>
            <w:r>
              <w:rPr>
                <w:color w:val="000000"/>
                <w:sz w:val="20"/>
                <w:szCs w:val="20"/>
                <w:u w:val="single"/>
              </w:rPr>
              <w:t>High</w:t>
            </w:r>
            <w:r>
              <w:rPr>
                <w:color w:val="000000"/>
                <w:sz w:val="20"/>
                <w:szCs w:val="20"/>
              </w:rPr>
              <w:t xml:space="preserve"> and </w:t>
            </w:r>
            <w:r>
              <w:rPr>
                <w:color w:val="000000"/>
                <w:sz w:val="20"/>
                <w:szCs w:val="20"/>
                <w:u w:val="single"/>
              </w:rPr>
              <w:t>Low</w:t>
            </w:r>
            <w:r>
              <w:rPr>
                <w:color w:val="000000"/>
                <w:sz w:val="20"/>
                <w:szCs w:val="20"/>
              </w:rPr>
              <w:t xml:space="preserve"> treatment as Interim Phase, but cases may change priority </w:t>
            </w:r>
            <w:r w:rsidR="00596A78">
              <w:rPr>
                <w:color w:val="000000"/>
                <w:sz w:val="20"/>
                <w:szCs w:val="20"/>
              </w:rPr>
              <w:t xml:space="preserve">rank </w:t>
            </w:r>
            <w:r>
              <w:rPr>
                <w:color w:val="000000"/>
                <w:sz w:val="20"/>
                <w:szCs w:val="20"/>
              </w:rPr>
              <w:t>order.</w:t>
            </w:r>
          </w:p>
        </w:tc>
        <w:tc>
          <w:tcPr>
            <w:tcW w:w="2556" w:type="dxa"/>
            <w:tcBorders>
              <w:top w:val="nil"/>
              <w:left w:val="nil"/>
              <w:bottom w:val="nil"/>
              <w:right w:val="single" w:sz="4" w:space="0" w:color="D9D9D9"/>
            </w:tcBorders>
            <w:shd w:val="clear" w:color="000000" w:fill="FCE4D6"/>
            <w:noWrap/>
            <w:vAlign w:val="center"/>
            <w:hideMark/>
          </w:tcPr>
          <w:p w:rsidR="001A08CF" w:rsidP="00311F7F" w14:paraId="2531ED0D" w14:textId="11758991">
            <w:pPr>
              <w:keepNext/>
              <w:rPr>
                <w:color w:val="000000"/>
                <w:sz w:val="20"/>
                <w:szCs w:val="20"/>
              </w:rPr>
            </w:pPr>
            <w:r>
              <w:rPr>
                <w:color w:val="000000"/>
                <w:sz w:val="20"/>
                <w:szCs w:val="20"/>
              </w:rPr>
              <w:t xml:space="preserve">CATI calls made in priority </w:t>
            </w:r>
            <w:r w:rsidR="00596A78">
              <w:rPr>
                <w:color w:val="000000"/>
                <w:sz w:val="20"/>
                <w:szCs w:val="20"/>
              </w:rPr>
              <w:t xml:space="preserve">rank </w:t>
            </w:r>
            <w:r>
              <w:rPr>
                <w:color w:val="000000"/>
                <w:sz w:val="20"/>
                <w:szCs w:val="20"/>
              </w:rPr>
              <w:t>order.</w:t>
            </w:r>
          </w:p>
        </w:tc>
      </w:tr>
      <w:tr w14:paraId="74DCCF32" w14:textId="77777777" w:rsidTr="00A17345">
        <w:tblPrEx>
          <w:tblW w:w="9301" w:type="dxa"/>
          <w:tblLook w:val="04A0"/>
        </w:tblPrEx>
        <w:trPr>
          <w:trHeight w:val="420"/>
        </w:trPr>
        <w:tc>
          <w:tcPr>
            <w:tcW w:w="985" w:type="dxa"/>
            <w:vMerge/>
            <w:tcBorders>
              <w:top w:val="nil"/>
              <w:left w:val="single" w:sz="4" w:space="0" w:color="D9D9D9"/>
              <w:bottom w:val="nil"/>
              <w:right w:val="single" w:sz="4" w:space="0" w:color="D9D9D9"/>
            </w:tcBorders>
            <w:vAlign w:val="center"/>
            <w:hideMark/>
          </w:tcPr>
          <w:p w:rsidR="001A08CF" w:rsidP="00311F7F" w14:paraId="7F4AF84A" w14:textId="77777777">
            <w:pPr>
              <w:keepNext/>
              <w:rPr>
                <w:b/>
                <w:bCs/>
                <w:color w:val="000000"/>
                <w:sz w:val="20"/>
                <w:szCs w:val="20"/>
              </w:rPr>
            </w:pPr>
          </w:p>
        </w:tc>
        <w:tc>
          <w:tcPr>
            <w:tcW w:w="990" w:type="dxa"/>
            <w:tcBorders>
              <w:top w:val="nil"/>
              <w:left w:val="nil"/>
              <w:bottom w:val="nil"/>
              <w:right w:val="single" w:sz="4" w:space="0" w:color="D9D9D9"/>
            </w:tcBorders>
            <w:shd w:val="clear" w:color="000000" w:fill="FCE4D6"/>
            <w:noWrap/>
            <w:vAlign w:val="center"/>
            <w:hideMark/>
          </w:tcPr>
          <w:p w:rsidR="001A08CF" w:rsidP="00311F7F" w14:paraId="7A243826" w14:textId="77777777">
            <w:pPr>
              <w:keepNext/>
              <w:jc w:val="center"/>
              <w:rPr>
                <w:color w:val="000000"/>
                <w:sz w:val="20"/>
                <w:szCs w:val="20"/>
              </w:rPr>
            </w:pPr>
            <w:r>
              <w:rPr>
                <w:color w:val="000000"/>
                <w:sz w:val="20"/>
                <w:szCs w:val="20"/>
              </w:rPr>
              <w:t>14</w:t>
            </w:r>
          </w:p>
        </w:tc>
        <w:tc>
          <w:tcPr>
            <w:tcW w:w="2340" w:type="dxa"/>
            <w:tcBorders>
              <w:top w:val="nil"/>
              <w:left w:val="nil"/>
              <w:bottom w:val="nil"/>
              <w:right w:val="single" w:sz="4" w:space="0" w:color="D9D9D9"/>
            </w:tcBorders>
            <w:shd w:val="clear" w:color="000000" w:fill="FCE4D6"/>
            <w:noWrap/>
            <w:vAlign w:val="center"/>
            <w:hideMark/>
          </w:tcPr>
          <w:p w:rsidR="001A08CF" w:rsidP="00311F7F" w14:paraId="5A8B0104" w14:textId="77777777">
            <w:pPr>
              <w:keepNext/>
              <w:rPr>
                <w:color w:val="000000"/>
                <w:sz w:val="20"/>
                <w:szCs w:val="20"/>
              </w:rPr>
            </w:pPr>
            <w:r>
              <w:rPr>
                <w:color w:val="000000"/>
                <w:sz w:val="20"/>
                <w:szCs w:val="20"/>
              </w:rPr>
              <w:t>Telephone prompting</w:t>
            </w:r>
          </w:p>
        </w:tc>
        <w:tc>
          <w:tcPr>
            <w:tcW w:w="2430" w:type="dxa"/>
            <w:vMerge/>
            <w:tcBorders>
              <w:top w:val="nil"/>
              <w:left w:val="single" w:sz="4" w:space="0" w:color="D9D9D9"/>
              <w:bottom w:val="nil"/>
              <w:right w:val="single" w:sz="4" w:space="0" w:color="D9D9D9"/>
            </w:tcBorders>
            <w:vAlign w:val="center"/>
            <w:hideMark/>
          </w:tcPr>
          <w:p w:rsidR="001A08CF" w:rsidP="00311F7F" w14:paraId="21B2CFFF" w14:textId="77777777">
            <w:pPr>
              <w:keepNext/>
              <w:rPr>
                <w:color w:val="000000"/>
                <w:sz w:val="20"/>
                <w:szCs w:val="20"/>
              </w:rPr>
            </w:pPr>
          </w:p>
        </w:tc>
        <w:tc>
          <w:tcPr>
            <w:tcW w:w="2556" w:type="dxa"/>
            <w:vMerge w:val="restart"/>
            <w:tcBorders>
              <w:top w:val="nil"/>
              <w:left w:val="single" w:sz="4" w:space="0" w:color="D9D9D9"/>
              <w:bottom w:val="nil"/>
              <w:right w:val="single" w:sz="4" w:space="0" w:color="D9D9D9"/>
            </w:tcBorders>
            <w:shd w:val="clear" w:color="000000" w:fill="FCE4D6"/>
            <w:vAlign w:val="center"/>
            <w:hideMark/>
          </w:tcPr>
          <w:p w:rsidR="001A08CF" w:rsidP="00311F7F" w14:paraId="63E21F6F" w14:textId="4A33312B">
            <w:pPr>
              <w:keepNext/>
              <w:rPr>
                <w:color w:val="000000"/>
                <w:sz w:val="20"/>
                <w:szCs w:val="20"/>
              </w:rPr>
            </w:pPr>
            <w:r>
              <w:rPr>
                <w:color w:val="000000"/>
                <w:sz w:val="20"/>
                <w:szCs w:val="20"/>
                <w:u w:val="single"/>
              </w:rPr>
              <w:t>High Priority Treatment</w:t>
            </w:r>
            <w:r>
              <w:rPr>
                <w:color w:val="000000"/>
                <w:sz w:val="20"/>
                <w:szCs w:val="20"/>
              </w:rPr>
              <w:t>:</w:t>
            </w:r>
            <w:r>
              <w:rPr>
                <w:color w:val="000000"/>
                <w:sz w:val="20"/>
                <w:szCs w:val="20"/>
              </w:rPr>
              <w:br/>
              <w:t xml:space="preserve">• $30 incentive (in U.S.) with </w:t>
            </w:r>
            <w:r>
              <w:rPr>
                <w:color w:val="000000"/>
                <w:sz w:val="20"/>
                <w:szCs w:val="20"/>
              </w:rPr>
              <w:t>infocard</w:t>
            </w:r>
            <w:r>
              <w:rPr>
                <w:color w:val="000000"/>
                <w:sz w:val="20"/>
                <w:szCs w:val="20"/>
              </w:rPr>
              <w:br/>
              <w:t xml:space="preserve">• Infographic </w:t>
            </w:r>
            <w:r w:rsidR="00F84D6C">
              <w:rPr>
                <w:color w:val="000000"/>
                <w:sz w:val="20"/>
                <w:szCs w:val="20"/>
              </w:rPr>
              <w:t xml:space="preserve">4-color </w:t>
            </w:r>
            <w:r>
              <w:rPr>
                <w:color w:val="000000"/>
                <w:sz w:val="20"/>
                <w:szCs w:val="20"/>
              </w:rPr>
              <w:t xml:space="preserve">letter with </w:t>
            </w:r>
            <w:r>
              <w:rPr>
                <w:color w:val="000000"/>
                <w:sz w:val="20"/>
                <w:szCs w:val="20"/>
              </w:rPr>
              <w:t>Quex</w:t>
            </w:r>
            <w:r>
              <w:rPr>
                <w:color w:val="000000"/>
                <w:sz w:val="20"/>
                <w:szCs w:val="20"/>
              </w:rPr>
              <w:t xml:space="preserve"> #2 mailing</w:t>
            </w:r>
            <w:r>
              <w:rPr>
                <w:color w:val="000000"/>
                <w:sz w:val="20"/>
                <w:szCs w:val="20"/>
              </w:rPr>
              <w:br/>
            </w:r>
            <w:r>
              <w:rPr>
                <w:color w:val="000000"/>
                <w:sz w:val="20"/>
                <w:szCs w:val="20"/>
              </w:rPr>
              <w:br/>
            </w:r>
            <w:r>
              <w:rPr>
                <w:color w:val="000000"/>
                <w:sz w:val="20"/>
                <w:szCs w:val="20"/>
                <w:u w:val="single"/>
              </w:rPr>
              <w:t>Low Priority Treatment</w:t>
            </w:r>
            <w:r>
              <w:rPr>
                <w:color w:val="000000"/>
                <w:sz w:val="20"/>
                <w:szCs w:val="20"/>
              </w:rPr>
              <w:t>:</w:t>
            </w:r>
            <w:r>
              <w:rPr>
                <w:color w:val="000000"/>
                <w:sz w:val="20"/>
                <w:szCs w:val="20"/>
              </w:rPr>
              <w:br/>
              <w:t xml:space="preserve">• No incentive with </w:t>
            </w:r>
            <w:r>
              <w:rPr>
                <w:color w:val="000000"/>
                <w:sz w:val="20"/>
                <w:szCs w:val="20"/>
              </w:rPr>
              <w:t>infocard</w:t>
            </w:r>
            <w:r>
              <w:rPr>
                <w:color w:val="000000"/>
                <w:sz w:val="20"/>
                <w:szCs w:val="20"/>
              </w:rPr>
              <w:br/>
              <w:t xml:space="preserve">• Plain letter with </w:t>
            </w:r>
            <w:r>
              <w:rPr>
                <w:color w:val="000000"/>
                <w:sz w:val="20"/>
                <w:szCs w:val="20"/>
              </w:rPr>
              <w:t>Quex</w:t>
            </w:r>
            <w:r>
              <w:rPr>
                <w:color w:val="000000"/>
                <w:sz w:val="20"/>
                <w:szCs w:val="20"/>
              </w:rPr>
              <w:t xml:space="preserve"> #2 mailing (in U.S.)</w:t>
            </w:r>
            <w:r>
              <w:rPr>
                <w:color w:val="000000"/>
                <w:sz w:val="20"/>
                <w:szCs w:val="20"/>
              </w:rPr>
              <w:br/>
              <w:t xml:space="preserve">• Infographic </w:t>
            </w:r>
            <w:r w:rsidR="006C3C53">
              <w:rPr>
                <w:color w:val="000000"/>
                <w:sz w:val="20"/>
                <w:szCs w:val="20"/>
              </w:rPr>
              <w:t xml:space="preserve">4-color </w:t>
            </w:r>
            <w:r>
              <w:rPr>
                <w:color w:val="000000"/>
                <w:sz w:val="20"/>
                <w:szCs w:val="20"/>
              </w:rPr>
              <w:t xml:space="preserve">letter only w/o </w:t>
            </w:r>
            <w:r>
              <w:rPr>
                <w:color w:val="000000"/>
                <w:sz w:val="20"/>
                <w:szCs w:val="20"/>
              </w:rPr>
              <w:t>Quex</w:t>
            </w:r>
            <w:r>
              <w:rPr>
                <w:color w:val="000000"/>
                <w:sz w:val="20"/>
                <w:szCs w:val="20"/>
              </w:rPr>
              <w:t xml:space="preserve"> (outside U.S.)</w:t>
            </w:r>
          </w:p>
        </w:tc>
      </w:tr>
      <w:tr w14:paraId="1CDE7467" w14:textId="77777777" w:rsidTr="00A17345">
        <w:tblPrEx>
          <w:tblW w:w="9301" w:type="dxa"/>
          <w:tblLook w:val="04A0"/>
        </w:tblPrEx>
        <w:trPr>
          <w:trHeight w:val="420"/>
        </w:trPr>
        <w:tc>
          <w:tcPr>
            <w:tcW w:w="985" w:type="dxa"/>
            <w:vMerge/>
            <w:tcBorders>
              <w:top w:val="nil"/>
              <w:left w:val="single" w:sz="4" w:space="0" w:color="D9D9D9"/>
              <w:bottom w:val="nil"/>
              <w:right w:val="single" w:sz="4" w:space="0" w:color="D9D9D9"/>
            </w:tcBorders>
            <w:vAlign w:val="center"/>
            <w:hideMark/>
          </w:tcPr>
          <w:p w:rsidR="001A08CF" w14:paraId="5605A441" w14:textId="77777777">
            <w:pPr>
              <w:rPr>
                <w:b/>
                <w:bCs/>
                <w:color w:val="000000"/>
                <w:sz w:val="20"/>
                <w:szCs w:val="20"/>
              </w:rPr>
            </w:pPr>
          </w:p>
        </w:tc>
        <w:tc>
          <w:tcPr>
            <w:tcW w:w="990" w:type="dxa"/>
            <w:tcBorders>
              <w:top w:val="nil"/>
              <w:left w:val="nil"/>
              <w:bottom w:val="nil"/>
              <w:right w:val="single" w:sz="4" w:space="0" w:color="D9D9D9"/>
            </w:tcBorders>
            <w:shd w:val="clear" w:color="000000" w:fill="FCE4D6"/>
            <w:noWrap/>
            <w:vAlign w:val="center"/>
            <w:hideMark/>
          </w:tcPr>
          <w:p w:rsidR="001A08CF" w14:paraId="317B2B74" w14:textId="77777777">
            <w:pPr>
              <w:jc w:val="center"/>
              <w:rPr>
                <w:color w:val="000000"/>
                <w:sz w:val="20"/>
                <w:szCs w:val="20"/>
              </w:rPr>
            </w:pPr>
            <w:r>
              <w:rPr>
                <w:color w:val="000000"/>
                <w:sz w:val="20"/>
                <w:szCs w:val="20"/>
              </w:rPr>
              <w:t>15</w:t>
            </w:r>
          </w:p>
        </w:tc>
        <w:tc>
          <w:tcPr>
            <w:tcW w:w="2340" w:type="dxa"/>
            <w:tcBorders>
              <w:top w:val="nil"/>
              <w:left w:val="nil"/>
              <w:bottom w:val="nil"/>
              <w:right w:val="single" w:sz="4" w:space="0" w:color="D9D9D9"/>
            </w:tcBorders>
            <w:shd w:val="clear" w:color="000000" w:fill="FCE4D6"/>
            <w:noWrap/>
            <w:vAlign w:val="center"/>
            <w:hideMark/>
          </w:tcPr>
          <w:p w:rsidR="001A08CF" w14:paraId="5D3ED2D0" w14:textId="77777777">
            <w:pPr>
              <w:rPr>
                <w:color w:val="000000"/>
                <w:sz w:val="20"/>
                <w:szCs w:val="20"/>
              </w:rPr>
            </w:pPr>
            <w:r>
              <w:rPr>
                <w:color w:val="000000"/>
                <w:sz w:val="20"/>
                <w:szCs w:val="20"/>
              </w:rPr>
              <w:t>Reminder email</w:t>
            </w:r>
          </w:p>
        </w:tc>
        <w:tc>
          <w:tcPr>
            <w:tcW w:w="2430" w:type="dxa"/>
            <w:vMerge/>
            <w:tcBorders>
              <w:top w:val="nil"/>
              <w:left w:val="single" w:sz="4" w:space="0" w:color="D9D9D9"/>
              <w:bottom w:val="nil"/>
              <w:right w:val="single" w:sz="4" w:space="0" w:color="D9D9D9"/>
            </w:tcBorders>
            <w:vAlign w:val="center"/>
            <w:hideMark/>
          </w:tcPr>
          <w:p w:rsidR="001A08CF" w14:paraId="4E2A4EF4" w14:textId="77777777">
            <w:pPr>
              <w:rPr>
                <w:color w:val="000000"/>
                <w:sz w:val="20"/>
                <w:szCs w:val="20"/>
              </w:rPr>
            </w:pPr>
          </w:p>
        </w:tc>
        <w:tc>
          <w:tcPr>
            <w:tcW w:w="2556" w:type="dxa"/>
            <w:vMerge/>
            <w:tcBorders>
              <w:top w:val="nil"/>
              <w:left w:val="single" w:sz="4" w:space="0" w:color="D9D9D9"/>
              <w:bottom w:val="nil"/>
              <w:right w:val="single" w:sz="4" w:space="0" w:color="D9D9D9"/>
            </w:tcBorders>
            <w:vAlign w:val="center"/>
            <w:hideMark/>
          </w:tcPr>
          <w:p w:rsidR="001A08CF" w14:paraId="4823B4DE" w14:textId="77777777">
            <w:pPr>
              <w:rPr>
                <w:color w:val="000000"/>
                <w:sz w:val="20"/>
                <w:szCs w:val="20"/>
              </w:rPr>
            </w:pPr>
          </w:p>
        </w:tc>
      </w:tr>
      <w:tr w14:paraId="4B47396A" w14:textId="77777777" w:rsidTr="00A17345">
        <w:tblPrEx>
          <w:tblW w:w="9301" w:type="dxa"/>
          <w:tblLook w:val="04A0"/>
        </w:tblPrEx>
        <w:trPr>
          <w:trHeight w:val="420"/>
        </w:trPr>
        <w:tc>
          <w:tcPr>
            <w:tcW w:w="985" w:type="dxa"/>
            <w:vMerge/>
            <w:tcBorders>
              <w:top w:val="nil"/>
              <w:left w:val="single" w:sz="4" w:space="0" w:color="D9D9D9"/>
              <w:bottom w:val="nil"/>
              <w:right w:val="single" w:sz="4" w:space="0" w:color="D9D9D9"/>
            </w:tcBorders>
            <w:vAlign w:val="center"/>
            <w:hideMark/>
          </w:tcPr>
          <w:p w:rsidR="001A08CF" w14:paraId="1D245F66" w14:textId="77777777">
            <w:pPr>
              <w:rPr>
                <w:b/>
                <w:bCs/>
                <w:color w:val="000000"/>
                <w:sz w:val="20"/>
                <w:szCs w:val="20"/>
              </w:rPr>
            </w:pPr>
          </w:p>
        </w:tc>
        <w:tc>
          <w:tcPr>
            <w:tcW w:w="990" w:type="dxa"/>
            <w:tcBorders>
              <w:top w:val="nil"/>
              <w:left w:val="nil"/>
              <w:bottom w:val="nil"/>
              <w:right w:val="single" w:sz="4" w:space="0" w:color="D9D9D9"/>
            </w:tcBorders>
            <w:shd w:val="clear" w:color="000000" w:fill="FCE4D6"/>
            <w:noWrap/>
            <w:vAlign w:val="center"/>
            <w:hideMark/>
          </w:tcPr>
          <w:p w:rsidR="001A08CF" w14:paraId="176C8694" w14:textId="77777777">
            <w:pPr>
              <w:jc w:val="center"/>
              <w:rPr>
                <w:color w:val="000000"/>
                <w:sz w:val="20"/>
                <w:szCs w:val="20"/>
              </w:rPr>
            </w:pPr>
            <w:r>
              <w:rPr>
                <w:color w:val="000000"/>
                <w:sz w:val="20"/>
                <w:szCs w:val="20"/>
              </w:rPr>
              <w:t>16</w:t>
            </w:r>
          </w:p>
        </w:tc>
        <w:tc>
          <w:tcPr>
            <w:tcW w:w="2340" w:type="dxa"/>
            <w:tcBorders>
              <w:top w:val="nil"/>
              <w:left w:val="nil"/>
              <w:bottom w:val="nil"/>
              <w:right w:val="single" w:sz="4" w:space="0" w:color="D9D9D9"/>
            </w:tcBorders>
            <w:shd w:val="clear" w:color="000000" w:fill="FCE4D6"/>
            <w:noWrap/>
            <w:vAlign w:val="center"/>
            <w:hideMark/>
          </w:tcPr>
          <w:p w:rsidR="001A08CF" w14:paraId="397389EC" w14:textId="0BF97325">
            <w:pPr>
              <w:rPr>
                <w:color w:val="000000"/>
                <w:sz w:val="20"/>
                <w:szCs w:val="20"/>
              </w:rPr>
            </w:pPr>
            <w:r>
              <w:rPr>
                <w:color w:val="000000"/>
                <w:sz w:val="20"/>
                <w:szCs w:val="20"/>
              </w:rPr>
              <w:t>Questionnaire</w:t>
            </w:r>
            <w:r>
              <w:rPr>
                <w:color w:val="000000"/>
                <w:sz w:val="20"/>
                <w:szCs w:val="20"/>
              </w:rPr>
              <w:t xml:space="preserve"> #2</w:t>
            </w:r>
          </w:p>
        </w:tc>
        <w:tc>
          <w:tcPr>
            <w:tcW w:w="2430" w:type="dxa"/>
            <w:vMerge/>
            <w:tcBorders>
              <w:top w:val="nil"/>
              <w:left w:val="single" w:sz="4" w:space="0" w:color="D9D9D9"/>
              <w:bottom w:val="nil"/>
              <w:right w:val="single" w:sz="4" w:space="0" w:color="D9D9D9"/>
            </w:tcBorders>
            <w:vAlign w:val="center"/>
            <w:hideMark/>
          </w:tcPr>
          <w:p w:rsidR="001A08CF" w14:paraId="207EF861" w14:textId="77777777">
            <w:pPr>
              <w:rPr>
                <w:color w:val="000000"/>
                <w:sz w:val="20"/>
                <w:szCs w:val="20"/>
              </w:rPr>
            </w:pPr>
          </w:p>
        </w:tc>
        <w:tc>
          <w:tcPr>
            <w:tcW w:w="2556" w:type="dxa"/>
            <w:vMerge/>
            <w:tcBorders>
              <w:top w:val="nil"/>
              <w:left w:val="single" w:sz="4" w:space="0" w:color="D9D9D9"/>
              <w:bottom w:val="nil"/>
              <w:right w:val="single" w:sz="4" w:space="0" w:color="D9D9D9"/>
            </w:tcBorders>
            <w:vAlign w:val="center"/>
            <w:hideMark/>
          </w:tcPr>
          <w:p w:rsidR="001A08CF" w14:paraId="420B6C51" w14:textId="77777777">
            <w:pPr>
              <w:rPr>
                <w:color w:val="000000"/>
                <w:sz w:val="20"/>
                <w:szCs w:val="20"/>
              </w:rPr>
            </w:pPr>
          </w:p>
        </w:tc>
      </w:tr>
      <w:tr w14:paraId="27593421" w14:textId="77777777" w:rsidTr="00A17345">
        <w:tblPrEx>
          <w:tblW w:w="9301" w:type="dxa"/>
          <w:tblLook w:val="04A0"/>
        </w:tblPrEx>
        <w:trPr>
          <w:trHeight w:val="420"/>
        </w:trPr>
        <w:tc>
          <w:tcPr>
            <w:tcW w:w="985" w:type="dxa"/>
            <w:vMerge/>
            <w:tcBorders>
              <w:top w:val="nil"/>
              <w:left w:val="single" w:sz="4" w:space="0" w:color="D9D9D9"/>
              <w:bottom w:val="nil"/>
              <w:right w:val="single" w:sz="4" w:space="0" w:color="D9D9D9"/>
            </w:tcBorders>
            <w:vAlign w:val="center"/>
            <w:hideMark/>
          </w:tcPr>
          <w:p w:rsidR="001A08CF" w14:paraId="0672771F" w14:textId="77777777">
            <w:pPr>
              <w:rPr>
                <w:b/>
                <w:bCs/>
                <w:color w:val="000000"/>
                <w:sz w:val="20"/>
                <w:szCs w:val="20"/>
              </w:rPr>
            </w:pPr>
          </w:p>
        </w:tc>
        <w:tc>
          <w:tcPr>
            <w:tcW w:w="990" w:type="dxa"/>
            <w:tcBorders>
              <w:top w:val="nil"/>
              <w:left w:val="nil"/>
              <w:bottom w:val="nil"/>
              <w:right w:val="single" w:sz="4" w:space="0" w:color="D9D9D9"/>
            </w:tcBorders>
            <w:shd w:val="clear" w:color="000000" w:fill="FCE4D6"/>
            <w:noWrap/>
            <w:vAlign w:val="center"/>
            <w:hideMark/>
          </w:tcPr>
          <w:p w:rsidR="001A08CF" w14:paraId="70508B0B" w14:textId="77777777">
            <w:pPr>
              <w:jc w:val="center"/>
              <w:rPr>
                <w:color w:val="000000"/>
                <w:sz w:val="20"/>
                <w:szCs w:val="20"/>
              </w:rPr>
            </w:pPr>
            <w:r>
              <w:rPr>
                <w:color w:val="000000"/>
                <w:sz w:val="20"/>
                <w:szCs w:val="20"/>
              </w:rPr>
              <w:t>17</w:t>
            </w:r>
          </w:p>
        </w:tc>
        <w:tc>
          <w:tcPr>
            <w:tcW w:w="2340" w:type="dxa"/>
            <w:tcBorders>
              <w:top w:val="nil"/>
              <w:left w:val="nil"/>
              <w:bottom w:val="nil"/>
              <w:right w:val="single" w:sz="4" w:space="0" w:color="D9D9D9"/>
            </w:tcBorders>
            <w:shd w:val="clear" w:color="000000" w:fill="FCE4D6"/>
            <w:noWrap/>
            <w:vAlign w:val="center"/>
            <w:hideMark/>
          </w:tcPr>
          <w:p w:rsidR="001A08CF" w14:paraId="5CF31A55" w14:textId="77777777">
            <w:pPr>
              <w:rPr>
                <w:color w:val="000000"/>
                <w:sz w:val="20"/>
                <w:szCs w:val="20"/>
              </w:rPr>
            </w:pPr>
            <w:r>
              <w:rPr>
                <w:color w:val="000000"/>
                <w:sz w:val="20"/>
                <w:szCs w:val="20"/>
              </w:rPr>
              <w:t>Reminder PC</w:t>
            </w:r>
          </w:p>
        </w:tc>
        <w:tc>
          <w:tcPr>
            <w:tcW w:w="2430" w:type="dxa"/>
            <w:vMerge/>
            <w:tcBorders>
              <w:top w:val="nil"/>
              <w:left w:val="single" w:sz="4" w:space="0" w:color="D9D9D9"/>
              <w:bottom w:val="nil"/>
              <w:right w:val="single" w:sz="4" w:space="0" w:color="D9D9D9"/>
            </w:tcBorders>
            <w:vAlign w:val="center"/>
            <w:hideMark/>
          </w:tcPr>
          <w:p w:rsidR="001A08CF" w14:paraId="75461A19" w14:textId="77777777">
            <w:pPr>
              <w:rPr>
                <w:color w:val="000000"/>
                <w:sz w:val="20"/>
                <w:szCs w:val="20"/>
              </w:rPr>
            </w:pPr>
          </w:p>
        </w:tc>
        <w:tc>
          <w:tcPr>
            <w:tcW w:w="2556" w:type="dxa"/>
            <w:vMerge/>
            <w:tcBorders>
              <w:top w:val="nil"/>
              <w:left w:val="single" w:sz="4" w:space="0" w:color="D9D9D9"/>
              <w:bottom w:val="nil"/>
              <w:right w:val="single" w:sz="4" w:space="0" w:color="D9D9D9"/>
            </w:tcBorders>
            <w:vAlign w:val="center"/>
            <w:hideMark/>
          </w:tcPr>
          <w:p w:rsidR="001A08CF" w14:paraId="1D642E84" w14:textId="77777777">
            <w:pPr>
              <w:rPr>
                <w:color w:val="000000"/>
                <w:sz w:val="20"/>
                <w:szCs w:val="20"/>
              </w:rPr>
            </w:pPr>
          </w:p>
        </w:tc>
      </w:tr>
      <w:tr w14:paraId="20C3418D" w14:textId="77777777" w:rsidTr="00A17345">
        <w:tblPrEx>
          <w:tblW w:w="9301" w:type="dxa"/>
          <w:tblLook w:val="04A0"/>
        </w:tblPrEx>
        <w:trPr>
          <w:trHeight w:val="710"/>
        </w:trPr>
        <w:tc>
          <w:tcPr>
            <w:tcW w:w="985" w:type="dxa"/>
            <w:vMerge/>
            <w:tcBorders>
              <w:top w:val="nil"/>
              <w:left w:val="single" w:sz="4" w:space="0" w:color="D9D9D9"/>
              <w:bottom w:val="nil"/>
              <w:right w:val="single" w:sz="4" w:space="0" w:color="D9D9D9"/>
            </w:tcBorders>
            <w:vAlign w:val="center"/>
            <w:hideMark/>
          </w:tcPr>
          <w:p w:rsidR="001A08CF" w14:paraId="243195FB" w14:textId="77777777">
            <w:pPr>
              <w:rPr>
                <w:b/>
                <w:bCs/>
                <w:color w:val="000000"/>
                <w:sz w:val="20"/>
                <w:szCs w:val="20"/>
              </w:rPr>
            </w:pPr>
          </w:p>
        </w:tc>
        <w:tc>
          <w:tcPr>
            <w:tcW w:w="990" w:type="dxa"/>
            <w:tcBorders>
              <w:top w:val="nil"/>
              <w:left w:val="nil"/>
              <w:bottom w:val="nil"/>
              <w:right w:val="single" w:sz="4" w:space="0" w:color="D9D9D9"/>
            </w:tcBorders>
            <w:shd w:val="clear" w:color="000000" w:fill="FCE4D6"/>
            <w:noWrap/>
            <w:vAlign w:val="center"/>
            <w:hideMark/>
          </w:tcPr>
          <w:p w:rsidR="001A08CF" w14:paraId="1D53764F" w14:textId="77777777">
            <w:pPr>
              <w:jc w:val="center"/>
              <w:rPr>
                <w:color w:val="000000"/>
                <w:sz w:val="20"/>
                <w:szCs w:val="20"/>
              </w:rPr>
            </w:pPr>
            <w:r>
              <w:rPr>
                <w:color w:val="000000"/>
                <w:sz w:val="20"/>
                <w:szCs w:val="20"/>
              </w:rPr>
              <w:t>18</w:t>
            </w:r>
          </w:p>
        </w:tc>
        <w:tc>
          <w:tcPr>
            <w:tcW w:w="2340" w:type="dxa"/>
            <w:tcBorders>
              <w:top w:val="nil"/>
              <w:left w:val="nil"/>
              <w:bottom w:val="nil"/>
              <w:right w:val="single" w:sz="4" w:space="0" w:color="D9D9D9"/>
            </w:tcBorders>
            <w:shd w:val="clear" w:color="000000" w:fill="FCE4D6"/>
            <w:noWrap/>
            <w:vAlign w:val="center"/>
            <w:hideMark/>
          </w:tcPr>
          <w:p w:rsidR="001A08CF" w14:paraId="25EE6A0D" w14:textId="77777777">
            <w:pPr>
              <w:rPr>
                <w:color w:val="000000"/>
                <w:sz w:val="20"/>
                <w:szCs w:val="20"/>
              </w:rPr>
            </w:pPr>
            <w:r>
              <w:rPr>
                <w:color w:val="000000"/>
                <w:sz w:val="20"/>
                <w:szCs w:val="20"/>
              </w:rPr>
              <w:t> </w:t>
            </w:r>
          </w:p>
        </w:tc>
        <w:tc>
          <w:tcPr>
            <w:tcW w:w="2430" w:type="dxa"/>
            <w:vMerge/>
            <w:tcBorders>
              <w:top w:val="nil"/>
              <w:left w:val="single" w:sz="4" w:space="0" w:color="D9D9D9"/>
              <w:bottom w:val="nil"/>
              <w:right w:val="single" w:sz="4" w:space="0" w:color="D9D9D9"/>
            </w:tcBorders>
            <w:vAlign w:val="center"/>
            <w:hideMark/>
          </w:tcPr>
          <w:p w:rsidR="001A08CF" w14:paraId="466734C9" w14:textId="77777777">
            <w:pPr>
              <w:rPr>
                <w:color w:val="000000"/>
                <w:sz w:val="20"/>
                <w:szCs w:val="20"/>
              </w:rPr>
            </w:pPr>
          </w:p>
        </w:tc>
        <w:tc>
          <w:tcPr>
            <w:tcW w:w="2556" w:type="dxa"/>
            <w:vMerge/>
            <w:tcBorders>
              <w:top w:val="nil"/>
              <w:left w:val="single" w:sz="4" w:space="0" w:color="D9D9D9"/>
              <w:bottom w:val="nil"/>
              <w:right w:val="single" w:sz="4" w:space="0" w:color="D9D9D9"/>
            </w:tcBorders>
            <w:vAlign w:val="center"/>
            <w:hideMark/>
          </w:tcPr>
          <w:p w:rsidR="001A08CF" w14:paraId="0060E87A" w14:textId="77777777">
            <w:pPr>
              <w:rPr>
                <w:color w:val="000000"/>
                <w:sz w:val="20"/>
                <w:szCs w:val="20"/>
              </w:rPr>
            </w:pPr>
          </w:p>
        </w:tc>
      </w:tr>
      <w:tr w14:paraId="5E75B995" w14:textId="77777777" w:rsidTr="00A17345">
        <w:tblPrEx>
          <w:tblW w:w="9301" w:type="dxa"/>
          <w:tblLook w:val="04A0"/>
        </w:tblPrEx>
        <w:trPr>
          <w:trHeight w:val="420"/>
        </w:trPr>
        <w:tc>
          <w:tcPr>
            <w:tcW w:w="985" w:type="dxa"/>
            <w:vMerge w:val="restart"/>
            <w:tcBorders>
              <w:top w:val="nil"/>
              <w:left w:val="single" w:sz="4" w:space="0" w:color="D9D9D9"/>
              <w:bottom w:val="nil"/>
              <w:right w:val="single" w:sz="4" w:space="0" w:color="D9D9D9"/>
            </w:tcBorders>
            <w:shd w:val="clear" w:color="000000" w:fill="FFE699"/>
            <w:vAlign w:val="center"/>
            <w:hideMark/>
          </w:tcPr>
          <w:p w:rsidR="001A08CF" w14:paraId="7DB67EA9" w14:textId="77777777">
            <w:pPr>
              <w:jc w:val="center"/>
              <w:rPr>
                <w:b/>
                <w:bCs/>
                <w:color w:val="000000"/>
                <w:sz w:val="20"/>
                <w:szCs w:val="20"/>
              </w:rPr>
            </w:pPr>
            <w:r>
              <w:rPr>
                <w:b/>
                <w:bCs/>
                <w:color w:val="000000"/>
                <w:sz w:val="20"/>
                <w:szCs w:val="20"/>
              </w:rPr>
              <w:t>Last Chance</w:t>
            </w:r>
          </w:p>
        </w:tc>
        <w:tc>
          <w:tcPr>
            <w:tcW w:w="990" w:type="dxa"/>
            <w:tcBorders>
              <w:top w:val="nil"/>
              <w:left w:val="nil"/>
              <w:bottom w:val="nil"/>
              <w:right w:val="single" w:sz="4" w:space="0" w:color="D9D9D9"/>
            </w:tcBorders>
            <w:shd w:val="clear" w:color="000000" w:fill="FFF2CC"/>
            <w:noWrap/>
            <w:vAlign w:val="center"/>
            <w:hideMark/>
          </w:tcPr>
          <w:p w:rsidR="001A08CF" w14:paraId="5D2609B6" w14:textId="77777777">
            <w:pPr>
              <w:jc w:val="center"/>
              <w:rPr>
                <w:color w:val="000000"/>
                <w:sz w:val="20"/>
                <w:szCs w:val="20"/>
              </w:rPr>
            </w:pPr>
            <w:r>
              <w:rPr>
                <w:color w:val="000000"/>
                <w:sz w:val="20"/>
                <w:szCs w:val="20"/>
              </w:rPr>
              <w:t>19</w:t>
            </w:r>
          </w:p>
        </w:tc>
        <w:tc>
          <w:tcPr>
            <w:tcW w:w="2340" w:type="dxa"/>
            <w:tcBorders>
              <w:top w:val="nil"/>
              <w:left w:val="nil"/>
              <w:bottom w:val="nil"/>
              <w:right w:val="single" w:sz="4" w:space="0" w:color="D9D9D9"/>
            </w:tcBorders>
            <w:shd w:val="clear" w:color="000000" w:fill="FFF2CC"/>
            <w:noWrap/>
            <w:vAlign w:val="center"/>
            <w:hideMark/>
          </w:tcPr>
          <w:p w:rsidR="001A08CF" w14:paraId="174F6FC0" w14:textId="77777777">
            <w:pPr>
              <w:rPr>
                <w:color w:val="000000"/>
                <w:sz w:val="20"/>
                <w:szCs w:val="20"/>
              </w:rPr>
            </w:pPr>
            <w:r>
              <w:rPr>
                <w:color w:val="000000"/>
                <w:sz w:val="20"/>
                <w:szCs w:val="20"/>
              </w:rPr>
              <w:t>Reminder w/token (M&amp;E)</w:t>
            </w:r>
          </w:p>
        </w:tc>
        <w:tc>
          <w:tcPr>
            <w:tcW w:w="2430" w:type="dxa"/>
            <w:vMerge w:val="restart"/>
            <w:tcBorders>
              <w:top w:val="nil"/>
              <w:left w:val="single" w:sz="4" w:space="0" w:color="D9D9D9"/>
              <w:bottom w:val="single" w:sz="4" w:space="0" w:color="D9D9D9"/>
              <w:right w:val="single" w:sz="4" w:space="0" w:color="D9D9D9"/>
            </w:tcBorders>
            <w:shd w:val="clear" w:color="000000" w:fill="FFF2CC"/>
            <w:vAlign w:val="center"/>
            <w:hideMark/>
          </w:tcPr>
          <w:p w:rsidR="001A08CF" w14:paraId="5D7ECA0D" w14:textId="4C82FDD2">
            <w:pPr>
              <w:jc w:val="center"/>
              <w:rPr>
                <w:color w:val="000000"/>
                <w:sz w:val="20"/>
                <w:szCs w:val="20"/>
              </w:rPr>
            </w:pPr>
            <w:r>
              <w:rPr>
                <w:color w:val="000000"/>
                <w:sz w:val="20"/>
                <w:szCs w:val="20"/>
              </w:rPr>
              <w:t xml:space="preserve">Same High and Low treatment as Late-Stage Phase, but cases may change priority </w:t>
            </w:r>
            <w:r w:rsidR="00596A78">
              <w:rPr>
                <w:color w:val="000000"/>
                <w:sz w:val="20"/>
                <w:szCs w:val="20"/>
              </w:rPr>
              <w:t xml:space="preserve">rank </w:t>
            </w:r>
            <w:r>
              <w:rPr>
                <w:color w:val="000000"/>
                <w:sz w:val="20"/>
                <w:szCs w:val="20"/>
              </w:rPr>
              <w:t>order.</w:t>
            </w:r>
          </w:p>
        </w:tc>
        <w:tc>
          <w:tcPr>
            <w:tcW w:w="2556" w:type="dxa"/>
            <w:tcBorders>
              <w:top w:val="nil"/>
              <w:left w:val="nil"/>
              <w:bottom w:val="nil"/>
              <w:right w:val="single" w:sz="4" w:space="0" w:color="D9D9D9"/>
            </w:tcBorders>
            <w:shd w:val="clear" w:color="000000" w:fill="FFF2CC"/>
            <w:noWrap/>
            <w:vAlign w:val="center"/>
            <w:hideMark/>
          </w:tcPr>
          <w:p w:rsidR="001A08CF" w14:paraId="641A427E" w14:textId="75EF772B">
            <w:pPr>
              <w:rPr>
                <w:color w:val="000000"/>
                <w:sz w:val="20"/>
                <w:szCs w:val="20"/>
              </w:rPr>
            </w:pPr>
            <w:r>
              <w:rPr>
                <w:color w:val="000000"/>
                <w:sz w:val="20"/>
                <w:szCs w:val="20"/>
              </w:rPr>
              <w:t xml:space="preserve">CATI calls made in priority </w:t>
            </w:r>
            <w:r w:rsidR="00596A78">
              <w:rPr>
                <w:color w:val="000000"/>
                <w:sz w:val="20"/>
                <w:szCs w:val="20"/>
              </w:rPr>
              <w:t xml:space="preserve">rank </w:t>
            </w:r>
            <w:r>
              <w:rPr>
                <w:color w:val="000000"/>
                <w:sz w:val="20"/>
                <w:szCs w:val="20"/>
              </w:rPr>
              <w:t>order.</w:t>
            </w:r>
          </w:p>
        </w:tc>
      </w:tr>
      <w:tr w14:paraId="7ABE1CC3" w14:textId="77777777" w:rsidTr="00A17345">
        <w:tblPrEx>
          <w:tblW w:w="9301" w:type="dxa"/>
          <w:tblLook w:val="04A0"/>
        </w:tblPrEx>
        <w:trPr>
          <w:trHeight w:val="420"/>
        </w:trPr>
        <w:tc>
          <w:tcPr>
            <w:tcW w:w="985" w:type="dxa"/>
            <w:vMerge/>
            <w:tcBorders>
              <w:top w:val="nil"/>
              <w:left w:val="single" w:sz="4" w:space="0" w:color="D9D9D9"/>
              <w:bottom w:val="nil"/>
              <w:right w:val="single" w:sz="4" w:space="0" w:color="D9D9D9"/>
            </w:tcBorders>
            <w:vAlign w:val="center"/>
            <w:hideMark/>
          </w:tcPr>
          <w:p w:rsidR="001A08CF" w14:paraId="655D72DA" w14:textId="77777777">
            <w:pPr>
              <w:rPr>
                <w:b/>
                <w:bCs/>
                <w:color w:val="000000"/>
                <w:sz w:val="20"/>
                <w:szCs w:val="20"/>
              </w:rPr>
            </w:pPr>
          </w:p>
        </w:tc>
        <w:tc>
          <w:tcPr>
            <w:tcW w:w="990" w:type="dxa"/>
            <w:tcBorders>
              <w:top w:val="nil"/>
              <w:left w:val="nil"/>
              <w:bottom w:val="nil"/>
              <w:right w:val="single" w:sz="4" w:space="0" w:color="D9D9D9"/>
            </w:tcBorders>
            <w:shd w:val="clear" w:color="000000" w:fill="FFF2CC"/>
            <w:noWrap/>
            <w:vAlign w:val="center"/>
            <w:hideMark/>
          </w:tcPr>
          <w:p w:rsidR="001A08CF" w14:paraId="4D0BFA59" w14:textId="77777777">
            <w:pPr>
              <w:jc w:val="center"/>
              <w:rPr>
                <w:color w:val="000000"/>
                <w:sz w:val="20"/>
                <w:szCs w:val="20"/>
              </w:rPr>
            </w:pPr>
            <w:r>
              <w:rPr>
                <w:color w:val="000000"/>
                <w:sz w:val="20"/>
                <w:szCs w:val="20"/>
              </w:rPr>
              <w:t>20</w:t>
            </w:r>
          </w:p>
        </w:tc>
        <w:tc>
          <w:tcPr>
            <w:tcW w:w="2340" w:type="dxa"/>
            <w:vMerge w:val="restart"/>
            <w:tcBorders>
              <w:top w:val="nil"/>
              <w:left w:val="single" w:sz="4" w:space="0" w:color="D9D9D9"/>
              <w:bottom w:val="nil"/>
              <w:right w:val="single" w:sz="4" w:space="0" w:color="D9D9D9"/>
            </w:tcBorders>
            <w:shd w:val="clear" w:color="000000" w:fill="FFF2CC"/>
            <w:vAlign w:val="center"/>
            <w:hideMark/>
          </w:tcPr>
          <w:p w:rsidR="001A08CF" w14:paraId="5F900A69" w14:textId="77777777">
            <w:pPr>
              <w:rPr>
                <w:color w:val="000000"/>
                <w:sz w:val="20"/>
                <w:szCs w:val="20"/>
              </w:rPr>
            </w:pPr>
            <w:r>
              <w:rPr>
                <w:color w:val="000000"/>
                <w:sz w:val="20"/>
                <w:szCs w:val="20"/>
              </w:rPr>
              <w:t>Telephone prompting</w:t>
            </w:r>
          </w:p>
        </w:tc>
        <w:tc>
          <w:tcPr>
            <w:tcW w:w="2430" w:type="dxa"/>
            <w:vMerge/>
            <w:tcBorders>
              <w:top w:val="nil"/>
              <w:left w:val="single" w:sz="4" w:space="0" w:color="D9D9D9"/>
              <w:bottom w:val="single" w:sz="4" w:space="0" w:color="D9D9D9"/>
              <w:right w:val="single" w:sz="4" w:space="0" w:color="D9D9D9"/>
            </w:tcBorders>
            <w:vAlign w:val="center"/>
            <w:hideMark/>
          </w:tcPr>
          <w:p w:rsidR="001A08CF" w14:paraId="33EC556E" w14:textId="77777777">
            <w:pPr>
              <w:rPr>
                <w:color w:val="000000"/>
                <w:sz w:val="20"/>
                <w:szCs w:val="20"/>
              </w:rPr>
            </w:pPr>
          </w:p>
        </w:tc>
        <w:tc>
          <w:tcPr>
            <w:tcW w:w="2556" w:type="dxa"/>
            <w:vMerge w:val="restart"/>
            <w:tcBorders>
              <w:top w:val="nil"/>
              <w:left w:val="single" w:sz="4" w:space="0" w:color="D9D9D9"/>
              <w:bottom w:val="single" w:sz="4" w:space="0" w:color="D9D9D9"/>
              <w:right w:val="single" w:sz="4" w:space="0" w:color="D9D9D9"/>
            </w:tcBorders>
            <w:shd w:val="clear" w:color="000000" w:fill="FFF2CC"/>
            <w:vAlign w:val="center"/>
            <w:hideMark/>
          </w:tcPr>
          <w:p w:rsidR="00A76BFE" w14:paraId="4D88E979" w14:textId="463F8E03">
            <w:pPr>
              <w:rPr>
                <w:color w:val="000000"/>
                <w:sz w:val="20"/>
                <w:szCs w:val="20"/>
              </w:rPr>
            </w:pPr>
            <w:r>
              <w:rPr>
                <w:color w:val="000000"/>
                <w:sz w:val="20"/>
                <w:szCs w:val="20"/>
                <w:u w:val="single"/>
              </w:rPr>
              <w:t>High Priority Treatment</w:t>
            </w:r>
            <w:r>
              <w:rPr>
                <w:color w:val="000000"/>
                <w:sz w:val="20"/>
                <w:szCs w:val="20"/>
              </w:rPr>
              <w:t>:</w:t>
            </w:r>
            <w:r>
              <w:rPr>
                <w:color w:val="000000"/>
                <w:sz w:val="20"/>
                <w:szCs w:val="20"/>
              </w:rPr>
              <w:br/>
            </w:r>
            <w:bookmarkStart w:id="40" w:name="OLE_LINK19"/>
            <w:r>
              <w:rPr>
                <w:color w:val="000000"/>
                <w:sz w:val="20"/>
                <w:szCs w:val="20"/>
              </w:rPr>
              <w:t>• More CATI calls</w:t>
            </w:r>
            <w:bookmarkEnd w:id="40"/>
          </w:p>
          <w:p w:rsidR="00703A4F" w:rsidP="00703A4F" w14:paraId="0517505B" w14:textId="77777777">
            <w:pPr>
              <w:rPr>
                <w:color w:val="000000"/>
                <w:sz w:val="20"/>
                <w:szCs w:val="20"/>
              </w:rPr>
            </w:pPr>
            <w:r>
              <w:rPr>
                <w:color w:val="000000"/>
                <w:sz w:val="20"/>
                <w:szCs w:val="20"/>
              </w:rPr>
              <w:t>• Priority Mailing envelope</w:t>
            </w:r>
          </w:p>
          <w:p w:rsidR="001A08CF" w14:paraId="0C963D66" w14:textId="27E9C074">
            <w:pPr>
              <w:rPr>
                <w:color w:val="000000"/>
                <w:sz w:val="20"/>
                <w:szCs w:val="20"/>
              </w:rPr>
            </w:pPr>
            <w:r>
              <w:rPr>
                <w:color w:val="000000"/>
                <w:sz w:val="20"/>
                <w:szCs w:val="20"/>
              </w:rPr>
              <w:br/>
            </w:r>
            <w:r>
              <w:rPr>
                <w:color w:val="000000"/>
                <w:sz w:val="20"/>
                <w:szCs w:val="20"/>
              </w:rPr>
              <w:br/>
            </w:r>
            <w:r>
              <w:rPr>
                <w:color w:val="000000"/>
                <w:sz w:val="20"/>
                <w:szCs w:val="20"/>
                <w:u w:val="single"/>
              </w:rPr>
              <w:t>Low Priority Treatment</w:t>
            </w:r>
            <w:r>
              <w:rPr>
                <w:color w:val="000000"/>
                <w:sz w:val="20"/>
                <w:szCs w:val="20"/>
              </w:rPr>
              <w:t>:</w:t>
            </w:r>
            <w:r>
              <w:rPr>
                <w:color w:val="000000"/>
                <w:sz w:val="20"/>
                <w:szCs w:val="20"/>
              </w:rPr>
              <w:br/>
              <w:t>• Fewer CATI calls</w:t>
            </w:r>
            <w:r>
              <w:rPr>
                <w:color w:val="000000"/>
                <w:sz w:val="20"/>
                <w:szCs w:val="20"/>
              </w:rPr>
              <w:br/>
              <w:t>• Final request letter or email (in U.S.)</w:t>
            </w:r>
            <w:r>
              <w:rPr>
                <w:color w:val="000000"/>
                <w:sz w:val="20"/>
                <w:szCs w:val="20"/>
              </w:rPr>
              <w:br/>
              <w:t>• Final request email only (outside U.S.)</w:t>
            </w:r>
          </w:p>
        </w:tc>
      </w:tr>
      <w:tr w14:paraId="4CB037F9" w14:textId="77777777" w:rsidTr="00A17345">
        <w:tblPrEx>
          <w:tblW w:w="9301" w:type="dxa"/>
          <w:tblLook w:val="04A0"/>
        </w:tblPrEx>
        <w:trPr>
          <w:trHeight w:val="420"/>
        </w:trPr>
        <w:tc>
          <w:tcPr>
            <w:tcW w:w="985" w:type="dxa"/>
            <w:vMerge/>
            <w:tcBorders>
              <w:top w:val="nil"/>
              <w:left w:val="single" w:sz="4" w:space="0" w:color="D9D9D9"/>
              <w:bottom w:val="nil"/>
              <w:right w:val="single" w:sz="4" w:space="0" w:color="D9D9D9"/>
            </w:tcBorders>
            <w:vAlign w:val="center"/>
            <w:hideMark/>
          </w:tcPr>
          <w:p w:rsidR="001A08CF" w14:paraId="6A625335" w14:textId="77777777">
            <w:pPr>
              <w:rPr>
                <w:b/>
                <w:bCs/>
                <w:color w:val="000000"/>
                <w:sz w:val="20"/>
                <w:szCs w:val="20"/>
              </w:rPr>
            </w:pPr>
          </w:p>
        </w:tc>
        <w:tc>
          <w:tcPr>
            <w:tcW w:w="990" w:type="dxa"/>
            <w:tcBorders>
              <w:top w:val="nil"/>
              <w:left w:val="nil"/>
              <w:bottom w:val="nil"/>
              <w:right w:val="single" w:sz="4" w:space="0" w:color="D9D9D9"/>
            </w:tcBorders>
            <w:shd w:val="clear" w:color="000000" w:fill="FFF2CC"/>
            <w:noWrap/>
            <w:vAlign w:val="center"/>
            <w:hideMark/>
          </w:tcPr>
          <w:p w:rsidR="001A08CF" w14:paraId="591F0785" w14:textId="77777777">
            <w:pPr>
              <w:jc w:val="center"/>
              <w:rPr>
                <w:color w:val="000000"/>
                <w:sz w:val="20"/>
                <w:szCs w:val="20"/>
              </w:rPr>
            </w:pPr>
            <w:r>
              <w:rPr>
                <w:color w:val="000000"/>
                <w:sz w:val="20"/>
                <w:szCs w:val="20"/>
              </w:rPr>
              <w:t>21</w:t>
            </w:r>
          </w:p>
        </w:tc>
        <w:tc>
          <w:tcPr>
            <w:tcW w:w="2340" w:type="dxa"/>
            <w:vMerge/>
            <w:tcBorders>
              <w:top w:val="nil"/>
              <w:left w:val="single" w:sz="4" w:space="0" w:color="D9D9D9"/>
              <w:bottom w:val="nil"/>
              <w:right w:val="single" w:sz="4" w:space="0" w:color="D9D9D9"/>
            </w:tcBorders>
            <w:vAlign w:val="center"/>
            <w:hideMark/>
          </w:tcPr>
          <w:p w:rsidR="001A08CF" w14:paraId="16706F68" w14:textId="77777777">
            <w:pPr>
              <w:rPr>
                <w:color w:val="000000"/>
                <w:sz w:val="20"/>
                <w:szCs w:val="20"/>
              </w:rPr>
            </w:pPr>
          </w:p>
        </w:tc>
        <w:tc>
          <w:tcPr>
            <w:tcW w:w="2430" w:type="dxa"/>
            <w:vMerge/>
            <w:tcBorders>
              <w:top w:val="nil"/>
              <w:left w:val="single" w:sz="4" w:space="0" w:color="D9D9D9"/>
              <w:bottom w:val="single" w:sz="4" w:space="0" w:color="D9D9D9"/>
              <w:right w:val="single" w:sz="4" w:space="0" w:color="D9D9D9"/>
            </w:tcBorders>
            <w:vAlign w:val="center"/>
            <w:hideMark/>
          </w:tcPr>
          <w:p w:rsidR="001A08CF" w14:paraId="726EA672" w14:textId="77777777">
            <w:pPr>
              <w:rPr>
                <w:color w:val="000000"/>
                <w:sz w:val="20"/>
                <w:szCs w:val="20"/>
              </w:rPr>
            </w:pPr>
          </w:p>
        </w:tc>
        <w:tc>
          <w:tcPr>
            <w:tcW w:w="2556" w:type="dxa"/>
            <w:vMerge/>
            <w:tcBorders>
              <w:top w:val="nil"/>
              <w:left w:val="single" w:sz="4" w:space="0" w:color="D9D9D9"/>
              <w:bottom w:val="single" w:sz="4" w:space="0" w:color="D9D9D9"/>
              <w:right w:val="single" w:sz="4" w:space="0" w:color="D9D9D9"/>
            </w:tcBorders>
            <w:vAlign w:val="center"/>
            <w:hideMark/>
          </w:tcPr>
          <w:p w:rsidR="001A08CF" w14:paraId="19F45010" w14:textId="77777777">
            <w:pPr>
              <w:rPr>
                <w:color w:val="000000"/>
                <w:sz w:val="20"/>
                <w:szCs w:val="20"/>
              </w:rPr>
            </w:pPr>
          </w:p>
        </w:tc>
      </w:tr>
      <w:tr w14:paraId="71EB2EB0" w14:textId="77777777" w:rsidTr="00A17345">
        <w:tblPrEx>
          <w:tblW w:w="9301" w:type="dxa"/>
          <w:tblLook w:val="04A0"/>
        </w:tblPrEx>
        <w:trPr>
          <w:trHeight w:val="420"/>
        </w:trPr>
        <w:tc>
          <w:tcPr>
            <w:tcW w:w="985" w:type="dxa"/>
            <w:vMerge/>
            <w:tcBorders>
              <w:top w:val="nil"/>
              <w:left w:val="single" w:sz="4" w:space="0" w:color="D9D9D9"/>
              <w:bottom w:val="nil"/>
              <w:right w:val="single" w:sz="4" w:space="0" w:color="D9D9D9"/>
            </w:tcBorders>
            <w:vAlign w:val="center"/>
            <w:hideMark/>
          </w:tcPr>
          <w:p w:rsidR="001A08CF" w14:paraId="1F603436" w14:textId="77777777">
            <w:pPr>
              <w:rPr>
                <w:b/>
                <w:bCs/>
                <w:color w:val="000000"/>
                <w:sz w:val="20"/>
                <w:szCs w:val="20"/>
              </w:rPr>
            </w:pPr>
          </w:p>
        </w:tc>
        <w:tc>
          <w:tcPr>
            <w:tcW w:w="990" w:type="dxa"/>
            <w:tcBorders>
              <w:top w:val="nil"/>
              <w:left w:val="nil"/>
              <w:bottom w:val="nil"/>
              <w:right w:val="single" w:sz="4" w:space="0" w:color="D9D9D9"/>
            </w:tcBorders>
            <w:shd w:val="clear" w:color="000000" w:fill="FFF2CC"/>
            <w:noWrap/>
            <w:vAlign w:val="center"/>
            <w:hideMark/>
          </w:tcPr>
          <w:p w:rsidR="001A08CF" w14:paraId="48BFAC8C" w14:textId="77777777">
            <w:pPr>
              <w:jc w:val="center"/>
              <w:rPr>
                <w:color w:val="000000"/>
                <w:sz w:val="20"/>
                <w:szCs w:val="20"/>
              </w:rPr>
            </w:pPr>
            <w:r>
              <w:rPr>
                <w:color w:val="000000"/>
                <w:sz w:val="20"/>
                <w:szCs w:val="20"/>
              </w:rPr>
              <w:t>22</w:t>
            </w:r>
          </w:p>
        </w:tc>
        <w:tc>
          <w:tcPr>
            <w:tcW w:w="2340" w:type="dxa"/>
            <w:tcBorders>
              <w:top w:val="nil"/>
              <w:left w:val="nil"/>
              <w:bottom w:val="nil"/>
              <w:right w:val="single" w:sz="4" w:space="0" w:color="D9D9D9"/>
            </w:tcBorders>
            <w:shd w:val="clear" w:color="000000" w:fill="FFF2CC"/>
            <w:noWrap/>
            <w:vAlign w:val="center"/>
            <w:hideMark/>
          </w:tcPr>
          <w:p w:rsidR="001A08CF" w14:paraId="7C4B41C9" w14:textId="77777777">
            <w:pPr>
              <w:rPr>
                <w:color w:val="000000"/>
                <w:sz w:val="20"/>
                <w:szCs w:val="20"/>
              </w:rPr>
            </w:pPr>
            <w:r>
              <w:rPr>
                <w:color w:val="000000"/>
                <w:sz w:val="20"/>
                <w:szCs w:val="20"/>
              </w:rPr>
              <w:t>CIO offer (letter)</w:t>
            </w:r>
          </w:p>
        </w:tc>
        <w:tc>
          <w:tcPr>
            <w:tcW w:w="2430" w:type="dxa"/>
            <w:vMerge/>
            <w:tcBorders>
              <w:top w:val="nil"/>
              <w:left w:val="single" w:sz="4" w:space="0" w:color="D9D9D9"/>
              <w:bottom w:val="single" w:sz="4" w:space="0" w:color="D9D9D9"/>
              <w:right w:val="single" w:sz="4" w:space="0" w:color="D9D9D9"/>
            </w:tcBorders>
            <w:vAlign w:val="center"/>
            <w:hideMark/>
          </w:tcPr>
          <w:p w:rsidR="001A08CF" w14:paraId="6E27AE6F" w14:textId="77777777">
            <w:pPr>
              <w:rPr>
                <w:color w:val="000000"/>
                <w:sz w:val="20"/>
                <w:szCs w:val="20"/>
              </w:rPr>
            </w:pPr>
          </w:p>
        </w:tc>
        <w:tc>
          <w:tcPr>
            <w:tcW w:w="2556" w:type="dxa"/>
            <w:vMerge/>
            <w:tcBorders>
              <w:top w:val="nil"/>
              <w:left w:val="single" w:sz="4" w:space="0" w:color="D9D9D9"/>
              <w:bottom w:val="single" w:sz="4" w:space="0" w:color="D9D9D9"/>
              <w:right w:val="single" w:sz="4" w:space="0" w:color="D9D9D9"/>
            </w:tcBorders>
            <w:vAlign w:val="center"/>
            <w:hideMark/>
          </w:tcPr>
          <w:p w:rsidR="001A08CF" w14:paraId="035BC041" w14:textId="77777777">
            <w:pPr>
              <w:rPr>
                <w:color w:val="000000"/>
                <w:sz w:val="20"/>
                <w:szCs w:val="20"/>
              </w:rPr>
            </w:pPr>
          </w:p>
        </w:tc>
      </w:tr>
      <w:tr w14:paraId="634D0D28" w14:textId="77777777" w:rsidTr="00A17345">
        <w:tblPrEx>
          <w:tblW w:w="9301" w:type="dxa"/>
          <w:tblLook w:val="04A0"/>
        </w:tblPrEx>
        <w:trPr>
          <w:trHeight w:val="420"/>
        </w:trPr>
        <w:tc>
          <w:tcPr>
            <w:tcW w:w="985" w:type="dxa"/>
            <w:vMerge/>
            <w:tcBorders>
              <w:top w:val="nil"/>
              <w:left w:val="single" w:sz="4" w:space="0" w:color="D9D9D9"/>
              <w:bottom w:val="nil"/>
              <w:right w:val="single" w:sz="4" w:space="0" w:color="D9D9D9"/>
            </w:tcBorders>
            <w:vAlign w:val="center"/>
            <w:hideMark/>
          </w:tcPr>
          <w:p w:rsidR="001A08CF" w14:paraId="666B152A" w14:textId="77777777">
            <w:pPr>
              <w:rPr>
                <w:b/>
                <w:bCs/>
                <w:color w:val="000000"/>
                <w:sz w:val="20"/>
                <w:szCs w:val="20"/>
              </w:rPr>
            </w:pPr>
          </w:p>
        </w:tc>
        <w:tc>
          <w:tcPr>
            <w:tcW w:w="990" w:type="dxa"/>
            <w:tcBorders>
              <w:top w:val="nil"/>
              <w:left w:val="nil"/>
              <w:bottom w:val="nil"/>
              <w:right w:val="single" w:sz="4" w:space="0" w:color="D9D9D9"/>
            </w:tcBorders>
            <w:shd w:val="clear" w:color="000000" w:fill="FFF2CC"/>
            <w:noWrap/>
            <w:vAlign w:val="center"/>
            <w:hideMark/>
          </w:tcPr>
          <w:p w:rsidR="001A08CF" w14:paraId="3517D695" w14:textId="77777777">
            <w:pPr>
              <w:jc w:val="center"/>
              <w:rPr>
                <w:color w:val="000000"/>
                <w:sz w:val="20"/>
                <w:szCs w:val="20"/>
              </w:rPr>
            </w:pPr>
            <w:r>
              <w:rPr>
                <w:color w:val="000000"/>
                <w:sz w:val="20"/>
                <w:szCs w:val="20"/>
              </w:rPr>
              <w:t>23</w:t>
            </w:r>
          </w:p>
        </w:tc>
        <w:tc>
          <w:tcPr>
            <w:tcW w:w="2340" w:type="dxa"/>
            <w:tcBorders>
              <w:top w:val="nil"/>
              <w:left w:val="nil"/>
              <w:bottom w:val="nil"/>
              <w:right w:val="single" w:sz="4" w:space="0" w:color="D9D9D9"/>
            </w:tcBorders>
            <w:shd w:val="clear" w:color="000000" w:fill="FFF2CC"/>
            <w:noWrap/>
            <w:vAlign w:val="center"/>
            <w:hideMark/>
          </w:tcPr>
          <w:p w:rsidR="001A08CF" w14:paraId="6E8FE24D" w14:textId="77777777">
            <w:pPr>
              <w:rPr>
                <w:color w:val="000000"/>
                <w:sz w:val="20"/>
                <w:szCs w:val="20"/>
              </w:rPr>
            </w:pPr>
            <w:r>
              <w:rPr>
                <w:color w:val="000000"/>
                <w:sz w:val="20"/>
                <w:szCs w:val="20"/>
              </w:rPr>
              <w:t>CIO offer (email)</w:t>
            </w:r>
          </w:p>
        </w:tc>
        <w:tc>
          <w:tcPr>
            <w:tcW w:w="2430" w:type="dxa"/>
            <w:vMerge/>
            <w:tcBorders>
              <w:top w:val="nil"/>
              <w:left w:val="single" w:sz="4" w:space="0" w:color="D9D9D9"/>
              <w:bottom w:val="single" w:sz="4" w:space="0" w:color="D9D9D9"/>
              <w:right w:val="single" w:sz="4" w:space="0" w:color="D9D9D9"/>
            </w:tcBorders>
            <w:vAlign w:val="center"/>
            <w:hideMark/>
          </w:tcPr>
          <w:p w:rsidR="001A08CF" w14:paraId="20E98B73" w14:textId="77777777">
            <w:pPr>
              <w:rPr>
                <w:color w:val="000000"/>
                <w:sz w:val="20"/>
                <w:szCs w:val="20"/>
              </w:rPr>
            </w:pPr>
          </w:p>
        </w:tc>
        <w:tc>
          <w:tcPr>
            <w:tcW w:w="2556" w:type="dxa"/>
            <w:vMerge/>
            <w:tcBorders>
              <w:top w:val="nil"/>
              <w:left w:val="single" w:sz="4" w:space="0" w:color="D9D9D9"/>
              <w:bottom w:val="single" w:sz="4" w:space="0" w:color="D9D9D9"/>
              <w:right w:val="single" w:sz="4" w:space="0" w:color="D9D9D9"/>
            </w:tcBorders>
            <w:vAlign w:val="center"/>
            <w:hideMark/>
          </w:tcPr>
          <w:p w:rsidR="001A08CF" w14:paraId="3A978EC6" w14:textId="77777777">
            <w:pPr>
              <w:rPr>
                <w:color w:val="000000"/>
                <w:sz w:val="20"/>
                <w:szCs w:val="20"/>
              </w:rPr>
            </w:pPr>
          </w:p>
        </w:tc>
      </w:tr>
      <w:tr w14:paraId="2D757071" w14:textId="77777777" w:rsidTr="00A17345">
        <w:tblPrEx>
          <w:tblW w:w="9301" w:type="dxa"/>
          <w:tblLook w:val="04A0"/>
        </w:tblPrEx>
        <w:trPr>
          <w:trHeight w:val="420"/>
        </w:trPr>
        <w:tc>
          <w:tcPr>
            <w:tcW w:w="985" w:type="dxa"/>
            <w:vMerge/>
            <w:tcBorders>
              <w:top w:val="nil"/>
              <w:left w:val="single" w:sz="4" w:space="0" w:color="D9D9D9"/>
              <w:bottom w:val="nil"/>
              <w:right w:val="single" w:sz="4" w:space="0" w:color="D9D9D9"/>
            </w:tcBorders>
            <w:vAlign w:val="center"/>
            <w:hideMark/>
          </w:tcPr>
          <w:p w:rsidR="001A08CF" w14:paraId="1DFE9F76" w14:textId="77777777">
            <w:pPr>
              <w:rPr>
                <w:b/>
                <w:bCs/>
                <w:color w:val="000000"/>
                <w:sz w:val="20"/>
                <w:szCs w:val="20"/>
              </w:rPr>
            </w:pPr>
          </w:p>
        </w:tc>
        <w:tc>
          <w:tcPr>
            <w:tcW w:w="990" w:type="dxa"/>
            <w:tcBorders>
              <w:top w:val="nil"/>
              <w:left w:val="nil"/>
              <w:bottom w:val="nil"/>
              <w:right w:val="single" w:sz="4" w:space="0" w:color="D9D9D9"/>
            </w:tcBorders>
            <w:shd w:val="clear" w:color="000000" w:fill="FFF2CC"/>
            <w:noWrap/>
            <w:vAlign w:val="center"/>
            <w:hideMark/>
          </w:tcPr>
          <w:p w:rsidR="001A08CF" w14:paraId="4C3822DF" w14:textId="77777777">
            <w:pPr>
              <w:jc w:val="center"/>
              <w:rPr>
                <w:color w:val="000000"/>
                <w:sz w:val="20"/>
                <w:szCs w:val="20"/>
              </w:rPr>
            </w:pPr>
            <w:r>
              <w:rPr>
                <w:color w:val="000000"/>
                <w:sz w:val="20"/>
                <w:szCs w:val="20"/>
              </w:rPr>
              <w:t>24</w:t>
            </w:r>
          </w:p>
        </w:tc>
        <w:tc>
          <w:tcPr>
            <w:tcW w:w="2340" w:type="dxa"/>
            <w:tcBorders>
              <w:top w:val="nil"/>
              <w:left w:val="nil"/>
              <w:bottom w:val="nil"/>
              <w:right w:val="single" w:sz="4" w:space="0" w:color="D9D9D9"/>
            </w:tcBorders>
            <w:shd w:val="clear" w:color="000000" w:fill="FFF2CC"/>
            <w:noWrap/>
            <w:vAlign w:val="center"/>
            <w:hideMark/>
          </w:tcPr>
          <w:p w:rsidR="001A08CF" w14:paraId="209E96E9" w14:textId="77777777">
            <w:pPr>
              <w:rPr>
                <w:sz w:val="20"/>
                <w:szCs w:val="20"/>
              </w:rPr>
            </w:pPr>
            <w:r>
              <w:rPr>
                <w:sz w:val="20"/>
                <w:szCs w:val="20"/>
              </w:rPr>
              <w:t>CIO offer (telephone)</w:t>
            </w:r>
          </w:p>
        </w:tc>
        <w:tc>
          <w:tcPr>
            <w:tcW w:w="2430" w:type="dxa"/>
            <w:vMerge/>
            <w:tcBorders>
              <w:top w:val="nil"/>
              <w:left w:val="single" w:sz="4" w:space="0" w:color="D9D9D9"/>
              <w:bottom w:val="single" w:sz="4" w:space="0" w:color="D9D9D9"/>
              <w:right w:val="single" w:sz="4" w:space="0" w:color="D9D9D9"/>
            </w:tcBorders>
            <w:vAlign w:val="center"/>
            <w:hideMark/>
          </w:tcPr>
          <w:p w:rsidR="001A08CF" w14:paraId="7F103092" w14:textId="77777777">
            <w:pPr>
              <w:rPr>
                <w:color w:val="000000"/>
                <w:sz w:val="20"/>
                <w:szCs w:val="20"/>
              </w:rPr>
            </w:pPr>
          </w:p>
        </w:tc>
        <w:tc>
          <w:tcPr>
            <w:tcW w:w="2556" w:type="dxa"/>
            <w:vMerge/>
            <w:tcBorders>
              <w:top w:val="nil"/>
              <w:left w:val="single" w:sz="4" w:space="0" w:color="D9D9D9"/>
              <w:bottom w:val="single" w:sz="4" w:space="0" w:color="D9D9D9"/>
              <w:right w:val="single" w:sz="4" w:space="0" w:color="D9D9D9"/>
            </w:tcBorders>
            <w:vAlign w:val="center"/>
            <w:hideMark/>
          </w:tcPr>
          <w:p w:rsidR="001A08CF" w14:paraId="2B245FA1" w14:textId="77777777">
            <w:pPr>
              <w:rPr>
                <w:color w:val="000000"/>
                <w:sz w:val="20"/>
                <w:szCs w:val="20"/>
              </w:rPr>
            </w:pPr>
          </w:p>
        </w:tc>
      </w:tr>
      <w:tr w14:paraId="6CD36AE1" w14:textId="77777777" w:rsidTr="00A17345">
        <w:tblPrEx>
          <w:tblW w:w="9301" w:type="dxa"/>
          <w:tblLook w:val="04A0"/>
        </w:tblPrEx>
        <w:trPr>
          <w:trHeight w:val="420"/>
        </w:trPr>
        <w:tc>
          <w:tcPr>
            <w:tcW w:w="985" w:type="dxa"/>
            <w:vMerge w:val="restart"/>
            <w:tcBorders>
              <w:top w:val="nil"/>
              <w:left w:val="single" w:sz="4" w:space="0" w:color="D9D9D9"/>
              <w:bottom w:val="single" w:sz="4" w:space="0" w:color="D9D9D9"/>
              <w:right w:val="single" w:sz="4" w:space="0" w:color="D9D9D9"/>
            </w:tcBorders>
            <w:shd w:val="clear" w:color="000000" w:fill="FFD966"/>
            <w:vAlign w:val="center"/>
            <w:hideMark/>
          </w:tcPr>
          <w:p w:rsidR="001A08CF" w14:paraId="0D67676F" w14:textId="77777777">
            <w:pPr>
              <w:jc w:val="center"/>
              <w:rPr>
                <w:b/>
                <w:bCs/>
                <w:color w:val="000000"/>
                <w:sz w:val="20"/>
                <w:szCs w:val="20"/>
              </w:rPr>
            </w:pPr>
            <w:r>
              <w:rPr>
                <w:b/>
                <w:bCs/>
                <w:color w:val="000000"/>
                <w:sz w:val="20"/>
                <w:szCs w:val="20"/>
              </w:rPr>
              <w:t>Final Request</w:t>
            </w:r>
          </w:p>
        </w:tc>
        <w:tc>
          <w:tcPr>
            <w:tcW w:w="990" w:type="dxa"/>
            <w:tcBorders>
              <w:top w:val="nil"/>
              <w:left w:val="nil"/>
              <w:bottom w:val="nil"/>
              <w:right w:val="single" w:sz="4" w:space="0" w:color="D9D9D9"/>
            </w:tcBorders>
            <w:shd w:val="clear" w:color="000000" w:fill="FFF2CC"/>
            <w:noWrap/>
            <w:vAlign w:val="center"/>
            <w:hideMark/>
          </w:tcPr>
          <w:p w:rsidR="001A08CF" w14:paraId="52F7D2A2" w14:textId="77777777">
            <w:pPr>
              <w:jc w:val="center"/>
              <w:rPr>
                <w:color w:val="000000"/>
                <w:sz w:val="20"/>
                <w:szCs w:val="20"/>
              </w:rPr>
            </w:pPr>
            <w:r>
              <w:rPr>
                <w:color w:val="000000"/>
                <w:sz w:val="20"/>
                <w:szCs w:val="20"/>
              </w:rPr>
              <w:t>25</w:t>
            </w:r>
          </w:p>
        </w:tc>
        <w:tc>
          <w:tcPr>
            <w:tcW w:w="2340" w:type="dxa"/>
            <w:tcBorders>
              <w:top w:val="nil"/>
              <w:left w:val="nil"/>
              <w:bottom w:val="nil"/>
              <w:right w:val="single" w:sz="4" w:space="0" w:color="D9D9D9"/>
            </w:tcBorders>
            <w:shd w:val="clear" w:color="000000" w:fill="FFF2CC"/>
            <w:noWrap/>
            <w:vAlign w:val="center"/>
            <w:hideMark/>
          </w:tcPr>
          <w:p w:rsidR="001A08CF" w14:paraId="08586B5E" w14:textId="77777777">
            <w:pPr>
              <w:rPr>
                <w:color w:val="000000"/>
                <w:sz w:val="20"/>
                <w:szCs w:val="20"/>
              </w:rPr>
            </w:pPr>
            <w:r>
              <w:rPr>
                <w:color w:val="000000"/>
                <w:sz w:val="20"/>
                <w:szCs w:val="20"/>
              </w:rPr>
              <w:t>Final request contact (M&amp;E)</w:t>
            </w:r>
          </w:p>
        </w:tc>
        <w:tc>
          <w:tcPr>
            <w:tcW w:w="2430" w:type="dxa"/>
            <w:vMerge/>
            <w:tcBorders>
              <w:top w:val="nil"/>
              <w:left w:val="single" w:sz="4" w:space="0" w:color="D9D9D9"/>
              <w:bottom w:val="single" w:sz="4" w:space="0" w:color="D9D9D9"/>
              <w:right w:val="single" w:sz="4" w:space="0" w:color="D9D9D9"/>
            </w:tcBorders>
            <w:vAlign w:val="center"/>
            <w:hideMark/>
          </w:tcPr>
          <w:p w:rsidR="001A08CF" w14:paraId="431BB8CF" w14:textId="77777777">
            <w:pPr>
              <w:rPr>
                <w:color w:val="000000"/>
                <w:sz w:val="20"/>
                <w:szCs w:val="20"/>
              </w:rPr>
            </w:pPr>
          </w:p>
        </w:tc>
        <w:tc>
          <w:tcPr>
            <w:tcW w:w="2556" w:type="dxa"/>
            <w:vMerge/>
            <w:tcBorders>
              <w:top w:val="nil"/>
              <w:left w:val="single" w:sz="4" w:space="0" w:color="D9D9D9"/>
              <w:bottom w:val="single" w:sz="4" w:space="0" w:color="D9D9D9"/>
              <w:right w:val="single" w:sz="4" w:space="0" w:color="D9D9D9"/>
            </w:tcBorders>
            <w:vAlign w:val="center"/>
            <w:hideMark/>
          </w:tcPr>
          <w:p w:rsidR="001A08CF" w14:paraId="198DB7DD" w14:textId="77777777">
            <w:pPr>
              <w:rPr>
                <w:color w:val="000000"/>
                <w:sz w:val="20"/>
                <w:szCs w:val="20"/>
              </w:rPr>
            </w:pPr>
          </w:p>
        </w:tc>
      </w:tr>
      <w:tr w14:paraId="06B8B562" w14:textId="77777777" w:rsidTr="00BD3F9F">
        <w:tblPrEx>
          <w:tblW w:w="9301" w:type="dxa"/>
          <w:tblLook w:val="04A0"/>
        </w:tblPrEx>
        <w:trPr>
          <w:trHeight w:val="420"/>
        </w:trPr>
        <w:tc>
          <w:tcPr>
            <w:tcW w:w="985" w:type="dxa"/>
            <w:vMerge/>
            <w:tcBorders>
              <w:top w:val="nil"/>
              <w:left w:val="single" w:sz="4" w:space="0" w:color="D9D9D9"/>
              <w:bottom w:val="nil"/>
              <w:right w:val="single" w:sz="4" w:space="0" w:color="D9D9D9"/>
            </w:tcBorders>
            <w:vAlign w:val="center"/>
            <w:hideMark/>
          </w:tcPr>
          <w:p w:rsidR="001A08CF" w14:paraId="05B83287" w14:textId="77777777">
            <w:pPr>
              <w:rPr>
                <w:b/>
                <w:bCs/>
                <w:color w:val="000000"/>
                <w:sz w:val="20"/>
                <w:szCs w:val="20"/>
              </w:rPr>
            </w:pPr>
          </w:p>
        </w:tc>
        <w:tc>
          <w:tcPr>
            <w:tcW w:w="990" w:type="dxa"/>
            <w:tcBorders>
              <w:top w:val="nil"/>
              <w:left w:val="nil"/>
              <w:bottom w:val="nil"/>
              <w:right w:val="single" w:sz="4" w:space="0" w:color="D9D9D9"/>
            </w:tcBorders>
            <w:shd w:val="clear" w:color="000000" w:fill="FFF2CC"/>
            <w:noWrap/>
            <w:vAlign w:val="center"/>
            <w:hideMark/>
          </w:tcPr>
          <w:p w:rsidR="001A08CF" w14:paraId="06771108" w14:textId="77777777">
            <w:pPr>
              <w:jc w:val="center"/>
              <w:rPr>
                <w:color w:val="000000"/>
                <w:sz w:val="20"/>
                <w:szCs w:val="20"/>
              </w:rPr>
            </w:pPr>
            <w:r>
              <w:rPr>
                <w:color w:val="000000"/>
                <w:sz w:val="20"/>
                <w:szCs w:val="20"/>
              </w:rPr>
              <w:t>26</w:t>
            </w:r>
          </w:p>
        </w:tc>
        <w:tc>
          <w:tcPr>
            <w:tcW w:w="2340" w:type="dxa"/>
            <w:tcBorders>
              <w:top w:val="nil"/>
              <w:left w:val="nil"/>
              <w:bottom w:val="nil"/>
              <w:right w:val="single" w:sz="4" w:space="0" w:color="D9D9D9"/>
            </w:tcBorders>
            <w:shd w:val="clear" w:color="000000" w:fill="FFF2CC"/>
            <w:noWrap/>
            <w:vAlign w:val="center"/>
            <w:hideMark/>
          </w:tcPr>
          <w:p w:rsidR="001A08CF" w14:paraId="20D504EC" w14:textId="77777777">
            <w:pPr>
              <w:rPr>
                <w:color w:val="000000"/>
                <w:sz w:val="20"/>
                <w:szCs w:val="20"/>
              </w:rPr>
            </w:pPr>
            <w:r>
              <w:rPr>
                <w:color w:val="000000"/>
                <w:sz w:val="20"/>
                <w:szCs w:val="20"/>
              </w:rPr>
              <w:t>Final telephone prompt</w:t>
            </w:r>
          </w:p>
        </w:tc>
        <w:tc>
          <w:tcPr>
            <w:tcW w:w="2430" w:type="dxa"/>
            <w:vMerge/>
            <w:tcBorders>
              <w:top w:val="nil"/>
              <w:left w:val="single" w:sz="4" w:space="0" w:color="D9D9D9"/>
              <w:bottom w:val="nil"/>
              <w:right w:val="single" w:sz="4" w:space="0" w:color="D9D9D9"/>
            </w:tcBorders>
            <w:vAlign w:val="center"/>
            <w:hideMark/>
          </w:tcPr>
          <w:p w:rsidR="001A08CF" w14:paraId="272AA13C" w14:textId="77777777">
            <w:pPr>
              <w:rPr>
                <w:color w:val="000000"/>
                <w:sz w:val="20"/>
                <w:szCs w:val="20"/>
              </w:rPr>
            </w:pPr>
          </w:p>
        </w:tc>
        <w:tc>
          <w:tcPr>
            <w:tcW w:w="2556" w:type="dxa"/>
            <w:vMerge/>
            <w:tcBorders>
              <w:top w:val="nil"/>
              <w:left w:val="single" w:sz="4" w:space="0" w:color="D9D9D9"/>
              <w:bottom w:val="nil"/>
              <w:right w:val="single" w:sz="4" w:space="0" w:color="D9D9D9"/>
            </w:tcBorders>
            <w:vAlign w:val="center"/>
            <w:hideMark/>
          </w:tcPr>
          <w:p w:rsidR="001A08CF" w14:paraId="297849EC" w14:textId="77777777">
            <w:pPr>
              <w:rPr>
                <w:color w:val="000000"/>
                <w:sz w:val="20"/>
                <w:szCs w:val="20"/>
              </w:rPr>
            </w:pPr>
          </w:p>
        </w:tc>
      </w:tr>
      <w:tr w14:paraId="663EDD75" w14:textId="77777777" w:rsidTr="00653911">
        <w:tblPrEx>
          <w:tblW w:w="9301" w:type="dxa"/>
          <w:tblLook w:val="04A0"/>
        </w:tblPrEx>
        <w:trPr>
          <w:trHeight w:val="420"/>
        </w:trPr>
        <w:tc>
          <w:tcPr>
            <w:tcW w:w="9301" w:type="dxa"/>
            <w:gridSpan w:val="5"/>
            <w:tcBorders>
              <w:top w:val="nil"/>
              <w:left w:val="single" w:sz="4" w:space="0" w:color="D9D9D9"/>
              <w:bottom w:val="single" w:sz="4" w:space="0" w:color="D9D9D9"/>
              <w:right w:val="single" w:sz="4" w:space="0" w:color="D9D9D9"/>
            </w:tcBorders>
            <w:vAlign w:val="center"/>
          </w:tcPr>
          <w:tbl>
            <w:tblPr>
              <w:tblW w:w="9175" w:type="dxa"/>
              <w:tblLook w:val="04A0"/>
            </w:tblPr>
            <w:tblGrid>
              <w:gridCol w:w="9134"/>
            </w:tblGrid>
            <w:tr w14:paraId="78EDB18C" w14:textId="77777777" w:rsidTr="00634D2C">
              <w:tblPrEx>
                <w:tblW w:w="9175" w:type="dxa"/>
                <w:tblLook w:val="04A0"/>
              </w:tblPrEx>
              <w:trPr>
                <w:trHeight w:val="288"/>
              </w:trPr>
              <w:tc>
                <w:tcPr>
                  <w:tcW w:w="9175" w:type="dxa"/>
                  <w:tcBorders>
                    <w:top w:val="nil"/>
                    <w:left w:val="nil"/>
                    <w:bottom w:val="nil"/>
                    <w:right w:val="nil"/>
                  </w:tcBorders>
                  <w:shd w:val="clear" w:color="auto" w:fill="auto"/>
                  <w:noWrap/>
                  <w:vAlign w:val="bottom"/>
                  <w:hideMark/>
                </w:tcPr>
                <w:p w:rsidR="00634D2C" w:rsidRPr="00A15081" w:rsidP="00634D2C" w14:paraId="78EB60CE" w14:textId="77777777">
                  <w:pPr>
                    <w:rPr>
                      <w:color w:val="000000"/>
                      <w:sz w:val="20"/>
                    </w:rPr>
                  </w:pPr>
                  <w:r w:rsidRPr="00A15081">
                    <w:rPr>
                      <w:color w:val="000000"/>
                      <w:sz w:val="20"/>
                    </w:rPr>
                    <w:t>M&amp;E = parallel contact of email and USPS letter mailing.</w:t>
                  </w:r>
                </w:p>
              </w:tc>
            </w:tr>
          </w:tbl>
          <w:p w:rsidR="00634D2C" w14:paraId="67208944" w14:textId="3392C28F">
            <w:pPr>
              <w:rPr>
                <w:color w:val="000000"/>
                <w:sz w:val="20"/>
                <w:szCs w:val="20"/>
              </w:rPr>
            </w:pPr>
          </w:p>
        </w:tc>
      </w:tr>
    </w:tbl>
    <w:p w:rsidR="00B3167C" w:rsidRPr="003F762A" w:rsidP="004408B8" w14:paraId="48FD23CA" w14:textId="05B77EB2">
      <w:pPr>
        <w:pStyle w:val="Heading2"/>
        <w:spacing w:before="280" w:after="280"/>
        <w:rPr>
          <w:rFonts w:eastAsia="Calibri"/>
          <w:color w:val="000000" w:themeColor="text1"/>
          <w:sz w:val="22"/>
          <w:szCs w:val="22"/>
          <w:lang w:eastAsia="zh-CN"/>
        </w:rPr>
      </w:pPr>
      <w:bookmarkStart w:id="41" w:name="_Toc475701073"/>
      <w:bookmarkEnd w:id="39"/>
      <w:r>
        <w:rPr>
          <w:i w:val="0"/>
        </w:rPr>
        <w:t>5</w:t>
      </w:r>
      <w:r>
        <w:rPr>
          <w:i w:val="0"/>
        </w:rPr>
        <w:t>.</w:t>
      </w:r>
      <w:r>
        <w:rPr>
          <w:i w:val="0"/>
        </w:rPr>
        <w:tab/>
        <w:t>CONTACTS FOR STATISTICAL ASPECTS OF DATA COLLECTION</w:t>
      </w:r>
      <w:bookmarkEnd w:id="41"/>
    </w:p>
    <w:p w:rsidR="00B64C19" w:rsidRPr="00BA3FB3" w:rsidP="00BA3FB3" w14:paraId="43B9A3A8" w14:textId="496C6B28">
      <w:pPr>
        <w:pStyle w:val="CommentText"/>
        <w:rPr>
          <w:sz w:val="22"/>
        </w:rPr>
      </w:pPr>
      <w:r>
        <w:rPr>
          <w:rFonts w:eastAsia="Calibri"/>
          <w:color w:val="000000" w:themeColor="text1"/>
          <w:sz w:val="22"/>
          <w:szCs w:val="22"/>
          <w:lang w:eastAsia="zh-CN"/>
        </w:rPr>
        <w:t>The</w:t>
      </w:r>
      <w:r w:rsidRPr="003F762A" w:rsidR="00B3167C">
        <w:rPr>
          <w:rFonts w:eastAsia="Calibri"/>
          <w:color w:val="000000" w:themeColor="text1"/>
          <w:sz w:val="22"/>
          <w:szCs w:val="22"/>
          <w:lang w:eastAsia="zh-CN"/>
        </w:rPr>
        <w:t xml:space="preserve"> NCSES contacts for statistical aspects of </w:t>
      </w:r>
      <w:r>
        <w:rPr>
          <w:rFonts w:eastAsia="Calibri"/>
          <w:color w:val="000000" w:themeColor="text1"/>
          <w:sz w:val="22"/>
          <w:szCs w:val="22"/>
          <w:lang w:eastAsia="zh-CN"/>
        </w:rPr>
        <w:t xml:space="preserve">the SDR </w:t>
      </w:r>
      <w:r w:rsidRPr="003F762A" w:rsidR="00B3167C">
        <w:rPr>
          <w:rFonts w:eastAsia="Calibri"/>
          <w:color w:val="000000" w:themeColor="text1"/>
          <w:sz w:val="22"/>
          <w:szCs w:val="22"/>
          <w:lang w:eastAsia="zh-CN"/>
        </w:rPr>
        <w:t xml:space="preserve">data collection are </w:t>
      </w:r>
      <w:r w:rsidR="00952FE0">
        <w:rPr>
          <w:rFonts w:eastAsia="Calibri"/>
          <w:color w:val="000000" w:themeColor="text1"/>
          <w:sz w:val="22"/>
          <w:szCs w:val="22"/>
          <w:lang w:eastAsia="zh-CN"/>
        </w:rPr>
        <w:t>John Finamore</w:t>
      </w:r>
      <w:r w:rsidRPr="003F762A" w:rsidR="00B3167C">
        <w:rPr>
          <w:rFonts w:eastAsia="Calibri"/>
          <w:color w:val="000000" w:themeColor="text1"/>
          <w:sz w:val="22"/>
          <w:szCs w:val="22"/>
          <w:lang w:eastAsia="zh-CN"/>
        </w:rPr>
        <w:t>, NCSES Chief Statistician (703-292-</w:t>
      </w:r>
      <w:r w:rsidR="00411377">
        <w:rPr>
          <w:rFonts w:eastAsia="Calibri"/>
          <w:color w:val="000000" w:themeColor="text1"/>
          <w:sz w:val="22"/>
          <w:szCs w:val="22"/>
          <w:lang w:eastAsia="zh-CN"/>
        </w:rPr>
        <w:t>2258</w:t>
      </w:r>
      <w:r w:rsidR="00B3167C">
        <w:rPr>
          <w:rFonts w:eastAsia="Calibri"/>
          <w:color w:val="000000" w:themeColor="text1"/>
          <w:sz w:val="22"/>
          <w:szCs w:val="22"/>
          <w:lang w:eastAsia="zh-CN"/>
        </w:rPr>
        <w:t>)</w:t>
      </w:r>
      <w:r w:rsidRPr="003F762A" w:rsidR="00B3167C">
        <w:rPr>
          <w:rFonts w:eastAsia="Calibri"/>
          <w:color w:val="000000" w:themeColor="text1"/>
          <w:sz w:val="22"/>
          <w:szCs w:val="22"/>
          <w:lang w:eastAsia="zh-CN"/>
        </w:rPr>
        <w:t xml:space="preserve">, </w:t>
      </w:r>
      <w:r w:rsidR="0087242D">
        <w:rPr>
          <w:rFonts w:eastAsia="Calibri"/>
          <w:color w:val="000000" w:themeColor="text1"/>
          <w:sz w:val="22"/>
          <w:szCs w:val="22"/>
        </w:rPr>
        <w:t>Lynn Milan</w:t>
      </w:r>
      <w:r w:rsidRPr="003F762A" w:rsidR="00B3167C">
        <w:rPr>
          <w:rFonts w:eastAsia="Calibri"/>
          <w:color w:val="000000" w:themeColor="text1"/>
          <w:sz w:val="22"/>
          <w:szCs w:val="22"/>
        </w:rPr>
        <w:t xml:space="preserve">, SDR Project Officer </w:t>
      </w:r>
      <w:r w:rsidRPr="003F762A" w:rsidR="00B3167C">
        <w:rPr>
          <w:color w:val="000000" w:themeColor="text1"/>
          <w:sz w:val="22"/>
          <w:szCs w:val="22"/>
        </w:rPr>
        <w:t>(</w:t>
      </w:r>
      <w:r w:rsidRPr="008628EA" w:rsidR="008628EA">
        <w:rPr>
          <w:color w:val="000000" w:themeColor="text1"/>
          <w:sz w:val="22"/>
          <w:szCs w:val="22"/>
        </w:rPr>
        <w:t>703</w:t>
      </w:r>
      <w:r w:rsidR="008628EA">
        <w:rPr>
          <w:color w:val="000000" w:themeColor="text1"/>
          <w:sz w:val="22"/>
          <w:szCs w:val="22"/>
        </w:rPr>
        <w:t>-</w:t>
      </w:r>
      <w:r w:rsidRPr="008628EA" w:rsidR="008628EA">
        <w:rPr>
          <w:color w:val="000000" w:themeColor="text1"/>
          <w:sz w:val="22"/>
          <w:szCs w:val="22"/>
        </w:rPr>
        <w:t>292-2275</w:t>
      </w:r>
      <w:r w:rsidRPr="003F762A" w:rsidR="00B3167C">
        <w:rPr>
          <w:color w:val="000000" w:themeColor="text1"/>
          <w:sz w:val="22"/>
          <w:szCs w:val="22"/>
        </w:rPr>
        <w:t xml:space="preserve">) and Wan-Ying Chang, NCSES Mathematical Statistician </w:t>
      </w:r>
      <w:r>
        <w:rPr>
          <w:color w:val="000000" w:themeColor="text1"/>
          <w:sz w:val="22"/>
          <w:szCs w:val="22"/>
        </w:rPr>
        <w:t xml:space="preserve">and the lead SDR sampling statistician </w:t>
      </w:r>
      <w:r w:rsidRPr="003F762A" w:rsidR="00B3167C">
        <w:rPr>
          <w:color w:val="000000" w:themeColor="text1"/>
          <w:sz w:val="22"/>
          <w:szCs w:val="22"/>
        </w:rPr>
        <w:t>(703-292-2310).</w:t>
      </w:r>
    </w:p>
    <w:sectPr w:rsidSect="00735395">
      <w:headerReference w:type="even" r:id="rId23"/>
      <w:headerReference w:type="default" r:id="rId24"/>
      <w:footerReference w:type="even" r:id="rId25"/>
      <w:footerReference w:type="default" r:id="rId26"/>
      <w:headerReference w:type="first" r:id="rId27"/>
      <w:footerReference w:type="first" r:id="rId28"/>
      <w:pgSz w:w="12240" w:h="15840" w:code="1"/>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OMIJ M+ Helvetica">
    <w:altName w:val="Arial"/>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Garamond-Regular">
    <w:altName w:val="Times New Roman"/>
    <w:panose1 w:val="00000000000000000000"/>
    <w:charset w:val="4D"/>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MT">
    <w:altName w:val="Arial"/>
    <w:panose1 w:val="00000000000000000000"/>
    <w:charset w:val="4D"/>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51F39" w14:paraId="0004F7A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36B5A" w:rsidP="00551F39" w14:paraId="41806D6D" w14:textId="210860B2">
    <w:pPr>
      <w:pStyle w:val="Footer"/>
    </w:pPr>
    <w:bookmarkStart w:id="4" w:name="TITUS1FooterPrimary"/>
    <w:r w:rsidRPr="00551F39">
      <w:rPr>
        <w:color w:val="000000"/>
        <w:sz w:val="17"/>
      </w:rPr>
      <w:t>  </w:t>
    </w:r>
    <w:bookmarkEnd w:id="4"/>
  </w:p>
  <w:p w:rsidR="00FA0137" w14:paraId="517B66A3" w14:textId="084A2768">
    <w:pPr>
      <w:pStyle w:val="Footer"/>
      <w:jc w:val="center"/>
    </w:pPr>
  </w:p>
  <w:p w:rsidR="00FA0137" w:rsidRPr="00326E5A" w:rsidP="00326E5A" w14:paraId="5D589576" w14:textId="5D338E1E">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51F39" w14:paraId="702C5CEB"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51F39" w14:paraId="2C39FB30"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51F39" w:rsidP="00551F39" w14:paraId="7A419A1E" w14:textId="5713B3FC">
    <w:pPr>
      <w:pStyle w:val="Footer"/>
      <w:rPr>
        <w:color w:val="000000"/>
        <w:sz w:val="17"/>
      </w:rPr>
    </w:pPr>
    <w:bookmarkStart w:id="42" w:name="TITUS2FooterPrimary"/>
    <w:r>
      <w:rPr>
        <w:color w:val="000000"/>
        <w:sz w:val="17"/>
      </w:rPr>
      <w:t>  </w:t>
    </w:r>
    <w:bookmarkEnd w:id="42"/>
  </w:p>
  <w:p w:rsidR="00022C17" w:rsidP="00836B5A" w14:paraId="7B68043D" w14:textId="5473D1B9">
    <w:pPr>
      <w:pStyle w:val="Footer"/>
    </w:pPr>
    <w:r w:rsidRPr="00836B5A">
      <w:rPr>
        <w:color w:val="000000"/>
        <w:sz w:val="17"/>
      </w:rPr>
      <w:t>  </w:t>
    </w:r>
  </w:p>
  <w:p w:rsidR="00022C17" w14:paraId="6077A014" w14:textId="6EB54FAD">
    <w:pPr>
      <w:pStyle w:val="Footer"/>
      <w:jc w:val="center"/>
    </w:pPr>
    <w:sdt>
      <w:sdtPr>
        <w:id w:val="-18059104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15</w:t>
        </w:r>
        <w:r>
          <w:rPr>
            <w:noProof/>
          </w:rPr>
          <w:fldChar w:fldCharType="end"/>
        </w:r>
      </w:sdtContent>
    </w:sdt>
  </w:p>
  <w:p w:rsidR="00022C17" w:rsidRPr="00326E5A" w:rsidP="00326E5A" w14:paraId="68450C49" w14:textId="77777777">
    <w:pPr>
      <w:pStyle w:val="Footer"/>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51F39" w14:paraId="7987558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815E7" w14:paraId="664BD01F" w14:textId="77777777">
      <w:r>
        <w:separator/>
      </w:r>
    </w:p>
  </w:footnote>
  <w:footnote w:type="continuationSeparator" w:id="1">
    <w:p w:rsidR="000815E7" w14:paraId="03C3A577" w14:textId="77777777">
      <w:r>
        <w:continuationSeparator/>
      </w:r>
    </w:p>
  </w:footnote>
  <w:footnote w:type="continuationNotice" w:id="2">
    <w:p w:rsidR="000815E7" w14:paraId="7E8F1E67" w14:textId="77777777"/>
  </w:footnote>
  <w:footnote w:id="3">
    <w:p w:rsidR="00D2073E" w14:paraId="2D5A2179" w14:textId="48BBB5FE">
      <w:pPr>
        <w:pStyle w:val="FootnoteText"/>
      </w:pPr>
      <w:r>
        <w:rPr>
          <w:rStyle w:val="FootnoteReference"/>
        </w:rPr>
        <w:footnoteRef/>
      </w:r>
      <w:r>
        <w:t xml:space="preserve"> For 2023 SDR sampling, </w:t>
      </w:r>
      <w:r w:rsidRPr="00D2073E">
        <w:t xml:space="preserve">URM </w:t>
      </w:r>
      <w:r w:rsidR="005E250F">
        <w:t xml:space="preserve">individuals who report they are </w:t>
      </w:r>
      <w:r w:rsidRPr="00D2073E">
        <w:t>Hispanic</w:t>
      </w:r>
      <w:r w:rsidR="005E250F">
        <w:t xml:space="preserve"> and any race;</w:t>
      </w:r>
      <w:r w:rsidRPr="00D2073E">
        <w:t xml:space="preserve"> </w:t>
      </w:r>
      <w:r w:rsidR="005E250F">
        <w:t>n</w:t>
      </w:r>
      <w:r w:rsidRPr="00D2073E">
        <w:t xml:space="preserve">on-Hispanic </w:t>
      </w:r>
      <w:r w:rsidR="005E250F">
        <w:t>B</w:t>
      </w:r>
      <w:r w:rsidRPr="00D2073E">
        <w:t xml:space="preserve">lack, </w:t>
      </w:r>
      <w:r w:rsidR="009F3148">
        <w:t>a</w:t>
      </w:r>
      <w:r w:rsidRPr="00D2073E">
        <w:t>lone</w:t>
      </w:r>
      <w:r w:rsidR="005E250F">
        <w:t>; n</w:t>
      </w:r>
      <w:r w:rsidRPr="00D2073E">
        <w:t xml:space="preserve">on-Hispanic </w:t>
      </w:r>
      <w:r w:rsidR="009F3148">
        <w:t>American Indian/Alaskan Native, a</w:t>
      </w:r>
      <w:r w:rsidRPr="00D2073E">
        <w:t>lone</w:t>
      </w:r>
      <w:r w:rsidR="009F3148">
        <w:t>;</w:t>
      </w:r>
      <w:r w:rsidRPr="00D2073E">
        <w:t xml:space="preserve"> </w:t>
      </w:r>
      <w:r w:rsidR="009F3148">
        <w:t>or n</w:t>
      </w:r>
      <w:r w:rsidRPr="00D2073E">
        <w:t xml:space="preserve">on-Hispanic </w:t>
      </w:r>
      <w:r w:rsidR="00291086">
        <w:t>Native Hawaiian/Other Pacific Islander, a</w:t>
      </w:r>
      <w:r w:rsidRPr="00D2073E">
        <w:t>lone</w:t>
      </w:r>
      <w:r w:rsidR="00291086">
        <w:t>.</w:t>
      </w:r>
      <w:r w:rsidR="00266AAD">
        <w:t xml:space="preserve"> In a change from the 2021 SDR design, n</w:t>
      </w:r>
      <w:r w:rsidRPr="3645D7ED" w:rsidR="00266AAD">
        <w:rPr>
          <w:sz w:val="22"/>
          <w:szCs w:val="22"/>
        </w:rPr>
        <w:t>on-Hispanic multi-race i</w:t>
      </w:r>
      <w:r w:rsidR="00266AAD">
        <w:rPr>
          <w:sz w:val="22"/>
          <w:szCs w:val="22"/>
        </w:rPr>
        <w:t xml:space="preserve">ndividual will no longer be considered URM. </w:t>
      </w:r>
      <w:r w:rsidR="00266AAD">
        <w:t xml:space="preserve"> </w:t>
      </w:r>
    </w:p>
  </w:footnote>
  <w:footnote w:id="4">
    <w:p w:rsidR="3645D7ED" w:rsidP="00FC3DFD" w14:paraId="1BC4F119" w14:textId="347AFAC5">
      <w:pPr>
        <w:pStyle w:val="FootnoteText"/>
      </w:pPr>
      <w:r w:rsidRPr="3645D7ED">
        <w:rPr>
          <w:rStyle w:val="FootnoteReference"/>
        </w:rPr>
        <w:footnoteRef/>
      </w:r>
      <w:r>
        <w:t xml:space="preserve"> https://ncses.nsf.gov/pubs/nsf23315/report/science-and-engineering-degrees-earned#overall-s-e-degrees-earned-by-underrepresented-minorities</w:t>
      </w:r>
      <w:r w:rsidR="00F37033">
        <w:t>.</w:t>
      </w:r>
    </w:p>
  </w:footnote>
  <w:footnote w:id="5">
    <w:p w:rsidR="00307B22" w14:paraId="40FA5B1D" w14:textId="5497DB39">
      <w:pPr>
        <w:pStyle w:val="FootnoteText"/>
      </w:pPr>
      <w:r>
        <w:rPr>
          <w:rStyle w:val="FootnoteReference"/>
        </w:rPr>
        <w:footnoteRef/>
      </w:r>
      <w:r>
        <w:t xml:space="preserve"> More information about the </w:t>
      </w:r>
      <w:r w:rsidR="0016173F">
        <w:t xml:space="preserve">SDR longitudinal panel sample may be found here: </w:t>
      </w:r>
      <w:r w:rsidRPr="0016173F" w:rsidR="0016173F">
        <w:t>ttps://ncses.nsf.gov/pubs/nsf22326</w:t>
      </w:r>
      <w:r w:rsidR="00127B60">
        <w:t>.</w:t>
      </w:r>
    </w:p>
  </w:footnote>
  <w:footnote w:id="6">
    <w:p w:rsidR="00FA0137" w:rsidP="00046B7E" w14:paraId="7ABD5C44" w14:textId="7BFD5394">
      <w:pPr>
        <w:pStyle w:val="FootnoteText"/>
      </w:pPr>
      <w:r w:rsidRPr="0056012C">
        <w:rPr>
          <w:rStyle w:val="FootnoteReference"/>
        </w:rPr>
        <w:footnoteRef/>
      </w:r>
      <w:r w:rsidRPr="0056012C">
        <w:t xml:space="preserve"> </w:t>
      </w:r>
      <w:r w:rsidR="00563BDF">
        <w:rPr>
          <w:rFonts w:eastAsia="Calibri"/>
          <w:lang w:bidi="en-US"/>
        </w:rPr>
        <w:t>LexisNexis</w:t>
      </w:r>
      <w:r w:rsidRPr="0056012C">
        <w:rPr>
          <w:rFonts w:eastAsia="Calibri"/>
          <w:vertAlign w:val="superscript"/>
          <w:lang w:bidi="en-US"/>
        </w:rPr>
        <w:t>®</w:t>
      </w:r>
      <w:r w:rsidRPr="0056012C">
        <w:rPr>
          <w:rFonts w:eastAsia="Calibri"/>
          <w:lang w:bidi="en-US"/>
        </w:rPr>
        <w:t xml:space="preserve"> is a widely accepted locate-and-research tool available to government, law enforcement, and commercial customers</w:t>
      </w:r>
      <w:r>
        <w:rPr>
          <w:rFonts w:eastAsia="Calibri"/>
          <w:lang w:bidi="en-US"/>
        </w:rPr>
        <w:t xml:space="preserve">. </w:t>
      </w:r>
      <w:r w:rsidR="00F647F2">
        <w:rPr>
          <w:rFonts w:eastAsia="Calibri"/>
          <w:lang w:bidi="en-US"/>
        </w:rPr>
        <w:t>S</w:t>
      </w:r>
      <w:r w:rsidRPr="0056012C">
        <w:rPr>
          <w:rFonts w:eastAsia="Calibri"/>
          <w:lang w:bidi="en-US"/>
        </w:rPr>
        <w:t>earches can be run in batch or individually, and the query does not leave a trace in the credit record of the sample person being located</w:t>
      </w:r>
      <w:r w:rsidR="002E0F80">
        <w:rPr>
          <w:rFonts w:eastAsia="Calibri"/>
          <w:lang w:bidi="en-US"/>
        </w:rPr>
        <w:t xml:space="preserve"> and the input data used for the search are not retained</w:t>
      </w:r>
      <w:r>
        <w:rPr>
          <w:rFonts w:eastAsia="Calibri"/>
          <w:lang w:bidi="en-US"/>
        </w:rPr>
        <w:t xml:space="preserve">. </w:t>
      </w:r>
      <w:r w:rsidRPr="0056012C">
        <w:rPr>
          <w:rFonts w:eastAsia="Calibri"/>
          <w:lang w:bidi="en-US"/>
        </w:rPr>
        <w:t xml:space="preserve">In addition to updated address and telephone number information, </w:t>
      </w:r>
      <w:r w:rsidR="00F647F2">
        <w:rPr>
          <w:rFonts w:eastAsia="Calibri"/>
          <w:lang w:bidi="en-US"/>
        </w:rPr>
        <w:t>LexisNexis</w:t>
      </w:r>
      <w:r w:rsidRPr="0056012C">
        <w:rPr>
          <w:rFonts w:eastAsia="Calibri"/>
          <w:vertAlign w:val="superscript"/>
          <w:lang w:bidi="en-US"/>
        </w:rPr>
        <w:t>®</w:t>
      </w:r>
      <w:r w:rsidRPr="0056012C">
        <w:rPr>
          <w:rFonts w:eastAsia="Calibri"/>
          <w:lang w:bidi="en-US"/>
        </w:rPr>
        <w:t xml:space="preserve"> returns deceased status updates</w:t>
      </w:r>
      <w:r w:rsidR="00F647F2">
        <w:rPr>
          <w:rFonts w:eastAsia="Calibri"/>
          <w:lang w:bidi="en-US"/>
        </w:rPr>
        <w:t xml:space="preserve"> and potential email addresses</w:t>
      </w:r>
      <w:r w:rsidRPr="0056012C">
        <w:rPr>
          <w:rFonts w:eastAsia="Calibri"/>
          <w:lang w:bidi="en-US"/>
        </w:rPr>
        <w:t>.</w:t>
      </w:r>
    </w:p>
  </w:footnote>
  <w:footnote w:id="7">
    <w:p w:rsidR="00DD0348" w:rsidP="00DD0348" w14:paraId="5CCCEE1B" w14:textId="6B680776">
      <w:pPr>
        <w:pStyle w:val="FootnoteText"/>
      </w:pPr>
      <w:r>
        <w:rPr>
          <w:rStyle w:val="FootnoteReference"/>
        </w:rPr>
        <w:footnoteRef/>
      </w:r>
      <w:r>
        <w:t xml:space="preserve"> See Geographic Mobility: 2020 to 2021 reported by the Census, Table 1-1. General Mobility, by Race and Hispanic or Latino Origin, Region, Sex, Age, Relationship to Householder, Educational Attainment, Marital Status, Nativity, Tenure, and Poverty Status: 2020 to 2021</w:t>
      </w:r>
      <w:r w:rsidR="00AA5F33">
        <w:t>.</w:t>
      </w:r>
      <w:r>
        <w:t xml:space="preserve"> </w:t>
      </w:r>
      <w:hyperlink r:id="rId1" w:history="1">
        <w:r>
          <w:rPr>
            <w:rStyle w:val="Hyperlink"/>
          </w:rPr>
          <w:t>https://www.census.gov/data/tables/2021/demo/geographic-mobility/cps-2021.html</w:t>
        </w:r>
      </w:hyperlink>
      <w:r>
        <w:t xml:space="preserve">. </w:t>
      </w:r>
    </w:p>
  </w:footnote>
  <w:footnote w:id="8">
    <w:p w:rsidR="00DD0348" w:rsidP="00DD0348" w14:paraId="3CD772F3" w14:textId="7BCC0F6A">
      <w:pPr>
        <w:pStyle w:val="FootnoteText"/>
      </w:pPr>
      <w:r>
        <w:rPr>
          <w:rStyle w:val="FootnoteReference"/>
        </w:rPr>
        <w:footnoteRef/>
      </w:r>
      <w:r>
        <w:t xml:space="preserve"> </w:t>
      </w:r>
      <w:r w:rsidR="00AA5F33">
        <w:t xml:space="preserve">See </w:t>
      </w:r>
      <w:hyperlink r:id="rId2" w:history="1">
        <w:r w:rsidRPr="00AA5F33" w:rsidR="00AA5F33">
          <w:rPr>
            <w:rStyle w:val="Hyperlink"/>
          </w:rPr>
          <w:t>https://bmcmedresmethodol.biomedcentral.com/articles/10.1186/s12874-018-0565-z</w:t>
        </w:r>
      </w:hyperlink>
      <w:r w:rsidR="004325C6">
        <w:t>.</w:t>
      </w:r>
    </w:p>
  </w:footnote>
  <w:footnote w:id="9">
    <w:p w:rsidR="00DD0348" w:rsidP="00DD0348" w14:paraId="3061B8C2" w14:textId="408DB88F">
      <w:pPr>
        <w:pStyle w:val="FootnoteText"/>
      </w:pPr>
      <w:r w:rsidRPr="000F6CA9">
        <w:rPr>
          <w:rStyle w:val="FootnoteReference"/>
        </w:rPr>
        <w:footnoteRef/>
      </w:r>
      <w:r w:rsidRPr="000F6CA9">
        <w:t xml:space="preserve"> </w:t>
      </w:r>
      <w:r w:rsidR="00AA5F33">
        <w:t xml:space="preserve">See </w:t>
      </w:r>
      <w:hyperlink r:id="rId3" w:history="1">
        <w:r w:rsidRPr="00AA5F33" w:rsidR="00AA5F33">
          <w:rPr>
            <w:rStyle w:val="Hyperlink"/>
          </w:rPr>
          <w:t>https://www.census.gov/fedcasic/fc2018/ppt/3AJill.pdf</w:t>
        </w:r>
      </w:hyperlink>
      <w:r w:rsidR="000F6CA9">
        <w:t xml:space="preserve">. </w:t>
      </w:r>
    </w:p>
  </w:footnote>
  <w:footnote w:id="10">
    <w:p w:rsidR="007F3167" w:rsidRPr="00311F7F" w:rsidP="007F3167" w14:paraId="7C1B996F" w14:textId="742C03E8">
      <w:pPr>
        <w:pStyle w:val="FootnoteText"/>
      </w:pPr>
      <w:r w:rsidRPr="00311F7F">
        <w:rPr>
          <w:rStyle w:val="FootnoteReference"/>
        </w:rPr>
        <w:footnoteRef/>
      </w:r>
      <w:r w:rsidRPr="00311F7F">
        <w:t xml:space="preserve"> </w:t>
      </w:r>
      <w:r w:rsidRPr="00311F7F">
        <w:t>See the proposed example for self-response data collections in figure 2 of the federal register</w:t>
      </w:r>
      <w:r w:rsidRPr="00311F7F" w:rsidR="001F055D">
        <w:t xml:space="preserve"> </w:t>
      </w:r>
      <w:r w:rsidRPr="00311F7F" w:rsidR="007707C4">
        <w:t xml:space="preserve">notice </w:t>
      </w:r>
      <w:r w:rsidRPr="00311F7F" w:rsidR="001F055D">
        <w:t>at</w:t>
      </w:r>
    </w:p>
    <w:p w:rsidR="000D195E" w:rsidP="007F3167" w14:paraId="51730790" w14:textId="4F1B14B9">
      <w:pPr>
        <w:pStyle w:val="FootnoteText"/>
      </w:pPr>
      <w:hyperlink r:id="rId4" w:history="1">
        <w:r w:rsidRPr="00311F7F" w:rsidR="007F3167">
          <w:rPr>
            <w:rStyle w:val="Hyperlink"/>
          </w:rPr>
          <w:t>https://www.federalregister.gov/documents/2023/01/27/2023-01635/initial-proposals-for-updating-ombs-race-and-ethnicity-statistical-standards</w:t>
        </w:r>
      </w:hyperlink>
      <w:r w:rsidRPr="00311F7F" w:rsidR="001F055D">
        <w:t>.</w:t>
      </w:r>
      <w:r w:rsidR="008D16F2">
        <w:t xml:space="preserve"> For more information on OMB’s efforts to update the race and ethnicity standards, please see </w:t>
      </w:r>
      <w:hyperlink r:id="rId5" w:history="1">
        <w:r w:rsidRPr="002A06A2" w:rsidR="008D16F2">
          <w:rPr>
            <w:rStyle w:val="Hyperlink"/>
          </w:rPr>
          <w:t>https://</w:t>
        </w:r>
        <w:r w:rsidRPr="008D16F2" w:rsidR="008D16F2">
          <w:rPr>
            <w:rStyle w:val="Hyperlink"/>
          </w:rPr>
          <w:t>spd15revision.gov</w:t>
        </w:r>
      </w:hyperlink>
      <w:r w:rsidR="008D16F2">
        <w:t xml:space="preserve">.  </w:t>
      </w:r>
    </w:p>
  </w:footnote>
  <w:footnote w:id="11">
    <w:p w:rsidR="000414BE" w14:paraId="121C3565" w14:textId="02499DDA">
      <w:pPr>
        <w:pStyle w:val="FootnoteText"/>
      </w:pPr>
      <w:r>
        <w:rPr>
          <w:rStyle w:val="FootnoteReference"/>
        </w:rPr>
        <w:footnoteRef/>
      </w:r>
      <w:r>
        <w:t xml:space="preserve"> See </w:t>
      </w:r>
      <w:r w:rsidRPr="006325CC" w:rsidR="006325CC">
        <w:t>https://doi.org/10.1201/9781315153964</w:t>
      </w:r>
      <w:r w:rsidR="006325CC">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51F39" w14:paraId="625D8BA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51F39" w:rsidP="00551F39" w14:paraId="3B72AE6F" w14:textId="340DE2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51F39" w14:paraId="272E7E5A"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51F39" w14:paraId="42B5969D"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51F39" w:rsidP="00551F39" w14:paraId="30BED48E" w14:textId="481E33B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51F39" w14:paraId="61BB368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9"/>
    <w:multiLevelType w:val="singleLevel"/>
    <w:tmpl w:val="F6F0FA8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8F84460"/>
    <w:multiLevelType w:val="multilevel"/>
    <w:tmpl w:val="86D04CDE"/>
    <w:styleLink w:val="bullet1Garamond"/>
    <w:lvl w:ilvl="0">
      <w:start w:val="1"/>
      <w:numFmt w:val="bullet"/>
      <w:pStyle w:val="NORCBullet1TimesNewRomanSquare"/>
      <w:lvlText w:val=""/>
      <w:lvlJc w:val="left"/>
      <w:pPr>
        <w:tabs>
          <w:tab w:val="num" w:pos="720"/>
        </w:tabs>
        <w:ind w:left="720" w:hanging="360"/>
      </w:pPr>
      <w:rPr>
        <w:rFonts w:ascii="Wingdings" w:hAnsi="Wingdings" w:hint="default"/>
        <w:color w:val="F3901D"/>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096B024A"/>
    <w:multiLevelType w:val="singleLevel"/>
    <w:tmpl w:val="35100178"/>
    <w:lvl w:ilvl="0">
      <w:start w:val="1"/>
      <w:numFmt w:val="bullet"/>
      <w:pStyle w:val="ParagraphLAST"/>
      <w:lvlText w:val=""/>
      <w:lvlJc w:val="left"/>
      <w:pPr>
        <w:tabs>
          <w:tab w:val="num" w:pos="360"/>
        </w:tabs>
        <w:ind w:left="360" w:hanging="360"/>
      </w:pPr>
      <w:rPr>
        <w:rFonts w:ascii="Symbol" w:hAnsi="Symbol" w:hint="default"/>
      </w:rPr>
    </w:lvl>
  </w:abstractNum>
  <w:abstractNum w:abstractNumId="3">
    <w:nsid w:val="0AA80187"/>
    <w:multiLevelType w:val="hybridMultilevel"/>
    <w:tmpl w:val="E932EA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E4F2290"/>
    <w:multiLevelType w:val="multilevel"/>
    <w:tmpl w:val="087A99D8"/>
    <w:lvl w:ilvl="0">
      <w:start w:val="1"/>
      <w:numFmt w:val="decimal"/>
      <w:pStyle w:val="NORCListNumber1"/>
      <w:lvlText w:val="%1."/>
      <w:lvlJc w:val="left"/>
      <w:pPr>
        <w:ind w:left="720" w:hanging="360"/>
      </w:pPr>
      <w:rPr>
        <w:rFonts w:hint="default"/>
      </w:rPr>
    </w:lvl>
    <w:lvl w:ilvl="1">
      <w:start w:val="9"/>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nsid w:val="27E9442D"/>
    <w:multiLevelType w:val="multilevel"/>
    <w:tmpl w:val="03C4C950"/>
    <w:lvl w:ilvl="0">
      <w:start w:val="1"/>
      <w:numFmt w:val="bullet"/>
      <w:pStyle w:val="NORCBullet2TimesNewRomanTriangle"/>
      <w:lvlText w:val=""/>
      <w:lvlJc w:val="left"/>
      <w:pPr>
        <w:ind w:left="1080" w:hanging="360"/>
      </w:pPr>
      <w:rPr>
        <w:rFonts w:ascii="Wingdings 3" w:hAnsi="Wingdings 3" w:hint="default"/>
        <w:color w:val="F3901D"/>
        <w:sz w:val="18"/>
        <w:szCs w:val="18"/>
      </w:rPr>
    </w:lvl>
    <w:lvl w:ilvl="1">
      <w:start w:val="1"/>
      <w:numFmt w:val="decimal"/>
      <w:lvlText w:val="%2."/>
      <w:lvlJc w:val="left"/>
      <w:pPr>
        <w:tabs>
          <w:tab w:val="num" w:pos="2160"/>
        </w:tabs>
        <w:ind w:left="2160" w:hanging="720"/>
      </w:pPr>
      <w:rPr>
        <w:rFonts w:hint="default"/>
      </w:rPr>
    </w:lvl>
    <w:lvl w:ilvl="2">
      <w:start w:val="1"/>
      <w:numFmt w:val="decimal"/>
      <w:lvlText w:val="%3."/>
      <w:lvlJc w:val="left"/>
      <w:pPr>
        <w:tabs>
          <w:tab w:val="num" w:pos="2880"/>
        </w:tabs>
        <w:ind w:left="2880" w:hanging="720"/>
      </w:pPr>
      <w:rPr>
        <w:rFonts w:hint="default"/>
      </w:rPr>
    </w:lvl>
    <w:lvl w:ilvl="3">
      <w:start w:val="1"/>
      <w:numFmt w:val="decimal"/>
      <w:lvlText w:val="%4."/>
      <w:lvlJc w:val="left"/>
      <w:pPr>
        <w:tabs>
          <w:tab w:val="num" w:pos="3600"/>
        </w:tabs>
        <w:ind w:left="3600" w:hanging="720"/>
      </w:pPr>
      <w:rPr>
        <w:rFonts w:hint="default"/>
      </w:rPr>
    </w:lvl>
    <w:lvl w:ilvl="4">
      <w:start w:val="1"/>
      <w:numFmt w:val="decimal"/>
      <w:lvlText w:val="%5."/>
      <w:lvlJc w:val="left"/>
      <w:pPr>
        <w:tabs>
          <w:tab w:val="num" w:pos="4320"/>
        </w:tabs>
        <w:ind w:left="4320" w:hanging="720"/>
      </w:pPr>
      <w:rPr>
        <w:rFonts w:hint="default"/>
      </w:rPr>
    </w:lvl>
    <w:lvl w:ilvl="5">
      <w:start w:val="1"/>
      <w:numFmt w:val="decimal"/>
      <w:lvlText w:val="%6."/>
      <w:lvlJc w:val="left"/>
      <w:pPr>
        <w:tabs>
          <w:tab w:val="num" w:pos="5040"/>
        </w:tabs>
        <w:ind w:left="5040" w:hanging="720"/>
      </w:pPr>
      <w:rPr>
        <w:rFonts w:hint="default"/>
      </w:rPr>
    </w:lvl>
    <w:lvl w:ilvl="6">
      <w:start w:val="1"/>
      <w:numFmt w:val="decimal"/>
      <w:lvlText w:val="%7."/>
      <w:lvlJc w:val="left"/>
      <w:pPr>
        <w:tabs>
          <w:tab w:val="num" w:pos="5760"/>
        </w:tabs>
        <w:ind w:left="5760" w:hanging="720"/>
      </w:pPr>
      <w:rPr>
        <w:rFonts w:hint="default"/>
      </w:rPr>
    </w:lvl>
    <w:lvl w:ilvl="7">
      <w:start w:val="1"/>
      <w:numFmt w:val="decimal"/>
      <w:lvlText w:val="%8."/>
      <w:lvlJc w:val="left"/>
      <w:pPr>
        <w:tabs>
          <w:tab w:val="num" w:pos="6480"/>
        </w:tabs>
        <w:ind w:left="6480" w:hanging="720"/>
      </w:pPr>
      <w:rPr>
        <w:rFonts w:hint="default"/>
      </w:rPr>
    </w:lvl>
    <w:lvl w:ilvl="8">
      <w:start w:val="1"/>
      <w:numFmt w:val="decimal"/>
      <w:lvlText w:val="%9."/>
      <w:lvlJc w:val="left"/>
      <w:pPr>
        <w:tabs>
          <w:tab w:val="num" w:pos="7200"/>
        </w:tabs>
        <w:ind w:left="7200" w:hanging="720"/>
      </w:pPr>
      <w:rPr>
        <w:rFonts w:hint="default"/>
      </w:rPr>
    </w:lvl>
  </w:abstractNum>
  <w:abstractNum w:abstractNumId="6">
    <w:nsid w:val="2A3A3383"/>
    <w:multiLevelType w:val="hybridMultilevel"/>
    <w:tmpl w:val="D772CC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09E4DB3"/>
    <w:multiLevelType w:val="hybridMultilevel"/>
    <w:tmpl w:val="4F167AF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BE17771"/>
    <w:multiLevelType w:val="hybridMultilevel"/>
    <w:tmpl w:val="819A8DB4"/>
    <w:lvl w:ilvl="0">
      <w:start w:val="1"/>
      <w:numFmt w:val="decimal"/>
      <w:pStyle w:val="ListParagraph"/>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C3F0452"/>
    <w:multiLevelType w:val="multilevel"/>
    <w:tmpl w:val="86D04CDE"/>
    <w:numStyleLink w:val="bullet1Garamond"/>
  </w:abstractNum>
  <w:abstractNum w:abstractNumId="10">
    <w:nsid w:val="40233E13"/>
    <w:multiLevelType w:val="hybridMultilevel"/>
    <w:tmpl w:val="22CE7CDA"/>
    <w:lvl w:ilvl="0">
      <w:start w:val="1"/>
      <w:numFmt w:val="bullet"/>
      <w:pStyle w:val="BulletLAS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0E14385"/>
    <w:multiLevelType w:val="hybridMultilevel"/>
    <w:tmpl w:val="72CA2F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559913A9"/>
    <w:multiLevelType w:val="singleLevel"/>
    <w:tmpl w:val="25407178"/>
    <w:lvl w:ilvl="0">
      <w:start w:val="1"/>
      <w:numFmt w:val="decimal"/>
      <w:pStyle w:val="ListNumber"/>
      <w:lvlText w:val="%1)"/>
      <w:legacy w:legacy="1" w:legacySpace="0" w:legacyIndent="360"/>
      <w:lvlJc w:val="left"/>
      <w:pPr>
        <w:ind w:left="1440" w:hanging="360"/>
      </w:pPr>
      <w:rPr>
        <w:rFonts w:ascii="Arial Black" w:hAnsi="Arial Black" w:hint="default"/>
        <w:b w:val="0"/>
        <w:i w:val="0"/>
        <w:sz w:val="18"/>
      </w:rPr>
    </w:lvl>
  </w:abstractNum>
  <w:abstractNum w:abstractNumId="13">
    <w:nsid w:val="571916D6"/>
    <w:multiLevelType w:val="hybridMultilevel"/>
    <w:tmpl w:val="57E423F4"/>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8921DB1"/>
    <w:multiLevelType w:val="hybridMultilevel"/>
    <w:tmpl w:val="4A4A6A5A"/>
    <w:lvl w:ilvl="0">
      <w:start w:val="1"/>
      <w:numFmt w:val="bullet"/>
      <w:pStyle w:val="Style1"/>
      <w:lvlText w:val=""/>
      <w:lvlJc w:val="left"/>
      <w:pPr>
        <w:tabs>
          <w:tab w:val="num" w:pos="1080"/>
        </w:tabs>
        <w:ind w:left="1080" w:hanging="360"/>
      </w:pPr>
      <w:rPr>
        <w:rFonts w:ascii="Wingdings" w:hAnsi="Wingdings"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pStyle w:val="ListBullet3"/>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5">
    <w:nsid w:val="5B186378"/>
    <w:multiLevelType w:val="hybridMultilevel"/>
    <w:tmpl w:val="F80A4FEE"/>
    <w:lvl w:ilvl="0">
      <w:start w:val="1"/>
      <w:numFmt w:val="lowerLetter"/>
      <w:lvlText w:val="%1."/>
      <w:lvlJc w:val="left"/>
      <w:pPr>
        <w:ind w:left="1080" w:hanging="360"/>
      </w:pPr>
      <w:rPr>
        <w:rFonts w:hint="default"/>
        <w:b w:val="0"/>
        <w:color w:val="auto"/>
        <w:sz w:val="22"/>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5C4755FB"/>
    <w:multiLevelType w:val="multilevel"/>
    <w:tmpl w:val="4B100FD8"/>
    <w:lvl w:ilvl="0">
      <w:start w:val="1"/>
      <w:numFmt w:val="bullet"/>
      <w:pStyle w:val="NORCBullet3ArialRound"/>
      <w:lvlText w:val=""/>
      <w:lvlJc w:val="left"/>
      <w:pPr>
        <w:ind w:left="1440" w:hanging="360"/>
      </w:pPr>
      <w:rPr>
        <w:rFonts w:ascii="Symbol" w:hAnsi="Symbol" w:hint="default"/>
        <w:color w:val="F3901D"/>
        <w:sz w:val="22"/>
        <w:szCs w:val="22"/>
      </w:rPr>
    </w:lvl>
    <w:lvl w:ilvl="1">
      <w:start w:val="1"/>
      <w:numFmt w:val="decimal"/>
      <w:lvlText w:val="%2."/>
      <w:lvlJc w:val="left"/>
      <w:pPr>
        <w:tabs>
          <w:tab w:val="num" w:pos="2520"/>
        </w:tabs>
        <w:ind w:left="2520" w:hanging="720"/>
      </w:pPr>
      <w:rPr>
        <w:rFonts w:hint="default"/>
      </w:rPr>
    </w:lvl>
    <w:lvl w:ilvl="2">
      <w:start w:val="1"/>
      <w:numFmt w:val="decimal"/>
      <w:lvlText w:val="%3."/>
      <w:lvlJc w:val="left"/>
      <w:pPr>
        <w:tabs>
          <w:tab w:val="num" w:pos="3240"/>
        </w:tabs>
        <w:ind w:left="3240" w:hanging="720"/>
      </w:pPr>
      <w:rPr>
        <w:rFonts w:hint="default"/>
      </w:rPr>
    </w:lvl>
    <w:lvl w:ilvl="3">
      <w:start w:val="1"/>
      <w:numFmt w:val="decimal"/>
      <w:lvlText w:val="%4."/>
      <w:lvlJc w:val="left"/>
      <w:pPr>
        <w:tabs>
          <w:tab w:val="num" w:pos="3960"/>
        </w:tabs>
        <w:ind w:left="3960" w:hanging="720"/>
      </w:pPr>
      <w:rPr>
        <w:rFonts w:hint="default"/>
      </w:rPr>
    </w:lvl>
    <w:lvl w:ilvl="4">
      <w:start w:val="1"/>
      <w:numFmt w:val="decimal"/>
      <w:lvlText w:val="%5."/>
      <w:lvlJc w:val="left"/>
      <w:pPr>
        <w:tabs>
          <w:tab w:val="num" w:pos="4680"/>
        </w:tabs>
        <w:ind w:left="4680" w:hanging="720"/>
      </w:pPr>
      <w:rPr>
        <w:rFonts w:hint="default"/>
      </w:rPr>
    </w:lvl>
    <w:lvl w:ilvl="5">
      <w:start w:val="1"/>
      <w:numFmt w:val="decimal"/>
      <w:lvlText w:val="%6."/>
      <w:lvlJc w:val="left"/>
      <w:pPr>
        <w:tabs>
          <w:tab w:val="num" w:pos="5400"/>
        </w:tabs>
        <w:ind w:left="5400" w:hanging="720"/>
      </w:pPr>
      <w:rPr>
        <w:rFonts w:hint="default"/>
      </w:rPr>
    </w:lvl>
    <w:lvl w:ilvl="6">
      <w:start w:val="1"/>
      <w:numFmt w:val="decimal"/>
      <w:lvlText w:val="%7."/>
      <w:lvlJc w:val="left"/>
      <w:pPr>
        <w:tabs>
          <w:tab w:val="num" w:pos="6120"/>
        </w:tabs>
        <w:ind w:left="6120" w:hanging="720"/>
      </w:pPr>
      <w:rPr>
        <w:rFonts w:hint="default"/>
      </w:rPr>
    </w:lvl>
    <w:lvl w:ilvl="7">
      <w:start w:val="1"/>
      <w:numFmt w:val="decimal"/>
      <w:lvlText w:val="%8."/>
      <w:lvlJc w:val="left"/>
      <w:pPr>
        <w:tabs>
          <w:tab w:val="num" w:pos="6840"/>
        </w:tabs>
        <w:ind w:left="6840" w:hanging="720"/>
      </w:pPr>
      <w:rPr>
        <w:rFonts w:hint="default"/>
      </w:rPr>
    </w:lvl>
    <w:lvl w:ilvl="8">
      <w:start w:val="1"/>
      <w:numFmt w:val="decimal"/>
      <w:lvlText w:val="%9."/>
      <w:lvlJc w:val="left"/>
      <w:pPr>
        <w:tabs>
          <w:tab w:val="num" w:pos="7560"/>
        </w:tabs>
        <w:ind w:left="7560" w:hanging="720"/>
      </w:pPr>
      <w:rPr>
        <w:rFonts w:hint="default"/>
      </w:rPr>
    </w:lvl>
  </w:abstractNum>
  <w:abstractNum w:abstractNumId="17">
    <w:nsid w:val="5DE60B53"/>
    <w:multiLevelType w:val="hybridMultilevel"/>
    <w:tmpl w:val="13C025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2546DCC"/>
    <w:multiLevelType w:val="multilevel"/>
    <w:tmpl w:val="EC503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64782593"/>
    <w:multiLevelType w:val="hybridMultilevel"/>
    <w:tmpl w:val="0F8E01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6533C0D"/>
    <w:multiLevelType w:val="hybridMultilevel"/>
    <w:tmpl w:val="1B1C88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67796B03"/>
    <w:multiLevelType w:val="hybridMultilevel"/>
    <w:tmpl w:val="B02298E4"/>
    <w:lvl w:ilvl="0">
      <w:start w:val="0"/>
      <w:numFmt w:val="decimal"/>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68D044B3"/>
    <w:multiLevelType w:val="hybridMultilevel"/>
    <w:tmpl w:val="FE189BB6"/>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3">
    <w:nsid w:val="69A4FBB8"/>
    <w:multiLevelType w:val="hybridMultilevel"/>
    <w:tmpl w:val="3D0C79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nsid w:val="727B1B7B"/>
    <w:multiLevelType w:val="multilevel"/>
    <w:tmpl w:val="E2C68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733E6EFE"/>
    <w:multiLevelType w:val="hybridMultilevel"/>
    <w:tmpl w:val="E932EA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78CD1C87"/>
    <w:multiLevelType w:val="hybridMultilevel"/>
    <w:tmpl w:val="4F12FC62"/>
    <w:lvl w:ilvl="0">
      <w:start w:val="1"/>
      <w:numFmt w:val="bullet"/>
      <w:pStyle w:val="NORCBullet3TimesNewRomanRound"/>
      <w:lvlText w:val=""/>
      <w:lvlJc w:val="left"/>
      <w:pPr>
        <w:ind w:left="1440" w:hanging="360"/>
      </w:pPr>
      <w:rPr>
        <w:rFonts w:ascii="Symbol" w:hAnsi="Symbol" w:hint="default"/>
        <w:color w:val="F3901D"/>
        <w:sz w:val="22"/>
        <w:szCs w:val="22"/>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num w:numId="1" w16cid:durableId="2052025566">
    <w:abstractNumId w:val="23"/>
  </w:num>
  <w:num w:numId="2" w16cid:durableId="581135923">
    <w:abstractNumId w:val="10"/>
  </w:num>
  <w:num w:numId="3" w16cid:durableId="1701395044">
    <w:abstractNumId w:val="2"/>
  </w:num>
  <w:num w:numId="4" w16cid:durableId="494689740">
    <w:abstractNumId w:val="0"/>
  </w:num>
  <w:num w:numId="5" w16cid:durableId="1844584455">
    <w:abstractNumId w:val="1"/>
  </w:num>
  <w:num w:numId="6" w16cid:durableId="1942107696">
    <w:abstractNumId w:val="5"/>
  </w:num>
  <w:num w:numId="7" w16cid:durableId="1713068444">
    <w:abstractNumId w:val="9"/>
  </w:num>
  <w:num w:numId="8" w16cid:durableId="151993996">
    <w:abstractNumId w:val="16"/>
  </w:num>
  <w:num w:numId="9" w16cid:durableId="1031608383">
    <w:abstractNumId w:val="26"/>
  </w:num>
  <w:num w:numId="10" w16cid:durableId="1698312594">
    <w:abstractNumId w:val="14"/>
  </w:num>
  <w:num w:numId="11" w16cid:durableId="1686008174">
    <w:abstractNumId w:val="12"/>
  </w:num>
  <w:num w:numId="12" w16cid:durableId="2128430251">
    <w:abstractNumId w:val="8"/>
  </w:num>
  <w:num w:numId="13" w16cid:durableId="743379430">
    <w:abstractNumId w:val="8"/>
    <w:lvlOverride w:ilvl="0">
      <w:startOverride w:val="1"/>
    </w:lvlOverride>
  </w:num>
  <w:num w:numId="14" w16cid:durableId="1543009411">
    <w:abstractNumId w:val="15"/>
  </w:num>
  <w:num w:numId="15" w16cid:durableId="249698823">
    <w:abstractNumId w:val="13"/>
  </w:num>
  <w:num w:numId="16" w16cid:durableId="296955768">
    <w:abstractNumId w:val="6"/>
  </w:num>
  <w:num w:numId="17" w16cid:durableId="1848715794">
    <w:abstractNumId w:val="20"/>
  </w:num>
  <w:num w:numId="18" w16cid:durableId="3440147">
    <w:abstractNumId w:val="4"/>
  </w:num>
  <w:num w:numId="19" w16cid:durableId="2053844761">
    <w:abstractNumId w:val="19"/>
  </w:num>
  <w:num w:numId="20" w16cid:durableId="1354453711">
    <w:abstractNumId w:val="17"/>
  </w:num>
  <w:num w:numId="21" w16cid:durableId="1017579987">
    <w:abstractNumId w:val="7"/>
  </w:num>
  <w:num w:numId="22" w16cid:durableId="545800463">
    <w:abstractNumId w:val="25"/>
  </w:num>
  <w:num w:numId="23" w16cid:durableId="366805412">
    <w:abstractNumId w:val="3"/>
  </w:num>
  <w:num w:numId="24" w16cid:durableId="1637949843">
    <w:abstractNumId w:val="22"/>
  </w:num>
  <w:num w:numId="25" w16cid:durableId="66613247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26925848">
    <w:abstractNumId w:val="21"/>
  </w:num>
  <w:num w:numId="27" w16cid:durableId="1295133592">
    <w:abstractNumId w:val="24"/>
  </w:num>
  <w:num w:numId="28" w16cid:durableId="391150325">
    <w:abstractNumId w:val="18"/>
  </w:num>
  <w:num w:numId="29" w16cid:durableId="19803820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stylePaneSortMethod w:val="name"/>
  <w:defaultTabStop w:val="720"/>
  <w:drawingGridHorizontalSpacing w:val="120"/>
  <w:displayHorizontalDrawingGridEvery w:val="2"/>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3B7"/>
    <w:rsid w:val="000020AF"/>
    <w:rsid w:val="000023E1"/>
    <w:rsid w:val="00002CBF"/>
    <w:rsid w:val="00002E59"/>
    <w:rsid w:val="00002F38"/>
    <w:rsid w:val="00003F2C"/>
    <w:rsid w:val="0000488A"/>
    <w:rsid w:val="00005923"/>
    <w:rsid w:val="00005BA6"/>
    <w:rsid w:val="00005C5E"/>
    <w:rsid w:val="00005E35"/>
    <w:rsid w:val="00006517"/>
    <w:rsid w:val="000065D5"/>
    <w:rsid w:val="00007366"/>
    <w:rsid w:val="00007A89"/>
    <w:rsid w:val="00010126"/>
    <w:rsid w:val="000104D5"/>
    <w:rsid w:val="000129F9"/>
    <w:rsid w:val="0001338D"/>
    <w:rsid w:val="00013CC4"/>
    <w:rsid w:val="00014182"/>
    <w:rsid w:val="00015408"/>
    <w:rsid w:val="000161A2"/>
    <w:rsid w:val="000162A6"/>
    <w:rsid w:val="000164CA"/>
    <w:rsid w:val="00016DAE"/>
    <w:rsid w:val="00020881"/>
    <w:rsid w:val="00020B36"/>
    <w:rsid w:val="00020EB0"/>
    <w:rsid w:val="000211EB"/>
    <w:rsid w:val="0002151C"/>
    <w:rsid w:val="0002151E"/>
    <w:rsid w:val="000219FA"/>
    <w:rsid w:val="00022084"/>
    <w:rsid w:val="0002216B"/>
    <w:rsid w:val="00022C17"/>
    <w:rsid w:val="00023796"/>
    <w:rsid w:val="00023BD6"/>
    <w:rsid w:val="00023DE9"/>
    <w:rsid w:val="0002444B"/>
    <w:rsid w:val="00024FA4"/>
    <w:rsid w:val="0002512D"/>
    <w:rsid w:val="00025A0F"/>
    <w:rsid w:val="000261E0"/>
    <w:rsid w:val="000268D7"/>
    <w:rsid w:val="000270CA"/>
    <w:rsid w:val="000274B0"/>
    <w:rsid w:val="00027F11"/>
    <w:rsid w:val="00027F15"/>
    <w:rsid w:val="00030C20"/>
    <w:rsid w:val="00030D23"/>
    <w:rsid w:val="000314D1"/>
    <w:rsid w:val="00032084"/>
    <w:rsid w:val="000328EE"/>
    <w:rsid w:val="00032D41"/>
    <w:rsid w:val="00032E20"/>
    <w:rsid w:val="00034879"/>
    <w:rsid w:val="00034C5A"/>
    <w:rsid w:val="00034F19"/>
    <w:rsid w:val="00035502"/>
    <w:rsid w:val="0003582B"/>
    <w:rsid w:val="00035997"/>
    <w:rsid w:val="000359E7"/>
    <w:rsid w:val="00035C56"/>
    <w:rsid w:val="0003662C"/>
    <w:rsid w:val="00040081"/>
    <w:rsid w:val="0004056A"/>
    <w:rsid w:val="00040B3A"/>
    <w:rsid w:val="000414BE"/>
    <w:rsid w:val="00041B5D"/>
    <w:rsid w:val="0004260E"/>
    <w:rsid w:val="000429DF"/>
    <w:rsid w:val="00043597"/>
    <w:rsid w:val="00043D10"/>
    <w:rsid w:val="000445B4"/>
    <w:rsid w:val="00044BEE"/>
    <w:rsid w:val="00045042"/>
    <w:rsid w:val="000450CF"/>
    <w:rsid w:val="000450D0"/>
    <w:rsid w:val="00045427"/>
    <w:rsid w:val="00045854"/>
    <w:rsid w:val="00046B7E"/>
    <w:rsid w:val="00046E9C"/>
    <w:rsid w:val="000506F8"/>
    <w:rsid w:val="00051384"/>
    <w:rsid w:val="000514D3"/>
    <w:rsid w:val="00052E3A"/>
    <w:rsid w:val="0005318C"/>
    <w:rsid w:val="000540C3"/>
    <w:rsid w:val="00054589"/>
    <w:rsid w:val="00054EEE"/>
    <w:rsid w:val="00055047"/>
    <w:rsid w:val="0005553B"/>
    <w:rsid w:val="00055856"/>
    <w:rsid w:val="00055904"/>
    <w:rsid w:val="00055FFA"/>
    <w:rsid w:val="000574FF"/>
    <w:rsid w:val="000576DD"/>
    <w:rsid w:val="00057B62"/>
    <w:rsid w:val="00060011"/>
    <w:rsid w:val="00060084"/>
    <w:rsid w:val="0006014E"/>
    <w:rsid w:val="00060181"/>
    <w:rsid w:val="00061064"/>
    <w:rsid w:val="00062B44"/>
    <w:rsid w:val="00062C65"/>
    <w:rsid w:val="00062F61"/>
    <w:rsid w:val="000631D8"/>
    <w:rsid w:val="00063C54"/>
    <w:rsid w:val="00063CA7"/>
    <w:rsid w:val="000642B9"/>
    <w:rsid w:val="000645E7"/>
    <w:rsid w:val="000648F6"/>
    <w:rsid w:val="0006491B"/>
    <w:rsid w:val="00065544"/>
    <w:rsid w:val="000658A8"/>
    <w:rsid w:val="00065B6D"/>
    <w:rsid w:val="00065C89"/>
    <w:rsid w:val="00065CB5"/>
    <w:rsid w:val="000667E1"/>
    <w:rsid w:val="00066DD4"/>
    <w:rsid w:val="0006723F"/>
    <w:rsid w:val="00070821"/>
    <w:rsid w:val="000718A1"/>
    <w:rsid w:val="000719BB"/>
    <w:rsid w:val="00071F6D"/>
    <w:rsid w:val="00072A32"/>
    <w:rsid w:val="00072A47"/>
    <w:rsid w:val="000730F2"/>
    <w:rsid w:val="000737DE"/>
    <w:rsid w:val="00073E9A"/>
    <w:rsid w:val="0007405B"/>
    <w:rsid w:val="00074BA7"/>
    <w:rsid w:val="00074BB0"/>
    <w:rsid w:val="000752E6"/>
    <w:rsid w:val="0007591B"/>
    <w:rsid w:val="00075A6F"/>
    <w:rsid w:val="00075B71"/>
    <w:rsid w:val="00076E4D"/>
    <w:rsid w:val="0007737D"/>
    <w:rsid w:val="0007FCBC"/>
    <w:rsid w:val="00080134"/>
    <w:rsid w:val="000815E7"/>
    <w:rsid w:val="0008182B"/>
    <w:rsid w:val="00081C59"/>
    <w:rsid w:val="00082C44"/>
    <w:rsid w:val="00082FF8"/>
    <w:rsid w:val="000833C9"/>
    <w:rsid w:val="000834D1"/>
    <w:rsid w:val="00083C0D"/>
    <w:rsid w:val="00083C70"/>
    <w:rsid w:val="00084552"/>
    <w:rsid w:val="00084E5B"/>
    <w:rsid w:val="000859C8"/>
    <w:rsid w:val="000859F6"/>
    <w:rsid w:val="00085B51"/>
    <w:rsid w:val="0008638B"/>
    <w:rsid w:val="000866BD"/>
    <w:rsid w:val="00086B93"/>
    <w:rsid w:val="00086D6C"/>
    <w:rsid w:val="000874B8"/>
    <w:rsid w:val="000878B9"/>
    <w:rsid w:val="00087BE4"/>
    <w:rsid w:val="00087E14"/>
    <w:rsid w:val="000902E2"/>
    <w:rsid w:val="00090BD3"/>
    <w:rsid w:val="00090DCA"/>
    <w:rsid w:val="00091CA9"/>
    <w:rsid w:val="00093D9D"/>
    <w:rsid w:val="00094957"/>
    <w:rsid w:val="00094AD6"/>
    <w:rsid w:val="00094D22"/>
    <w:rsid w:val="0009514D"/>
    <w:rsid w:val="000953DF"/>
    <w:rsid w:val="0009563A"/>
    <w:rsid w:val="000956AA"/>
    <w:rsid w:val="00097C72"/>
    <w:rsid w:val="000A00F6"/>
    <w:rsid w:val="000A0171"/>
    <w:rsid w:val="000A0ECA"/>
    <w:rsid w:val="000A0F16"/>
    <w:rsid w:val="000A12C8"/>
    <w:rsid w:val="000A1702"/>
    <w:rsid w:val="000A2107"/>
    <w:rsid w:val="000A284D"/>
    <w:rsid w:val="000A2FEA"/>
    <w:rsid w:val="000A42E0"/>
    <w:rsid w:val="000A4B03"/>
    <w:rsid w:val="000A4DF1"/>
    <w:rsid w:val="000A5579"/>
    <w:rsid w:val="000A5671"/>
    <w:rsid w:val="000A6379"/>
    <w:rsid w:val="000A65F3"/>
    <w:rsid w:val="000A6689"/>
    <w:rsid w:val="000A68AC"/>
    <w:rsid w:val="000A698F"/>
    <w:rsid w:val="000A7070"/>
    <w:rsid w:val="000B0186"/>
    <w:rsid w:val="000B0425"/>
    <w:rsid w:val="000B04B6"/>
    <w:rsid w:val="000B177C"/>
    <w:rsid w:val="000B2157"/>
    <w:rsid w:val="000B24CE"/>
    <w:rsid w:val="000B25F8"/>
    <w:rsid w:val="000B2610"/>
    <w:rsid w:val="000B27CC"/>
    <w:rsid w:val="000B282C"/>
    <w:rsid w:val="000B2E44"/>
    <w:rsid w:val="000B311D"/>
    <w:rsid w:val="000B46DF"/>
    <w:rsid w:val="000B4D28"/>
    <w:rsid w:val="000B62B8"/>
    <w:rsid w:val="000B670A"/>
    <w:rsid w:val="000B7114"/>
    <w:rsid w:val="000B7270"/>
    <w:rsid w:val="000C02BB"/>
    <w:rsid w:val="000C0719"/>
    <w:rsid w:val="000C0B8F"/>
    <w:rsid w:val="000C0D4E"/>
    <w:rsid w:val="000C0D99"/>
    <w:rsid w:val="000C0DC3"/>
    <w:rsid w:val="000C0FDD"/>
    <w:rsid w:val="000C2578"/>
    <w:rsid w:val="000C2D47"/>
    <w:rsid w:val="000C3C1F"/>
    <w:rsid w:val="000C4109"/>
    <w:rsid w:val="000C4E40"/>
    <w:rsid w:val="000C526B"/>
    <w:rsid w:val="000C53A8"/>
    <w:rsid w:val="000C5936"/>
    <w:rsid w:val="000C59C9"/>
    <w:rsid w:val="000C638F"/>
    <w:rsid w:val="000C6767"/>
    <w:rsid w:val="000C6C59"/>
    <w:rsid w:val="000C711B"/>
    <w:rsid w:val="000C71E5"/>
    <w:rsid w:val="000C7C46"/>
    <w:rsid w:val="000D0660"/>
    <w:rsid w:val="000D1044"/>
    <w:rsid w:val="000D13BB"/>
    <w:rsid w:val="000D16D6"/>
    <w:rsid w:val="000D195E"/>
    <w:rsid w:val="000D1A1E"/>
    <w:rsid w:val="000D291C"/>
    <w:rsid w:val="000D2994"/>
    <w:rsid w:val="000D317A"/>
    <w:rsid w:val="000D3214"/>
    <w:rsid w:val="000D370C"/>
    <w:rsid w:val="000D3E70"/>
    <w:rsid w:val="000D46DD"/>
    <w:rsid w:val="000D4A4A"/>
    <w:rsid w:val="000D4E7F"/>
    <w:rsid w:val="000D5E04"/>
    <w:rsid w:val="000D608F"/>
    <w:rsid w:val="000D67FA"/>
    <w:rsid w:val="000D68F8"/>
    <w:rsid w:val="000D77AA"/>
    <w:rsid w:val="000E0227"/>
    <w:rsid w:val="000E02B7"/>
    <w:rsid w:val="000E03CC"/>
    <w:rsid w:val="000E0EB4"/>
    <w:rsid w:val="000E12D2"/>
    <w:rsid w:val="000E1457"/>
    <w:rsid w:val="000E1582"/>
    <w:rsid w:val="000E1C77"/>
    <w:rsid w:val="000E31E4"/>
    <w:rsid w:val="000E3D45"/>
    <w:rsid w:val="000E4026"/>
    <w:rsid w:val="000E48CE"/>
    <w:rsid w:val="000E49F0"/>
    <w:rsid w:val="000E6AEC"/>
    <w:rsid w:val="000E71B6"/>
    <w:rsid w:val="000E739D"/>
    <w:rsid w:val="000F0782"/>
    <w:rsid w:val="000F0E60"/>
    <w:rsid w:val="000F1754"/>
    <w:rsid w:val="000F1E38"/>
    <w:rsid w:val="000F1EEE"/>
    <w:rsid w:val="000F2099"/>
    <w:rsid w:val="000F2C28"/>
    <w:rsid w:val="000F4524"/>
    <w:rsid w:val="000F471B"/>
    <w:rsid w:val="000F5167"/>
    <w:rsid w:val="000F5818"/>
    <w:rsid w:val="000F5BC5"/>
    <w:rsid w:val="000F69EF"/>
    <w:rsid w:val="000F6CA9"/>
    <w:rsid w:val="000F72AB"/>
    <w:rsid w:val="000F72B9"/>
    <w:rsid w:val="000F7FFA"/>
    <w:rsid w:val="001002C4"/>
    <w:rsid w:val="00100D9C"/>
    <w:rsid w:val="001010EF"/>
    <w:rsid w:val="00101261"/>
    <w:rsid w:val="001019DE"/>
    <w:rsid w:val="00101A1D"/>
    <w:rsid w:val="00101AF5"/>
    <w:rsid w:val="00101BD2"/>
    <w:rsid w:val="001024F5"/>
    <w:rsid w:val="00102607"/>
    <w:rsid w:val="00102D93"/>
    <w:rsid w:val="00102FBE"/>
    <w:rsid w:val="001030C9"/>
    <w:rsid w:val="00103E1F"/>
    <w:rsid w:val="00104BF6"/>
    <w:rsid w:val="00105204"/>
    <w:rsid w:val="00105206"/>
    <w:rsid w:val="00105310"/>
    <w:rsid w:val="00105C38"/>
    <w:rsid w:val="00105F07"/>
    <w:rsid w:val="0010642A"/>
    <w:rsid w:val="00106640"/>
    <w:rsid w:val="0010678D"/>
    <w:rsid w:val="00106983"/>
    <w:rsid w:val="00106F18"/>
    <w:rsid w:val="00106FFA"/>
    <w:rsid w:val="001071C5"/>
    <w:rsid w:val="00107A74"/>
    <w:rsid w:val="001102BC"/>
    <w:rsid w:val="001106ED"/>
    <w:rsid w:val="0011139B"/>
    <w:rsid w:val="001114C0"/>
    <w:rsid w:val="001119D1"/>
    <w:rsid w:val="00111A73"/>
    <w:rsid w:val="00111E5D"/>
    <w:rsid w:val="001122C3"/>
    <w:rsid w:val="00112A75"/>
    <w:rsid w:val="00113A1D"/>
    <w:rsid w:val="00113C98"/>
    <w:rsid w:val="00113EBC"/>
    <w:rsid w:val="00114D4D"/>
    <w:rsid w:val="00115551"/>
    <w:rsid w:val="0011566F"/>
    <w:rsid w:val="00115800"/>
    <w:rsid w:val="00115BA9"/>
    <w:rsid w:val="0011645E"/>
    <w:rsid w:val="001169DF"/>
    <w:rsid w:val="0011792A"/>
    <w:rsid w:val="00117DF3"/>
    <w:rsid w:val="00120218"/>
    <w:rsid w:val="00121366"/>
    <w:rsid w:val="00121D0A"/>
    <w:rsid w:val="00122015"/>
    <w:rsid w:val="001221D6"/>
    <w:rsid w:val="00122DAA"/>
    <w:rsid w:val="0012351B"/>
    <w:rsid w:val="00123FF6"/>
    <w:rsid w:val="0012510F"/>
    <w:rsid w:val="0012513C"/>
    <w:rsid w:val="001251D8"/>
    <w:rsid w:val="00125A55"/>
    <w:rsid w:val="00125EEB"/>
    <w:rsid w:val="00126908"/>
    <w:rsid w:val="00126CD6"/>
    <w:rsid w:val="00127B60"/>
    <w:rsid w:val="001301A4"/>
    <w:rsid w:val="0013021B"/>
    <w:rsid w:val="00130A5E"/>
    <w:rsid w:val="00130B27"/>
    <w:rsid w:val="00130EFF"/>
    <w:rsid w:val="0013114E"/>
    <w:rsid w:val="001314E9"/>
    <w:rsid w:val="00131CFA"/>
    <w:rsid w:val="0013205F"/>
    <w:rsid w:val="001324B6"/>
    <w:rsid w:val="00132A3F"/>
    <w:rsid w:val="00132E81"/>
    <w:rsid w:val="00133087"/>
    <w:rsid w:val="00133113"/>
    <w:rsid w:val="001339F6"/>
    <w:rsid w:val="00133CCC"/>
    <w:rsid w:val="00133FF8"/>
    <w:rsid w:val="00134B4F"/>
    <w:rsid w:val="0013548E"/>
    <w:rsid w:val="001359EB"/>
    <w:rsid w:val="00135B18"/>
    <w:rsid w:val="00135BEC"/>
    <w:rsid w:val="00136291"/>
    <w:rsid w:val="00136319"/>
    <w:rsid w:val="0013770B"/>
    <w:rsid w:val="001378FA"/>
    <w:rsid w:val="0014049C"/>
    <w:rsid w:val="00140F5F"/>
    <w:rsid w:val="00141610"/>
    <w:rsid w:val="00141B1A"/>
    <w:rsid w:val="0014262E"/>
    <w:rsid w:val="00143644"/>
    <w:rsid w:val="001436F7"/>
    <w:rsid w:val="00143D90"/>
    <w:rsid w:val="00144664"/>
    <w:rsid w:val="001446D6"/>
    <w:rsid w:val="00146087"/>
    <w:rsid w:val="001460F6"/>
    <w:rsid w:val="001463A9"/>
    <w:rsid w:val="00146426"/>
    <w:rsid w:val="0014643A"/>
    <w:rsid w:val="0014735B"/>
    <w:rsid w:val="001502C2"/>
    <w:rsid w:val="00150896"/>
    <w:rsid w:val="001522F9"/>
    <w:rsid w:val="00152A2D"/>
    <w:rsid w:val="00152C0C"/>
    <w:rsid w:val="001533BD"/>
    <w:rsid w:val="001533CE"/>
    <w:rsid w:val="001536CE"/>
    <w:rsid w:val="001546B4"/>
    <w:rsid w:val="00155D82"/>
    <w:rsid w:val="00156090"/>
    <w:rsid w:val="0015633E"/>
    <w:rsid w:val="00157885"/>
    <w:rsid w:val="00157BF5"/>
    <w:rsid w:val="001609B0"/>
    <w:rsid w:val="00160C87"/>
    <w:rsid w:val="001614A6"/>
    <w:rsid w:val="001615B6"/>
    <w:rsid w:val="00161605"/>
    <w:rsid w:val="0016173F"/>
    <w:rsid w:val="00161918"/>
    <w:rsid w:val="00161BEA"/>
    <w:rsid w:val="00161FC9"/>
    <w:rsid w:val="00162B79"/>
    <w:rsid w:val="00163113"/>
    <w:rsid w:val="00163325"/>
    <w:rsid w:val="0016413D"/>
    <w:rsid w:val="00164F11"/>
    <w:rsid w:val="00165560"/>
    <w:rsid w:val="00165568"/>
    <w:rsid w:val="001657BB"/>
    <w:rsid w:val="00165A2E"/>
    <w:rsid w:val="00165FBD"/>
    <w:rsid w:val="0016600C"/>
    <w:rsid w:val="0017003B"/>
    <w:rsid w:val="001700C8"/>
    <w:rsid w:val="001701E9"/>
    <w:rsid w:val="00171FDB"/>
    <w:rsid w:val="001724C5"/>
    <w:rsid w:val="0017272D"/>
    <w:rsid w:val="00172D62"/>
    <w:rsid w:val="001732DA"/>
    <w:rsid w:val="0017383B"/>
    <w:rsid w:val="00173AC0"/>
    <w:rsid w:val="00173C7C"/>
    <w:rsid w:val="001742B7"/>
    <w:rsid w:val="001746BF"/>
    <w:rsid w:val="001749F9"/>
    <w:rsid w:val="00175523"/>
    <w:rsid w:val="0017587B"/>
    <w:rsid w:val="001759E6"/>
    <w:rsid w:val="0017695D"/>
    <w:rsid w:val="001777DA"/>
    <w:rsid w:val="00177BEE"/>
    <w:rsid w:val="00177ED4"/>
    <w:rsid w:val="001802C4"/>
    <w:rsid w:val="00180985"/>
    <w:rsid w:val="00182E65"/>
    <w:rsid w:val="001836F7"/>
    <w:rsid w:val="00183BE1"/>
    <w:rsid w:val="00184233"/>
    <w:rsid w:val="00184988"/>
    <w:rsid w:val="00184CBB"/>
    <w:rsid w:val="001854BC"/>
    <w:rsid w:val="001860BC"/>
    <w:rsid w:val="001861AF"/>
    <w:rsid w:val="001863B8"/>
    <w:rsid w:val="0018690E"/>
    <w:rsid w:val="001872A4"/>
    <w:rsid w:val="001873F8"/>
    <w:rsid w:val="001903E3"/>
    <w:rsid w:val="0019098D"/>
    <w:rsid w:val="00190C7D"/>
    <w:rsid w:val="00191B1A"/>
    <w:rsid w:val="00191C97"/>
    <w:rsid w:val="00191EE9"/>
    <w:rsid w:val="001921CB"/>
    <w:rsid w:val="001921D6"/>
    <w:rsid w:val="0019368D"/>
    <w:rsid w:val="00193A11"/>
    <w:rsid w:val="00194540"/>
    <w:rsid w:val="001946DC"/>
    <w:rsid w:val="00194AA8"/>
    <w:rsid w:val="0019573E"/>
    <w:rsid w:val="00195C2F"/>
    <w:rsid w:val="001976DE"/>
    <w:rsid w:val="00197A78"/>
    <w:rsid w:val="001A020E"/>
    <w:rsid w:val="001A082D"/>
    <w:rsid w:val="001A08CF"/>
    <w:rsid w:val="001A0E77"/>
    <w:rsid w:val="001A302A"/>
    <w:rsid w:val="001A320B"/>
    <w:rsid w:val="001A3AD4"/>
    <w:rsid w:val="001A490A"/>
    <w:rsid w:val="001A4AAB"/>
    <w:rsid w:val="001A4CA4"/>
    <w:rsid w:val="001A52FD"/>
    <w:rsid w:val="001A5A05"/>
    <w:rsid w:val="001A5AC9"/>
    <w:rsid w:val="001A61E9"/>
    <w:rsid w:val="001A64FF"/>
    <w:rsid w:val="001A69EF"/>
    <w:rsid w:val="001A6CE4"/>
    <w:rsid w:val="001A6E1A"/>
    <w:rsid w:val="001A7601"/>
    <w:rsid w:val="001A7AB3"/>
    <w:rsid w:val="001A7BBF"/>
    <w:rsid w:val="001A7E2A"/>
    <w:rsid w:val="001A7F21"/>
    <w:rsid w:val="001B043D"/>
    <w:rsid w:val="001B16B4"/>
    <w:rsid w:val="001B1A1D"/>
    <w:rsid w:val="001B3561"/>
    <w:rsid w:val="001B391A"/>
    <w:rsid w:val="001B3A48"/>
    <w:rsid w:val="001B3B4A"/>
    <w:rsid w:val="001B47EE"/>
    <w:rsid w:val="001B4B2A"/>
    <w:rsid w:val="001B54DF"/>
    <w:rsid w:val="001B5E94"/>
    <w:rsid w:val="001B5EA0"/>
    <w:rsid w:val="001B5FED"/>
    <w:rsid w:val="001B6177"/>
    <w:rsid w:val="001B61F0"/>
    <w:rsid w:val="001B67A2"/>
    <w:rsid w:val="001B776F"/>
    <w:rsid w:val="001C09AA"/>
    <w:rsid w:val="001C0A9D"/>
    <w:rsid w:val="001C1679"/>
    <w:rsid w:val="001C1A1B"/>
    <w:rsid w:val="001C2D68"/>
    <w:rsid w:val="001C3AAF"/>
    <w:rsid w:val="001C3C84"/>
    <w:rsid w:val="001C3CCD"/>
    <w:rsid w:val="001C3F00"/>
    <w:rsid w:val="001C476C"/>
    <w:rsid w:val="001C5577"/>
    <w:rsid w:val="001C5614"/>
    <w:rsid w:val="001C56E7"/>
    <w:rsid w:val="001C5EA3"/>
    <w:rsid w:val="001C6366"/>
    <w:rsid w:val="001C6E99"/>
    <w:rsid w:val="001C72AC"/>
    <w:rsid w:val="001D0321"/>
    <w:rsid w:val="001D478E"/>
    <w:rsid w:val="001D4D75"/>
    <w:rsid w:val="001D4D79"/>
    <w:rsid w:val="001D539E"/>
    <w:rsid w:val="001D57C3"/>
    <w:rsid w:val="001D5E50"/>
    <w:rsid w:val="001D640B"/>
    <w:rsid w:val="001D73B1"/>
    <w:rsid w:val="001D7738"/>
    <w:rsid w:val="001D7A04"/>
    <w:rsid w:val="001E0912"/>
    <w:rsid w:val="001E1E28"/>
    <w:rsid w:val="001E20E1"/>
    <w:rsid w:val="001E2A5E"/>
    <w:rsid w:val="001E2F13"/>
    <w:rsid w:val="001E33AC"/>
    <w:rsid w:val="001E43C2"/>
    <w:rsid w:val="001E4792"/>
    <w:rsid w:val="001E4AB1"/>
    <w:rsid w:val="001E5C3E"/>
    <w:rsid w:val="001E7720"/>
    <w:rsid w:val="001E7B7C"/>
    <w:rsid w:val="001F02F6"/>
    <w:rsid w:val="001F055D"/>
    <w:rsid w:val="001F15B1"/>
    <w:rsid w:val="001F1697"/>
    <w:rsid w:val="001F179A"/>
    <w:rsid w:val="001F1EFC"/>
    <w:rsid w:val="001F21DC"/>
    <w:rsid w:val="001F234F"/>
    <w:rsid w:val="001F2EDE"/>
    <w:rsid w:val="001F300B"/>
    <w:rsid w:val="001F307C"/>
    <w:rsid w:val="001F30AF"/>
    <w:rsid w:val="001F32B8"/>
    <w:rsid w:val="001F3793"/>
    <w:rsid w:val="001F3C9B"/>
    <w:rsid w:val="001F3FBC"/>
    <w:rsid w:val="001F47E1"/>
    <w:rsid w:val="001F4EAF"/>
    <w:rsid w:val="001F508B"/>
    <w:rsid w:val="001F5103"/>
    <w:rsid w:val="001F5F67"/>
    <w:rsid w:val="001F677D"/>
    <w:rsid w:val="001F6E3E"/>
    <w:rsid w:val="001F6E5A"/>
    <w:rsid w:val="001F7052"/>
    <w:rsid w:val="001F76A9"/>
    <w:rsid w:val="0020099B"/>
    <w:rsid w:val="00200EF7"/>
    <w:rsid w:val="00200FB2"/>
    <w:rsid w:val="00201BA6"/>
    <w:rsid w:val="00202160"/>
    <w:rsid w:val="002023B3"/>
    <w:rsid w:val="002023DF"/>
    <w:rsid w:val="00202FCB"/>
    <w:rsid w:val="00203B50"/>
    <w:rsid w:val="00203C97"/>
    <w:rsid w:val="00203EDA"/>
    <w:rsid w:val="002041B0"/>
    <w:rsid w:val="002045ED"/>
    <w:rsid w:val="002049B4"/>
    <w:rsid w:val="002057DF"/>
    <w:rsid w:val="002068E2"/>
    <w:rsid w:val="00206904"/>
    <w:rsid w:val="00206B42"/>
    <w:rsid w:val="00207219"/>
    <w:rsid w:val="002075DC"/>
    <w:rsid w:val="0020785A"/>
    <w:rsid w:val="00210E2F"/>
    <w:rsid w:val="002119A9"/>
    <w:rsid w:val="0021203D"/>
    <w:rsid w:val="002122C8"/>
    <w:rsid w:val="00212A05"/>
    <w:rsid w:val="00212E62"/>
    <w:rsid w:val="00213113"/>
    <w:rsid w:val="0021427E"/>
    <w:rsid w:val="00214529"/>
    <w:rsid w:val="00215935"/>
    <w:rsid w:val="00215C34"/>
    <w:rsid w:val="0021677C"/>
    <w:rsid w:val="00217517"/>
    <w:rsid w:val="002201F9"/>
    <w:rsid w:val="00220451"/>
    <w:rsid w:val="00220EF7"/>
    <w:rsid w:val="00220F90"/>
    <w:rsid w:val="00222328"/>
    <w:rsid w:val="002223E2"/>
    <w:rsid w:val="002225D4"/>
    <w:rsid w:val="00222D20"/>
    <w:rsid w:val="0022306A"/>
    <w:rsid w:val="0022314D"/>
    <w:rsid w:val="002232B8"/>
    <w:rsid w:val="002235CA"/>
    <w:rsid w:val="002237FD"/>
    <w:rsid w:val="0022466D"/>
    <w:rsid w:val="00224B2D"/>
    <w:rsid w:val="00225223"/>
    <w:rsid w:val="00225C09"/>
    <w:rsid w:val="00225F5F"/>
    <w:rsid w:val="002261EC"/>
    <w:rsid w:val="0022641A"/>
    <w:rsid w:val="002267D3"/>
    <w:rsid w:val="002270C9"/>
    <w:rsid w:val="002270DF"/>
    <w:rsid w:val="00227235"/>
    <w:rsid w:val="00227526"/>
    <w:rsid w:val="00227D49"/>
    <w:rsid w:val="002305AB"/>
    <w:rsid w:val="00230B67"/>
    <w:rsid w:val="00230D79"/>
    <w:rsid w:val="00231716"/>
    <w:rsid w:val="002330A4"/>
    <w:rsid w:val="00233349"/>
    <w:rsid w:val="00234C12"/>
    <w:rsid w:val="00235D62"/>
    <w:rsid w:val="0023607D"/>
    <w:rsid w:val="00236450"/>
    <w:rsid w:val="00236EC8"/>
    <w:rsid w:val="002373A5"/>
    <w:rsid w:val="00237A5D"/>
    <w:rsid w:val="002402A0"/>
    <w:rsid w:val="0024092A"/>
    <w:rsid w:val="00242376"/>
    <w:rsid w:val="00242586"/>
    <w:rsid w:val="00242616"/>
    <w:rsid w:val="00242849"/>
    <w:rsid w:val="0024293D"/>
    <w:rsid w:val="00243809"/>
    <w:rsid w:val="00244337"/>
    <w:rsid w:val="00244A11"/>
    <w:rsid w:val="00244B62"/>
    <w:rsid w:val="00245090"/>
    <w:rsid w:val="0024613A"/>
    <w:rsid w:val="002463BE"/>
    <w:rsid w:val="00246B9B"/>
    <w:rsid w:val="00246E8B"/>
    <w:rsid w:val="002473EC"/>
    <w:rsid w:val="00250102"/>
    <w:rsid w:val="00250226"/>
    <w:rsid w:val="00251041"/>
    <w:rsid w:val="0025239D"/>
    <w:rsid w:val="00252446"/>
    <w:rsid w:val="00253DB6"/>
    <w:rsid w:val="002540BC"/>
    <w:rsid w:val="00254228"/>
    <w:rsid w:val="00255BC4"/>
    <w:rsid w:val="00257E36"/>
    <w:rsid w:val="00261D3D"/>
    <w:rsid w:val="00261F75"/>
    <w:rsid w:val="00262BCD"/>
    <w:rsid w:val="00263D61"/>
    <w:rsid w:val="002643EF"/>
    <w:rsid w:val="00264A1D"/>
    <w:rsid w:val="00264F67"/>
    <w:rsid w:val="002652C6"/>
    <w:rsid w:val="00265B8F"/>
    <w:rsid w:val="00266268"/>
    <w:rsid w:val="00266288"/>
    <w:rsid w:val="00266AAD"/>
    <w:rsid w:val="002678A5"/>
    <w:rsid w:val="00267915"/>
    <w:rsid w:val="00267D45"/>
    <w:rsid w:val="00272000"/>
    <w:rsid w:val="00272549"/>
    <w:rsid w:val="00272A45"/>
    <w:rsid w:val="00273253"/>
    <w:rsid w:val="00273B00"/>
    <w:rsid w:val="0027443A"/>
    <w:rsid w:val="0027454F"/>
    <w:rsid w:val="00275321"/>
    <w:rsid w:val="00276778"/>
    <w:rsid w:val="002768AC"/>
    <w:rsid w:val="00276EB7"/>
    <w:rsid w:val="00277685"/>
    <w:rsid w:val="002779AA"/>
    <w:rsid w:val="00277B6F"/>
    <w:rsid w:val="00277CF5"/>
    <w:rsid w:val="0028026E"/>
    <w:rsid w:val="002804FE"/>
    <w:rsid w:val="00281A6A"/>
    <w:rsid w:val="002821B0"/>
    <w:rsid w:val="0028271A"/>
    <w:rsid w:val="00283310"/>
    <w:rsid w:val="00283328"/>
    <w:rsid w:val="00284C38"/>
    <w:rsid w:val="00284F96"/>
    <w:rsid w:val="00285565"/>
    <w:rsid w:val="002855E9"/>
    <w:rsid w:val="00286149"/>
    <w:rsid w:val="0028651F"/>
    <w:rsid w:val="00286628"/>
    <w:rsid w:val="002874D9"/>
    <w:rsid w:val="002874F1"/>
    <w:rsid w:val="002875B2"/>
    <w:rsid w:val="002879DD"/>
    <w:rsid w:val="0029010A"/>
    <w:rsid w:val="00290623"/>
    <w:rsid w:val="00290FB0"/>
    <w:rsid w:val="00291086"/>
    <w:rsid w:val="00291253"/>
    <w:rsid w:val="002914A6"/>
    <w:rsid w:val="002916CD"/>
    <w:rsid w:val="002928C6"/>
    <w:rsid w:val="00292BEF"/>
    <w:rsid w:val="00292D7B"/>
    <w:rsid w:val="0029365F"/>
    <w:rsid w:val="00293824"/>
    <w:rsid w:val="00293A72"/>
    <w:rsid w:val="00293D90"/>
    <w:rsid w:val="00294AC6"/>
    <w:rsid w:val="00294E96"/>
    <w:rsid w:val="0029582D"/>
    <w:rsid w:val="0029622B"/>
    <w:rsid w:val="0029672E"/>
    <w:rsid w:val="0029697C"/>
    <w:rsid w:val="00296E6C"/>
    <w:rsid w:val="00296EC4"/>
    <w:rsid w:val="0029708E"/>
    <w:rsid w:val="002970B8"/>
    <w:rsid w:val="002973E1"/>
    <w:rsid w:val="00297575"/>
    <w:rsid w:val="002A06A2"/>
    <w:rsid w:val="002A0D98"/>
    <w:rsid w:val="002A0F40"/>
    <w:rsid w:val="002A10AE"/>
    <w:rsid w:val="002A16A0"/>
    <w:rsid w:val="002A1BDB"/>
    <w:rsid w:val="002A1D5B"/>
    <w:rsid w:val="002A1D84"/>
    <w:rsid w:val="002A1D95"/>
    <w:rsid w:val="002A22FF"/>
    <w:rsid w:val="002A23EF"/>
    <w:rsid w:val="002A378B"/>
    <w:rsid w:val="002A3AEF"/>
    <w:rsid w:val="002A3BA6"/>
    <w:rsid w:val="002A3EA7"/>
    <w:rsid w:val="002A44BC"/>
    <w:rsid w:val="002A4712"/>
    <w:rsid w:val="002A49EC"/>
    <w:rsid w:val="002A4E35"/>
    <w:rsid w:val="002A5439"/>
    <w:rsid w:val="002A5535"/>
    <w:rsid w:val="002A5739"/>
    <w:rsid w:val="002A6548"/>
    <w:rsid w:val="002A686D"/>
    <w:rsid w:val="002A6EF4"/>
    <w:rsid w:val="002A6F00"/>
    <w:rsid w:val="002A76AD"/>
    <w:rsid w:val="002B1027"/>
    <w:rsid w:val="002B10FA"/>
    <w:rsid w:val="002B1310"/>
    <w:rsid w:val="002B1980"/>
    <w:rsid w:val="002B1EA2"/>
    <w:rsid w:val="002B20E8"/>
    <w:rsid w:val="002B2552"/>
    <w:rsid w:val="002B2FE4"/>
    <w:rsid w:val="002B33D4"/>
    <w:rsid w:val="002B3603"/>
    <w:rsid w:val="002B3DD2"/>
    <w:rsid w:val="002B436D"/>
    <w:rsid w:val="002B4BB1"/>
    <w:rsid w:val="002B646E"/>
    <w:rsid w:val="002B68FA"/>
    <w:rsid w:val="002B6AA7"/>
    <w:rsid w:val="002B6DBC"/>
    <w:rsid w:val="002B70DF"/>
    <w:rsid w:val="002B74A7"/>
    <w:rsid w:val="002B773F"/>
    <w:rsid w:val="002B7B43"/>
    <w:rsid w:val="002C0B99"/>
    <w:rsid w:val="002C1D1B"/>
    <w:rsid w:val="002C1D2C"/>
    <w:rsid w:val="002C1EA8"/>
    <w:rsid w:val="002C208B"/>
    <w:rsid w:val="002C341E"/>
    <w:rsid w:val="002C36ED"/>
    <w:rsid w:val="002C3AE1"/>
    <w:rsid w:val="002C4066"/>
    <w:rsid w:val="002C5452"/>
    <w:rsid w:val="002C7E5A"/>
    <w:rsid w:val="002D054A"/>
    <w:rsid w:val="002D0557"/>
    <w:rsid w:val="002D09D5"/>
    <w:rsid w:val="002D0DE8"/>
    <w:rsid w:val="002D1C56"/>
    <w:rsid w:val="002D1E9C"/>
    <w:rsid w:val="002D2B11"/>
    <w:rsid w:val="002D301E"/>
    <w:rsid w:val="002D3BA3"/>
    <w:rsid w:val="002D4269"/>
    <w:rsid w:val="002D4310"/>
    <w:rsid w:val="002D471A"/>
    <w:rsid w:val="002D48BF"/>
    <w:rsid w:val="002D4944"/>
    <w:rsid w:val="002D4A8C"/>
    <w:rsid w:val="002D4B9A"/>
    <w:rsid w:val="002D4FE1"/>
    <w:rsid w:val="002D502A"/>
    <w:rsid w:val="002D577E"/>
    <w:rsid w:val="002D60FD"/>
    <w:rsid w:val="002D6AEC"/>
    <w:rsid w:val="002D6D7F"/>
    <w:rsid w:val="002D6EF1"/>
    <w:rsid w:val="002D70BC"/>
    <w:rsid w:val="002D7258"/>
    <w:rsid w:val="002D7B34"/>
    <w:rsid w:val="002E09DB"/>
    <w:rsid w:val="002E0B19"/>
    <w:rsid w:val="002E0F80"/>
    <w:rsid w:val="002E1514"/>
    <w:rsid w:val="002E1FB7"/>
    <w:rsid w:val="002E2521"/>
    <w:rsid w:val="002E2EC6"/>
    <w:rsid w:val="002E3186"/>
    <w:rsid w:val="002E3190"/>
    <w:rsid w:val="002E4010"/>
    <w:rsid w:val="002E4258"/>
    <w:rsid w:val="002E445D"/>
    <w:rsid w:val="002E44D8"/>
    <w:rsid w:val="002E5FE0"/>
    <w:rsid w:val="002E6320"/>
    <w:rsid w:val="002E6709"/>
    <w:rsid w:val="002E6A59"/>
    <w:rsid w:val="002E6C3B"/>
    <w:rsid w:val="002E6C60"/>
    <w:rsid w:val="002E6C8E"/>
    <w:rsid w:val="002E6CA1"/>
    <w:rsid w:val="002E76E1"/>
    <w:rsid w:val="002E7A0A"/>
    <w:rsid w:val="002F0230"/>
    <w:rsid w:val="002F0F6E"/>
    <w:rsid w:val="002F16E9"/>
    <w:rsid w:val="002F1A3E"/>
    <w:rsid w:val="002F1B22"/>
    <w:rsid w:val="002F2222"/>
    <w:rsid w:val="002F2B52"/>
    <w:rsid w:val="002F3BFF"/>
    <w:rsid w:val="002F3EDC"/>
    <w:rsid w:val="002F433B"/>
    <w:rsid w:val="002F438A"/>
    <w:rsid w:val="002F4972"/>
    <w:rsid w:val="002F4C4E"/>
    <w:rsid w:val="002F5D2A"/>
    <w:rsid w:val="002F5D9B"/>
    <w:rsid w:val="002F5F11"/>
    <w:rsid w:val="002F60F4"/>
    <w:rsid w:val="002F6307"/>
    <w:rsid w:val="002F735E"/>
    <w:rsid w:val="002F73B9"/>
    <w:rsid w:val="002F7BF9"/>
    <w:rsid w:val="002F8BC3"/>
    <w:rsid w:val="003004CF"/>
    <w:rsid w:val="003008FE"/>
    <w:rsid w:val="00300C96"/>
    <w:rsid w:val="00300F0B"/>
    <w:rsid w:val="00301AD3"/>
    <w:rsid w:val="00301ED9"/>
    <w:rsid w:val="00302155"/>
    <w:rsid w:val="00302885"/>
    <w:rsid w:val="003036E6"/>
    <w:rsid w:val="00304272"/>
    <w:rsid w:val="00305B88"/>
    <w:rsid w:val="00305BA4"/>
    <w:rsid w:val="00306171"/>
    <w:rsid w:val="003061B7"/>
    <w:rsid w:val="00307608"/>
    <w:rsid w:val="00307B22"/>
    <w:rsid w:val="00310144"/>
    <w:rsid w:val="00310743"/>
    <w:rsid w:val="003107C0"/>
    <w:rsid w:val="00310945"/>
    <w:rsid w:val="00311154"/>
    <w:rsid w:val="00311C61"/>
    <w:rsid w:val="00311F7F"/>
    <w:rsid w:val="00311F9F"/>
    <w:rsid w:val="003122FD"/>
    <w:rsid w:val="00312E92"/>
    <w:rsid w:val="003131D9"/>
    <w:rsid w:val="003134F0"/>
    <w:rsid w:val="00314057"/>
    <w:rsid w:val="00314174"/>
    <w:rsid w:val="003149DF"/>
    <w:rsid w:val="00314E56"/>
    <w:rsid w:val="00315222"/>
    <w:rsid w:val="00315707"/>
    <w:rsid w:val="00315831"/>
    <w:rsid w:val="00315A08"/>
    <w:rsid w:val="00315CF1"/>
    <w:rsid w:val="00315D5C"/>
    <w:rsid w:val="00315E38"/>
    <w:rsid w:val="0031640C"/>
    <w:rsid w:val="00317D7D"/>
    <w:rsid w:val="00320193"/>
    <w:rsid w:val="00320686"/>
    <w:rsid w:val="00321317"/>
    <w:rsid w:val="00321FEC"/>
    <w:rsid w:val="00322230"/>
    <w:rsid w:val="003228BB"/>
    <w:rsid w:val="00322BE9"/>
    <w:rsid w:val="00322E2B"/>
    <w:rsid w:val="00324E26"/>
    <w:rsid w:val="00325D13"/>
    <w:rsid w:val="00326127"/>
    <w:rsid w:val="003264D1"/>
    <w:rsid w:val="003265E6"/>
    <w:rsid w:val="0032689C"/>
    <w:rsid w:val="00326E5A"/>
    <w:rsid w:val="0032782B"/>
    <w:rsid w:val="003279B3"/>
    <w:rsid w:val="003279F1"/>
    <w:rsid w:val="00327DE5"/>
    <w:rsid w:val="00327E4E"/>
    <w:rsid w:val="003305C5"/>
    <w:rsid w:val="00331E12"/>
    <w:rsid w:val="00331F37"/>
    <w:rsid w:val="0033242A"/>
    <w:rsid w:val="00332CB9"/>
    <w:rsid w:val="00332D1E"/>
    <w:rsid w:val="0033354D"/>
    <w:rsid w:val="0033442B"/>
    <w:rsid w:val="003348B4"/>
    <w:rsid w:val="003356D4"/>
    <w:rsid w:val="00336B49"/>
    <w:rsid w:val="00337855"/>
    <w:rsid w:val="00337A7F"/>
    <w:rsid w:val="00337AA9"/>
    <w:rsid w:val="00337D9D"/>
    <w:rsid w:val="0034014B"/>
    <w:rsid w:val="00340541"/>
    <w:rsid w:val="0034221A"/>
    <w:rsid w:val="003425B0"/>
    <w:rsid w:val="003426AC"/>
    <w:rsid w:val="00342740"/>
    <w:rsid w:val="00342E04"/>
    <w:rsid w:val="00342FB9"/>
    <w:rsid w:val="00343662"/>
    <w:rsid w:val="00343899"/>
    <w:rsid w:val="00343CEA"/>
    <w:rsid w:val="0034429C"/>
    <w:rsid w:val="00344E16"/>
    <w:rsid w:val="003452F5"/>
    <w:rsid w:val="00345C84"/>
    <w:rsid w:val="00345CF3"/>
    <w:rsid w:val="00345DBF"/>
    <w:rsid w:val="00345E4C"/>
    <w:rsid w:val="003468D7"/>
    <w:rsid w:val="00346CAB"/>
    <w:rsid w:val="00346CC1"/>
    <w:rsid w:val="00347381"/>
    <w:rsid w:val="0034748C"/>
    <w:rsid w:val="00350FB0"/>
    <w:rsid w:val="0035142C"/>
    <w:rsid w:val="00351FED"/>
    <w:rsid w:val="00352CD3"/>
    <w:rsid w:val="00352E1D"/>
    <w:rsid w:val="00353294"/>
    <w:rsid w:val="003532B8"/>
    <w:rsid w:val="00353713"/>
    <w:rsid w:val="00353953"/>
    <w:rsid w:val="00354688"/>
    <w:rsid w:val="003547C5"/>
    <w:rsid w:val="00354E2A"/>
    <w:rsid w:val="00355310"/>
    <w:rsid w:val="00355512"/>
    <w:rsid w:val="00355558"/>
    <w:rsid w:val="00355600"/>
    <w:rsid w:val="003557C8"/>
    <w:rsid w:val="00355A41"/>
    <w:rsid w:val="00355EEB"/>
    <w:rsid w:val="00356B47"/>
    <w:rsid w:val="00356D1E"/>
    <w:rsid w:val="00356DA6"/>
    <w:rsid w:val="003570A4"/>
    <w:rsid w:val="00357518"/>
    <w:rsid w:val="003575A6"/>
    <w:rsid w:val="00357C51"/>
    <w:rsid w:val="00357CCD"/>
    <w:rsid w:val="003606BE"/>
    <w:rsid w:val="00361687"/>
    <w:rsid w:val="003617C0"/>
    <w:rsid w:val="0036196F"/>
    <w:rsid w:val="003621CD"/>
    <w:rsid w:val="003637D6"/>
    <w:rsid w:val="00363D0A"/>
    <w:rsid w:val="00364070"/>
    <w:rsid w:val="00364E2E"/>
    <w:rsid w:val="0036519D"/>
    <w:rsid w:val="003658E5"/>
    <w:rsid w:val="00365A2F"/>
    <w:rsid w:val="00366DC1"/>
    <w:rsid w:val="00367989"/>
    <w:rsid w:val="00367C99"/>
    <w:rsid w:val="003709D2"/>
    <w:rsid w:val="003711A9"/>
    <w:rsid w:val="00371485"/>
    <w:rsid w:val="00371F61"/>
    <w:rsid w:val="003721A6"/>
    <w:rsid w:val="003721C9"/>
    <w:rsid w:val="00372213"/>
    <w:rsid w:val="003727AD"/>
    <w:rsid w:val="00373568"/>
    <w:rsid w:val="00373C96"/>
    <w:rsid w:val="00373EC0"/>
    <w:rsid w:val="00374209"/>
    <w:rsid w:val="0037431B"/>
    <w:rsid w:val="0037434B"/>
    <w:rsid w:val="003746B7"/>
    <w:rsid w:val="00374C66"/>
    <w:rsid w:val="00375A55"/>
    <w:rsid w:val="00377317"/>
    <w:rsid w:val="00377852"/>
    <w:rsid w:val="00377B1D"/>
    <w:rsid w:val="0038069B"/>
    <w:rsid w:val="00380B79"/>
    <w:rsid w:val="0038224D"/>
    <w:rsid w:val="00383643"/>
    <w:rsid w:val="00383EC3"/>
    <w:rsid w:val="00384092"/>
    <w:rsid w:val="00384386"/>
    <w:rsid w:val="00384545"/>
    <w:rsid w:val="00385217"/>
    <w:rsid w:val="00385C62"/>
    <w:rsid w:val="00386474"/>
    <w:rsid w:val="003864B3"/>
    <w:rsid w:val="00387088"/>
    <w:rsid w:val="003902B6"/>
    <w:rsid w:val="00391BF8"/>
    <w:rsid w:val="003922C5"/>
    <w:rsid w:val="00392F08"/>
    <w:rsid w:val="00393215"/>
    <w:rsid w:val="0039421A"/>
    <w:rsid w:val="00394D36"/>
    <w:rsid w:val="00395B40"/>
    <w:rsid w:val="00395E2E"/>
    <w:rsid w:val="003963DB"/>
    <w:rsid w:val="00396411"/>
    <w:rsid w:val="003966D7"/>
    <w:rsid w:val="0039682A"/>
    <w:rsid w:val="00396EB4"/>
    <w:rsid w:val="003974D0"/>
    <w:rsid w:val="00397607"/>
    <w:rsid w:val="003A159F"/>
    <w:rsid w:val="003A17D8"/>
    <w:rsid w:val="003A2389"/>
    <w:rsid w:val="003A2611"/>
    <w:rsid w:val="003A27FB"/>
    <w:rsid w:val="003A31BD"/>
    <w:rsid w:val="003A422A"/>
    <w:rsid w:val="003A5C66"/>
    <w:rsid w:val="003A661F"/>
    <w:rsid w:val="003A70EC"/>
    <w:rsid w:val="003A771D"/>
    <w:rsid w:val="003A7A1C"/>
    <w:rsid w:val="003B0704"/>
    <w:rsid w:val="003B0D51"/>
    <w:rsid w:val="003B0E9F"/>
    <w:rsid w:val="003B0ECA"/>
    <w:rsid w:val="003B0FE6"/>
    <w:rsid w:val="003B1681"/>
    <w:rsid w:val="003B1C79"/>
    <w:rsid w:val="003B1DC9"/>
    <w:rsid w:val="003B1EC2"/>
    <w:rsid w:val="003B20AE"/>
    <w:rsid w:val="003B2C2E"/>
    <w:rsid w:val="003B2E35"/>
    <w:rsid w:val="003B2EC9"/>
    <w:rsid w:val="003B35F5"/>
    <w:rsid w:val="003B37EF"/>
    <w:rsid w:val="003B38E3"/>
    <w:rsid w:val="003B429A"/>
    <w:rsid w:val="003B4873"/>
    <w:rsid w:val="003B56D4"/>
    <w:rsid w:val="003B598D"/>
    <w:rsid w:val="003B5C79"/>
    <w:rsid w:val="003B5D3E"/>
    <w:rsid w:val="003B62C1"/>
    <w:rsid w:val="003B6424"/>
    <w:rsid w:val="003B65E9"/>
    <w:rsid w:val="003B6A7A"/>
    <w:rsid w:val="003B76E3"/>
    <w:rsid w:val="003B77A6"/>
    <w:rsid w:val="003C00A4"/>
    <w:rsid w:val="003C0213"/>
    <w:rsid w:val="003C1145"/>
    <w:rsid w:val="003C16E1"/>
    <w:rsid w:val="003C1DE3"/>
    <w:rsid w:val="003C1F64"/>
    <w:rsid w:val="003C2013"/>
    <w:rsid w:val="003C2AA0"/>
    <w:rsid w:val="003C32BD"/>
    <w:rsid w:val="003C336A"/>
    <w:rsid w:val="003C3ADE"/>
    <w:rsid w:val="003C4997"/>
    <w:rsid w:val="003C4A1C"/>
    <w:rsid w:val="003C59F3"/>
    <w:rsid w:val="003C5DDF"/>
    <w:rsid w:val="003C6DEB"/>
    <w:rsid w:val="003C712B"/>
    <w:rsid w:val="003C75FF"/>
    <w:rsid w:val="003C7C0D"/>
    <w:rsid w:val="003D0170"/>
    <w:rsid w:val="003D076C"/>
    <w:rsid w:val="003D0D42"/>
    <w:rsid w:val="003D1450"/>
    <w:rsid w:val="003D1CA3"/>
    <w:rsid w:val="003D2067"/>
    <w:rsid w:val="003D2A0A"/>
    <w:rsid w:val="003D40AA"/>
    <w:rsid w:val="003D42C8"/>
    <w:rsid w:val="003D4391"/>
    <w:rsid w:val="003D4442"/>
    <w:rsid w:val="003D468E"/>
    <w:rsid w:val="003D4C34"/>
    <w:rsid w:val="003D5685"/>
    <w:rsid w:val="003D5C8F"/>
    <w:rsid w:val="003D5E2F"/>
    <w:rsid w:val="003D60CD"/>
    <w:rsid w:val="003D7364"/>
    <w:rsid w:val="003D7690"/>
    <w:rsid w:val="003E33F0"/>
    <w:rsid w:val="003E3563"/>
    <w:rsid w:val="003E35B6"/>
    <w:rsid w:val="003E3DE7"/>
    <w:rsid w:val="003E4936"/>
    <w:rsid w:val="003E4B96"/>
    <w:rsid w:val="003E70FE"/>
    <w:rsid w:val="003E730D"/>
    <w:rsid w:val="003E756F"/>
    <w:rsid w:val="003E7A4F"/>
    <w:rsid w:val="003F0527"/>
    <w:rsid w:val="003F05AF"/>
    <w:rsid w:val="003F0988"/>
    <w:rsid w:val="003F0B49"/>
    <w:rsid w:val="003F129F"/>
    <w:rsid w:val="003F1BFE"/>
    <w:rsid w:val="003F3835"/>
    <w:rsid w:val="003F38A4"/>
    <w:rsid w:val="003F38B8"/>
    <w:rsid w:val="003F3901"/>
    <w:rsid w:val="003F3B96"/>
    <w:rsid w:val="003F5747"/>
    <w:rsid w:val="003F57C8"/>
    <w:rsid w:val="003F590A"/>
    <w:rsid w:val="003F5EBA"/>
    <w:rsid w:val="003F65CE"/>
    <w:rsid w:val="003F69E4"/>
    <w:rsid w:val="003F6CAD"/>
    <w:rsid w:val="003F6E57"/>
    <w:rsid w:val="003F762A"/>
    <w:rsid w:val="003F78DF"/>
    <w:rsid w:val="003F7AFB"/>
    <w:rsid w:val="003F7B05"/>
    <w:rsid w:val="004002B9"/>
    <w:rsid w:val="00400787"/>
    <w:rsid w:val="00401CF4"/>
    <w:rsid w:val="00401FAA"/>
    <w:rsid w:val="00402D33"/>
    <w:rsid w:val="004030E6"/>
    <w:rsid w:val="004039AB"/>
    <w:rsid w:val="00403D75"/>
    <w:rsid w:val="00404C5F"/>
    <w:rsid w:val="00405200"/>
    <w:rsid w:val="004052AD"/>
    <w:rsid w:val="00405DBB"/>
    <w:rsid w:val="004061BF"/>
    <w:rsid w:val="004063D6"/>
    <w:rsid w:val="0040695A"/>
    <w:rsid w:val="00406FDC"/>
    <w:rsid w:val="004073F6"/>
    <w:rsid w:val="00407814"/>
    <w:rsid w:val="004078F7"/>
    <w:rsid w:val="00407A6F"/>
    <w:rsid w:val="00407E12"/>
    <w:rsid w:val="004101FA"/>
    <w:rsid w:val="00410407"/>
    <w:rsid w:val="00410F5C"/>
    <w:rsid w:val="0041113C"/>
    <w:rsid w:val="00411274"/>
    <w:rsid w:val="00411377"/>
    <w:rsid w:val="004116BB"/>
    <w:rsid w:val="00411795"/>
    <w:rsid w:val="004118D8"/>
    <w:rsid w:val="00411B38"/>
    <w:rsid w:val="00411D59"/>
    <w:rsid w:val="0041274E"/>
    <w:rsid w:val="0041284C"/>
    <w:rsid w:val="004134AB"/>
    <w:rsid w:val="00413590"/>
    <w:rsid w:val="00413B10"/>
    <w:rsid w:val="004141FC"/>
    <w:rsid w:val="004159F2"/>
    <w:rsid w:val="00416117"/>
    <w:rsid w:val="004169B7"/>
    <w:rsid w:val="00416F67"/>
    <w:rsid w:val="00416FCF"/>
    <w:rsid w:val="00417A27"/>
    <w:rsid w:val="00417BD3"/>
    <w:rsid w:val="00417D81"/>
    <w:rsid w:val="0042088B"/>
    <w:rsid w:val="00420C59"/>
    <w:rsid w:val="00421D36"/>
    <w:rsid w:val="00421D9B"/>
    <w:rsid w:val="00421EDD"/>
    <w:rsid w:val="00422C81"/>
    <w:rsid w:val="00424BDA"/>
    <w:rsid w:val="00425988"/>
    <w:rsid w:val="00425B18"/>
    <w:rsid w:val="00425D99"/>
    <w:rsid w:val="00426181"/>
    <w:rsid w:val="004271C9"/>
    <w:rsid w:val="0042737A"/>
    <w:rsid w:val="0042750D"/>
    <w:rsid w:val="004275A9"/>
    <w:rsid w:val="00427A33"/>
    <w:rsid w:val="00430161"/>
    <w:rsid w:val="004302E2"/>
    <w:rsid w:val="0043049E"/>
    <w:rsid w:val="004308BA"/>
    <w:rsid w:val="00430FBA"/>
    <w:rsid w:val="00432039"/>
    <w:rsid w:val="004324AC"/>
    <w:rsid w:val="0043254A"/>
    <w:rsid w:val="004325C6"/>
    <w:rsid w:val="00432DDF"/>
    <w:rsid w:val="00432E35"/>
    <w:rsid w:val="00434404"/>
    <w:rsid w:val="00434959"/>
    <w:rsid w:val="004353E6"/>
    <w:rsid w:val="00435689"/>
    <w:rsid w:val="0043614C"/>
    <w:rsid w:val="00436930"/>
    <w:rsid w:val="00437391"/>
    <w:rsid w:val="004408B8"/>
    <w:rsid w:val="00441E04"/>
    <w:rsid w:val="00441F74"/>
    <w:rsid w:val="00442CE5"/>
    <w:rsid w:val="0044301A"/>
    <w:rsid w:val="004443FC"/>
    <w:rsid w:val="00444759"/>
    <w:rsid w:val="0044497A"/>
    <w:rsid w:val="004473CE"/>
    <w:rsid w:val="00447AD5"/>
    <w:rsid w:val="00447BBA"/>
    <w:rsid w:val="004500E3"/>
    <w:rsid w:val="0045018D"/>
    <w:rsid w:val="0045047E"/>
    <w:rsid w:val="00450839"/>
    <w:rsid w:val="0045092D"/>
    <w:rsid w:val="004514D4"/>
    <w:rsid w:val="00451516"/>
    <w:rsid w:val="0045172A"/>
    <w:rsid w:val="004520B2"/>
    <w:rsid w:val="00452785"/>
    <w:rsid w:val="0045449A"/>
    <w:rsid w:val="004546F2"/>
    <w:rsid w:val="00454C3A"/>
    <w:rsid w:val="004551F7"/>
    <w:rsid w:val="00455305"/>
    <w:rsid w:val="00455C89"/>
    <w:rsid w:val="00455D64"/>
    <w:rsid w:val="00455DC9"/>
    <w:rsid w:val="0045602C"/>
    <w:rsid w:val="00456766"/>
    <w:rsid w:val="00456E60"/>
    <w:rsid w:val="00457363"/>
    <w:rsid w:val="00460313"/>
    <w:rsid w:val="00460E97"/>
    <w:rsid w:val="004614FB"/>
    <w:rsid w:val="004615AB"/>
    <w:rsid w:val="0046258D"/>
    <w:rsid w:val="00462BFD"/>
    <w:rsid w:val="0046589F"/>
    <w:rsid w:val="004661C4"/>
    <w:rsid w:val="00466234"/>
    <w:rsid w:val="0046664B"/>
    <w:rsid w:val="004667C9"/>
    <w:rsid w:val="0046724E"/>
    <w:rsid w:val="00470557"/>
    <w:rsid w:val="004708C1"/>
    <w:rsid w:val="00470A69"/>
    <w:rsid w:val="00470B9F"/>
    <w:rsid w:val="00472929"/>
    <w:rsid w:val="0047329F"/>
    <w:rsid w:val="004737F5"/>
    <w:rsid w:val="00474606"/>
    <w:rsid w:val="00474B1E"/>
    <w:rsid w:val="0047607D"/>
    <w:rsid w:val="00476298"/>
    <w:rsid w:val="0047682F"/>
    <w:rsid w:val="00476C7C"/>
    <w:rsid w:val="00476FD1"/>
    <w:rsid w:val="004774BF"/>
    <w:rsid w:val="0047774B"/>
    <w:rsid w:val="00477968"/>
    <w:rsid w:val="004779F1"/>
    <w:rsid w:val="00477C85"/>
    <w:rsid w:val="00481D83"/>
    <w:rsid w:val="00481FE5"/>
    <w:rsid w:val="00482A5E"/>
    <w:rsid w:val="00482F9F"/>
    <w:rsid w:val="00483298"/>
    <w:rsid w:val="0048373D"/>
    <w:rsid w:val="00483D42"/>
    <w:rsid w:val="0048436B"/>
    <w:rsid w:val="00484376"/>
    <w:rsid w:val="00485132"/>
    <w:rsid w:val="00486983"/>
    <w:rsid w:val="00486C8C"/>
    <w:rsid w:val="004873A0"/>
    <w:rsid w:val="0048795F"/>
    <w:rsid w:val="00487E58"/>
    <w:rsid w:val="00491819"/>
    <w:rsid w:val="00491F6D"/>
    <w:rsid w:val="004931DE"/>
    <w:rsid w:val="00493767"/>
    <w:rsid w:val="0049380C"/>
    <w:rsid w:val="00493B07"/>
    <w:rsid w:val="00494AFB"/>
    <w:rsid w:val="00495393"/>
    <w:rsid w:val="00495B5C"/>
    <w:rsid w:val="00496677"/>
    <w:rsid w:val="00496A06"/>
    <w:rsid w:val="0049731E"/>
    <w:rsid w:val="004973D1"/>
    <w:rsid w:val="00497752"/>
    <w:rsid w:val="004977EE"/>
    <w:rsid w:val="00497A94"/>
    <w:rsid w:val="004A00A3"/>
    <w:rsid w:val="004A036A"/>
    <w:rsid w:val="004A2163"/>
    <w:rsid w:val="004A23F8"/>
    <w:rsid w:val="004A2E3C"/>
    <w:rsid w:val="004A2FF3"/>
    <w:rsid w:val="004A3160"/>
    <w:rsid w:val="004A37E9"/>
    <w:rsid w:val="004A38B4"/>
    <w:rsid w:val="004A5547"/>
    <w:rsid w:val="004A79B4"/>
    <w:rsid w:val="004A7E49"/>
    <w:rsid w:val="004A7F91"/>
    <w:rsid w:val="004B034A"/>
    <w:rsid w:val="004B0C75"/>
    <w:rsid w:val="004B105F"/>
    <w:rsid w:val="004B1E5A"/>
    <w:rsid w:val="004B2988"/>
    <w:rsid w:val="004B2AA0"/>
    <w:rsid w:val="004B36E8"/>
    <w:rsid w:val="004B494B"/>
    <w:rsid w:val="004B4C4C"/>
    <w:rsid w:val="004B4E97"/>
    <w:rsid w:val="004B53B6"/>
    <w:rsid w:val="004B5533"/>
    <w:rsid w:val="004B5A01"/>
    <w:rsid w:val="004B626F"/>
    <w:rsid w:val="004B690A"/>
    <w:rsid w:val="004B70A0"/>
    <w:rsid w:val="004C013B"/>
    <w:rsid w:val="004C01BE"/>
    <w:rsid w:val="004C0C3A"/>
    <w:rsid w:val="004C14A1"/>
    <w:rsid w:val="004C15D9"/>
    <w:rsid w:val="004C18CC"/>
    <w:rsid w:val="004C2A62"/>
    <w:rsid w:val="004C314C"/>
    <w:rsid w:val="004C315B"/>
    <w:rsid w:val="004C322F"/>
    <w:rsid w:val="004C3B5C"/>
    <w:rsid w:val="004C3D8F"/>
    <w:rsid w:val="004C4687"/>
    <w:rsid w:val="004C4AAD"/>
    <w:rsid w:val="004C4C4A"/>
    <w:rsid w:val="004C4E6E"/>
    <w:rsid w:val="004C500D"/>
    <w:rsid w:val="004C5C1E"/>
    <w:rsid w:val="004C5D2E"/>
    <w:rsid w:val="004C6CBB"/>
    <w:rsid w:val="004C6D67"/>
    <w:rsid w:val="004C6E67"/>
    <w:rsid w:val="004D015B"/>
    <w:rsid w:val="004D03E6"/>
    <w:rsid w:val="004D04E4"/>
    <w:rsid w:val="004D1138"/>
    <w:rsid w:val="004D173E"/>
    <w:rsid w:val="004D1931"/>
    <w:rsid w:val="004D1B1B"/>
    <w:rsid w:val="004D1CFD"/>
    <w:rsid w:val="004D1DA5"/>
    <w:rsid w:val="004D2048"/>
    <w:rsid w:val="004D29F3"/>
    <w:rsid w:val="004D2D5A"/>
    <w:rsid w:val="004D2F9E"/>
    <w:rsid w:val="004D317B"/>
    <w:rsid w:val="004D351A"/>
    <w:rsid w:val="004D3D56"/>
    <w:rsid w:val="004D4B7D"/>
    <w:rsid w:val="004D529E"/>
    <w:rsid w:val="004D68F6"/>
    <w:rsid w:val="004D6984"/>
    <w:rsid w:val="004D6C89"/>
    <w:rsid w:val="004D759E"/>
    <w:rsid w:val="004D7BB8"/>
    <w:rsid w:val="004E01E6"/>
    <w:rsid w:val="004E038F"/>
    <w:rsid w:val="004E09CF"/>
    <w:rsid w:val="004E0EBA"/>
    <w:rsid w:val="004E10C0"/>
    <w:rsid w:val="004E164D"/>
    <w:rsid w:val="004E19F2"/>
    <w:rsid w:val="004E1B09"/>
    <w:rsid w:val="004E1BF7"/>
    <w:rsid w:val="004E2065"/>
    <w:rsid w:val="004E25B0"/>
    <w:rsid w:val="004E2A30"/>
    <w:rsid w:val="004E3357"/>
    <w:rsid w:val="004E47B0"/>
    <w:rsid w:val="004E4AE9"/>
    <w:rsid w:val="004E4C0B"/>
    <w:rsid w:val="004E5425"/>
    <w:rsid w:val="004E5C9F"/>
    <w:rsid w:val="004E76D7"/>
    <w:rsid w:val="004E77BE"/>
    <w:rsid w:val="004F12D1"/>
    <w:rsid w:val="004F1B23"/>
    <w:rsid w:val="004F2CF3"/>
    <w:rsid w:val="004F2D9A"/>
    <w:rsid w:val="004F3364"/>
    <w:rsid w:val="004F3496"/>
    <w:rsid w:val="004F3EDB"/>
    <w:rsid w:val="004F42FA"/>
    <w:rsid w:val="004F4773"/>
    <w:rsid w:val="004F499D"/>
    <w:rsid w:val="004F4D5D"/>
    <w:rsid w:val="004F4DC6"/>
    <w:rsid w:val="004F62B1"/>
    <w:rsid w:val="004F6802"/>
    <w:rsid w:val="004F6B05"/>
    <w:rsid w:val="004F7CB5"/>
    <w:rsid w:val="004F7DAF"/>
    <w:rsid w:val="00500576"/>
    <w:rsid w:val="005008D9"/>
    <w:rsid w:val="005014F6"/>
    <w:rsid w:val="005018CB"/>
    <w:rsid w:val="00501B47"/>
    <w:rsid w:val="00502490"/>
    <w:rsid w:val="00502601"/>
    <w:rsid w:val="0050273B"/>
    <w:rsid w:val="00502B52"/>
    <w:rsid w:val="00503287"/>
    <w:rsid w:val="0050353F"/>
    <w:rsid w:val="00503AD0"/>
    <w:rsid w:val="00503AE0"/>
    <w:rsid w:val="00503B18"/>
    <w:rsid w:val="005040CB"/>
    <w:rsid w:val="00504318"/>
    <w:rsid w:val="00504618"/>
    <w:rsid w:val="00504E61"/>
    <w:rsid w:val="00504FC5"/>
    <w:rsid w:val="005055F5"/>
    <w:rsid w:val="00505F54"/>
    <w:rsid w:val="005069CA"/>
    <w:rsid w:val="005069D8"/>
    <w:rsid w:val="00506B85"/>
    <w:rsid w:val="00510A77"/>
    <w:rsid w:val="00510FD8"/>
    <w:rsid w:val="00512F50"/>
    <w:rsid w:val="00513371"/>
    <w:rsid w:val="00514118"/>
    <w:rsid w:val="0051424E"/>
    <w:rsid w:val="005142C5"/>
    <w:rsid w:val="00514458"/>
    <w:rsid w:val="005154D2"/>
    <w:rsid w:val="0051585B"/>
    <w:rsid w:val="0051593C"/>
    <w:rsid w:val="00515A60"/>
    <w:rsid w:val="0051602C"/>
    <w:rsid w:val="0051614F"/>
    <w:rsid w:val="005163A4"/>
    <w:rsid w:val="005164A8"/>
    <w:rsid w:val="005165AE"/>
    <w:rsid w:val="0051676A"/>
    <w:rsid w:val="00516AD9"/>
    <w:rsid w:val="00516AE8"/>
    <w:rsid w:val="00516D99"/>
    <w:rsid w:val="00517694"/>
    <w:rsid w:val="00517C6B"/>
    <w:rsid w:val="005200C2"/>
    <w:rsid w:val="00520298"/>
    <w:rsid w:val="00520DDD"/>
    <w:rsid w:val="00520FCF"/>
    <w:rsid w:val="00521D86"/>
    <w:rsid w:val="00521EFD"/>
    <w:rsid w:val="00522125"/>
    <w:rsid w:val="00522F39"/>
    <w:rsid w:val="00523C12"/>
    <w:rsid w:val="00524104"/>
    <w:rsid w:val="00524D7C"/>
    <w:rsid w:val="005251FC"/>
    <w:rsid w:val="005264C2"/>
    <w:rsid w:val="005267DC"/>
    <w:rsid w:val="00527500"/>
    <w:rsid w:val="00527BE6"/>
    <w:rsid w:val="00527D69"/>
    <w:rsid w:val="00530098"/>
    <w:rsid w:val="0053068D"/>
    <w:rsid w:val="005308CC"/>
    <w:rsid w:val="0053096D"/>
    <w:rsid w:val="00530CF8"/>
    <w:rsid w:val="00530E11"/>
    <w:rsid w:val="0053128C"/>
    <w:rsid w:val="005312ED"/>
    <w:rsid w:val="00531658"/>
    <w:rsid w:val="005319A6"/>
    <w:rsid w:val="00531AB4"/>
    <w:rsid w:val="005322D9"/>
    <w:rsid w:val="00532A10"/>
    <w:rsid w:val="00532A36"/>
    <w:rsid w:val="00533EB8"/>
    <w:rsid w:val="00534A94"/>
    <w:rsid w:val="005356C9"/>
    <w:rsid w:val="0053612D"/>
    <w:rsid w:val="00536596"/>
    <w:rsid w:val="005377AB"/>
    <w:rsid w:val="00537B56"/>
    <w:rsid w:val="005400EF"/>
    <w:rsid w:val="00540247"/>
    <w:rsid w:val="00540919"/>
    <w:rsid w:val="00541DF6"/>
    <w:rsid w:val="00542850"/>
    <w:rsid w:val="00542D72"/>
    <w:rsid w:val="00543109"/>
    <w:rsid w:val="00543851"/>
    <w:rsid w:val="00543BE6"/>
    <w:rsid w:val="0054454B"/>
    <w:rsid w:val="00544F04"/>
    <w:rsid w:val="00545173"/>
    <w:rsid w:val="00545977"/>
    <w:rsid w:val="00545EEF"/>
    <w:rsid w:val="00545FC6"/>
    <w:rsid w:val="005460E5"/>
    <w:rsid w:val="005461B8"/>
    <w:rsid w:val="0054661A"/>
    <w:rsid w:val="005466DF"/>
    <w:rsid w:val="00546B52"/>
    <w:rsid w:val="0054765D"/>
    <w:rsid w:val="00550374"/>
    <w:rsid w:val="005504B2"/>
    <w:rsid w:val="00551F39"/>
    <w:rsid w:val="0055220E"/>
    <w:rsid w:val="005525FA"/>
    <w:rsid w:val="00552E06"/>
    <w:rsid w:val="005530CF"/>
    <w:rsid w:val="00553C0C"/>
    <w:rsid w:val="00553EE2"/>
    <w:rsid w:val="00553FCE"/>
    <w:rsid w:val="0055464E"/>
    <w:rsid w:val="0055497D"/>
    <w:rsid w:val="00554E55"/>
    <w:rsid w:val="0055539F"/>
    <w:rsid w:val="005555BB"/>
    <w:rsid w:val="005564F9"/>
    <w:rsid w:val="005565F7"/>
    <w:rsid w:val="005566E2"/>
    <w:rsid w:val="00556ADB"/>
    <w:rsid w:val="00556F01"/>
    <w:rsid w:val="00557E74"/>
    <w:rsid w:val="00557F6A"/>
    <w:rsid w:val="0056012C"/>
    <w:rsid w:val="00560688"/>
    <w:rsid w:val="005607DD"/>
    <w:rsid w:val="00560A21"/>
    <w:rsid w:val="00560C04"/>
    <w:rsid w:val="00560CF2"/>
    <w:rsid w:val="00561689"/>
    <w:rsid w:val="00561873"/>
    <w:rsid w:val="00561D4D"/>
    <w:rsid w:val="00561E70"/>
    <w:rsid w:val="00562083"/>
    <w:rsid w:val="00562D93"/>
    <w:rsid w:val="00562E4F"/>
    <w:rsid w:val="00562FC4"/>
    <w:rsid w:val="005635A9"/>
    <w:rsid w:val="00563BDF"/>
    <w:rsid w:val="005645F8"/>
    <w:rsid w:val="005647F6"/>
    <w:rsid w:val="0056481D"/>
    <w:rsid w:val="005648AC"/>
    <w:rsid w:val="00564A53"/>
    <w:rsid w:val="005655D0"/>
    <w:rsid w:val="00566449"/>
    <w:rsid w:val="00566617"/>
    <w:rsid w:val="005666EC"/>
    <w:rsid w:val="00566F98"/>
    <w:rsid w:val="00567FE5"/>
    <w:rsid w:val="005703FE"/>
    <w:rsid w:val="00570625"/>
    <w:rsid w:val="005706DF"/>
    <w:rsid w:val="00571169"/>
    <w:rsid w:val="00571768"/>
    <w:rsid w:val="005721CA"/>
    <w:rsid w:val="0057255E"/>
    <w:rsid w:val="005744B0"/>
    <w:rsid w:val="0057468A"/>
    <w:rsid w:val="00574BD4"/>
    <w:rsid w:val="005750DD"/>
    <w:rsid w:val="0057688C"/>
    <w:rsid w:val="00577141"/>
    <w:rsid w:val="005776E4"/>
    <w:rsid w:val="00580CAB"/>
    <w:rsid w:val="00581566"/>
    <w:rsid w:val="00581F41"/>
    <w:rsid w:val="0058236B"/>
    <w:rsid w:val="00583114"/>
    <w:rsid w:val="005836EA"/>
    <w:rsid w:val="00583FEA"/>
    <w:rsid w:val="00585331"/>
    <w:rsid w:val="00585373"/>
    <w:rsid w:val="00585B4F"/>
    <w:rsid w:val="00585E32"/>
    <w:rsid w:val="0058643F"/>
    <w:rsid w:val="005875EB"/>
    <w:rsid w:val="00587BF6"/>
    <w:rsid w:val="00587D22"/>
    <w:rsid w:val="00590546"/>
    <w:rsid w:val="0059116D"/>
    <w:rsid w:val="005913E9"/>
    <w:rsid w:val="00591EB7"/>
    <w:rsid w:val="005921FF"/>
    <w:rsid w:val="00592688"/>
    <w:rsid w:val="00592805"/>
    <w:rsid w:val="005928A6"/>
    <w:rsid w:val="00592E5C"/>
    <w:rsid w:val="00593629"/>
    <w:rsid w:val="00593714"/>
    <w:rsid w:val="00593E34"/>
    <w:rsid w:val="0059506E"/>
    <w:rsid w:val="00596891"/>
    <w:rsid w:val="00596A78"/>
    <w:rsid w:val="00596DDC"/>
    <w:rsid w:val="00597427"/>
    <w:rsid w:val="00597461"/>
    <w:rsid w:val="005978BE"/>
    <w:rsid w:val="005A05D0"/>
    <w:rsid w:val="005A0D0E"/>
    <w:rsid w:val="005A1A5F"/>
    <w:rsid w:val="005A414D"/>
    <w:rsid w:val="005A4AE6"/>
    <w:rsid w:val="005A4AF1"/>
    <w:rsid w:val="005A57D4"/>
    <w:rsid w:val="005A59D1"/>
    <w:rsid w:val="005A651A"/>
    <w:rsid w:val="005A6CDC"/>
    <w:rsid w:val="005A6EC8"/>
    <w:rsid w:val="005A77CA"/>
    <w:rsid w:val="005A7A9D"/>
    <w:rsid w:val="005B0002"/>
    <w:rsid w:val="005B0972"/>
    <w:rsid w:val="005B185D"/>
    <w:rsid w:val="005B1DE2"/>
    <w:rsid w:val="005B23AF"/>
    <w:rsid w:val="005B2439"/>
    <w:rsid w:val="005B2F58"/>
    <w:rsid w:val="005B372F"/>
    <w:rsid w:val="005B3A31"/>
    <w:rsid w:val="005B494B"/>
    <w:rsid w:val="005B4E13"/>
    <w:rsid w:val="005B5864"/>
    <w:rsid w:val="005B6B1E"/>
    <w:rsid w:val="005B7E80"/>
    <w:rsid w:val="005C025C"/>
    <w:rsid w:val="005C0704"/>
    <w:rsid w:val="005C086D"/>
    <w:rsid w:val="005C0F05"/>
    <w:rsid w:val="005C12AE"/>
    <w:rsid w:val="005C192B"/>
    <w:rsid w:val="005C1F76"/>
    <w:rsid w:val="005C21A0"/>
    <w:rsid w:val="005C36B0"/>
    <w:rsid w:val="005C3D64"/>
    <w:rsid w:val="005C4079"/>
    <w:rsid w:val="005C5F67"/>
    <w:rsid w:val="005C654D"/>
    <w:rsid w:val="005C676E"/>
    <w:rsid w:val="005C6B83"/>
    <w:rsid w:val="005C6CFB"/>
    <w:rsid w:val="005C7194"/>
    <w:rsid w:val="005C7C20"/>
    <w:rsid w:val="005D0D74"/>
    <w:rsid w:val="005D118A"/>
    <w:rsid w:val="005D1278"/>
    <w:rsid w:val="005D1906"/>
    <w:rsid w:val="005D1BB0"/>
    <w:rsid w:val="005D1F3E"/>
    <w:rsid w:val="005D20E5"/>
    <w:rsid w:val="005D2584"/>
    <w:rsid w:val="005D2E5E"/>
    <w:rsid w:val="005D3459"/>
    <w:rsid w:val="005D3B7D"/>
    <w:rsid w:val="005D46DD"/>
    <w:rsid w:val="005D4722"/>
    <w:rsid w:val="005D496D"/>
    <w:rsid w:val="005D4B30"/>
    <w:rsid w:val="005D515E"/>
    <w:rsid w:val="005D56B7"/>
    <w:rsid w:val="005D5DDE"/>
    <w:rsid w:val="005D6753"/>
    <w:rsid w:val="005D6AAF"/>
    <w:rsid w:val="005D6F43"/>
    <w:rsid w:val="005D74D1"/>
    <w:rsid w:val="005D7CFA"/>
    <w:rsid w:val="005E065E"/>
    <w:rsid w:val="005E0A01"/>
    <w:rsid w:val="005E0E6B"/>
    <w:rsid w:val="005E1737"/>
    <w:rsid w:val="005E1C5C"/>
    <w:rsid w:val="005E20C1"/>
    <w:rsid w:val="005E250F"/>
    <w:rsid w:val="005E2590"/>
    <w:rsid w:val="005E2BEC"/>
    <w:rsid w:val="005E2EDE"/>
    <w:rsid w:val="005E3168"/>
    <w:rsid w:val="005E4484"/>
    <w:rsid w:val="005E5068"/>
    <w:rsid w:val="005E5787"/>
    <w:rsid w:val="005E5D8B"/>
    <w:rsid w:val="005E6001"/>
    <w:rsid w:val="005E682F"/>
    <w:rsid w:val="005E6C04"/>
    <w:rsid w:val="005E6C35"/>
    <w:rsid w:val="005E6D2A"/>
    <w:rsid w:val="005E7457"/>
    <w:rsid w:val="005F0382"/>
    <w:rsid w:val="005F0417"/>
    <w:rsid w:val="005F0734"/>
    <w:rsid w:val="005F0B22"/>
    <w:rsid w:val="005F1C2C"/>
    <w:rsid w:val="005F2047"/>
    <w:rsid w:val="005F332D"/>
    <w:rsid w:val="005F39CF"/>
    <w:rsid w:val="005F450A"/>
    <w:rsid w:val="005F4515"/>
    <w:rsid w:val="005F4817"/>
    <w:rsid w:val="005F4997"/>
    <w:rsid w:val="005F58C2"/>
    <w:rsid w:val="005F5C8C"/>
    <w:rsid w:val="005F605B"/>
    <w:rsid w:val="005F61AC"/>
    <w:rsid w:val="005F625B"/>
    <w:rsid w:val="005F62E3"/>
    <w:rsid w:val="005F639D"/>
    <w:rsid w:val="005F64C7"/>
    <w:rsid w:val="005F6622"/>
    <w:rsid w:val="005F67C1"/>
    <w:rsid w:val="005F7260"/>
    <w:rsid w:val="005F77A1"/>
    <w:rsid w:val="0060002E"/>
    <w:rsid w:val="0060021C"/>
    <w:rsid w:val="006007A3"/>
    <w:rsid w:val="00601BED"/>
    <w:rsid w:val="00601C17"/>
    <w:rsid w:val="00601DCC"/>
    <w:rsid w:val="006023A0"/>
    <w:rsid w:val="00604D84"/>
    <w:rsid w:val="0060693B"/>
    <w:rsid w:val="00606C64"/>
    <w:rsid w:val="00607235"/>
    <w:rsid w:val="006076BA"/>
    <w:rsid w:val="006079E7"/>
    <w:rsid w:val="00607B84"/>
    <w:rsid w:val="00607E83"/>
    <w:rsid w:val="00610219"/>
    <w:rsid w:val="00610421"/>
    <w:rsid w:val="00610664"/>
    <w:rsid w:val="0061074B"/>
    <w:rsid w:val="006107B9"/>
    <w:rsid w:val="006110A4"/>
    <w:rsid w:val="006116AD"/>
    <w:rsid w:val="00612BD8"/>
    <w:rsid w:val="00612CAC"/>
    <w:rsid w:val="0061343F"/>
    <w:rsid w:val="00614544"/>
    <w:rsid w:val="006149AD"/>
    <w:rsid w:val="00614C33"/>
    <w:rsid w:val="0061511D"/>
    <w:rsid w:val="00615C25"/>
    <w:rsid w:val="00616325"/>
    <w:rsid w:val="0061644B"/>
    <w:rsid w:val="00620D2E"/>
    <w:rsid w:val="00620DFA"/>
    <w:rsid w:val="00621505"/>
    <w:rsid w:val="00621962"/>
    <w:rsid w:val="00621E22"/>
    <w:rsid w:val="006221C6"/>
    <w:rsid w:val="006223AC"/>
    <w:rsid w:val="00622829"/>
    <w:rsid w:val="006233E4"/>
    <w:rsid w:val="006233F6"/>
    <w:rsid w:val="0062359C"/>
    <w:rsid w:val="006235D7"/>
    <w:rsid w:val="00623935"/>
    <w:rsid w:val="006249CC"/>
    <w:rsid w:val="00625A78"/>
    <w:rsid w:val="0062757A"/>
    <w:rsid w:val="00627D33"/>
    <w:rsid w:val="00630129"/>
    <w:rsid w:val="00630553"/>
    <w:rsid w:val="00631117"/>
    <w:rsid w:val="006314FE"/>
    <w:rsid w:val="00631699"/>
    <w:rsid w:val="00632243"/>
    <w:rsid w:val="006322EF"/>
    <w:rsid w:val="006325CC"/>
    <w:rsid w:val="00632F5B"/>
    <w:rsid w:val="00632FE8"/>
    <w:rsid w:val="0063305B"/>
    <w:rsid w:val="006339CA"/>
    <w:rsid w:val="00634332"/>
    <w:rsid w:val="00634C69"/>
    <w:rsid w:val="00634D2C"/>
    <w:rsid w:val="0063500A"/>
    <w:rsid w:val="006351EA"/>
    <w:rsid w:val="00635BBC"/>
    <w:rsid w:val="006362F4"/>
    <w:rsid w:val="00636A83"/>
    <w:rsid w:val="00636F89"/>
    <w:rsid w:val="00637C83"/>
    <w:rsid w:val="00640719"/>
    <w:rsid w:val="0064126A"/>
    <w:rsid w:val="00641437"/>
    <w:rsid w:val="006428F1"/>
    <w:rsid w:val="00643584"/>
    <w:rsid w:val="00643DCE"/>
    <w:rsid w:val="006443B3"/>
    <w:rsid w:val="0064464F"/>
    <w:rsid w:val="00645550"/>
    <w:rsid w:val="006455FC"/>
    <w:rsid w:val="006456BF"/>
    <w:rsid w:val="00646FED"/>
    <w:rsid w:val="006474BE"/>
    <w:rsid w:val="006500D1"/>
    <w:rsid w:val="006501D4"/>
    <w:rsid w:val="00650BCE"/>
    <w:rsid w:val="0065102A"/>
    <w:rsid w:val="00651F84"/>
    <w:rsid w:val="0065288A"/>
    <w:rsid w:val="00652F8C"/>
    <w:rsid w:val="00653325"/>
    <w:rsid w:val="006539E9"/>
    <w:rsid w:val="00653FCD"/>
    <w:rsid w:val="006540C0"/>
    <w:rsid w:val="0065410C"/>
    <w:rsid w:val="00654C76"/>
    <w:rsid w:val="00655643"/>
    <w:rsid w:val="006557CF"/>
    <w:rsid w:val="00655813"/>
    <w:rsid w:val="006559F4"/>
    <w:rsid w:val="00655B75"/>
    <w:rsid w:val="006560BC"/>
    <w:rsid w:val="0065615F"/>
    <w:rsid w:val="006574A4"/>
    <w:rsid w:val="00657DC0"/>
    <w:rsid w:val="006604DE"/>
    <w:rsid w:val="00661257"/>
    <w:rsid w:val="00661707"/>
    <w:rsid w:val="00662036"/>
    <w:rsid w:val="006623C7"/>
    <w:rsid w:val="00663A5F"/>
    <w:rsid w:val="00663DAE"/>
    <w:rsid w:val="006641C0"/>
    <w:rsid w:val="00664473"/>
    <w:rsid w:val="006647C4"/>
    <w:rsid w:val="0066545E"/>
    <w:rsid w:val="00666B52"/>
    <w:rsid w:val="00666D1C"/>
    <w:rsid w:val="00666FC3"/>
    <w:rsid w:val="00667634"/>
    <w:rsid w:val="006679C0"/>
    <w:rsid w:val="0067041D"/>
    <w:rsid w:val="00670BB2"/>
    <w:rsid w:val="00670E58"/>
    <w:rsid w:val="0067134C"/>
    <w:rsid w:val="006715FB"/>
    <w:rsid w:val="006716BC"/>
    <w:rsid w:val="0067193D"/>
    <w:rsid w:val="00671C04"/>
    <w:rsid w:val="00672229"/>
    <w:rsid w:val="00672916"/>
    <w:rsid w:val="00672A0F"/>
    <w:rsid w:val="00672AFB"/>
    <w:rsid w:val="006731A8"/>
    <w:rsid w:val="0067325E"/>
    <w:rsid w:val="006733D4"/>
    <w:rsid w:val="006735F5"/>
    <w:rsid w:val="00673D4F"/>
    <w:rsid w:val="006741EA"/>
    <w:rsid w:val="006744DF"/>
    <w:rsid w:val="00674785"/>
    <w:rsid w:val="0067492E"/>
    <w:rsid w:val="0067517A"/>
    <w:rsid w:val="00675208"/>
    <w:rsid w:val="0067582D"/>
    <w:rsid w:val="00676203"/>
    <w:rsid w:val="006766A5"/>
    <w:rsid w:val="00677C64"/>
    <w:rsid w:val="00677EAB"/>
    <w:rsid w:val="00680387"/>
    <w:rsid w:val="00680924"/>
    <w:rsid w:val="00680B74"/>
    <w:rsid w:val="00680BE6"/>
    <w:rsid w:val="00681B95"/>
    <w:rsid w:val="00681EF6"/>
    <w:rsid w:val="00682260"/>
    <w:rsid w:val="00682C7E"/>
    <w:rsid w:val="00682E3C"/>
    <w:rsid w:val="006834DF"/>
    <w:rsid w:val="00683C9A"/>
    <w:rsid w:val="0068500A"/>
    <w:rsid w:val="0068532A"/>
    <w:rsid w:val="00685BA5"/>
    <w:rsid w:val="00686031"/>
    <w:rsid w:val="00686499"/>
    <w:rsid w:val="00686ADF"/>
    <w:rsid w:val="0068704F"/>
    <w:rsid w:val="00687090"/>
    <w:rsid w:val="006871B8"/>
    <w:rsid w:val="00687CC3"/>
    <w:rsid w:val="00690503"/>
    <w:rsid w:val="00690694"/>
    <w:rsid w:val="006913E1"/>
    <w:rsid w:val="00691E4F"/>
    <w:rsid w:val="00692849"/>
    <w:rsid w:val="00692C91"/>
    <w:rsid w:val="0069333B"/>
    <w:rsid w:val="006937FF"/>
    <w:rsid w:val="00693E39"/>
    <w:rsid w:val="00694859"/>
    <w:rsid w:val="00695A8A"/>
    <w:rsid w:val="00697546"/>
    <w:rsid w:val="00697A7C"/>
    <w:rsid w:val="00697EC9"/>
    <w:rsid w:val="006A026F"/>
    <w:rsid w:val="006A0929"/>
    <w:rsid w:val="006A0CF6"/>
    <w:rsid w:val="006A0DF9"/>
    <w:rsid w:val="006A0FC0"/>
    <w:rsid w:val="006A27D1"/>
    <w:rsid w:val="006A2C5A"/>
    <w:rsid w:val="006A2CF4"/>
    <w:rsid w:val="006A4A48"/>
    <w:rsid w:val="006A585F"/>
    <w:rsid w:val="006A5C42"/>
    <w:rsid w:val="006A7001"/>
    <w:rsid w:val="006A723A"/>
    <w:rsid w:val="006B0035"/>
    <w:rsid w:val="006B1B40"/>
    <w:rsid w:val="006B1F35"/>
    <w:rsid w:val="006B2291"/>
    <w:rsid w:val="006B3265"/>
    <w:rsid w:val="006B334C"/>
    <w:rsid w:val="006B38C7"/>
    <w:rsid w:val="006B3D73"/>
    <w:rsid w:val="006B49D3"/>
    <w:rsid w:val="006B4EEF"/>
    <w:rsid w:val="006B5519"/>
    <w:rsid w:val="006B6049"/>
    <w:rsid w:val="006B6F27"/>
    <w:rsid w:val="006B7B12"/>
    <w:rsid w:val="006B7DA2"/>
    <w:rsid w:val="006BFF5C"/>
    <w:rsid w:val="006C0520"/>
    <w:rsid w:val="006C0E67"/>
    <w:rsid w:val="006C100F"/>
    <w:rsid w:val="006C19E9"/>
    <w:rsid w:val="006C1C63"/>
    <w:rsid w:val="006C1D75"/>
    <w:rsid w:val="006C25DB"/>
    <w:rsid w:val="006C330C"/>
    <w:rsid w:val="006C3480"/>
    <w:rsid w:val="006C3811"/>
    <w:rsid w:val="006C3B8B"/>
    <w:rsid w:val="006C3C53"/>
    <w:rsid w:val="006C3CAD"/>
    <w:rsid w:val="006C520F"/>
    <w:rsid w:val="006C560F"/>
    <w:rsid w:val="006C567B"/>
    <w:rsid w:val="006C5729"/>
    <w:rsid w:val="006C5888"/>
    <w:rsid w:val="006C5A9A"/>
    <w:rsid w:val="006C5EB0"/>
    <w:rsid w:val="006C6A15"/>
    <w:rsid w:val="006C6D3D"/>
    <w:rsid w:val="006C6DBC"/>
    <w:rsid w:val="006C7047"/>
    <w:rsid w:val="006C7BA2"/>
    <w:rsid w:val="006D0089"/>
    <w:rsid w:val="006D0492"/>
    <w:rsid w:val="006D04AA"/>
    <w:rsid w:val="006D0D4D"/>
    <w:rsid w:val="006D0DD8"/>
    <w:rsid w:val="006D1048"/>
    <w:rsid w:val="006D17A5"/>
    <w:rsid w:val="006D1824"/>
    <w:rsid w:val="006D2AAB"/>
    <w:rsid w:val="006D37F1"/>
    <w:rsid w:val="006D4869"/>
    <w:rsid w:val="006D4BE2"/>
    <w:rsid w:val="006D4E64"/>
    <w:rsid w:val="006D6971"/>
    <w:rsid w:val="006D6FE1"/>
    <w:rsid w:val="006D73B0"/>
    <w:rsid w:val="006D7471"/>
    <w:rsid w:val="006D74E8"/>
    <w:rsid w:val="006E0445"/>
    <w:rsid w:val="006E0747"/>
    <w:rsid w:val="006E10B6"/>
    <w:rsid w:val="006E20D4"/>
    <w:rsid w:val="006E2343"/>
    <w:rsid w:val="006E278D"/>
    <w:rsid w:val="006E27B3"/>
    <w:rsid w:val="006E27BC"/>
    <w:rsid w:val="006E2A2E"/>
    <w:rsid w:val="006E36CB"/>
    <w:rsid w:val="006E3872"/>
    <w:rsid w:val="006E4173"/>
    <w:rsid w:val="006E41E5"/>
    <w:rsid w:val="006E5177"/>
    <w:rsid w:val="006E5A8A"/>
    <w:rsid w:val="006E61D3"/>
    <w:rsid w:val="006E61E0"/>
    <w:rsid w:val="006E676A"/>
    <w:rsid w:val="006E684A"/>
    <w:rsid w:val="006E6857"/>
    <w:rsid w:val="006E6D74"/>
    <w:rsid w:val="006E6F06"/>
    <w:rsid w:val="006E73C3"/>
    <w:rsid w:val="006E7820"/>
    <w:rsid w:val="006E7E36"/>
    <w:rsid w:val="006E7F96"/>
    <w:rsid w:val="006F092A"/>
    <w:rsid w:val="006F0DF0"/>
    <w:rsid w:val="006F0FE4"/>
    <w:rsid w:val="006F18E5"/>
    <w:rsid w:val="006F34A5"/>
    <w:rsid w:val="006F458A"/>
    <w:rsid w:val="006F4ED2"/>
    <w:rsid w:val="006F5E59"/>
    <w:rsid w:val="006F6AE8"/>
    <w:rsid w:val="006F73F2"/>
    <w:rsid w:val="006F756A"/>
    <w:rsid w:val="0070060B"/>
    <w:rsid w:val="00701503"/>
    <w:rsid w:val="007016A1"/>
    <w:rsid w:val="00701844"/>
    <w:rsid w:val="0070187C"/>
    <w:rsid w:val="00701B6E"/>
    <w:rsid w:val="00701B8F"/>
    <w:rsid w:val="007021CF"/>
    <w:rsid w:val="00702BFD"/>
    <w:rsid w:val="007031A2"/>
    <w:rsid w:val="007036B4"/>
    <w:rsid w:val="00703A4F"/>
    <w:rsid w:val="00703DB5"/>
    <w:rsid w:val="007040E5"/>
    <w:rsid w:val="0070551D"/>
    <w:rsid w:val="007062FB"/>
    <w:rsid w:val="00706F49"/>
    <w:rsid w:val="00707725"/>
    <w:rsid w:val="00707F37"/>
    <w:rsid w:val="00710E78"/>
    <w:rsid w:val="00710E8C"/>
    <w:rsid w:val="00711357"/>
    <w:rsid w:val="00711511"/>
    <w:rsid w:val="00711EEE"/>
    <w:rsid w:val="00712EED"/>
    <w:rsid w:val="00713C66"/>
    <w:rsid w:val="00714A1D"/>
    <w:rsid w:val="00714BE8"/>
    <w:rsid w:val="00715409"/>
    <w:rsid w:val="00716838"/>
    <w:rsid w:val="0071692A"/>
    <w:rsid w:val="00720125"/>
    <w:rsid w:val="00720C04"/>
    <w:rsid w:val="00720F2D"/>
    <w:rsid w:val="00721068"/>
    <w:rsid w:val="00722052"/>
    <w:rsid w:val="00722F7A"/>
    <w:rsid w:val="00723B96"/>
    <w:rsid w:val="007244B8"/>
    <w:rsid w:val="00725677"/>
    <w:rsid w:val="00725918"/>
    <w:rsid w:val="00726E62"/>
    <w:rsid w:val="0072729C"/>
    <w:rsid w:val="0072754A"/>
    <w:rsid w:val="007307A0"/>
    <w:rsid w:val="007307F4"/>
    <w:rsid w:val="00730D67"/>
    <w:rsid w:val="00730ED7"/>
    <w:rsid w:val="00731226"/>
    <w:rsid w:val="00731BA4"/>
    <w:rsid w:val="00731C9A"/>
    <w:rsid w:val="0073257C"/>
    <w:rsid w:val="00732ECA"/>
    <w:rsid w:val="00733046"/>
    <w:rsid w:val="0073376B"/>
    <w:rsid w:val="0073413B"/>
    <w:rsid w:val="00734242"/>
    <w:rsid w:val="00734617"/>
    <w:rsid w:val="00735166"/>
    <w:rsid w:val="00735395"/>
    <w:rsid w:val="00735924"/>
    <w:rsid w:val="00735F04"/>
    <w:rsid w:val="007362B2"/>
    <w:rsid w:val="007365BB"/>
    <w:rsid w:val="00736B85"/>
    <w:rsid w:val="0073758C"/>
    <w:rsid w:val="00737CDD"/>
    <w:rsid w:val="00740126"/>
    <w:rsid w:val="007404D9"/>
    <w:rsid w:val="00741527"/>
    <w:rsid w:val="007416AB"/>
    <w:rsid w:val="0074171E"/>
    <w:rsid w:val="007419C6"/>
    <w:rsid w:val="00741D1F"/>
    <w:rsid w:val="007423B9"/>
    <w:rsid w:val="00742C7A"/>
    <w:rsid w:val="007433B6"/>
    <w:rsid w:val="007441B5"/>
    <w:rsid w:val="00744C69"/>
    <w:rsid w:val="00744DA8"/>
    <w:rsid w:val="00746288"/>
    <w:rsid w:val="007465FE"/>
    <w:rsid w:val="00746CAA"/>
    <w:rsid w:val="00747BC4"/>
    <w:rsid w:val="00747D49"/>
    <w:rsid w:val="007503D0"/>
    <w:rsid w:val="007504F4"/>
    <w:rsid w:val="0075072C"/>
    <w:rsid w:val="00750EC8"/>
    <w:rsid w:val="007514BF"/>
    <w:rsid w:val="00751957"/>
    <w:rsid w:val="0075208E"/>
    <w:rsid w:val="00752297"/>
    <w:rsid w:val="0075278A"/>
    <w:rsid w:val="00753205"/>
    <w:rsid w:val="0075363E"/>
    <w:rsid w:val="0075473D"/>
    <w:rsid w:val="00754AE2"/>
    <w:rsid w:val="00754E12"/>
    <w:rsid w:val="00755407"/>
    <w:rsid w:val="00755475"/>
    <w:rsid w:val="00755574"/>
    <w:rsid w:val="00755735"/>
    <w:rsid w:val="00755FD4"/>
    <w:rsid w:val="007563FC"/>
    <w:rsid w:val="00756698"/>
    <w:rsid w:val="00757BAD"/>
    <w:rsid w:val="00757D85"/>
    <w:rsid w:val="00760AE7"/>
    <w:rsid w:val="00760C35"/>
    <w:rsid w:val="007617E9"/>
    <w:rsid w:val="00761935"/>
    <w:rsid w:val="00761DE6"/>
    <w:rsid w:val="007621DF"/>
    <w:rsid w:val="00762793"/>
    <w:rsid w:val="007633CD"/>
    <w:rsid w:val="00764082"/>
    <w:rsid w:val="00764666"/>
    <w:rsid w:val="0076648C"/>
    <w:rsid w:val="0076729D"/>
    <w:rsid w:val="0077005D"/>
    <w:rsid w:val="00770189"/>
    <w:rsid w:val="0077018B"/>
    <w:rsid w:val="007704F7"/>
    <w:rsid w:val="007705F8"/>
    <w:rsid w:val="00770632"/>
    <w:rsid w:val="007707C4"/>
    <w:rsid w:val="007708DC"/>
    <w:rsid w:val="0077297D"/>
    <w:rsid w:val="007742D9"/>
    <w:rsid w:val="0077442A"/>
    <w:rsid w:val="00774595"/>
    <w:rsid w:val="007745A7"/>
    <w:rsid w:val="00775072"/>
    <w:rsid w:val="00775667"/>
    <w:rsid w:val="00775C09"/>
    <w:rsid w:val="0077636B"/>
    <w:rsid w:val="0077710B"/>
    <w:rsid w:val="00777B7B"/>
    <w:rsid w:val="00777D9A"/>
    <w:rsid w:val="00780092"/>
    <w:rsid w:val="0078043A"/>
    <w:rsid w:val="007806F0"/>
    <w:rsid w:val="0078089D"/>
    <w:rsid w:val="0078091F"/>
    <w:rsid w:val="00783EB7"/>
    <w:rsid w:val="00784487"/>
    <w:rsid w:val="0078455A"/>
    <w:rsid w:val="00784578"/>
    <w:rsid w:val="00784673"/>
    <w:rsid w:val="007846BE"/>
    <w:rsid w:val="00784D57"/>
    <w:rsid w:val="00784FF9"/>
    <w:rsid w:val="007858C5"/>
    <w:rsid w:val="00785A34"/>
    <w:rsid w:val="0078613A"/>
    <w:rsid w:val="007864AC"/>
    <w:rsid w:val="0078710F"/>
    <w:rsid w:val="007874CC"/>
    <w:rsid w:val="00787836"/>
    <w:rsid w:val="00787D77"/>
    <w:rsid w:val="0079036D"/>
    <w:rsid w:val="00790A7D"/>
    <w:rsid w:val="00790AA7"/>
    <w:rsid w:val="00790B67"/>
    <w:rsid w:val="00790CA9"/>
    <w:rsid w:val="00790D88"/>
    <w:rsid w:val="007913E3"/>
    <w:rsid w:val="00791E20"/>
    <w:rsid w:val="007926C8"/>
    <w:rsid w:val="00793020"/>
    <w:rsid w:val="007936F2"/>
    <w:rsid w:val="00793EB3"/>
    <w:rsid w:val="00794126"/>
    <w:rsid w:val="0079430C"/>
    <w:rsid w:val="007945F3"/>
    <w:rsid w:val="0079525B"/>
    <w:rsid w:val="0079540B"/>
    <w:rsid w:val="00795AEB"/>
    <w:rsid w:val="007963BA"/>
    <w:rsid w:val="00796E7B"/>
    <w:rsid w:val="00797692"/>
    <w:rsid w:val="00797BD3"/>
    <w:rsid w:val="007A053A"/>
    <w:rsid w:val="007A0E14"/>
    <w:rsid w:val="007A1C9C"/>
    <w:rsid w:val="007A2410"/>
    <w:rsid w:val="007A243C"/>
    <w:rsid w:val="007A3D4B"/>
    <w:rsid w:val="007A42EE"/>
    <w:rsid w:val="007A5279"/>
    <w:rsid w:val="007A5DC3"/>
    <w:rsid w:val="007A5E51"/>
    <w:rsid w:val="007A665F"/>
    <w:rsid w:val="007A6B9C"/>
    <w:rsid w:val="007A7AB6"/>
    <w:rsid w:val="007B0009"/>
    <w:rsid w:val="007B039B"/>
    <w:rsid w:val="007B0CD7"/>
    <w:rsid w:val="007B0EEE"/>
    <w:rsid w:val="007B1CC1"/>
    <w:rsid w:val="007B1F24"/>
    <w:rsid w:val="007B2107"/>
    <w:rsid w:val="007B21F9"/>
    <w:rsid w:val="007B23FD"/>
    <w:rsid w:val="007B2D43"/>
    <w:rsid w:val="007B3385"/>
    <w:rsid w:val="007B3B40"/>
    <w:rsid w:val="007B3BD7"/>
    <w:rsid w:val="007B4019"/>
    <w:rsid w:val="007B420A"/>
    <w:rsid w:val="007B4DA7"/>
    <w:rsid w:val="007B500B"/>
    <w:rsid w:val="007B5036"/>
    <w:rsid w:val="007B5757"/>
    <w:rsid w:val="007B6AEB"/>
    <w:rsid w:val="007B7041"/>
    <w:rsid w:val="007B715B"/>
    <w:rsid w:val="007B7546"/>
    <w:rsid w:val="007C087F"/>
    <w:rsid w:val="007C0D17"/>
    <w:rsid w:val="007C1BA9"/>
    <w:rsid w:val="007C26E4"/>
    <w:rsid w:val="007C2A28"/>
    <w:rsid w:val="007C2BA4"/>
    <w:rsid w:val="007C2C93"/>
    <w:rsid w:val="007C384D"/>
    <w:rsid w:val="007C4428"/>
    <w:rsid w:val="007C51B5"/>
    <w:rsid w:val="007C547F"/>
    <w:rsid w:val="007C5EB5"/>
    <w:rsid w:val="007C6256"/>
    <w:rsid w:val="007C657B"/>
    <w:rsid w:val="007C666A"/>
    <w:rsid w:val="007C7E29"/>
    <w:rsid w:val="007C7F39"/>
    <w:rsid w:val="007D1A1C"/>
    <w:rsid w:val="007D2E39"/>
    <w:rsid w:val="007D2EC7"/>
    <w:rsid w:val="007D3CF3"/>
    <w:rsid w:val="007D3D67"/>
    <w:rsid w:val="007D4614"/>
    <w:rsid w:val="007D5C10"/>
    <w:rsid w:val="007D6525"/>
    <w:rsid w:val="007D6C27"/>
    <w:rsid w:val="007D71E8"/>
    <w:rsid w:val="007D735A"/>
    <w:rsid w:val="007E02A9"/>
    <w:rsid w:val="007E0FE9"/>
    <w:rsid w:val="007E1FDA"/>
    <w:rsid w:val="007E258F"/>
    <w:rsid w:val="007E2986"/>
    <w:rsid w:val="007E3037"/>
    <w:rsid w:val="007E35A9"/>
    <w:rsid w:val="007E3625"/>
    <w:rsid w:val="007E42ED"/>
    <w:rsid w:val="007E43F8"/>
    <w:rsid w:val="007E43FA"/>
    <w:rsid w:val="007E4535"/>
    <w:rsid w:val="007E453E"/>
    <w:rsid w:val="007E45AC"/>
    <w:rsid w:val="007E4DA0"/>
    <w:rsid w:val="007E4E11"/>
    <w:rsid w:val="007E5534"/>
    <w:rsid w:val="007E56F1"/>
    <w:rsid w:val="007E57D5"/>
    <w:rsid w:val="007E597B"/>
    <w:rsid w:val="007E60BB"/>
    <w:rsid w:val="007E7716"/>
    <w:rsid w:val="007E7F93"/>
    <w:rsid w:val="007F063C"/>
    <w:rsid w:val="007F0942"/>
    <w:rsid w:val="007F0ED8"/>
    <w:rsid w:val="007F142B"/>
    <w:rsid w:val="007F1BF6"/>
    <w:rsid w:val="007F1CF2"/>
    <w:rsid w:val="007F225F"/>
    <w:rsid w:val="007F28D1"/>
    <w:rsid w:val="007F2F4C"/>
    <w:rsid w:val="007F3167"/>
    <w:rsid w:val="007F3273"/>
    <w:rsid w:val="007F3BFE"/>
    <w:rsid w:val="007F3C96"/>
    <w:rsid w:val="007F3E8C"/>
    <w:rsid w:val="007F53ED"/>
    <w:rsid w:val="007F5617"/>
    <w:rsid w:val="007F5E54"/>
    <w:rsid w:val="007F639B"/>
    <w:rsid w:val="007F68F2"/>
    <w:rsid w:val="007F69CB"/>
    <w:rsid w:val="007F6A65"/>
    <w:rsid w:val="007F726D"/>
    <w:rsid w:val="007F7799"/>
    <w:rsid w:val="007F7E48"/>
    <w:rsid w:val="00800090"/>
    <w:rsid w:val="0080032A"/>
    <w:rsid w:val="0080086D"/>
    <w:rsid w:val="00800E9B"/>
    <w:rsid w:val="00801228"/>
    <w:rsid w:val="00801C4E"/>
    <w:rsid w:val="0080290C"/>
    <w:rsid w:val="008030FC"/>
    <w:rsid w:val="0080360D"/>
    <w:rsid w:val="00803E0F"/>
    <w:rsid w:val="00803E9A"/>
    <w:rsid w:val="00804A26"/>
    <w:rsid w:val="00804A8F"/>
    <w:rsid w:val="00805823"/>
    <w:rsid w:val="00805B07"/>
    <w:rsid w:val="00806407"/>
    <w:rsid w:val="008069C8"/>
    <w:rsid w:val="0080749A"/>
    <w:rsid w:val="00810370"/>
    <w:rsid w:val="00810D8B"/>
    <w:rsid w:val="00811DA3"/>
    <w:rsid w:val="00812842"/>
    <w:rsid w:val="00812A47"/>
    <w:rsid w:val="0081310F"/>
    <w:rsid w:val="00813113"/>
    <w:rsid w:val="00813166"/>
    <w:rsid w:val="00813B9E"/>
    <w:rsid w:val="00814038"/>
    <w:rsid w:val="0081424F"/>
    <w:rsid w:val="00814BEE"/>
    <w:rsid w:val="00815367"/>
    <w:rsid w:val="008160CB"/>
    <w:rsid w:val="00816234"/>
    <w:rsid w:val="008163EF"/>
    <w:rsid w:val="00816501"/>
    <w:rsid w:val="00816E5D"/>
    <w:rsid w:val="00817727"/>
    <w:rsid w:val="00820459"/>
    <w:rsid w:val="008207D3"/>
    <w:rsid w:val="008212F0"/>
    <w:rsid w:val="00821545"/>
    <w:rsid w:val="008219DA"/>
    <w:rsid w:val="00821E22"/>
    <w:rsid w:val="00822B15"/>
    <w:rsid w:val="00822F91"/>
    <w:rsid w:val="008230A6"/>
    <w:rsid w:val="00824386"/>
    <w:rsid w:val="00824AF0"/>
    <w:rsid w:val="00824DF1"/>
    <w:rsid w:val="008252E9"/>
    <w:rsid w:val="008253A6"/>
    <w:rsid w:val="00825449"/>
    <w:rsid w:val="00825583"/>
    <w:rsid w:val="00825FFE"/>
    <w:rsid w:val="0082667D"/>
    <w:rsid w:val="0082671B"/>
    <w:rsid w:val="00827168"/>
    <w:rsid w:val="008277E2"/>
    <w:rsid w:val="00827EAD"/>
    <w:rsid w:val="00830223"/>
    <w:rsid w:val="00830A0E"/>
    <w:rsid w:val="00831081"/>
    <w:rsid w:val="00831FB6"/>
    <w:rsid w:val="008323B1"/>
    <w:rsid w:val="0083254E"/>
    <w:rsid w:val="00832834"/>
    <w:rsid w:val="00832B05"/>
    <w:rsid w:val="008337A6"/>
    <w:rsid w:val="00834251"/>
    <w:rsid w:val="008349C6"/>
    <w:rsid w:val="0083511C"/>
    <w:rsid w:val="00835894"/>
    <w:rsid w:val="00836B5A"/>
    <w:rsid w:val="00840014"/>
    <w:rsid w:val="00840278"/>
    <w:rsid w:val="0084067E"/>
    <w:rsid w:val="00840F17"/>
    <w:rsid w:val="008411B6"/>
    <w:rsid w:val="00841667"/>
    <w:rsid w:val="00842869"/>
    <w:rsid w:val="00842BF8"/>
    <w:rsid w:val="00842CC0"/>
    <w:rsid w:val="00843294"/>
    <w:rsid w:val="00843633"/>
    <w:rsid w:val="00843F4B"/>
    <w:rsid w:val="0084409F"/>
    <w:rsid w:val="008441F2"/>
    <w:rsid w:val="00844E4A"/>
    <w:rsid w:val="00845190"/>
    <w:rsid w:val="008454F0"/>
    <w:rsid w:val="00845BDA"/>
    <w:rsid w:val="00845E73"/>
    <w:rsid w:val="00845FF7"/>
    <w:rsid w:val="00846FAC"/>
    <w:rsid w:val="0084722A"/>
    <w:rsid w:val="00847477"/>
    <w:rsid w:val="008479F2"/>
    <w:rsid w:val="0085004B"/>
    <w:rsid w:val="00852FD0"/>
    <w:rsid w:val="00853B98"/>
    <w:rsid w:val="008541DD"/>
    <w:rsid w:val="00854501"/>
    <w:rsid w:val="0085482E"/>
    <w:rsid w:val="00854BA9"/>
    <w:rsid w:val="00854BED"/>
    <w:rsid w:val="00854C91"/>
    <w:rsid w:val="00855451"/>
    <w:rsid w:val="008560C3"/>
    <w:rsid w:val="00856CBE"/>
    <w:rsid w:val="00857B8C"/>
    <w:rsid w:val="0086209E"/>
    <w:rsid w:val="00862231"/>
    <w:rsid w:val="008628EA"/>
    <w:rsid w:val="00862B1E"/>
    <w:rsid w:val="00863202"/>
    <w:rsid w:val="00863813"/>
    <w:rsid w:val="00864895"/>
    <w:rsid w:val="00864E6E"/>
    <w:rsid w:val="00865904"/>
    <w:rsid w:val="00865F6D"/>
    <w:rsid w:val="00866FD8"/>
    <w:rsid w:val="008673FB"/>
    <w:rsid w:val="00867704"/>
    <w:rsid w:val="00867BF7"/>
    <w:rsid w:val="00870244"/>
    <w:rsid w:val="00870796"/>
    <w:rsid w:val="00870AE3"/>
    <w:rsid w:val="00871990"/>
    <w:rsid w:val="0087206B"/>
    <w:rsid w:val="0087242D"/>
    <w:rsid w:val="00873108"/>
    <w:rsid w:val="0087340C"/>
    <w:rsid w:val="00873686"/>
    <w:rsid w:val="00873B32"/>
    <w:rsid w:val="00873BC8"/>
    <w:rsid w:val="008755CD"/>
    <w:rsid w:val="008756E7"/>
    <w:rsid w:val="0087669C"/>
    <w:rsid w:val="008775F7"/>
    <w:rsid w:val="008779FF"/>
    <w:rsid w:val="00877C0D"/>
    <w:rsid w:val="008805D7"/>
    <w:rsid w:val="00880EF4"/>
    <w:rsid w:val="00881406"/>
    <w:rsid w:val="00881DFE"/>
    <w:rsid w:val="00882128"/>
    <w:rsid w:val="0088216A"/>
    <w:rsid w:val="008824D2"/>
    <w:rsid w:val="00882C73"/>
    <w:rsid w:val="00883193"/>
    <w:rsid w:val="00883703"/>
    <w:rsid w:val="00883995"/>
    <w:rsid w:val="008846FF"/>
    <w:rsid w:val="00885051"/>
    <w:rsid w:val="00885126"/>
    <w:rsid w:val="00885442"/>
    <w:rsid w:val="008854BB"/>
    <w:rsid w:val="00885718"/>
    <w:rsid w:val="00885E93"/>
    <w:rsid w:val="0088614E"/>
    <w:rsid w:val="00887BD1"/>
    <w:rsid w:val="0089003C"/>
    <w:rsid w:val="0089023D"/>
    <w:rsid w:val="008905CE"/>
    <w:rsid w:val="00890FE0"/>
    <w:rsid w:val="0089113F"/>
    <w:rsid w:val="00891411"/>
    <w:rsid w:val="00891E7F"/>
    <w:rsid w:val="00891EBD"/>
    <w:rsid w:val="00892866"/>
    <w:rsid w:val="0089348E"/>
    <w:rsid w:val="00893D29"/>
    <w:rsid w:val="00893E86"/>
    <w:rsid w:val="008956B5"/>
    <w:rsid w:val="00895E8E"/>
    <w:rsid w:val="00896119"/>
    <w:rsid w:val="008972FF"/>
    <w:rsid w:val="00897EC4"/>
    <w:rsid w:val="008A029B"/>
    <w:rsid w:val="008A0361"/>
    <w:rsid w:val="008A05A6"/>
    <w:rsid w:val="008A077C"/>
    <w:rsid w:val="008A175A"/>
    <w:rsid w:val="008A17D8"/>
    <w:rsid w:val="008A1C8B"/>
    <w:rsid w:val="008A1CD8"/>
    <w:rsid w:val="008A1F33"/>
    <w:rsid w:val="008A1F89"/>
    <w:rsid w:val="008A2425"/>
    <w:rsid w:val="008A26E4"/>
    <w:rsid w:val="008A2F1A"/>
    <w:rsid w:val="008A30F2"/>
    <w:rsid w:val="008A31E1"/>
    <w:rsid w:val="008A3AE1"/>
    <w:rsid w:val="008A3FEB"/>
    <w:rsid w:val="008A4998"/>
    <w:rsid w:val="008A5691"/>
    <w:rsid w:val="008A5C33"/>
    <w:rsid w:val="008A5D25"/>
    <w:rsid w:val="008A7E00"/>
    <w:rsid w:val="008B0260"/>
    <w:rsid w:val="008B0BF5"/>
    <w:rsid w:val="008B125C"/>
    <w:rsid w:val="008B13B6"/>
    <w:rsid w:val="008B19A5"/>
    <w:rsid w:val="008B22F6"/>
    <w:rsid w:val="008B2AAC"/>
    <w:rsid w:val="008B3548"/>
    <w:rsid w:val="008B3A59"/>
    <w:rsid w:val="008B4171"/>
    <w:rsid w:val="008B449F"/>
    <w:rsid w:val="008B47F9"/>
    <w:rsid w:val="008B4CBF"/>
    <w:rsid w:val="008B4E56"/>
    <w:rsid w:val="008B5425"/>
    <w:rsid w:val="008B66CB"/>
    <w:rsid w:val="008B6CD0"/>
    <w:rsid w:val="008B6FB7"/>
    <w:rsid w:val="008B721D"/>
    <w:rsid w:val="008B7732"/>
    <w:rsid w:val="008B792C"/>
    <w:rsid w:val="008B7EB7"/>
    <w:rsid w:val="008C0296"/>
    <w:rsid w:val="008C06FB"/>
    <w:rsid w:val="008C24E0"/>
    <w:rsid w:val="008C2545"/>
    <w:rsid w:val="008C26A3"/>
    <w:rsid w:val="008C27A4"/>
    <w:rsid w:val="008C304E"/>
    <w:rsid w:val="008C39B7"/>
    <w:rsid w:val="008C39E3"/>
    <w:rsid w:val="008C4535"/>
    <w:rsid w:val="008C459B"/>
    <w:rsid w:val="008C578F"/>
    <w:rsid w:val="008C586E"/>
    <w:rsid w:val="008C6341"/>
    <w:rsid w:val="008C65BC"/>
    <w:rsid w:val="008C69A4"/>
    <w:rsid w:val="008C6BBD"/>
    <w:rsid w:val="008C6F21"/>
    <w:rsid w:val="008C70A1"/>
    <w:rsid w:val="008C79BE"/>
    <w:rsid w:val="008C7D0F"/>
    <w:rsid w:val="008D0128"/>
    <w:rsid w:val="008D0741"/>
    <w:rsid w:val="008D0A12"/>
    <w:rsid w:val="008D0CB9"/>
    <w:rsid w:val="008D16F2"/>
    <w:rsid w:val="008D2D7D"/>
    <w:rsid w:val="008D5059"/>
    <w:rsid w:val="008D521D"/>
    <w:rsid w:val="008D5366"/>
    <w:rsid w:val="008D57EF"/>
    <w:rsid w:val="008D5AC3"/>
    <w:rsid w:val="008D5C49"/>
    <w:rsid w:val="008D671A"/>
    <w:rsid w:val="008D68C2"/>
    <w:rsid w:val="008D6AD3"/>
    <w:rsid w:val="008D6F4D"/>
    <w:rsid w:val="008D7A4F"/>
    <w:rsid w:val="008D7E63"/>
    <w:rsid w:val="008E0013"/>
    <w:rsid w:val="008E01F9"/>
    <w:rsid w:val="008E026F"/>
    <w:rsid w:val="008E0913"/>
    <w:rsid w:val="008E0A4B"/>
    <w:rsid w:val="008E1025"/>
    <w:rsid w:val="008E1AA8"/>
    <w:rsid w:val="008E23F2"/>
    <w:rsid w:val="008E31F6"/>
    <w:rsid w:val="008E36B0"/>
    <w:rsid w:val="008E3F2C"/>
    <w:rsid w:val="008E3FF3"/>
    <w:rsid w:val="008E445B"/>
    <w:rsid w:val="008E4DB5"/>
    <w:rsid w:val="008E53CD"/>
    <w:rsid w:val="008E5877"/>
    <w:rsid w:val="008E5BAC"/>
    <w:rsid w:val="008E6421"/>
    <w:rsid w:val="008E6465"/>
    <w:rsid w:val="008E64A8"/>
    <w:rsid w:val="008E6B53"/>
    <w:rsid w:val="008E72B4"/>
    <w:rsid w:val="008E7AA2"/>
    <w:rsid w:val="008E7CFD"/>
    <w:rsid w:val="008F01E3"/>
    <w:rsid w:val="008F0479"/>
    <w:rsid w:val="008F061A"/>
    <w:rsid w:val="008F09F9"/>
    <w:rsid w:val="008F0A5C"/>
    <w:rsid w:val="008F0C94"/>
    <w:rsid w:val="008F14DD"/>
    <w:rsid w:val="008F160E"/>
    <w:rsid w:val="008F24E2"/>
    <w:rsid w:val="008F2691"/>
    <w:rsid w:val="008F28BE"/>
    <w:rsid w:val="008F2D56"/>
    <w:rsid w:val="008F32AA"/>
    <w:rsid w:val="008F3D41"/>
    <w:rsid w:val="008F48DC"/>
    <w:rsid w:val="008F4BD1"/>
    <w:rsid w:val="008F506A"/>
    <w:rsid w:val="008F508A"/>
    <w:rsid w:val="008F5AB9"/>
    <w:rsid w:val="008F67CA"/>
    <w:rsid w:val="008F7059"/>
    <w:rsid w:val="008F713F"/>
    <w:rsid w:val="008F71C3"/>
    <w:rsid w:val="008F7202"/>
    <w:rsid w:val="008F725E"/>
    <w:rsid w:val="008F77D3"/>
    <w:rsid w:val="008F7C29"/>
    <w:rsid w:val="00900885"/>
    <w:rsid w:val="00900BA5"/>
    <w:rsid w:val="009010CF"/>
    <w:rsid w:val="009011CD"/>
    <w:rsid w:val="009018E7"/>
    <w:rsid w:val="00901A9F"/>
    <w:rsid w:val="00901B18"/>
    <w:rsid w:val="00901CC7"/>
    <w:rsid w:val="00901DB3"/>
    <w:rsid w:val="00902270"/>
    <w:rsid w:val="00902B07"/>
    <w:rsid w:val="00902F05"/>
    <w:rsid w:val="0090302C"/>
    <w:rsid w:val="0090329E"/>
    <w:rsid w:val="00903370"/>
    <w:rsid w:val="00903448"/>
    <w:rsid w:val="00903CDF"/>
    <w:rsid w:val="00904E1E"/>
    <w:rsid w:val="00904F15"/>
    <w:rsid w:val="0090504D"/>
    <w:rsid w:val="009050A5"/>
    <w:rsid w:val="00905368"/>
    <w:rsid w:val="009055AD"/>
    <w:rsid w:val="00905678"/>
    <w:rsid w:val="00905807"/>
    <w:rsid w:val="0090671D"/>
    <w:rsid w:val="0090675F"/>
    <w:rsid w:val="00906FA7"/>
    <w:rsid w:val="00910004"/>
    <w:rsid w:val="00910129"/>
    <w:rsid w:val="009106B6"/>
    <w:rsid w:val="00910D2C"/>
    <w:rsid w:val="00911645"/>
    <w:rsid w:val="009118DF"/>
    <w:rsid w:val="00911FC1"/>
    <w:rsid w:val="00912401"/>
    <w:rsid w:val="009126B9"/>
    <w:rsid w:val="009128A0"/>
    <w:rsid w:val="009137CC"/>
    <w:rsid w:val="00913A38"/>
    <w:rsid w:val="00914158"/>
    <w:rsid w:val="009143E5"/>
    <w:rsid w:val="00914851"/>
    <w:rsid w:val="009149F2"/>
    <w:rsid w:val="009152EE"/>
    <w:rsid w:val="009157F4"/>
    <w:rsid w:val="009159FB"/>
    <w:rsid w:val="00916648"/>
    <w:rsid w:val="00917788"/>
    <w:rsid w:val="00917826"/>
    <w:rsid w:val="009205AE"/>
    <w:rsid w:val="00920B61"/>
    <w:rsid w:val="0092120C"/>
    <w:rsid w:val="00922525"/>
    <w:rsid w:val="00923E6E"/>
    <w:rsid w:val="0092512C"/>
    <w:rsid w:val="009255EF"/>
    <w:rsid w:val="00925DAD"/>
    <w:rsid w:val="00926073"/>
    <w:rsid w:val="00926945"/>
    <w:rsid w:val="009274B3"/>
    <w:rsid w:val="009275DB"/>
    <w:rsid w:val="0092762D"/>
    <w:rsid w:val="00927A6F"/>
    <w:rsid w:val="009302AC"/>
    <w:rsid w:val="009309A4"/>
    <w:rsid w:val="00930AF1"/>
    <w:rsid w:val="00930DA4"/>
    <w:rsid w:val="0093102E"/>
    <w:rsid w:val="00931FD0"/>
    <w:rsid w:val="009327A1"/>
    <w:rsid w:val="00932948"/>
    <w:rsid w:val="00932D43"/>
    <w:rsid w:val="00932F13"/>
    <w:rsid w:val="009338B1"/>
    <w:rsid w:val="00933ECA"/>
    <w:rsid w:val="00934118"/>
    <w:rsid w:val="009345BF"/>
    <w:rsid w:val="00934762"/>
    <w:rsid w:val="00934800"/>
    <w:rsid w:val="0093581A"/>
    <w:rsid w:val="00935A30"/>
    <w:rsid w:val="0093671C"/>
    <w:rsid w:val="00937196"/>
    <w:rsid w:val="0093752D"/>
    <w:rsid w:val="0093762F"/>
    <w:rsid w:val="0093786D"/>
    <w:rsid w:val="009378D3"/>
    <w:rsid w:val="00937CD7"/>
    <w:rsid w:val="00937DCB"/>
    <w:rsid w:val="00940474"/>
    <w:rsid w:val="009410A3"/>
    <w:rsid w:val="00941F7D"/>
    <w:rsid w:val="00942190"/>
    <w:rsid w:val="00942213"/>
    <w:rsid w:val="009426C8"/>
    <w:rsid w:val="009433DF"/>
    <w:rsid w:val="00943810"/>
    <w:rsid w:val="00943B43"/>
    <w:rsid w:val="00944334"/>
    <w:rsid w:val="00946285"/>
    <w:rsid w:val="00946FFC"/>
    <w:rsid w:val="009479E8"/>
    <w:rsid w:val="00947A88"/>
    <w:rsid w:val="009500B2"/>
    <w:rsid w:val="00950703"/>
    <w:rsid w:val="00951AD3"/>
    <w:rsid w:val="00951BAA"/>
    <w:rsid w:val="00951C96"/>
    <w:rsid w:val="0095261A"/>
    <w:rsid w:val="00952BF6"/>
    <w:rsid w:val="00952FE0"/>
    <w:rsid w:val="009537D1"/>
    <w:rsid w:val="00953EA3"/>
    <w:rsid w:val="00954893"/>
    <w:rsid w:val="00954B1A"/>
    <w:rsid w:val="00954D55"/>
    <w:rsid w:val="009550C3"/>
    <w:rsid w:val="00955760"/>
    <w:rsid w:val="00955E42"/>
    <w:rsid w:val="00955FAA"/>
    <w:rsid w:val="009567BE"/>
    <w:rsid w:val="009568A0"/>
    <w:rsid w:val="00957341"/>
    <w:rsid w:val="00960252"/>
    <w:rsid w:val="009606E7"/>
    <w:rsid w:val="00960EB3"/>
    <w:rsid w:val="00960F6C"/>
    <w:rsid w:val="00961250"/>
    <w:rsid w:val="0096172A"/>
    <w:rsid w:val="00961CE0"/>
    <w:rsid w:val="009621F5"/>
    <w:rsid w:val="00962A93"/>
    <w:rsid w:val="009638EE"/>
    <w:rsid w:val="00963BE3"/>
    <w:rsid w:val="00964BB7"/>
    <w:rsid w:val="00965B43"/>
    <w:rsid w:val="009660F7"/>
    <w:rsid w:val="00966108"/>
    <w:rsid w:val="009672B8"/>
    <w:rsid w:val="00967E61"/>
    <w:rsid w:val="00971361"/>
    <w:rsid w:val="00971795"/>
    <w:rsid w:val="00971936"/>
    <w:rsid w:val="00971AE7"/>
    <w:rsid w:val="00972DC5"/>
    <w:rsid w:val="00974A1D"/>
    <w:rsid w:val="00974AE1"/>
    <w:rsid w:val="00974B12"/>
    <w:rsid w:val="00975A6C"/>
    <w:rsid w:val="00975BE5"/>
    <w:rsid w:val="00976412"/>
    <w:rsid w:val="009769B9"/>
    <w:rsid w:val="00976F02"/>
    <w:rsid w:val="00977566"/>
    <w:rsid w:val="009801AE"/>
    <w:rsid w:val="009801E1"/>
    <w:rsid w:val="00980631"/>
    <w:rsid w:val="00980AA9"/>
    <w:rsid w:val="00980C2D"/>
    <w:rsid w:val="00980F7B"/>
    <w:rsid w:val="00981277"/>
    <w:rsid w:val="009815FA"/>
    <w:rsid w:val="0098215F"/>
    <w:rsid w:val="0098298F"/>
    <w:rsid w:val="009830D0"/>
    <w:rsid w:val="009835A4"/>
    <w:rsid w:val="00983728"/>
    <w:rsid w:val="00983CDD"/>
    <w:rsid w:val="00983F04"/>
    <w:rsid w:val="009841AA"/>
    <w:rsid w:val="009841CB"/>
    <w:rsid w:val="009842FE"/>
    <w:rsid w:val="00984DE3"/>
    <w:rsid w:val="00984E0D"/>
    <w:rsid w:val="00985169"/>
    <w:rsid w:val="00985D1C"/>
    <w:rsid w:val="00985E38"/>
    <w:rsid w:val="00985EC3"/>
    <w:rsid w:val="009874B5"/>
    <w:rsid w:val="00987764"/>
    <w:rsid w:val="00990597"/>
    <w:rsid w:val="00990602"/>
    <w:rsid w:val="009907CA"/>
    <w:rsid w:val="009907EA"/>
    <w:rsid w:val="009915E4"/>
    <w:rsid w:val="00991765"/>
    <w:rsid w:val="0099240C"/>
    <w:rsid w:val="00992B03"/>
    <w:rsid w:val="00993414"/>
    <w:rsid w:val="00993FC8"/>
    <w:rsid w:val="00995A09"/>
    <w:rsid w:val="00995F8A"/>
    <w:rsid w:val="00996F15"/>
    <w:rsid w:val="009A018D"/>
    <w:rsid w:val="009A0650"/>
    <w:rsid w:val="009A0E1D"/>
    <w:rsid w:val="009A0ED4"/>
    <w:rsid w:val="009A0FCE"/>
    <w:rsid w:val="009A1045"/>
    <w:rsid w:val="009A116D"/>
    <w:rsid w:val="009A14F5"/>
    <w:rsid w:val="009A1C3B"/>
    <w:rsid w:val="009A320D"/>
    <w:rsid w:val="009A3664"/>
    <w:rsid w:val="009A38DB"/>
    <w:rsid w:val="009A3C53"/>
    <w:rsid w:val="009A47D9"/>
    <w:rsid w:val="009A494E"/>
    <w:rsid w:val="009A4A62"/>
    <w:rsid w:val="009A4B0C"/>
    <w:rsid w:val="009A55A3"/>
    <w:rsid w:val="009A5E49"/>
    <w:rsid w:val="009A72B1"/>
    <w:rsid w:val="009A7357"/>
    <w:rsid w:val="009A7F94"/>
    <w:rsid w:val="009B0743"/>
    <w:rsid w:val="009B0BAE"/>
    <w:rsid w:val="009B0F83"/>
    <w:rsid w:val="009B16BF"/>
    <w:rsid w:val="009B2252"/>
    <w:rsid w:val="009B279D"/>
    <w:rsid w:val="009B3C0B"/>
    <w:rsid w:val="009B3D77"/>
    <w:rsid w:val="009B4AC8"/>
    <w:rsid w:val="009B4DE5"/>
    <w:rsid w:val="009B57B8"/>
    <w:rsid w:val="009B5921"/>
    <w:rsid w:val="009B60A7"/>
    <w:rsid w:val="009B6241"/>
    <w:rsid w:val="009B638A"/>
    <w:rsid w:val="009B64BC"/>
    <w:rsid w:val="009B64C1"/>
    <w:rsid w:val="009B7921"/>
    <w:rsid w:val="009C048E"/>
    <w:rsid w:val="009C0597"/>
    <w:rsid w:val="009C09EB"/>
    <w:rsid w:val="009C0A24"/>
    <w:rsid w:val="009C179D"/>
    <w:rsid w:val="009C2306"/>
    <w:rsid w:val="009C23D9"/>
    <w:rsid w:val="009C308F"/>
    <w:rsid w:val="009C4537"/>
    <w:rsid w:val="009C4ABC"/>
    <w:rsid w:val="009C4AE4"/>
    <w:rsid w:val="009C5563"/>
    <w:rsid w:val="009C5964"/>
    <w:rsid w:val="009C64F0"/>
    <w:rsid w:val="009C6CDE"/>
    <w:rsid w:val="009C7768"/>
    <w:rsid w:val="009C787A"/>
    <w:rsid w:val="009D019C"/>
    <w:rsid w:val="009D046B"/>
    <w:rsid w:val="009D0651"/>
    <w:rsid w:val="009D0C3C"/>
    <w:rsid w:val="009D0F0C"/>
    <w:rsid w:val="009D1B3F"/>
    <w:rsid w:val="009D1B5D"/>
    <w:rsid w:val="009D2D0E"/>
    <w:rsid w:val="009D2FB8"/>
    <w:rsid w:val="009D3292"/>
    <w:rsid w:val="009D365C"/>
    <w:rsid w:val="009D372F"/>
    <w:rsid w:val="009D4F3F"/>
    <w:rsid w:val="009D549E"/>
    <w:rsid w:val="009D5886"/>
    <w:rsid w:val="009D7542"/>
    <w:rsid w:val="009D795B"/>
    <w:rsid w:val="009E046B"/>
    <w:rsid w:val="009E125A"/>
    <w:rsid w:val="009E1624"/>
    <w:rsid w:val="009E2260"/>
    <w:rsid w:val="009E243B"/>
    <w:rsid w:val="009E256F"/>
    <w:rsid w:val="009E2878"/>
    <w:rsid w:val="009E2B6C"/>
    <w:rsid w:val="009E3037"/>
    <w:rsid w:val="009E331D"/>
    <w:rsid w:val="009E4888"/>
    <w:rsid w:val="009E4908"/>
    <w:rsid w:val="009E4939"/>
    <w:rsid w:val="009E4F9A"/>
    <w:rsid w:val="009E56A6"/>
    <w:rsid w:val="009E583D"/>
    <w:rsid w:val="009E5EC4"/>
    <w:rsid w:val="009E657D"/>
    <w:rsid w:val="009E71EC"/>
    <w:rsid w:val="009E7925"/>
    <w:rsid w:val="009E7BB5"/>
    <w:rsid w:val="009E7F17"/>
    <w:rsid w:val="009F0979"/>
    <w:rsid w:val="009F1188"/>
    <w:rsid w:val="009F11A4"/>
    <w:rsid w:val="009F15AB"/>
    <w:rsid w:val="009F1DD3"/>
    <w:rsid w:val="009F1EB6"/>
    <w:rsid w:val="009F27FB"/>
    <w:rsid w:val="009F3148"/>
    <w:rsid w:val="009F321B"/>
    <w:rsid w:val="009F35CE"/>
    <w:rsid w:val="009F464F"/>
    <w:rsid w:val="009F5124"/>
    <w:rsid w:val="009F53AD"/>
    <w:rsid w:val="009F5DBA"/>
    <w:rsid w:val="009F5E43"/>
    <w:rsid w:val="009F61ED"/>
    <w:rsid w:val="009F6579"/>
    <w:rsid w:val="009F7B8A"/>
    <w:rsid w:val="009F7BFA"/>
    <w:rsid w:val="00A00996"/>
    <w:rsid w:val="00A00BD2"/>
    <w:rsid w:val="00A00D5C"/>
    <w:rsid w:val="00A00FCA"/>
    <w:rsid w:val="00A01140"/>
    <w:rsid w:val="00A01F3E"/>
    <w:rsid w:val="00A0234E"/>
    <w:rsid w:val="00A0234F"/>
    <w:rsid w:val="00A034C6"/>
    <w:rsid w:val="00A03D3D"/>
    <w:rsid w:val="00A04C9D"/>
    <w:rsid w:val="00A04D0A"/>
    <w:rsid w:val="00A05421"/>
    <w:rsid w:val="00A05A9E"/>
    <w:rsid w:val="00A069EE"/>
    <w:rsid w:val="00A07D54"/>
    <w:rsid w:val="00A10DD3"/>
    <w:rsid w:val="00A1113C"/>
    <w:rsid w:val="00A112BE"/>
    <w:rsid w:val="00A11D6A"/>
    <w:rsid w:val="00A12150"/>
    <w:rsid w:val="00A133E0"/>
    <w:rsid w:val="00A133E2"/>
    <w:rsid w:val="00A137A9"/>
    <w:rsid w:val="00A13AA6"/>
    <w:rsid w:val="00A13E9B"/>
    <w:rsid w:val="00A14CD9"/>
    <w:rsid w:val="00A15081"/>
    <w:rsid w:val="00A1570B"/>
    <w:rsid w:val="00A15791"/>
    <w:rsid w:val="00A1616C"/>
    <w:rsid w:val="00A163C1"/>
    <w:rsid w:val="00A16545"/>
    <w:rsid w:val="00A166AA"/>
    <w:rsid w:val="00A17345"/>
    <w:rsid w:val="00A17502"/>
    <w:rsid w:val="00A17E0A"/>
    <w:rsid w:val="00A20931"/>
    <w:rsid w:val="00A2094F"/>
    <w:rsid w:val="00A20C72"/>
    <w:rsid w:val="00A21A46"/>
    <w:rsid w:val="00A21F0E"/>
    <w:rsid w:val="00A220B3"/>
    <w:rsid w:val="00A2271D"/>
    <w:rsid w:val="00A23303"/>
    <w:rsid w:val="00A23DBB"/>
    <w:rsid w:val="00A23E51"/>
    <w:rsid w:val="00A2539C"/>
    <w:rsid w:val="00A254AA"/>
    <w:rsid w:val="00A25BFF"/>
    <w:rsid w:val="00A26006"/>
    <w:rsid w:val="00A2625F"/>
    <w:rsid w:val="00A26677"/>
    <w:rsid w:val="00A267C4"/>
    <w:rsid w:val="00A26C5B"/>
    <w:rsid w:val="00A26D31"/>
    <w:rsid w:val="00A26DD1"/>
    <w:rsid w:val="00A30797"/>
    <w:rsid w:val="00A30E0D"/>
    <w:rsid w:val="00A318E9"/>
    <w:rsid w:val="00A31B2C"/>
    <w:rsid w:val="00A31CF3"/>
    <w:rsid w:val="00A338CC"/>
    <w:rsid w:val="00A34013"/>
    <w:rsid w:val="00A3480C"/>
    <w:rsid w:val="00A34A7C"/>
    <w:rsid w:val="00A34AB4"/>
    <w:rsid w:val="00A34EA8"/>
    <w:rsid w:val="00A358FF"/>
    <w:rsid w:val="00A35BE5"/>
    <w:rsid w:val="00A35C1B"/>
    <w:rsid w:val="00A35F4B"/>
    <w:rsid w:val="00A362BC"/>
    <w:rsid w:val="00A36D0F"/>
    <w:rsid w:val="00A3705D"/>
    <w:rsid w:val="00A3769C"/>
    <w:rsid w:val="00A377D8"/>
    <w:rsid w:val="00A37B5C"/>
    <w:rsid w:val="00A37BF2"/>
    <w:rsid w:val="00A403B1"/>
    <w:rsid w:val="00A40488"/>
    <w:rsid w:val="00A40F90"/>
    <w:rsid w:val="00A4125A"/>
    <w:rsid w:val="00A415B0"/>
    <w:rsid w:val="00A41A5B"/>
    <w:rsid w:val="00A42493"/>
    <w:rsid w:val="00A4259F"/>
    <w:rsid w:val="00A4330F"/>
    <w:rsid w:val="00A440F5"/>
    <w:rsid w:val="00A44CC8"/>
    <w:rsid w:val="00A46CCA"/>
    <w:rsid w:val="00A46D47"/>
    <w:rsid w:val="00A47194"/>
    <w:rsid w:val="00A47937"/>
    <w:rsid w:val="00A50925"/>
    <w:rsid w:val="00A512EA"/>
    <w:rsid w:val="00A514E7"/>
    <w:rsid w:val="00A5184E"/>
    <w:rsid w:val="00A52D01"/>
    <w:rsid w:val="00A52F07"/>
    <w:rsid w:val="00A53045"/>
    <w:rsid w:val="00A53DE2"/>
    <w:rsid w:val="00A53E2F"/>
    <w:rsid w:val="00A54A3A"/>
    <w:rsid w:val="00A550ED"/>
    <w:rsid w:val="00A5546F"/>
    <w:rsid w:val="00A561D1"/>
    <w:rsid w:val="00A56552"/>
    <w:rsid w:val="00A56888"/>
    <w:rsid w:val="00A56E3D"/>
    <w:rsid w:val="00A5715D"/>
    <w:rsid w:val="00A57398"/>
    <w:rsid w:val="00A60375"/>
    <w:rsid w:val="00A607C6"/>
    <w:rsid w:val="00A60925"/>
    <w:rsid w:val="00A60ECB"/>
    <w:rsid w:val="00A6195D"/>
    <w:rsid w:val="00A62925"/>
    <w:rsid w:val="00A62B75"/>
    <w:rsid w:val="00A62DBA"/>
    <w:rsid w:val="00A62DDD"/>
    <w:rsid w:val="00A6320D"/>
    <w:rsid w:val="00A63282"/>
    <w:rsid w:val="00A63B15"/>
    <w:rsid w:val="00A63F01"/>
    <w:rsid w:val="00A6454C"/>
    <w:rsid w:val="00A64B4F"/>
    <w:rsid w:val="00A65030"/>
    <w:rsid w:val="00A6639D"/>
    <w:rsid w:val="00A6691D"/>
    <w:rsid w:val="00A66E6B"/>
    <w:rsid w:val="00A673EA"/>
    <w:rsid w:val="00A6744E"/>
    <w:rsid w:val="00A674B0"/>
    <w:rsid w:val="00A67630"/>
    <w:rsid w:val="00A6796A"/>
    <w:rsid w:val="00A67B5C"/>
    <w:rsid w:val="00A67E1E"/>
    <w:rsid w:val="00A70B15"/>
    <w:rsid w:val="00A70E39"/>
    <w:rsid w:val="00A719EA"/>
    <w:rsid w:val="00A71E42"/>
    <w:rsid w:val="00A728B1"/>
    <w:rsid w:val="00A7373B"/>
    <w:rsid w:val="00A73AED"/>
    <w:rsid w:val="00A73EB0"/>
    <w:rsid w:val="00A744E0"/>
    <w:rsid w:val="00A74975"/>
    <w:rsid w:val="00A74B65"/>
    <w:rsid w:val="00A7681A"/>
    <w:rsid w:val="00A76BFE"/>
    <w:rsid w:val="00A76D4C"/>
    <w:rsid w:val="00A77D72"/>
    <w:rsid w:val="00A8101F"/>
    <w:rsid w:val="00A81065"/>
    <w:rsid w:val="00A8148F"/>
    <w:rsid w:val="00A81FF5"/>
    <w:rsid w:val="00A8222E"/>
    <w:rsid w:val="00A83C7F"/>
    <w:rsid w:val="00A83D45"/>
    <w:rsid w:val="00A83F9A"/>
    <w:rsid w:val="00A84DEF"/>
    <w:rsid w:val="00A85195"/>
    <w:rsid w:val="00A86480"/>
    <w:rsid w:val="00A86916"/>
    <w:rsid w:val="00A879EC"/>
    <w:rsid w:val="00A909F9"/>
    <w:rsid w:val="00A90E7F"/>
    <w:rsid w:val="00A911A5"/>
    <w:rsid w:val="00A9123E"/>
    <w:rsid w:val="00A9136F"/>
    <w:rsid w:val="00A91379"/>
    <w:rsid w:val="00A91A70"/>
    <w:rsid w:val="00A92322"/>
    <w:rsid w:val="00A929CF"/>
    <w:rsid w:val="00A92CC9"/>
    <w:rsid w:val="00A92D6C"/>
    <w:rsid w:val="00A9322A"/>
    <w:rsid w:val="00A934EF"/>
    <w:rsid w:val="00A937F5"/>
    <w:rsid w:val="00A94AE3"/>
    <w:rsid w:val="00A94CE3"/>
    <w:rsid w:val="00A954A9"/>
    <w:rsid w:val="00A9572F"/>
    <w:rsid w:val="00A95EEC"/>
    <w:rsid w:val="00A960BD"/>
    <w:rsid w:val="00A96276"/>
    <w:rsid w:val="00A96D1C"/>
    <w:rsid w:val="00A97166"/>
    <w:rsid w:val="00A97570"/>
    <w:rsid w:val="00A975D6"/>
    <w:rsid w:val="00A978AD"/>
    <w:rsid w:val="00A978D8"/>
    <w:rsid w:val="00A97B88"/>
    <w:rsid w:val="00AA002A"/>
    <w:rsid w:val="00AA048F"/>
    <w:rsid w:val="00AA15CA"/>
    <w:rsid w:val="00AA175D"/>
    <w:rsid w:val="00AA2A85"/>
    <w:rsid w:val="00AA3902"/>
    <w:rsid w:val="00AA3D28"/>
    <w:rsid w:val="00AA3F50"/>
    <w:rsid w:val="00AA4524"/>
    <w:rsid w:val="00AA4C51"/>
    <w:rsid w:val="00AA4CA5"/>
    <w:rsid w:val="00AA5912"/>
    <w:rsid w:val="00AA5F33"/>
    <w:rsid w:val="00AA615C"/>
    <w:rsid w:val="00AA6953"/>
    <w:rsid w:val="00AA79FC"/>
    <w:rsid w:val="00AB0911"/>
    <w:rsid w:val="00AB1379"/>
    <w:rsid w:val="00AB1C3A"/>
    <w:rsid w:val="00AB1DAD"/>
    <w:rsid w:val="00AB314C"/>
    <w:rsid w:val="00AB4142"/>
    <w:rsid w:val="00AB46AA"/>
    <w:rsid w:val="00AB53E3"/>
    <w:rsid w:val="00AB57F4"/>
    <w:rsid w:val="00AB5F19"/>
    <w:rsid w:val="00AB61DE"/>
    <w:rsid w:val="00AB6268"/>
    <w:rsid w:val="00AB6899"/>
    <w:rsid w:val="00AB6B96"/>
    <w:rsid w:val="00AB6CAA"/>
    <w:rsid w:val="00AC06BC"/>
    <w:rsid w:val="00AC1DB0"/>
    <w:rsid w:val="00AC2355"/>
    <w:rsid w:val="00AC2C00"/>
    <w:rsid w:val="00AC3205"/>
    <w:rsid w:val="00AC4648"/>
    <w:rsid w:val="00AC4740"/>
    <w:rsid w:val="00AC47AE"/>
    <w:rsid w:val="00AC4A49"/>
    <w:rsid w:val="00AC4FA3"/>
    <w:rsid w:val="00AC510E"/>
    <w:rsid w:val="00AC586E"/>
    <w:rsid w:val="00AC6027"/>
    <w:rsid w:val="00AC7320"/>
    <w:rsid w:val="00AC744F"/>
    <w:rsid w:val="00AC757B"/>
    <w:rsid w:val="00AC7B61"/>
    <w:rsid w:val="00AD03C3"/>
    <w:rsid w:val="00AD0D93"/>
    <w:rsid w:val="00AD11F3"/>
    <w:rsid w:val="00AD27A2"/>
    <w:rsid w:val="00AD2C22"/>
    <w:rsid w:val="00AD317E"/>
    <w:rsid w:val="00AD3C53"/>
    <w:rsid w:val="00AD3EE3"/>
    <w:rsid w:val="00AD44BA"/>
    <w:rsid w:val="00AD45F3"/>
    <w:rsid w:val="00AD4884"/>
    <w:rsid w:val="00AD54CA"/>
    <w:rsid w:val="00AD640A"/>
    <w:rsid w:val="00AD67B6"/>
    <w:rsid w:val="00AD6979"/>
    <w:rsid w:val="00AD6B91"/>
    <w:rsid w:val="00AD70BD"/>
    <w:rsid w:val="00AD71BD"/>
    <w:rsid w:val="00AE0E60"/>
    <w:rsid w:val="00AE1861"/>
    <w:rsid w:val="00AE21E8"/>
    <w:rsid w:val="00AE2A62"/>
    <w:rsid w:val="00AE2B08"/>
    <w:rsid w:val="00AE31C3"/>
    <w:rsid w:val="00AE32F6"/>
    <w:rsid w:val="00AE33FC"/>
    <w:rsid w:val="00AE35EA"/>
    <w:rsid w:val="00AE3A2C"/>
    <w:rsid w:val="00AE412C"/>
    <w:rsid w:val="00AE4CD6"/>
    <w:rsid w:val="00AE57CE"/>
    <w:rsid w:val="00AE57E1"/>
    <w:rsid w:val="00AE5C70"/>
    <w:rsid w:val="00AE6820"/>
    <w:rsid w:val="00AE687B"/>
    <w:rsid w:val="00AE7261"/>
    <w:rsid w:val="00AE7374"/>
    <w:rsid w:val="00AF001A"/>
    <w:rsid w:val="00AF004B"/>
    <w:rsid w:val="00AF03E8"/>
    <w:rsid w:val="00AF0421"/>
    <w:rsid w:val="00AF06D3"/>
    <w:rsid w:val="00AF0D17"/>
    <w:rsid w:val="00AF10F3"/>
    <w:rsid w:val="00AF120C"/>
    <w:rsid w:val="00AF240C"/>
    <w:rsid w:val="00AF2C46"/>
    <w:rsid w:val="00AF2EA4"/>
    <w:rsid w:val="00AF3942"/>
    <w:rsid w:val="00AF3D6A"/>
    <w:rsid w:val="00AF41AD"/>
    <w:rsid w:val="00AF49AB"/>
    <w:rsid w:val="00AF49AF"/>
    <w:rsid w:val="00AF4E54"/>
    <w:rsid w:val="00AF551D"/>
    <w:rsid w:val="00AF57A7"/>
    <w:rsid w:val="00AF5B02"/>
    <w:rsid w:val="00AF68D4"/>
    <w:rsid w:val="00AF76AD"/>
    <w:rsid w:val="00AF7AB6"/>
    <w:rsid w:val="00AF7D82"/>
    <w:rsid w:val="00AF7DB3"/>
    <w:rsid w:val="00B000E2"/>
    <w:rsid w:val="00B00827"/>
    <w:rsid w:val="00B00A13"/>
    <w:rsid w:val="00B00CFA"/>
    <w:rsid w:val="00B01BB4"/>
    <w:rsid w:val="00B01BC4"/>
    <w:rsid w:val="00B01DF5"/>
    <w:rsid w:val="00B0264D"/>
    <w:rsid w:val="00B02EA3"/>
    <w:rsid w:val="00B02F54"/>
    <w:rsid w:val="00B0301A"/>
    <w:rsid w:val="00B03F58"/>
    <w:rsid w:val="00B04029"/>
    <w:rsid w:val="00B04D9F"/>
    <w:rsid w:val="00B055E3"/>
    <w:rsid w:val="00B05A85"/>
    <w:rsid w:val="00B05AC8"/>
    <w:rsid w:val="00B05F42"/>
    <w:rsid w:val="00B0663C"/>
    <w:rsid w:val="00B070CD"/>
    <w:rsid w:val="00B10EC9"/>
    <w:rsid w:val="00B115EB"/>
    <w:rsid w:val="00B11E2A"/>
    <w:rsid w:val="00B12104"/>
    <w:rsid w:val="00B13B12"/>
    <w:rsid w:val="00B14514"/>
    <w:rsid w:val="00B151A9"/>
    <w:rsid w:val="00B162EF"/>
    <w:rsid w:val="00B167C3"/>
    <w:rsid w:val="00B1689D"/>
    <w:rsid w:val="00B16C6A"/>
    <w:rsid w:val="00B17CE3"/>
    <w:rsid w:val="00B17CE8"/>
    <w:rsid w:val="00B17E87"/>
    <w:rsid w:val="00B205D4"/>
    <w:rsid w:val="00B21A3C"/>
    <w:rsid w:val="00B21E3C"/>
    <w:rsid w:val="00B21EA2"/>
    <w:rsid w:val="00B22D3A"/>
    <w:rsid w:val="00B22DA8"/>
    <w:rsid w:val="00B23A4D"/>
    <w:rsid w:val="00B23C14"/>
    <w:rsid w:val="00B242C8"/>
    <w:rsid w:val="00B249C3"/>
    <w:rsid w:val="00B25B1C"/>
    <w:rsid w:val="00B25C0A"/>
    <w:rsid w:val="00B2607B"/>
    <w:rsid w:val="00B269CE"/>
    <w:rsid w:val="00B26E83"/>
    <w:rsid w:val="00B27459"/>
    <w:rsid w:val="00B27B63"/>
    <w:rsid w:val="00B30110"/>
    <w:rsid w:val="00B30797"/>
    <w:rsid w:val="00B308F9"/>
    <w:rsid w:val="00B30CFD"/>
    <w:rsid w:val="00B30D4E"/>
    <w:rsid w:val="00B30FF9"/>
    <w:rsid w:val="00B31268"/>
    <w:rsid w:val="00B3167C"/>
    <w:rsid w:val="00B316BE"/>
    <w:rsid w:val="00B32254"/>
    <w:rsid w:val="00B325A1"/>
    <w:rsid w:val="00B325BE"/>
    <w:rsid w:val="00B32E30"/>
    <w:rsid w:val="00B33BE2"/>
    <w:rsid w:val="00B34765"/>
    <w:rsid w:val="00B35356"/>
    <w:rsid w:val="00B35548"/>
    <w:rsid w:val="00B357FF"/>
    <w:rsid w:val="00B36546"/>
    <w:rsid w:val="00B36669"/>
    <w:rsid w:val="00B36B29"/>
    <w:rsid w:val="00B36C39"/>
    <w:rsid w:val="00B373EC"/>
    <w:rsid w:val="00B37F19"/>
    <w:rsid w:val="00B411E3"/>
    <w:rsid w:val="00B4143B"/>
    <w:rsid w:val="00B4189D"/>
    <w:rsid w:val="00B41AE6"/>
    <w:rsid w:val="00B42672"/>
    <w:rsid w:val="00B429D1"/>
    <w:rsid w:val="00B42CC2"/>
    <w:rsid w:val="00B42FCE"/>
    <w:rsid w:val="00B4460B"/>
    <w:rsid w:val="00B45866"/>
    <w:rsid w:val="00B45B2E"/>
    <w:rsid w:val="00B45B7D"/>
    <w:rsid w:val="00B46350"/>
    <w:rsid w:val="00B46B68"/>
    <w:rsid w:val="00B47B2D"/>
    <w:rsid w:val="00B50E83"/>
    <w:rsid w:val="00B50FC3"/>
    <w:rsid w:val="00B5137F"/>
    <w:rsid w:val="00B52A37"/>
    <w:rsid w:val="00B52DB0"/>
    <w:rsid w:val="00B53145"/>
    <w:rsid w:val="00B5334E"/>
    <w:rsid w:val="00B53B44"/>
    <w:rsid w:val="00B542A0"/>
    <w:rsid w:val="00B542BB"/>
    <w:rsid w:val="00B544D7"/>
    <w:rsid w:val="00B550E4"/>
    <w:rsid w:val="00B5549A"/>
    <w:rsid w:val="00B559E5"/>
    <w:rsid w:val="00B55C16"/>
    <w:rsid w:val="00B56F40"/>
    <w:rsid w:val="00B57328"/>
    <w:rsid w:val="00B6043C"/>
    <w:rsid w:val="00B612CC"/>
    <w:rsid w:val="00B61A1C"/>
    <w:rsid w:val="00B6291C"/>
    <w:rsid w:val="00B62AEB"/>
    <w:rsid w:val="00B62EF5"/>
    <w:rsid w:val="00B634DD"/>
    <w:rsid w:val="00B63E30"/>
    <w:rsid w:val="00B64C19"/>
    <w:rsid w:val="00B64E91"/>
    <w:rsid w:val="00B64FFD"/>
    <w:rsid w:val="00B67470"/>
    <w:rsid w:val="00B67C17"/>
    <w:rsid w:val="00B67CC0"/>
    <w:rsid w:val="00B70611"/>
    <w:rsid w:val="00B708DE"/>
    <w:rsid w:val="00B7167A"/>
    <w:rsid w:val="00B71994"/>
    <w:rsid w:val="00B71BC3"/>
    <w:rsid w:val="00B71C6B"/>
    <w:rsid w:val="00B71F82"/>
    <w:rsid w:val="00B720ED"/>
    <w:rsid w:val="00B73FCA"/>
    <w:rsid w:val="00B74D64"/>
    <w:rsid w:val="00B75948"/>
    <w:rsid w:val="00B75981"/>
    <w:rsid w:val="00B75F31"/>
    <w:rsid w:val="00B760D3"/>
    <w:rsid w:val="00B76418"/>
    <w:rsid w:val="00B765DE"/>
    <w:rsid w:val="00B77829"/>
    <w:rsid w:val="00B80A10"/>
    <w:rsid w:val="00B80BA1"/>
    <w:rsid w:val="00B8142A"/>
    <w:rsid w:val="00B81A59"/>
    <w:rsid w:val="00B82346"/>
    <w:rsid w:val="00B825D3"/>
    <w:rsid w:val="00B83029"/>
    <w:rsid w:val="00B83D81"/>
    <w:rsid w:val="00B8400B"/>
    <w:rsid w:val="00B840CE"/>
    <w:rsid w:val="00B84DDF"/>
    <w:rsid w:val="00B85D31"/>
    <w:rsid w:val="00B85FE3"/>
    <w:rsid w:val="00B8614A"/>
    <w:rsid w:val="00B86258"/>
    <w:rsid w:val="00B86841"/>
    <w:rsid w:val="00B868BC"/>
    <w:rsid w:val="00B86A76"/>
    <w:rsid w:val="00B870A0"/>
    <w:rsid w:val="00B87253"/>
    <w:rsid w:val="00B87382"/>
    <w:rsid w:val="00B90E77"/>
    <w:rsid w:val="00B92EB0"/>
    <w:rsid w:val="00B93034"/>
    <w:rsid w:val="00B93075"/>
    <w:rsid w:val="00B932F4"/>
    <w:rsid w:val="00B9330F"/>
    <w:rsid w:val="00B9335D"/>
    <w:rsid w:val="00B933D9"/>
    <w:rsid w:val="00B937ED"/>
    <w:rsid w:val="00B93AEC"/>
    <w:rsid w:val="00B940FC"/>
    <w:rsid w:val="00B944DA"/>
    <w:rsid w:val="00B94537"/>
    <w:rsid w:val="00B945DD"/>
    <w:rsid w:val="00B948B1"/>
    <w:rsid w:val="00B94AB2"/>
    <w:rsid w:val="00B950B7"/>
    <w:rsid w:val="00B963EB"/>
    <w:rsid w:val="00B970FF"/>
    <w:rsid w:val="00B975C0"/>
    <w:rsid w:val="00BA01A9"/>
    <w:rsid w:val="00BA059C"/>
    <w:rsid w:val="00BA07E4"/>
    <w:rsid w:val="00BA16C7"/>
    <w:rsid w:val="00BA1C5B"/>
    <w:rsid w:val="00BA1D3B"/>
    <w:rsid w:val="00BA2140"/>
    <w:rsid w:val="00BA2C40"/>
    <w:rsid w:val="00BA2E5C"/>
    <w:rsid w:val="00BA2E9A"/>
    <w:rsid w:val="00BA32CB"/>
    <w:rsid w:val="00BA3C06"/>
    <w:rsid w:val="00BA3FB3"/>
    <w:rsid w:val="00BA43D0"/>
    <w:rsid w:val="00BA4EDD"/>
    <w:rsid w:val="00BA5B71"/>
    <w:rsid w:val="00BA608E"/>
    <w:rsid w:val="00BA68A6"/>
    <w:rsid w:val="00BA6A8A"/>
    <w:rsid w:val="00BA6B0A"/>
    <w:rsid w:val="00BA750A"/>
    <w:rsid w:val="00BA7A70"/>
    <w:rsid w:val="00BB0501"/>
    <w:rsid w:val="00BB0AAE"/>
    <w:rsid w:val="00BB0B49"/>
    <w:rsid w:val="00BB1AE5"/>
    <w:rsid w:val="00BB217B"/>
    <w:rsid w:val="00BB22BD"/>
    <w:rsid w:val="00BB3210"/>
    <w:rsid w:val="00BB32A0"/>
    <w:rsid w:val="00BB387D"/>
    <w:rsid w:val="00BB3AC4"/>
    <w:rsid w:val="00BB3BA4"/>
    <w:rsid w:val="00BB430B"/>
    <w:rsid w:val="00BB57AC"/>
    <w:rsid w:val="00BB5855"/>
    <w:rsid w:val="00BB6987"/>
    <w:rsid w:val="00BB6C1A"/>
    <w:rsid w:val="00BB76BF"/>
    <w:rsid w:val="00BB7895"/>
    <w:rsid w:val="00BB7BFE"/>
    <w:rsid w:val="00BC012B"/>
    <w:rsid w:val="00BC071E"/>
    <w:rsid w:val="00BC091D"/>
    <w:rsid w:val="00BC0B27"/>
    <w:rsid w:val="00BC0B51"/>
    <w:rsid w:val="00BC0BF0"/>
    <w:rsid w:val="00BC0C99"/>
    <w:rsid w:val="00BC17F5"/>
    <w:rsid w:val="00BC2C0E"/>
    <w:rsid w:val="00BC32DD"/>
    <w:rsid w:val="00BC403B"/>
    <w:rsid w:val="00BC451E"/>
    <w:rsid w:val="00BC4BB8"/>
    <w:rsid w:val="00BC4F43"/>
    <w:rsid w:val="00BC5057"/>
    <w:rsid w:val="00BC5170"/>
    <w:rsid w:val="00BC553E"/>
    <w:rsid w:val="00BC5A7A"/>
    <w:rsid w:val="00BC5A9A"/>
    <w:rsid w:val="00BC5C34"/>
    <w:rsid w:val="00BC68E6"/>
    <w:rsid w:val="00BC6CB2"/>
    <w:rsid w:val="00BC6E90"/>
    <w:rsid w:val="00BC7C5A"/>
    <w:rsid w:val="00BD01C4"/>
    <w:rsid w:val="00BD0B21"/>
    <w:rsid w:val="00BD0C60"/>
    <w:rsid w:val="00BD0CFE"/>
    <w:rsid w:val="00BD0FD0"/>
    <w:rsid w:val="00BD1BDC"/>
    <w:rsid w:val="00BD235F"/>
    <w:rsid w:val="00BD2F64"/>
    <w:rsid w:val="00BD3F9F"/>
    <w:rsid w:val="00BD419C"/>
    <w:rsid w:val="00BD4D53"/>
    <w:rsid w:val="00BD4E2D"/>
    <w:rsid w:val="00BD533A"/>
    <w:rsid w:val="00BD5494"/>
    <w:rsid w:val="00BD5515"/>
    <w:rsid w:val="00BD5F42"/>
    <w:rsid w:val="00BD757D"/>
    <w:rsid w:val="00BD78A9"/>
    <w:rsid w:val="00BE061F"/>
    <w:rsid w:val="00BE09A8"/>
    <w:rsid w:val="00BE0DBF"/>
    <w:rsid w:val="00BE17EE"/>
    <w:rsid w:val="00BE1D06"/>
    <w:rsid w:val="00BE4CAA"/>
    <w:rsid w:val="00BE5248"/>
    <w:rsid w:val="00BE52F1"/>
    <w:rsid w:val="00BE5301"/>
    <w:rsid w:val="00BE6838"/>
    <w:rsid w:val="00BE697E"/>
    <w:rsid w:val="00BE77AD"/>
    <w:rsid w:val="00BE7FFB"/>
    <w:rsid w:val="00BF05B5"/>
    <w:rsid w:val="00BF0AB5"/>
    <w:rsid w:val="00BF0E34"/>
    <w:rsid w:val="00BF15D3"/>
    <w:rsid w:val="00BF1600"/>
    <w:rsid w:val="00BF17C2"/>
    <w:rsid w:val="00BF2256"/>
    <w:rsid w:val="00BF24B9"/>
    <w:rsid w:val="00BF32B8"/>
    <w:rsid w:val="00BF3EAC"/>
    <w:rsid w:val="00BF4928"/>
    <w:rsid w:val="00BF5241"/>
    <w:rsid w:val="00BF5531"/>
    <w:rsid w:val="00BF6F11"/>
    <w:rsid w:val="00C000FC"/>
    <w:rsid w:val="00C00D36"/>
    <w:rsid w:val="00C02BF5"/>
    <w:rsid w:val="00C02D69"/>
    <w:rsid w:val="00C02E38"/>
    <w:rsid w:val="00C03078"/>
    <w:rsid w:val="00C04B26"/>
    <w:rsid w:val="00C04E42"/>
    <w:rsid w:val="00C04E49"/>
    <w:rsid w:val="00C05418"/>
    <w:rsid w:val="00C06074"/>
    <w:rsid w:val="00C0654D"/>
    <w:rsid w:val="00C06735"/>
    <w:rsid w:val="00C076C5"/>
    <w:rsid w:val="00C07B67"/>
    <w:rsid w:val="00C07E57"/>
    <w:rsid w:val="00C10F8A"/>
    <w:rsid w:val="00C113F0"/>
    <w:rsid w:val="00C11A38"/>
    <w:rsid w:val="00C11EEA"/>
    <w:rsid w:val="00C12AC5"/>
    <w:rsid w:val="00C12F60"/>
    <w:rsid w:val="00C130DA"/>
    <w:rsid w:val="00C1325C"/>
    <w:rsid w:val="00C133B2"/>
    <w:rsid w:val="00C136B2"/>
    <w:rsid w:val="00C13CBF"/>
    <w:rsid w:val="00C13F21"/>
    <w:rsid w:val="00C14142"/>
    <w:rsid w:val="00C14592"/>
    <w:rsid w:val="00C147A3"/>
    <w:rsid w:val="00C147AC"/>
    <w:rsid w:val="00C14CCA"/>
    <w:rsid w:val="00C14DE8"/>
    <w:rsid w:val="00C14E93"/>
    <w:rsid w:val="00C150AD"/>
    <w:rsid w:val="00C16097"/>
    <w:rsid w:val="00C16439"/>
    <w:rsid w:val="00C165E7"/>
    <w:rsid w:val="00C17BA4"/>
    <w:rsid w:val="00C200A8"/>
    <w:rsid w:val="00C216C8"/>
    <w:rsid w:val="00C21BC8"/>
    <w:rsid w:val="00C21FD5"/>
    <w:rsid w:val="00C23194"/>
    <w:rsid w:val="00C239F8"/>
    <w:rsid w:val="00C24507"/>
    <w:rsid w:val="00C24B8D"/>
    <w:rsid w:val="00C24D87"/>
    <w:rsid w:val="00C25543"/>
    <w:rsid w:val="00C25D94"/>
    <w:rsid w:val="00C263B7"/>
    <w:rsid w:val="00C2694A"/>
    <w:rsid w:val="00C26C07"/>
    <w:rsid w:val="00C27426"/>
    <w:rsid w:val="00C27711"/>
    <w:rsid w:val="00C27AB5"/>
    <w:rsid w:val="00C27DBA"/>
    <w:rsid w:val="00C27E44"/>
    <w:rsid w:val="00C27EC4"/>
    <w:rsid w:val="00C302E5"/>
    <w:rsid w:val="00C30B68"/>
    <w:rsid w:val="00C31599"/>
    <w:rsid w:val="00C32F91"/>
    <w:rsid w:val="00C3342C"/>
    <w:rsid w:val="00C33470"/>
    <w:rsid w:val="00C3359B"/>
    <w:rsid w:val="00C33C91"/>
    <w:rsid w:val="00C341A0"/>
    <w:rsid w:val="00C344DB"/>
    <w:rsid w:val="00C345B6"/>
    <w:rsid w:val="00C349CF"/>
    <w:rsid w:val="00C34F33"/>
    <w:rsid w:val="00C3518F"/>
    <w:rsid w:val="00C40AD4"/>
    <w:rsid w:val="00C40E28"/>
    <w:rsid w:val="00C418D0"/>
    <w:rsid w:val="00C41C11"/>
    <w:rsid w:val="00C41EFA"/>
    <w:rsid w:val="00C42335"/>
    <w:rsid w:val="00C435DD"/>
    <w:rsid w:val="00C43637"/>
    <w:rsid w:val="00C439CD"/>
    <w:rsid w:val="00C4467A"/>
    <w:rsid w:val="00C44A28"/>
    <w:rsid w:val="00C44DB2"/>
    <w:rsid w:val="00C4514C"/>
    <w:rsid w:val="00C454F6"/>
    <w:rsid w:val="00C45641"/>
    <w:rsid w:val="00C45A46"/>
    <w:rsid w:val="00C46296"/>
    <w:rsid w:val="00C463C0"/>
    <w:rsid w:val="00C4766D"/>
    <w:rsid w:val="00C47697"/>
    <w:rsid w:val="00C47C27"/>
    <w:rsid w:val="00C5054C"/>
    <w:rsid w:val="00C507F1"/>
    <w:rsid w:val="00C511EB"/>
    <w:rsid w:val="00C515E5"/>
    <w:rsid w:val="00C515F0"/>
    <w:rsid w:val="00C51E48"/>
    <w:rsid w:val="00C520D7"/>
    <w:rsid w:val="00C521DB"/>
    <w:rsid w:val="00C52E8A"/>
    <w:rsid w:val="00C53E12"/>
    <w:rsid w:val="00C54711"/>
    <w:rsid w:val="00C5524A"/>
    <w:rsid w:val="00C5554A"/>
    <w:rsid w:val="00C55901"/>
    <w:rsid w:val="00C55D2E"/>
    <w:rsid w:val="00C55D6F"/>
    <w:rsid w:val="00C5759E"/>
    <w:rsid w:val="00C575B6"/>
    <w:rsid w:val="00C575C6"/>
    <w:rsid w:val="00C601F3"/>
    <w:rsid w:val="00C606B3"/>
    <w:rsid w:val="00C61B32"/>
    <w:rsid w:val="00C63339"/>
    <w:rsid w:val="00C64AD4"/>
    <w:rsid w:val="00C6513C"/>
    <w:rsid w:val="00C66033"/>
    <w:rsid w:val="00C660F6"/>
    <w:rsid w:val="00C6721C"/>
    <w:rsid w:val="00C674A0"/>
    <w:rsid w:val="00C70672"/>
    <w:rsid w:val="00C70946"/>
    <w:rsid w:val="00C70F97"/>
    <w:rsid w:val="00C724AF"/>
    <w:rsid w:val="00C72639"/>
    <w:rsid w:val="00C726C9"/>
    <w:rsid w:val="00C728AC"/>
    <w:rsid w:val="00C7393B"/>
    <w:rsid w:val="00C739C7"/>
    <w:rsid w:val="00C73EC4"/>
    <w:rsid w:val="00C73EDE"/>
    <w:rsid w:val="00C7483C"/>
    <w:rsid w:val="00C7545A"/>
    <w:rsid w:val="00C75B05"/>
    <w:rsid w:val="00C761E9"/>
    <w:rsid w:val="00C76A1B"/>
    <w:rsid w:val="00C76D27"/>
    <w:rsid w:val="00C77137"/>
    <w:rsid w:val="00C774D8"/>
    <w:rsid w:val="00C803E4"/>
    <w:rsid w:val="00C8051B"/>
    <w:rsid w:val="00C80BB2"/>
    <w:rsid w:val="00C81333"/>
    <w:rsid w:val="00C823FB"/>
    <w:rsid w:val="00C827A0"/>
    <w:rsid w:val="00C82DA9"/>
    <w:rsid w:val="00C833DA"/>
    <w:rsid w:val="00C83609"/>
    <w:rsid w:val="00C848FB"/>
    <w:rsid w:val="00C8571D"/>
    <w:rsid w:val="00C85E5B"/>
    <w:rsid w:val="00C86011"/>
    <w:rsid w:val="00C86049"/>
    <w:rsid w:val="00C86273"/>
    <w:rsid w:val="00C875BE"/>
    <w:rsid w:val="00C91B11"/>
    <w:rsid w:val="00C92CEA"/>
    <w:rsid w:val="00C94AF3"/>
    <w:rsid w:val="00C94EAD"/>
    <w:rsid w:val="00C95B6B"/>
    <w:rsid w:val="00C95F51"/>
    <w:rsid w:val="00C9642E"/>
    <w:rsid w:val="00C969E5"/>
    <w:rsid w:val="00C96C42"/>
    <w:rsid w:val="00C979E2"/>
    <w:rsid w:val="00C97D52"/>
    <w:rsid w:val="00CA0255"/>
    <w:rsid w:val="00CA04D7"/>
    <w:rsid w:val="00CA05F8"/>
    <w:rsid w:val="00CA251C"/>
    <w:rsid w:val="00CA2838"/>
    <w:rsid w:val="00CA2A9E"/>
    <w:rsid w:val="00CA4AE9"/>
    <w:rsid w:val="00CA5246"/>
    <w:rsid w:val="00CA6302"/>
    <w:rsid w:val="00CA63B6"/>
    <w:rsid w:val="00CA67EA"/>
    <w:rsid w:val="00CA7AAF"/>
    <w:rsid w:val="00CB00A6"/>
    <w:rsid w:val="00CB0B08"/>
    <w:rsid w:val="00CB19FA"/>
    <w:rsid w:val="00CB21C6"/>
    <w:rsid w:val="00CB21E2"/>
    <w:rsid w:val="00CB22F9"/>
    <w:rsid w:val="00CB2B3C"/>
    <w:rsid w:val="00CB2BE2"/>
    <w:rsid w:val="00CB3011"/>
    <w:rsid w:val="00CB5760"/>
    <w:rsid w:val="00CB626F"/>
    <w:rsid w:val="00CB63B7"/>
    <w:rsid w:val="00CB642C"/>
    <w:rsid w:val="00CB70D0"/>
    <w:rsid w:val="00CB77F8"/>
    <w:rsid w:val="00CB7877"/>
    <w:rsid w:val="00CC0048"/>
    <w:rsid w:val="00CC04BA"/>
    <w:rsid w:val="00CC0813"/>
    <w:rsid w:val="00CC0B28"/>
    <w:rsid w:val="00CC0EC5"/>
    <w:rsid w:val="00CC10F2"/>
    <w:rsid w:val="00CC1201"/>
    <w:rsid w:val="00CC1225"/>
    <w:rsid w:val="00CC1690"/>
    <w:rsid w:val="00CC35E6"/>
    <w:rsid w:val="00CC37AD"/>
    <w:rsid w:val="00CC3AAD"/>
    <w:rsid w:val="00CC43D9"/>
    <w:rsid w:val="00CC4762"/>
    <w:rsid w:val="00CC4906"/>
    <w:rsid w:val="00CC5244"/>
    <w:rsid w:val="00CC5A38"/>
    <w:rsid w:val="00CC7598"/>
    <w:rsid w:val="00CC7A41"/>
    <w:rsid w:val="00CC7B4A"/>
    <w:rsid w:val="00CD0AF4"/>
    <w:rsid w:val="00CD0B9A"/>
    <w:rsid w:val="00CD1B1D"/>
    <w:rsid w:val="00CD2205"/>
    <w:rsid w:val="00CD237F"/>
    <w:rsid w:val="00CD2560"/>
    <w:rsid w:val="00CD2606"/>
    <w:rsid w:val="00CD27A7"/>
    <w:rsid w:val="00CD2C45"/>
    <w:rsid w:val="00CD2FE9"/>
    <w:rsid w:val="00CD3078"/>
    <w:rsid w:val="00CD3EDC"/>
    <w:rsid w:val="00CD4759"/>
    <w:rsid w:val="00CD48EF"/>
    <w:rsid w:val="00CD4FFD"/>
    <w:rsid w:val="00CD5333"/>
    <w:rsid w:val="00CD5E8F"/>
    <w:rsid w:val="00CD6033"/>
    <w:rsid w:val="00CD702B"/>
    <w:rsid w:val="00CD7668"/>
    <w:rsid w:val="00CD7B48"/>
    <w:rsid w:val="00CE0444"/>
    <w:rsid w:val="00CE10CE"/>
    <w:rsid w:val="00CE10E5"/>
    <w:rsid w:val="00CE1B7D"/>
    <w:rsid w:val="00CE1BEA"/>
    <w:rsid w:val="00CE23C9"/>
    <w:rsid w:val="00CE25C1"/>
    <w:rsid w:val="00CE29D5"/>
    <w:rsid w:val="00CE2E8F"/>
    <w:rsid w:val="00CE311F"/>
    <w:rsid w:val="00CE3205"/>
    <w:rsid w:val="00CE3899"/>
    <w:rsid w:val="00CE39A0"/>
    <w:rsid w:val="00CE3BCA"/>
    <w:rsid w:val="00CE4428"/>
    <w:rsid w:val="00CE4494"/>
    <w:rsid w:val="00CE4B5E"/>
    <w:rsid w:val="00CE4C54"/>
    <w:rsid w:val="00CE56EB"/>
    <w:rsid w:val="00CE5B62"/>
    <w:rsid w:val="00CE616E"/>
    <w:rsid w:val="00CE6C0A"/>
    <w:rsid w:val="00CE6D59"/>
    <w:rsid w:val="00CE6EEF"/>
    <w:rsid w:val="00CE7797"/>
    <w:rsid w:val="00CE7CF5"/>
    <w:rsid w:val="00CE7D93"/>
    <w:rsid w:val="00CF0C98"/>
    <w:rsid w:val="00CF1482"/>
    <w:rsid w:val="00CF2010"/>
    <w:rsid w:val="00CF291D"/>
    <w:rsid w:val="00CF33A2"/>
    <w:rsid w:val="00CF3824"/>
    <w:rsid w:val="00CF3B03"/>
    <w:rsid w:val="00CF3C0A"/>
    <w:rsid w:val="00CF3F14"/>
    <w:rsid w:val="00CF3F74"/>
    <w:rsid w:val="00CF42CB"/>
    <w:rsid w:val="00CF45D2"/>
    <w:rsid w:val="00CF504A"/>
    <w:rsid w:val="00CF5168"/>
    <w:rsid w:val="00CF5D2A"/>
    <w:rsid w:val="00CF5E69"/>
    <w:rsid w:val="00CF7F75"/>
    <w:rsid w:val="00D01409"/>
    <w:rsid w:val="00D01915"/>
    <w:rsid w:val="00D02093"/>
    <w:rsid w:val="00D0276C"/>
    <w:rsid w:val="00D02D14"/>
    <w:rsid w:val="00D02E6B"/>
    <w:rsid w:val="00D03362"/>
    <w:rsid w:val="00D038C3"/>
    <w:rsid w:val="00D03A06"/>
    <w:rsid w:val="00D0411F"/>
    <w:rsid w:val="00D05B71"/>
    <w:rsid w:val="00D05E35"/>
    <w:rsid w:val="00D05F6E"/>
    <w:rsid w:val="00D062CE"/>
    <w:rsid w:val="00D069ED"/>
    <w:rsid w:val="00D06E7B"/>
    <w:rsid w:val="00D07392"/>
    <w:rsid w:val="00D07689"/>
    <w:rsid w:val="00D07755"/>
    <w:rsid w:val="00D07850"/>
    <w:rsid w:val="00D07AB2"/>
    <w:rsid w:val="00D07B64"/>
    <w:rsid w:val="00D07FF1"/>
    <w:rsid w:val="00D10031"/>
    <w:rsid w:val="00D11496"/>
    <w:rsid w:val="00D12FA0"/>
    <w:rsid w:val="00D146D7"/>
    <w:rsid w:val="00D154CE"/>
    <w:rsid w:val="00D16CC6"/>
    <w:rsid w:val="00D16E06"/>
    <w:rsid w:val="00D17047"/>
    <w:rsid w:val="00D17308"/>
    <w:rsid w:val="00D20540"/>
    <w:rsid w:val="00D2073E"/>
    <w:rsid w:val="00D208C9"/>
    <w:rsid w:val="00D21758"/>
    <w:rsid w:val="00D21985"/>
    <w:rsid w:val="00D222E4"/>
    <w:rsid w:val="00D22C1F"/>
    <w:rsid w:val="00D22F67"/>
    <w:rsid w:val="00D237DB"/>
    <w:rsid w:val="00D244AF"/>
    <w:rsid w:val="00D263AD"/>
    <w:rsid w:val="00D26669"/>
    <w:rsid w:val="00D26802"/>
    <w:rsid w:val="00D27353"/>
    <w:rsid w:val="00D273AE"/>
    <w:rsid w:val="00D27663"/>
    <w:rsid w:val="00D27A7A"/>
    <w:rsid w:val="00D27FD9"/>
    <w:rsid w:val="00D30710"/>
    <w:rsid w:val="00D309CC"/>
    <w:rsid w:val="00D311F4"/>
    <w:rsid w:val="00D31988"/>
    <w:rsid w:val="00D3318A"/>
    <w:rsid w:val="00D3342A"/>
    <w:rsid w:val="00D33B76"/>
    <w:rsid w:val="00D33BCB"/>
    <w:rsid w:val="00D33CD4"/>
    <w:rsid w:val="00D34806"/>
    <w:rsid w:val="00D34AF5"/>
    <w:rsid w:val="00D3659F"/>
    <w:rsid w:val="00D368E1"/>
    <w:rsid w:val="00D4026B"/>
    <w:rsid w:val="00D405D8"/>
    <w:rsid w:val="00D40959"/>
    <w:rsid w:val="00D41207"/>
    <w:rsid w:val="00D42558"/>
    <w:rsid w:val="00D4288F"/>
    <w:rsid w:val="00D4293F"/>
    <w:rsid w:val="00D431FF"/>
    <w:rsid w:val="00D43721"/>
    <w:rsid w:val="00D4427C"/>
    <w:rsid w:val="00D44380"/>
    <w:rsid w:val="00D44BCD"/>
    <w:rsid w:val="00D44EDC"/>
    <w:rsid w:val="00D453AC"/>
    <w:rsid w:val="00D454F2"/>
    <w:rsid w:val="00D458FD"/>
    <w:rsid w:val="00D45CBC"/>
    <w:rsid w:val="00D462C8"/>
    <w:rsid w:val="00D463BF"/>
    <w:rsid w:val="00D4678C"/>
    <w:rsid w:val="00D47233"/>
    <w:rsid w:val="00D47243"/>
    <w:rsid w:val="00D50B18"/>
    <w:rsid w:val="00D51627"/>
    <w:rsid w:val="00D51959"/>
    <w:rsid w:val="00D51AF8"/>
    <w:rsid w:val="00D51CEB"/>
    <w:rsid w:val="00D525BF"/>
    <w:rsid w:val="00D529AD"/>
    <w:rsid w:val="00D52F9B"/>
    <w:rsid w:val="00D530D9"/>
    <w:rsid w:val="00D539AE"/>
    <w:rsid w:val="00D53ABC"/>
    <w:rsid w:val="00D54109"/>
    <w:rsid w:val="00D55079"/>
    <w:rsid w:val="00D55F93"/>
    <w:rsid w:val="00D57D35"/>
    <w:rsid w:val="00D57E89"/>
    <w:rsid w:val="00D603D9"/>
    <w:rsid w:val="00D6282E"/>
    <w:rsid w:val="00D6448B"/>
    <w:rsid w:val="00D650B0"/>
    <w:rsid w:val="00D65839"/>
    <w:rsid w:val="00D66157"/>
    <w:rsid w:val="00D66440"/>
    <w:rsid w:val="00D66913"/>
    <w:rsid w:val="00D66DB2"/>
    <w:rsid w:val="00D67922"/>
    <w:rsid w:val="00D700A9"/>
    <w:rsid w:val="00D701D0"/>
    <w:rsid w:val="00D71AB6"/>
    <w:rsid w:val="00D721A9"/>
    <w:rsid w:val="00D72269"/>
    <w:rsid w:val="00D72481"/>
    <w:rsid w:val="00D72990"/>
    <w:rsid w:val="00D72EF3"/>
    <w:rsid w:val="00D73629"/>
    <w:rsid w:val="00D73AFE"/>
    <w:rsid w:val="00D741FD"/>
    <w:rsid w:val="00D74F21"/>
    <w:rsid w:val="00D75770"/>
    <w:rsid w:val="00D76DAD"/>
    <w:rsid w:val="00D774EC"/>
    <w:rsid w:val="00D77655"/>
    <w:rsid w:val="00D77BAD"/>
    <w:rsid w:val="00D77F99"/>
    <w:rsid w:val="00D80A1C"/>
    <w:rsid w:val="00D814C8"/>
    <w:rsid w:val="00D81B7D"/>
    <w:rsid w:val="00D8209E"/>
    <w:rsid w:val="00D82A02"/>
    <w:rsid w:val="00D82D87"/>
    <w:rsid w:val="00D82E7D"/>
    <w:rsid w:val="00D836E0"/>
    <w:rsid w:val="00D845AB"/>
    <w:rsid w:val="00D84929"/>
    <w:rsid w:val="00D87135"/>
    <w:rsid w:val="00D876D4"/>
    <w:rsid w:val="00D87879"/>
    <w:rsid w:val="00D87E5E"/>
    <w:rsid w:val="00D90AAD"/>
    <w:rsid w:val="00D9186D"/>
    <w:rsid w:val="00D91D7B"/>
    <w:rsid w:val="00D924A0"/>
    <w:rsid w:val="00D924A4"/>
    <w:rsid w:val="00D93054"/>
    <w:rsid w:val="00D93633"/>
    <w:rsid w:val="00D94975"/>
    <w:rsid w:val="00D94D4D"/>
    <w:rsid w:val="00D94F53"/>
    <w:rsid w:val="00D9509C"/>
    <w:rsid w:val="00D95609"/>
    <w:rsid w:val="00D95C57"/>
    <w:rsid w:val="00D9776C"/>
    <w:rsid w:val="00D97C0C"/>
    <w:rsid w:val="00DA0494"/>
    <w:rsid w:val="00DA077D"/>
    <w:rsid w:val="00DA186B"/>
    <w:rsid w:val="00DA18AB"/>
    <w:rsid w:val="00DA1D07"/>
    <w:rsid w:val="00DA267E"/>
    <w:rsid w:val="00DA3586"/>
    <w:rsid w:val="00DA3F25"/>
    <w:rsid w:val="00DA3FEB"/>
    <w:rsid w:val="00DA502D"/>
    <w:rsid w:val="00DA5525"/>
    <w:rsid w:val="00DA5640"/>
    <w:rsid w:val="00DA68C1"/>
    <w:rsid w:val="00DA6D4F"/>
    <w:rsid w:val="00DA7172"/>
    <w:rsid w:val="00DA768C"/>
    <w:rsid w:val="00DA7BD9"/>
    <w:rsid w:val="00DB021F"/>
    <w:rsid w:val="00DB0D84"/>
    <w:rsid w:val="00DB1BD6"/>
    <w:rsid w:val="00DB2A03"/>
    <w:rsid w:val="00DB3800"/>
    <w:rsid w:val="00DB403A"/>
    <w:rsid w:val="00DB4382"/>
    <w:rsid w:val="00DB4960"/>
    <w:rsid w:val="00DB5417"/>
    <w:rsid w:val="00DB54D2"/>
    <w:rsid w:val="00DB5718"/>
    <w:rsid w:val="00DB5E8C"/>
    <w:rsid w:val="00DB6255"/>
    <w:rsid w:val="00DB6C0F"/>
    <w:rsid w:val="00DB6C3A"/>
    <w:rsid w:val="00DB71F1"/>
    <w:rsid w:val="00DB7296"/>
    <w:rsid w:val="00DB7531"/>
    <w:rsid w:val="00DC0F45"/>
    <w:rsid w:val="00DC110F"/>
    <w:rsid w:val="00DC15B9"/>
    <w:rsid w:val="00DC1CB1"/>
    <w:rsid w:val="00DC206A"/>
    <w:rsid w:val="00DC2937"/>
    <w:rsid w:val="00DC39C2"/>
    <w:rsid w:val="00DC424E"/>
    <w:rsid w:val="00DC4DC3"/>
    <w:rsid w:val="00DC580F"/>
    <w:rsid w:val="00DC6088"/>
    <w:rsid w:val="00DC6EF5"/>
    <w:rsid w:val="00DC71F8"/>
    <w:rsid w:val="00DC7579"/>
    <w:rsid w:val="00DD0348"/>
    <w:rsid w:val="00DD0486"/>
    <w:rsid w:val="00DD0B1C"/>
    <w:rsid w:val="00DD0C0D"/>
    <w:rsid w:val="00DD16CC"/>
    <w:rsid w:val="00DD207F"/>
    <w:rsid w:val="00DD2F70"/>
    <w:rsid w:val="00DD5333"/>
    <w:rsid w:val="00DD53F2"/>
    <w:rsid w:val="00DD5913"/>
    <w:rsid w:val="00DD6771"/>
    <w:rsid w:val="00DE08D1"/>
    <w:rsid w:val="00DE09B0"/>
    <w:rsid w:val="00DE0F72"/>
    <w:rsid w:val="00DE1142"/>
    <w:rsid w:val="00DE1BB8"/>
    <w:rsid w:val="00DE1F43"/>
    <w:rsid w:val="00DE2005"/>
    <w:rsid w:val="00DE25E0"/>
    <w:rsid w:val="00DE278F"/>
    <w:rsid w:val="00DE31FD"/>
    <w:rsid w:val="00DE3965"/>
    <w:rsid w:val="00DE40F5"/>
    <w:rsid w:val="00DE44DA"/>
    <w:rsid w:val="00DE4619"/>
    <w:rsid w:val="00DE4CF1"/>
    <w:rsid w:val="00DE6171"/>
    <w:rsid w:val="00DE625C"/>
    <w:rsid w:val="00DE6DAE"/>
    <w:rsid w:val="00DE70E6"/>
    <w:rsid w:val="00DE757C"/>
    <w:rsid w:val="00DE7B8C"/>
    <w:rsid w:val="00DF0630"/>
    <w:rsid w:val="00DF0EA7"/>
    <w:rsid w:val="00DF285E"/>
    <w:rsid w:val="00DF32D0"/>
    <w:rsid w:val="00DF37B1"/>
    <w:rsid w:val="00DF382B"/>
    <w:rsid w:val="00DF396A"/>
    <w:rsid w:val="00DF3F54"/>
    <w:rsid w:val="00DF554E"/>
    <w:rsid w:val="00DF5739"/>
    <w:rsid w:val="00DF637C"/>
    <w:rsid w:val="00DF6D09"/>
    <w:rsid w:val="00DF7170"/>
    <w:rsid w:val="00DF7252"/>
    <w:rsid w:val="00DF75A6"/>
    <w:rsid w:val="00DF7C72"/>
    <w:rsid w:val="00DF7C8E"/>
    <w:rsid w:val="00E00E79"/>
    <w:rsid w:val="00E011E8"/>
    <w:rsid w:val="00E029FF"/>
    <w:rsid w:val="00E03180"/>
    <w:rsid w:val="00E03A17"/>
    <w:rsid w:val="00E04EA0"/>
    <w:rsid w:val="00E05395"/>
    <w:rsid w:val="00E053C4"/>
    <w:rsid w:val="00E05902"/>
    <w:rsid w:val="00E060DD"/>
    <w:rsid w:val="00E064DF"/>
    <w:rsid w:val="00E067E9"/>
    <w:rsid w:val="00E06D4F"/>
    <w:rsid w:val="00E06E3A"/>
    <w:rsid w:val="00E0738E"/>
    <w:rsid w:val="00E07465"/>
    <w:rsid w:val="00E07BE9"/>
    <w:rsid w:val="00E108D9"/>
    <w:rsid w:val="00E10983"/>
    <w:rsid w:val="00E10C81"/>
    <w:rsid w:val="00E10F30"/>
    <w:rsid w:val="00E112C8"/>
    <w:rsid w:val="00E116C1"/>
    <w:rsid w:val="00E117D9"/>
    <w:rsid w:val="00E11A77"/>
    <w:rsid w:val="00E12553"/>
    <w:rsid w:val="00E12784"/>
    <w:rsid w:val="00E1309E"/>
    <w:rsid w:val="00E132C9"/>
    <w:rsid w:val="00E138E7"/>
    <w:rsid w:val="00E13A42"/>
    <w:rsid w:val="00E13E9A"/>
    <w:rsid w:val="00E14375"/>
    <w:rsid w:val="00E14A4F"/>
    <w:rsid w:val="00E1581A"/>
    <w:rsid w:val="00E15A69"/>
    <w:rsid w:val="00E15AAC"/>
    <w:rsid w:val="00E15D20"/>
    <w:rsid w:val="00E15D85"/>
    <w:rsid w:val="00E165BC"/>
    <w:rsid w:val="00E20D77"/>
    <w:rsid w:val="00E21333"/>
    <w:rsid w:val="00E2158C"/>
    <w:rsid w:val="00E2217D"/>
    <w:rsid w:val="00E223B4"/>
    <w:rsid w:val="00E22AAD"/>
    <w:rsid w:val="00E22E93"/>
    <w:rsid w:val="00E232D8"/>
    <w:rsid w:val="00E24582"/>
    <w:rsid w:val="00E24B21"/>
    <w:rsid w:val="00E253E0"/>
    <w:rsid w:val="00E2593C"/>
    <w:rsid w:val="00E25C09"/>
    <w:rsid w:val="00E25EB9"/>
    <w:rsid w:val="00E26057"/>
    <w:rsid w:val="00E26663"/>
    <w:rsid w:val="00E26759"/>
    <w:rsid w:val="00E26E21"/>
    <w:rsid w:val="00E27937"/>
    <w:rsid w:val="00E27AE0"/>
    <w:rsid w:val="00E300AA"/>
    <w:rsid w:val="00E30D3E"/>
    <w:rsid w:val="00E31053"/>
    <w:rsid w:val="00E31168"/>
    <w:rsid w:val="00E3120D"/>
    <w:rsid w:val="00E315A7"/>
    <w:rsid w:val="00E31F1E"/>
    <w:rsid w:val="00E325F4"/>
    <w:rsid w:val="00E32D10"/>
    <w:rsid w:val="00E32EAD"/>
    <w:rsid w:val="00E331D6"/>
    <w:rsid w:val="00E335EC"/>
    <w:rsid w:val="00E34129"/>
    <w:rsid w:val="00E34288"/>
    <w:rsid w:val="00E34E9A"/>
    <w:rsid w:val="00E3550C"/>
    <w:rsid w:val="00E362DE"/>
    <w:rsid w:val="00E36803"/>
    <w:rsid w:val="00E36FC5"/>
    <w:rsid w:val="00E37127"/>
    <w:rsid w:val="00E373F9"/>
    <w:rsid w:val="00E37462"/>
    <w:rsid w:val="00E37592"/>
    <w:rsid w:val="00E37B30"/>
    <w:rsid w:val="00E37BF1"/>
    <w:rsid w:val="00E4035D"/>
    <w:rsid w:val="00E40BC6"/>
    <w:rsid w:val="00E40F8A"/>
    <w:rsid w:val="00E41245"/>
    <w:rsid w:val="00E41B72"/>
    <w:rsid w:val="00E41BCA"/>
    <w:rsid w:val="00E42888"/>
    <w:rsid w:val="00E430E0"/>
    <w:rsid w:val="00E4318D"/>
    <w:rsid w:val="00E438A6"/>
    <w:rsid w:val="00E43CC2"/>
    <w:rsid w:val="00E44182"/>
    <w:rsid w:val="00E4418D"/>
    <w:rsid w:val="00E44586"/>
    <w:rsid w:val="00E44709"/>
    <w:rsid w:val="00E44DFE"/>
    <w:rsid w:val="00E45B79"/>
    <w:rsid w:val="00E467E7"/>
    <w:rsid w:val="00E4773C"/>
    <w:rsid w:val="00E47E1C"/>
    <w:rsid w:val="00E50829"/>
    <w:rsid w:val="00E50977"/>
    <w:rsid w:val="00E51E10"/>
    <w:rsid w:val="00E51F21"/>
    <w:rsid w:val="00E52491"/>
    <w:rsid w:val="00E5335A"/>
    <w:rsid w:val="00E5385B"/>
    <w:rsid w:val="00E53B56"/>
    <w:rsid w:val="00E54B38"/>
    <w:rsid w:val="00E54F8F"/>
    <w:rsid w:val="00E553E6"/>
    <w:rsid w:val="00E5541F"/>
    <w:rsid w:val="00E5631D"/>
    <w:rsid w:val="00E56BCD"/>
    <w:rsid w:val="00E56D51"/>
    <w:rsid w:val="00E57346"/>
    <w:rsid w:val="00E60BF2"/>
    <w:rsid w:val="00E616D1"/>
    <w:rsid w:val="00E61989"/>
    <w:rsid w:val="00E62114"/>
    <w:rsid w:val="00E625DA"/>
    <w:rsid w:val="00E6277C"/>
    <w:rsid w:val="00E62806"/>
    <w:rsid w:val="00E629EF"/>
    <w:rsid w:val="00E62C31"/>
    <w:rsid w:val="00E630BD"/>
    <w:rsid w:val="00E6325A"/>
    <w:rsid w:val="00E63EE6"/>
    <w:rsid w:val="00E6479E"/>
    <w:rsid w:val="00E64872"/>
    <w:rsid w:val="00E65178"/>
    <w:rsid w:val="00E65908"/>
    <w:rsid w:val="00E6678C"/>
    <w:rsid w:val="00E706E0"/>
    <w:rsid w:val="00E7197B"/>
    <w:rsid w:val="00E71C13"/>
    <w:rsid w:val="00E71D8C"/>
    <w:rsid w:val="00E720B3"/>
    <w:rsid w:val="00E72332"/>
    <w:rsid w:val="00E727B7"/>
    <w:rsid w:val="00E72811"/>
    <w:rsid w:val="00E7284D"/>
    <w:rsid w:val="00E7304A"/>
    <w:rsid w:val="00E7321A"/>
    <w:rsid w:val="00E736E1"/>
    <w:rsid w:val="00E741D9"/>
    <w:rsid w:val="00E741E4"/>
    <w:rsid w:val="00E74265"/>
    <w:rsid w:val="00E74418"/>
    <w:rsid w:val="00E74914"/>
    <w:rsid w:val="00E74A7E"/>
    <w:rsid w:val="00E74DF4"/>
    <w:rsid w:val="00E74EB6"/>
    <w:rsid w:val="00E74EC8"/>
    <w:rsid w:val="00E75B5D"/>
    <w:rsid w:val="00E75EFC"/>
    <w:rsid w:val="00E75F7E"/>
    <w:rsid w:val="00E7643C"/>
    <w:rsid w:val="00E765C2"/>
    <w:rsid w:val="00E77B37"/>
    <w:rsid w:val="00E77FF3"/>
    <w:rsid w:val="00E80332"/>
    <w:rsid w:val="00E809DB"/>
    <w:rsid w:val="00E81870"/>
    <w:rsid w:val="00E81E2D"/>
    <w:rsid w:val="00E8294C"/>
    <w:rsid w:val="00E836E7"/>
    <w:rsid w:val="00E838D8"/>
    <w:rsid w:val="00E83E26"/>
    <w:rsid w:val="00E840FA"/>
    <w:rsid w:val="00E8422F"/>
    <w:rsid w:val="00E846ED"/>
    <w:rsid w:val="00E84C0E"/>
    <w:rsid w:val="00E84F7E"/>
    <w:rsid w:val="00E868C9"/>
    <w:rsid w:val="00E869CE"/>
    <w:rsid w:val="00E87DCA"/>
    <w:rsid w:val="00E9098A"/>
    <w:rsid w:val="00E90DCB"/>
    <w:rsid w:val="00E9183B"/>
    <w:rsid w:val="00E91C66"/>
    <w:rsid w:val="00E92256"/>
    <w:rsid w:val="00E9279D"/>
    <w:rsid w:val="00E929E7"/>
    <w:rsid w:val="00E92C85"/>
    <w:rsid w:val="00E93325"/>
    <w:rsid w:val="00E9354D"/>
    <w:rsid w:val="00E93590"/>
    <w:rsid w:val="00E93AEF"/>
    <w:rsid w:val="00E93F67"/>
    <w:rsid w:val="00E94226"/>
    <w:rsid w:val="00E95553"/>
    <w:rsid w:val="00E9663F"/>
    <w:rsid w:val="00E96F3A"/>
    <w:rsid w:val="00E96F96"/>
    <w:rsid w:val="00E9759C"/>
    <w:rsid w:val="00E97621"/>
    <w:rsid w:val="00E97851"/>
    <w:rsid w:val="00E979C2"/>
    <w:rsid w:val="00EA00D4"/>
    <w:rsid w:val="00EA0228"/>
    <w:rsid w:val="00EA022B"/>
    <w:rsid w:val="00EA116B"/>
    <w:rsid w:val="00EA1625"/>
    <w:rsid w:val="00EA2B32"/>
    <w:rsid w:val="00EA354E"/>
    <w:rsid w:val="00EA3BDC"/>
    <w:rsid w:val="00EA4800"/>
    <w:rsid w:val="00EA48B6"/>
    <w:rsid w:val="00EA5353"/>
    <w:rsid w:val="00EA5B41"/>
    <w:rsid w:val="00EA5C5A"/>
    <w:rsid w:val="00EA605B"/>
    <w:rsid w:val="00EA6440"/>
    <w:rsid w:val="00EA644E"/>
    <w:rsid w:val="00EA6573"/>
    <w:rsid w:val="00EA7921"/>
    <w:rsid w:val="00EA7B5F"/>
    <w:rsid w:val="00EB06DA"/>
    <w:rsid w:val="00EB07C3"/>
    <w:rsid w:val="00EB0E19"/>
    <w:rsid w:val="00EB0F68"/>
    <w:rsid w:val="00EB151D"/>
    <w:rsid w:val="00EB2B02"/>
    <w:rsid w:val="00EB3173"/>
    <w:rsid w:val="00EB3197"/>
    <w:rsid w:val="00EB3652"/>
    <w:rsid w:val="00EB4B1E"/>
    <w:rsid w:val="00EB4E3B"/>
    <w:rsid w:val="00EB54DB"/>
    <w:rsid w:val="00EB5671"/>
    <w:rsid w:val="00EB5787"/>
    <w:rsid w:val="00EB6627"/>
    <w:rsid w:val="00EB6D51"/>
    <w:rsid w:val="00EB7169"/>
    <w:rsid w:val="00EB77D2"/>
    <w:rsid w:val="00EC0224"/>
    <w:rsid w:val="00EC0D36"/>
    <w:rsid w:val="00EC12B8"/>
    <w:rsid w:val="00EC1B9B"/>
    <w:rsid w:val="00EC1FDE"/>
    <w:rsid w:val="00EC2387"/>
    <w:rsid w:val="00EC25E1"/>
    <w:rsid w:val="00EC35BC"/>
    <w:rsid w:val="00EC4C62"/>
    <w:rsid w:val="00EC4CC0"/>
    <w:rsid w:val="00EC51A1"/>
    <w:rsid w:val="00EC51CD"/>
    <w:rsid w:val="00EC5BE8"/>
    <w:rsid w:val="00EC5D14"/>
    <w:rsid w:val="00EC60FF"/>
    <w:rsid w:val="00EC707A"/>
    <w:rsid w:val="00ED0E9D"/>
    <w:rsid w:val="00ED1662"/>
    <w:rsid w:val="00ED187D"/>
    <w:rsid w:val="00ED1C82"/>
    <w:rsid w:val="00ED21D3"/>
    <w:rsid w:val="00ED2E96"/>
    <w:rsid w:val="00ED2ED0"/>
    <w:rsid w:val="00ED3E8E"/>
    <w:rsid w:val="00ED4164"/>
    <w:rsid w:val="00ED441D"/>
    <w:rsid w:val="00ED4B7B"/>
    <w:rsid w:val="00ED4BD3"/>
    <w:rsid w:val="00ED4CBB"/>
    <w:rsid w:val="00ED4E56"/>
    <w:rsid w:val="00ED4E58"/>
    <w:rsid w:val="00ED53CC"/>
    <w:rsid w:val="00ED5F81"/>
    <w:rsid w:val="00ED6453"/>
    <w:rsid w:val="00ED6480"/>
    <w:rsid w:val="00ED656D"/>
    <w:rsid w:val="00ED698E"/>
    <w:rsid w:val="00EE07C3"/>
    <w:rsid w:val="00EE085C"/>
    <w:rsid w:val="00EE292A"/>
    <w:rsid w:val="00EE2AFB"/>
    <w:rsid w:val="00EE30BB"/>
    <w:rsid w:val="00EE37FA"/>
    <w:rsid w:val="00EE3D64"/>
    <w:rsid w:val="00EE3DAC"/>
    <w:rsid w:val="00EE4D03"/>
    <w:rsid w:val="00EE4F3C"/>
    <w:rsid w:val="00EE604E"/>
    <w:rsid w:val="00EE6DCA"/>
    <w:rsid w:val="00EE781B"/>
    <w:rsid w:val="00EE79EF"/>
    <w:rsid w:val="00EE7E8A"/>
    <w:rsid w:val="00EF0749"/>
    <w:rsid w:val="00EF264A"/>
    <w:rsid w:val="00EF2C1B"/>
    <w:rsid w:val="00EF3C2F"/>
    <w:rsid w:val="00EF4265"/>
    <w:rsid w:val="00EF4ADC"/>
    <w:rsid w:val="00EF60CB"/>
    <w:rsid w:val="00EF706F"/>
    <w:rsid w:val="00EF74E7"/>
    <w:rsid w:val="00EF7DFF"/>
    <w:rsid w:val="00F010BC"/>
    <w:rsid w:val="00F013F1"/>
    <w:rsid w:val="00F01CE8"/>
    <w:rsid w:val="00F01F8C"/>
    <w:rsid w:val="00F0298E"/>
    <w:rsid w:val="00F02B3B"/>
    <w:rsid w:val="00F03223"/>
    <w:rsid w:val="00F03713"/>
    <w:rsid w:val="00F03A80"/>
    <w:rsid w:val="00F04495"/>
    <w:rsid w:val="00F044BA"/>
    <w:rsid w:val="00F0460A"/>
    <w:rsid w:val="00F0460B"/>
    <w:rsid w:val="00F04A9F"/>
    <w:rsid w:val="00F05BC9"/>
    <w:rsid w:val="00F06438"/>
    <w:rsid w:val="00F065AD"/>
    <w:rsid w:val="00F06895"/>
    <w:rsid w:val="00F0702F"/>
    <w:rsid w:val="00F10F44"/>
    <w:rsid w:val="00F110F2"/>
    <w:rsid w:val="00F114E6"/>
    <w:rsid w:val="00F11F6D"/>
    <w:rsid w:val="00F12897"/>
    <w:rsid w:val="00F12B15"/>
    <w:rsid w:val="00F1310D"/>
    <w:rsid w:val="00F1348F"/>
    <w:rsid w:val="00F136C3"/>
    <w:rsid w:val="00F13921"/>
    <w:rsid w:val="00F13DF7"/>
    <w:rsid w:val="00F14318"/>
    <w:rsid w:val="00F143C2"/>
    <w:rsid w:val="00F14555"/>
    <w:rsid w:val="00F147C9"/>
    <w:rsid w:val="00F158E2"/>
    <w:rsid w:val="00F15960"/>
    <w:rsid w:val="00F15DEF"/>
    <w:rsid w:val="00F15DFD"/>
    <w:rsid w:val="00F167BB"/>
    <w:rsid w:val="00F16AB2"/>
    <w:rsid w:val="00F20465"/>
    <w:rsid w:val="00F214C3"/>
    <w:rsid w:val="00F21F12"/>
    <w:rsid w:val="00F22975"/>
    <w:rsid w:val="00F22D05"/>
    <w:rsid w:val="00F22F2B"/>
    <w:rsid w:val="00F23B53"/>
    <w:rsid w:val="00F23B76"/>
    <w:rsid w:val="00F24273"/>
    <w:rsid w:val="00F244B7"/>
    <w:rsid w:val="00F25482"/>
    <w:rsid w:val="00F254A5"/>
    <w:rsid w:val="00F25856"/>
    <w:rsid w:val="00F25B7A"/>
    <w:rsid w:val="00F25D47"/>
    <w:rsid w:val="00F26336"/>
    <w:rsid w:val="00F26451"/>
    <w:rsid w:val="00F26930"/>
    <w:rsid w:val="00F26C7D"/>
    <w:rsid w:val="00F273E4"/>
    <w:rsid w:val="00F2793E"/>
    <w:rsid w:val="00F27A58"/>
    <w:rsid w:val="00F30661"/>
    <w:rsid w:val="00F30A6C"/>
    <w:rsid w:val="00F30DA0"/>
    <w:rsid w:val="00F30DA3"/>
    <w:rsid w:val="00F310AE"/>
    <w:rsid w:val="00F313FA"/>
    <w:rsid w:val="00F31411"/>
    <w:rsid w:val="00F319E6"/>
    <w:rsid w:val="00F32885"/>
    <w:rsid w:val="00F32B9A"/>
    <w:rsid w:val="00F33468"/>
    <w:rsid w:val="00F334B5"/>
    <w:rsid w:val="00F334EB"/>
    <w:rsid w:val="00F34096"/>
    <w:rsid w:val="00F3425A"/>
    <w:rsid w:val="00F342CC"/>
    <w:rsid w:val="00F3475D"/>
    <w:rsid w:val="00F34A3C"/>
    <w:rsid w:val="00F34C89"/>
    <w:rsid w:val="00F35B45"/>
    <w:rsid w:val="00F360AA"/>
    <w:rsid w:val="00F36D4C"/>
    <w:rsid w:val="00F37033"/>
    <w:rsid w:val="00F37546"/>
    <w:rsid w:val="00F37E1F"/>
    <w:rsid w:val="00F402B5"/>
    <w:rsid w:val="00F40308"/>
    <w:rsid w:val="00F41533"/>
    <w:rsid w:val="00F4161B"/>
    <w:rsid w:val="00F427FD"/>
    <w:rsid w:val="00F428C4"/>
    <w:rsid w:val="00F429AD"/>
    <w:rsid w:val="00F42B31"/>
    <w:rsid w:val="00F42D4E"/>
    <w:rsid w:val="00F42DE6"/>
    <w:rsid w:val="00F42E00"/>
    <w:rsid w:val="00F42E37"/>
    <w:rsid w:val="00F449C9"/>
    <w:rsid w:val="00F44EC8"/>
    <w:rsid w:val="00F45287"/>
    <w:rsid w:val="00F453C3"/>
    <w:rsid w:val="00F453EC"/>
    <w:rsid w:val="00F45CAC"/>
    <w:rsid w:val="00F46AA1"/>
    <w:rsid w:val="00F503C8"/>
    <w:rsid w:val="00F50808"/>
    <w:rsid w:val="00F5306B"/>
    <w:rsid w:val="00F53273"/>
    <w:rsid w:val="00F53614"/>
    <w:rsid w:val="00F53B5C"/>
    <w:rsid w:val="00F5461A"/>
    <w:rsid w:val="00F54966"/>
    <w:rsid w:val="00F55FC9"/>
    <w:rsid w:val="00F56297"/>
    <w:rsid w:val="00F56988"/>
    <w:rsid w:val="00F6010E"/>
    <w:rsid w:val="00F609CE"/>
    <w:rsid w:val="00F61840"/>
    <w:rsid w:val="00F61CFB"/>
    <w:rsid w:val="00F61DD2"/>
    <w:rsid w:val="00F622C5"/>
    <w:rsid w:val="00F626FB"/>
    <w:rsid w:val="00F62B01"/>
    <w:rsid w:val="00F6367C"/>
    <w:rsid w:val="00F63D26"/>
    <w:rsid w:val="00F647F2"/>
    <w:rsid w:val="00F64E2A"/>
    <w:rsid w:val="00F65268"/>
    <w:rsid w:val="00F65752"/>
    <w:rsid w:val="00F6607F"/>
    <w:rsid w:val="00F665FA"/>
    <w:rsid w:val="00F66976"/>
    <w:rsid w:val="00F66B2B"/>
    <w:rsid w:val="00F66C16"/>
    <w:rsid w:val="00F6726A"/>
    <w:rsid w:val="00F70C79"/>
    <w:rsid w:val="00F710ED"/>
    <w:rsid w:val="00F713D0"/>
    <w:rsid w:val="00F71BBE"/>
    <w:rsid w:val="00F72C6A"/>
    <w:rsid w:val="00F73146"/>
    <w:rsid w:val="00F73FE7"/>
    <w:rsid w:val="00F74886"/>
    <w:rsid w:val="00F752EF"/>
    <w:rsid w:val="00F75952"/>
    <w:rsid w:val="00F76CF5"/>
    <w:rsid w:val="00F771DA"/>
    <w:rsid w:val="00F77356"/>
    <w:rsid w:val="00F7771A"/>
    <w:rsid w:val="00F77AA2"/>
    <w:rsid w:val="00F77DFE"/>
    <w:rsid w:val="00F800C0"/>
    <w:rsid w:val="00F80250"/>
    <w:rsid w:val="00F804FC"/>
    <w:rsid w:val="00F81469"/>
    <w:rsid w:val="00F817E9"/>
    <w:rsid w:val="00F8185A"/>
    <w:rsid w:val="00F82301"/>
    <w:rsid w:val="00F831D9"/>
    <w:rsid w:val="00F83214"/>
    <w:rsid w:val="00F8384B"/>
    <w:rsid w:val="00F83D29"/>
    <w:rsid w:val="00F844B1"/>
    <w:rsid w:val="00F84D6C"/>
    <w:rsid w:val="00F85387"/>
    <w:rsid w:val="00F85394"/>
    <w:rsid w:val="00F86CDE"/>
    <w:rsid w:val="00F8735B"/>
    <w:rsid w:val="00F8746C"/>
    <w:rsid w:val="00F87867"/>
    <w:rsid w:val="00F87A25"/>
    <w:rsid w:val="00F905AD"/>
    <w:rsid w:val="00F9072B"/>
    <w:rsid w:val="00F90820"/>
    <w:rsid w:val="00F910D6"/>
    <w:rsid w:val="00F911E3"/>
    <w:rsid w:val="00F91AE4"/>
    <w:rsid w:val="00F934B8"/>
    <w:rsid w:val="00F9357D"/>
    <w:rsid w:val="00F9405F"/>
    <w:rsid w:val="00F95290"/>
    <w:rsid w:val="00F9550E"/>
    <w:rsid w:val="00F95759"/>
    <w:rsid w:val="00F959CE"/>
    <w:rsid w:val="00F96BCC"/>
    <w:rsid w:val="00F96E63"/>
    <w:rsid w:val="00F9764F"/>
    <w:rsid w:val="00F976FB"/>
    <w:rsid w:val="00FA0137"/>
    <w:rsid w:val="00FA082F"/>
    <w:rsid w:val="00FA1A34"/>
    <w:rsid w:val="00FA1CA7"/>
    <w:rsid w:val="00FA1D82"/>
    <w:rsid w:val="00FA20FE"/>
    <w:rsid w:val="00FA23E0"/>
    <w:rsid w:val="00FA289C"/>
    <w:rsid w:val="00FA2E20"/>
    <w:rsid w:val="00FA35EE"/>
    <w:rsid w:val="00FA37FF"/>
    <w:rsid w:val="00FA3D24"/>
    <w:rsid w:val="00FA432F"/>
    <w:rsid w:val="00FA50BC"/>
    <w:rsid w:val="00FA6583"/>
    <w:rsid w:val="00FA71DA"/>
    <w:rsid w:val="00FA76F5"/>
    <w:rsid w:val="00FA7EF1"/>
    <w:rsid w:val="00FB0156"/>
    <w:rsid w:val="00FB0349"/>
    <w:rsid w:val="00FB0F25"/>
    <w:rsid w:val="00FB238C"/>
    <w:rsid w:val="00FB27D4"/>
    <w:rsid w:val="00FB27FF"/>
    <w:rsid w:val="00FB3EB4"/>
    <w:rsid w:val="00FB40BB"/>
    <w:rsid w:val="00FB5A54"/>
    <w:rsid w:val="00FB5A7C"/>
    <w:rsid w:val="00FB60A5"/>
    <w:rsid w:val="00FB60E8"/>
    <w:rsid w:val="00FB6A3E"/>
    <w:rsid w:val="00FB6C6A"/>
    <w:rsid w:val="00FB6DFF"/>
    <w:rsid w:val="00FB7A60"/>
    <w:rsid w:val="00FB7BAB"/>
    <w:rsid w:val="00FC08A2"/>
    <w:rsid w:val="00FC2A6C"/>
    <w:rsid w:val="00FC2FDE"/>
    <w:rsid w:val="00FC3666"/>
    <w:rsid w:val="00FC3DFD"/>
    <w:rsid w:val="00FC43D8"/>
    <w:rsid w:val="00FC4C3F"/>
    <w:rsid w:val="00FC52F1"/>
    <w:rsid w:val="00FD048C"/>
    <w:rsid w:val="00FD1418"/>
    <w:rsid w:val="00FD1CD0"/>
    <w:rsid w:val="00FD1FE2"/>
    <w:rsid w:val="00FD264E"/>
    <w:rsid w:val="00FD26FA"/>
    <w:rsid w:val="00FD3074"/>
    <w:rsid w:val="00FD338C"/>
    <w:rsid w:val="00FD385B"/>
    <w:rsid w:val="00FD3AF6"/>
    <w:rsid w:val="00FD4250"/>
    <w:rsid w:val="00FD50E9"/>
    <w:rsid w:val="00FD627A"/>
    <w:rsid w:val="00FD717C"/>
    <w:rsid w:val="00FD776A"/>
    <w:rsid w:val="00FD7A49"/>
    <w:rsid w:val="00FE0BA0"/>
    <w:rsid w:val="00FE18C6"/>
    <w:rsid w:val="00FE248F"/>
    <w:rsid w:val="00FE4369"/>
    <w:rsid w:val="00FE492B"/>
    <w:rsid w:val="00FE4C6A"/>
    <w:rsid w:val="00FE50C0"/>
    <w:rsid w:val="00FE50EA"/>
    <w:rsid w:val="00FE55EF"/>
    <w:rsid w:val="00FE5673"/>
    <w:rsid w:val="00FE5863"/>
    <w:rsid w:val="00FE654F"/>
    <w:rsid w:val="00FE70D3"/>
    <w:rsid w:val="00FE77B6"/>
    <w:rsid w:val="00FE7CB9"/>
    <w:rsid w:val="00FF0081"/>
    <w:rsid w:val="00FF060B"/>
    <w:rsid w:val="00FF0A06"/>
    <w:rsid w:val="00FF1750"/>
    <w:rsid w:val="00FF1C29"/>
    <w:rsid w:val="00FF1DEA"/>
    <w:rsid w:val="00FF3254"/>
    <w:rsid w:val="00FF4D34"/>
    <w:rsid w:val="00FF5A3D"/>
    <w:rsid w:val="00FF647C"/>
    <w:rsid w:val="00FF6923"/>
    <w:rsid w:val="00FF6F59"/>
    <w:rsid w:val="00FF7025"/>
    <w:rsid w:val="00FF7418"/>
    <w:rsid w:val="0107BD6A"/>
    <w:rsid w:val="01AADCAA"/>
    <w:rsid w:val="01F7D3D4"/>
    <w:rsid w:val="0200BDE9"/>
    <w:rsid w:val="02C1672C"/>
    <w:rsid w:val="02D85000"/>
    <w:rsid w:val="0305422D"/>
    <w:rsid w:val="039B3F23"/>
    <w:rsid w:val="03CADCB8"/>
    <w:rsid w:val="041876B7"/>
    <w:rsid w:val="041A3814"/>
    <w:rsid w:val="042C14FB"/>
    <w:rsid w:val="04C24582"/>
    <w:rsid w:val="052F7496"/>
    <w:rsid w:val="057C22F2"/>
    <w:rsid w:val="0639E59F"/>
    <w:rsid w:val="067203D7"/>
    <w:rsid w:val="06814F2E"/>
    <w:rsid w:val="073AB941"/>
    <w:rsid w:val="09770F7E"/>
    <w:rsid w:val="09A9DFEA"/>
    <w:rsid w:val="0A30A9AA"/>
    <w:rsid w:val="0AA4611E"/>
    <w:rsid w:val="0B5B17D9"/>
    <w:rsid w:val="0B6D15E6"/>
    <w:rsid w:val="0B858240"/>
    <w:rsid w:val="0B9CC99B"/>
    <w:rsid w:val="0D231AE4"/>
    <w:rsid w:val="0D30DD30"/>
    <w:rsid w:val="0D5ECD99"/>
    <w:rsid w:val="0D982E8E"/>
    <w:rsid w:val="0DCFE688"/>
    <w:rsid w:val="0DD60EBB"/>
    <w:rsid w:val="0F2DC744"/>
    <w:rsid w:val="100CE5AF"/>
    <w:rsid w:val="10290E96"/>
    <w:rsid w:val="1093B28A"/>
    <w:rsid w:val="10D6F9E3"/>
    <w:rsid w:val="10E0DD4C"/>
    <w:rsid w:val="11403257"/>
    <w:rsid w:val="11670EC2"/>
    <w:rsid w:val="1297A3B1"/>
    <w:rsid w:val="12D8B425"/>
    <w:rsid w:val="12EFE9A6"/>
    <w:rsid w:val="132B5E14"/>
    <w:rsid w:val="1333C4C8"/>
    <w:rsid w:val="134BF1B0"/>
    <w:rsid w:val="139BA66E"/>
    <w:rsid w:val="1474B747"/>
    <w:rsid w:val="14B6AE02"/>
    <w:rsid w:val="14C30100"/>
    <w:rsid w:val="156C456C"/>
    <w:rsid w:val="15D1269C"/>
    <w:rsid w:val="1600F45E"/>
    <w:rsid w:val="16AABF0D"/>
    <w:rsid w:val="174ED443"/>
    <w:rsid w:val="18798FF6"/>
    <w:rsid w:val="188E1242"/>
    <w:rsid w:val="189CD411"/>
    <w:rsid w:val="18BA695D"/>
    <w:rsid w:val="18F6D6F0"/>
    <w:rsid w:val="191762D4"/>
    <w:rsid w:val="1922C3BB"/>
    <w:rsid w:val="1923D660"/>
    <w:rsid w:val="196C65BF"/>
    <w:rsid w:val="19D6EDCA"/>
    <w:rsid w:val="1A1DB6C0"/>
    <w:rsid w:val="1A867505"/>
    <w:rsid w:val="1AE44848"/>
    <w:rsid w:val="1B7B5B01"/>
    <w:rsid w:val="1C238FF3"/>
    <w:rsid w:val="1C352E20"/>
    <w:rsid w:val="1C8097C1"/>
    <w:rsid w:val="1C8DE1AF"/>
    <w:rsid w:val="1D441683"/>
    <w:rsid w:val="1D9335D1"/>
    <w:rsid w:val="1DA56A16"/>
    <w:rsid w:val="1E0E8611"/>
    <w:rsid w:val="1E293B65"/>
    <w:rsid w:val="1E3A9C1C"/>
    <w:rsid w:val="1F0D357F"/>
    <w:rsid w:val="1F3645F5"/>
    <w:rsid w:val="1F6573AE"/>
    <w:rsid w:val="1FB785D3"/>
    <w:rsid w:val="201449CA"/>
    <w:rsid w:val="20DAC76C"/>
    <w:rsid w:val="20F5B689"/>
    <w:rsid w:val="219C073E"/>
    <w:rsid w:val="21B540A0"/>
    <w:rsid w:val="21FC7ABB"/>
    <w:rsid w:val="224EB298"/>
    <w:rsid w:val="227FE0B0"/>
    <w:rsid w:val="22ABC935"/>
    <w:rsid w:val="22B56964"/>
    <w:rsid w:val="22EC5A23"/>
    <w:rsid w:val="234A2D7E"/>
    <w:rsid w:val="2351C096"/>
    <w:rsid w:val="23AEB0F2"/>
    <w:rsid w:val="23B36559"/>
    <w:rsid w:val="23FB2828"/>
    <w:rsid w:val="24272710"/>
    <w:rsid w:val="247DC795"/>
    <w:rsid w:val="24AB6292"/>
    <w:rsid w:val="24C62312"/>
    <w:rsid w:val="25490461"/>
    <w:rsid w:val="25921417"/>
    <w:rsid w:val="25B2601F"/>
    <w:rsid w:val="25C5B32C"/>
    <w:rsid w:val="25E8338B"/>
    <w:rsid w:val="261F9B8D"/>
    <w:rsid w:val="262A02F4"/>
    <w:rsid w:val="26B0E8AE"/>
    <w:rsid w:val="26BB5708"/>
    <w:rsid w:val="26CC17EF"/>
    <w:rsid w:val="26CCA745"/>
    <w:rsid w:val="274D1073"/>
    <w:rsid w:val="279C3FFA"/>
    <w:rsid w:val="27AD6A74"/>
    <w:rsid w:val="280556AA"/>
    <w:rsid w:val="29AD1D8B"/>
    <w:rsid w:val="2A596340"/>
    <w:rsid w:val="2B3057D7"/>
    <w:rsid w:val="2B407248"/>
    <w:rsid w:val="2B681F61"/>
    <w:rsid w:val="2B787DF2"/>
    <w:rsid w:val="2BAF0685"/>
    <w:rsid w:val="2BF016F9"/>
    <w:rsid w:val="2C497CAD"/>
    <w:rsid w:val="2C568883"/>
    <w:rsid w:val="2C9B8686"/>
    <w:rsid w:val="2CBA2455"/>
    <w:rsid w:val="2CEF0A55"/>
    <w:rsid w:val="2D738902"/>
    <w:rsid w:val="2DA35EAF"/>
    <w:rsid w:val="2E2025E8"/>
    <w:rsid w:val="2E4CD91E"/>
    <w:rsid w:val="2E941C99"/>
    <w:rsid w:val="2E9B9773"/>
    <w:rsid w:val="2F564001"/>
    <w:rsid w:val="305D0A49"/>
    <w:rsid w:val="3077BAD9"/>
    <w:rsid w:val="3127B5CD"/>
    <w:rsid w:val="313AD17E"/>
    <w:rsid w:val="315C5785"/>
    <w:rsid w:val="31B1879D"/>
    <w:rsid w:val="322A908D"/>
    <w:rsid w:val="3237C1FD"/>
    <w:rsid w:val="32C3862E"/>
    <w:rsid w:val="32E2F950"/>
    <w:rsid w:val="330628E2"/>
    <w:rsid w:val="33450AE1"/>
    <w:rsid w:val="3387B459"/>
    <w:rsid w:val="338F875E"/>
    <w:rsid w:val="33E494B3"/>
    <w:rsid w:val="3487E2AA"/>
    <w:rsid w:val="34888EDD"/>
    <w:rsid w:val="34CCEEFB"/>
    <w:rsid w:val="35002025"/>
    <w:rsid w:val="3567FB9B"/>
    <w:rsid w:val="35C56D91"/>
    <w:rsid w:val="35FB26F0"/>
    <w:rsid w:val="3600686D"/>
    <w:rsid w:val="3645D7ED"/>
    <w:rsid w:val="36C5D592"/>
    <w:rsid w:val="36F59F43"/>
    <w:rsid w:val="37A2AF80"/>
    <w:rsid w:val="3897159E"/>
    <w:rsid w:val="38B552CB"/>
    <w:rsid w:val="38ECED26"/>
    <w:rsid w:val="38EFC39A"/>
    <w:rsid w:val="3932C7B2"/>
    <w:rsid w:val="3967ABCD"/>
    <w:rsid w:val="397CF5AA"/>
    <w:rsid w:val="39D143F8"/>
    <w:rsid w:val="3A06EA33"/>
    <w:rsid w:val="3A089CFA"/>
    <w:rsid w:val="3A36A2F9"/>
    <w:rsid w:val="3A763A9C"/>
    <w:rsid w:val="3AD2A792"/>
    <w:rsid w:val="3AF7DC0D"/>
    <w:rsid w:val="3B73083C"/>
    <w:rsid w:val="3BC21995"/>
    <w:rsid w:val="3C49FA6E"/>
    <w:rsid w:val="3C8264AF"/>
    <w:rsid w:val="3D5ADEA1"/>
    <w:rsid w:val="3D70E211"/>
    <w:rsid w:val="3E8C5E3C"/>
    <w:rsid w:val="3ED152D9"/>
    <w:rsid w:val="3EFE3BB6"/>
    <w:rsid w:val="3F8E29CF"/>
    <w:rsid w:val="3FA8C7CC"/>
    <w:rsid w:val="3FCCBEED"/>
    <w:rsid w:val="4024EDD9"/>
    <w:rsid w:val="40610705"/>
    <w:rsid w:val="4070A0B9"/>
    <w:rsid w:val="40833FE0"/>
    <w:rsid w:val="40D45B51"/>
    <w:rsid w:val="41686754"/>
    <w:rsid w:val="41716783"/>
    <w:rsid w:val="4217453D"/>
    <w:rsid w:val="42271DAA"/>
    <w:rsid w:val="4256DE45"/>
    <w:rsid w:val="42BB7284"/>
    <w:rsid w:val="433A98D8"/>
    <w:rsid w:val="43A0569A"/>
    <w:rsid w:val="43B66C89"/>
    <w:rsid w:val="43DB9B84"/>
    <w:rsid w:val="44D7CC0C"/>
    <w:rsid w:val="44DBEE83"/>
    <w:rsid w:val="450EE0E6"/>
    <w:rsid w:val="452A904A"/>
    <w:rsid w:val="45496D2D"/>
    <w:rsid w:val="45BE252D"/>
    <w:rsid w:val="45E729C1"/>
    <w:rsid w:val="45F58ECF"/>
    <w:rsid w:val="45FA036E"/>
    <w:rsid w:val="46BC0618"/>
    <w:rsid w:val="47294B01"/>
    <w:rsid w:val="47311004"/>
    <w:rsid w:val="4754583A"/>
    <w:rsid w:val="477C5EF3"/>
    <w:rsid w:val="47987624"/>
    <w:rsid w:val="47AC7044"/>
    <w:rsid w:val="4887B5B1"/>
    <w:rsid w:val="4965AD2C"/>
    <w:rsid w:val="499C04FA"/>
    <w:rsid w:val="4A0F981E"/>
    <w:rsid w:val="4A4D286D"/>
    <w:rsid w:val="4AECED8A"/>
    <w:rsid w:val="4B33B547"/>
    <w:rsid w:val="4B63410A"/>
    <w:rsid w:val="4BF24334"/>
    <w:rsid w:val="4C4BB525"/>
    <w:rsid w:val="4C91616D"/>
    <w:rsid w:val="4CC03921"/>
    <w:rsid w:val="4CE567AF"/>
    <w:rsid w:val="4D19521E"/>
    <w:rsid w:val="4D1B19A0"/>
    <w:rsid w:val="4D4738E0"/>
    <w:rsid w:val="4D6130B8"/>
    <w:rsid w:val="4DA8B65B"/>
    <w:rsid w:val="4E02946D"/>
    <w:rsid w:val="4E2085BC"/>
    <w:rsid w:val="4EBF66C7"/>
    <w:rsid w:val="4F3EE250"/>
    <w:rsid w:val="4FAC8695"/>
    <w:rsid w:val="4FB3C9D6"/>
    <w:rsid w:val="4FDBA594"/>
    <w:rsid w:val="500FEA99"/>
    <w:rsid w:val="50652CA9"/>
    <w:rsid w:val="50672F46"/>
    <w:rsid w:val="50C245B5"/>
    <w:rsid w:val="50C80AAC"/>
    <w:rsid w:val="5110E74C"/>
    <w:rsid w:val="5115AC39"/>
    <w:rsid w:val="5140C892"/>
    <w:rsid w:val="51616D69"/>
    <w:rsid w:val="5199961C"/>
    <w:rsid w:val="51F323AE"/>
    <w:rsid w:val="5218B169"/>
    <w:rsid w:val="5219A339"/>
    <w:rsid w:val="539967FA"/>
    <w:rsid w:val="53CA6858"/>
    <w:rsid w:val="556638B9"/>
    <w:rsid w:val="55717956"/>
    <w:rsid w:val="55A1BD17"/>
    <w:rsid w:val="5657CA9D"/>
    <w:rsid w:val="579F1D7E"/>
    <w:rsid w:val="57DBB6FB"/>
    <w:rsid w:val="58512F66"/>
    <w:rsid w:val="58BA11A2"/>
    <w:rsid w:val="592B0A16"/>
    <w:rsid w:val="59579638"/>
    <w:rsid w:val="5964861D"/>
    <w:rsid w:val="59759ADE"/>
    <w:rsid w:val="5A4FA0A9"/>
    <w:rsid w:val="5A913834"/>
    <w:rsid w:val="5AB30E5D"/>
    <w:rsid w:val="5C06548E"/>
    <w:rsid w:val="5C27BB95"/>
    <w:rsid w:val="5C2FB065"/>
    <w:rsid w:val="5C63F9B4"/>
    <w:rsid w:val="5CDF67AF"/>
    <w:rsid w:val="5DDE0A5D"/>
    <w:rsid w:val="5E206CAC"/>
    <w:rsid w:val="5E39D187"/>
    <w:rsid w:val="5E770627"/>
    <w:rsid w:val="5F3074F8"/>
    <w:rsid w:val="5F41129F"/>
    <w:rsid w:val="5FAC106E"/>
    <w:rsid w:val="6096C3D4"/>
    <w:rsid w:val="60E08119"/>
    <w:rsid w:val="6170E28F"/>
    <w:rsid w:val="61D7126D"/>
    <w:rsid w:val="61D83DC2"/>
    <w:rsid w:val="62DDF45A"/>
    <w:rsid w:val="6374EC7C"/>
    <w:rsid w:val="641C35C9"/>
    <w:rsid w:val="6428926B"/>
    <w:rsid w:val="642892DB"/>
    <w:rsid w:val="64664EC3"/>
    <w:rsid w:val="64CEA543"/>
    <w:rsid w:val="64E477BE"/>
    <w:rsid w:val="65645940"/>
    <w:rsid w:val="65C98AB7"/>
    <w:rsid w:val="65F9167A"/>
    <w:rsid w:val="662B2B55"/>
    <w:rsid w:val="66631FB8"/>
    <w:rsid w:val="668A9E2F"/>
    <w:rsid w:val="671AA536"/>
    <w:rsid w:val="6760332D"/>
    <w:rsid w:val="687159FC"/>
    <w:rsid w:val="68DB3384"/>
    <w:rsid w:val="69333C11"/>
    <w:rsid w:val="6962CC17"/>
    <w:rsid w:val="697AA9E7"/>
    <w:rsid w:val="6982976D"/>
    <w:rsid w:val="69BAB35B"/>
    <w:rsid w:val="69F59E63"/>
    <w:rsid w:val="6A474BAF"/>
    <w:rsid w:val="6A74F08A"/>
    <w:rsid w:val="6AC270C5"/>
    <w:rsid w:val="6BCAA98E"/>
    <w:rsid w:val="6C622C39"/>
    <w:rsid w:val="6CF242C9"/>
    <w:rsid w:val="6DE5787E"/>
    <w:rsid w:val="6E18E29A"/>
    <w:rsid w:val="6EA3C4EC"/>
    <w:rsid w:val="6F3BB6DF"/>
    <w:rsid w:val="6F4D151D"/>
    <w:rsid w:val="6F918D6B"/>
    <w:rsid w:val="6FAF1CB0"/>
    <w:rsid w:val="6FD2D720"/>
    <w:rsid w:val="700752A0"/>
    <w:rsid w:val="70871C2E"/>
    <w:rsid w:val="7171A7EF"/>
    <w:rsid w:val="717F3703"/>
    <w:rsid w:val="72004ACF"/>
    <w:rsid w:val="721A312D"/>
    <w:rsid w:val="724F8F28"/>
    <w:rsid w:val="72AD2F82"/>
    <w:rsid w:val="73311198"/>
    <w:rsid w:val="736D7D85"/>
    <w:rsid w:val="73829B73"/>
    <w:rsid w:val="73EE6AE6"/>
    <w:rsid w:val="756C08F5"/>
    <w:rsid w:val="7576241F"/>
    <w:rsid w:val="75F353E9"/>
    <w:rsid w:val="7611B922"/>
    <w:rsid w:val="766516DB"/>
    <w:rsid w:val="76B44E7A"/>
    <w:rsid w:val="774DBA49"/>
    <w:rsid w:val="777BC1E5"/>
    <w:rsid w:val="7791BAE2"/>
    <w:rsid w:val="788E780E"/>
    <w:rsid w:val="789AFBA8"/>
    <w:rsid w:val="789B805B"/>
    <w:rsid w:val="790525E9"/>
    <w:rsid w:val="792DA0CC"/>
    <w:rsid w:val="79B4FCB6"/>
    <w:rsid w:val="7A2E4067"/>
    <w:rsid w:val="7ADBBC81"/>
    <w:rsid w:val="7B27338B"/>
    <w:rsid w:val="7B8FF37D"/>
    <w:rsid w:val="7B958480"/>
    <w:rsid w:val="7D623662"/>
    <w:rsid w:val="7E1A512F"/>
    <w:rsid w:val="7E3B1D78"/>
    <w:rsid w:val="7E87552E"/>
    <w:rsid w:val="7EF131FA"/>
    <w:rsid w:val="7FF01EEB"/>
  </w:rsid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14:docId w14:val="3A178C64"/>
  <w15:docId w15:val="{382A82FB-925E-4B8A-AF82-82F5ED00D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00A4"/>
    <w:rPr>
      <w:rFonts w:eastAsia="Times New Roman"/>
      <w:sz w:val="24"/>
      <w:szCs w:val="24"/>
      <w:lang w:eastAsia="en-US"/>
    </w:rPr>
  </w:style>
  <w:style w:type="paragraph" w:styleId="Heading1">
    <w:name w:val="heading 1"/>
    <w:basedOn w:val="Normal"/>
    <w:next w:val="Normal"/>
    <w:link w:val="Heading1Char"/>
    <w:qFormat/>
    <w:rsid w:val="00B64C19"/>
    <w:pPr>
      <w:keepNext/>
      <w:spacing w:after="360"/>
      <w:outlineLvl w:val="0"/>
    </w:pPr>
    <w:rPr>
      <w:rFonts w:ascii="Times" w:hAnsi="Times" w:cs="Arial"/>
      <w:b/>
      <w:bCs/>
      <w:kern w:val="32"/>
      <w:szCs w:val="32"/>
    </w:rPr>
  </w:style>
  <w:style w:type="paragraph" w:styleId="Heading2">
    <w:name w:val="heading 2"/>
    <w:basedOn w:val="Normal"/>
    <w:next w:val="Normal"/>
    <w:link w:val="Heading2Char"/>
    <w:qFormat/>
    <w:rsid w:val="00D57E89"/>
    <w:pPr>
      <w:keepNext/>
      <w:spacing w:before="120" w:after="240"/>
      <w:outlineLvl w:val="1"/>
    </w:pPr>
    <w:rPr>
      <w:b/>
      <w:i/>
    </w:rPr>
  </w:style>
  <w:style w:type="paragraph" w:styleId="Heading3">
    <w:name w:val="heading 3"/>
    <w:basedOn w:val="Heading2"/>
    <w:next w:val="Normal"/>
    <w:link w:val="Heading3Char"/>
    <w:qFormat/>
    <w:rsid w:val="00DA18AB"/>
    <w:pPr>
      <w:spacing w:before="0" w:after="120"/>
      <w:outlineLvl w:val="2"/>
    </w:pPr>
    <w:rPr>
      <w:sz w:val="22"/>
    </w:rPr>
  </w:style>
  <w:style w:type="paragraph" w:styleId="Heading4">
    <w:name w:val="heading 4"/>
    <w:basedOn w:val="Heading2"/>
    <w:next w:val="Normal"/>
    <w:link w:val="Heading4Char"/>
    <w:qFormat/>
    <w:rsid w:val="00CC5244"/>
    <w:pPr>
      <w:outlineLvl w:val="3"/>
    </w:pPr>
  </w:style>
  <w:style w:type="paragraph" w:styleId="Heading5">
    <w:name w:val="heading 5"/>
    <w:basedOn w:val="Normal"/>
    <w:next w:val="Normal"/>
    <w:link w:val="Heading5Char"/>
    <w:qFormat/>
    <w:rsid w:val="00BA68A6"/>
    <w:pPr>
      <w:spacing w:before="240" w:after="60"/>
      <w:ind w:left="1440"/>
      <w:outlineLvl w:val="4"/>
    </w:pPr>
    <w:rPr>
      <w:rFonts w:ascii="CG Times" w:hAnsi="CG Times"/>
      <w:b/>
      <w:bCs/>
      <w:i/>
      <w:iCs/>
      <w:sz w:val="26"/>
      <w:szCs w:val="26"/>
    </w:rPr>
  </w:style>
  <w:style w:type="paragraph" w:styleId="Heading6">
    <w:name w:val="heading 6"/>
    <w:basedOn w:val="Normal"/>
    <w:next w:val="Normal"/>
    <w:link w:val="Heading6Char"/>
    <w:qFormat/>
    <w:rsid w:val="00BA68A6"/>
    <w:pPr>
      <w:spacing w:before="240" w:after="60"/>
      <w:ind w:left="1440"/>
      <w:outlineLvl w:val="5"/>
    </w:pPr>
    <w:rPr>
      <w:b/>
      <w:bCs/>
      <w:sz w:val="22"/>
      <w:szCs w:val="22"/>
    </w:rPr>
  </w:style>
  <w:style w:type="paragraph" w:styleId="Heading7">
    <w:name w:val="heading 7"/>
    <w:basedOn w:val="Normal"/>
    <w:next w:val="Normal"/>
    <w:link w:val="Heading7Char"/>
    <w:qFormat/>
    <w:rsid w:val="00BA68A6"/>
    <w:pPr>
      <w:keepNext/>
      <w:tabs>
        <w:tab w:val="left" w:pos="2520"/>
      </w:tabs>
      <w:outlineLvl w:val="6"/>
    </w:pPr>
    <w:rPr>
      <w:i/>
      <w:iCs/>
      <w:szCs w:val="20"/>
    </w:rPr>
  </w:style>
  <w:style w:type="paragraph" w:styleId="Heading8">
    <w:name w:val="heading 8"/>
    <w:basedOn w:val="Normal"/>
    <w:next w:val="Normal"/>
    <w:link w:val="Heading8Char"/>
    <w:unhideWhenUsed/>
    <w:qFormat/>
    <w:rsid w:val="00BA68A6"/>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qFormat/>
    <w:rsid w:val="00BA68A6"/>
    <w:pPr>
      <w:keepNext/>
      <w:tabs>
        <w:tab w:val="left" w:pos="2520"/>
      </w:tabs>
      <w:outlineLvl w:val="8"/>
    </w:pPr>
    <w:rPr>
      <w:b/>
      <w:bCs/>
      <w: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64C19"/>
    <w:rPr>
      <w:rFonts w:ascii="Times" w:eastAsia="Times New Roman" w:hAnsi="Times" w:cs="Arial"/>
      <w:b/>
      <w:bCs/>
      <w:kern w:val="32"/>
      <w:sz w:val="24"/>
      <w:szCs w:val="32"/>
      <w:lang w:eastAsia="en-US"/>
    </w:rPr>
  </w:style>
  <w:style w:type="character" w:customStyle="1" w:styleId="Heading2Char">
    <w:name w:val="Heading 2 Char"/>
    <w:link w:val="Heading2"/>
    <w:rsid w:val="00D57E89"/>
    <w:rPr>
      <w:rFonts w:eastAsia="Times New Roman"/>
      <w:b/>
      <w:i/>
      <w:sz w:val="24"/>
      <w:szCs w:val="24"/>
      <w:lang w:eastAsia="en-US"/>
    </w:rPr>
  </w:style>
  <w:style w:type="paragraph" w:styleId="Footer">
    <w:name w:val="footer"/>
    <w:basedOn w:val="Normal"/>
    <w:link w:val="FooterChar"/>
    <w:uiPriority w:val="99"/>
    <w:rsid w:val="00CB63B7"/>
    <w:pPr>
      <w:tabs>
        <w:tab w:val="center" w:pos="4320"/>
        <w:tab w:val="right" w:pos="8640"/>
      </w:tabs>
    </w:pPr>
  </w:style>
  <w:style w:type="character" w:customStyle="1" w:styleId="FooterChar">
    <w:name w:val="Footer Char"/>
    <w:link w:val="Footer"/>
    <w:uiPriority w:val="99"/>
    <w:rsid w:val="00CB63B7"/>
    <w:rPr>
      <w:rFonts w:eastAsia="Times New Roman" w:cs="Times New Roman"/>
      <w:szCs w:val="24"/>
    </w:rPr>
  </w:style>
  <w:style w:type="character" w:styleId="PageNumber">
    <w:name w:val="page number"/>
    <w:basedOn w:val="DefaultParagraphFont"/>
    <w:rsid w:val="00CB63B7"/>
  </w:style>
  <w:style w:type="paragraph" w:styleId="BodyText">
    <w:name w:val="Body Text"/>
    <w:basedOn w:val="Normal"/>
    <w:link w:val="BodyTextChar"/>
    <w:rsid w:val="00CB63B7"/>
    <w:rPr>
      <w:color w:val="000000"/>
      <w:szCs w:val="20"/>
    </w:rPr>
  </w:style>
  <w:style w:type="character" w:customStyle="1" w:styleId="BodyTextChar">
    <w:name w:val="Body Text Char"/>
    <w:link w:val="BodyText"/>
    <w:rsid w:val="00CB63B7"/>
    <w:rPr>
      <w:rFonts w:eastAsia="Times New Roman" w:cs="Times New Roman"/>
      <w:color w:val="000000"/>
      <w:szCs w:val="20"/>
    </w:rPr>
  </w:style>
  <w:style w:type="character" w:styleId="CommentReference">
    <w:name w:val="annotation reference"/>
    <w:uiPriority w:val="99"/>
    <w:unhideWhenUsed/>
    <w:rsid w:val="00AC2C00"/>
    <w:rPr>
      <w:sz w:val="16"/>
      <w:szCs w:val="16"/>
    </w:rPr>
  </w:style>
  <w:style w:type="paragraph" w:styleId="CommentText">
    <w:name w:val="annotation text"/>
    <w:basedOn w:val="Normal"/>
    <w:link w:val="CommentTextChar"/>
    <w:uiPriority w:val="99"/>
    <w:unhideWhenUsed/>
    <w:rsid w:val="00AC2C00"/>
    <w:rPr>
      <w:sz w:val="20"/>
      <w:szCs w:val="20"/>
    </w:rPr>
  </w:style>
  <w:style w:type="character" w:customStyle="1" w:styleId="CommentTextChar">
    <w:name w:val="Comment Text Char"/>
    <w:link w:val="CommentText"/>
    <w:uiPriority w:val="99"/>
    <w:rsid w:val="00AC2C00"/>
    <w:rPr>
      <w:rFonts w:eastAsia="Times New Roman"/>
    </w:rPr>
  </w:style>
  <w:style w:type="paragraph" w:styleId="CommentSubject">
    <w:name w:val="annotation subject"/>
    <w:basedOn w:val="CommentText"/>
    <w:next w:val="CommentText"/>
    <w:link w:val="CommentSubjectChar"/>
    <w:unhideWhenUsed/>
    <w:rsid w:val="00AC2C00"/>
    <w:rPr>
      <w:b/>
      <w:bCs/>
    </w:rPr>
  </w:style>
  <w:style w:type="character" w:customStyle="1" w:styleId="CommentSubjectChar">
    <w:name w:val="Comment Subject Char"/>
    <w:link w:val="CommentSubject"/>
    <w:rsid w:val="00AC2C00"/>
    <w:rPr>
      <w:rFonts w:eastAsia="Times New Roman"/>
      <w:b/>
      <w:bCs/>
    </w:rPr>
  </w:style>
  <w:style w:type="paragraph" w:styleId="BalloonText">
    <w:name w:val="Balloon Text"/>
    <w:basedOn w:val="Normal"/>
    <w:link w:val="BalloonTextChar"/>
    <w:semiHidden/>
    <w:unhideWhenUsed/>
    <w:rsid w:val="00AC2C00"/>
    <w:rPr>
      <w:rFonts w:ascii="Tahoma" w:hAnsi="Tahoma" w:cs="Tahoma"/>
      <w:sz w:val="16"/>
      <w:szCs w:val="16"/>
    </w:rPr>
  </w:style>
  <w:style w:type="character" w:customStyle="1" w:styleId="BalloonTextChar">
    <w:name w:val="Balloon Text Char"/>
    <w:link w:val="BalloonText"/>
    <w:semiHidden/>
    <w:rsid w:val="00AC2C00"/>
    <w:rPr>
      <w:rFonts w:ascii="Tahoma" w:eastAsia="Times New Roman" w:hAnsi="Tahoma" w:cs="Tahoma"/>
      <w:sz w:val="16"/>
      <w:szCs w:val="16"/>
    </w:rPr>
  </w:style>
  <w:style w:type="paragraph" w:customStyle="1" w:styleId="BulletLAST">
    <w:name w:val="Bullet (LAST)"/>
    <w:next w:val="Normal"/>
    <w:rsid w:val="003B0FE6"/>
    <w:pPr>
      <w:numPr>
        <w:numId w:val="2"/>
      </w:numPr>
      <w:spacing w:after="480"/>
      <w:ind w:right="360" w:hanging="288"/>
      <w:jc w:val="both"/>
    </w:pPr>
    <w:rPr>
      <w:rFonts w:eastAsia="Times New Roman"/>
      <w:sz w:val="24"/>
      <w:lang w:eastAsia="en-US"/>
    </w:rPr>
  </w:style>
  <w:style w:type="paragraph" w:customStyle="1" w:styleId="ParagraphLAST">
    <w:name w:val="Paragraph (LAST)"/>
    <w:basedOn w:val="Normal"/>
    <w:next w:val="Normal"/>
    <w:rsid w:val="003B0FE6"/>
    <w:pPr>
      <w:numPr>
        <w:numId w:val="3"/>
      </w:numPr>
      <w:tabs>
        <w:tab w:val="clear" w:pos="360"/>
        <w:tab w:val="left" w:pos="432"/>
      </w:tabs>
      <w:spacing w:after="240" w:line="480" w:lineRule="auto"/>
      <w:ind w:left="0" w:firstLine="432"/>
      <w:jc w:val="both"/>
    </w:pPr>
    <w:rPr>
      <w:szCs w:val="20"/>
    </w:rPr>
  </w:style>
  <w:style w:type="table" w:styleId="TableGrid">
    <w:name w:val="Table Grid"/>
    <w:basedOn w:val="TableNormal"/>
    <w:uiPriority w:val="59"/>
    <w:rsid w:val="004546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vel4">
    <w:name w:val="Level 4"/>
    <w:rsid w:val="0047329F"/>
    <w:rPr>
      <w:i/>
      <w:iCs/>
      <w:sz w:val="20"/>
      <w:szCs w:val="20"/>
    </w:rPr>
  </w:style>
  <w:style w:type="paragraph" w:customStyle="1" w:styleId="CM10">
    <w:name w:val="CM10"/>
    <w:basedOn w:val="Normal"/>
    <w:next w:val="Normal"/>
    <w:rsid w:val="00E75F7E"/>
    <w:pPr>
      <w:autoSpaceDE w:val="0"/>
      <w:autoSpaceDN w:val="0"/>
      <w:adjustRightInd w:val="0"/>
      <w:spacing w:line="260" w:lineRule="atLeast"/>
    </w:pPr>
    <w:rPr>
      <w:rFonts w:ascii="HOMIJ M+ Helvetica" w:hAnsi="HOMIJ M+ Helvetica"/>
    </w:rPr>
  </w:style>
  <w:style w:type="paragraph" w:styleId="PlainText">
    <w:name w:val="Plain Text"/>
    <w:basedOn w:val="Normal"/>
    <w:link w:val="PlainTextChar"/>
    <w:uiPriority w:val="99"/>
    <w:unhideWhenUsed/>
    <w:rsid w:val="00B00CFA"/>
    <w:rPr>
      <w:rFonts w:ascii="Consolas" w:eastAsia="Calibri" w:hAnsi="Consolas"/>
      <w:sz w:val="21"/>
      <w:szCs w:val="21"/>
    </w:rPr>
  </w:style>
  <w:style w:type="character" w:styleId="Hyperlink">
    <w:name w:val="Hyperlink"/>
    <w:uiPriority w:val="99"/>
    <w:unhideWhenUsed/>
    <w:rsid w:val="003709D2"/>
    <w:rPr>
      <w:color w:val="0000FF"/>
      <w:u w:val="single"/>
    </w:rPr>
  </w:style>
  <w:style w:type="character" w:customStyle="1" w:styleId="EmailStyle361">
    <w:name w:val="EmailStyle361"/>
    <w:semiHidden/>
    <w:rsid w:val="008A31E1"/>
    <w:rPr>
      <w:rFonts w:ascii="Arial" w:hAnsi="Arial" w:cs="Arial"/>
      <w:b w:val="0"/>
      <w:bCs w:val="0"/>
      <w:i w:val="0"/>
      <w:iCs w:val="0"/>
      <w:color w:val="000080"/>
      <w:sz w:val="20"/>
    </w:rPr>
  </w:style>
  <w:style w:type="paragraph" w:styleId="TOC3">
    <w:name w:val="toc 3"/>
    <w:basedOn w:val="Normal"/>
    <w:next w:val="Normal"/>
    <w:uiPriority w:val="39"/>
    <w:rsid w:val="00C24B8D"/>
    <w:pPr>
      <w:ind w:left="400"/>
    </w:pPr>
    <w:rPr>
      <w:i/>
      <w:iCs/>
      <w:sz w:val="20"/>
    </w:rPr>
  </w:style>
  <w:style w:type="paragraph" w:styleId="Header">
    <w:name w:val="header"/>
    <w:basedOn w:val="Normal"/>
    <w:link w:val="HeaderChar"/>
    <w:rsid w:val="00D07850"/>
    <w:pPr>
      <w:tabs>
        <w:tab w:val="center" w:pos="4320"/>
        <w:tab w:val="right" w:pos="8640"/>
      </w:tabs>
    </w:pPr>
  </w:style>
  <w:style w:type="paragraph" w:styleId="TOCHeading">
    <w:name w:val="TOC Heading"/>
    <w:basedOn w:val="Heading1"/>
    <w:next w:val="Normal"/>
    <w:uiPriority w:val="39"/>
    <w:qFormat/>
    <w:rsid w:val="00CC5244"/>
    <w:pPr>
      <w:keepLines/>
      <w:spacing w:before="480" w:line="276" w:lineRule="auto"/>
      <w:outlineLvl w:val="9"/>
    </w:pPr>
    <w:rPr>
      <w:rFonts w:ascii="Cambria" w:hAnsi="Cambria" w:cs="Times New Roman"/>
      <w:color w:val="365F91"/>
      <w:kern w:val="0"/>
      <w:sz w:val="28"/>
      <w:szCs w:val="28"/>
    </w:rPr>
  </w:style>
  <w:style w:type="paragraph" w:styleId="TOC1">
    <w:name w:val="toc 1"/>
    <w:basedOn w:val="Normal"/>
    <w:next w:val="Normal"/>
    <w:autoRedefine/>
    <w:uiPriority w:val="39"/>
    <w:unhideWhenUsed/>
    <w:rsid w:val="00022C17"/>
    <w:pPr>
      <w:tabs>
        <w:tab w:val="left" w:pos="360"/>
        <w:tab w:val="right" w:leader="dot" w:pos="9350"/>
      </w:tabs>
      <w:spacing w:before="240" w:after="120"/>
      <w:ind w:left="720" w:hanging="720"/>
    </w:pPr>
    <w:rPr>
      <w:b/>
      <w:noProof/>
    </w:rPr>
  </w:style>
  <w:style w:type="paragraph" w:styleId="TOC2">
    <w:name w:val="toc 2"/>
    <w:basedOn w:val="Normal"/>
    <w:next w:val="Normal"/>
    <w:autoRedefine/>
    <w:uiPriority w:val="39"/>
    <w:unhideWhenUsed/>
    <w:rsid w:val="00CE10E5"/>
    <w:pPr>
      <w:tabs>
        <w:tab w:val="left" w:pos="720"/>
        <w:tab w:val="right" w:leader="dot" w:pos="9350"/>
      </w:tabs>
      <w:spacing w:after="40"/>
      <w:ind w:left="720" w:hanging="475"/>
    </w:pPr>
  </w:style>
  <w:style w:type="character" w:customStyle="1" w:styleId="Heading3Char">
    <w:name w:val="Heading 3 Char"/>
    <w:link w:val="Heading3"/>
    <w:rsid w:val="00DA18AB"/>
    <w:rPr>
      <w:rFonts w:eastAsia="Times New Roman"/>
      <w:b/>
      <w:i/>
      <w:sz w:val="22"/>
      <w:szCs w:val="24"/>
      <w:lang w:eastAsia="en-US"/>
    </w:rPr>
  </w:style>
  <w:style w:type="character" w:customStyle="1" w:styleId="Heading4Char">
    <w:name w:val="Heading 4 Char"/>
    <w:link w:val="Heading4"/>
    <w:rsid w:val="00CC5244"/>
    <w:rPr>
      <w:rFonts w:eastAsia="Times New Roman"/>
      <w:b/>
      <w:i/>
      <w:sz w:val="24"/>
      <w:szCs w:val="24"/>
    </w:rPr>
  </w:style>
  <w:style w:type="paragraph" w:styleId="Revision">
    <w:name w:val="Revision"/>
    <w:hidden/>
    <w:uiPriority w:val="99"/>
    <w:semiHidden/>
    <w:rsid w:val="00730D67"/>
    <w:rPr>
      <w:rFonts w:eastAsia="Times New Roman"/>
      <w:sz w:val="24"/>
      <w:szCs w:val="24"/>
      <w:lang w:eastAsia="en-US"/>
    </w:rPr>
  </w:style>
  <w:style w:type="paragraph" w:styleId="EndnoteText">
    <w:name w:val="endnote text"/>
    <w:basedOn w:val="Normal"/>
    <w:link w:val="EndnoteTextChar"/>
    <w:uiPriority w:val="99"/>
    <w:semiHidden/>
    <w:unhideWhenUsed/>
    <w:rsid w:val="000B0425"/>
    <w:rPr>
      <w:sz w:val="20"/>
      <w:szCs w:val="20"/>
    </w:rPr>
  </w:style>
  <w:style w:type="character" w:customStyle="1" w:styleId="EndnoteTextChar">
    <w:name w:val="Endnote Text Char"/>
    <w:link w:val="EndnoteText"/>
    <w:uiPriority w:val="99"/>
    <w:semiHidden/>
    <w:rsid w:val="000B0425"/>
    <w:rPr>
      <w:rFonts w:eastAsia="Times New Roman"/>
    </w:rPr>
  </w:style>
  <w:style w:type="character" w:styleId="EndnoteReference">
    <w:name w:val="endnote reference"/>
    <w:uiPriority w:val="99"/>
    <w:semiHidden/>
    <w:unhideWhenUsed/>
    <w:rsid w:val="000B0425"/>
    <w:rPr>
      <w:vertAlign w:val="superscript"/>
    </w:rPr>
  </w:style>
  <w:style w:type="paragraph" w:styleId="FootnoteText">
    <w:name w:val="footnote text"/>
    <w:basedOn w:val="Normal"/>
    <w:link w:val="FootnoteTextChar"/>
    <w:uiPriority w:val="99"/>
    <w:unhideWhenUsed/>
    <w:qFormat/>
    <w:rsid w:val="00BD0B21"/>
    <w:rPr>
      <w:sz w:val="20"/>
      <w:szCs w:val="20"/>
    </w:rPr>
  </w:style>
  <w:style w:type="character" w:customStyle="1" w:styleId="FootnoteTextChar">
    <w:name w:val="Footnote Text Char"/>
    <w:link w:val="FootnoteText"/>
    <w:uiPriority w:val="99"/>
    <w:rsid w:val="00BD0B21"/>
    <w:rPr>
      <w:rFonts w:eastAsia="Times New Roman"/>
      <w:lang w:eastAsia="en-US"/>
    </w:rPr>
  </w:style>
  <w:style w:type="character" w:styleId="FootnoteReference">
    <w:name w:val="footnote reference"/>
    <w:uiPriority w:val="99"/>
    <w:unhideWhenUsed/>
    <w:rsid w:val="000B0425"/>
    <w:rPr>
      <w:vertAlign w:val="superscript"/>
    </w:rPr>
  </w:style>
  <w:style w:type="paragraph" w:styleId="ListParagraph">
    <w:name w:val="List Paragraph"/>
    <w:basedOn w:val="Normal"/>
    <w:uiPriority w:val="34"/>
    <w:qFormat/>
    <w:rsid w:val="003E730D"/>
    <w:pPr>
      <w:numPr>
        <w:numId w:val="12"/>
      </w:numPr>
      <w:spacing w:before="120"/>
    </w:pPr>
    <w:rPr>
      <w:sz w:val="22"/>
      <w:szCs w:val="22"/>
    </w:rPr>
  </w:style>
  <w:style w:type="paragraph" w:customStyle="1" w:styleId="NORCProposalBodySingleSpacing-Garamond">
    <w:name w:val="NORC Proposal Body Single Spacing - Garamond"/>
    <w:basedOn w:val="Normal"/>
    <w:qFormat/>
    <w:rsid w:val="008D5C49"/>
    <w:pPr>
      <w:tabs>
        <w:tab w:val="right" w:pos="9360"/>
      </w:tabs>
      <w:ind w:firstLine="360"/>
    </w:pPr>
    <w:rPr>
      <w:rFonts w:ascii="Garamond" w:hAnsi="Garamond" w:cs="AGaramond-Regular"/>
      <w:sz w:val="20"/>
      <w:szCs w:val="20"/>
    </w:rPr>
  </w:style>
  <w:style w:type="paragraph" w:customStyle="1" w:styleId="NORCTableBodyLeftArial-SED">
    <w:name w:val="NORC Table Body Left (Arial) - SED"/>
    <w:rsid w:val="0014262E"/>
    <w:pPr>
      <w:tabs>
        <w:tab w:val="left" w:pos="144"/>
      </w:tabs>
      <w:spacing w:before="20" w:after="20"/>
    </w:pPr>
    <w:rPr>
      <w:rFonts w:ascii="Arial Narrow" w:eastAsia="Times New Roman" w:hAnsi="Arial Narrow"/>
      <w:color w:val="000000"/>
      <w:sz w:val="17"/>
      <w:lang w:eastAsia="en-US"/>
    </w:rPr>
  </w:style>
  <w:style w:type="paragraph" w:customStyle="1" w:styleId="Default">
    <w:name w:val="Default"/>
    <w:rsid w:val="00AD2C22"/>
    <w:pPr>
      <w:autoSpaceDE w:val="0"/>
      <w:autoSpaceDN w:val="0"/>
      <w:adjustRightInd w:val="0"/>
    </w:pPr>
    <w:rPr>
      <w:rFonts w:ascii="Garamond" w:hAnsi="Garamond" w:cs="Garamond"/>
      <w:color w:val="000000"/>
      <w:sz w:val="24"/>
      <w:szCs w:val="24"/>
      <w:lang w:eastAsia="en-US"/>
    </w:rPr>
  </w:style>
  <w:style w:type="character" w:styleId="FollowedHyperlink">
    <w:name w:val="FollowedHyperlink"/>
    <w:semiHidden/>
    <w:unhideWhenUsed/>
    <w:rsid w:val="00F14555"/>
    <w:rPr>
      <w:color w:val="800080"/>
      <w:u w:val="single"/>
    </w:rPr>
  </w:style>
  <w:style w:type="paragraph" w:customStyle="1" w:styleId="CoverTitle">
    <w:name w:val="Cover Title"/>
    <w:basedOn w:val="Normal"/>
    <w:rsid w:val="00F77356"/>
    <w:pPr>
      <w:jc w:val="center"/>
    </w:pPr>
    <w:rPr>
      <w:rFonts w:ascii="Arial" w:hAnsi="Arial"/>
      <w:b/>
      <w:sz w:val="48"/>
      <w:szCs w:val="20"/>
    </w:rPr>
  </w:style>
  <w:style w:type="character" w:customStyle="1" w:styleId="Heading5Char">
    <w:name w:val="Heading 5 Char"/>
    <w:basedOn w:val="DefaultParagraphFont"/>
    <w:link w:val="Heading5"/>
    <w:rsid w:val="00BA68A6"/>
    <w:rPr>
      <w:rFonts w:ascii="CG Times" w:eastAsia="Times New Roman" w:hAnsi="CG Times"/>
      <w:b/>
      <w:bCs/>
      <w:i/>
      <w:iCs/>
      <w:sz w:val="26"/>
      <w:szCs w:val="26"/>
      <w:lang w:eastAsia="en-US"/>
    </w:rPr>
  </w:style>
  <w:style w:type="character" w:customStyle="1" w:styleId="Heading6Char">
    <w:name w:val="Heading 6 Char"/>
    <w:basedOn w:val="DefaultParagraphFont"/>
    <w:link w:val="Heading6"/>
    <w:rsid w:val="00BA68A6"/>
    <w:rPr>
      <w:rFonts w:eastAsia="Times New Roman"/>
      <w:b/>
      <w:bCs/>
      <w:sz w:val="22"/>
      <w:szCs w:val="22"/>
      <w:lang w:eastAsia="en-US"/>
    </w:rPr>
  </w:style>
  <w:style w:type="character" w:customStyle="1" w:styleId="Heading7Char">
    <w:name w:val="Heading 7 Char"/>
    <w:basedOn w:val="DefaultParagraphFont"/>
    <w:link w:val="Heading7"/>
    <w:rsid w:val="00BA68A6"/>
    <w:rPr>
      <w:rFonts w:eastAsia="Times New Roman"/>
      <w:i/>
      <w:iCs/>
      <w:sz w:val="24"/>
      <w:lang w:eastAsia="en-US"/>
    </w:rPr>
  </w:style>
  <w:style w:type="character" w:customStyle="1" w:styleId="Heading8Char">
    <w:name w:val="Heading 8 Char"/>
    <w:basedOn w:val="DefaultParagraphFont"/>
    <w:link w:val="Heading8"/>
    <w:rsid w:val="00BA68A6"/>
    <w:rPr>
      <w:rFonts w:asciiTheme="majorHAnsi" w:eastAsiaTheme="majorEastAsia" w:hAnsiTheme="majorHAnsi" w:cstheme="majorBidi"/>
      <w:color w:val="404040" w:themeColor="text1" w:themeTint="BF"/>
      <w:lang w:eastAsia="en-US"/>
    </w:rPr>
  </w:style>
  <w:style w:type="character" w:customStyle="1" w:styleId="Heading9Char">
    <w:name w:val="Heading 9 Char"/>
    <w:basedOn w:val="DefaultParagraphFont"/>
    <w:link w:val="Heading9"/>
    <w:rsid w:val="00BA68A6"/>
    <w:rPr>
      <w:rFonts w:eastAsia="Times New Roman"/>
      <w:b/>
      <w:bCs/>
      <w:i/>
      <w:iCs/>
      <w:sz w:val="24"/>
      <w:lang w:eastAsia="en-US"/>
    </w:rPr>
  </w:style>
  <w:style w:type="paragraph" w:customStyle="1" w:styleId="NORCFootnote">
    <w:name w:val="NORC Footnote"/>
    <w:basedOn w:val="Normal"/>
    <w:qFormat/>
    <w:rsid w:val="00BA68A6"/>
    <w:pPr>
      <w:pBdr>
        <w:top w:val="single" w:sz="4" w:space="3" w:color="auto"/>
      </w:pBdr>
      <w:tabs>
        <w:tab w:val="left" w:pos="720"/>
        <w:tab w:val="left" w:pos="1440"/>
        <w:tab w:val="left" w:pos="2880"/>
        <w:tab w:val="left" w:pos="4140"/>
      </w:tabs>
      <w:spacing w:line="360" w:lineRule="auto"/>
    </w:pPr>
    <w:rPr>
      <w:rFonts w:ascii="Arial" w:hAnsi="Arial" w:cs="Arial"/>
      <w:sz w:val="13"/>
      <w:szCs w:val="13"/>
    </w:rPr>
  </w:style>
  <w:style w:type="character" w:customStyle="1" w:styleId="HeaderChar">
    <w:name w:val="Header Char"/>
    <w:basedOn w:val="DefaultParagraphFont"/>
    <w:link w:val="Header"/>
    <w:rsid w:val="00BA68A6"/>
    <w:rPr>
      <w:rFonts w:eastAsia="Times New Roman"/>
      <w:sz w:val="24"/>
      <w:szCs w:val="24"/>
      <w:lang w:eastAsia="en-US"/>
    </w:rPr>
  </w:style>
  <w:style w:type="paragraph" w:customStyle="1" w:styleId="NORCCoverTitle">
    <w:name w:val="NORC Cover Title"/>
    <w:qFormat/>
    <w:rsid w:val="00BA68A6"/>
    <w:pPr>
      <w:spacing w:line="360" w:lineRule="auto"/>
    </w:pPr>
    <w:rPr>
      <w:rFonts w:eastAsia="Times New Roman"/>
      <w:sz w:val="56"/>
      <w:szCs w:val="24"/>
      <w:lang w:eastAsia="en-US"/>
    </w:rPr>
  </w:style>
  <w:style w:type="character" w:customStyle="1" w:styleId="NORCHeading4Inline">
    <w:name w:val="NORC Heading 4 Inline"/>
    <w:basedOn w:val="DefaultParagraphFont"/>
    <w:uiPriority w:val="1"/>
    <w:qFormat/>
    <w:rsid w:val="00BA68A6"/>
    <w:rPr>
      <w:rFonts w:ascii="Arial" w:hAnsi="Arial"/>
      <w:b/>
      <w:color w:val="F3901D"/>
      <w:sz w:val="20"/>
    </w:rPr>
  </w:style>
  <w:style w:type="paragraph" w:styleId="ListBullet">
    <w:name w:val="List Bullet"/>
    <w:basedOn w:val="Normal"/>
    <w:unhideWhenUsed/>
    <w:rsid w:val="00902F05"/>
    <w:pPr>
      <w:numPr>
        <w:numId w:val="4"/>
      </w:numPr>
      <w:spacing w:before="120"/>
    </w:pPr>
    <w:rPr>
      <w:rFonts w:eastAsiaTheme="minorEastAsia"/>
      <w:spacing w:val="-2"/>
      <w:sz w:val="22"/>
      <w:szCs w:val="22"/>
    </w:rPr>
  </w:style>
  <w:style w:type="numbering" w:customStyle="1" w:styleId="bullet1Garamond">
    <w:name w:val="bullet 1 Garamond"/>
    <w:basedOn w:val="NoList"/>
    <w:rsid w:val="00BA68A6"/>
    <w:pPr>
      <w:numPr>
        <w:numId w:val="5"/>
      </w:numPr>
    </w:pPr>
  </w:style>
  <w:style w:type="paragraph" w:customStyle="1" w:styleId="NORCBullet1TimesNewRomanSquare">
    <w:name w:val="NORC Bullet 1 (Times New Roman Square)"/>
    <w:qFormat/>
    <w:rsid w:val="00BA68A6"/>
    <w:pPr>
      <w:numPr>
        <w:numId w:val="7"/>
      </w:numPr>
      <w:spacing w:line="360" w:lineRule="auto"/>
    </w:pPr>
    <w:rPr>
      <w:rFonts w:eastAsia="Times New Roman"/>
      <w:sz w:val="22"/>
      <w:lang w:eastAsia="en-US"/>
    </w:rPr>
  </w:style>
  <w:style w:type="paragraph" w:customStyle="1" w:styleId="NORCBullet1TextTimesNewRoman">
    <w:name w:val="NORC Bullet 1 Text (Times New Roman)"/>
    <w:next w:val="Normal"/>
    <w:qFormat/>
    <w:rsid w:val="00BA68A6"/>
    <w:pPr>
      <w:spacing w:after="120" w:line="360" w:lineRule="auto"/>
      <w:ind w:left="720"/>
    </w:pPr>
    <w:rPr>
      <w:rFonts w:eastAsia="Times New Roman"/>
      <w:sz w:val="22"/>
      <w:lang w:eastAsia="en-US"/>
    </w:rPr>
  </w:style>
  <w:style w:type="paragraph" w:customStyle="1" w:styleId="NORCBullet2TimesNewRomanTriangle">
    <w:name w:val="NORC Bullet 2 (Times New Roman Triangle)"/>
    <w:qFormat/>
    <w:rsid w:val="00BA68A6"/>
    <w:pPr>
      <w:numPr>
        <w:numId w:val="6"/>
      </w:numPr>
      <w:spacing w:line="360" w:lineRule="auto"/>
    </w:pPr>
    <w:rPr>
      <w:rFonts w:eastAsia="Times New Roman"/>
      <w:sz w:val="22"/>
      <w:lang w:eastAsia="en-US"/>
    </w:rPr>
  </w:style>
  <w:style w:type="paragraph" w:customStyle="1" w:styleId="NORCBullet2TextTimesNewRoman">
    <w:name w:val="NORC Bullet 2 Text (Times New Roman)"/>
    <w:next w:val="Normal"/>
    <w:qFormat/>
    <w:rsid w:val="00BA68A6"/>
    <w:pPr>
      <w:spacing w:after="120" w:line="360" w:lineRule="auto"/>
      <w:ind w:left="720" w:firstLine="360"/>
    </w:pPr>
    <w:rPr>
      <w:rFonts w:eastAsia="Times New Roman"/>
      <w:sz w:val="22"/>
      <w:lang w:eastAsia="en-US"/>
    </w:rPr>
  </w:style>
  <w:style w:type="paragraph" w:customStyle="1" w:styleId="NORCBullet3TimesNewRomanRound">
    <w:name w:val="NORC Bullet 3 (Times New Roman Round)"/>
    <w:qFormat/>
    <w:rsid w:val="00BA68A6"/>
    <w:pPr>
      <w:numPr>
        <w:numId w:val="9"/>
      </w:numPr>
      <w:spacing w:line="360" w:lineRule="auto"/>
    </w:pPr>
    <w:rPr>
      <w:rFonts w:eastAsia="Times New Roman"/>
      <w:sz w:val="22"/>
      <w:lang w:eastAsia="en-US"/>
    </w:rPr>
  </w:style>
  <w:style w:type="paragraph" w:customStyle="1" w:styleId="NORCBullet1ArialSquare">
    <w:name w:val="NORC Bullet 1 (Arial Square)"/>
    <w:basedOn w:val="NORCBullet1TimesNewRomanSquare"/>
    <w:qFormat/>
    <w:rsid w:val="00BA68A6"/>
    <w:rPr>
      <w:rFonts w:ascii="Arial" w:hAnsi="Arial"/>
    </w:rPr>
  </w:style>
  <w:style w:type="paragraph" w:customStyle="1" w:styleId="NORCBullet1TextArial">
    <w:name w:val="NORC Bullet 1 Text (Arial)"/>
    <w:basedOn w:val="NORCBullet1TextTimesNewRoman"/>
    <w:qFormat/>
    <w:rsid w:val="00BA68A6"/>
    <w:rPr>
      <w:rFonts w:ascii="Arial" w:hAnsi="Arial"/>
    </w:rPr>
  </w:style>
  <w:style w:type="paragraph" w:customStyle="1" w:styleId="NORCBullet2ArialTriangle">
    <w:name w:val="NORC Bullet 2 (Arial Triangle)"/>
    <w:basedOn w:val="NORCBullet2TimesNewRomanTriangle"/>
    <w:qFormat/>
    <w:rsid w:val="00BA68A6"/>
    <w:rPr>
      <w:rFonts w:ascii="Arial" w:hAnsi="Arial"/>
    </w:rPr>
  </w:style>
  <w:style w:type="paragraph" w:customStyle="1" w:styleId="NORCBullet2TextArial">
    <w:name w:val="NORC Bullet 2 Text (Arial)"/>
    <w:basedOn w:val="NORCBullet2TextTimesNewRoman"/>
    <w:qFormat/>
    <w:rsid w:val="00BA68A6"/>
    <w:rPr>
      <w:rFonts w:ascii="Arial" w:hAnsi="Arial"/>
    </w:rPr>
  </w:style>
  <w:style w:type="paragraph" w:customStyle="1" w:styleId="NORCBullet3ArialRound">
    <w:name w:val="NORC Bullet 3 (Arial Round)"/>
    <w:basedOn w:val="NORCBullet3TimesNewRomanRound"/>
    <w:qFormat/>
    <w:rsid w:val="00BA68A6"/>
    <w:pPr>
      <w:numPr>
        <w:numId w:val="8"/>
      </w:numPr>
    </w:pPr>
    <w:rPr>
      <w:rFonts w:ascii="Arial" w:hAnsi="Arial"/>
    </w:rPr>
  </w:style>
  <w:style w:type="character" w:styleId="HTMLAcronym">
    <w:name w:val="HTML Acronym"/>
    <w:basedOn w:val="DefaultParagraphFont"/>
    <w:uiPriority w:val="99"/>
    <w:unhideWhenUsed/>
    <w:rsid w:val="00BA68A6"/>
  </w:style>
  <w:style w:type="paragraph" w:customStyle="1" w:styleId="ExhibitCaption">
    <w:name w:val="Exhibit Caption"/>
    <w:qFormat/>
    <w:rsid w:val="00BA68A6"/>
    <w:pPr>
      <w:keepNext/>
      <w:pBdr>
        <w:top w:val="single" w:sz="4" w:space="5" w:color="BFB6AC"/>
        <w:bottom w:val="single" w:sz="4" w:space="3" w:color="BFB6AC"/>
      </w:pBdr>
      <w:tabs>
        <w:tab w:val="left" w:pos="1224"/>
      </w:tabs>
      <w:spacing w:after="240"/>
    </w:pPr>
    <w:rPr>
      <w:rFonts w:ascii="Arial" w:eastAsia="Times New Roman" w:hAnsi="Arial" w:cs="Arial"/>
      <w:color w:val="000000" w:themeColor="text1"/>
      <w:sz w:val="24"/>
      <w:szCs w:val="24"/>
      <w:lang w:eastAsia="en-US"/>
    </w:rPr>
  </w:style>
  <w:style w:type="paragraph" w:styleId="Title">
    <w:name w:val="Title"/>
    <w:basedOn w:val="Normal"/>
    <w:next w:val="Normal"/>
    <w:link w:val="TitleChar"/>
    <w:qFormat/>
    <w:rsid w:val="00AC2355"/>
    <w:pPr>
      <w:jc w:val="center"/>
    </w:pPr>
    <w:rPr>
      <w:b/>
      <w:sz w:val="56"/>
      <w:szCs w:val="56"/>
    </w:rPr>
  </w:style>
  <w:style w:type="character" w:customStyle="1" w:styleId="TitleChar">
    <w:name w:val="Title Char"/>
    <w:basedOn w:val="DefaultParagraphFont"/>
    <w:link w:val="Title"/>
    <w:rsid w:val="00AC2355"/>
    <w:rPr>
      <w:rFonts w:eastAsia="Times New Roman"/>
      <w:b/>
      <w:sz w:val="56"/>
      <w:szCs w:val="56"/>
      <w:lang w:eastAsia="en-US"/>
    </w:rPr>
  </w:style>
  <w:style w:type="paragraph" w:styleId="TableofFigures">
    <w:name w:val="table of figures"/>
    <w:basedOn w:val="Normal"/>
    <w:next w:val="Normal"/>
    <w:uiPriority w:val="99"/>
    <w:unhideWhenUsed/>
    <w:rsid w:val="00BA68A6"/>
    <w:pPr>
      <w:tabs>
        <w:tab w:val="left" w:pos="1080"/>
        <w:tab w:val="right" w:leader="dot" w:pos="9360"/>
      </w:tabs>
      <w:spacing w:after="180"/>
      <w:ind w:left="1080" w:hanging="1080"/>
    </w:pPr>
    <w:rPr>
      <w:rFonts w:ascii="Arial" w:hAnsi="Arial" w:eastAsiaTheme="minorEastAsia"/>
      <w:sz w:val="20"/>
    </w:rPr>
  </w:style>
  <w:style w:type="paragraph" w:customStyle="1" w:styleId="NORCBullet3TextTimesNewRoman">
    <w:name w:val="NORC Bullet 3 Text (Times New Roman)"/>
    <w:basedOn w:val="NORCBullet3TimesNewRomanRound"/>
    <w:qFormat/>
    <w:rsid w:val="00BA68A6"/>
    <w:pPr>
      <w:numPr>
        <w:numId w:val="0"/>
      </w:numPr>
      <w:ind w:left="1440"/>
    </w:pPr>
  </w:style>
  <w:style w:type="paragraph" w:customStyle="1" w:styleId="NORCBullet3TextArial">
    <w:name w:val="NORC Bullet 3 Text (Arial)"/>
    <w:basedOn w:val="NORCBullet3ArialRound"/>
    <w:qFormat/>
    <w:rsid w:val="00BA68A6"/>
    <w:pPr>
      <w:numPr>
        <w:numId w:val="0"/>
      </w:numPr>
      <w:ind w:left="1440"/>
    </w:pPr>
  </w:style>
  <w:style w:type="paragraph" w:customStyle="1" w:styleId="NORCCoverVolume">
    <w:name w:val="NORC Cover Volume"/>
    <w:next w:val="Title"/>
    <w:qFormat/>
    <w:rsid w:val="00BA68A6"/>
    <w:pPr>
      <w:spacing w:after="800"/>
    </w:pPr>
    <w:rPr>
      <w:rFonts w:ascii="Arial" w:eastAsia="Times New Roman" w:hAnsi="Arial"/>
      <w:b/>
      <w:caps/>
      <w:color w:val="FFFFFF"/>
      <w:spacing w:val="94"/>
      <w:sz w:val="36"/>
      <w:szCs w:val="24"/>
      <w:lang w:eastAsia="en-US"/>
    </w:rPr>
  </w:style>
  <w:style w:type="paragraph" w:customStyle="1" w:styleId="NORCCoverAddressInformation">
    <w:name w:val="NORC Cover Address Information"/>
    <w:qFormat/>
    <w:rsid w:val="00BA68A6"/>
    <w:pPr>
      <w:autoSpaceDE w:val="0"/>
      <w:autoSpaceDN w:val="0"/>
      <w:adjustRightInd w:val="0"/>
      <w:spacing w:after="60"/>
      <w:textAlignment w:val="center"/>
    </w:pPr>
    <w:rPr>
      <w:rFonts w:eastAsia="Times New Roman" w:cs="AGaramond-Regular"/>
      <w:color w:val="000000"/>
      <w:sz w:val="24"/>
      <w:szCs w:val="22"/>
      <w:lang w:eastAsia="en-US" w:bidi="en-US"/>
    </w:rPr>
  </w:style>
  <w:style w:type="paragraph" w:customStyle="1" w:styleId="NORCPresentedto">
    <w:name w:val="NORC Presented to"/>
    <w:qFormat/>
    <w:rsid w:val="00BA68A6"/>
    <w:pPr>
      <w:widowControl w:val="0"/>
      <w:autoSpaceDE w:val="0"/>
      <w:autoSpaceDN w:val="0"/>
      <w:adjustRightInd w:val="0"/>
      <w:spacing w:after="60"/>
      <w:textAlignment w:val="center"/>
    </w:pPr>
    <w:rPr>
      <w:rFonts w:ascii="Arial" w:eastAsia="Times New Roman" w:hAnsi="Arial" w:cs="ArialMT"/>
      <w:caps/>
      <w:color w:val="FFFFFF"/>
      <w:spacing w:val="10"/>
      <w:sz w:val="24"/>
      <w:szCs w:val="24"/>
      <w:lang w:eastAsia="en-US" w:bidi="en-US"/>
    </w:rPr>
  </w:style>
  <w:style w:type="paragraph" w:customStyle="1" w:styleId="NORCCoverDate">
    <w:name w:val="NORC Cover Date"/>
    <w:qFormat/>
    <w:rsid w:val="00BA68A6"/>
    <w:pPr>
      <w:spacing w:after="60"/>
    </w:pPr>
    <w:rPr>
      <w:rFonts w:ascii="Arial" w:eastAsia="Times New Roman" w:hAnsi="Arial" w:cs="ArialMT"/>
      <w:caps/>
      <w:color w:val="000000"/>
      <w:spacing w:val="10"/>
      <w:sz w:val="22"/>
      <w:szCs w:val="24"/>
      <w:lang w:eastAsia="en-US" w:bidi="en-US"/>
    </w:rPr>
  </w:style>
  <w:style w:type="character" w:customStyle="1" w:styleId="ExhibitLabelOrange">
    <w:name w:val="Exhibit Label Orange"/>
    <w:basedOn w:val="DefaultParagraphFont"/>
    <w:uiPriority w:val="1"/>
    <w:qFormat/>
    <w:rsid w:val="00BA68A6"/>
    <w:rPr>
      <w:b/>
      <w:color w:val="F3901D"/>
    </w:rPr>
  </w:style>
  <w:style w:type="paragraph" w:customStyle="1" w:styleId="TableHeader1">
    <w:name w:val="Table Header 1"/>
    <w:basedOn w:val="Normal"/>
    <w:qFormat/>
    <w:rsid w:val="00BA68A6"/>
    <w:pPr>
      <w:jc w:val="center"/>
    </w:pPr>
    <w:rPr>
      <w:rFonts w:ascii="Arial" w:hAnsi="Arial" w:eastAsiaTheme="minorEastAsia" w:cs="Arial"/>
      <w:b/>
      <w:sz w:val="22"/>
      <w:szCs w:val="22"/>
    </w:rPr>
  </w:style>
  <w:style w:type="paragraph" w:customStyle="1" w:styleId="TableHeader2">
    <w:name w:val="Table Header 2"/>
    <w:basedOn w:val="Normal"/>
    <w:qFormat/>
    <w:rsid w:val="00BA68A6"/>
    <w:rPr>
      <w:rFonts w:ascii="Arial" w:hAnsi="Arial" w:eastAsiaTheme="minorEastAsia" w:cs="Arial"/>
      <w:b/>
      <w:sz w:val="18"/>
      <w:szCs w:val="18"/>
    </w:rPr>
  </w:style>
  <w:style w:type="paragraph" w:customStyle="1" w:styleId="TableBodyCopy">
    <w:name w:val="Table Body Copy"/>
    <w:basedOn w:val="Normal"/>
    <w:qFormat/>
    <w:rsid w:val="00BA68A6"/>
    <w:pPr>
      <w:jc w:val="center"/>
    </w:pPr>
    <w:rPr>
      <w:rFonts w:ascii="Arial" w:hAnsi="Arial" w:eastAsiaTheme="minorEastAsia" w:cs="Arial"/>
      <w:sz w:val="18"/>
      <w:szCs w:val="18"/>
    </w:rPr>
  </w:style>
  <w:style w:type="paragraph" w:customStyle="1" w:styleId="NORCExhibitCaption">
    <w:name w:val="NORC Exhibit Caption"/>
    <w:basedOn w:val="ExhibitCaption"/>
    <w:qFormat/>
    <w:rsid w:val="00BA68A6"/>
  </w:style>
  <w:style w:type="paragraph" w:customStyle="1" w:styleId="NORCTableSubheadCenterArialBold">
    <w:name w:val="NORC Table Subhead Center  (Arial Bold)"/>
    <w:rsid w:val="00BA68A6"/>
    <w:pPr>
      <w:keepNext/>
      <w:spacing w:before="80" w:after="80"/>
      <w:jc w:val="center"/>
    </w:pPr>
    <w:rPr>
      <w:rFonts w:ascii="Arial" w:eastAsia="Times New Roman" w:hAnsi="Arial"/>
      <w:b/>
      <w:color w:val="000000"/>
      <w:lang w:eastAsia="en-US"/>
    </w:rPr>
  </w:style>
  <w:style w:type="paragraph" w:customStyle="1" w:styleId="NORCTableBodyLeftArial10pt">
    <w:name w:val="NORC Table Body Left (Arial 10pt)"/>
    <w:rsid w:val="00BA68A6"/>
    <w:pPr>
      <w:spacing w:before="40" w:after="40"/>
    </w:pPr>
    <w:rPr>
      <w:rFonts w:ascii="Arial" w:eastAsia="Times New Roman" w:hAnsi="Arial"/>
      <w:color w:val="000000"/>
      <w:lang w:eastAsia="en-US"/>
    </w:rPr>
  </w:style>
  <w:style w:type="character" w:customStyle="1" w:styleId="NORCExhibitCaptionOrangeOnly">
    <w:name w:val="NORC Exhibit Caption Orange Only"/>
    <w:basedOn w:val="DefaultParagraphFont"/>
    <w:qFormat/>
    <w:rsid w:val="00BA68A6"/>
    <w:rPr>
      <w:rFonts w:ascii="Arial" w:hAnsi="Arial"/>
      <w:b/>
      <w:color w:val="F3901D"/>
      <w:sz w:val="24"/>
    </w:rPr>
  </w:style>
  <w:style w:type="paragraph" w:customStyle="1" w:styleId="NORCTableBody">
    <w:name w:val="NORC Table Body"/>
    <w:basedOn w:val="Normal"/>
    <w:qFormat/>
    <w:rsid w:val="00BA68A6"/>
    <w:pPr>
      <w:spacing w:before="40" w:after="40"/>
      <w:jc w:val="center"/>
    </w:pPr>
    <w:rPr>
      <w:rFonts w:ascii="Arial" w:hAnsi="Arial" w:eastAsiaTheme="minorEastAsia"/>
      <w:sz w:val="20"/>
    </w:rPr>
  </w:style>
  <w:style w:type="paragraph" w:customStyle="1" w:styleId="NORCTableHeader1">
    <w:name w:val="NORC Table Header 1"/>
    <w:basedOn w:val="Normal"/>
    <w:qFormat/>
    <w:rsid w:val="00BA68A6"/>
    <w:pPr>
      <w:spacing w:before="60" w:after="60"/>
      <w:jc w:val="center"/>
    </w:pPr>
    <w:rPr>
      <w:rFonts w:ascii="Arial" w:hAnsi="Arial" w:eastAsiaTheme="minorEastAsia" w:cs="Arial"/>
      <w:b/>
      <w:sz w:val="20"/>
      <w:szCs w:val="20"/>
    </w:rPr>
  </w:style>
  <w:style w:type="character" w:customStyle="1" w:styleId="In-LineHeading">
    <w:name w:val="In-Line Heading"/>
    <w:basedOn w:val="DefaultParagraphFont"/>
    <w:rsid w:val="00BA68A6"/>
    <w:rPr>
      <w:rFonts w:ascii="Arial Narrow" w:hAnsi="Arial Narrow"/>
      <w:b/>
      <w:smallCaps/>
    </w:rPr>
  </w:style>
  <w:style w:type="paragraph" w:styleId="List">
    <w:name w:val="List"/>
    <w:basedOn w:val="Normal"/>
    <w:rsid w:val="00BA68A6"/>
    <w:pPr>
      <w:spacing w:after="240"/>
      <w:ind w:left="360" w:hanging="360"/>
    </w:pPr>
    <w:rPr>
      <w:rFonts w:ascii="Garamond" w:hAnsi="Garamond"/>
    </w:rPr>
  </w:style>
  <w:style w:type="character" w:styleId="Strong">
    <w:name w:val="Strong"/>
    <w:basedOn w:val="DefaultParagraphFont"/>
    <w:qFormat/>
    <w:rsid w:val="00BA68A6"/>
    <w:rPr>
      <w:b/>
      <w:bCs/>
    </w:rPr>
  </w:style>
  <w:style w:type="paragraph" w:customStyle="1" w:styleId="Style1">
    <w:name w:val="Style1"/>
    <w:basedOn w:val="Normal"/>
    <w:rsid w:val="00BA68A6"/>
    <w:pPr>
      <w:numPr>
        <w:numId w:val="10"/>
      </w:numPr>
    </w:pPr>
    <w:rPr>
      <w:rFonts w:ascii="Garamond" w:hAnsi="Garamond"/>
    </w:rPr>
  </w:style>
  <w:style w:type="paragraph" w:customStyle="1" w:styleId="NormalArial">
    <w:name w:val="Normal + Arial"/>
    <w:aliases w:val="Bold"/>
    <w:basedOn w:val="BodyText"/>
    <w:rsid w:val="00BA68A6"/>
    <w:pPr>
      <w:spacing w:after="160" w:line="276" w:lineRule="auto"/>
    </w:pPr>
    <w:rPr>
      <w:rFonts w:ascii="Garamond" w:hAnsi="Garamond"/>
      <w:color w:val="auto"/>
      <w:szCs w:val="24"/>
    </w:rPr>
  </w:style>
  <w:style w:type="paragraph" w:customStyle="1" w:styleId="NormalTNR">
    <w:name w:val="Normal TNR"/>
    <w:basedOn w:val="Normal"/>
    <w:link w:val="NormalTNRChar"/>
    <w:qFormat/>
    <w:rsid w:val="00BA68A6"/>
    <w:rPr>
      <w:rFonts w:eastAsiaTheme="minorHAnsi"/>
    </w:rPr>
  </w:style>
  <w:style w:type="character" w:customStyle="1" w:styleId="NormalTNRChar">
    <w:name w:val="Normal TNR Char"/>
    <w:basedOn w:val="DefaultParagraphFont"/>
    <w:link w:val="NormalTNR"/>
    <w:rsid w:val="00BA68A6"/>
    <w:rPr>
      <w:rFonts w:eastAsiaTheme="minorHAnsi"/>
      <w:sz w:val="24"/>
      <w:szCs w:val="24"/>
      <w:lang w:eastAsia="en-US"/>
    </w:rPr>
  </w:style>
  <w:style w:type="paragraph" w:customStyle="1" w:styleId="NORCProposoalBody12ptGaramond">
    <w:name w:val="NORC Proposoal Body 12pt Garamond"/>
    <w:basedOn w:val="Normal"/>
    <w:qFormat/>
    <w:rsid w:val="00BA68A6"/>
    <w:pPr>
      <w:keepLines/>
      <w:tabs>
        <w:tab w:val="right" w:pos="9360"/>
      </w:tabs>
      <w:spacing w:after="240"/>
    </w:pPr>
    <w:rPr>
      <w:rFonts w:ascii="Garamond" w:hAnsi="Garamond" w:cs="AGaramond-Regular"/>
      <w:noProof/>
      <w:szCs w:val="20"/>
    </w:rPr>
  </w:style>
  <w:style w:type="paragraph" w:customStyle="1" w:styleId="NORCTableBodyLeftArial">
    <w:name w:val="NORC Table Body Left (Arial)"/>
    <w:rsid w:val="00BA68A6"/>
    <w:pPr>
      <w:tabs>
        <w:tab w:val="left" w:pos="144"/>
      </w:tabs>
      <w:spacing w:before="20" w:after="20"/>
    </w:pPr>
    <w:rPr>
      <w:rFonts w:ascii="Arial" w:eastAsia="Times New Roman" w:hAnsi="Arial"/>
      <w:color w:val="000000"/>
      <w:sz w:val="17"/>
      <w:lang w:eastAsia="en-US"/>
    </w:rPr>
  </w:style>
  <w:style w:type="paragraph" w:customStyle="1" w:styleId="NORCProposalBody10potGaramond">
    <w:name w:val="NORC Proposal Body 10pot Garamond"/>
    <w:basedOn w:val="Normal"/>
    <w:qFormat/>
    <w:rsid w:val="00BA68A6"/>
    <w:pPr>
      <w:tabs>
        <w:tab w:val="right" w:pos="9360"/>
      </w:tabs>
      <w:ind w:right="-72" w:firstLine="360"/>
    </w:pPr>
    <w:rPr>
      <w:rFonts w:ascii="Garamond" w:hAnsi="Garamond" w:cs="AGaramond-Regular"/>
      <w:noProof/>
      <w:sz w:val="20"/>
      <w:szCs w:val="20"/>
    </w:rPr>
  </w:style>
  <w:style w:type="character" w:customStyle="1" w:styleId="NORCExhibitCaptionGreenOnly">
    <w:name w:val="NORC Exhibit Caption Green Only"/>
    <w:qFormat/>
    <w:rsid w:val="00BA68A6"/>
    <w:rPr>
      <w:rFonts w:ascii="Arial" w:hAnsi="Arial"/>
      <w:b/>
      <w:color w:val="72A492"/>
      <w:sz w:val="20"/>
    </w:rPr>
  </w:style>
  <w:style w:type="paragraph" w:styleId="BodyText2">
    <w:name w:val="Body Text 2"/>
    <w:basedOn w:val="Normal"/>
    <w:link w:val="BodyText2Char"/>
    <w:rsid w:val="00BA68A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jc w:val="both"/>
    </w:pPr>
    <w:rPr>
      <w:szCs w:val="20"/>
    </w:rPr>
  </w:style>
  <w:style w:type="character" w:customStyle="1" w:styleId="BodyText2Char">
    <w:name w:val="Body Text 2 Char"/>
    <w:basedOn w:val="DefaultParagraphFont"/>
    <w:link w:val="BodyText2"/>
    <w:rsid w:val="00BA68A6"/>
    <w:rPr>
      <w:rFonts w:eastAsia="Times New Roman"/>
      <w:sz w:val="24"/>
      <w:lang w:eastAsia="en-US"/>
    </w:rPr>
  </w:style>
  <w:style w:type="character" w:customStyle="1" w:styleId="PlainTextChar">
    <w:name w:val="Plain Text Char"/>
    <w:basedOn w:val="DefaultParagraphFont"/>
    <w:link w:val="PlainText"/>
    <w:uiPriority w:val="99"/>
    <w:rsid w:val="00BA68A6"/>
    <w:rPr>
      <w:rFonts w:ascii="Consolas" w:hAnsi="Consolas"/>
      <w:sz w:val="21"/>
      <w:szCs w:val="21"/>
      <w:lang w:eastAsia="en-US"/>
    </w:rPr>
  </w:style>
  <w:style w:type="paragraph" w:customStyle="1" w:styleId="qry">
    <w:name w:val="qry"/>
    <w:basedOn w:val="Normal"/>
    <w:rsid w:val="00BA68A6"/>
    <w:pPr>
      <w:spacing w:before="100" w:beforeAutospacing="1" w:after="100" w:afterAutospacing="1"/>
    </w:pPr>
    <w:rPr>
      <w:b/>
      <w:bCs/>
    </w:rPr>
  </w:style>
  <w:style w:type="paragraph" w:customStyle="1" w:styleId="ans">
    <w:name w:val="ans"/>
    <w:basedOn w:val="Normal"/>
    <w:rsid w:val="00BA68A6"/>
    <w:pPr>
      <w:spacing w:before="100" w:beforeAutospacing="1" w:after="100" w:afterAutospacing="1"/>
    </w:pPr>
  </w:style>
  <w:style w:type="paragraph" w:customStyle="1" w:styleId="Explanation">
    <w:name w:val="Explanation"/>
    <w:basedOn w:val="Normal"/>
    <w:rsid w:val="00BA68A6"/>
    <w:pPr>
      <w:widowControl w:val="0"/>
      <w:ind w:left="720"/>
    </w:pPr>
    <w:rPr>
      <w:snapToGrid w:val="0"/>
      <w:sz w:val="22"/>
      <w:szCs w:val="20"/>
    </w:rPr>
  </w:style>
  <w:style w:type="paragraph" w:styleId="NormalWeb">
    <w:name w:val="Normal (Web)"/>
    <w:basedOn w:val="Normal"/>
    <w:rsid w:val="00BA68A6"/>
    <w:pPr>
      <w:spacing w:before="100" w:beforeAutospacing="1" w:after="100" w:afterAutospacing="1"/>
    </w:pPr>
  </w:style>
  <w:style w:type="paragraph" w:styleId="IntenseQuote">
    <w:name w:val="Intense Quote"/>
    <w:basedOn w:val="Normal"/>
    <w:next w:val="Normal"/>
    <w:link w:val="IntenseQuoteChar"/>
    <w:uiPriority w:val="30"/>
    <w:qFormat/>
    <w:rsid w:val="00BA68A6"/>
    <w:pPr>
      <w:pBdr>
        <w:bottom w:val="single" w:sz="4" w:space="4" w:color="4F81BD" w:themeColor="accent1"/>
      </w:pBdr>
      <w:spacing w:before="200" w:after="280"/>
      <w:ind w:left="936" w:right="936"/>
    </w:pPr>
    <w:rPr>
      <w:rFonts w:ascii="Garamond" w:hAnsi="Garamond"/>
      <w:b/>
      <w:bCs/>
      <w:i/>
      <w:iCs/>
      <w:color w:val="4F81BD" w:themeColor="accent1"/>
    </w:rPr>
  </w:style>
  <w:style w:type="character" w:customStyle="1" w:styleId="IntenseQuoteChar">
    <w:name w:val="Intense Quote Char"/>
    <w:basedOn w:val="DefaultParagraphFont"/>
    <w:link w:val="IntenseQuote"/>
    <w:uiPriority w:val="30"/>
    <w:rsid w:val="00BA68A6"/>
    <w:rPr>
      <w:rFonts w:ascii="Garamond" w:eastAsia="Times New Roman" w:hAnsi="Garamond"/>
      <w:b/>
      <w:bCs/>
      <w:i/>
      <w:iCs/>
      <w:color w:val="4F81BD" w:themeColor="accent1"/>
      <w:sz w:val="24"/>
      <w:szCs w:val="24"/>
      <w:lang w:eastAsia="en-US"/>
    </w:rPr>
  </w:style>
  <w:style w:type="character" w:styleId="IntenseEmphasis">
    <w:name w:val="Intense Emphasis"/>
    <w:basedOn w:val="DefaultParagraphFont"/>
    <w:uiPriority w:val="21"/>
    <w:qFormat/>
    <w:rsid w:val="00BA68A6"/>
    <w:rPr>
      <w:b/>
      <w:bCs/>
      <w:i/>
      <w:iCs/>
      <w:color w:val="4F81BD" w:themeColor="accent1"/>
    </w:rPr>
  </w:style>
  <w:style w:type="paragraph" w:styleId="Subtitle">
    <w:name w:val="Subtitle"/>
    <w:basedOn w:val="Normal"/>
    <w:next w:val="Normal"/>
    <w:link w:val="SubtitleChar"/>
    <w:qFormat/>
    <w:rsid w:val="00BA68A6"/>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BA68A6"/>
    <w:rPr>
      <w:rFonts w:asciiTheme="majorHAnsi" w:eastAsiaTheme="majorEastAsia" w:hAnsiTheme="majorHAnsi" w:cstheme="majorBidi"/>
      <w:i/>
      <w:iCs/>
      <w:color w:val="4F81BD" w:themeColor="accent1"/>
      <w:spacing w:val="15"/>
      <w:sz w:val="24"/>
      <w:szCs w:val="24"/>
      <w:lang w:eastAsia="en-US"/>
    </w:rPr>
  </w:style>
  <w:style w:type="paragraph" w:styleId="TOC8">
    <w:name w:val="toc 8"/>
    <w:basedOn w:val="Normal"/>
    <w:next w:val="Normal"/>
    <w:semiHidden/>
    <w:rsid w:val="00BA68A6"/>
    <w:pPr>
      <w:tabs>
        <w:tab w:val="right" w:pos="9360"/>
      </w:tabs>
      <w:ind w:left="720" w:hanging="720"/>
    </w:pPr>
    <w:rPr>
      <w:rFonts w:ascii="CG Times" w:hAnsi="CG Times"/>
      <w:szCs w:val="20"/>
    </w:rPr>
  </w:style>
  <w:style w:type="paragraph" w:styleId="TOC7">
    <w:name w:val="toc 7"/>
    <w:basedOn w:val="Normal"/>
    <w:next w:val="Normal"/>
    <w:semiHidden/>
    <w:rsid w:val="00BA68A6"/>
    <w:pPr>
      <w:ind w:left="720" w:hanging="720"/>
    </w:pPr>
    <w:rPr>
      <w:rFonts w:ascii="CG Times" w:hAnsi="CG Times"/>
      <w:szCs w:val="20"/>
    </w:rPr>
  </w:style>
  <w:style w:type="paragraph" w:styleId="TOC6">
    <w:name w:val="toc 6"/>
    <w:basedOn w:val="Normal"/>
    <w:next w:val="Normal"/>
    <w:semiHidden/>
    <w:rsid w:val="00BA68A6"/>
    <w:pPr>
      <w:tabs>
        <w:tab w:val="right" w:pos="9360"/>
      </w:tabs>
      <w:ind w:left="720" w:hanging="720"/>
    </w:pPr>
    <w:rPr>
      <w:rFonts w:ascii="CG Times" w:hAnsi="CG Times"/>
      <w:szCs w:val="20"/>
    </w:rPr>
  </w:style>
  <w:style w:type="paragraph" w:styleId="TOC5">
    <w:name w:val="toc 5"/>
    <w:basedOn w:val="Normal"/>
    <w:next w:val="Normal"/>
    <w:semiHidden/>
    <w:rsid w:val="00BA68A6"/>
    <w:pPr>
      <w:tabs>
        <w:tab w:val="right" w:leader="dot" w:pos="9360"/>
      </w:tabs>
      <w:ind w:left="3600" w:right="720" w:hanging="720"/>
    </w:pPr>
    <w:rPr>
      <w:rFonts w:ascii="CG Times" w:hAnsi="CG Times"/>
      <w:szCs w:val="20"/>
    </w:rPr>
  </w:style>
  <w:style w:type="paragraph" w:styleId="TOC4">
    <w:name w:val="toc 4"/>
    <w:basedOn w:val="Normal"/>
    <w:next w:val="Normal"/>
    <w:semiHidden/>
    <w:rsid w:val="00BA68A6"/>
    <w:pPr>
      <w:tabs>
        <w:tab w:val="right" w:leader="dot" w:pos="9360"/>
      </w:tabs>
      <w:ind w:left="2880" w:right="720" w:hanging="720"/>
    </w:pPr>
    <w:rPr>
      <w:rFonts w:ascii="CG Times" w:hAnsi="CG Times"/>
      <w:szCs w:val="20"/>
    </w:rPr>
  </w:style>
  <w:style w:type="paragraph" w:styleId="Index2">
    <w:name w:val="index 2"/>
    <w:basedOn w:val="Normal"/>
    <w:next w:val="Normal"/>
    <w:semiHidden/>
    <w:rsid w:val="00BA68A6"/>
    <w:pPr>
      <w:tabs>
        <w:tab w:val="right" w:leader="dot" w:pos="9360"/>
      </w:tabs>
      <w:ind w:left="1440" w:right="720" w:hanging="720"/>
    </w:pPr>
    <w:rPr>
      <w:rFonts w:ascii="CG Times" w:hAnsi="CG Times"/>
      <w:szCs w:val="20"/>
    </w:rPr>
  </w:style>
  <w:style w:type="paragraph" w:styleId="Index1">
    <w:name w:val="index 1"/>
    <w:basedOn w:val="Normal"/>
    <w:next w:val="Normal"/>
    <w:semiHidden/>
    <w:rsid w:val="00BA68A6"/>
    <w:pPr>
      <w:tabs>
        <w:tab w:val="right" w:leader="dot" w:pos="9360"/>
      </w:tabs>
      <w:ind w:left="1440" w:right="720" w:hanging="1440"/>
    </w:pPr>
    <w:rPr>
      <w:rFonts w:ascii="CG Times" w:hAnsi="CG Times"/>
      <w:szCs w:val="20"/>
    </w:rPr>
  </w:style>
  <w:style w:type="paragraph" w:customStyle="1" w:styleId="EndnoteText1">
    <w:name w:val="Endnote Text1"/>
    <w:basedOn w:val="Normal"/>
    <w:rsid w:val="00BA68A6"/>
    <w:pPr>
      <w:ind w:left="1440"/>
    </w:pPr>
    <w:rPr>
      <w:rFonts w:ascii="CG Times" w:hAnsi="CG Times"/>
      <w:szCs w:val="20"/>
    </w:rPr>
  </w:style>
  <w:style w:type="paragraph" w:customStyle="1" w:styleId="TOC91">
    <w:name w:val="TOC 91"/>
    <w:basedOn w:val="Normal"/>
    <w:next w:val="Normal"/>
    <w:rsid w:val="00BA68A6"/>
    <w:pPr>
      <w:tabs>
        <w:tab w:val="right" w:leader="dot" w:pos="9360"/>
      </w:tabs>
      <w:ind w:left="720" w:hanging="720"/>
    </w:pPr>
    <w:rPr>
      <w:rFonts w:ascii="CG Times" w:hAnsi="CG Times"/>
      <w:szCs w:val="20"/>
    </w:rPr>
  </w:style>
  <w:style w:type="paragraph" w:customStyle="1" w:styleId="TOAHeading1">
    <w:name w:val="TOA Heading1"/>
    <w:basedOn w:val="Normal"/>
    <w:next w:val="Normal"/>
    <w:rsid w:val="00BA68A6"/>
    <w:pPr>
      <w:tabs>
        <w:tab w:val="right" w:pos="9360"/>
      </w:tabs>
      <w:ind w:left="1440"/>
    </w:pPr>
    <w:rPr>
      <w:rFonts w:ascii="CG Times" w:hAnsi="CG Times"/>
      <w:szCs w:val="20"/>
    </w:rPr>
  </w:style>
  <w:style w:type="paragraph" w:customStyle="1" w:styleId="Caption1">
    <w:name w:val="Caption1"/>
    <w:basedOn w:val="Normal"/>
    <w:next w:val="Normal"/>
    <w:rsid w:val="00BA68A6"/>
    <w:pPr>
      <w:ind w:left="1440"/>
    </w:pPr>
    <w:rPr>
      <w:rFonts w:ascii="CG Times" w:hAnsi="CG Times"/>
      <w:szCs w:val="20"/>
    </w:rPr>
  </w:style>
  <w:style w:type="paragraph" w:customStyle="1" w:styleId="P1-StandPara">
    <w:name w:val="P1-Stand Para"/>
    <w:uiPriority w:val="99"/>
    <w:rsid w:val="00BA68A6"/>
    <w:pPr>
      <w:spacing w:line="360" w:lineRule="atLeast"/>
      <w:ind w:firstLine="1152"/>
      <w:jc w:val="both"/>
    </w:pPr>
    <w:rPr>
      <w:rFonts w:eastAsia="Times New Roman"/>
      <w:sz w:val="22"/>
      <w:lang w:eastAsia="en-US"/>
    </w:rPr>
  </w:style>
  <w:style w:type="paragraph" w:styleId="BodyTextIndent">
    <w:name w:val="Body Text Indent"/>
    <w:basedOn w:val="Normal"/>
    <w:link w:val="BodyTextIndentChar"/>
    <w:semiHidden/>
    <w:rsid w:val="00BA68A6"/>
    <w:pPr>
      <w:tabs>
        <w:tab w:val="left" w:pos="211"/>
        <w:tab w:val="left" w:pos="528"/>
        <w:tab w:val="left" w:pos="633"/>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527" w:hanging="527"/>
    </w:pPr>
    <w:rPr>
      <w:rFonts w:ascii="CG Times" w:hAnsi="CG Times"/>
      <w:szCs w:val="20"/>
    </w:rPr>
  </w:style>
  <w:style w:type="character" w:customStyle="1" w:styleId="BodyTextIndentChar">
    <w:name w:val="Body Text Indent Char"/>
    <w:basedOn w:val="DefaultParagraphFont"/>
    <w:link w:val="BodyTextIndent"/>
    <w:semiHidden/>
    <w:rsid w:val="00BA68A6"/>
    <w:rPr>
      <w:rFonts w:ascii="CG Times" w:eastAsia="Times New Roman" w:hAnsi="CG Times"/>
      <w:sz w:val="24"/>
      <w:lang w:eastAsia="en-US"/>
    </w:rPr>
  </w:style>
  <w:style w:type="paragraph" w:styleId="BodyTextIndent2">
    <w:name w:val="Body Text Indent 2"/>
    <w:basedOn w:val="Normal"/>
    <w:link w:val="BodyTextIndent2Char"/>
    <w:semiHidden/>
    <w:rsid w:val="00BA68A6"/>
    <w:pPr>
      <w:tabs>
        <w:tab w:val="left" w:pos="720"/>
      </w:tabs>
      <w:ind w:left="527"/>
    </w:pPr>
    <w:rPr>
      <w:rFonts w:ascii="CG Times" w:hAnsi="CG Times"/>
      <w:szCs w:val="20"/>
    </w:rPr>
  </w:style>
  <w:style w:type="character" w:customStyle="1" w:styleId="BodyTextIndent2Char">
    <w:name w:val="Body Text Indent 2 Char"/>
    <w:basedOn w:val="DefaultParagraphFont"/>
    <w:link w:val="BodyTextIndent2"/>
    <w:semiHidden/>
    <w:rsid w:val="00BA68A6"/>
    <w:rPr>
      <w:rFonts w:ascii="CG Times" w:eastAsia="Times New Roman" w:hAnsi="CG Times"/>
      <w:sz w:val="24"/>
      <w:lang w:eastAsia="en-US"/>
    </w:rPr>
  </w:style>
  <w:style w:type="paragraph" w:styleId="BodyTextIndent3">
    <w:name w:val="Body Text Indent 3"/>
    <w:basedOn w:val="Normal"/>
    <w:link w:val="BodyTextIndent3Char"/>
    <w:semiHidden/>
    <w:rsid w:val="00BA68A6"/>
    <w:pPr>
      <w:tabs>
        <w:tab w:val="left" w:pos="211"/>
        <w:tab w:val="left" w:pos="72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720"/>
    </w:pPr>
    <w:rPr>
      <w:rFonts w:ascii="CG Times" w:hAnsi="CG Times"/>
      <w:szCs w:val="20"/>
    </w:rPr>
  </w:style>
  <w:style w:type="character" w:customStyle="1" w:styleId="BodyTextIndent3Char">
    <w:name w:val="Body Text Indent 3 Char"/>
    <w:basedOn w:val="DefaultParagraphFont"/>
    <w:link w:val="BodyTextIndent3"/>
    <w:semiHidden/>
    <w:rsid w:val="00BA68A6"/>
    <w:rPr>
      <w:rFonts w:ascii="CG Times" w:eastAsia="Times New Roman" w:hAnsi="CG Times"/>
      <w:sz w:val="24"/>
      <w:lang w:eastAsia="en-US"/>
    </w:rPr>
  </w:style>
  <w:style w:type="paragraph" w:styleId="ListNumber">
    <w:name w:val="List Number"/>
    <w:basedOn w:val="List"/>
    <w:semiHidden/>
    <w:rsid w:val="00BA68A6"/>
    <w:pPr>
      <w:numPr>
        <w:numId w:val="11"/>
      </w:numPr>
      <w:spacing w:line="240" w:lineRule="atLeast"/>
      <w:jc w:val="both"/>
    </w:pPr>
    <w:rPr>
      <w:rFonts w:ascii="Arial" w:hAnsi="Arial"/>
      <w:spacing w:val="-5"/>
      <w:sz w:val="20"/>
      <w:szCs w:val="20"/>
    </w:rPr>
  </w:style>
  <w:style w:type="paragraph" w:styleId="TOC9">
    <w:name w:val="toc 9"/>
    <w:basedOn w:val="Normal"/>
    <w:next w:val="Normal"/>
    <w:autoRedefine/>
    <w:semiHidden/>
    <w:rsid w:val="00BA68A6"/>
    <w:pPr>
      <w:ind w:left="1920"/>
    </w:pPr>
    <w:rPr>
      <w:rFonts w:ascii="CG Times" w:hAnsi="CG Times"/>
      <w:szCs w:val="20"/>
    </w:rPr>
  </w:style>
  <w:style w:type="paragraph" w:styleId="ListBullet2">
    <w:name w:val="List Bullet 2"/>
    <w:basedOn w:val="Normal"/>
    <w:autoRedefine/>
    <w:semiHidden/>
    <w:rsid w:val="00191EE9"/>
    <w:pPr>
      <w:ind w:firstLine="360"/>
    </w:pPr>
    <w:rPr>
      <w:rFonts w:eastAsia="Calibri"/>
      <w:sz w:val="22"/>
      <w:szCs w:val="22"/>
    </w:rPr>
  </w:style>
  <w:style w:type="paragraph" w:styleId="ListContinue">
    <w:name w:val="List Continue"/>
    <w:basedOn w:val="Normal"/>
    <w:semiHidden/>
    <w:rsid w:val="00BA68A6"/>
    <w:pPr>
      <w:spacing w:after="120"/>
      <w:ind w:left="360"/>
    </w:pPr>
    <w:rPr>
      <w:rFonts w:ascii="CG Times" w:hAnsi="CG Times"/>
      <w:szCs w:val="20"/>
    </w:rPr>
  </w:style>
  <w:style w:type="paragraph" w:styleId="ListContinue2">
    <w:name w:val="List Continue 2"/>
    <w:basedOn w:val="Normal"/>
    <w:rsid w:val="00BA68A6"/>
    <w:pPr>
      <w:spacing w:after="120"/>
      <w:ind w:left="720"/>
    </w:pPr>
    <w:rPr>
      <w:rFonts w:ascii="CG Times" w:hAnsi="CG Times"/>
      <w:szCs w:val="20"/>
    </w:rPr>
  </w:style>
  <w:style w:type="paragraph" w:customStyle="1" w:styleId="InsideAddress">
    <w:name w:val="Inside Address"/>
    <w:basedOn w:val="Normal"/>
    <w:rsid w:val="00BA68A6"/>
    <w:pPr>
      <w:ind w:left="1440"/>
    </w:pPr>
    <w:rPr>
      <w:rFonts w:ascii="CG Times" w:hAnsi="CG Times"/>
      <w:szCs w:val="20"/>
    </w:rPr>
  </w:style>
  <w:style w:type="paragraph" w:customStyle="1" w:styleId="NormalSS">
    <w:name w:val="NormalSS"/>
    <w:basedOn w:val="Normal"/>
    <w:qFormat/>
    <w:rsid w:val="00BA68A6"/>
    <w:pPr>
      <w:tabs>
        <w:tab w:val="left" w:pos="432"/>
      </w:tabs>
      <w:ind w:firstLine="432"/>
      <w:jc w:val="both"/>
    </w:pPr>
    <w:rPr>
      <w:szCs w:val="20"/>
    </w:rPr>
  </w:style>
  <w:style w:type="paragraph" w:customStyle="1" w:styleId="MarkforTable">
    <w:name w:val="Mark for Table"/>
    <w:next w:val="Normal"/>
    <w:rsid w:val="00BA68A6"/>
    <w:pPr>
      <w:spacing w:line="480" w:lineRule="auto"/>
      <w:jc w:val="center"/>
    </w:pPr>
    <w:rPr>
      <w:rFonts w:eastAsia="Times New Roman"/>
      <w:caps/>
      <w:sz w:val="24"/>
      <w:lang w:eastAsia="en-US"/>
    </w:rPr>
  </w:style>
  <w:style w:type="paragraph" w:customStyle="1" w:styleId="Quicka">
    <w:name w:val="Quick a."/>
    <w:basedOn w:val="Normal"/>
    <w:rsid w:val="00BA68A6"/>
    <w:pPr>
      <w:widowControl w:val="0"/>
    </w:pPr>
    <w:rPr>
      <w:snapToGrid w:val="0"/>
      <w:szCs w:val="20"/>
    </w:rPr>
  </w:style>
  <w:style w:type="paragraph" w:styleId="BodyText3">
    <w:name w:val="Body Text 3"/>
    <w:basedOn w:val="Normal"/>
    <w:link w:val="BodyText3Char"/>
    <w:semiHidden/>
    <w:rsid w:val="00BA68A6"/>
    <w:pPr>
      <w:autoSpaceDE w:val="0"/>
      <w:autoSpaceDN w:val="0"/>
      <w:adjustRightInd w:val="0"/>
      <w:jc w:val="center"/>
    </w:pPr>
    <w:rPr>
      <w:rFonts w:ascii="Arial" w:hAnsi="Arial" w:cs="Arial"/>
      <w:sz w:val="72"/>
      <w:szCs w:val="22"/>
    </w:rPr>
  </w:style>
  <w:style w:type="character" w:customStyle="1" w:styleId="BodyText3Char">
    <w:name w:val="Body Text 3 Char"/>
    <w:basedOn w:val="DefaultParagraphFont"/>
    <w:link w:val="BodyText3"/>
    <w:semiHidden/>
    <w:rsid w:val="00BA68A6"/>
    <w:rPr>
      <w:rFonts w:ascii="Arial" w:eastAsia="Times New Roman" w:hAnsi="Arial" w:cs="Arial"/>
      <w:sz w:val="72"/>
      <w:szCs w:val="22"/>
      <w:lang w:eastAsia="en-US"/>
    </w:rPr>
  </w:style>
  <w:style w:type="paragraph" w:customStyle="1" w:styleId="SL-FlLftSgl">
    <w:name w:val="SL-Fl Lft Sgl"/>
    <w:rsid w:val="00BA68A6"/>
    <w:pPr>
      <w:spacing w:line="240" w:lineRule="atLeast"/>
      <w:jc w:val="both"/>
    </w:pPr>
    <w:rPr>
      <w:rFonts w:ascii="Arial" w:eastAsia="Times New Roman" w:hAnsi="Arial"/>
      <w:sz w:val="18"/>
      <w:lang w:eastAsia="en-US"/>
    </w:rPr>
  </w:style>
  <w:style w:type="paragraph" w:styleId="DocumentMap">
    <w:name w:val="Document Map"/>
    <w:basedOn w:val="Normal"/>
    <w:link w:val="DocumentMapChar"/>
    <w:semiHidden/>
    <w:rsid w:val="00BA68A6"/>
    <w:pPr>
      <w:shd w:val="clear" w:color="auto" w:fill="000080"/>
      <w:ind w:left="1440"/>
    </w:pPr>
    <w:rPr>
      <w:rFonts w:ascii="Tahoma" w:hAnsi="Tahoma" w:cs="Tahoma"/>
      <w:szCs w:val="20"/>
    </w:rPr>
  </w:style>
  <w:style w:type="character" w:customStyle="1" w:styleId="DocumentMapChar">
    <w:name w:val="Document Map Char"/>
    <w:basedOn w:val="DefaultParagraphFont"/>
    <w:link w:val="DocumentMap"/>
    <w:semiHidden/>
    <w:rsid w:val="00BA68A6"/>
    <w:rPr>
      <w:rFonts w:ascii="Tahoma" w:eastAsia="Times New Roman" w:hAnsi="Tahoma" w:cs="Tahoma"/>
      <w:sz w:val="24"/>
      <w:shd w:val="clear" w:color="auto" w:fill="000080"/>
      <w:lang w:eastAsia="en-US"/>
    </w:rPr>
  </w:style>
  <w:style w:type="character" w:customStyle="1" w:styleId="pageheadline1">
    <w:name w:val="pageheadline1"/>
    <w:basedOn w:val="DefaultParagraphFont"/>
    <w:rsid w:val="00BA68A6"/>
    <w:rPr>
      <w:rFonts w:ascii="Verdana" w:hAnsi="Verdana" w:hint="default"/>
      <w:b/>
      <w:bCs/>
      <w:color w:val="000000"/>
      <w:w w:val="0"/>
      <w:sz w:val="36"/>
      <w:szCs w:val="36"/>
    </w:rPr>
  </w:style>
  <w:style w:type="paragraph" w:customStyle="1" w:styleId="Bullet">
    <w:name w:val="Bullet"/>
    <w:rsid w:val="00BA68A6"/>
    <w:pPr>
      <w:spacing w:after="180"/>
      <w:ind w:left="720" w:right="360" w:hanging="288"/>
      <w:jc w:val="both"/>
    </w:pPr>
    <w:rPr>
      <w:rFonts w:eastAsia="Times New Roman"/>
      <w:sz w:val="24"/>
      <w:lang w:eastAsia="en-US"/>
    </w:rPr>
  </w:style>
  <w:style w:type="paragraph" w:customStyle="1" w:styleId="bodytext0">
    <w:name w:val="bodytext"/>
    <w:basedOn w:val="Normal"/>
    <w:rsid w:val="00BA68A6"/>
    <w:pPr>
      <w:spacing w:before="100" w:beforeAutospacing="1" w:after="100" w:afterAutospacing="1"/>
    </w:pPr>
    <w:rPr>
      <w:rFonts w:ascii="Verdana" w:hAnsi="Verdana"/>
      <w:color w:val="000000"/>
      <w:sz w:val="18"/>
      <w:szCs w:val="18"/>
    </w:rPr>
  </w:style>
  <w:style w:type="paragraph" w:customStyle="1" w:styleId="chkbox">
    <w:name w:val="chkbox"/>
    <w:basedOn w:val="Normal"/>
    <w:rsid w:val="00BA68A6"/>
    <w:pPr>
      <w:spacing w:before="167" w:after="100" w:afterAutospacing="1"/>
    </w:pPr>
    <w:rPr>
      <w:rFonts w:ascii="Arial Unicode MS" w:eastAsia="Arial Unicode MS" w:hAnsi="Arial Unicode MS"/>
    </w:rPr>
  </w:style>
  <w:style w:type="paragraph" w:customStyle="1" w:styleId="EndnoteText2">
    <w:name w:val="Endnote Text2"/>
    <w:basedOn w:val="Normal"/>
    <w:rsid w:val="00BA68A6"/>
    <w:pPr>
      <w:ind w:left="1440"/>
    </w:pPr>
    <w:rPr>
      <w:rFonts w:ascii="CG Times" w:hAnsi="CG Times"/>
      <w:szCs w:val="20"/>
    </w:rPr>
  </w:style>
  <w:style w:type="paragraph" w:customStyle="1" w:styleId="TOC92">
    <w:name w:val="TOC 92"/>
    <w:basedOn w:val="Normal"/>
    <w:next w:val="Normal"/>
    <w:rsid w:val="00BA68A6"/>
    <w:pPr>
      <w:tabs>
        <w:tab w:val="right" w:leader="dot" w:pos="9360"/>
      </w:tabs>
      <w:ind w:left="720" w:hanging="720"/>
    </w:pPr>
    <w:rPr>
      <w:rFonts w:ascii="CG Times" w:hAnsi="CG Times"/>
      <w:szCs w:val="20"/>
    </w:rPr>
  </w:style>
  <w:style w:type="paragraph" w:customStyle="1" w:styleId="TOAHeading2">
    <w:name w:val="TOA Heading2"/>
    <w:basedOn w:val="Normal"/>
    <w:next w:val="Normal"/>
    <w:rsid w:val="00BA68A6"/>
    <w:pPr>
      <w:tabs>
        <w:tab w:val="right" w:pos="9360"/>
      </w:tabs>
      <w:ind w:left="1440"/>
    </w:pPr>
    <w:rPr>
      <w:rFonts w:ascii="CG Times" w:hAnsi="CG Times"/>
      <w:szCs w:val="20"/>
    </w:rPr>
  </w:style>
  <w:style w:type="paragraph" w:customStyle="1" w:styleId="Caption2">
    <w:name w:val="Caption2"/>
    <w:basedOn w:val="Normal"/>
    <w:next w:val="Normal"/>
    <w:rsid w:val="00BA68A6"/>
    <w:pPr>
      <w:ind w:left="1440"/>
    </w:pPr>
    <w:rPr>
      <w:rFonts w:ascii="CG Times" w:hAnsi="CG Times"/>
      <w:szCs w:val="20"/>
    </w:rPr>
  </w:style>
  <w:style w:type="paragraph" w:customStyle="1" w:styleId="QuestionHead1">
    <w:name w:val="QuestionHead1"/>
    <w:basedOn w:val="PlainText"/>
    <w:rsid w:val="00BA68A6"/>
    <w:pPr>
      <w:ind w:left="576" w:hanging="576"/>
    </w:pPr>
    <w:rPr>
      <w:rFonts w:ascii="Arial" w:eastAsia="Times New Roman" w:hAnsi="Arial" w:cs="Arial"/>
      <w:b/>
      <w:bCs/>
      <w:color w:val="000000"/>
      <w:kern w:val="28"/>
      <w:sz w:val="20"/>
      <w:szCs w:val="20"/>
    </w:rPr>
  </w:style>
  <w:style w:type="paragraph" w:customStyle="1" w:styleId="Question1Italic">
    <w:name w:val="Question1 Italic"/>
    <w:aliases w:val="Regular"/>
    <w:basedOn w:val="QuestionHead1"/>
    <w:rsid w:val="00BA68A6"/>
    <w:pPr>
      <w:ind w:firstLine="0"/>
    </w:pPr>
    <w:rPr>
      <w:b w:val="0"/>
      <w:bCs w:val="0"/>
      <w:i/>
      <w:iCs/>
    </w:rPr>
  </w:style>
  <w:style w:type="paragraph" w:customStyle="1" w:styleId="NumberedBox1">
    <w:name w:val="Numbered Box1"/>
    <w:basedOn w:val="Normal"/>
    <w:rsid w:val="00BA68A6"/>
    <w:pPr>
      <w:tabs>
        <w:tab w:val="left" w:pos="312"/>
      </w:tabs>
      <w:spacing w:before="120"/>
      <w:ind w:left="991" w:hanging="415"/>
    </w:pPr>
    <w:rPr>
      <w:rFonts w:ascii="Arial" w:hAnsi="Arial" w:cs="Arial"/>
      <w:color w:val="000000"/>
      <w:kern w:val="28"/>
      <w:sz w:val="20"/>
      <w:szCs w:val="20"/>
    </w:rPr>
  </w:style>
  <w:style w:type="paragraph" w:customStyle="1" w:styleId="EndnoteText3">
    <w:name w:val="Endnote Text3"/>
    <w:basedOn w:val="Normal"/>
    <w:rsid w:val="00BA68A6"/>
    <w:pPr>
      <w:ind w:left="1440"/>
    </w:pPr>
    <w:rPr>
      <w:rFonts w:ascii="CG Times" w:hAnsi="CG Times"/>
      <w:szCs w:val="20"/>
    </w:rPr>
  </w:style>
  <w:style w:type="paragraph" w:customStyle="1" w:styleId="TOC93">
    <w:name w:val="TOC 93"/>
    <w:basedOn w:val="Normal"/>
    <w:next w:val="Normal"/>
    <w:rsid w:val="00BA68A6"/>
    <w:pPr>
      <w:tabs>
        <w:tab w:val="right" w:leader="dot" w:pos="9360"/>
      </w:tabs>
      <w:ind w:left="720" w:hanging="720"/>
    </w:pPr>
    <w:rPr>
      <w:rFonts w:ascii="CG Times" w:hAnsi="CG Times"/>
      <w:szCs w:val="20"/>
    </w:rPr>
  </w:style>
  <w:style w:type="paragraph" w:customStyle="1" w:styleId="TOAHeading3">
    <w:name w:val="TOA Heading3"/>
    <w:basedOn w:val="Normal"/>
    <w:next w:val="Normal"/>
    <w:rsid w:val="00BA68A6"/>
    <w:pPr>
      <w:tabs>
        <w:tab w:val="right" w:pos="9360"/>
      </w:tabs>
      <w:ind w:left="1440"/>
    </w:pPr>
    <w:rPr>
      <w:rFonts w:ascii="CG Times" w:hAnsi="CG Times"/>
      <w:szCs w:val="20"/>
    </w:rPr>
  </w:style>
  <w:style w:type="paragraph" w:customStyle="1" w:styleId="Caption3">
    <w:name w:val="Caption3"/>
    <w:basedOn w:val="Normal"/>
    <w:next w:val="Normal"/>
    <w:rsid w:val="00BA68A6"/>
    <w:pPr>
      <w:ind w:left="1440"/>
    </w:pPr>
    <w:rPr>
      <w:rFonts w:ascii="CG Times" w:hAnsi="CG Times"/>
      <w:szCs w:val="20"/>
    </w:rPr>
  </w:style>
  <w:style w:type="paragraph" w:customStyle="1" w:styleId="Body1">
    <w:name w:val="Body 1"/>
    <w:rsid w:val="00BA68A6"/>
    <w:pPr>
      <w:ind w:left="1440"/>
      <w:outlineLvl w:val="0"/>
    </w:pPr>
    <w:rPr>
      <w:rFonts w:ascii="Helvetica" w:eastAsia="Arial Unicode MS" w:hAnsi="Helvetica"/>
      <w:color w:val="000000"/>
      <w:sz w:val="24"/>
      <w:u w:color="000000"/>
      <w:lang w:eastAsia="en-US"/>
    </w:rPr>
  </w:style>
  <w:style w:type="paragraph" w:customStyle="1" w:styleId="citable">
    <w:name w:val="citable"/>
    <w:basedOn w:val="Normal"/>
    <w:uiPriority w:val="99"/>
    <w:rsid w:val="00BA68A6"/>
    <w:pPr>
      <w:spacing w:before="100" w:beforeAutospacing="1" w:after="100" w:afterAutospacing="1"/>
    </w:pPr>
  </w:style>
  <w:style w:type="paragraph" w:customStyle="1" w:styleId="SU-FlLftUndln">
    <w:name w:val="SU-Fl Lft Undln"/>
    <w:uiPriority w:val="99"/>
    <w:rsid w:val="00BA68A6"/>
    <w:pPr>
      <w:keepNext/>
      <w:spacing w:line="240" w:lineRule="exact"/>
    </w:pPr>
    <w:rPr>
      <w:rFonts w:eastAsia="Times New Roman"/>
      <w:sz w:val="22"/>
      <w:u w:val="single"/>
      <w:lang w:eastAsia="en-US"/>
    </w:rPr>
  </w:style>
  <w:style w:type="character" w:styleId="Emphasis">
    <w:name w:val="Emphasis"/>
    <w:uiPriority w:val="20"/>
    <w:qFormat/>
    <w:rsid w:val="00755475"/>
    <w:rPr>
      <w:sz w:val="22"/>
      <w:szCs w:val="22"/>
      <w:u w:val="single" w:color="000000"/>
    </w:rPr>
  </w:style>
  <w:style w:type="paragraph" w:styleId="ListNumber2">
    <w:name w:val="List Number 2"/>
    <w:basedOn w:val="BodyText"/>
    <w:uiPriority w:val="99"/>
    <w:unhideWhenUsed/>
    <w:rsid w:val="00421D36"/>
    <w:pPr>
      <w:spacing w:before="120"/>
      <w:ind w:left="1440" w:hanging="720"/>
    </w:pPr>
    <w:rPr>
      <w:sz w:val="22"/>
      <w:szCs w:val="22"/>
    </w:rPr>
  </w:style>
  <w:style w:type="paragraph" w:styleId="Quote">
    <w:name w:val="Quote"/>
    <w:basedOn w:val="Normal"/>
    <w:next w:val="Normal"/>
    <w:link w:val="QuoteChar"/>
    <w:uiPriority w:val="29"/>
    <w:qFormat/>
    <w:rsid w:val="00E36FC5"/>
    <w:pPr>
      <w:spacing w:before="120"/>
      <w:ind w:left="720" w:right="720"/>
    </w:pPr>
    <w:rPr>
      <w:sz w:val="22"/>
      <w:szCs w:val="22"/>
    </w:rPr>
  </w:style>
  <w:style w:type="character" w:customStyle="1" w:styleId="QuoteChar">
    <w:name w:val="Quote Char"/>
    <w:basedOn w:val="DefaultParagraphFont"/>
    <w:link w:val="Quote"/>
    <w:uiPriority w:val="29"/>
    <w:rsid w:val="00E36FC5"/>
    <w:rPr>
      <w:rFonts w:eastAsia="Times New Roman"/>
      <w:sz w:val="22"/>
      <w:szCs w:val="22"/>
      <w:lang w:eastAsia="en-US"/>
    </w:rPr>
  </w:style>
  <w:style w:type="paragraph" w:styleId="ListBullet3">
    <w:name w:val="List Bullet 3"/>
    <w:basedOn w:val="ListParagraph"/>
    <w:uiPriority w:val="99"/>
    <w:unhideWhenUsed/>
    <w:rsid w:val="00F73146"/>
    <w:pPr>
      <w:numPr>
        <w:ilvl w:val="2"/>
        <w:numId w:val="10"/>
      </w:numPr>
    </w:pPr>
    <w:rPr>
      <w:spacing w:val="2"/>
    </w:rPr>
  </w:style>
  <w:style w:type="paragraph" w:styleId="ListBullet4">
    <w:name w:val="List Bullet 4"/>
    <w:basedOn w:val="ListBullet"/>
    <w:uiPriority w:val="99"/>
    <w:unhideWhenUsed/>
    <w:rsid w:val="005E5787"/>
    <w:pPr>
      <w:spacing w:before="0"/>
    </w:pPr>
  </w:style>
  <w:style w:type="paragraph" w:styleId="NoSpacing">
    <w:name w:val="No Spacing"/>
    <w:uiPriority w:val="1"/>
    <w:qFormat/>
    <w:rsid w:val="000A4DF1"/>
    <w:rPr>
      <w:rFonts w:asciiTheme="minorHAnsi" w:eastAsiaTheme="minorHAnsi" w:hAnsiTheme="minorHAnsi" w:cstheme="minorBidi"/>
      <w:sz w:val="22"/>
      <w:szCs w:val="22"/>
      <w:lang w:eastAsia="en-US"/>
    </w:rPr>
  </w:style>
  <w:style w:type="character" w:customStyle="1" w:styleId="MemoBody">
    <w:name w:val="Memo Body"/>
    <w:basedOn w:val="DefaultParagraphFont"/>
    <w:rsid w:val="00DA3FEB"/>
    <w:rPr>
      <w:rFonts w:ascii="Times New Roman" w:hAnsi="Times New Roman"/>
      <w:sz w:val="24"/>
    </w:rPr>
  </w:style>
  <w:style w:type="paragraph" w:customStyle="1" w:styleId="Body">
    <w:name w:val="Body"/>
    <w:basedOn w:val="Normal"/>
    <w:qFormat/>
    <w:rsid w:val="00CB22F9"/>
    <w:pPr>
      <w:numPr>
        <w:ilvl w:val="12"/>
      </w:numPr>
      <w:spacing w:after="120"/>
    </w:pPr>
    <w:rPr>
      <w:rFonts w:ascii="Garamond" w:eastAsia="Calibri" w:hAnsi="Garamond"/>
      <w:color w:val="000000"/>
    </w:rPr>
  </w:style>
  <w:style w:type="character" w:customStyle="1" w:styleId="apple-converted-space">
    <w:name w:val="apple-converted-space"/>
    <w:basedOn w:val="DefaultParagraphFont"/>
    <w:rsid w:val="004E10C0"/>
  </w:style>
  <w:style w:type="character" w:customStyle="1" w:styleId="bodytextChar0">
    <w:name w:val="body text Char"/>
    <w:basedOn w:val="DefaultParagraphFont"/>
    <w:link w:val="BodyText1"/>
    <w:rsid w:val="000A5579"/>
    <w:rPr>
      <w:sz w:val="24"/>
    </w:rPr>
  </w:style>
  <w:style w:type="paragraph" w:customStyle="1" w:styleId="BodyText1">
    <w:name w:val="Body Text1"/>
    <w:basedOn w:val="Normal"/>
    <w:link w:val="bodytextChar0"/>
    <w:rsid w:val="000A5579"/>
    <w:pPr>
      <w:spacing w:after="120" w:line="360" w:lineRule="auto"/>
      <w:ind w:firstLine="720"/>
    </w:pPr>
    <w:rPr>
      <w:rFonts w:eastAsia="Calibri"/>
      <w:szCs w:val="20"/>
      <w:lang w:eastAsia="zh-CN"/>
    </w:rPr>
  </w:style>
  <w:style w:type="paragraph" w:customStyle="1" w:styleId="EndNoteBibliography">
    <w:name w:val="EndNote Bibliography"/>
    <w:basedOn w:val="Normal"/>
    <w:link w:val="EndNoteBibliographyChar"/>
    <w:rsid w:val="009152EE"/>
    <w:pPr>
      <w:spacing w:after="160"/>
    </w:pPr>
    <w:rPr>
      <w:rFonts w:ascii="Calibri" w:hAnsi="Calibri" w:eastAsiaTheme="minorHAnsi" w:cs="Calibri"/>
      <w:noProof/>
      <w:sz w:val="22"/>
      <w:szCs w:val="22"/>
    </w:rPr>
  </w:style>
  <w:style w:type="character" w:customStyle="1" w:styleId="EndNoteBibliographyChar">
    <w:name w:val="EndNote Bibliography Char"/>
    <w:basedOn w:val="DefaultParagraphFont"/>
    <w:link w:val="EndNoteBibliography"/>
    <w:rsid w:val="009152EE"/>
    <w:rPr>
      <w:rFonts w:ascii="Calibri" w:hAnsi="Calibri" w:eastAsiaTheme="minorHAnsi" w:cs="Calibri"/>
      <w:noProof/>
      <w:sz w:val="22"/>
      <w:szCs w:val="22"/>
      <w:lang w:eastAsia="en-US"/>
    </w:rPr>
  </w:style>
  <w:style w:type="character" w:customStyle="1" w:styleId="UnresolvedMention1">
    <w:name w:val="Unresolved Mention1"/>
    <w:basedOn w:val="DefaultParagraphFont"/>
    <w:uiPriority w:val="99"/>
    <w:semiHidden/>
    <w:unhideWhenUsed/>
    <w:rsid w:val="008E0013"/>
    <w:rPr>
      <w:color w:val="808080"/>
      <w:shd w:val="clear" w:color="auto" w:fill="E6E6E6"/>
    </w:rPr>
  </w:style>
  <w:style w:type="paragraph" w:customStyle="1" w:styleId="NORCListNumber1">
    <w:name w:val="NORC List Number 1"/>
    <w:basedOn w:val="Normal"/>
    <w:qFormat/>
    <w:rsid w:val="00B17E87"/>
    <w:pPr>
      <w:numPr>
        <w:numId w:val="18"/>
      </w:numPr>
      <w:tabs>
        <w:tab w:val="left" w:pos="-1440"/>
      </w:tabs>
      <w:spacing w:after="60" w:line="360" w:lineRule="auto"/>
    </w:pPr>
    <w:rPr>
      <w:sz w:val="22"/>
      <w:szCs w:val="22"/>
    </w:rPr>
  </w:style>
  <w:style w:type="paragraph" w:customStyle="1" w:styleId="C2-CtrSglSp">
    <w:name w:val="C2-Ctr Sgl Sp"/>
    <w:basedOn w:val="Normal"/>
    <w:rsid w:val="003134F0"/>
    <w:pPr>
      <w:spacing w:before="120" w:after="120" w:line="259" w:lineRule="auto"/>
      <w:jc w:val="center"/>
    </w:pPr>
    <w:rPr>
      <w:rFonts w:asciiTheme="minorHAnsi" w:eastAsiaTheme="minorHAnsi" w:hAnsiTheme="minorHAnsi" w:cstheme="minorBidi"/>
      <w:sz w:val="22"/>
      <w:szCs w:val="22"/>
    </w:rPr>
  </w:style>
  <w:style w:type="paragraph" w:customStyle="1" w:styleId="TT-TableTitle">
    <w:name w:val="TT-Table Title"/>
    <w:basedOn w:val="Normal"/>
    <w:rsid w:val="003134F0"/>
    <w:pPr>
      <w:keepNext/>
      <w:keepLines/>
      <w:pBdr>
        <w:top w:val="single" w:sz="4" w:space="4" w:color="00467F"/>
        <w:left w:val="single" w:sz="4" w:space="6" w:color="00467F"/>
        <w:bottom w:val="single" w:sz="4" w:space="4" w:color="00467F"/>
        <w:right w:val="single" w:sz="4" w:space="6" w:color="00467F"/>
      </w:pBdr>
      <w:shd w:val="clear" w:color="auto" w:fill="00467F"/>
      <w:spacing w:before="120"/>
      <w:ind w:left="1440" w:right="158" w:hanging="1282"/>
      <w:outlineLvl w:val="4"/>
    </w:pPr>
    <w:rPr>
      <w:rFonts w:asciiTheme="minorHAnsi" w:eastAsiaTheme="minorEastAsia" w:hAnsiTheme="minorHAnsi" w:cstheme="minorBidi"/>
      <w:b/>
      <w:color w:val="FFFFFF" w:themeColor="background1"/>
      <w:kern w:val="2"/>
      <w:position w:val="6"/>
      <w:sz w:val="22"/>
      <w:szCs w:val="22"/>
      <w:lang w:eastAsia="ja-JP"/>
    </w:rPr>
  </w:style>
  <w:style w:type="character" w:customStyle="1" w:styleId="ui-provider">
    <w:name w:val="ui-provider"/>
    <w:basedOn w:val="DefaultParagraphFont"/>
    <w:rsid w:val="00590546"/>
  </w:style>
  <w:style w:type="character" w:styleId="Mention">
    <w:name w:val="Mention"/>
    <w:basedOn w:val="DefaultParagraphFont"/>
    <w:uiPriority w:val="99"/>
    <w:unhideWhenUsed/>
    <w:rsid w:val="00F319E6"/>
    <w:rPr>
      <w:color w:val="2B579A"/>
      <w:shd w:val="clear" w:color="auto" w:fill="E1DFDD"/>
    </w:rPr>
  </w:style>
  <w:style w:type="character" w:customStyle="1" w:styleId="normaltextrun">
    <w:name w:val="normaltextrun"/>
    <w:basedOn w:val="DefaultParagraphFont"/>
    <w:rsid w:val="000445B4"/>
  </w:style>
  <w:style w:type="paragraph" w:customStyle="1" w:styleId="paragraph">
    <w:name w:val="paragraph"/>
    <w:basedOn w:val="Normal"/>
    <w:rsid w:val="000445B4"/>
    <w:pPr>
      <w:spacing w:before="100" w:beforeAutospacing="1" w:after="100" w:afterAutospacing="1"/>
    </w:pPr>
  </w:style>
  <w:style w:type="character" w:customStyle="1" w:styleId="eop">
    <w:name w:val="eop"/>
    <w:basedOn w:val="DefaultParagraphFont"/>
    <w:rsid w:val="000445B4"/>
  </w:style>
  <w:style w:type="character" w:styleId="UnresolvedMention">
    <w:name w:val="Unresolved Mention"/>
    <w:basedOn w:val="DefaultParagraphFont"/>
    <w:uiPriority w:val="99"/>
    <w:semiHidden/>
    <w:unhideWhenUsed/>
    <w:rsid w:val="000445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image" Target="media/image1.wmf" /><Relationship Id="rId17" Type="http://schemas.openxmlformats.org/officeDocument/2006/relationships/oleObject" Target="embeddings/oleObject1.bin" /><Relationship Id="rId18" Type="http://schemas.openxmlformats.org/officeDocument/2006/relationships/image" Target="media/image2.wmf" /><Relationship Id="rId19" Type="http://schemas.openxmlformats.org/officeDocument/2006/relationships/oleObject" Target="embeddings/oleObject2.bin" /><Relationship Id="rId2" Type="http://schemas.openxmlformats.org/officeDocument/2006/relationships/settings" Target="settings.xml" /><Relationship Id="rId20" Type="http://schemas.openxmlformats.org/officeDocument/2006/relationships/image" Target="media/image3.wmf" /><Relationship Id="rId21" Type="http://schemas.openxmlformats.org/officeDocument/2006/relationships/oleObject" Target="embeddings/oleObject3.bin" /><Relationship Id="rId22" Type="http://schemas.openxmlformats.org/officeDocument/2006/relationships/chart" Target="charts/chart1.xml" /><Relationship Id="rId23" Type="http://schemas.openxmlformats.org/officeDocument/2006/relationships/header" Target="header4.xml" /><Relationship Id="rId24" Type="http://schemas.openxmlformats.org/officeDocument/2006/relationships/header" Target="header5.xml" /><Relationship Id="rId25" Type="http://schemas.openxmlformats.org/officeDocument/2006/relationships/footer" Target="footer4.xml" /><Relationship Id="rId26" Type="http://schemas.openxmlformats.org/officeDocument/2006/relationships/footer" Target="footer5.xml" /><Relationship Id="rId27" Type="http://schemas.openxmlformats.org/officeDocument/2006/relationships/header" Target="header6.xml" /><Relationship Id="rId28" Type="http://schemas.openxmlformats.org/officeDocument/2006/relationships/footer" Target="footer6.xml" /><Relationship Id="rId29" Type="http://schemas.openxmlformats.org/officeDocument/2006/relationships/theme" Target="theme/theme1.xml" /><Relationship Id="rId3" Type="http://schemas.openxmlformats.org/officeDocument/2006/relationships/webSettings" Target="webSettings.xml" /><Relationship Id="rId30" Type="http://schemas.openxmlformats.org/officeDocument/2006/relationships/numbering" Target="numbering.xml" /><Relationship Id="rId31" Type="http://schemas.openxmlformats.org/officeDocument/2006/relationships/styles" Target="style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census.gov/data/tables/2021/demo/geographic-mobility/cps-2021.html" TargetMode="External" /><Relationship Id="rId2" Type="http://schemas.openxmlformats.org/officeDocument/2006/relationships/hyperlink" Target="https://bmcmedresmethodol.biomedcentral.com/articles/10.1186/s12874-018-0565-z" TargetMode="External" /><Relationship Id="rId3" Type="http://schemas.openxmlformats.org/officeDocument/2006/relationships/hyperlink" Target="https://www.census.gov/fedcasic/fc2018/ppt/3AJill.pdf" TargetMode="External" /><Relationship Id="rId4" Type="http://schemas.openxmlformats.org/officeDocument/2006/relationships/hyperlink" Target="https://www.federalregister.gov/documents/2023/01/27/2023-01635/initial-proposals-for-updating-ombs-race-and-ethnicity-statistical-standards" TargetMode="External" /><Relationship Id="rId5" Type="http://schemas.openxmlformats.org/officeDocument/2006/relationships/hyperlink" Target="https://spd15revision.gov" TargetMode="External" /></Relationships>
</file>

<file path=word/charts/_rels/chart1.xml.rels><?xml version="1.0" encoding="utf-8" standalone="yes"?><Relationships xmlns="http://schemas.openxmlformats.org/package/2006/relationships"><Relationship Id="rId1" Type="http://schemas.openxmlformats.org/officeDocument/2006/relationships/package" Target="../embeddings/Microsoft_Excel_Worksheet1.xlsx" /><Relationship Id="rId2" Type="http://schemas.microsoft.com/office/2011/relationships/chartColorStyle" Target="chart/colors1.xml" /><Relationship Id="rId3" Type="http://schemas.microsoft.com/office/2011/relationships/chartStyle" Target="chart/style1.xml" /></Relationships>
</file>

<file path=word/charts/chart/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hart/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round/>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50000"/>
            <a:lumOff val="50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percentStacked"/>
        <c:varyColors val="0"/>
        <c:ser>
          <c:idx val="0"/>
          <c:order val="0"/>
          <c:tx>
            <c:strRef>
              <c:f>Sheet1!$B$1</c:f>
              <c:strCache>
                <c:ptCount val="1"/>
                <c:pt idx="0">
                  <c:v>Web Survey</c:v>
                </c:pt>
              </c:strCache>
            </c:strRef>
          </c:tx>
          <c:spPr>
            <a:solidFill>
              <a:schemeClr val="bg1">
                <a:lumMod val="75000"/>
              </a:schemeClr>
            </a:solidFill>
            <a:ln>
              <a:no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numRef>
              <c:f>Sheet1!$A$2:$A$10</c:f>
              <c:numCache>
                <c:formatCode>General</c:formatCode>
                <c:ptCount val="9"/>
                <c:pt idx="0">
                  <c:v>2003</c:v>
                </c:pt>
                <c:pt idx="1">
                  <c:v>2006</c:v>
                </c:pt>
                <c:pt idx="2">
                  <c:v>2008</c:v>
                </c:pt>
                <c:pt idx="3">
                  <c:v>2010</c:v>
                </c:pt>
                <c:pt idx="4">
                  <c:v>2013</c:v>
                </c:pt>
                <c:pt idx="5">
                  <c:v>2015</c:v>
                </c:pt>
                <c:pt idx="6">
                  <c:v>2017</c:v>
                </c:pt>
                <c:pt idx="7">
                  <c:v>2019</c:v>
                </c:pt>
                <c:pt idx="8">
                  <c:v>2021</c:v>
                </c:pt>
              </c:numCache>
            </c:numRef>
          </c:cat>
          <c:val>
            <c:numRef>
              <c:f>Sheet1!$B$2:$B$10</c:f>
              <c:numCache>
                <c:formatCode>General</c:formatCode>
                <c:ptCount val="9"/>
                <c:pt idx="0" formatCode="0.0">
                  <c:v>19</c:v>
                </c:pt>
                <c:pt idx="1">
                  <c:v>46.4</c:v>
                </c:pt>
                <c:pt idx="2">
                  <c:v>57.5</c:v>
                </c:pt>
                <c:pt idx="3">
                  <c:v>62.6</c:v>
                </c:pt>
                <c:pt idx="4">
                  <c:v>74.9</c:v>
                </c:pt>
                <c:pt idx="5">
                  <c:v>81.4</c:v>
                </c:pt>
                <c:pt idx="6">
                  <c:v>83.8</c:v>
                </c:pt>
                <c:pt idx="7">
                  <c:v>93.4</c:v>
                </c:pt>
                <c:pt idx="8">
                  <c:v>98.8</c:v>
                </c:pt>
              </c:numCache>
            </c:numRef>
          </c:val>
          <c:extLst>
            <c:ext xmlns:c16="http://schemas.microsoft.com/office/drawing/2014/chart" uri="{C3380CC4-5D6E-409C-BE32-E72D297353CC}">
              <c16:uniqueId val="{00000000-9684-4875-A1B5-DE61BDD393BF}"/>
            </c:ext>
          </c:extLst>
        </c:ser>
        <c:ser>
          <c:idx val="1"/>
          <c:order val="1"/>
          <c:tx>
            <c:strRef>
              <c:f>Sheet1!$C$1</c:f>
              <c:strCache>
                <c:ptCount val="1"/>
                <c:pt idx="0">
                  <c:v>Other Modes*</c:v>
                </c:pt>
              </c:strCache>
            </c:strRef>
          </c:tx>
          <c:spPr>
            <a:solidFill>
              <a:schemeClr val="bg1">
                <a:lumMod val="50000"/>
              </a:schemeClr>
            </a:solidFill>
            <a:ln>
              <a:noFill/>
            </a:ln>
            <a:effectLst/>
          </c:spPr>
          <c:invertIfNegative val="0"/>
          <c:dLbls>
            <c:dLbl>
              <c:idx val="8"/>
              <c:layout>
                <c:manualLayout>
                  <c:x val="0.043981481481481483"/>
                  <c:y val="-0.0045045045045045071"/>
                </c:manualLayout>
              </c:layout>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684-4875-A1B5-DE61BDD393BF}"/>
                </c:ext>
              </c:extLst>
            </c:dLbl>
            <c:spPr>
              <a:noFill/>
              <a:ln>
                <a:noFill/>
              </a:ln>
              <a:effectLst/>
            </c:spPr>
            <c:txPr>
              <a:bodyPr rot="0" spcFirstLastPara="1" vertOverflow="ellipsis" vert="horz" wrap="square" anchor="ctr" anchorCtr="1"/>
              <a:lstStyle/>
              <a:p>
                <a:pPr>
                  <a:defRPr sz="10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numRef>
              <c:f>Sheet1!$A$2:$A$10</c:f>
              <c:numCache>
                <c:formatCode>General</c:formatCode>
                <c:ptCount val="9"/>
                <c:pt idx="0">
                  <c:v>2003</c:v>
                </c:pt>
                <c:pt idx="1">
                  <c:v>2006</c:v>
                </c:pt>
                <c:pt idx="2">
                  <c:v>2008</c:v>
                </c:pt>
                <c:pt idx="3">
                  <c:v>2010</c:v>
                </c:pt>
                <c:pt idx="4">
                  <c:v>2013</c:v>
                </c:pt>
                <c:pt idx="5">
                  <c:v>2015</c:v>
                </c:pt>
                <c:pt idx="6">
                  <c:v>2017</c:v>
                </c:pt>
                <c:pt idx="7">
                  <c:v>2019</c:v>
                </c:pt>
                <c:pt idx="8">
                  <c:v>2021</c:v>
                </c:pt>
              </c:numCache>
            </c:numRef>
          </c:cat>
          <c:val>
            <c:numRef>
              <c:f>Sheet1!$C$2:$C$10</c:f>
              <c:numCache>
                <c:formatCode>General</c:formatCode>
                <c:ptCount val="9"/>
                <c:pt idx="0" formatCode="0.0">
                  <c:v>81</c:v>
                </c:pt>
                <c:pt idx="1">
                  <c:v>53.6</c:v>
                </c:pt>
                <c:pt idx="2">
                  <c:v>42.5</c:v>
                </c:pt>
                <c:pt idx="3">
                  <c:v>37.4</c:v>
                </c:pt>
                <c:pt idx="4">
                  <c:v>25.1</c:v>
                </c:pt>
                <c:pt idx="5">
                  <c:v>18.6</c:v>
                </c:pt>
                <c:pt idx="6">
                  <c:v>16.2</c:v>
                </c:pt>
                <c:pt idx="7">
                  <c:v>6.6</c:v>
                </c:pt>
                <c:pt idx="8">
                  <c:v>1.2</c:v>
                </c:pt>
              </c:numCache>
            </c:numRef>
          </c:val>
          <c:extLst>
            <c:ext xmlns:c16="http://schemas.microsoft.com/office/drawing/2014/chart" uri="{C3380CC4-5D6E-409C-BE32-E72D297353CC}">
              <c16:uniqueId val="{00000001-9684-4875-A1B5-DE61BDD393BF}"/>
            </c:ext>
          </c:extLst>
        </c:ser>
        <c:dLbls>
          <c:showLegendKey val="0"/>
          <c:showVal val="0"/>
          <c:showCatName val="0"/>
          <c:showSerName val="0"/>
          <c:showPercent val="0"/>
          <c:showBubbleSize val="0"/>
        </c:dLbls>
        <c:gapWidth val="75"/>
        <c:overlap val="100"/>
        <c:axId val="2117580960"/>
        <c:axId val="2117580128"/>
      </c:barChart>
      <c:catAx>
        <c:axId val="2117580960"/>
        <c:scaling>
          <c:orientation val="minMax"/>
        </c:scaling>
        <c:delete val="0"/>
        <c:axPos val="b"/>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117580128"/>
        <c:crosses val="autoZero"/>
        <c:auto val="1"/>
        <c:lblAlgn val="ctr"/>
        <c:lblOffset val="100"/>
        <c:noMultiLvlLbl val="0"/>
      </c:catAx>
      <c:valAx>
        <c:axId val="2117580128"/>
        <c:scaling>
          <c:orientation val="minMax"/>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11758096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http://schemas.openxmlformats.org/drawingml/2006/chart" xmlns:c16r3="http://schemas.microsoft.com/office/drawing/2017/03/chart" uri="{56B9EC1D-385E-4148-901F-78D8002777C0}">
        <c16r3:dataDisplayOptions16>
          <c16r3:dispNaAsBlank val="1"/>
        </c16r3:dataDisplayOptions16>
      </c:ext>
    </c:extLst>
  </c:chart>
  <c:spPr>
    <a:solidFill>
      <a:schemeClr val="bg1"/>
    </a:solidFill>
    <a:ln w="9525">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7E47DBDC21CE8458641925C6173557B" ma:contentTypeVersion="21" ma:contentTypeDescription="Create a new document." ma:contentTypeScope="" ma:versionID="aff729ed4a2b4eb2df3252fd98057172">
  <xsd:schema xmlns:xsd="http://www.w3.org/2001/XMLSchema" xmlns:xs="http://www.w3.org/2001/XMLSchema" xmlns:p="http://schemas.microsoft.com/office/2006/metadata/properties" xmlns:ns1="http://schemas.microsoft.com/sharepoint/v3" xmlns:ns2="0b18edcb-babb-4206-8eb0-7c7ddcac68d7" xmlns:ns3="a556d1f6-d443-4640-8c30-9e022eb9aa70" targetNamespace="http://schemas.microsoft.com/office/2006/metadata/properties" ma:root="true" ma:fieldsID="9e040f609bdb9ef2b9150677d753d089" ns1:_="" ns2:_="" ns3:_="">
    <xsd:import namespace="http://schemas.microsoft.com/sharepoint/v3"/>
    <xsd:import namespace="0b18edcb-babb-4206-8eb0-7c7ddcac68d7"/>
    <xsd:import namespace="a556d1f6-d443-4640-8c30-9e022eb9aa70"/>
    <xsd:element name="properties">
      <xsd:complexType>
        <xsd:sequence>
          <xsd:element name="documentManagement">
            <xsd:complexType>
              <xsd:all>
                <xsd:element ref="ns1:DocumentSetDescription" minOccurs="0"/>
                <xsd:element ref="ns2:DueDate" minOccurs="0"/>
                <xsd:element ref="ns2:Assignedto" minOccurs="0"/>
                <xsd:element ref="ns2:_Flow_SignoffStatus" minOccurs="0"/>
                <xsd:element ref="ns2:Documenttype" minOccurs="0"/>
                <xsd:element ref="ns3:TaxCatchAll" minOccurs="0"/>
                <xsd:element ref="ns3:TaxCatchAllLabel" minOccurs="0"/>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2"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18edcb-babb-4206-8eb0-7c7ddcac68d7" elementFormDefault="qualified">
    <xsd:import namespace="http://schemas.microsoft.com/office/2006/documentManagement/types"/>
    <xsd:import namespace="http://schemas.microsoft.com/office/infopath/2007/PartnerControls"/>
    <xsd:element name="DueDate" ma:index="3" nillable="true" ma:displayName="Due Date" ma:format="DateTime" ma:internalName="DueDate" ma:readOnly="false">
      <xsd:simpleType>
        <xsd:restriction base="dms:DateTime"/>
      </xsd:simpleType>
    </xsd:element>
    <xsd:element name="Assignedto" ma:index="4" nillable="true" ma:displayName="Assigned to" ma:format="Dropdown" ma:list="UserInfo" ma:SharePointGroup="0" ma:internalName="Assignedto"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Flow_SignoffStatus" ma:index="5" nillable="true" ma:displayName="Sign-off status" ma:internalName="Sign_x002d_off_x0020_status" ma:readOnly="false">
      <xsd:simpleType>
        <xsd:restriction base="dms:Text"/>
      </xsd:simpleType>
    </xsd:element>
    <xsd:element name="Documenttype" ma:index="6" nillable="true" ma:displayName="Document type" ma:format="Dropdown" ma:internalName="Documenttype" ma:readOnly="false">
      <xsd:simpleType>
        <xsd:restriction base="dms:Text">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56d1f6-d443-4640-8c30-9e022eb9aa70"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7eee8edc-cddd-469e-8631-ebdc104d9023}" ma:internalName="TaxCatchAll" ma:readOnly="false" ma:showField="CatchAllData" ma:web="a556d1f6-d443-4640-8c30-9e022eb9aa70">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7eee8edc-cddd-469e-8631-ebdc104d9023}" ma:internalName="TaxCatchAllLabel" ma:readOnly="true" ma:showField="CatchAllDataLabel" ma:web="a556d1f6-d443-4640-8c30-9e022eb9aa7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b18edcb-babb-4206-8eb0-7c7ddcac68d7" xsi:nil="true"/>
    <DocumentSetDescription xmlns="http://schemas.microsoft.com/sharepoint/v3" xsi:nil="true"/>
    <DueDate xmlns="0b18edcb-babb-4206-8eb0-7c7ddcac68d7" xsi:nil="true"/>
    <Assignedto xmlns="0b18edcb-babb-4206-8eb0-7c7ddcac68d7">
      <UserInfo>
        <DisplayName>i:0#.f|membership|kphou_nsf.gov#ext#@norc.onmicrosoft.com,#i:0#.f|membership|kphou_nsf.gov#ext#@norc.onmicrosoft.com,#kphou@nsf.gov,#,#Phou, Kelly S.,#,#,#kphou@nsf.gov</DisplayName>
        <AccountId>47</AccountId>
        <AccountType/>
      </UserInfo>
    </Assignedto>
    <Documenttype xmlns="0b18edcb-babb-4206-8eb0-7c7ddcac68d7" xsi:nil="true"/>
    <TaxCatchAll xmlns="a556d1f6-d443-4640-8c30-9e022eb9aa70" xsi:nil="true"/>
  </documentManagement>
</p:properties>
</file>

<file path=customXml/item5.xml><?xml version="1.0" encoding="utf-8"?>
<?mso-contentType ?>
<SharedContentType xmlns="Microsoft.SharePoint.Taxonomy.ContentTypeSync" SourceId="744a5fc2-e1de-4226-a417-e5990e3526f4" ContentTypeId="0x0101" PreviousValue="false"/>
</file>

<file path=customXml/itemProps1.xml><?xml version="1.0" encoding="utf-8"?>
<ds:datastoreItem xmlns:ds="http://schemas.openxmlformats.org/officeDocument/2006/customXml" ds:itemID="{97AC7A5A-DEB3-44AF-BC20-A1D9A77EB491}">
  <ds:schemaRefs>
    <ds:schemaRef ds:uri="http://schemas.openxmlformats.org/officeDocument/2006/bibliography"/>
  </ds:schemaRefs>
</ds:datastoreItem>
</file>

<file path=customXml/itemProps2.xml><?xml version="1.0" encoding="utf-8"?>
<ds:datastoreItem xmlns:ds="http://schemas.openxmlformats.org/officeDocument/2006/customXml" ds:itemID="{B41B0680-2499-4415-BBEA-74CF47323C3C}">
  <ds:schemaRefs>
    <ds:schemaRef ds:uri="http://schemas.microsoft.com/sharepoint/v3/contenttype/forms"/>
  </ds:schemaRefs>
</ds:datastoreItem>
</file>

<file path=customXml/itemProps3.xml><?xml version="1.0" encoding="utf-8"?>
<ds:datastoreItem xmlns:ds="http://schemas.openxmlformats.org/officeDocument/2006/customXml" ds:itemID="{B5B026A3-456B-4EEC-AFB8-80CBAF3E91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b18edcb-babb-4206-8eb0-7c7ddcac68d7"/>
    <ds:schemaRef ds:uri="a556d1f6-d443-4640-8c30-9e022eb9aa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A11AEE-7FAF-489F-8880-BA430F54C4E4}">
  <ds:schemaRefs>
    <ds:schemaRef ds:uri="http://schemas.microsoft.com/office/2006/metadata/properties"/>
    <ds:schemaRef ds:uri="http://schemas.microsoft.com/office/infopath/2007/PartnerControls"/>
    <ds:schemaRef ds:uri="0b18edcb-babb-4206-8eb0-7c7ddcac68d7"/>
    <ds:schemaRef ds:uri="http://schemas.microsoft.com/sharepoint/v3"/>
    <ds:schemaRef ds:uri="a556d1f6-d443-4640-8c30-9e022eb9aa70"/>
  </ds:schemaRefs>
</ds:datastoreItem>
</file>

<file path=customXml/itemProps5.xml><?xml version="1.0" encoding="utf-8"?>
<ds:datastoreItem xmlns:ds="http://schemas.openxmlformats.org/officeDocument/2006/customXml" ds:itemID="{B5C68F32-BBCA-4E5A-9209-8F009C7B7504}">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19</Pages>
  <Words>8753</Words>
  <Characters>47093</Characters>
  <Application>Microsoft Office Word</Application>
  <DocSecurity>0</DocSecurity>
  <Lines>1001</Lines>
  <Paragraphs>351</Paragraphs>
  <ScaleCrop>false</ScaleCrop>
  <HeadingPairs>
    <vt:vector size="2" baseType="variant">
      <vt:variant>
        <vt:lpstr>Title</vt:lpstr>
      </vt:variant>
      <vt:variant>
        <vt:i4>1</vt:i4>
      </vt:variant>
    </vt:vector>
  </HeadingPairs>
  <TitlesOfParts>
    <vt:vector size="1" baseType="lpstr">
      <vt:lpstr>LIST OF ATTACHMENTS</vt:lpstr>
    </vt:vector>
  </TitlesOfParts>
  <Company>NORC</Company>
  <LinksUpToDate>false</LinksUpToDate>
  <CharactersWithSpaces>55495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 OF ATTACHMENTS</dc:title>
  <dc:creator>webber-kristy</dc:creator>
  <cp:lastModifiedBy>Phou, Kelly S.</cp:lastModifiedBy>
  <cp:revision>5</cp:revision>
  <cp:lastPrinted>2023-03-20T11:22:00Z</cp:lastPrinted>
  <dcterms:created xsi:type="dcterms:W3CDTF">2023-06-14T14:49:00Z</dcterms:created>
  <dcterms:modified xsi:type="dcterms:W3CDTF">2023-06-15T18:23:00Z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ainsCUI">
    <vt:lpwstr>No</vt:lpwstr>
  </property>
  <property fmtid="{D5CDD505-2E9C-101B-9397-08002B2CF9AE}" pid="3" name="ContentTypeId">
    <vt:lpwstr>0x01010037E47DBDC21CE8458641925C6173557B</vt:lpwstr>
  </property>
  <property fmtid="{D5CDD505-2E9C-101B-9397-08002B2CF9AE}" pid="4" name="TitusGUID">
    <vt:lpwstr>3b00d549-916e-4ae7-9128-4b3426e8a50e</vt:lpwstr>
  </property>
</Properties>
</file>