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1FFC" w:rsidRPr="00BF6D43" w:rsidP="005F1FFC" w14:paraId="7E088B25" w14:textId="77777777"/>
    <w:p w:rsidR="003225D2" w:rsidP="001650D5" w14:paraId="00B8C0D6" w14:textId="52DE246B">
      <w:pPr>
        <w:jc w:val="center"/>
        <w:rPr>
          <w:b/>
          <w:caps/>
          <w:sz w:val="24"/>
          <w:szCs w:val="24"/>
        </w:rPr>
      </w:pPr>
      <w:r w:rsidRPr="00BF6D43">
        <w:rPr>
          <w:b/>
          <w:caps/>
          <w:sz w:val="24"/>
          <w:szCs w:val="24"/>
        </w:rPr>
        <w:t>Supporting</w:t>
      </w:r>
      <w:r w:rsidRPr="00BF6D43">
        <w:rPr>
          <w:b/>
          <w:sz w:val="24"/>
          <w:szCs w:val="24"/>
        </w:rPr>
        <w:t xml:space="preserve"> </w:t>
      </w:r>
      <w:r w:rsidRPr="00BF6D43">
        <w:rPr>
          <w:b/>
          <w:caps/>
          <w:sz w:val="24"/>
          <w:szCs w:val="24"/>
        </w:rPr>
        <w:t>Statement</w:t>
      </w:r>
      <w:r w:rsidRPr="00BF6D43" w:rsidR="00A4452C">
        <w:rPr>
          <w:b/>
          <w:caps/>
          <w:sz w:val="24"/>
          <w:szCs w:val="24"/>
        </w:rPr>
        <w:t xml:space="preserve"> For</w:t>
      </w:r>
    </w:p>
    <w:p w:rsidR="001650D5" w:rsidRPr="00BF6D43" w:rsidP="001650D5" w14:paraId="2F27FDD4" w14:textId="001C62F6">
      <w:pPr>
        <w:jc w:val="center"/>
        <w:rPr>
          <w:b/>
          <w:caps/>
          <w:sz w:val="24"/>
          <w:szCs w:val="24"/>
        </w:rPr>
      </w:pPr>
      <w:r>
        <w:rPr>
          <w:b/>
          <w:caps/>
          <w:sz w:val="24"/>
          <w:szCs w:val="24"/>
        </w:rPr>
        <w:t>Consumer response company response survey</w:t>
      </w:r>
    </w:p>
    <w:p w:rsidR="003225D2" w:rsidRPr="00BF6D43" w:rsidP="003225D2" w14:paraId="4ACA79D4" w14:textId="6098989F">
      <w:pPr>
        <w:jc w:val="center"/>
        <w:rPr>
          <w:b/>
          <w:bCs/>
          <w:sz w:val="24"/>
          <w:szCs w:val="24"/>
        </w:rPr>
      </w:pPr>
      <w:r w:rsidRPr="00BF6D43">
        <w:rPr>
          <w:b/>
          <w:bCs/>
          <w:sz w:val="24"/>
          <w:szCs w:val="24"/>
        </w:rPr>
        <w:t>OMB CONTROL NO.</w:t>
      </w:r>
      <w:r w:rsidR="004D6F7D">
        <w:rPr>
          <w:b/>
          <w:bCs/>
          <w:sz w:val="24"/>
          <w:szCs w:val="24"/>
        </w:rPr>
        <w:t>:</w:t>
      </w:r>
      <w:r w:rsidRPr="00BF6D43">
        <w:rPr>
          <w:b/>
          <w:bCs/>
          <w:sz w:val="24"/>
          <w:szCs w:val="24"/>
        </w:rPr>
        <w:t xml:space="preserve"> </w:t>
      </w:r>
      <w:r w:rsidRPr="00BF6D43" w:rsidR="00E81562">
        <w:rPr>
          <w:b/>
          <w:bCs/>
          <w:sz w:val="24"/>
          <w:szCs w:val="24"/>
        </w:rPr>
        <w:t>3170-0</w:t>
      </w:r>
      <w:r w:rsidR="001650D5">
        <w:rPr>
          <w:b/>
          <w:bCs/>
          <w:sz w:val="24"/>
          <w:szCs w:val="24"/>
        </w:rPr>
        <w:t>0</w:t>
      </w:r>
      <w:r w:rsidR="00287D9B">
        <w:rPr>
          <w:b/>
          <w:bCs/>
          <w:sz w:val="24"/>
          <w:szCs w:val="24"/>
        </w:rPr>
        <w:t>69</w:t>
      </w:r>
    </w:p>
    <w:p w:rsidR="00A4452C" w:rsidRPr="00BF6D43" w:rsidP="000F0DD6" w14:paraId="7DC5C315" w14:textId="0B2A5A15">
      <w:pPr>
        <w:tabs>
          <w:tab w:val="left" w:pos="880"/>
        </w:tabs>
        <w:rPr>
          <w:b/>
          <w:caps/>
          <w:sz w:val="24"/>
        </w:rPr>
      </w:pPr>
      <w:r w:rsidRPr="00BF6D43">
        <w:rPr>
          <w:b/>
          <w:caps/>
          <w:sz w:val="24"/>
        </w:rPr>
        <w:tab/>
      </w:r>
    </w:p>
    <w:p w:rsidR="005F1FFC" w:rsidRPr="00BF6D43" w:rsidP="005F1FFC" w14:paraId="14A29F18" w14:textId="77777777">
      <w:pPr>
        <w:jc w:val="center"/>
        <w:rPr>
          <w:b/>
          <w:sz w:val="24"/>
        </w:rPr>
      </w:pPr>
    </w:p>
    <w:p w:rsidR="005F1FFC" w:rsidRPr="00BF6D43" w:rsidP="005F1FFC" w14:paraId="3DBE2AB2" w14:textId="77777777">
      <w:pPr>
        <w:rPr>
          <w:b/>
          <w:sz w:val="24"/>
        </w:rPr>
      </w:pPr>
      <w:r w:rsidRPr="00BF6D43">
        <w:rPr>
          <w:b/>
          <w:sz w:val="24"/>
        </w:rPr>
        <w:t xml:space="preserve">A.  </w:t>
      </w:r>
      <w:r w:rsidRPr="00BF6D43">
        <w:rPr>
          <w:b/>
          <w:caps/>
          <w:sz w:val="24"/>
        </w:rPr>
        <w:t>Justification</w:t>
      </w:r>
    </w:p>
    <w:p w:rsidR="005F1FFC" w:rsidRPr="00BF6D43" w:rsidP="005F1FFC" w14:paraId="4378B360" w14:textId="77777777">
      <w:pPr>
        <w:rPr>
          <w:b/>
          <w:sz w:val="24"/>
        </w:rPr>
      </w:pPr>
    </w:p>
    <w:p w:rsidR="00092D91" w:rsidRPr="00287D9B" w:rsidP="00287D9B" w14:paraId="08863302" w14:textId="2FB60441">
      <w:pPr>
        <w:rPr>
          <w:b/>
          <w:bCs/>
          <w:sz w:val="24"/>
        </w:rPr>
      </w:pPr>
      <w:r w:rsidRPr="00287D9B">
        <w:rPr>
          <w:b/>
          <w:bCs/>
          <w:sz w:val="24"/>
        </w:rPr>
        <w:t>1.</w:t>
      </w:r>
      <w:r>
        <w:rPr>
          <w:b/>
          <w:bCs/>
          <w:sz w:val="24"/>
        </w:rPr>
        <w:t xml:space="preserve">  </w:t>
      </w:r>
      <w:bookmarkStart w:id="0" w:name="_Hlk133996609"/>
      <w:r w:rsidRPr="00287D9B">
        <w:rPr>
          <w:b/>
          <w:bCs/>
          <w:sz w:val="24"/>
        </w:rPr>
        <w:t>Explain the circumstances that make the collection of information necessary</w:t>
      </w:r>
      <w:bookmarkEnd w:id="0"/>
      <w:r w:rsidRPr="00287D9B">
        <w:rPr>
          <w:b/>
          <w:bCs/>
          <w:sz w:val="24"/>
        </w:rPr>
        <w:t>.  Identify any legal or administrative requirements that necessitate the collection.  Attach a copy of the appropriate section of each statute and regulation mandating or authorizing the collection of information.</w:t>
      </w:r>
    </w:p>
    <w:p w:rsidR="00287D9B" w:rsidRPr="00287D9B" w:rsidP="00287D9B" w14:paraId="0770C081" w14:textId="77777777"/>
    <w:p w:rsidR="00287D9B" w:rsidRPr="00287D9B" w:rsidP="00287D9B" w14:paraId="3E8EF37E" w14:textId="77777777">
      <w:pPr>
        <w:rPr>
          <w:sz w:val="24"/>
        </w:rPr>
      </w:pPr>
      <w:r w:rsidRPr="00287D9B">
        <w:rPr>
          <w:sz w:val="24"/>
        </w:rPr>
        <w:t xml:space="preserve">The CFPB’s consumer complaint functions are established by statute.  Section 1013 of the Dodd Frank Wall Street Reform and Consumer Protection Act of 2010 (“Dodd-Frank Act”) instructs the Bureau to create a unit whose functions include collecting, monitoring, and responding to consumer complaints about consumer financial products and services.  The consumer complaint process is designed to ensure that consumers receive timely responses from companies to their complaints. </w:t>
      </w:r>
    </w:p>
    <w:p w:rsidR="00287D9B" w:rsidRPr="00287D9B" w:rsidP="00287D9B" w14:paraId="0D1FF07C" w14:textId="77777777">
      <w:pPr>
        <w:rPr>
          <w:sz w:val="24"/>
        </w:rPr>
      </w:pPr>
      <w:r w:rsidRPr="00287D9B">
        <w:rPr>
          <w:sz w:val="24"/>
        </w:rPr>
        <w:t xml:space="preserve"> </w:t>
      </w:r>
    </w:p>
    <w:p w:rsidR="00287D9B" w:rsidRPr="00287D9B" w:rsidP="00287D9B" w14:paraId="1D597202" w14:textId="634AF07A">
      <w:pPr>
        <w:rPr>
          <w:sz w:val="24"/>
        </w:rPr>
      </w:pPr>
      <w:r w:rsidRPr="00287D9B">
        <w:rPr>
          <w:sz w:val="24"/>
        </w:rPr>
        <w:t>Section 1021 of the Dodd-Frank Act requires the CFPB to seek to ensure that all consumers have access to fair, transparent, and competitive markets for consumer financial products and services</w:t>
      </w:r>
      <w:r w:rsidR="004158E8">
        <w:rPr>
          <w:sz w:val="24"/>
        </w:rPr>
        <w:t>:</w:t>
      </w:r>
      <w:r w:rsidRPr="00287D9B">
        <w:rPr>
          <w:sz w:val="24"/>
        </w:rPr>
        <w:t xml:space="preserve"> </w:t>
      </w:r>
    </w:p>
    <w:p w:rsidR="00287D9B" w:rsidRPr="00287D9B" w:rsidP="00287D9B" w14:paraId="0B77699B" w14:textId="77777777">
      <w:pPr>
        <w:numPr>
          <w:ilvl w:val="0"/>
          <w:numId w:val="23"/>
        </w:numPr>
        <w:rPr>
          <w:sz w:val="24"/>
        </w:rPr>
      </w:pPr>
      <w:r w:rsidRPr="00287D9B">
        <w:rPr>
          <w:sz w:val="24"/>
        </w:rPr>
        <w:t xml:space="preserve">Section 1021 specifies that the Bureau shall collect, investigate, and respond to consumer complaints.    </w:t>
      </w:r>
    </w:p>
    <w:p w:rsidR="00287D9B" w:rsidRPr="00287D9B" w:rsidP="00287D9B" w14:paraId="7F1B1F98" w14:textId="77777777">
      <w:pPr>
        <w:numPr>
          <w:ilvl w:val="0"/>
          <w:numId w:val="23"/>
        </w:numPr>
        <w:rPr>
          <w:sz w:val="24"/>
        </w:rPr>
      </w:pPr>
      <w:r w:rsidRPr="00287D9B">
        <w:rPr>
          <w:sz w:val="24"/>
        </w:rPr>
        <w:t xml:space="preserve">Section 1021 also tasks the CFPB with collecting, researching, publishing, and monitoring information relevant to the functioning of markets for consumer financial products and services to identify risks to consumers and the proper functioning of these markets.   </w:t>
      </w:r>
    </w:p>
    <w:p w:rsidR="00287D9B" w:rsidRPr="00287D9B" w:rsidP="00287D9B" w14:paraId="4E980493" w14:textId="53E86281">
      <w:pPr>
        <w:numPr>
          <w:ilvl w:val="0"/>
          <w:numId w:val="23"/>
        </w:numPr>
        <w:rPr>
          <w:sz w:val="24"/>
        </w:rPr>
      </w:pPr>
      <w:r w:rsidRPr="00287D9B">
        <w:rPr>
          <w:sz w:val="24"/>
        </w:rPr>
        <w:t xml:space="preserve">Further, section 1022 directs the CFPB to monitor for risks to consumers in the offering or provision of consumer financial products or services, including developments in the markets for them. </w:t>
      </w:r>
      <w:r w:rsidR="00E14D33">
        <w:rPr>
          <w:sz w:val="24"/>
        </w:rPr>
        <w:t xml:space="preserve"> </w:t>
      </w:r>
      <w:r w:rsidRPr="00287D9B">
        <w:rPr>
          <w:sz w:val="24"/>
        </w:rPr>
        <w:t xml:space="preserve">To further this function, section 1022 also authorizes the Bureau to gather information through consumer complaints and make such information public. </w:t>
      </w:r>
    </w:p>
    <w:p w:rsidR="00287D9B" w:rsidRPr="00287D9B" w:rsidP="00287D9B" w14:paraId="38F46D12" w14:textId="77777777">
      <w:pPr>
        <w:numPr>
          <w:ilvl w:val="0"/>
          <w:numId w:val="23"/>
        </w:numPr>
        <w:rPr>
          <w:sz w:val="24"/>
        </w:rPr>
      </w:pPr>
      <w:r w:rsidRPr="00287D9B">
        <w:rPr>
          <w:sz w:val="24"/>
        </w:rPr>
        <w:t xml:space="preserve">Section 1034 requires certain covered persons to provide a timely response concerning consumer complaints, including— </w:t>
      </w:r>
    </w:p>
    <w:p w:rsidR="00287D9B" w:rsidRPr="00287D9B" w:rsidP="00287D9B" w14:paraId="14091413" w14:textId="77777777">
      <w:pPr>
        <w:numPr>
          <w:ilvl w:val="1"/>
          <w:numId w:val="23"/>
        </w:numPr>
        <w:rPr>
          <w:sz w:val="24"/>
        </w:rPr>
      </w:pPr>
      <w:r w:rsidRPr="00287D9B">
        <w:rPr>
          <w:sz w:val="24"/>
        </w:rPr>
        <w:t xml:space="preserve">steps that have been taken by the covered person to respond to the complaint or inquiry of the consumer; </w:t>
      </w:r>
    </w:p>
    <w:p w:rsidR="00287D9B" w:rsidRPr="00287D9B" w:rsidP="00287D9B" w14:paraId="3B53C9C9" w14:textId="77777777">
      <w:pPr>
        <w:numPr>
          <w:ilvl w:val="1"/>
          <w:numId w:val="23"/>
        </w:numPr>
        <w:rPr>
          <w:sz w:val="24"/>
        </w:rPr>
      </w:pPr>
      <w:r w:rsidRPr="00287D9B">
        <w:rPr>
          <w:sz w:val="24"/>
        </w:rPr>
        <w:t xml:space="preserve">responses received by the covered person from the consumer; and </w:t>
      </w:r>
    </w:p>
    <w:p w:rsidR="00287D9B" w:rsidRPr="00287D9B" w:rsidP="00287D9B" w14:paraId="1870F64B" w14:textId="77777777">
      <w:pPr>
        <w:numPr>
          <w:ilvl w:val="1"/>
          <w:numId w:val="23"/>
        </w:numPr>
        <w:rPr>
          <w:sz w:val="24"/>
        </w:rPr>
      </w:pPr>
      <w:r w:rsidRPr="00287D9B">
        <w:rPr>
          <w:sz w:val="24"/>
        </w:rPr>
        <w:t xml:space="preserve">follow-up actions or planned follow-up actions by the covered person to respond to the complaint or inquiry of the consumer. </w:t>
      </w:r>
    </w:p>
    <w:p w:rsidR="00287D9B" w:rsidRPr="00287D9B" w:rsidP="00287D9B" w14:paraId="40A55FA8" w14:textId="77777777">
      <w:pPr>
        <w:numPr>
          <w:ilvl w:val="0"/>
          <w:numId w:val="23"/>
        </w:numPr>
        <w:rPr>
          <w:sz w:val="24"/>
        </w:rPr>
      </w:pPr>
      <w:r w:rsidRPr="00287D9B">
        <w:rPr>
          <w:sz w:val="24"/>
        </w:rPr>
        <w:t xml:space="preserve">Section 1013 directs that information about the resolution of consumer complaints must be included in an annual report to Congress. </w:t>
      </w:r>
    </w:p>
    <w:p w:rsidR="00287D9B" w:rsidRPr="00287D9B" w:rsidP="00287D9B" w14:paraId="235383A7" w14:textId="77777777">
      <w:pPr>
        <w:rPr>
          <w:sz w:val="24"/>
        </w:rPr>
      </w:pPr>
      <w:r w:rsidRPr="00287D9B">
        <w:rPr>
          <w:sz w:val="24"/>
        </w:rPr>
        <w:t xml:space="preserve"> </w:t>
      </w:r>
    </w:p>
    <w:p w:rsidR="005F1FFC" w:rsidRPr="0074129E" w:rsidP="0074129E" w14:paraId="1F5F91FF" w14:textId="0753AFCE">
      <w:pPr>
        <w:keepNext/>
        <w:spacing w:before="240" w:after="60"/>
        <w:outlineLvl w:val="1"/>
        <w:rPr>
          <w:bCs/>
          <w:iCs/>
          <w:color w:val="000000"/>
          <w:sz w:val="24"/>
          <w:szCs w:val="24"/>
        </w:rPr>
      </w:pPr>
      <w:r w:rsidRPr="00287D9B">
        <w:rPr>
          <w:sz w:val="24"/>
        </w:rPr>
        <w:t xml:space="preserve">The questions in this survey help the CFPB better understand the company’s steps to respond to consumer complaints, the information received by the company from the consumer, and the company’s follow-up actions. </w:t>
      </w:r>
      <w:r w:rsidR="00FF6FE3">
        <w:rPr>
          <w:sz w:val="24"/>
        </w:rPr>
        <w:t xml:space="preserve"> </w:t>
      </w:r>
      <w:r w:rsidRPr="00287D9B">
        <w:rPr>
          <w:sz w:val="24"/>
        </w:rPr>
        <w:t xml:space="preserve">CFPB is better informed about the resolution of consumer complaints, company follow-up actions, market developments, and risks in these markets by having more information regarding whether company responses to consumer complaints are </w:t>
      </w:r>
      <w:r w:rsidRPr="00287D9B" w:rsidR="00744468">
        <w:rPr>
          <w:sz w:val="24"/>
        </w:rPr>
        <w:t>addressing</w:t>
      </w:r>
      <w:r w:rsidRPr="00287D9B">
        <w:rPr>
          <w:sz w:val="24"/>
        </w:rPr>
        <w:t xml:space="preserve"> the issues raised in the complaints; whether the company’s response is understood by the consumer; and, whether the company did what they said they would do in response to a consumer complaint.</w:t>
      </w:r>
      <w:r w:rsidR="0074129E">
        <w:rPr>
          <w:sz w:val="24"/>
        </w:rPr>
        <w:t xml:space="preserve"> </w:t>
      </w:r>
      <w:r w:rsidR="00964D95">
        <w:rPr>
          <w:sz w:val="24"/>
        </w:rPr>
        <w:t xml:space="preserve"> </w:t>
      </w:r>
    </w:p>
    <w:p w:rsidR="00E939D3" w:rsidRPr="00BF6D43" w:rsidP="005F1FFC" w14:paraId="2A8A43BC" w14:textId="77777777">
      <w:pPr>
        <w:rPr>
          <w:sz w:val="24"/>
        </w:rPr>
      </w:pPr>
    </w:p>
    <w:p w:rsidR="00092D91" w:rsidRPr="00BF6D43" w:rsidP="00092D91" w14:paraId="15554E87" w14:textId="77777777">
      <w:pPr>
        <w:rPr>
          <w:sz w:val="24"/>
        </w:rPr>
      </w:pPr>
      <w:r w:rsidRPr="00BF6D43">
        <w:rPr>
          <w:b/>
          <w:bCs/>
          <w:sz w:val="24"/>
        </w:rPr>
        <w:t>2.  Indicate how, by whom, and for what purpose the information is to be used.  Except for a new collection, indicate the actual use the agency has made of the information received from the current collection.</w:t>
      </w:r>
    </w:p>
    <w:p w:rsidR="005F1FFC" w:rsidP="005F1FFC" w14:paraId="04B2529C" w14:textId="60E25ECC">
      <w:pPr>
        <w:rPr>
          <w:sz w:val="24"/>
        </w:rPr>
      </w:pPr>
    </w:p>
    <w:p w:rsidR="00287D9B" w:rsidRPr="00BF6D43" w:rsidP="005F1FFC" w14:paraId="675B9039" w14:textId="246E3995">
      <w:pPr>
        <w:rPr>
          <w:sz w:val="24"/>
        </w:rPr>
      </w:pPr>
      <w:r w:rsidRPr="00287D9B">
        <w:rPr>
          <w:sz w:val="24"/>
        </w:rPr>
        <w:t xml:space="preserve">The results of this feedback are shared with the company that responded to the complaint to inform their complaint handling.  The feedback also informs CFPB’s work to assess the accuracy, completeness, and timeliness of company responses. </w:t>
      </w:r>
      <w:r w:rsidR="00C94B76">
        <w:rPr>
          <w:sz w:val="24"/>
        </w:rPr>
        <w:t xml:space="preserve"> </w:t>
      </w:r>
      <w:r w:rsidRPr="00287D9B">
        <w:rPr>
          <w:sz w:val="24"/>
        </w:rPr>
        <w:t>This information is used solely by the consumer response division in connection with its complaint system, this information is not used for supervisory or enforcement purposes, nor to measure regulatory compliance</w:t>
      </w:r>
    </w:p>
    <w:p w:rsidR="00E939D3" w:rsidRPr="00BF6D43" w:rsidP="005F1FFC" w14:paraId="19B9EB12" w14:textId="77777777"/>
    <w:p w:rsidR="00092D91" w:rsidP="00092D91" w14:paraId="0C7BE16B" w14:textId="24FDE9EC">
      <w:pPr>
        <w:rPr>
          <w:b/>
          <w:bCs/>
          <w:sz w:val="24"/>
          <w:szCs w:val="24"/>
        </w:rPr>
      </w:pPr>
      <w:r w:rsidRPr="00BF6D43">
        <w:rPr>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87D9B" w:rsidP="00092D91" w14:paraId="3C03BFF4" w14:textId="76E7B679">
      <w:pPr>
        <w:rPr>
          <w:b/>
          <w:bCs/>
          <w:sz w:val="24"/>
          <w:szCs w:val="24"/>
        </w:rPr>
      </w:pPr>
    </w:p>
    <w:p w:rsidR="00287D9B" w:rsidRPr="00287D9B" w:rsidP="00287D9B" w14:paraId="7A71A4A8" w14:textId="77777777">
      <w:pPr>
        <w:spacing w:after="4" w:line="248" w:lineRule="auto"/>
        <w:ind w:left="-5" w:hanging="10"/>
        <w:rPr>
          <w:color w:val="000000"/>
          <w:sz w:val="24"/>
          <w:szCs w:val="22"/>
        </w:rPr>
      </w:pPr>
      <w:r w:rsidRPr="00287D9B">
        <w:rPr>
          <w:color w:val="000000"/>
          <w:sz w:val="24"/>
          <w:szCs w:val="22"/>
        </w:rPr>
        <w:t>This survey will be available to consumers online and by phone.</w:t>
      </w:r>
    </w:p>
    <w:p w:rsidR="00E939D3" w:rsidRPr="00BF6D43" w:rsidP="00E81562" w14:paraId="7CEBA56C" w14:textId="77777777">
      <w:pPr>
        <w:rPr>
          <w:b/>
          <w:sz w:val="24"/>
        </w:rPr>
      </w:pPr>
    </w:p>
    <w:p w:rsidR="00092D91" w:rsidRPr="00BF6D43" w:rsidP="00092D91" w14:paraId="77362514"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sz w:val="24"/>
          <w:szCs w:val="24"/>
        </w:rPr>
        <w:t xml:space="preserve">4.  </w:t>
      </w:r>
      <w:r w:rsidRPr="00BF6D43">
        <w:rPr>
          <w:b/>
          <w:bCs/>
          <w:sz w:val="24"/>
          <w:szCs w:val="24"/>
        </w:rPr>
        <w:t>Describe efforts to identify duplication.  Show specifically why any similar information already available cannot be used or modified for use for the purposes described in Item A.2 above.</w:t>
      </w:r>
    </w:p>
    <w:p w:rsidR="005F1FFC" w:rsidP="005F1FFC" w14:paraId="7339726A" w14:textId="407E65FC">
      <w:pPr>
        <w:rPr>
          <w:sz w:val="24"/>
        </w:rPr>
      </w:pPr>
    </w:p>
    <w:p w:rsidR="00287D9B" w:rsidRPr="00BF6D43" w:rsidP="005F1FFC" w14:paraId="4C1B59A0" w14:textId="73668086">
      <w:pPr>
        <w:rPr>
          <w:sz w:val="24"/>
        </w:rPr>
      </w:pPr>
      <w:r w:rsidRPr="00287D9B">
        <w:rPr>
          <w:sz w:val="24"/>
        </w:rPr>
        <w:t xml:space="preserve">The responses are unique to each consumer’s experience with the company’s response to their complaint. </w:t>
      </w:r>
      <w:r w:rsidR="00E907E5">
        <w:rPr>
          <w:sz w:val="24"/>
        </w:rPr>
        <w:t xml:space="preserve"> </w:t>
      </w:r>
      <w:r w:rsidRPr="00287D9B">
        <w:rPr>
          <w:sz w:val="24"/>
        </w:rPr>
        <w:t>As such, the information is not available from any other source.</w:t>
      </w:r>
    </w:p>
    <w:p w:rsidR="00BE61FE" w:rsidRPr="00BF6D43" w:rsidP="005F1FFC" w14:paraId="1111F676" w14:textId="77777777">
      <w:pPr>
        <w:rPr>
          <w:sz w:val="24"/>
        </w:rPr>
      </w:pPr>
    </w:p>
    <w:p w:rsidR="00092D91" w:rsidRPr="00BF6D43" w:rsidP="00092D91" w14:paraId="78977288" w14:textId="77777777">
      <w:pPr>
        <w:pStyle w:val="BodyText"/>
        <w:rPr>
          <w:b/>
        </w:rPr>
      </w:pPr>
      <w:r w:rsidRPr="00BF6D43">
        <w:rPr>
          <w:b/>
        </w:rPr>
        <w:t xml:space="preserve">5.  </w:t>
      </w:r>
      <w:r w:rsidRPr="00BF6D43">
        <w:rPr>
          <w:b/>
          <w:bCs/>
        </w:rPr>
        <w:t xml:space="preserve">If the collection of information impacts </w:t>
      </w:r>
      <w:bookmarkStart w:id="1" w:name="_Hlk137634366"/>
      <w:r w:rsidRPr="00BF6D43">
        <w:rPr>
          <w:b/>
          <w:bCs/>
        </w:rPr>
        <w:t>small businesses or other small entities</w:t>
      </w:r>
      <w:bookmarkEnd w:id="1"/>
      <w:r w:rsidRPr="00BF6D43">
        <w:rPr>
          <w:b/>
          <w:bCs/>
        </w:rPr>
        <w:t>, describe any methods used to minimize burden.</w:t>
      </w:r>
    </w:p>
    <w:p w:rsidR="005F1FFC" w:rsidRPr="00BF6D43" w:rsidP="00092D91" w14:paraId="6511B9A0" w14:textId="77777777">
      <w:pPr>
        <w:pStyle w:val="BodyText"/>
      </w:pPr>
    </w:p>
    <w:p w:rsidR="00E939D3" w:rsidP="005F1FFC" w14:paraId="2EE74F06" w14:textId="5C7C9DE6">
      <w:pPr>
        <w:pStyle w:val="BodyText"/>
      </w:pPr>
      <w:r>
        <w:t xml:space="preserve">Collection of this </w:t>
      </w:r>
      <w:r w:rsidR="0063657F">
        <w:t>information does not impact</w:t>
      </w:r>
      <w:r>
        <w:t xml:space="preserve"> </w:t>
      </w:r>
      <w:r w:rsidRPr="00185C61">
        <w:t>small businesses or other small entities</w:t>
      </w:r>
      <w:r w:rsidR="00287D9B">
        <w:t>.</w:t>
      </w:r>
    </w:p>
    <w:p w:rsidR="00B601DB" w:rsidRPr="00BF6D43" w:rsidP="005F1FFC" w14:paraId="5346F26A" w14:textId="77777777">
      <w:pPr>
        <w:pStyle w:val="BodyText"/>
      </w:pPr>
    </w:p>
    <w:p w:rsidR="00F660E8" w:rsidRPr="00BF6D43" w:rsidP="00F660E8" w14:paraId="7ACF7470" w14:textId="77777777">
      <w:pPr>
        <w:rPr>
          <w:b/>
          <w:sz w:val="24"/>
          <w:szCs w:val="24"/>
        </w:rPr>
      </w:pPr>
      <w:r w:rsidRPr="00BF6D43">
        <w:rPr>
          <w:b/>
          <w:sz w:val="24"/>
          <w:szCs w:val="24"/>
        </w:rPr>
        <w:t xml:space="preserve">6.  </w:t>
      </w:r>
      <w:r w:rsidRPr="00BF6D43">
        <w:rPr>
          <w:b/>
          <w:bCs/>
          <w:sz w:val="24"/>
          <w:szCs w:val="24"/>
        </w:rPr>
        <w:t xml:space="preserve">Describe the consequence to federal program or policy activities if the collection is not conducted or is conducted less frequently, as well as any technical or legal obstacles to reducing burden. </w:t>
      </w:r>
    </w:p>
    <w:p w:rsidR="005F1FFC" w:rsidP="005F1FFC" w14:paraId="039568CD" w14:textId="741E3260">
      <w:pPr>
        <w:rPr>
          <w:sz w:val="24"/>
        </w:rPr>
      </w:pPr>
    </w:p>
    <w:p w:rsidR="000B49C3" w:rsidRPr="00BF6D43" w:rsidP="005F1FFC" w14:paraId="457F8B81" w14:textId="35C21D6B">
      <w:pPr>
        <w:rPr>
          <w:sz w:val="24"/>
        </w:rPr>
      </w:pPr>
      <w:r w:rsidRPr="000B49C3">
        <w:rPr>
          <w:sz w:val="24"/>
        </w:rPr>
        <w:t>The consequences of less frequent collection would be less timely feedback on consumer satisfaction with the company’s response to and handling of the consumer’s complaint.</w:t>
      </w:r>
    </w:p>
    <w:p w:rsidR="00E939D3" w:rsidRPr="00BF6D43" w:rsidP="00BE61FE" w14:paraId="224E9EAF" w14:textId="77777777">
      <w:pPr>
        <w:rPr>
          <w:sz w:val="24"/>
        </w:rPr>
      </w:pPr>
    </w:p>
    <w:p w:rsidR="00F660E8" w:rsidRPr="00BF6D43" w:rsidP="00F660E8" w14:paraId="3D2A64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F6D43">
        <w:rPr>
          <w:b/>
          <w:sz w:val="24"/>
          <w:szCs w:val="24"/>
        </w:rPr>
        <w:t xml:space="preserve">7.  </w:t>
      </w:r>
      <w:r w:rsidRPr="00BF6D43">
        <w:rPr>
          <w:b/>
          <w:bCs/>
          <w:sz w:val="24"/>
          <w:szCs w:val="24"/>
        </w:rPr>
        <w:t>Explain any special circumstances that would cause an information collection to be conducted in a manner:</w:t>
      </w:r>
    </w:p>
    <w:p w:rsidR="00F660E8" w:rsidRPr="00BF6D43" w:rsidP="00F660E8" w14:paraId="1E4D6E0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requiring respondents to report information to the agency more often than quarterly;</w:t>
      </w:r>
    </w:p>
    <w:p w:rsidR="00F660E8" w:rsidRPr="00BF6D43" w:rsidP="00F660E8" w14:paraId="1B834044"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requiring respondents to prepare a written response to a collection of information in fewer than 30 days after receipt of it;</w:t>
      </w:r>
    </w:p>
    <w:p w:rsidR="00F660E8" w:rsidRPr="00BF6D43" w:rsidP="00F660E8" w14:paraId="154520E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requiring respondents to submit more than an original and two copies of any document;</w:t>
      </w:r>
    </w:p>
    <w:p w:rsidR="00F660E8" w:rsidRPr="00BF6D43" w:rsidP="00F660E8" w14:paraId="180B501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requiring respondents to retain records, other than health, medical, government contract, grant-in-aid, or tax records for more than three years;</w:t>
      </w:r>
    </w:p>
    <w:p w:rsidR="00F660E8" w:rsidRPr="00BF6D43" w:rsidP="00F660E8" w14:paraId="050BB7CE"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in connection with a statistical survey, that is not designed to produce valid and reliable results that can be generalized to the universe of study;</w:t>
      </w:r>
    </w:p>
    <w:p w:rsidR="00F660E8" w:rsidRPr="00BF6D43" w:rsidP="00F660E8" w14:paraId="2D971794"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requiring the use of statistical data classification that has not been reviewed and approved by OMB;</w:t>
      </w:r>
    </w:p>
    <w:p w:rsidR="00F660E8" w:rsidRPr="00BF6D43" w:rsidP="00F660E8" w14:paraId="1870560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660E8" w:rsidRPr="00BF6D43" w:rsidP="00F660E8" w14:paraId="28A0BBB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F6D43">
        <w:rPr>
          <w:b/>
          <w:bCs/>
        </w:rPr>
        <w:t>requiring respondents to submit proprietary trade secret, or other confidential information unless the agency can demonstrate that it has instituted procedures to protect the information's confidentially to the extent permitted by law.</w:t>
      </w:r>
    </w:p>
    <w:p w:rsidR="005F1FFC" w:rsidP="000B49C3" w14:paraId="394DE9F1" w14:textId="4B873DA0">
      <w:pPr>
        <w:rPr>
          <w:sz w:val="24"/>
        </w:rPr>
      </w:pPr>
    </w:p>
    <w:p w:rsidR="000B49C3" w:rsidRPr="00BF6D43" w:rsidP="000B49C3" w14:paraId="1E54092E" w14:textId="76434A29">
      <w:pPr>
        <w:rPr>
          <w:sz w:val="24"/>
        </w:rPr>
      </w:pPr>
      <w:r w:rsidRPr="000B49C3">
        <w:rPr>
          <w:sz w:val="24"/>
        </w:rPr>
        <w:t>There are no special circumstances.  The collection of information is conducted in a manner consistent with the guidelines in 5 C.F.R. 1320. 5(d)(2).</w:t>
      </w:r>
    </w:p>
    <w:p w:rsidR="00E939D3" w:rsidRPr="00BF6D43" w:rsidP="005F1FFC" w14:paraId="630F2A4B" w14:textId="77777777">
      <w:pPr>
        <w:ind w:left="720"/>
        <w:rPr>
          <w:sz w:val="24"/>
        </w:rPr>
      </w:pPr>
    </w:p>
    <w:p w:rsidR="00F660E8" w:rsidRPr="00BF6D43" w:rsidP="00F660E8" w14:paraId="57D65F4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sz w:val="24"/>
          <w:szCs w:val="24"/>
        </w:rPr>
        <w:t xml:space="preserve">8.  </w:t>
      </w:r>
      <w:r w:rsidRPr="00BF6D43">
        <w:rPr>
          <w:b/>
          <w:b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660E8" w:rsidRPr="00BF6D43" w:rsidP="00F660E8" w14:paraId="561307E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F660E8" w:rsidRPr="00BF6D43" w:rsidP="00F660E8" w14:paraId="3324121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660E8" w:rsidRPr="00BF6D43" w:rsidP="00F660E8" w14:paraId="09D629D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F660E8" w:rsidRPr="00BF6D43" w:rsidP="00F660E8" w14:paraId="7810B74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bCs/>
          <w:sz w:val="24"/>
          <w:szCs w:val="24"/>
        </w:rPr>
        <w:t xml:space="preserve">Consultation with representatives of those from whom information is to be obtained or those who must compile records should occur at least once every 3 years -- even if the collection-of-information activity is the same as in prior periods.  There may be </w:t>
      </w:r>
      <w:r w:rsidRPr="00BF6D43">
        <w:rPr>
          <w:b/>
          <w:bCs/>
          <w:sz w:val="24"/>
          <w:szCs w:val="24"/>
        </w:rPr>
        <w:t>circumstances that may preclude consultation in a specific situation.  These circumstances should be explained.</w:t>
      </w:r>
    </w:p>
    <w:p w:rsidR="005F1FFC" w:rsidRPr="00BF6D43" w:rsidP="005F1FFC" w14:paraId="3454479C" w14:textId="77777777">
      <w:pPr>
        <w:rPr>
          <w:sz w:val="24"/>
        </w:rPr>
      </w:pPr>
    </w:p>
    <w:p w:rsidR="006F10DA" w:rsidP="006F10DA" w14:paraId="3ED071C0" w14:textId="2DE4023A">
      <w:pPr>
        <w:rPr>
          <w:bCs/>
          <w:sz w:val="24"/>
          <w:szCs w:val="24"/>
        </w:rPr>
      </w:pPr>
      <w:r w:rsidRPr="00BC56A2">
        <w:rPr>
          <w:bCs/>
          <w:sz w:val="24"/>
        </w:rPr>
        <w:t>In accordance with 5 CFR §1320.8(d)(1), the Bureau has published a notice</w:t>
      </w:r>
      <w:r w:rsidRPr="00BF6D43">
        <w:rPr>
          <w:bCs/>
          <w:sz w:val="24"/>
        </w:rPr>
        <w:t xml:space="preserve"> in</w:t>
      </w:r>
      <w:r w:rsidRPr="00BC56A2">
        <w:rPr>
          <w:bCs/>
          <w:sz w:val="24"/>
        </w:rPr>
        <w:t xml:space="preserve"> </w:t>
      </w:r>
      <w:r w:rsidRPr="00BC56A2">
        <w:rPr>
          <w:bCs/>
          <w:iCs/>
          <w:sz w:val="24"/>
        </w:rPr>
        <w:t>Federal Register</w:t>
      </w:r>
      <w:r w:rsidRPr="00BC56A2">
        <w:rPr>
          <w:bCs/>
          <w:sz w:val="24"/>
        </w:rPr>
        <w:t xml:space="preserve"> </w:t>
      </w:r>
      <w:r w:rsidRPr="00BF6D43">
        <w:rPr>
          <w:bCs/>
          <w:sz w:val="24"/>
        </w:rPr>
        <w:t>that provides</w:t>
      </w:r>
      <w:r w:rsidRPr="00BC56A2">
        <w:rPr>
          <w:bCs/>
          <w:sz w:val="24"/>
        </w:rPr>
        <w:t xml:space="preserve"> the public 60 </w:t>
      </w:r>
      <w:r w:rsidRPr="00BF6D43">
        <w:rPr>
          <w:bCs/>
          <w:sz w:val="24"/>
        </w:rPr>
        <w:t xml:space="preserve">calendar </w:t>
      </w:r>
      <w:r w:rsidRPr="00BC56A2">
        <w:rPr>
          <w:bCs/>
          <w:sz w:val="24"/>
        </w:rPr>
        <w:t>days to comment on the extension of</w:t>
      </w:r>
      <w:r w:rsidRPr="00BF6D43">
        <w:rPr>
          <w:bCs/>
          <w:sz w:val="24"/>
        </w:rPr>
        <w:t xml:space="preserve"> reporting requirements contained within OMB Control No. 3170-00</w:t>
      </w:r>
      <w:r w:rsidR="00DE0F71">
        <w:rPr>
          <w:bCs/>
          <w:sz w:val="24"/>
        </w:rPr>
        <w:t>69</w:t>
      </w:r>
      <w:r w:rsidRPr="00BF6D43">
        <w:rPr>
          <w:bCs/>
          <w:sz w:val="24"/>
        </w:rPr>
        <w:t>.</w:t>
      </w:r>
      <w:r>
        <w:rPr>
          <w:rStyle w:val="FootnoteReference"/>
          <w:bCs/>
          <w:sz w:val="24"/>
        </w:rPr>
        <w:footnoteReference w:id="2"/>
      </w:r>
      <w:r w:rsidR="00DD447D">
        <w:rPr>
          <w:bCs/>
          <w:sz w:val="24"/>
        </w:rPr>
        <w:t xml:space="preserve"> </w:t>
      </w:r>
      <w:r>
        <w:rPr>
          <w:bCs/>
          <w:sz w:val="24"/>
        </w:rPr>
        <w:t xml:space="preserve"> </w:t>
      </w:r>
      <w:r>
        <w:rPr>
          <w:bCs/>
          <w:sz w:val="24"/>
          <w:szCs w:val="24"/>
        </w:rPr>
        <w:t>The Bureau received four comments and was determined not to be relevant to the collection, therefore no response from the Bureau is necessary.</w:t>
      </w:r>
    </w:p>
    <w:p w:rsidR="004E1F5B" w:rsidRPr="00BC56A2" w:rsidP="00BC56A2" w14:paraId="13830F01" w14:textId="77777777">
      <w:pPr>
        <w:rPr>
          <w:bCs/>
          <w:sz w:val="24"/>
        </w:rPr>
      </w:pPr>
    </w:p>
    <w:p w:rsidR="00BE61FE" w:rsidRPr="00BF6D43" w:rsidP="00BC56A2" w14:paraId="18A7A451" w14:textId="572A84AE">
      <w:pPr>
        <w:rPr>
          <w:bCs/>
          <w:sz w:val="24"/>
        </w:rPr>
      </w:pPr>
      <w:r w:rsidRPr="00BF6D43">
        <w:rPr>
          <w:bCs/>
          <w:sz w:val="24"/>
        </w:rPr>
        <w:t xml:space="preserve">Also, </w:t>
      </w:r>
      <w:r w:rsidRPr="00BF6D43" w:rsidR="00BC56A2">
        <w:rPr>
          <w:bCs/>
          <w:sz w:val="24"/>
        </w:rPr>
        <w:t xml:space="preserve">in accordance with 5 CFR §1320.5(a)(1)(iv), the Bureau has also published a notice in the </w:t>
      </w:r>
      <w:r w:rsidRPr="00BF6D43" w:rsidR="00BC56A2">
        <w:rPr>
          <w:bCs/>
          <w:iCs/>
          <w:sz w:val="24"/>
        </w:rPr>
        <w:t>Federal Register</w:t>
      </w:r>
      <w:r w:rsidRPr="00BF6D43" w:rsidR="00BC56A2">
        <w:rPr>
          <w:bCs/>
          <w:sz w:val="24"/>
        </w:rPr>
        <w:t xml:space="preserve"> </w:t>
      </w:r>
      <w:r w:rsidRPr="00BF6D43">
        <w:rPr>
          <w:bCs/>
          <w:sz w:val="24"/>
        </w:rPr>
        <w:t>providing</w:t>
      </w:r>
      <w:r w:rsidRPr="00BF6D43" w:rsidR="00BC56A2">
        <w:rPr>
          <w:bCs/>
          <w:sz w:val="24"/>
        </w:rPr>
        <w:t xml:space="preserve"> the public 30 days to comment </w:t>
      </w:r>
      <w:r w:rsidRPr="00BF6D43">
        <w:rPr>
          <w:bCs/>
          <w:sz w:val="24"/>
        </w:rPr>
        <w:t>on reporting requirements contained within th</w:t>
      </w:r>
      <w:r w:rsidRPr="00BF6D43" w:rsidR="009D7886">
        <w:rPr>
          <w:bCs/>
          <w:sz w:val="24"/>
        </w:rPr>
        <w:t>is</w:t>
      </w:r>
      <w:r w:rsidRPr="00BF6D43">
        <w:rPr>
          <w:bCs/>
          <w:sz w:val="24"/>
        </w:rPr>
        <w:t xml:space="preserve"> information collection request.</w:t>
      </w:r>
      <w:r>
        <w:rPr>
          <w:rStyle w:val="FootnoteReference"/>
          <w:bCs/>
          <w:sz w:val="24"/>
        </w:rPr>
        <w:footnoteReference w:id="3"/>
      </w:r>
    </w:p>
    <w:p w:rsidR="00E939D3" w:rsidRPr="00BF6D43" w:rsidP="005F1FFC" w14:paraId="6891C959" w14:textId="77777777">
      <w:pPr>
        <w:rPr>
          <w:sz w:val="24"/>
        </w:rPr>
      </w:pPr>
    </w:p>
    <w:p w:rsidR="00F660E8" w:rsidRPr="00BF6D43" w:rsidP="00F660E8" w14:paraId="3BE65949" w14:textId="77777777">
      <w:pPr>
        <w:autoSpaceDE w:val="0"/>
        <w:autoSpaceDN w:val="0"/>
        <w:adjustRightInd w:val="0"/>
        <w:rPr>
          <w:b/>
          <w:sz w:val="24"/>
          <w:szCs w:val="24"/>
        </w:rPr>
      </w:pPr>
      <w:r w:rsidRPr="00BF6D43">
        <w:rPr>
          <w:b/>
          <w:sz w:val="24"/>
          <w:szCs w:val="24"/>
        </w:rPr>
        <w:t xml:space="preserve">9.  </w:t>
      </w:r>
      <w:r w:rsidRPr="00BF6D43">
        <w:rPr>
          <w:b/>
          <w:bCs/>
          <w:sz w:val="24"/>
          <w:szCs w:val="24"/>
        </w:rPr>
        <w:t>Explain any decision to provide any payments or gifts to respondents, other than remuneration of contractors or grantees.</w:t>
      </w:r>
    </w:p>
    <w:p w:rsidR="005F1FFC" w:rsidP="005F1FFC" w14:paraId="0EFC2C53" w14:textId="59E8E723">
      <w:pPr>
        <w:rPr>
          <w:sz w:val="24"/>
        </w:rPr>
      </w:pPr>
    </w:p>
    <w:p w:rsidR="000B49C3" w:rsidRPr="00BF6D43" w:rsidP="005F1FFC" w14:paraId="56F806A0" w14:textId="71CE7AC8">
      <w:pPr>
        <w:rPr>
          <w:sz w:val="24"/>
        </w:rPr>
      </w:pPr>
      <w:r w:rsidRPr="000B49C3">
        <w:rPr>
          <w:sz w:val="24"/>
        </w:rPr>
        <w:t>No payments or gifts are provided to respondents.</w:t>
      </w:r>
    </w:p>
    <w:p w:rsidR="00A93967" w:rsidRPr="00BF6D43" w:rsidP="009E1042" w14:paraId="7CFFEB9F" w14:textId="77777777">
      <w:pPr>
        <w:rPr>
          <w:sz w:val="24"/>
          <w:szCs w:val="24"/>
        </w:rPr>
      </w:pPr>
    </w:p>
    <w:p w:rsidR="00F660E8" w:rsidRPr="00BF6D43" w:rsidP="00F660E8" w14:paraId="00FF3777" w14:textId="77777777">
      <w:pPr>
        <w:rPr>
          <w:b/>
          <w:sz w:val="24"/>
          <w:szCs w:val="24"/>
        </w:rPr>
      </w:pPr>
      <w:r w:rsidRPr="00BF6D43">
        <w:rPr>
          <w:b/>
          <w:sz w:val="24"/>
          <w:szCs w:val="24"/>
        </w:rPr>
        <w:t xml:space="preserve">10.  </w:t>
      </w:r>
      <w:r w:rsidRPr="00BF6D43">
        <w:rPr>
          <w:b/>
          <w:bCs/>
          <w:sz w:val="24"/>
          <w:szCs w:val="24"/>
        </w:rPr>
        <w:t>Describe any assurance of confidentiality provided to respondents and the basis for the assurance in statute, regulation, or agency policy.</w:t>
      </w:r>
    </w:p>
    <w:p w:rsidR="005F1FFC" w:rsidP="000B49C3" w14:paraId="59FF77B7" w14:textId="66E9A13C">
      <w:pPr>
        <w:rPr>
          <w:sz w:val="24"/>
        </w:rPr>
      </w:pPr>
    </w:p>
    <w:p w:rsidR="000B49C3" w:rsidRPr="000B49C3" w:rsidP="000B49C3" w14:paraId="11B1ED5F" w14:textId="41891442">
      <w:pPr>
        <w:rPr>
          <w:sz w:val="24"/>
        </w:rPr>
      </w:pPr>
      <w:r w:rsidRPr="000B49C3">
        <w:rPr>
          <w:sz w:val="24"/>
        </w:rPr>
        <w:t>This collection of information is linked to information covered under the System of Records Notice (SORN) CFPB.005</w:t>
      </w:r>
      <w:r w:rsidR="00A96B8C">
        <w:rPr>
          <w:sz w:val="24"/>
        </w:rPr>
        <w:t xml:space="preserve"> </w:t>
      </w:r>
      <w:r w:rsidRPr="000B49C3">
        <w:rPr>
          <w:sz w:val="24"/>
        </w:rPr>
        <w:t>Consumer Response System</w:t>
      </w:r>
      <w:r w:rsidR="00B563A0">
        <w:rPr>
          <w:sz w:val="24"/>
        </w:rPr>
        <w:t>.</w:t>
      </w:r>
      <w:r>
        <w:rPr>
          <w:rStyle w:val="FootnoteReference"/>
          <w:sz w:val="24"/>
        </w:rPr>
        <w:footnoteReference w:id="4"/>
      </w:r>
    </w:p>
    <w:p w:rsidR="000B49C3" w:rsidRPr="000B49C3" w:rsidP="000B49C3" w14:paraId="71EC0038" w14:textId="00E76B10">
      <w:pPr>
        <w:rPr>
          <w:sz w:val="24"/>
        </w:rPr>
      </w:pPr>
    </w:p>
    <w:p w:rsidR="00EA6160" w:rsidP="000B49C3" w14:paraId="6196110F" w14:textId="77777777">
      <w:pPr>
        <w:rPr>
          <w:sz w:val="24"/>
        </w:rPr>
      </w:pPr>
      <w:r w:rsidRPr="000B49C3">
        <w:rPr>
          <w:sz w:val="24"/>
        </w:rPr>
        <w:t xml:space="preserve">There is no assurance of confidentiality. </w:t>
      </w:r>
      <w:r w:rsidR="005D7F10">
        <w:rPr>
          <w:sz w:val="24"/>
        </w:rPr>
        <w:t xml:space="preserve"> </w:t>
      </w:r>
      <w:r w:rsidRPr="000B49C3">
        <w:rPr>
          <w:sz w:val="24"/>
        </w:rPr>
        <w:t>The offer to participate in this optional survey informs consumers that the CFPB will share their feedback with companies.</w:t>
      </w:r>
      <w:r w:rsidR="00C31F83">
        <w:rPr>
          <w:sz w:val="24"/>
        </w:rPr>
        <w:t xml:space="preserve"> </w:t>
      </w:r>
      <w:r w:rsidR="00A374E8">
        <w:rPr>
          <w:sz w:val="24"/>
        </w:rPr>
        <w:t xml:space="preserve"> </w:t>
      </w:r>
    </w:p>
    <w:p w:rsidR="00EA6160" w:rsidP="000B49C3" w14:paraId="478A60F5" w14:textId="77777777">
      <w:pPr>
        <w:rPr>
          <w:sz w:val="24"/>
        </w:rPr>
      </w:pPr>
    </w:p>
    <w:p w:rsidR="000B49C3" w:rsidRPr="00BF6D43" w:rsidP="000B49C3" w14:paraId="2BDB5922" w14:textId="551952CD">
      <w:pPr>
        <w:rPr>
          <w:sz w:val="24"/>
        </w:rPr>
      </w:pPr>
      <w:r w:rsidRPr="000F558B">
        <w:rPr>
          <w:sz w:val="24"/>
        </w:rPr>
        <w:t xml:space="preserve">Additionally, the CFPB provides a Privacy Act Statement </w:t>
      </w:r>
      <w:r>
        <w:rPr>
          <w:sz w:val="24"/>
        </w:rPr>
        <w:t>that details how their information may be used and shared.</w:t>
      </w:r>
    </w:p>
    <w:p w:rsidR="00A93967" w:rsidRPr="00BF6D43" w:rsidP="005F1FFC" w14:paraId="2A4F7C4C" w14:textId="77777777">
      <w:pPr>
        <w:ind w:left="720"/>
        <w:rPr>
          <w:sz w:val="24"/>
        </w:rPr>
      </w:pPr>
    </w:p>
    <w:p w:rsidR="00F660E8" w:rsidRPr="00BF6D43" w:rsidP="00F660E8" w14:paraId="466038D0" w14:textId="77777777">
      <w:pPr>
        <w:rPr>
          <w:sz w:val="24"/>
        </w:rPr>
      </w:pPr>
      <w:r w:rsidRPr="00BF6D43">
        <w:rPr>
          <w:b/>
          <w:sz w:val="24"/>
          <w:szCs w:val="24"/>
        </w:rPr>
        <w:t xml:space="preserve">11.  </w:t>
      </w:r>
      <w:r w:rsidRPr="00BF6D43">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F1FFC" w:rsidRPr="00BF6D43" w:rsidP="005F1FFC" w14:paraId="74706F28" w14:textId="77777777">
      <w:pPr>
        <w:ind w:left="720"/>
        <w:rPr>
          <w:sz w:val="24"/>
        </w:rPr>
      </w:pPr>
    </w:p>
    <w:p w:rsidR="000B49C3" w:rsidRPr="000B49C3" w:rsidP="000B49C3" w14:paraId="5B21A72A" w14:textId="25EADF20">
      <w:pPr>
        <w:pStyle w:val="BodyText"/>
      </w:pPr>
      <w:r w:rsidRPr="000B49C3">
        <w:t xml:space="preserve">This is an optional survey and contains no questions that are considered “sensitive” in nature. </w:t>
      </w:r>
    </w:p>
    <w:p w:rsidR="000B49C3" w:rsidRPr="00BF6D43" w:rsidP="005F1FFC" w14:paraId="60E79BA8" w14:textId="77777777">
      <w:pPr>
        <w:pStyle w:val="BodyText"/>
      </w:pPr>
    </w:p>
    <w:p w:rsidR="00F660E8" w:rsidRPr="00BF6D43" w:rsidP="00F660E8" w14:paraId="7F32CD21" w14:textId="77777777">
      <w:pPr>
        <w:contextualSpacing/>
        <w:rPr>
          <w:b/>
          <w:sz w:val="24"/>
          <w:szCs w:val="24"/>
        </w:rPr>
      </w:pPr>
      <w:r w:rsidRPr="00BF6D43">
        <w:rPr>
          <w:b/>
          <w:sz w:val="24"/>
          <w:szCs w:val="24"/>
        </w:rPr>
        <w:t>12.  Provide estimates of the hour burden of the collection of information.  The statement should:</w:t>
      </w:r>
    </w:p>
    <w:p w:rsidR="00F660E8" w:rsidRPr="00BF6D43" w:rsidP="00F660E8" w14:paraId="5AF45DD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F660E8" w:rsidRPr="00BF6D43" w:rsidP="00F660E8" w14:paraId="6BC15F91"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If this request for approval covers more than one form, provide separate hour burden estimates for each form.</w:t>
      </w:r>
    </w:p>
    <w:p w:rsidR="00F660E8" w:rsidRPr="00BF6D43" w:rsidP="00F660E8" w14:paraId="747C22AD"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BC16BB" w:rsidP="005F1FFC" w14:paraId="18388E76" w14:textId="59F5E294">
      <w:pPr>
        <w:rPr>
          <w:bCs/>
          <w:sz w:val="24"/>
        </w:rPr>
      </w:pPr>
    </w:p>
    <w:p w:rsidR="000B49C3" w:rsidRPr="000B49C3" w:rsidP="000B49C3" w14:paraId="6099CB73" w14:textId="031D9013">
      <w:pPr>
        <w:rPr>
          <w:bCs/>
          <w:sz w:val="24"/>
        </w:rPr>
      </w:pPr>
      <w:r w:rsidRPr="000B49C3">
        <w:rPr>
          <w:bCs/>
          <w:sz w:val="24"/>
        </w:rPr>
        <w:t xml:space="preserve">The Bureau’s burden estimate is calculated using the median response time for </w:t>
      </w:r>
      <w:r w:rsidR="00A96B8C">
        <w:rPr>
          <w:bCs/>
          <w:sz w:val="24"/>
        </w:rPr>
        <w:t>2022,</w:t>
      </w:r>
      <w:r w:rsidRPr="000B49C3">
        <w:rPr>
          <w:bCs/>
          <w:sz w:val="24"/>
        </w:rPr>
        <w:t xml:space="preserve"> which was </w:t>
      </w:r>
      <w:r w:rsidR="00CD46B7">
        <w:rPr>
          <w:bCs/>
          <w:sz w:val="24"/>
        </w:rPr>
        <w:t>four</w:t>
      </w:r>
      <w:r w:rsidRPr="000B49C3">
        <w:rPr>
          <w:bCs/>
          <w:sz w:val="24"/>
        </w:rPr>
        <w:t xml:space="preserve"> minutes. </w:t>
      </w:r>
      <w:r w:rsidR="00DE0F71">
        <w:rPr>
          <w:bCs/>
          <w:sz w:val="24"/>
        </w:rPr>
        <w:t xml:space="preserve"> </w:t>
      </w:r>
      <w:r w:rsidRPr="000B49C3">
        <w:rPr>
          <w:bCs/>
          <w:sz w:val="24"/>
        </w:rPr>
        <w:t xml:space="preserve">Our response rates are based on observations of the actual use </w:t>
      </w:r>
      <w:r w:rsidR="00C57E66">
        <w:rPr>
          <w:bCs/>
          <w:sz w:val="24"/>
        </w:rPr>
        <w:t xml:space="preserve">of the number of surveys sent </w:t>
      </w:r>
      <w:r w:rsidRPr="000B49C3">
        <w:rPr>
          <w:bCs/>
          <w:sz w:val="24"/>
        </w:rPr>
        <w:t xml:space="preserve">during the last </w:t>
      </w:r>
      <w:r w:rsidR="00A96B8C">
        <w:rPr>
          <w:bCs/>
          <w:sz w:val="24"/>
        </w:rPr>
        <w:t>calendar year</w:t>
      </w:r>
      <w:r w:rsidR="003B354D">
        <w:rPr>
          <w:bCs/>
          <w:sz w:val="24"/>
        </w:rPr>
        <w:t>,</w:t>
      </w:r>
      <w:r w:rsidRPr="000B49C3">
        <w:rPr>
          <w:bCs/>
          <w:sz w:val="24"/>
        </w:rPr>
        <w:t xml:space="preserve"> which </w:t>
      </w:r>
      <w:r w:rsidR="00A96B8C">
        <w:rPr>
          <w:bCs/>
          <w:sz w:val="24"/>
        </w:rPr>
        <w:t xml:space="preserve">was 9 </w:t>
      </w:r>
      <w:r w:rsidRPr="000B49C3">
        <w:rPr>
          <w:bCs/>
          <w:sz w:val="24"/>
        </w:rPr>
        <w:t>percent.</w:t>
      </w:r>
    </w:p>
    <w:p w:rsidR="001650D5" w:rsidRPr="00BF6D43" w:rsidP="005F1FFC" w14:paraId="57D497F1" w14:textId="77777777">
      <w:pPr>
        <w:rPr>
          <w:bCs/>
          <w:sz w:val="24"/>
        </w:rPr>
      </w:pPr>
    </w:p>
    <w:p w:rsidR="005F1FFC" w:rsidRPr="00BF6D43" w:rsidP="005F1FFC" w14:paraId="3717194D" w14:textId="4A8CD79D">
      <w:pPr>
        <w:rPr>
          <w:bCs/>
          <w:sz w:val="24"/>
        </w:rPr>
      </w:pPr>
      <w:r w:rsidRPr="00BF6D43">
        <w:rPr>
          <w:bCs/>
          <w:sz w:val="24"/>
        </w:rPr>
        <w:t>The Bureau estimates the burden of this information collection as follows:</w:t>
      </w:r>
    </w:p>
    <w:p w:rsidR="0090025B" w:rsidRPr="00BF6D43" w:rsidP="005F1FFC" w14:paraId="17C41B7D" w14:textId="77777777">
      <w:pPr>
        <w:rPr>
          <w:bCs/>
          <w:sz w:val="24"/>
        </w:rPr>
      </w:pPr>
    </w:p>
    <w:tbl>
      <w:tblPr>
        <w:tblStyle w:val="TableGrid"/>
        <w:tblW w:w="8866" w:type="dxa"/>
        <w:tblLook w:val="04A0"/>
      </w:tblPr>
      <w:tblGrid>
        <w:gridCol w:w="1394"/>
        <w:gridCol w:w="1276"/>
        <w:gridCol w:w="1228"/>
        <w:gridCol w:w="1094"/>
        <w:gridCol w:w="927"/>
        <w:gridCol w:w="861"/>
        <w:gridCol w:w="870"/>
        <w:gridCol w:w="1216"/>
      </w:tblGrid>
      <w:tr w14:paraId="32C03BB1" w14:textId="77777777" w:rsidTr="00CD46B7">
        <w:tblPrEx>
          <w:tblW w:w="8866" w:type="dxa"/>
          <w:tblLook w:val="04A0"/>
        </w:tblPrEx>
        <w:tc>
          <w:tcPr>
            <w:tcW w:w="1501" w:type="dxa"/>
            <w:shd w:val="clear" w:color="auto" w:fill="D9D9D9" w:themeFill="background1" w:themeFillShade="D9"/>
          </w:tcPr>
          <w:p w:rsidR="0090025B" w:rsidRPr="00BF6D43" w:rsidP="005F1FFC" w14:paraId="38110A14" w14:textId="54D3543F">
            <w:pPr>
              <w:rPr>
                <w:b/>
                <w:bCs/>
              </w:rPr>
            </w:pPr>
            <w:r w:rsidRPr="00BF6D43">
              <w:rPr>
                <w:b/>
                <w:bCs/>
              </w:rPr>
              <w:t>Information Collection Requirement</w:t>
            </w:r>
          </w:p>
        </w:tc>
        <w:tc>
          <w:tcPr>
            <w:tcW w:w="1367" w:type="dxa"/>
            <w:shd w:val="clear" w:color="auto" w:fill="D9D9D9" w:themeFill="background1" w:themeFillShade="D9"/>
          </w:tcPr>
          <w:p w:rsidR="0090025B" w:rsidRPr="00BF6D43" w:rsidP="005F1FFC" w14:paraId="00BC74AA" w14:textId="082E2449">
            <w:pPr>
              <w:rPr>
                <w:b/>
                <w:bCs/>
              </w:rPr>
            </w:pPr>
            <w:r w:rsidRPr="00BF6D43">
              <w:rPr>
                <w:b/>
                <w:bCs/>
              </w:rPr>
              <w:t>Number of Respondent</w:t>
            </w:r>
          </w:p>
        </w:tc>
        <w:tc>
          <w:tcPr>
            <w:tcW w:w="1228" w:type="dxa"/>
            <w:shd w:val="clear" w:color="auto" w:fill="D9D9D9" w:themeFill="background1" w:themeFillShade="D9"/>
          </w:tcPr>
          <w:p w:rsidR="0090025B" w:rsidRPr="00BF6D43" w:rsidP="005F1FFC" w14:paraId="58D4579A" w14:textId="1A50912F">
            <w:pPr>
              <w:rPr>
                <w:b/>
                <w:bCs/>
              </w:rPr>
            </w:pPr>
            <w:r w:rsidRPr="00BF6D43">
              <w:rPr>
                <w:b/>
                <w:bCs/>
              </w:rPr>
              <w:t>Number of Responses per Respondent</w:t>
            </w:r>
          </w:p>
        </w:tc>
        <w:tc>
          <w:tcPr>
            <w:tcW w:w="1094" w:type="dxa"/>
            <w:shd w:val="clear" w:color="auto" w:fill="D9D9D9" w:themeFill="background1" w:themeFillShade="D9"/>
          </w:tcPr>
          <w:p w:rsidR="0090025B" w:rsidRPr="00BF6D43" w:rsidP="005F1FFC" w14:paraId="6531917A" w14:textId="35F70E41">
            <w:pPr>
              <w:rPr>
                <w:b/>
                <w:bCs/>
              </w:rPr>
            </w:pPr>
            <w:r w:rsidRPr="00BF6D43">
              <w:rPr>
                <w:b/>
                <w:bCs/>
              </w:rPr>
              <w:t>Total Responses</w:t>
            </w:r>
          </w:p>
        </w:tc>
        <w:tc>
          <w:tcPr>
            <w:tcW w:w="927" w:type="dxa"/>
            <w:shd w:val="clear" w:color="auto" w:fill="D9D9D9" w:themeFill="background1" w:themeFillShade="D9"/>
          </w:tcPr>
          <w:p w:rsidR="0090025B" w:rsidRPr="00BF6D43" w:rsidP="005F1FFC" w14:paraId="39A6D528" w14:textId="1AE9708C">
            <w:pPr>
              <w:rPr>
                <w:b/>
                <w:bCs/>
              </w:rPr>
            </w:pPr>
            <w:r w:rsidRPr="00BF6D43">
              <w:rPr>
                <w:b/>
                <w:bCs/>
              </w:rPr>
              <w:t>Average Burden Hours</w:t>
            </w:r>
          </w:p>
        </w:tc>
        <w:tc>
          <w:tcPr>
            <w:tcW w:w="861" w:type="dxa"/>
            <w:shd w:val="clear" w:color="auto" w:fill="D9D9D9" w:themeFill="background1" w:themeFillShade="D9"/>
          </w:tcPr>
          <w:p w:rsidR="0090025B" w:rsidRPr="00BF6D43" w:rsidP="005F1FFC" w14:paraId="504C1F38" w14:textId="2BF4539D">
            <w:pPr>
              <w:rPr>
                <w:b/>
                <w:bCs/>
              </w:rPr>
            </w:pPr>
            <w:r w:rsidRPr="00BF6D43">
              <w:rPr>
                <w:b/>
                <w:bCs/>
              </w:rPr>
              <w:t>Annual Burden Hours</w:t>
            </w:r>
          </w:p>
        </w:tc>
        <w:tc>
          <w:tcPr>
            <w:tcW w:w="944" w:type="dxa"/>
            <w:shd w:val="clear" w:color="auto" w:fill="D9D9D9" w:themeFill="background1" w:themeFillShade="D9"/>
          </w:tcPr>
          <w:p w:rsidR="0090025B" w:rsidRPr="00BF6D43" w:rsidP="005F1FFC" w14:paraId="13569052" w14:textId="33781E4F">
            <w:pPr>
              <w:rPr>
                <w:b/>
                <w:bCs/>
              </w:rPr>
            </w:pPr>
            <w:r w:rsidRPr="00BF6D43">
              <w:rPr>
                <w:b/>
                <w:bCs/>
              </w:rPr>
              <w:t>Wage Rate</w:t>
            </w:r>
          </w:p>
        </w:tc>
        <w:tc>
          <w:tcPr>
            <w:tcW w:w="944" w:type="dxa"/>
            <w:shd w:val="clear" w:color="auto" w:fill="D9D9D9" w:themeFill="background1" w:themeFillShade="D9"/>
          </w:tcPr>
          <w:p w:rsidR="0090025B" w:rsidRPr="00BF6D43" w:rsidP="005F1FFC" w14:paraId="7AEB5F9E" w14:textId="1F25FD6A">
            <w:pPr>
              <w:rPr>
                <w:b/>
                <w:bCs/>
              </w:rPr>
            </w:pPr>
            <w:r w:rsidRPr="00BF6D43">
              <w:rPr>
                <w:b/>
                <w:bCs/>
              </w:rPr>
              <w:t>Total Burden Cost</w:t>
            </w:r>
          </w:p>
        </w:tc>
      </w:tr>
      <w:tr w14:paraId="3C17D82E" w14:textId="77777777" w:rsidTr="00CD46B7">
        <w:tblPrEx>
          <w:tblW w:w="8866" w:type="dxa"/>
          <w:tblLook w:val="04A0"/>
        </w:tblPrEx>
        <w:tc>
          <w:tcPr>
            <w:tcW w:w="1501" w:type="dxa"/>
          </w:tcPr>
          <w:p w:rsidR="00CD46B7" w:rsidRPr="00BF6D43" w:rsidP="00CD46B7" w14:paraId="13BEC28E" w14:textId="648450DE">
            <w:r>
              <w:t>Company Response Survey</w:t>
            </w:r>
          </w:p>
        </w:tc>
        <w:tc>
          <w:tcPr>
            <w:tcW w:w="1367" w:type="dxa"/>
          </w:tcPr>
          <w:p w:rsidR="00CD46B7" w:rsidRPr="00BF6D43" w:rsidP="00CD46B7" w14:paraId="183A7F7B" w14:textId="03A44A71">
            <w:pPr>
              <w:jc w:val="right"/>
            </w:pPr>
            <w:r>
              <w:t>66,700</w:t>
            </w:r>
          </w:p>
        </w:tc>
        <w:tc>
          <w:tcPr>
            <w:tcW w:w="1228" w:type="dxa"/>
          </w:tcPr>
          <w:p w:rsidR="00CD46B7" w:rsidRPr="00BF6D43" w:rsidP="00CD46B7" w14:paraId="17394683" w14:textId="56CC9F9B">
            <w:pPr>
              <w:jc w:val="right"/>
            </w:pPr>
            <w:r>
              <w:t>1</w:t>
            </w:r>
          </w:p>
        </w:tc>
        <w:tc>
          <w:tcPr>
            <w:tcW w:w="1094" w:type="dxa"/>
          </w:tcPr>
          <w:p w:rsidR="00CD46B7" w:rsidRPr="00BF6D43" w:rsidP="00CD46B7" w14:paraId="0B52C53E" w14:textId="0172C803">
            <w:pPr>
              <w:jc w:val="right"/>
            </w:pPr>
            <w:r>
              <w:t>66,700</w:t>
            </w:r>
          </w:p>
        </w:tc>
        <w:tc>
          <w:tcPr>
            <w:tcW w:w="927" w:type="dxa"/>
          </w:tcPr>
          <w:p w:rsidR="00CD46B7" w:rsidRPr="00BF6D43" w:rsidP="0029789C" w14:paraId="0165911A" w14:textId="1F2D04EE">
            <w:pPr>
              <w:tabs>
                <w:tab w:val="center" w:pos="355"/>
                <w:tab w:val="right" w:pos="711"/>
              </w:tabs>
              <w:jc w:val="right"/>
            </w:pPr>
            <w:r>
              <w:t>0</w:t>
            </w:r>
            <w:r>
              <w:t>.07</w:t>
            </w:r>
          </w:p>
        </w:tc>
        <w:tc>
          <w:tcPr>
            <w:tcW w:w="861" w:type="dxa"/>
          </w:tcPr>
          <w:p w:rsidR="00CD46B7" w:rsidRPr="00BF6D43" w:rsidP="00CD46B7" w14:paraId="307C410D" w14:textId="12408E50">
            <w:pPr>
              <w:jc w:val="right"/>
            </w:pPr>
            <w:r>
              <w:t>4,</w:t>
            </w:r>
            <w:r w:rsidR="00903330">
              <w:t>669</w:t>
            </w:r>
          </w:p>
        </w:tc>
        <w:tc>
          <w:tcPr>
            <w:tcW w:w="944" w:type="dxa"/>
          </w:tcPr>
          <w:p w:rsidR="00CD46B7" w:rsidRPr="00BF6D43" w:rsidP="00CD46B7" w14:paraId="29D868D1" w14:textId="7E9161BE">
            <w:pPr>
              <w:jc w:val="right"/>
            </w:pPr>
            <w:r w:rsidRPr="00BF6D43">
              <w:t>$</w:t>
            </w:r>
            <w:r w:rsidR="00DB6949">
              <w:t>29.76</w:t>
            </w:r>
            <w:r>
              <w:rPr>
                <w:rStyle w:val="FootnoteReference"/>
              </w:rPr>
              <w:footnoteReference w:id="5"/>
            </w:r>
          </w:p>
        </w:tc>
        <w:tc>
          <w:tcPr>
            <w:tcW w:w="944" w:type="dxa"/>
          </w:tcPr>
          <w:p w:rsidR="00CD46B7" w:rsidRPr="00BF6D43" w:rsidP="00CD46B7" w14:paraId="6E39D7C7" w14:textId="15F4E64A">
            <w:pPr>
              <w:jc w:val="right"/>
            </w:pPr>
            <w:r w:rsidRPr="00BF6D43">
              <w:t>$</w:t>
            </w:r>
            <w:r w:rsidR="00045D57">
              <w:t>1</w:t>
            </w:r>
            <w:r w:rsidR="00740F6B">
              <w:t>38,949.44</w:t>
            </w:r>
          </w:p>
        </w:tc>
      </w:tr>
    </w:tbl>
    <w:p w:rsidR="00A93967" w:rsidRPr="00BF6D43" w:rsidP="005F1FFC" w14:paraId="0D6A5C78" w14:textId="4AFC0AFE">
      <w:pPr>
        <w:rPr>
          <w:b/>
          <w:sz w:val="24"/>
          <w:szCs w:val="24"/>
        </w:rPr>
      </w:pPr>
    </w:p>
    <w:p w:rsidR="00F660E8" w:rsidRPr="00BF6D43" w:rsidP="00F660E8" w14:paraId="446A24E3" w14:textId="77777777">
      <w:pPr>
        <w:rPr>
          <w:b/>
          <w:sz w:val="24"/>
          <w:szCs w:val="24"/>
        </w:rPr>
      </w:pPr>
      <w:r w:rsidRPr="00BF6D43">
        <w:rPr>
          <w:b/>
          <w:sz w:val="24"/>
          <w:szCs w:val="24"/>
        </w:rPr>
        <w:t>13.  Provide an estimate of the total annual cost burden to respondents or record</w:t>
      </w:r>
      <w:r w:rsidRPr="00BF6D43" w:rsidR="007E7E37">
        <w:rPr>
          <w:b/>
          <w:sz w:val="24"/>
          <w:szCs w:val="24"/>
        </w:rPr>
        <w:t xml:space="preserve"> </w:t>
      </w:r>
      <w:r w:rsidRPr="00BF6D43">
        <w:rPr>
          <w:b/>
          <w:sz w:val="24"/>
          <w:szCs w:val="24"/>
        </w:rPr>
        <w:t>keepers resulting from the collection of information.  (Do not include the cost of any hour burden shown in Items 12 and 14).</w:t>
      </w:r>
    </w:p>
    <w:p w:rsidR="005F1FFC" w:rsidP="005F1FFC" w14:paraId="3715E245" w14:textId="6E4B666A">
      <w:pPr>
        <w:rPr>
          <w:b/>
          <w:sz w:val="24"/>
        </w:rPr>
      </w:pPr>
    </w:p>
    <w:p w:rsidR="00062D10" w:rsidRPr="00062D10" w:rsidP="005F1FFC" w14:paraId="5DA4D8F5" w14:textId="786AB63A">
      <w:pPr>
        <w:rPr>
          <w:bCs/>
          <w:sz w:val="24"/>
        </w:rPr>
      </w:pPr>
      <w:r w:rsidRPr="00062D10">
        <w:rPr>
          <w:bCs/>
          <w:sz w:val="24"/>
        </w:rPr>
        <w:t>Respondents incur no operational or maintenance cost necessary for responding to this survey.</w:t>
      </w:r>
    </w:p>
    <w:p w:rsidR="00740F6B" w:rsidP="00F660E8" w14:paraId="50DE2DF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sz w:val="24"/>
          <w:szCs w:val="24"/>
        </w:rPr>
      </w:pPr>
    </w:p>
    <w:p w:rsidR="00F660E8" w:rsidRPr="00BF6D43" w:rsidP="00F660E8" w14:paraId="090470D0" w14:textId="4BD8A27B">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sz w:val="24"/>
          <w:szCs w:val="24"/>
        </w:rPr>
        <w:t xml:space="preserve">14.  </w:t>
      </w:r>
      <w:r w:rsidRPr="00BF6D43">
        <w:rPr>
          <w:b/>
          <w:bCs/>
          <w:sz w:val="24"/>
          <w:szCs w:val="24"/>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BF6D43">
        <w:rPr>
          <w:sz w:val="24"/>
          <w:szCs w:val="24"/>
        </w:rPr>
        <w:t xml:space="preserve"> </w:t>
      </w:r>
      <w:r w:rsidRPr="00BF6D43">
        <w:rPr>
          <w:b/>
          <w:bCs/>
          <w:sz w:val="24"/>
          <w:szCs w:val="24"/>
        </w:rPr>
        <w:t>without this collection of information.  Agencies also may aggregate cost estimates from Items 12, 13, and 14 into a single table.</w:t>
      </w:r>
    </w:p>
    <w:p w:rsidR="005F1FFC" w:rsidP="00062D10" w14:paraId="0A689257" w14:textId="0CB59A18">
      <w:pPr>
        <w:rPr>
          <w:sz w:val="24"/>
        </w:rPr>
      </w:pPr>
    </w:p>
    <w:p w:rsidR="00062D10" w:rsidRPr="00BF6D43" w:rsidP="00062D10" w14:paraId="2DE53701" w14:textId="3F6BC93E">
      <w:pPr>
        <w:rPr>
          <w:sz w:val="24"/>
        </w:rPr>
      </w:pPr>
      <w:r w:rsidRPr="00062D10">
        <w:rPr>
          <w:sz w:val="24"/>
        </w:rPr>
        <w:t>There is no anticipated incremental cost with the renewal of this package.  The Bureau already utilizes a survey platform, and thus no incremental expenses are incurred from this renewal.</w:t>
      </w:r>
    </w:p>
    <w:p w:rsidR="00A93967" w:rsidRPr="00BF6D43" w:rsidP="005F1FFC" w14:paraId="28539FB8" w14:textId="77777777">
      <w:pPr>
        <w:ind w:left="720"/>
        <w:rPr>
          <w:sz w:val="24"/>
        </w:rPr>
      </w:pPr>
    </w:p>
    <w:p w:rsidR="00F660E8" w:rsidRPr="00BF6D43" w:rsidP="00F660E8" w14:paraId="2B232019" w14:textId="77777777">
      <w:pPr>
        <w:rPr>
          <w:b/>
          <w:sz w:val="24"/>
          <w:szCs w:val="24"/>
        </w:rPr>
      </w:pPr>
      <w:r w:rsidRPr="00BF6D43">
        <w:rPr>
          <w:b/>
          <w:sz w:val="24"/>
          <w:szCs w:val="24"/>
        </w:rPr>
        <w:t xml:space="preserve">15.  </w:t>
      </w:r>
      <w:r w:rsidRPr="00BF6D43">
        <w:rPr>
          <w:b/>
          <w:bCs/>
          <w:sz w:val="24"/>
          <w:szCs w:val="24"/>
        </w:rPr>
        <w:t>Explain the reasons for any program changes or adjustments.</w:t>
      </w:r>
    </w:p>
    <w:p w:rsidR="005F1FFC" w:rsidP="005F1FFC" w14:paraId="7D933924" w14:textId="5BC4032A">
      <w:pPr>
        <w:numPr>
          <w:ilvl w:val="12"/>
          <w:numId w:val="0"/>
        </w:numPr>
        <w:rPr>
          <w:sz w:val="24"/>
        </w:rPr>
      </w:pPr>
    </w:p>
    <w:p w:rsidR="00062D10" w:rsidRPr="00F238D8" w:rsidP="2DDD9009" w14:paraId="09BA50B5" w14:textId="0572BA1A">
      <w:pPr>
        <w:rPr>
          <w:sz w:val="24"/>
          <w:szCs w:val="24"/>
        </w:rPr>
      </w:pPr>
      <w:r w:rsidRPr="2DDD9009">
        <w:rPr>
          <w:sz w:val="24"/>
          <w:szCs w:val="24"/>
        </w:rPr>
        <w:t xml:space="preserve">The changes in burden for this collection are a re-estimation of the burdens of this collection based on experiences of its actual use in the previous </w:t>
      </w:r>
      <w:r w:rsidRPr="2DDD9009" w:rsidR="00CD46B7">
        <w:rPr>
          <w:sz w:val="24"/>
          <w:szCs w:val="24"/>
        </w:rPr>
        <w:t>calendar year</w:t>
      </w:r>
      <w:r w:rsidRPr="2DDD9009">
        <w:rPr>
          <w:sz w:val="24"/>
          <w:szCs w:val="24"/>
        </w:rPr>
        <w:t>.</w:t>
      </w:r>
    </w:p>
    <w:p w:rsidR="00F238D8" w:rsidP="00062D10" w14:paraId="163442E6" w14:textId="6DF72D1F">
      <w:pPr>
        <w:numPr>
          <w:ilvl w:val="12"/>
          <w:numId w:val="0"/>
        </w:numPr>
      </w:pPr>
    </w:p>
    <w:p w:rsidR="00F238D8" w:rsidRPr="00BF6D43" w:rsidP="00062D10" w14:paraId="3E8AE79C" w14:textId="7A6F7083">
      <w:pPr>
        <w:numPr>
          <w:ilvl w:val="12"/>
          <w:numId w:val="0"/>
        </w:numPr>
        <w:rPr>
          <w:sz w:val="24"/>
        </w:rPr>
      </w:pPr>
      <w:r>
        <w:rPr>
          <w:sz w:val="24"/>
        </w:rPr>
        <w:t xml:space="preserve">The script attachment included in the last submission is no longer necessary </w:t>
      </w:r>
      <w:r w:rsidRPr="00F238D8">
        <w:rPr>
          <w:sz w:val="24"/>
        </w:rPr>
        <w:t>as the phone process mirrors the online experience</w:t>
      </w:r>
      <w:r>
        <w:rPr>
          <w:sz w:val="24"/>
        </w:rPr>
        <w:t xml:space="preserve">.  </w:t>
      </w:r>
      <w:r w:rsidRPr="00F238D8">
        <w:rPr>
          <w:sz w:val="24"/>
        </w:rPr>
        <w:t>When consumers want to submit feedback about a company response over the phone instead of</w:t>
      </w:r>
      <w:r>
        <w:rPr>
          <w:sz w:val="24"/>
        </w:rPr>
        <w:t xml:space="preserve"> </w:t>
      </w:r>
      <w:r w:rsidR="006569FE">
        <w:rPr>
          <w:sz w:val="24"/>
        </w:rPr>
        <w:t>online,</w:t>
      </w:r>
      <w:r w:rsidR="007C05B9">
        <w:rPr>
          <w:sz w:val="24"/>
        </w:rPr>
        <w:t xml:space="preserve"> they are assisted by a </w:t>
      </w:r>
      <w:r w:rsidRPr="00F238D8">
        <w:rPr>
          <w:sz w:val="24"/>
        </w:rPr>
        <w:t>Consumer Guide</w:t>
      </w:r>
      <w:r>
        <w:rPr>
          <w:sz w:val="24"/>
        </w:rPr>
        <w:t xml:space="preserve">.  After a consumer </w:t>
      </w:r>
      <w:r w:rsidRPr="00F238D8">
        <w:rPr>
          <w:sz w:val="24"/>
        </w:rPr>
        <w:t>confirm</w:t>
      </w:r>
      <w:r>
        <w:rPr>
          <w:sz w:val="24"/>
        </w:rPr>
        <w:t>s</w:t>
      </w:r>
      <w:r w:rsidRPr="00F238D8">
        <w:rPr>
          <w:sz w:val="24"/>
        </w:rPr>
        <w:t xml:space="preserve"> </w:t>
      </w:r>
      <w:r>
        <w:rPr>
          <w:sz w:val="24"/>
        </w:rPr>
        <w:t>they</w:t>
      </w:r>
      <w:r w:rsidRPr="00F238D8">
        <w:rPr>
          <w:sz w:val="24"/>
        </w:rPr>
        <w:t xml:space="preserve"> </w:t>
      </w:r>
      <w:r w:rsidR="006569FE">
        <w:rPr>
          <w:sz w:val="24"/>
        </w:rPr>
        <w:t xml:space="preserve">have </w:t>
      </w:r>
      <w:r w:rsidRPr="00F238D8">
        <w:rPr>
          <w:sz w:val="24"/>
        </w:rPr>
        <w:t>read</w:t>
      </w:r>
      <w:r>
        <w:rPr>
          <w:sz w:val="24"/>
        </w:rPr>
        <w:t xml:space="preserve"> or heard</w:t>
      </w:r>
      <w:r w:rsidRPr="00F238D8">
        <w:rPr>
          <w:sz w:val="24"/>
        </w:rPr>
        <w:t xml:space="preserve"> the company’s response the </w:t>
      </w:r>
      <w:r>
        <w:rPr>
          <w:sz w:val="24"/>
        </w:rPr>
        <w:t xml:space="preserve">Consumer Guide makes the </w:t>
      </w:r>
      <w:r w:rsidRPr="00F238D8">
        <w:rPr>
          <w:sz w:val="24"/>
        </w:rPr>
        <w:t xml:space="preserve">submission </w:t>
      </w:r>
      <w:r>
        <w:rPr>
          <w:sz w:val="24"/>
        </w:rPr>
        <w:t>on</w:t>
      </w:r>
      <w:r w:rsidR="00A563A0">
        <w:rPr>
          <w:sz w:val="24"/>
        </w:rPr>
        <w:t xml:space="preserve">line </w:t>
      </w:r>
      <w:r w:rsidRPr="00F238D8">
        <w:rPr>
          <w:sz w:val="24"/>
        </w:rPr>
        <w:t xml:space="preserve">on </w:t>
      </w:r>
      <w:r w:rsidR="007A0888">
        <w:rPr>
          <w:sz w:val="24"/>
        </w:rPr>
        <w:t>the consumer’s</w:t>
      </w:r>
      <w:r w:rsidRPr="00F238D8">
        <w:rPr>
          <w:sz w:val="24"/>
        </w:rPr>
        <w:t xml:space="preserve"> behalf.</w:t>
      </w:r>
      <w:r>
        <w:rPr>
          <w:sz w:val="24"/>
        </w:rPr>
        <w:t xml:space="preserve">  As on the web, the</w:t>
      </w:r>
      <w:r w:rsidRPr="00F238D8">
        <w:rPr>
          <w:sz w:val="24"/>
        </w:rPr>
        <w:t xml:space="preserve"> consumer can answer three questions about the company's response to and handling of his or her complaint and provide a narrative description in support </w:t>
      </w:r>
      <w:r w:rsidR="00B5445A">
        <w:rPr>
          <w:sz w:val="24"/>
        </w:rPr>
        <w:t xml:space="preserve">of </w:t>
      </w:r>
      <w:r w:rsidRPr="00F238D8">
        <w:rPr>
          <w:sz w:val="24"/>
        </w:rPr>
        <w:t>his or her answers</w:t>
      </w:r>
      <w:r>
        <w:rPr>
          <w:sz w:val="24"/>
        </w:rPr>
        <w:t>.</w:t>
      </w:r>
      <w:r w:rsidR="00735E4F">
        <w:rPr>
          <w:sz w:val="24"/>
        </w:rPr>
        <w:t xml:space="preserve">  The Consumer Guide records </w:t>
      </w:r>
      <w:r w:rsidRPr="00735E4F" w:rsidR="00735E4F">
        <w:rPr>
          <w:sz w:val="24"/>
        </w:rPr>
        <w:t>the consumer's feedback verbatim</w:t>
      </w:r>
      <w:r w:rsidR="00735E4F">
        <w:rPr>
          <w:sz w:val="24"/>
        </w:rPr>
        <w:t>.</w:t>
      </w:r>
    </w:p>
    <w:p w:rsidR="00A93967" w:rsidRPr="00BF6D43" w:rsidP="00253FF0" w14:paraId="52F188B0" w14:textId="77777777">
      <w:pPr>
        <w:rPr>
          <w:sz w:val="24"/>
        </w:rPr>
      </w:pPr>
    </w:p>
    <w:p w:rsidR="00F660E8" w:rsidRPr="00BF6D43" w:rsidP="00F660E8" w14:paraId="1715AB5F" w14:textId="77777777">
      <w:pPr>
        <w:rPr>
          <w:b/>
          <w:sz w:val="24"/>
          <w:szCs w:val="24"/>
        </w:rPr>
      </w:pPr>
      <w:r w:rsidRPr="00BF6D43">
        <w:rPr>
          <w:b/>
          <w:sz w:val="24"/>
          <w:szCs w:val="24"/>
        </w:rPr>
        <w:t>16.  F</w:t>
      </w:r>
      <w:r w:rsidRPr="00BF6D43">
        <w:rPr>
          <w:b/>
          <w:bCs/>
          <w:sz w:val="24"/>
          <w:szCs w:val="24"/>
        </w:rPr>
        <w:t>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BF6D43">
        <w:rPr>
          <w:sz w:val="24"/>
          <w:szCs w:val="24"/>
        </w:rPr>
        <w:t>.</w:t>
      </w:r>
    </w:p>
    <w:p w:rsidR="005F1FFC" w:rsidP="005F1FFC" w14:paraId="3C07C2B3" w14:textId="3C79B8B5">
      <w:pPr>
        <w:rPr>
          <w:sz w:val="24"/>
        </w:rPr>
      </w:pPr>
    </w:p>
    <w:p w:rsidR="00062D10" w:rsidRPr="00062D10" w:rsidP="2DDD9009" w14:paraId="7C2E263C" w14:textId="47A89569">
      <w:pPr>
        <w:rPr>
          <w:sz w:val="24"/>
          <w:szCs w:val="24"/>
        </w:rPr>
      </w:pPr>
      <w:r w:rsidRPr="2DDD9009">
        <w:rPr>
          <w:sz w:val="24"/>
          <w:szCs w:val="24"/>
        </w:rPr>
        <w:t>Question</w:t>
      </w:r>
      <w:r w:rsidRPr="2DDD9009" w:rsidR="00A4284B">
        <w:rPr>
          <w:sz w:val="24"/>
          <w:szCs w:val="24"/>
        </w:rPr>
        <w:t xml:space="preserve"> </w:t>
      </w:r>
      <w:r w:rsidRPr="2DDD9009" w:rsidR="4A2DD40D">
        <w:rPr>
          <w:sz w:val="24"/>
          <w:szCs w:val="24"/>
        </w:rPr>
        <w:t>#</w:t>
      </w:r>
      <w:r w:rsidRPr="2DDD9009">
        <w:rPr>
          <w:sz w:val="24"/>
          <w:szCs w:val="24"/>
        </w:rPr>
        <w:t>1 above (“</w:t>
      </w:r>
      <w:r w:rsidRPr="2DDD9009" w:rsidR="00855221">
        <w:rPr>
          <w:sz w:val="24"/>
          <w:szCs w:val="24"/>
        </w:rPr>
        <w:t>Explain the circumstances that make the collection of information necessary</w:t>
      </w:r>
      <w:r w:rsidRPr="2DDD9009">
        <w:rPr>
          <w:sz w:val="24"/>
          <w:szCs w:val="24"/>
        </w:rPr>
        <w:t xml:space="preserve">”) describes the CFPB’s statutory authority to collect, analyze, and publish this data. </w:t>
      </w:r>
      <w:r w:rsidRPr="2DDD9009" w:rsidR="009E3CF7">
        <w:rPr>
          <w:sz w:val="24"/>
          <w:szCs w:val="24"/>
        </w:rPr>
        <w:t xml:space="preserve"> </w:t>
      </w:r>
      <w:r w:rsidRPr="2DDD9009">
        <w:rPr>
          <w:sz w:val="24"/>
          <w:szCs w:val="24"/>
        </w:rPr>
        <w:t>For example, section 1022 of the Dodd-Frank Act authorizes the Bureau to gather information through consumer complaints and make such information public as is in the public</w:t>
      </w:r>
      <w:r w:rsidRPr="2DDD9009" w:rsidR="5B4D1613">
        <w:rPr>
          <w:sz w:val="24"/>
          <w:szCs w:val="24"/>
        </w:rPr>
        <w:t>’s</w:t>
      </w:r>
      <w:r w:rsidRPr="2DDD9009">
        <w:rPr>
          <w:sz w:val="24"/>
          <w:szCs w:val="24"/>
        </w:rPr>
        <w:t xml:space="preserve"> interest and where confidential information is appropriately protected.  </w:t>
      </w:r>
    </w:p>
    <w:p w:rsidR="00062D10" w:rsidRPr="00062D10" w:rsidP="00062D10" w14:paraId="117DD751" w14:textId="7A3982D8">
      <w:pPr>
        <w:rPr>
          <w:sz w:val="24"/>
        </w:rPr>
      </w:pPr>
    </w:p>
    <w:p w:rsidR="00062D10" w:rsidRPr="00062D10" w:rsidP="00062D10" w14:paraId="23B9FA4C" w14:textId="6A7B15B8">
      <w:pPr>
        <w:rPr>
          <w:sz w:val="24"/>
        </w:rPr>
      </w:pPr>
      <w:r w:rsidRPr="00062D10">
        <w:rPr>
          <w:sz w:val="24"/>
        </w:rPr>
        <w:t xml:space="preserve">Consumers are notified at the beginning of this optional survey that “The CFPB will share your feedback responses with the company and use the information to help the CFPB’s work with consumer complaints. </w:t>
      </w:r>
      <w:r w:rsidR="009E3CF7">
        <w:rPr>
          <w:sz w:val="24"/>
        </w:rPr>
        <w:t xml:space="preserve"> </w:t>
      </w:r>
      <w:r w:rsidRPr="00062D10">
        <w:rPr>
          <w:sz w:val="24"/>
        </w:rPr>
        <w:t xml:space="preserve">Participation is voluntary, you are not required to submit feedback.”  The results of this feedback are shared with the company that responded to the complaint to inform its complaint handling.    </w:t>
      </w:r>
    </w:p>
    <w:p w:rsidR="005F1FFC" w:rsidRPr="00BF6D43" w:rsidP="005F1FFC" w14:paraId="77B89593" w14:textId="77777777">
      <w:pPr>
        <w:rPr>
          <w:sz w:val="24"/>
        </w:rPr>
      </w:pPr>
    </w:p>
    <w:p w:rsidR="00F660E8" w:rsidRPr="00BF6D43" w:rsidP="00F660E8" w14:paraId="7F4F1EB6" w14:textId="77777777">
      <w:pPr>
        <w:rPr>
          <w:b/>
          <w:sz w:val="24"/>
          <w:szCs w:val="24"/>
        </w:rPr>
      </w:pPr>
      <w:r w:rsidRPr="00BF6D43">
        <w:rPr>
          <w:b/>
          <w:sz w:val="24"/>
        </w:rPr>
        <w:t xml:space="preserve">17.  </w:t>
      </w:r>
      <w:r w:rsidRPr="00BF6D43">
        <w:rPr>
          <w:b/>
          <w:sz w:val="24"/>
          <w:szCs w:val="24"/>
        </w:rPr>
        <w:t>I</w:t>
      </w:r>
      <w:r w:rsidRPr="00BF6D43">
        <w:rPr>
          <w:b/>
          <w:bCs/>
          <w:sz w:val="24"/>
          <w:szCs w:val="24"/>
        </w:rPr>
        <w:t>f seeking approval to not display the expiration date for OMB approval of the information collection, explain the reasons that display would be inappropriate</w:t>
      </w:r>
      <w:r w:rsidRPr="00BF6D43">
        <w:rPr>
          <w:b/>
          <w:sz w:val="24"/>
          <w:szCs w:val="24"/>
        </w:rPr>
        <w:t>.</w:t>
      </w:r>
    </w:p>
    <w:p w:rsidR="005F1FFC" w:rsidRPr="00BF6D43" w:rsidP="005F1FFC" w14:paraId="195A2521" w14:textId="77777777">
      <w:pPr>
        <w:rPr>
          <w:sz w:val="24"/>
        </w:rPr>
      </w:pPr>
    </w:p>
    <w:p w:rsidR="00791AC9" w:rsidRPr="00BF6D43" w:rsidP="005F1FFC" w14:paraId="2449748D" w14:textId="206CE220">
      <w:pPr>
        <w:rPr>
          <w:sz w:val="24"/>
        </w:rPr>
      </w:pPr>
      <w:r w:rsidRPr="00BF6D43">
        <w:rPr>
          <w:sz w:val="24"/>
        </w:rPr>
        <w:t xml:space="preserve">The information collection is not collected in a manner that allows the display of the current expiration date.  However, the expiration date can be found under the “Information Collections under Review” section of </w:t>
      </w:r>
      <w:hyperlink r:id="rId10" w:history="1">
        <w:r w:rsidRPr="00BF6D43">
          <w:rPr>
            <w:rStyle w:val="Hyperlink"/>
            <w:sz w:val="24"/>
          </w:rPr>
          <w:t>www.reginfo.gov</w:t>
        </w:r>
      </w:hyperlink>
      <w:r w:rsidRPr="00BF6D43">
        <w:rPr>
          <w:sz w:val="24"/>
        </w:rPr>
        <w:t xml:space="preserve"> (</w:t>
      </w:r>
      <w:hyperlink r:id="rId11" w:history="1">
        <w:r w:rsidRPr="00BF6D43">
          <w:rPr>
            <w:rStyle w:val="Hyperlink"/>
            <w:sz w:val="24"/>
          </w:rPr>
          <w:t>https://www.reginfo.gov/public/do/PRAMain</w:t>
        </w:r>
      </w:hyperlink>
      <w:r w:rsidRPr="00BF6D43">
        <w:rPr>
          <w:sz w:val="24"/>
        </w:rPr>
        <w:t>).</w:t>
      </w:r>
    </w:p>
    <w:p w:rsidR="00A93967" w:rsidRPr="00BF6D43" w:rsidP="003E083F" w14:paraId="58CE7FA0" w14:textId="77777777">
      <w:pPr>
        <w:rPr>
          <w:sz w:val="24"/>
        </w:rPr>
      </w:pPr>
    </w:p>
    <w:p w:rsidR="00F660E8" w:rsidRPr="00BF6D43" w:rsidP="00F660E8" w14:paraId="0503086D" w14:textId="77777777">
      <w:pPr>
        <w:rPr>
          <w:b/>
          <w:sz w:val="24"/>
        </w:rPr>
      </w:pPr>
      <w:r w:rsidRPr="00BF6D43">
        <w:rPr>
          <w:b/>
          <w:sz w:val="24"/>
        </w:rPr>
        <w:t>18.  Explain each exception to the certification statement.</w:t>
      </w:r>
    </w:p>
    <w:p w:rsidR="005F1FFC" w:rsidRPr="00BF6D43" w:rsidP="005F1FFC" w14:paraId="6066F545" w14:textId="77777777">
      <w:pPr>
        <w:pStyle w:val="BodyText"/>
      </w:pPr>
    </w:p>
    <w:p w:rsidR="00062D10" w:rsidRPr="00062D10" w:rsidP="00062D10" w14:paraId="77E08325" w14:textId="77777777">
      <w:pPr>
        <w:rPr>
          <w:sz w:val="24"/>
        </w:rPr>
      </w:pPr>
      <w:r w:rsidRPr="00062D10">
        <w:rPr>
          <w:sz w:val="24"/>
        </w:rPr>
        <w:t xml:space="preserve">The Bureau certifies that this collection of information is consistent with the requirements of 5 C.F.R. 1320.9, and the related provisions of 5 CFR 1320.8(b)(3) and is not seeking an exemption to these certification requirements. </w:t>
      </w:r>
    </w:p>
    <w:p w:rsidR="00062D10" w:rsidRPr="00062D10" w:rsidP="00062D10" w14:paraId="7B142184" w14:textId="5B5C2D0F">
      <w:pPr>
        <w:rPr>
          <w:sz w:val="24"/>
        </w:rPr>
      </w:pPr>
    </w:p>
    <w:p w:rsidR="00062D10" w:rsidRPr="00062D10" w:rsidP="00062D10" w14:paraId="112BFDA8" w14:textId="270A90A7">
      <w:pPr>
        <w:rPr>
          <w:sz w:val="24"/>
        </w:rPr>
      </w:pPr>
      <w:r w:rsidRPr="00062D10">
        <w:rPr>
          <w:b/>
          <w:sz w:val="24"/>
        </w:rPr>
        <w:t xml:space="preserve">PART B: COLLECTIONS OF INFORMATION USING STATISTICAL METHODS </w:t>
      </w:r>
    </w:p>
    <w:p w:rsidR="00062D10" w:rsidRPr="00062D10" w:rsidP="00062D10" w14:paraId="5FAEC5E9" w14:textId="79117130">
      <w:pPr>
        <w:rPr>
          <w:sz w:val="24"/>
        </w:rPr>
      </w:pPr>
    </w:p>
    <w:p w:rsidR="00062D10" w:rsidRPr="00062D10" w:rsidP="00062D10" w14:paraId="4EEB581B" w14:textId="2163A76C">
      <w:pPr>
        <w:rPr>
          <w:sz w:val="24"/>
        </w:rPr>
      </w:pPr>
      <w:r w:rsidRPr="00062D10">
        <w:rPr>
          <w:sz w:val="24"/>
        </w:rPr>
        <w:t xml:space="preserve">The collection of information does not involve the use of statistical methods. </w:t>
      </w:r>
    </w:p>
    <w:p w:rsidR="00062D10" w:rsidRPr="00062D10" w:rsidP="00062D10" w14:paraId="359FE331" w14:textId="5604C121">
      <w:pPr>
        <w:rPr>
          <w:sz w:val="24"/>
        </w:rPr>
      </w:pPr>
    </w:p>
    <w:p w:rsidR="00CA6DAB" w:rsidRPr="00A637BE" w:rsidP="00A0364C" w14:paraId="235F0EA3" w14:textId="3EB6B3BB">
      <w:pPr>
        <w:rPr>
          <w:sz w:val="24"/>
        </w:rPr>
      </w:pPr>
    </w:p>
    <w:sectPr w:rsidSect="0079547E">
      <w:headerReference w:type="default" r:id="rId12"/>
      <w:footerReference w:type="default" r:id="rId13"/>
      <w:pgSz w:w="12240" w:h="15840"/>
      <w:pgMar w:top="1440" w:right="1800" w:bottom="1440" w:left="180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205" w14:paraId="1CD8F4C2" w14:textId="77777777">
    <w:pPr>
      <w:pStyle w:val="Footer"/>
      <w:jc w:val="center"/>
    </w:pPr>
    <w:r>
      <w:fldChar w:fldCharType="begin"/>
    </w:r>
    <w:r>
      <w:instrText xml:space="preserve"> PAGE   \* MERGEFORMAT </w:instrText>
    </w:r>
    <w:r>
      <w:fldChar w:fldCharType="separate"/>
    </w:r>
    <w:r w:rsidR="001E418A">
      <w:rPr>
        <w:noProof/>
      </w:rPr>
      <w:t>8</w:t>
    </w:r>
    <w:r>
      <w:fldChar w:fldCharType="end"/>
    </w:r>
  </w:p>
  <w:p w:rsidR="00B35205" w14:paraId="4A3288D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82652" w:rsidP="0079547E" w14:paraId="4D460050" w14:textId="77777777">
      <w:r>
        <w:separator/>
      </w:r>
    </w:p>
  </w:footnote>
  <w:footnote w:type="continuationSeparator" w:id="1">
    <w:p w:rsidR="00F82652" w:rsidP="0079547E" w14:paraId="7B70DEC9" w14:textId="77777777">
      <w:r>
        <w:continuationSeparator/>
      </w:r>
    </w:p>
  </w:footnote>
  <w:footnote w:id="2">
    <w:p w:rsidR="00BC56A2" w14:paraId="1F586CAA" w14:textId="6EE3A8DC">
      <w:pPr>
        <w:pStyle w:val="FootnoteText"/>
      </w:pPr>
      <w:r>
        <w:rPr>
          <w:rStyle w:val="FootnoteReference"/>
        </w:rPr>
        <w:footnoteRef/>
      </w:r>
      <w:r>
        <w:t xml:space="preserve"> </w:t>
      </w:r>
      <w:r w:rsidR="001D64C5">
        <w:t>88</w:t>
      </w:r>
      <w:r>
        <w:t xml:space="preserve"> FR </w:t>
      </w:r>
      <w:r w:rsidR="001D64C5">
        <w:t>14610</w:t>
      </w:r>
      <w:r>
        <w:t xml:space="preserve"> (published on </w:t>
      </w:r>
      <w:r w:rsidR="00807A9F">
        <w:t>3</w:t>
      </w:r>
      <w:r w:rsidR="000906F3">
        <w:t>/</w:t>
      </w:r>
      <w:r w:rsidR="00C40F4F">
        <w:t>9</w:t>
      </w:r>
      <w:r w:rsidR="000906F3">
        <w:t>/</w:t>
      </w:r>
      <w:r w:rsidR="00C40F4F">
        <w:t>2023</w:t>
      </w:r>
      <w:r>
        <w:t>)</w:t>
      </w:r>
      <w:r w:rsidR="009D7886">
        <w:t>.</w:t>
      </w:r>
    </w:p>
  </w:footnote>
  <w:footnote w:id="3">
    <w:p w:rsidR="009D7886" w14:paraId="1530F2D0" w14:textId="2309A75D">
      <w:pPr>
        <w:pStyle w:val="FootnoteText"/>
      </w:pPr>
      <w:r>
        <w:rPr>
          <w:rStyle w:val="FootnoteReference"/>
        </w:rPr>
        <w:footnoteRef/>
      </w:r>
      <w:r>
        <w:t xml:space="preserve"> </w:t>
      </w:r>
      <w:r w:rsidR="000A31EA">
        <w:t>88</w:t>
      </w:r>
      <w:r>
        <w:t xml:space="preserve"> FR </w:t>
      </w:r>
      <w:r w:rsidR="000A31EA">
        <w:t>41085</w:t>
      </w:r>
      <w:r w:rsidR="001650D5">
        <w:t xml:space="preserve"> </w:t>
      </w:r>
      <w:r>
        <w:t xml:space="preserve">(published on </w:t>
      </w:r>
      <w:r w:rsidR="000A31EA">
        <w:t>6/23/2023</w:t>
      </w:r>
      <w:r>
        <w:t xml:space="preserve">; comment period ends on </w:t>
      </w:r>
      <w:r w:rsidR="007801A3">
        <w:t>7/24/2023</w:t>
      </w:r>
      <w:r>
        <w:t>).</w:t>
      </w:r>
    </w:p>
  </w:footnote>
  <w:footnote w:id="4">
    <w:p w:rsidR="00A96B8C" w14:paraId="08952D85" w14:textId="3D4E4286">
      <w:pPr>
        <w:pStyle w:val="FootnoteText"/>
      </w:pPr>
      <w:r>
        <w:rPr>
          <w:rStyle w:val="FootnoteReference"/>
        </w:rPr>
        <w:footnoteRef/>
      </w:r>
      <w:r>
        <w:t xml:space="preserve"> </w:t>
      </w:r>
      <w:r w:rsidRPr="00B0286E">
        <w:t xml:space="preserve">For the related System of Record Notice (SORN), see </w:t>
      </w:r>
      <w:hyperlink r:id="rId1" w:history="1">
        <w:r w:rsidRPr="00B0286E">
          <w:rPr>
            <w:rStyle w:val="Hyperlink"/>
          </w:rPr>
          <w:t>https://www.consumerfinance.gov/privacy/system-records-notices/consumer-response-system/</w:t>
        </w:r>
      </w:hyperlink>
      <w:r w:rsidRPr="00B0286E">
        <w:t xml:space="preserve">; </w:t>
      </w:r>
      <w:hyperlink r:id="rId2" w:history="1">
        <w:r w:rsidRPr="00B0286E">
          <w:rPr>
            <w:rStyle w:val="Hyperlink"/>
          </w:rPr>
          <w:t>https://www.federalregister.gov/articles/2014/04/16/2014-08555/privacy-act-of-1974-as-amended</w:t>
        </w:r>
      </w:hyperlink>
      <w:r w:rsidRPr="00B0286E">
        <w:rPr>
          <w:rStyle w:val="Hyperlink"/>
        </w:rPr>
        <w:t xml:space="preserve">; </w:t>
      </w:r>
      <w:r w:rsidRPr="00B0286E">
        <w:rPr>
          <w:color w:val="0563C1"/>
          <w:u w:val="single"/>
        </w:rPr>
        <w:t>https://www.federalregister.gov/documents/2018/07/13/2018-14990/privacy-act-of-1974-system-of-records</w:t>
      </w:r>
      <w:r w:rsidRPr="00B0286E">
        <w:rPr>
          <w:rStyle w:val="Hyperlink"/>
        </w:rPr>
        <w:t>.</w:t>
      </w:r>
    </w:p>
  </w:footnote>
  <w:footnote w:id="5">
    <w:p w:rsidR="00026B15" w14:paraId="15F581D7" w14:textId="5558CF87">
      <w:pPr>
        <w:pStyle w:val="FootnoteText"/>
      </w:pPr>
      <w:r>
        <w:rPr>
          <w:rStyle w:val="FootnoteReference"/>
        </w:rPr>
        <w:footnoteRef/>
      </w:r>
      <w:r>
        <w:t xml:space="preserve"> Bureau of Labor Statistics, </w:t>
      </w:r>
      <w:hyperlink r:id="rId3" w:anchor="00-0000" w:history="1">
        <w:r w:rsidRPr="00D7666E">
          <w:rPr>
            <w:rStyle w:val="Hyperlink"/>
          </w:rPr>
          <w:t>https://www.bls.gov/oes/current/oes_nat.htm#00-0000</w:t>
        </w:r>
      </w:hyperlink>
      <w:r>
        <w:t>, May 202</w:t>
      </w:r>
      <w:r w:rsidR="00A4504D">
        <w:t>2</w:t>
      </w:r>
      <w:r>
        <w:t xml:space="preserve"> National Occupational Employment and Wage Estimates (Occupation code: 00-0000).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3C34" w14:paraId="384F353A" w14:textId="77777777">
    <w:pPr>
      <w:pStyle w:val="Header"/>
    </w:pPr>
    <w:r>
      <w:t>Consumer Response Company Response Survey</w:t>
    </w:r>
  </w:p>
  <w:p w:rsidR="00B35205" w14:paraId="55C694D9" w14:textId="0E91191D">
    <w:pPr>
      <w:pStyle w:val="Header"/>
    </w:pPr>
    <w:r>
      <w:t>OMB Control Number</w:t>
    </w:r>
    <w:r w:rsidR="004D6F7D">
      <w:t>:</w:t>
    </w:r>
    <w:r>
      <w:t xml:space="preserve"> </w:t>
    </w:r>
    <w:r w:rsidR="00E81562">
      <w:t>3170-</w:t>
    </w:r>
    <w:r w:rsidR="00287D9B">
      <w:t>0069</w:t>
    </w:r>
  </w:p>
  <w:p w:rsidR="00B35205" w14:paraId="3E4932DB" w14:textId="189FDDBB">
    <w:pPr>
      <w:pStyle w:val="Header"/>
    </w:pPr>
    <w:r>
      <w:t xml:space="preserve">OMB Expiration Date: </w:t>
    </w:r>
    <w:r w:rsidR="00287D9B">
      <w:t>7/31/2023</w:t>
    </w:r>
  </w:p>
  <w:p w:rsidR="00B35205" w:rsidP="00F52D42" w14:paraId="1930D639" w14:textId="77777777">
    <w:pPr>
      <w:pStyle w:val="Header"/>
      <w:tabs>
        <w:tab w:val="clear" w:pos="4680"/>
        <w:tab w:val="left" w:pos="6526"/>
        <w:tab w:val="clear" w:pos="93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20B63"/>
    <w:multiLevelType w:val="hybridMultilevel"/>
    <w:tmpl w:val="018A60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350A21"/>
    <w:multiLevelType w:val="hybridMultilevel"/>
    <w:tmpl w:val="C8E2F8C2"/>
    <w:lvl w:ilvl="0">
      <w:start w:val="1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6166B0"/>
    <w:multiLevelType w:val="hybridMultilevel"/>
    <w:tmpl w:val="0F220C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4A2D69"/>
    <w:multiLevelType w:val="hybridMultilevel"/>
    <w:tmpl w:val="BE765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E551C6"/>
    <w:multiLevelType w:val="hybridMultilevel"/>
    <w:tmpl w:val="D56E8582"/>
    <w:lvl w:ilvl="0">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nsid w:val="1E16564B"/>
    <w:multiLevelType w:val="hybridMultilevel"/>
    <w:tmpl w:val="86AA92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695B5C"/>
    <w:multiLevelType w:val="hybridMultilevel"/>
    <w:tmpl w:val="1FD8E3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6D16241"/>
    <w:multiLevelType w:val="hybridMultilevel"/>
    <w:tmpl w:val="630EAE5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F075698"/>
    <w:multiLevelType w:val="hybridMultilevel"/>
    <w:tmpl w:val="816A664C"/>
    <w:lvl w:ilvl="0">
      <w:start w:val="1"/>
      <w:numFmt w:val="decimal"/>
      <w:lvlText w:val="%1."/>
      <w:lvlJc w:val="left"/>
      <w:pPr>
        <w:ind w:left="580" w:hanging="360"/>
      </w:pPr>
      <w:rPr>
        <w:rFonts w:ascii="Times New Roman" w:eastAsia="Times New Roman" w:hAnsi="Times New Roman" w:cs="Times New Roman" w:hint="default"/>
        <w:b/>
        <w:bCs/>
        <w:spacing w:val="-2"/>
        <w:w w:val="99"/>
        <w:sz w:val="24"/>
        <w:szCs w:val="24"/>
      </w:rPr>
    </w:lvl>
    <w:lvl w:ilvl="1">
      <w:start w:val="0"/>
      <w:numFmt w:val="bullet"/>
      <w:lvlText w:val=""/>
      <w:lvlJc w:val="left"/>
      <w:pPr>
        <w:ind w:left="940" w:hanging="360"/>
      </w:pPr>
      <w:rPr>
        <w:rFonts w:ascii="Symbol" w:eastAsia="Symbol" w:hAnsi="Symbol" w:cs="Symbol" w:hint="default"/>
        <w:w w:val="100"/>
        <w:sz w:val="24"/>
        <w:szCs w:val="24"/>
      </w:rPr>
    </w:lvl>
    <w:lvl w:ilvl="2">
      <w:start w:val="0"/>
      <w:numFmt w:val="bullet"/>
      <w:lvlText w:val="•"/>
      <w:lvlJc w:val="left"/>
      <w:pPr>
        <w:ind w:left="1924" w:hanging="360"/>
      </w:pPr>
      <w:rPr>
        <w:rFonts w:hint="default"/>
      </w:rPr>
    </w:lvl>
    <w:lvl w:ilvl="3">
      <w:start w:val="0"/>
      <w:numFmt w:val="bullet"/>
      <w:lvlText w:val="•"/>
      <w:lvlJc w:val="left"/>
      <w:pPr>
        <w:ind w:left="2908" w:hanging="360"/>
      </w:pPr>
      <w:rPr>
        <w:rFonts w:hint="default"/>
      </w:rPr>
    </w:lvl>
    <w:lvl w:ilvl="4">
      <w:start w:val="0"/>
      <w:numFmt w:val="bullet"/>
      <w:lvlText w:val="•"/>
      <w:lvlJc w:val="left"/>
      <w:pPr>
        <w:ind w:left="3893" w:hanging="360"/>
      </w:pPr>
      <w:rPr>
        <w:rFonts w:hint="default"/>
      </w:rPr>
    </w:lvl>
    <w:lvl w:ilvl="5">
      <w:start w:val="0"/>
      <w:numFmt w:val="bullet"/>
      <w:lvlText w:val="•"/>
      <w:lvlJc w:val="left"/>
      <w:pPr>
        <w:ind w:left="4877" w:hanging="360"/>
      </w:pPr>
      <w:rPr>
        <w:rFonts w:hint="default"/>
      </w:rPr>
    </w:lvl>
    <w:lvl w:ilvl="6">
      <w:start w:val="0"/>
      <w:numFmt w:val="bullet"/>
      <w:lvlText w:val="•"/>
      <w:lvlJc w:val="left"/>
      <w:pPr>
        <w:ind w:left="5862" w:hanging="360"/>
      </w:pPr>
      <w:rPr>
        <w:rFonts w:hint="default"/>
      </w:rPr>
    </w:lvl>
    <w:lvl w:ilvl="7">
      <w:start w:val="0"/>
      <w:numFmt w:val="bullet"/>
      <w:lvlText w:val="•"/>
      <w:lvlJc w:val="left"/>
      <w:pPr>
        <w:ind w:left="6846" w:hanging="360"/>
      </w:pPr>
      <w:rPr>
        <w:rFonts w:hint="default"/>
      </w:rPr>
    </w:lvl>
    <w:lvl w:ilvl="8">
      <w:start w:val="0"/>
      <w:numFmt w:val="bullet"/>
      <w:lvlText w:val="•"/>
      <w:lvlJc w:val="left"/>
      <w:pPr>
        <w:ind w:left="7831" w:hanging="360"/>
      </w:pPr>
      <w:rPr>
        <w:rFonts w:hint="default"/>
      </w:rPr>
    </w:lvl>
  </w:abstractNum>
  <w:abstractNum w:abstractNumId="9">
    <w:nsid w:val="424D3F58"/>
    <w:multiLevelType w:val="singleLevel"/>
    <w:tmpl w:val="835CFD8C"/>
    <w:lvl w:ilvl="0">
      <w:start w:val="9"/>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10">
    <w:nsid w:val="483275B1"/>
    <w:multiLevelType w:val="singleLevel"/>
    <w:tmpl w:val="7A0C8E60"/>
    <w:lvl w:ilvl="0">
      <w:start w:val="1"/>
      <w:numFmt w:val="lowerLetter"/>
      <w:lvlText w:val="%1)"/>
      <w:legacy w:legacy="1" w:legacySpace="0" w:legacyIndent="360"/>
      <w:lvlJc w:val="left"/>
      <w:pPr>
        <w:ind w:left="1080" w:hanging="360"/>
      </w:pPr>
    </w:lvl>
  </w:abstractNum>
  <w:abstractNum w:abstractNumId="11">
    <w:nsid w:val="51771B42"/>
    <w:multiLevelType w:val="hybridMultilevel"/>
    <w:tmpl w:val="D9DC5F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24972FE"/>
    <w:multiLevelType w:val="singleLevel"/>
    <w:tmpl w:val="7A0C8E60"/>
    <w:lvl w:ilvl="0">
      <w:start w:val="1"/>
      <w:numFmt w:val="lowerLetter"/>
      <w:lvlText w:val="%1)"/>
      <w:legacy w:legacy="1" w:legacySpace="0" w:legacyIndent="360"/>
      <w:lvlJc w:val="left"/>
      <w:pPr>
        <w:ind w:left="1080" w:hanging="360"/>
      </w:pPr>
    </w:lvl>
  </w:abstractNum>
  <w:abstractNum w:abstractNumId="13">
    <w:nsid w:val="532E4C40"/>
    <w:multiLevelType w:val="hybridMultilevel"/>
    <w:tmpl w:val="F7C4A6B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5C35AF8"/>
    <w:multiLevelType w:val="singleLevel"/>
    <w:tmpl w:val="2C7ABA98"/>
    <w:lvl w:ilvl="0">
      <w:start w:val="5"/>
      <w:numFmt w:val="decimal"/>
      <w:lvlText w:val="%1."/>
      <w:lvlJc w:val="left"/>
      <w:pPr>
        <w:tabs>
          <w:tab w:val="num" w:pos="720"/>
        </w:tabs>
        <w:ind w:left="720" w:hanging="720"/>
      </w:pPr>
      <w:rPr>
        <w:rFonts w:hint="default"/>
        <w:b/>
      </w:rPr>
    </w:lvl>
  </w:abstractNum>
  <w:abstractNum w:abstractNumId="15">
    <w:nsid w:val="5ACE5F4A"/>
    <w:multiLevelType w:val="singleLevel"/>
    <w:tmpl w:val="7A0C8E60"/>
    <w:lvl w:ilvl="0">
      <w:start w:val="1"/>
      <w:numFmt w:val="lowerLetter"/>
      <w:lvlText w:val="%1)"/>
      <w:legacy w:legacy="1" w:legacySpace="0" w:legacyIndent="360"/>
      <w:lvlJc w:val="left"/>
      <w:pPr>
        <w:ind w:left="1080" w:hanging="360"/>
      </w:pPr>
    </w:lvl>
  </w:abstractNum>
  <w:abstractNum w:abstractNumId="16">
    <w:nsid w:val="5EFA5B7C"/>
    <w:multiLevelType w:val="hybridMultilevel"/>
    <w:tmpl w:val="CD8C321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619E336C"/>
    <w:multiLevelType w:val="hybridMultilevel"/>
    <w:tmpl w:val="560EE46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77C92974"/>
    <w:multiLevelType w:val="singleLevel"/>
    <w:tmpl w:val="7A0C8E60"/>
    <w:lvl w:ilvl="0">
      <w:start w:val="1"/>
      <w:numFmt w:val="lowerLetter"/>
      <w:lvlText w:val="%1)"/>
      <w:legacy w:legacy="1" w:legacySpace="0" w:legacyIndent="360"/>
      <w:lvlJc w:val="left"/>
      <w:pPr>
        <w:ind w:left="1080" w:hanging="360"/>
      </w:pPr>
    </w:lvl>
  </w:abstractNum>
  <w:abstractNum w:abstractNumId="19">
    <w:nsid w:val="78E118BC"/>
    <w:multiLevelType w:val="hybridMultilevel"/>
    <w:tmpl w:val="0DF275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98904476">
    <w:abstractNumId w:val="12"/>
  </w:num>
  <w:num w:numId="2" w16cid:durableId="1583106301">
    <w:abstractNumId w:val="10"/>
  </w:num>
  <w:num w:numId="3" w16cid:durableId="1209729640">
    <w:abstractNumId w:val="18"/>
  </w:num>
  <w:num w:numId="4" w16cid:durableId="1876575941">
    <w:abstractNumId w:val="9"/>
  </w:num>
  <w:num w:numId="5" w16cid:durableId="455606583">
    <w:abstractNumId w:val="15"/>
  </w:num>
  <w:num w:numId="6" w16cid:durableId="333339482">
    <w:abstractNumId w:val="14"/>
  </w:num>
  <w:num w:numId="7" w16cid:durableId="1094470652">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55147">
    <w:abstractNumId w:val="17"/>
  </w:num>
  <w:num w:numId="9" w16cid:durableId="891577795">
    <w:abstractNumId w:val="16"/>
  </w:num>
  <w:num w:numId="10" w16cid:durableId="1108159927">
    <w:abstractNumId w:val="6"/>
  </w:num>
  <w:num w:numId="11" w16cid:durableId="12482687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01519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64697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5038154">
    <w:abstractNumId w:val="7"/>
  </w:num>
  <w:num w:numId="15" w16cid:durableId="1408261156">
    <w:abstractNumId w:val="1"/>
  </w:num>
  <w:num w:numId="16" w16cid:durableId="1580943858">
    <w:abstractNumId w:val="19"/>
  </w:num>
  <w:num w:numId="17" w16cid:durableId="637614915">
    <w:abstractNumId w:val="3"/>
  </w:num>
  <w:num w:numId="18" w16cid:durableId="678435239">
    <w:abstractNumId w:val="8"/>
  </w:num>
  <w:num w:numId="19" w16cid:durableId="2108966408">
    <w:abstractNumId w:val="5"/>
  </w:num>
  <w:num w:numId="20" w16cid:durableId="1338771567">
    <w:abstractNumId w:val="11"/>
  </w:num>
  <w:num w:numId="21" w16cid:durableId="1592087008">
    <w:abstractNumId w:val="0"/>
  </w:num>
  <w:num w:numId="22" w16cid:durableId="357704750">
    <w:abstractNumId w:val="2"/>
  </w:num>
  <w:num w:numId="23" w16cid:durableId="15781755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FFC"/>
    <w:rsid w:val="0000044A"/>
    <w:rsid w:val="00000B69"/>
    <w:rsid w:val="0001380B"/>
    <w:rsid w:val="00014936"/>
    <w:rsid w:val="000267DB"/>
    <w:rsid w:val="00026B15"/>
    <w:rsid w:val="00032848"/>
    <w:rsid w:val="00032C14"/>
    <w:rsid w:val="00034C49"/>
    <w:rsid w:val="00035E5E"/>
    <w:rsid w:val="0004229D"/>
    <w:rsid w:val="00045D57"/>
    <w:rsid w:val="0005070D"/>
    <w:rsid w:val="000533A4"/>
    <w:rsid w:val="0005687E"/>
    <w:rsid w:val="00057B87"/>
    <w:rsid w:val="00062D10"/>
    <w:rsid w:val="0007006A"/>
    <w:rsid w:val="00071C66"/>
    <w:rsid w:val="000763B3"/>
    <w:rsid w:val="00080781"/>
    <w:rsid w:val="00081109"/>
    <w:rsid w:val="000906F3"/>
    <w:rsid w:val="00091AE1"/>
    <w:rsid w:val="00092D91"/>
    <w:rsid w:val="0009401F"/>
    <w:rsid w:val="000A169A"/>
    <w:rsid w:val="000A31EA"/>
    <w:rsid w:val="000A44E3"/>
    <w:rsid w:val="000B49C3"/>
    <w:rsid w:val="000C1729"/>
    <w:rsid w:val="000C39BD"/>
    <w:rsid w:val="000D0B4D"/>
    <w:rsid w:val="000D0DBE"/>
    <w:rsid w:val="000D3E1A"/>
    <w:rsid w:val="000D74D0"/>
    <w:rsid w:val="000F0DD6"/>
    <w:rsid w:val="000F5117"/>
    <w:rsid w:val="000F558B"/>
    <w:rsid w:val="00100120"/>
    <w:rsid w:val="00110F8E"/>
    <w:rsid w:val="00133459"/>
    <w:rsid w:val="001345AE"/>
    <w:rsid w:val="001346E6"/>
    <w:rsid w:val="00135A84"/>
    <w:rsid w:val="00141E34"/>
    <w:rsid w:val="00143C38"/>
    <w:rsid w:val="00143D87"/>
    <w:rsid w:val="00162371"/>
    <w:rsid w:val="001639C2"/>
    <w:rsid w:val="001650D5"/>
    <w:rsid w:val="00166D3B"/>
    <w:rsid w:val="00166FBE"/>
    <w:rsid w:val="00177293"/>
    <w:rsid w:val="00185C61"/>
    <w:rsid w:val="00187617"/>
    <w:rsid w:val="001912C5"/>
    <w:rsid w:val="00194264"/>
    <w:rsid w:val="001B12AF"/>
    <w:rsid w:val="001B50EB"/>
    <w:rsid w:val="001C1DAC"/>
    <w:rsid w:val="001C4457"/>
    <w:rsid w:val="001C59A8"/>
    <w:rsid w:val="001D5558"/>
    <w:rsid w:val="001D64C5"/>
    <w:rsid w:val="001E418A"/>
    <w:rsid w:val="001F0989"/>
    <w:rsid w:val="002029FA"/>
    <w:rsid w:val="002063CD"/>
    <w:rsid w:val="00211F72"/>
    <w:rsid w:val="002153B7"/>
    <w:rsid w:val="002215EA"/>
    <w:rsid w:val="00226237"/>
    <w:rsid w:val="002341FB"/>
    <w:rsid w:val="00235BD3"/>
    <w:rsid w:val="00236989"/>
    <w:rsid w:val="0025091D"/>
    <w:rsid w:val="00253FF0"/>
    <w:rsid w:val="00255107"/>
    <w:rsid w:val="00256325"/>
    <w:rsid w:val="002678C2"/>
    <w:rsid w:val="00272EE4"/>
    <w:rsid w:val="00274CC0"/>
    <w:rsid w:val="00287D9B"/>
    <w:rsid w:val="00294DF4"/>
    <w:rsid w:val="0029506E"/>
    <w:rsid w:val="0029789C"/>
    <w:rsid w:val="002B0AB2"/>
    <w:rsid w:val="002B341A"/>
    <w:rsid w:val="002B7700"/>
    <w:rsid w:val="002C126F"/>
    <w:rsid w:val="002C1D1D"/>
    <w:rsid w:val="002C5F25"/>
    <w:rsid w:val="002C6BC6"/>
    <w:rsid w:val="002D1431"/>
    <w:rsid w:val="002D19AD"/>
    <w:rsid w:val="002D2C81"/>
    <w:rsid w:val="002D5173"/>
    <w:rsid w:val="002D6DB5"/>
    <w:rsid w:val="002D789D"/>
    <w:rsid w:val="002E0E6B"/>
    <w:rsid w:val="002E65EF"/>
    <w:rsid w:val="002E7B73"/>
    <w:rsid w:val="002F17DC"/>
    <w:rsid w:val="002F4F70"/>
    <w:rsid w:val="00302B1C"/>
    <w:rsid w:val="003105AC"/>
    <w:rsid w:val="00312C7C"/>
    <w:rsid w:val="003161D3"/>
    <w:rsid w:val="00316CA5"/>
    <w:rsid w:val="00316F7F"/>
    <w:rsid w:val="00316FE0"/>
    <w:rsid w:val="003225D2"/>
    <w:rsid w:val="003252C5"/>
    <w:rsid w:val="00327A0B"/>
    <w:rsid w:val="0033632B"/>
    <w:rsid w:val="003372E9"/>
    <w:rsid w:val="00340510"/>
    <w:rsid w:val="003427C8"/>
    <w:rsid w:val="00345720"/>
    <w:rsid w:val="003560DF"/>
    <w:rsid w:val="0036198E"/>
    <w:rsid w:val="00366EAF"/>
    <w:rsid w:val="0038607F"/>
    <w:rsid w:val="0038749E"/>
    <w:rsid w:val="003A1CBC"/>
    <w:rsid w:val="003A1E34"/>
    <w:rsid w:val="003A66A4"/>
    <w:rsid w:val="003B354D"/>
    <w:rsid w:val="003B4917"/>
    <w:rsid w:val="003C30A7"/>
    <w:rsid w:val="003C4F2E"/>
    <w:rsid w:val="003D1A46"/>
    <w:rsid w:val="003D3ED3"/>
    <w:rsid w:val="003D6C6B"/>
    <w:rsid w:val="003D6EA7"/>
    <w:rsid w:val="003E083F"/>
    <w:rsid w:val="003E34FA"/>
    <w:rsid w:val="004158E8"/>
    <w:rsid w:val="00421C63"/>
    <w:rsid w:val="00426D4F"/>
    <w:rsid w:val="00427149"/>
    <w:rsid w:val="004318BF"/>
    <w:rsid w:val="00433D35"/>
    <w:rsid w:val="004342CA"/>
    <w:rsid w:val="00441BED"/>
    <w:rsid w:val="004460F3"/>
    <w:rsid w:val="00473ADB"/>
    <w:rsid w:val="0047444F"/>
    <w:rsid w:val="00475305"/>
    <w:rsid w:val="00477376"/>
    <w:rsid w:val="00481A62"/>
    <w:rsid w:val="00486C34"/>
    <w:rsid w:val="00487A05"/>
    <w:rsid w:val="0049767C"/>
    <w:rsid w:val="004A0C5F"/>
    <w:rsid w:val="004A5D8F"/>
    <w:rsid w:val="004A7DC4"/>
    <w:rsid w:val="004B45A2"/>
    <w:rsid w:val="004B7532"/>
    <w:rsid w:val="004C0E57"/>
    <w:rsid w:val="004C77CB"/>
    <w:rsid w:val="004D665B"/>
    <w:rsid w:val="004D6F7D"/>
    <w:rsid w:val="004E1F5B"/>
    <w:rsid w:val="00503AC6"/>
    <w:rsid w:val="00511C92"/>
    <w:rsid w:val="00513ACA"/>
    <w:rsid w:val="005147E8"/>
    <w:rsid w:val="005148FE"/>
    <w:rsid w:val="0051614E"/>
    <w:rsid w:val="005168DD"/>
    <w:rsid w:val="00516CC6"/>
    <w:rsid w:val="005270DF"/>
    <w:rsid w:val="00532872"/>
    <w:rsid w:val="00533076"/>
    <w:rsid w:val="005339D5"/>
    <w:rsid w:val="00533C34"/>
    <w:rsid w:val="00536912"/>
    <w:rsid w:val="0054251A"/>
    <w:rsid w:val="00553771"/>
    <w:rsid w:val="0057278C"/>
    <w:rsid w:val="00573509"/>
    <w:rsid w:val="0057551F"/>
    <w:rsid w:val="00594C60"/>
    <w:rsid w:val="00595988"/>
    <w:rsid w:val="005A1AE0"/>
    <w:rsid w:val="005B3933"/>
    <w:rsid w:val="005B5874"/>
    <w:rsid w:val="005B6341"/>
    <w:rsid w:val="005D2B19"/>
    <w:rsid w:val="005D6DBE"/>
    <w:rsid w:val="005D7F10"/>
    <w:rsid w:val="005E5175"/>
    <w:rsid w:val="005F1FFC"/>
    <w:rsid w:val="005F249F"/>
    <w:rsid w:val="00600A9A"/>
    <w:rsid w:val="00603E5E"/>
    <w:rsid w:val="006213DD"/>
    <w:rsid w:val="00625395"/>
    <w:rsid w:val="00626F36"/>
    <w:rsid w:val="00634112"/>
    <w:rsid w:val="00635204"/>
    <w:rsid w:val="0063657F"/>
    <w:rsid w:val="00637913"/>
    <w:rsid w:val="00641707"/>
    <w:rsid w:val="00643848"/>
    <w:rsid w:val="00650767"/>
    <w:rsid w:val="0065680E"/>
    <w:rsid w:val="006569FE"/>
    <w:rsid w:val="00664D05"/>
    <w:rsid w:val="00665C34"/>
    <w:rsid w:val="0068349A"/>
    <w:rsid w:val="00690B79"/>
    <w:rsid w:val="006A5577"/>
    <w:rsid w:val="006B7AD2"/>
    <w:rsid w:val="006C511F"/>
    <w:rsid w:val="006C7C21"/>
    <w:rsid w:val="006D1E8C"/>
    <w:rsid w:val="006D37FD"/>
    <w:rsid w:val="006D4E10"/>
    <w:rsid w:val="006E2197"/>
    <w:rsid w:val="006E6951"/>
    <w:rsid w:val="006F0A01"/>
    <w:rsid w:val="006F10DA"/>
    <w:rsid w:val="006F13DD"/>
    <w:rsid w:val="006F2252"/>
    <w:rsid w:val="007011FA"/>
    <w:rsid w:val="007059EE"/>
    <w:rsid w:val="00706218"/>
    <w:rsid w:val="00710CC5"/>
    <w:rsid w:val="00715C7F"/>
    <w:rsid w:val="007319B7"/>
    <w:rsid w:val="00732F4F"/>
    <w:rsid w:val="00733C46"/>
    <w:rsid w:val="007355AA"/>
    <w:rsid w:val="00735E4F"/>
    <w:rsid w:val="00740F6B"/>
    <w:rsid w:val="0074129E"/>
    <w:rsid w:val="00743BF5"/>
    <w:rsid w:val="00744468"/>
    <w:rsid w:val="00744ECB"/>
    <w:rsid w:val="0074629B"/>
    <w:rsid w:val="00751358"/>
    <w:rsid w:val="00763D5B"/>
    <w:rsid w:val="00765C7B"/>
    <w:rsid w:val="007801A3"/>
    <w:rsid w:val="00791AC9"/>
    <w:rsid w:val="0079339F"/>
    <w:rsid w:val="00793479"/>
    <w:rsid w:val="0079547E"/>
    <w:rsid w:val="007A0888"/>
    <w:rsid w:val="007A30EB"/>
    <w:rsid w:val="007A6EE8"/>
    <w:rsid w:val="007C05B9"/>
    <w:rsid w:val="007C0923"/>
    <w:rsid w:val="007C3C35"/>
    <w:rsid w:val="007C7E60"/>
    <w:rsid w:val="007D3D93"/>
    <w:rsid w:val="007E72B9"/>
    <w:rsid w:val="007E7E37"/>
    <w:rsid w:val="007F3057"/>
    <w:rsid w:val="007F35B6"/>
    <w:rsid w:val="007F4556"/>
    <w:rsid w:val="00807A9F"/>
    <w:rsid w:val="00810FF4"/>
    <w:rsid w:val="0081330B"/>
    <w:rsid w:val="00814193"/>
    <w:rsid w:val="00816792"/>
    <w:rsid w:val="00816AA8"/>
    <w:rsid w:val="00823FDC"/>
    <w:rsid w:val="00835F7E"/>
    <w:rsid w:val="00855221"/>
    <w:rsid w:val="00855E15"/>
    <w:rsid w:val="008573A2"/>
    <w:rsid w:val="008576C7"/>
    <w:rsid w:val="008671F9"/>
    <w:rsid w:val="00875B65"/>
    <w:rsid w:val="0088222A"/>
    <w:rsid w:val="00882935"/>
    <w:rsid w:val="008964E9"/>
    <w:rsid w:val="008970DC"/>
    <w:rsid w:val="008A6525"/>
    <w:rsid w:val="008B001F"/>
    <w:rsid w:val="008B2CB9"/>
    <w:rsid w:val="008B40CD"/>
    <w:rsid w:val="008B54DF"/>
    <w:rsid w:val="008C44A7"/>
    <w:rsid w:val="008C7818"/>
    <w:rsid w:val="008D3161"/>
    <w:rsid w:val="008D38AE"/>
    <w:rsid w:val="008D3940"/>
    <w:rsid w:val="008E164F"/>
    <w:rsid w:val="008E38B3"/>
    <w:rsid w:val="008E3E92"/>
    <w:rsid w:val="008E5D30"/>
    <w:rsid w:val="008E777F"/>
    <w:rsid w:val="0090025B"/>
    <w:rsid w:val="00903330"/>
    <w:rsid w:val="00904477"/>
    <w:rsid w:val="0092092B"/>
    <w:rsid w:val="00923029"/>
    <w:rsid w:val="009336CF"/>
    <w:rsid w:val="00954684"/>
    <w:rsid w:val="00955CDF"/>
    <w:rsid w:val="0096415E"/>
    <w:rsid w:val="00964D95"/>
    <w:rsid w:val="009664D0"/>
    <w:rsid w:val="00967432"/>
    <w:rsid w:val="0097154F"/>
    <w:rsid w:val="00973293"/>
    <w:rsid w:val="00977470"/>
    <w:rsid w:val="00990CFC"/>
    <w:rsid w:val="009936CA"/>
    <w:rsid w:val="00994943"/>
    <w:rsid w:val="00996A0D"/>
    <w:rsid w:val="009A13BD"/>
    <w:rsid w:val="009A641F"/>
    <w:rsid w:val="009B30FA"/>
    <w:rsid w:val="009B3CA2"/>
    <w:rsid w:val="009C10E1"/>
    <w:rsid w:val="009C44C3"/>
    <w:rsid w:val="009C5ABF"/>
    <w:rsid w:val="009C7539"/>
    <w:rsid w:val="009D195A"/>
    <w:rsid w:val="009D33D2"/>
    <w:rsid w:val="009D3F30"/>
    <w:rsid w:val="009D412E"/>
    <w:rsid w:val="009D7886"/>
    <w:rsid w:val="009E1042"/>
    <w:rsid w:val="009E3CF7"/>
    <w:rsid w:val="009E47CC"/>
    <w:rsid w:val="009E76E0"/>
    <w:rsid w:val="009F0BC4"/>
    <w:rsid w:val="009F3A08"/>
    <w:rsid w:val="009F4469"/>
    <w:rsid w:val="009F49A3"/>
    <w:rsid w:val="009F6E69"/>
    <w:rsid w:val="009F7E64"/>
    <w:rsid w:val="00A0364C"/>
    <w:rsid w:val="00A0474C"/>
    <w:rsid w:val="00A06C9A"/>
    <w:rsid w:val="00A13C84"/>
    <w:rsid w:val="00A30AA0"/>
    <w:rsid w:val="00A358CE"/>
    <w:rsid w:val="00A36144"/>
    <w:rsid w:val="00A36572"/>
    <w:rsid w:val="00A374E8"/>
    <w:rsid w:val="00A4284B"/>
    <w:rsid w:val="00A4452C"/>
    <w:rsid w:val="00A4504D"/>
    <w:rsid w:val="00A55878"/>
    <w:rsid w:val="00A563A0"/>
    <w:rsid w:val="00A622E9"/>
    <w:rsid w:val="00A637BE"/>
    <w:rsid w:val="00A67A6C"/>
    <w:rsid w:val="00A71151"/>
    <w:rsid w:val="00A72C71"/>
    <w:rsid w:val="00A818AE"/>
    <w:rsid w:val="00A83ED2"/>
    <w:rsid w:val="00A84128"/>
    <w:rsid w:val="00A90DA3"/>
    <w:rsid w:val="00A92A19"/>
    <w:rsid w:val="00A93967"/>
    <w:rsid w:val="00A96B8C"/>
    <w:rsid w:val="00AA633C"/>
    <w:rsid w:val="00AA66A0"/>
    <w:rsid w:val="00AA6EC1"/>
    <w:rsid w:val="00AB6FC5"/>
    <w:rsid w:val="00AC2DFF"/>
    <w:rsid w:val="00AD0BCB"/>
    <w:rsid w:val="00AD2890"/>
    <w:rsid w:val="00AD7C75"/>
    <w:rsid w:val="00AF1678"/>
    <w:rsid w:val="00AF51D0"/>
    <w:rsid w:val="00B0041E"/>
    <w:rsid w:val="00B0286E"/>
    <w:rsid w:val="00B02F1E"/>
    <w:rsid w:val="00B03988"/>
    <w:rsid w:val="00B07D28"/>
    <w:rsid w:val="00B10271"/>
    <w:rsid w:val="00B16815"/>
    <w:rsid w:val="00B258FB"/>
    <w:rsid w:val="00B30BA4"/>
    <w:rsid w:val="00B35205"/>
    <w:rsid w:val="00B43E7B"/>
    <w:rsid w:val="00B5445A"/>
    <w:rsid w:val="00B563A0"/>
    <w:rsid w:val="00B601DB"/>
    <w:rsid w:val="00B7194A"/>
    <w:rsid w:val="00B76BED"/>
    <w:rsid w:val="00B77064"/>
    <w:rsid w:val="00B804F3"/>
    <w:rsid w:val="00B85F31"/>
    <w:rsid w:val="00B860C7"/>
    <w:rsid w:val="00B92BDE"/>
    <w:rsid w:val="00B96DD6"/>
    <w:rsid w:val="00B974E3"/>
    <w:rsid w:val="00BA1433"/>
    <w:rsid w:val="00BA16FC"/>
    <w:rsid w:val="00BA4383"/>
    <w:rsid w:val="00BC10FD"/>
    <w:rsid w:val="00BC16BB"/>
    <w:rsid w:val="00BC56A2"/>
    <w:rsid w:val="00BC5B56"/>
    <w:rsid w:val="00BD42E6"/>
    <w:rsid w:val="00BD440C"/>
    <w:rsid w:val="00BD596F"/>
    <w:rsid w:val="00BD634B"/>
    <w:rsid w:val="00BD789B"/>
    <w:rsid w:val="00BD7D0B"/>
    <w:rsid w:val="00BE4034"/>
    <w:rsid w:val="00BE414D"/>
    <w:rsid w:val="00BE61FE"/>
    <w:rsid w:val="00BF157B"/>
    <w:rsid w:val="00BF3B8E"/>
    <w:rsid w:val="00BF6D43"/>
    <w:rsid w:val="00C01BBE"/>
    <w:rsid w:val="00C05B3E"/>
    <w:rsid w:val="00C26D14"/>
    <w:rsid w:val="00C31F83"/>
    <w:rsid w:val="00C3225C"/>
    <w:rsid w:val="00C34282"/>
    <w:rsid w:val="00C34CD3"/>
    <w:rsid w:val="00C37D4E"/>
    <w:rsid w:val="00C40CD8"/>
    <w:rsid w:val="00C40F4F"/>
    <w:rsid w:val="00C41186"/>
    <w:rsid w:val="00C4132E"/>
    <w:rsid w:val="00C41820"/>
    <w:rsid w:val="00C44DA9"/>
    <w:rsid w:val="00C51482"/>
    <w:rsid w:val="00C51760"/>
    <w:rsid w:val="00C57E66"/>
    <w:rsid w:val="00C602F5"/>
    <w:rsid w:val="00C62364"/>
    <w:rsid w:val="00C6633F"/>
    <w:rsid w:val="00C701D2"/>
    <w:rsid w:val="00C70859"/>
    <w:rsid w:val="00C7631A"/>
    <w:rsid w:val="00C801D4"/>
    <w:rsid w:val="00C812E5"/>
    <w:rsid w:val="00C86DD8"/>
    <w:rsid w:val="00C8745F"/>
    <w:rsid w:val="00C94B76"/>
    <w:rsid w:val="00C97457"/>
    <w:rsid w:val="00CA6DAB"/>
    <w:rsid w:val="00CB33D0"/>
    <w:rsid w:val="00CB5026"/>
    <w:rsid w:val="00CB6B31"/>
    <w:rsid w:val="00CB6D80"/>
    <w:rsid w:val="00CC2D48"/>
    <w:rsid w:val="00CC384D"/>
    <w:rsid w:val="00CC45DE"/>
    <w:rsid w:val="00CC5231"/>
    <w:rsid w:val="00CC7299"/>
    <w:rsid w:val="00CC7831"/>
    <w:rsid w:val="00CD0AA5"/>
    <w:rsid w:val="00CD46B7"/>
    <w:rsid w:val="00CD5F33"/>
    <w:rsid w:val="00CE13C5"/>
    <w:rsid w:val="00CE2CA6"/>
    <w:rsid w:val="00CE36FF"/>
    <w:rsid w:val="00CE5880"/>
    <w:rsid w:val="00CE65D6"/>
    <w:rsid w:val="00CE6EF6"/>
    <w:rsid w:val="00CE781E"/>
    <w:rsid w:val="00CF1807"/>
    <w:rsid w:val="00CF54AB"/>
    <w:rsid w:val="00CF6E73"/>
    <w:rsid w:val="00D13CC0"/>
    <w:rsid w:val="00D152D6"/>
    <w:rsid w:val="00D1640B"/>
    <w:rsid w:val="00D1702D"/>
    <w:rsid w:val="00D21CAF"/>
    <w:rsid w:val="00D27EE7"/>
    <w:rsid w:val="00D30FED"/>
    <w:rsid w:val="00D328D6"/>
    <w:rsid w:val="00D35E81"/>
    <w:rsid w:val="00D41323"/>
    <w:rsid w:val="00D51A8E"/>
    <w:rsid w:val="00D5266A"/>
    <w:rsid w:val="00D54E06"/>
    <w:rsid w:val="00D561AD"/>
    <w:rsid w:val="00D6013E"/>
    <w:rsid w:val="00D7666E"/>
    <w:rsid w:val="00D84541"/>
    <w:rsid w:val="00D86091"/>
    <w:rsid w:val="00DA0CF0"/>
    <w:rsid w:val="00DA62F9"/>
    <w:rsid w:val="00DB6949"/>
    <w:rsid w:val="00DD1FDE"/>
    <w:rsid w:val="00DD20FC"/>
    <w:rsid w:val="00DD3EB0"/>
    <w:rsid w:val="00DD40BE"/>
    <w:rsid w:val="00DD447D"/>
    <w:rsid w:val="00DD6F06"/>
    <w:rsid w:val="00DE0F71"/>
    <w:rsid w:val="00DE2E05"/>
    <w:rsid w:val="00DE3025"/>
    <w:rsid w:val="00DE6849"/>
    <w:rsid w:val="00DE70D6"/>
    <w:rsid w:val="00DF2DAA"/>
    <w:rsid w:val="00E0047E"/>
    <w:rsid w:val="00E0306E"/>
    <w:rsid w:val="00E14D33"/>
    <w:rsid w:val="00E22A8C"/>
    <w:rsid w:val="00E2598F"/>
    <w:rsid w:val="00E302D3"/>
    <w:rsid w:val="00E30F77"/>
    <w:rsid w:val="00E31770"/>
    <w:rsid w:val="00E34C47"/>
    <w:rsid w:val="00E35C99"/>
    <w:rsid w:val="00E365FF"/>
    <w:rsid w:val="00E44531"/>
    <w:rsid w:val="00E509E8"/>
    <w:rsid w:val="00E577E0"/>
    <w:rsid w:val="00E6073A"/>
    <w:rsid w:val="00E60E1C"/>
    <w:rsid w:val="00E60EB4"/>
    <w:rsid w:val="00E621CC"/>
    <w:rsid w:val="00E63DE1"/>
    <w:rsid w:val="00E66CDA"/>
    <w:rsid w:val="00E70D94"/>
    <w:rsid w:val="00E81562"/>
    <w:rsid w:val="00E81DA1"/>
    <w:rsid w:val="00E85B4C"/>
    <w:rsid w:val="00E907E5"/>
    <w:rsid w:val="00E939D3"/>
    <w:rsid w:val="00EA1984"/>
    <w:rsid w:val="00EA6160"/>
    <w:rsid w:val="00EA669E"/>
    <w:rsid w:val="00EB0A8A"/>
    <w:rsid w:val="00EB4DF0"/>
    <w:rsid w:val="00EB554A"/>
    <w:rsid w:val="00EC2804"/>
    <w:rsid w:val="00ED26B5"/>
    <w:rsid w:val="00EE31E1"/>
    <w:rsid w:val="00EE6C88"/>
    <w:rsid w:val="00F0202B"/>
    <w:rsid w:val="00F04735"/>
    <w:rsid w:val="00F07733"/>
    <w:rsid w:val="00F07C26"/>
    <w:rsid w:val="00F10718"/>
    <w:rsid w:val="00F10F75"/>
    <w:rsid w:val="00F13A08"/>
    <w:rsid w:val="00F1588B"/>
    <w:rsid w:val="00F213B5"/>
    <w:rsid w:val="00F238D8"/>
    <w:rsid w:val="00F2419A"/>
    <w:rsid w:val="00F26141"/>
    <w:rsid w:val="00F307E5"/>
    <w:rsid w:val="00F32331"/>
    <w:rsid w:val="00F32901"/>
    <w:rsid w:val="00F348C5"/>
    <w:rsid w:val="00F43FAC"/>
    <w:rsid w:val="00F449B5"/>
    <w:rsid w:val="00F50D5F"/>
    <w:rsid w:val="00F52081"/>
    <w:rsid w:val="00F52D42"/>
    <w:rsid w:val="00F561CC"/>
    <w:rsid w:val="00F60B0E"/>
    <w:rsid w:val="00F62EE2"/>
    <w:rsid w:val="00F660E8"/>
    <w:rsid w:val="00F70BBC"/>
    <w:rsid w:val="00F7353F"/>
    <w:rsid w:val="00F804DD"/>
    <w:rsid w:val="00F82652"/>
    <w:rsid w:val="00F85F5D"/>
    <w:rsid w:val="00F9485D"/>
    <w:rsid w:val="00F97A0C"/>
    <w:rsid w:val="00FB4384"/>
    <w:rsid w:val="00FB4B0E"/>
    <w:rsid w:val="00FB531D"/>
    <w:rsid w:val="00FD39F0"/>
    <w:rsid w:val="00FD45EB"/>
    <w:rsid w:val="00FD666D"/>
    <w:rsid w:val="00FF6C53"/>
    <w:rsid w:val="00FF6FE3"/>
    <w:rsid w:val="25E0F674"/>
    <w:rsid w:val="2DDD9009"/>
    <w:rsid w:val="4A2DD40D"/>
    <w:rsid w:val="5B4D1613"/>
    <w:rsid w:val="765275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835986"/>
  <w15:docId w15:val="{D4ED4F2A-9073-42C9-AC64-5E5CC060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1FFC"/>
  </w:style>
  <w:style w:type="paragraph" w:styleId="Heading1">
    <w:name w:val="heading 1"/>
    <w:basedOn w:val="Normal"/>
    <w:next w:val="Normal"/>
    <w:qFormat/>
    <w:rsid w:val="005F1FFC"/>
    <w:pPr>
      <w:keepNext/>
      <w:numPr>
        <w:ilvl w:val="12"/>
      </w:numPr>
      <w:ind w:left="2160"/>
      <w:outlineLvl w:val="0"/>
    </w:pPr>
    <w:rPr>
      <w:sz w:val="24"/>
    </w:rPr>
  </w:style>
  <w:style w:type="paragraph" w:styleId="Heading2">
    <w:name w:val="heading 2"/>
    <w:basedOn w:val="Normal"/>
    <w:next w:val="Normal"/>
    <w:qFormat/>
    <w:rsid w:val="005F1FFC"/>
    <w:pPr>
      <w:keepNext/>
      <w:ind w:firstLine="720"/>
      <w:outlineLvl w:val="1"/>
    </w:pPr>
    <w:rPr>
      <w:b/>
      <w:sz w:val="24"/>
      <w:u w:val="single"/>
    </w:rPr>
  </w:style>
  <w:style w:type="paragraph" w:styleId="Heading3">
    <w:name w:val="heading 3"/>
    <w:basedOn w:val="Normal"/>
    <w:next w:val="Normal"/>
    <w:qFormat/>
    <w:rsid w:val="005F1FFC"/>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1FFC"/>
    <w:rPr>
      <w:sz w:val="24"/>
    </w:rPr>
  </w:style>
  <w:style w:type="character" w:styleId="CommentReference">
    <w:name w:val="annotation reference"/>
    <w:semiHidden/>
    <w:rsid w:val="005F1FFC"/>
    <w:rPr>
      <w:sz w:val="16"/>
      <w:szCs w:val="16"/>
    </w:rPr>
  </w:style>
  <w:style w:type="paragraph" w:styleId="CommentText">
    <w:name w:val="annotation text"/>
    <w:basedOn w:val="Normal"/>
    <w:link w:val="CommentTextChar"/>
    <w:semiHidden/>
    <w:rsid w:val="005F1FFC"/>
  </w:style>
  <w:style w:type="paragraph" w:styleId="BalloonText">
    <w:name w:val="Balloon Text"/>
    <w:basedOn w:val="Normal"/>
    <w:semiHidden/>
    <w:rsid w:val="005F1FFC"/>
    <w:rPr>
      <w:rFonts w:ascii="Tahoma" w:hAnsi="Tahoma" w:cs="Tahoma"/>
      <w:sz w:val="16"/>
      <w:szCs w:val="16"/>
    </w:rPr>
  </w:style>
  <w:style w:type="paragraph" w:styleId="CommentSubject">
    <w:name w:val="annotation subject"/>
    <w:basedOn w:val="CommentText"/>
    <w:next w:val="CommentText"/>
    <w:semiHidden/>
    <w:rsid w:val="006E6951"/>
    <w:rPr>
      <w:b/>
      <w:bCs/>
    </w:rPr>
  </w:style>
  <w:style w:type="paragraph" w:styleId="ListParagraph">
    <w:name w:val="List Paragraph"/>
    <w:basedOn w:val="Normal"/>
    <w:uiPriority w:val="34"/>
    <w:qFormat/>
    <w:rsid w:val="00E365FF"/>
    <w:pPr>
      <w:ind w:left="720"/>
    </w:pPr>
    <w:rPr>
      <w:rFonts w:ascii="Calibri" w:eastAsia="Calibri" w:hAnsi="Calibri"/>
      <w:sz w:val="22"/>
      <w:szCs w:val="22"/>
    </w:rPr>
  </w:style>
  <w:style w:type="table" w:styleId="TableGrid">
    <w:name w:val="Table Grid"/>
    <w:basedOn w:val="TableNormal"/>
    <w:uiPriority w:val="59"/>
    <w:rsid w:val="00342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737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79547E"/>
    <w:pPr>
      <w:tabs>
        <w:tab w:val="center" w:pos="4680"/>
        <w:tab w:val="right" w:pos="9360"/>
      </w:tabs>
    </w:pPr>
  </w:style>
  <w:style w:type="character" w:customStyle="1" w:styleId="HeaderChar">
    <w:name w:val="Header Char"/>
    <w:basedOn w:val="DefaultParagraphFont"/>
    <w:link w:val="Header"/>
    <w:uiPriority w:val="99"/>
    <w:rsid w:val="0079547E"/>
  </w:style>
  <w:style w:type="paragraph" w:styleId="Footer">
    <w:name w:val="footer"/>
    <w:basedOn w:val="Normal"/>
    <w:link w:val="FooterChar"/>
    <w:uiPriority w:val="99"/>
    <w:rsid w:val="0079547E"/>
    <w:pPr>
      <w:tabs>
        <w:tab w:val="center" w:pos="4680"/>
        <w:tab w:val="right" w:pos="9360"/>
      </w:tabs>
    </w:pPr>
  </w:style>
  <w:style w:type="character" w:customStyle="1" w:styleId="FooterChar">
    <w:name w:val="Footer Char"/>
    <w:basedOn w:val="DefaultParagraphFont"/>
    <w:link w:val="Footer"/>
    <w:uiPriority w:val="99"/>
    <w:rsid w:val="0079547E"/>
  </w:style>
  <w:style w:type="paragraph" w:styleId="Revision">
    <w:name w:val="Revision"/>
    <w:hidden/>
    <w:uiPriority w:val="99"/>
    <w:semiHidden/>
    <w:rsid w:val="00F26141"/>
  </w:style>
  <w:style w:type="paragraph" w:styleId="FootnoteText">
    <w:name w:val="footnote text"/>
    <w:basedOn w:val="Normal"/>
    <w:link w:val="FootnoteTextChar"/>
    <w:rsid w:val="00F26141"/>
  </w:style>
  <w:style w:type="character" w:customStyle="1" w:styleId="FootnoteTextChar">
    <w:name w:val="Footnote Text Char"/>
    <w:basedOn w:val="DefaultParagraphFont"/>
    <w:link w:val="FootnoteText"/>
    <w:rsid w:val="00F26141"/>
  </w:style>
  <w:style w:type="character" w:styleId="FootnoteReference">
    <w:name w:val="footnote reference"/>
    <w:aliases w:val="(Footnote Reference),BVI fnr,EN Footnote Reference,Exposant 3 Point,Footnote,Footnote Reference Superscript,Footnote reference number,Footnote symbol,SUPERS,Style 16,Style 19,Times 10 Point,Voetnootverwijzing,fr,note TESI"/>
    <w:uiPriority w:val="99"/>
    <w:qFormat/>
    <w:rsid w:val="00F26141"/>
    <w:rPr>
      <w:vertAlign w:val="superscript"/>
    </w:rPr>
  </w:style>
  <w:style w:type="paragraph" w:styleId="NormalWeb">
    <w:name w:val="Normal (Web)"/>
    <w:basedOn w:val="Normal"/>
    <w:uiPriority w:val="99"/>
    <w:unhideWhenUsed/>
    <w:rsid w:val="00EA669E"/>
    <w:pPr>
      <w:spacing w:before="100" w:beforeAutospacing="1" w:after="100" w:afterAutospacing="1"/>
    </w:pPr>
    <w:rPr>
      <w:sz w:val="24"/>
      <w:szCs w:val="24"/>
    </w:rPr>
  </w:style>
  <w:style w:type="character" w:styleId="Hyperlink">
    <w:name w:val="Hyperlink"/>
    <w:uiPriority w:val="99"/>
    <w:unhideWhenUsed/>
    <w:rsid w:val="00B92BDE"/>
    <w:rPr>
      <w:color w:val="0563C1"/>
      <w:u w:val="single"/>
    </w:rPr>
  </w:style>
  <w:style w:type="character" w:customStyle="1" w:styleId="CommentTextChar">
    <w:name w:val="Comment Text Char"/>
    <w:link w:val="CommentText"/>
    <w:semiHidden/>
    <w:rsid w:val="00DD1FDE"/>
  </w:style>
  <w:style w:type="paragraph" w:styleId="HTMLPreformatted">
    <w:name w:val="HTML Preformatted"/>
    <w:basedOn w:val="Normal"/>
    <w:link w:val="HTMLPreformattedChar"/>
    <w:rsid w:val="0057278C"/>
    <w:rPr>
      <w:rFonts w:ascii="Courier New" w:hAnsi="Courier New" w:cs="Courier New"/>
    </w:rPr>
  </w:style>
  <w:style w:type="character" w:customStyle="1" w:styleId="HTMLPreformattedChar">
    <w:name w:val="HTML Preformatted Char"/>
    <w:link w:val="HTMLPreformatted"/>
    <w:rsid w:val="0057278C"/>
    <w:rPr>
      <w:rFonts w:ascii="Courier New" w:hAnsi="Courier New" w:cs="Courier New"/>
    </w:rPr>
  </w:style>
  <w:style w:type="paragraph" w:styleId="Title">
    <w:name w:val="Title"/>
    <w:basedOn w:val="Normal"/>
    <w:link w:val="TitleChar"/>
    <w:uiPriority w:val="99"/>
    <w:qFormat/>
    <w:rsid w:val="0079339F"/>
    <w:pPr>
      <w:keepNext/>
      <w:spacing w:before="480" w:after="240"/>
      <w:jc w:val="center"/>
    </w:pPr>
    <w:rPr>
      <w:rFonts w:ascii="Calibri Light" w:hAnsi="Calibri Light" w:eastAsiaTheme="minorHAnsi"/>
      <w:b/>
      <w:bCs/>
      <w:color w:val="2C6EAB"/>
      <w:sz w:val="36"/>
      <w:szCs w:val="36"/>
    </w:rPr>
  </w:style>
  <w:style w:type="character" w:customStyle="1" w:styleId="TitleChar">
    <w:name w:val="Title Char"/>
    <w:basedOn w:val="DefaultParagraphFont"/>
    <w:link w:val="Title"/>
    <w:uiPriority w:val="99"/>
    <w:rsid w:val="0079339F"/>
    <w:rPr>
      <w:rFonts w:ascii="Calibri Light" w:hAnsi="Calibri Light" w:eastAsiaTheme="minorHAnsi"/>
      <w:b/>
      <w:bCs/>
      <w:color w:val="2C6EAB"/>
      <w:sz w:val="36"/>
      <w:szCs w:val="36"/>
    </w:rPr>
  </w:style>
  <w:style w:type="paragraph" w:customStyle="1" w:styleId="ReportCover-Title">
    <w:name w:val="ReportCover-Title"/>
    <w:basedOn w:val="Normal"/>
    <w:uiPriority w:val="99"/>
    <w:rsid w:val="0079339F"/>
    <w:pPr>
      <w:spacing w:line="480" w:lineRule="exact"/>
    </w:pPr>
    <w:rPr>
      <w:rFonts w:ascii="Franklin Gothic Medium" w:hAnsi="Franklin Gothic Medium" w:eastAsiaTheme="minorHAnsi"/>
      <w:b/>
      <w:bCs/>
      <w:color w:val="003C79"/>
      <w:sz w:val="44"/>
      <w:szCs w:val="44"/>
    </w:rPr>
  </w:style>
  <w:style w:type="character" w:styleId="FollowedHyperlink">
    <w:name w:val="FollowedHyperlink"/>
    <w:basedOn w:val="DefaultParagraphFont"/>
    <w:semiHidden/>
    <w:unhideWhenUsed/>
    <w:rsid w:val="00071C66"/>
    <w:rPr>
      <w:color w:val="954F72" w:themeColor="followedHyperlink"/>
      <w:u w:val="single"/>
    </w:rPr>
  </w:style>
  <w:style w:type="paragraph" w:customStyle="1" w:styleId="FigureHeading">
    <w:name w:val="Figure Heading"/>
    <w:basedOn w:val="Normal"/>
    <w:rsid w:val="00071C66"/>
    <w:pPr>
      <w:spacing w:before="100" w:beforeAutospacing="1" w:after="100" w:afterAutospacing="1" w:line="480" w:lineRule="auto"/>
    </w:pPr>
    <w:rPr>
      <w:sz w:val="24"/>
      <w:szCs w:val="24"/>
    </w:rPr>
  </w:style>
  <w:style w:type="paragraph" w:customStyle="1" w:styleId="Level1">
    <w:name w:val="Level 1"/>
    <w:basedOn w:val="Normal"/>
    <w:rsid w:val="00F660E8"/>
    <w:pPr>
      <w:widowControl w:val="0"/>
      <w:autoSpaceDE w:val="0"/>
      <w:autoSpaceDN w:val="0"/>
      <w:adjustRightInd w:val="0"/>
      <w:ind w:left="360" w:hanging="360"/>
    </w:pPr>
    <w:rPr>
      <w:sz w:val="24"/>
      <w:szCs w:val="24"/>
    </w:rPr>
  </w:style>
  <w:style w:type="character" w:styleId="UnresolvedMention">
    <w:name w:val="Unresolved Mention"/>
    <w:basedOn w:val="DefaultParagraphFont"/>
    <w:uiPriority w:val="99"/>
    <w:semiHidden/>
    <w:unhideWhenUsed/>
    <w:rsid w:val="00E81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 TargetMode="External" /><Relationship Id="rId11" Type="http://schemas.openxmlformats.org/officeDocument/2006/relationships/hyperlink" Target="https://www.reginfo.gov/public/do/PRAMain"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onsumerfinance.gov/privacy/system-records-notices/consumer-response-system/" TargetMode="External" /><Relationship Id="rId2" Type="http://schemas.openxmlformats.org/officeDocument/2006/relationships/hyperlink" Target="https://www.federalregister.gov/articles/2014/04/16/2014-08555/privacy-act-of-1974-as-amended" TargetMode="External" /><Relationship Id="rId3"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097749c-35e3-4292-9c41-d352b303d2cf" xsi:nil="true"/>
    <_dlc_DocId xmlns="8097749c-35e3-4292-9c41-d352b303d2cf">OPSOCDOPRA-2116056712-2136938</_dlc_DocId>
    <_dlc_DocIdUrl xmlns="8097749c-35e3-4292-9c41-d352b303d2cf">
      <Url>https://bcfp365.sharepoint.com/sites/ops-ocdo-pra/_layouts/15/DocIdRedir.aspx?ID=OPSOCDOPRA-2116056712-2136938</Url>
      <Description>OPSOCDOPRA-2116056712-2136938</Description>
    </_dlc_DocIdUrl>
    <md95245a80cd48af84779a6a8432aa88 xmlns="3c358492-2927-472d-85d8-14627d068203">
      <Terms xmlns="http://schemas.microsoft.com/office/infopath/2007/PartnerControls"/>
    </md95245a80cd48af84779a6a8432aa88>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9" ma:contentTypeDescription="Create a new document." ma:contentTypeScope="" ma:versionID="a3eafc4f4830d53c58302995758b7b53">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427d70ee541e694ab44aba4ace576464"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D0DF7C-97A2-4A3B-A427-1AFB45DBC97A}">
  <ds:schemaRefs>
    <ds:schemaRef ds:uri="http://schemas.openxmlformats.org/officeDocument/2006/bibliography"/>
  </ds:schemaRefs>
</ds:datastoreItem>
</file>

<file path=customXml/itemProps2.xml><?xml version="1.0" encoding="utf-8"?>
<ds:datastoreItem xmlns:ds="http://schemas.openxmlformats.org/officeDocument/2006/customXml" ds:itemID="{42CED0D3-7229-43BB-8AFC-48D9FD45EDBF}">
  <ds:schemaRefs>
    <ds:schemaRef ds:uri="http://schemas.microsoft.com/sharepoint/v3/contenttype/forms"/>
  </ds:schemaRefs>
</ds:datastoreItem>
</file>

<file path=customXml/itemProps3.xml><?xml version="1.0" encoding="utf-8"?>
<ds:datastoreItem xmlns:ds="http://schemas.openxmlformats.org/officeDocument/2006/customXml" ds:itemID="{6FB63515-9552-4602-80A9-3E25B9B29895}">
  <ds:schemaRefs>
    <ds:schemaRef ds:uri="http://schemas.microsoft.com/office/2006/metadata/properties"/>
    <ds:schemaRef ds:uri="http://schemas.microsoft.com/office/infopath/2007/PartnerControls"/>
    <ds:schemaRef ds:uri="http://schemas.microsoft.com/sharepoint/v3"/>
    <ds:schemaRef ds:uri="8097749c-35e3-4292-9c41-d352b303d2cf"/>
    <ds:schemaRef ds:uri="3c358492-2927-472d-85d8-14627d068203"/>
  </ds:schemaRefs>
</ds:datastoreItem>
</file>

<file path=customXml/itemProps4.xml><?xml version="1.0" encoding="utf-8"?>
<ds:datastoreItem xmlns:ds="http://schemas.openxmlformats.org/officeDocument/2006/customXml" ds:itemID="{0170A8B2-AE9B-454C-87AE-795282F9E63F}">
  <ds:schemaRefs>
    <ds:schemaRef ds:uri="http://schemas.microsoft.com/sharepoint/events"/>
  </ds:schemaRefs>
</ds:datastoreItem>
</file>

<file path=customXml/itemProps5.xml><?xml version="1.0" encoding="utf-8"?>
<ds:datastoreItem xmlns:ds="http://schemas.openxmlformats.org/officeDocument/2006/customXml" ds:itemID="{E24737D1-A2AB-40E2-AB65-85B4DB30D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97749c-35e3-4292-9c41-d352b303d2cf"/>
    <ds:schemaRef ds:uri="3c358492-2927-472d-85d8-14627d068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2309</Words>
  <Characters>13163</Characters>
  <Application>Microsoft Office Word</Application>
  <DocSecurity>0</DocSecurity>
  <Lines>109</Lines>
  <Paragraphs>30</Paragraphs>
  <ScaleCrop>false</ScaleCrop>
  <Company>Bureau of Labor Statistics</Company>
  <LinksUpToDate>false</LinksUpToDate>
  <CharactersWithSpaces>15442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Anthony (CFPB)</dc:creator>
  <cp:lastModifiedBy>Watkins, Pamela (CFPB)</cp:lastModifiedBy>
  <cp:revision>54</cp:revision>
  <cp:lastPrinted>2017-07-25T10:39:00Z</cp:lastPrinted>
  <dcterms:created xsi:type="dcterms:W3CDTF">2023-05-02T22:59:00Z</dcterms:created>
  <dcterms:modified xsi:type="dcterms:W3CDTF">2023-07-20T18:37:00Z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UI">
    <vt:lpwstr/>
  </property>
  <property fmtid="{D5CDD505-2E9C-101B-9397-08002B2CF9AE}" pid="4" name="TaxKeyword">
    <vt:lpwstr/>
  </property>
  <property fmtid="{D5CDD505-2E9C-101B-9397-08002B2CF9AE}" pid="5" name="_dlc_DocIdItemGuid">
    <vt:lpwstr>2f7a6fd1-4930-49fd-9c4c-3fbbda732c9f</vt:lpwstr>
  </property>
  <property fmtid="{D5CDD505-2E9C-101B-9397-08002B2CF9AE}" pid="6" name="_NewReviewCycle">
    <vt:lpwstr/>
  </property>
</Properties>
</file>