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9E1813" w:rsidP="00BC5E8C" w:rsidRDefault="005E12D5" w14:paraId="3782CA22" w14:textId="73766B2B">
      <w:pPr>
        <w:pStyle w:val="Heading1-IPR"/>
      </w:pPr>
      <w:bookmarkStart w:name="_Toc64463069" w:id="0"/>
      <w:bookmarkStart w:name="_Toc77331865" w:id="1"/>
      <w:bookmarkStart w:name="_Toc78441175" w:id="2"/>
      <w:bookmarkStart w:name="_Hlk83910782" w:id="3"/>
      <w:r>
        <w:t>Appendix G</w:t>
      </w:r>
      <w:r w:rsidRPr="0074609D" w:rsidR="00A50FE8">
        <w:t>.</w:t>
      </w:r>
      <w:r w:rsidR="00274AE2">
        <w:t>9</w:t>
      </w:r>
      <w:r w:rsidR="00283C41">
        <w:t>.</w:t>
      </w:r>
      <w:r w:rsidRPr="0074609D" w:rsidR="006F33E4">
        <w:t xml:space="preserve"> </w:t>
      </w:r>
      <w:bookmarkStart w:name="_Hlk92960990" w:id="4"/>
      <w:bookmarkEnd w:id="0"/>
      <w:bookmarkEnd w:id="1"/>
      <w:bookmarkEnd w:id="2"/>
      <w:r w:rsidRPr="00274AE2" w:rsidR="00274AE2">
        <w:t>Text for Website (Home Page) in English</w:t>
      </w:r>
      <w:bookmarkEnd w:id="4"/>
    </w:p>
    <w:bookmarkEnd w:id="3"/>
    <w:p w:rsidRPr="0074609D" w:rsidR="00274AE2" w:rsidP="00274AE2" w:rsidRDefault="00274AE2" w14:paraId="3A50F5B0" w14:textId="77777777">
      <w:pPr>
        <w:tabs>
          <w:tab w:val="left" w:pos="1822"/>
        </w:tabs>
        <w:spacing w:before="120"/>
        <w:jc w:val="center"/>
        <w:rPr>
          <w:rFonts w:cstheme="minorHAnsi"/>
          <w:sz w:val="40"/>
          <w:szCs w:val="40"/>
        </w:rPr>
      </w:pPr>
      <w:r w:rsidRPr="0074609D">
        <w:rPr>
          <w:rFonts w:cstheme="minorHAnsi"/>
          <w:noProof/>
          <w:sz w:val="40"/>
          <w:szCs w:val="40"/>
        </w:rPr>
        <w:drawing>
          <wp:inline distT="0" distB="0" distL="0" distR="0" wp14:anchorId="44FF1A3F" wp14:editId="099EC2E0">
            <wp:extent cx="2025015" cy="10287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8"/>
                    <a:srcRect t="8871" b="4006"/>
                    <a:stretch/>
                  </pic:blipFill>
                  <pic:spPr bwMode="auto">
                    <a:xfrm>
                      <a:off x="0" y="0"/>
                      <a:ext cx="2025754" cy="1029075"/>
                    </a:xfrm>
                    <a:prstGeom prst="rect">
                      <a:avLst/>
                    </a:prstGeom>
                    <a:ln>
                      <a:noFill/>
                    </a:ln>
                    <a:extLst>
                      <a:ext uri="{53640926-AAD7-44D8-BBD7-CCE9431645EC}">
                        <a14:shadowObscured xmlns:a14="http://schemas.microsoft.com/office/drawing/2010/main"/>
                      </a:ext>
                    </a:extLst>
                  </pic:spPr>
                </pic:pic>
              </a:graphicData>
            </a:graphic>
          </wp:inline>
        </w:drawing>
      </w:r>
      <w:r w:rsidRPr="0074609D">
        <w:rPr>
          <w:rFonts w:cstheme="minorHAnsi"/>
          <w:sz w:val="40"/>
          <w:szCs w:val="40"/>
        </w:rPr>
        <w:tab/>
      </w:r>
      <w:r w:rsidRPr="0074609D">
        <w:rPr>
          <w:rFonts w:cstheme="minorHAnsi"/>
          <w:noProof/>
          <w:sz w:val="40"/>
          <w:szCs w:val="40"/>
        </w:rPr>
        <w:drawing>
          <wp:inline distT="0" distB="0" distL="0" distR="0" wp14:anchorId="2AA6B2A4" wp14:editId="581FF7F2">
            <wp:extent cx="1783357" cy="725778"/>
            <wp:effectExtent l="0" t="0" r="7620" b="0"/>
            <wp:docPr id="2" name="Picture 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pplicati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3357" cy="725778"/>
                    </a:xfrm>
                    <a:prstGeom prst="rect">
                      <a:avLst/>
                    </a:prstGeom>
                  </pic:spPr>
                </pic:pic>
              </a:graphicData>
            </a:graphic>
          </wp:inline>
        </w:drawing>
      </w:r>
    </w:p>
    <w:p w:rsidRPr="0074609D" w:rsidR="00274AE2" w:rsidP="00274AE2" w:rsidRDefault="00274AE2" w14:paraId="4EEE43B1" w14:textId="77777777">
      <w:pPr>
        <w:tabs>
          <w:tab w:val="left" w:pos="1822"/>
        </w:tabs>
        <w:spacing w:before="120"/>
        <w:jc w:val="center"/>
        <w:rPr>
          <w:rFonts w:cstheme="minorHAnsi"/>
          <w:sz w:val="40"/>
          <w:szCs w:val="40"/>
        </w:rPr>
      </w:pPr>
      <w:r w:rsidRPr="0074609D">
        <w:rPr>
          <w:rFonts w:cstheme="minorHAnsi"/>
          <w:sz w:val="40"/>
          <w:szCs w:val="40"/>
        </w:rPr>
        <w:t xml:space="preserve">Puerto Rico Health and Well-Being Study </w:t>
      </w:r>
      <w:r w:rsidRPr="0074609D">
        <w:rPr>
          <w:rFonts w:cstheme="minorHAnsi"/>
          <w:i/>
          <w:iCs/>
          <w:szCs w:val="24"/>
        </w:rPr>
        <w:t>[links to homepage]</w:t>
      </w:r>
    </w:p>
    <w:p w:rsidRPr="0074609D" w:rsidR="00274AE2" w:rsidP="00274AE2" w:rsidRDefault="00274AE2" w14:paraId="25A7C694" w14:textId="77777777">
      <w:pPr>
        <w:spacing w:before="120"/>
        <w:jc w:val="center"/>
        <w:rPr>
          <w:rFonts w:cstheme="minorHAnsi"/>
          <w:szCs w:val="24"/>
        </w:rPr>
      </w:pPr>
      <w:r w:rsidRPr="0074609D">
        <w:rPr>
          <w:rFonts w:cstheme="minorHAnsi"/>
          <w:szCs w:val="24"/>
        </w:rPr>
        <w:t>Sponsored by the U.S. Department of Agriculture</w:t>
      </w:r>
    </w:p>
    <w:p w:rsidRPr="0074609D" w:rsidR="00274AE2" w:rsidP="00274AE2" w:rsidRDefault="00274AE2" w14:paraId="3079D71C" w14:textId="77777777">
      <w:pPr>
        <w:spacing w:before="120"/>
        <w:jc w:val="center"/>
        <w:rPr>
          <w:rFonts w:cstheme="minorHAnsi"/>
          <w:szCs w:val="24"/>
        </w:rPr>
      </w:pPr>
      <w:r w:rsidRPr="0074609D">
        <w:rPr>
          <w:rFonts w:cstheme="minorHAnsi"/>
          <w:i/>
          <w:iCs/>
          <w:szCs w:val="24"/>
        </w:rPr>
        <w:t>Toggle:</w:t>
      </w:r>
      <w:r w:rsidRPr="0074609D">
        <w:rPr>
          <w:rFonts w:cstheme="minorHAnsi"/>
          <w:szCs w:val="24"/>
        </w:rPr>
        <w:t xml:space="preserve"> English / </w:t>
      </w:r>
      <w:proofErr w:type="spellStart"/>
      <w:r w:rsidRPr="0074609D">
        <w:rPr>
          <w:rFonts w:cstheme="minorHAnsi"/>
          <w:szCs w:val="24"/>
        </w:rPr>
        <w:t>Español</w:t>
      </w:r>
      <w:proofErr w:type="spellEnd"/>
    </w:p>
    <w:p w:rsidRPr="0074609D" w:rsidR="00274AE2" w:rsidP="00274AE2" w:rsidRDefault="00274AE2" w14:paraId="4D3E219E" w14:textId="77777777">
      <w:pPr>
        <w:spacing w:before="120" w:after="120"/>
        <w:rPr>
          <w:rFonts w:cstheme="minorHAnsi"/>
          <w:i/>
          <w:szCs w:val="24"/>
        </w:rPr>
      </w:pPr>
      <w:r w:rsidRPr="0074609D">
        <w:rPr>
          <w:rFonts w:cstheme="minorHAnsi"/>
          <w:i/>
          <w:szCs w:val="24"/>
        </w:rPr>
        <w:t>Links/tabs:</w:t>
      </w:r>
    </w:p>
    <w:tbl>
      <w:tblPr>
        <w:tblStyle w:val="TableGrid"/>
        <w:tblW w:w="0" w:type="auto"/>
        <w:jc w:val="center"/>
        <w:tblLook w:val="04A0" w:firstRow="1" w:lastRow="0" w:firstColumn="1" w:lastColumn="0" w:noHBand="0" w:noVBand="1"/>
      </w:tblPr>
      <w:tblGrid>
        <w:gridCol w:w="2337"/>
        <w:gridCol w:w="2249"/>
        <w:gridCol w:w="2249"/>
        <w:gridCol w:w="2515"/>
      </w:tblGrid>
      <w:tr w:rsidRPr="0074609D" w:rsidR="00274AE2" w:rsidTr="00865608" w14:paraId="6ED37584" w14:textId="77777777">
        <w:trPr>
          <w:jc w:val="center"/>
        </w:trPr>
        <w:tc>
          <w:tcPr>
            <w:tcW w:w="2337" w:type="dxa"/>
            <w:shd w:val="clear" w:color="auto" w:fill="F2F2F2" w:themeFill="background1" w:themeFillShade="F2"/>
            <w:vAlign w:val="center"/>
          </w:tcPr>
          <w:p w:rsidRPr="0074609D" w:rsidR="00274AE2" w:rsidP="00865608" w:rsidRDefault="00274AE2" w14:paraId="639C7912" w14:textId="77777777">
            <w:pPr>
              <w:spacing w:before="120" w:after="120"/>
              <w:jc w:val="center"/>
              <w:rPr>
                <w:rFonts w:cstheme="minorHAnsi"/>
                <w:b/>
                <w:bCs/>
                <w:szCs w:val="24"/>
              </w:rPr>
            </w:pPr>
            <w:r w:rsidRPr="0074609D">
              <w:rPr>
                <w:rFonts w:cstheme="minorHAnsi"/>
                <w:b/>
                <w:bCs/>
                <w:szCs w:val="24"/>
              </w:rPr>
              <w:t xml:space="preserve">FAQs </w:t>
            </w:r>
            <w:r w:rsidRPr="0074609D">
              <w:rPr>
                <w:rFonts w:cstheme="minorHAnsi"/>
                <w:b/>
                <w:bCs/>
                <w:szCs w:val="24"/>
              </w:rPr>
              <w:br/>
            </w:r>
            <w:r w:rsidRPr="0074609D">
              <w:rPr>
                <w:rFonts w:cstheme="minorHAnsi"/>
                <w:i/>
                <w:iCs/>
                <w:szCs w:val="24"/>
              </w:rPr>
              <w:t>[links to FAQ document in next section]</w:t>
            </w:r>
          </w:p>
        </w:tc>
        <w:tc>
          <w:tcPr>
            <w:tcW w:w="2249" w:type="dxa"/>
            <w:shd w:val="clear" w:color="auto" w:fill="F2F2F2" w:themeFill="background1" w:themeFillShade="F2"/>
            <w:vAlign w:val="center"/>
          </w:tcPr>
          <w:p w:rsidRPr="0074609D" w:rsidR="00274AE2" w:rsidP="00865608" w:rsidRDefault="00274AE2" w14:paraId="04DD9D1B" w14:textId="77777777">
            <w:pPr>
              <w:spacing w:before="120" w:after="120"/>
              <w:jc w:val="center"/>
              <w:rPr>
                <w:rFonts w:cstheme="minorHAnsi"/>
                <w:b/>
                <w:bCs/>
                <w:szCs w:val="24"/>
              </w:rPr>
            </w:pPr>
            <w:r w:rsidRPr="0074609D">
              <w:rPr>
                <w:rFonts w:cstheme="minorHAnsi"/>
                <w:b/>
                <w:bCs/>
                <w:szCs w:val="24"/>
              </w:rPr>
              <w:t>Support for the Study</w:t>
            </w:r>
          </w:p>
        </w:tc>
        <w:tc>
          <w:tcPr>
            <w:tcW w:w="2249" w:type="dxa"/>
            <w:shd w:val="clear" w:color="auto" w:fill="F2F2F2" w:themeFill="background1" w:themeFillShade="F2"/>
            <w:vAlign w:val="center"/>
          </w:tcPr>
          <w:p w:rsidRPr="0074609D" w:rsidR="00274AE2" w:rsidP="00865608" w:rsidRDefault="00274AE2" w14:paraId="44E0C80F" w14:textId="77777777">
            <w:pPr>
              <w:spacing w:before="120" w:after="120"/>
              <w:jc w:val="center"/>
              <w:rPr>
                <w:rFonts w:cstheme="minorHAnsi"/>
                <w:b/>
                <w:bCs/>
                <w:szCs w:val="24"/>
              </w:rPr>
            </w:pPr>
            <w:r w:rsidRPr="0074609D">
              <w:rPr>
                <w:rFonts w:cstheme="minorHAnsi"/>
                <w:b/>
                <w:bCs/>
                <w:szCs w:val="24"/>
              </w:rPr>
              <w:t>Contact Information</w:t>
            </w:r>
          </w:p>
        </w:tc>
        <w:tc>
          <w:tcPr>
            <w:tcW w:w="2515" w:type="dxa"/>
            <w:shd w:val="clear" w:color="auto" w:fill="F2F2F2" w:themeFill="background1" w:themeFillShade="F2"/>
          </w:tcPr>
          <w:p w:rsidRPr="0074609D" w:rsidR="00274AE2" w:rsidP="00865608" w:rsidRDefault="00274AE2" w14:paraId="7E67CA93" w14:textId="77777777">
            <w:pPr>
              <w:spacing w:before="120" w:after="120"/>
              <w:jc w:val="center"/>
              <w:rPr>
                <w:rFonts w:cstheme="minorHAnsi"/>
                <w:b/>
                <w:bCs/>
                <w:szCs w:val="24"/>
              </w:rPr>
            </w:pPr>
            <w:r w:rsidRPr="0074609D">
              <w:rPr>
                <w:rFonts w:cstheme="minorHAnsi"/>
                <w:b/>
                <w:bCs/>
                <w:szCs w:val="24"/>
              </w:rPr>
              <w:t xml:space="preserve">Survey </w:t>
            </w:r>
            <w:r w:rsidRPr="0074609D">
              <w:rPr>
                <w:rFonts w:cstheme="minorHAnsi"/>
                <w:b/>
                <w:bCs/>
                <w:szCs w:val="24"/>
              </w:rPr>
              <w:br/>
            </w:r>
            <w:r w:rsidRPr="0074609D">
              <w:rPr>
                <w:rFonts w:cstheme="minorHAnsi"/>
                <w:i/>
                <w:iCs/>
                <w:szCs w:val="24"/>
              </w:rPr>
              <w:t>[links to the survey home page with PIN entry]</w:t>
            </w:r>
          </w:p>
        </w:tc>
      </w:tr>
    </w:tbl>
    <w:p w:rsidRPr="0074609D" w:rsidR="00274AE2" w:rsidP="00274AE2" w:rsidRDefault="00274AE2" w14:paraId="41503C91" w14:textId="77777777">
      <w:pPr>
        <w:spacing w:before="240" w:after="120"/>
        <w:rPr>
          <w:rFonts w:cstheme="minorHAnsi"/>
          <w:b/>
          <w:szCs w:val="24"/>
        </w:rPr>
      </w:pPr>
      <w:r w:rsidRPr="0074609D">
        <w:rPr>
          <w:rFonts w:cstheme="minorHAnsi"/>
          <w:b/>
          <w:szCs w:val="24"/>
        </w:rPr>
        <w:t>Study Overview</w:t>
      </w:r>
    </w:p>
    <w:p w:rsidRPr="0074609D" w:rsidR="00274AE2" w:rsidP="00274AE2" w:rsidRDefault="00274AE2" w14:paraId="3E306B01" w14:textId="77777777">
      <w:pPr>
        <w:spacing w:before="240"/>
        <w:rPr>
          <w:rFonts w:ascii="Calibri" w:hAnsi="Calibri"/>
        </w:rPr>
      </w:pPr>
      <w:r w:rsidRPr="0074609D">
        <w:rPr>
          <w:rFonts w:ascii="Calibri" w:hAnsi="Calibri"/>
        </w:rPr>
        <w:t xml:space="preserve">The purpose of this study is to learn about the health, well-being, and nutrition needs of households in Puerto Rico. The results of this study will help the U.S. Department of Agriculture (USDA) and the </w:t>
      </w:r>
      <w:proofErr w:type="spellStart"/>
      <w:r w:rsidRPr="0074609D">
        <w:rPr>
          <w:rFonts w:ascii="Calibri" w:hAnsi="Calibri"/>
        </w:rPr>
        <w:t>Administración</w:t>
      </w:r>
      <w:proofErr w:type="spellEnd"/>
      <w:r w:rsidRPr="0074609D">
        <w:rPr>
          <w:rFonts w:ascii="Calibri" w:hAnsi="Calibri"/>
        </w:rPr>
        <w:t xml:space="preserve"> de Desarrollo </w:t>
      </w:r>
      <w:proofErr w:type="spellStart"/>
      <w:r w:rsidRPr="0074609D">
        <w:rPr>
          <w:rFonts w:ascii="Calibri" w:hAnsi="Calibri"/>
        </w:rPr>
        <w:t>Socieconómico</w:t>
      </w:r>
      <w:proofErr w:type="spellEnd"/>
      <w:r w:rsidRPr="0074609D">
        <w:rPr>
          <w:rFonts w:ascii="Calibri" w:hAnsi="Calibri"/>
        </w:rPr>
        <w:t xml:space="preserve"> de la Familia (ADSEF) improve programs and services offered to Puerto Rican households, such as the Nutrition Assistance Program (NAP). </w:t>
      </w:r>
    </w:p>
    <w:p w:rsidRPr="0074609D" w:rsidR="00274AE2" w:rsidP="00274AE2" w:rsidRDefault="00274AE2" w14:paraId="6285E784" w14:textId="77777777">
      <w:pPr>
        <w:spacing w:before="240"/>
        <w:rPr>
          <w:rFonts w:ascii="Calibri" w:hAnsi="Calibri"/>
        </w:rPr>
      </w:pPr>
      <w:r w:rsidRPr="0074609D">
        <w:rPr>
          <w:rFonts w:ascii="Calibri" w:hAnsi="Calibri"/>
        </w:rPr>
        <w:t xml:space="preserve">The study team will be in Puerto Rico to conduct the following activities: </w:t>
      </w:r>
    </w:p>
    <w:p w:rsidRPr="0074609D" w:rsidR="00274AE2" w:rsidP="00274AE2" w:rsidRDefault="00274AE2" w14:paraId="460FB135" w14:textId="77777777">
      <w:pPr>
        <w:numPr>
          <w:ilvl w:val="0"/>
          <w:numId w:val="32"/>
        </w:numPr>
        <w:spacing w:before="240" w:after="0"/>
        <w:ind w:left="720" w:hanging="360"/>
        <w:rPr>
          <w:rFonts w:ascii="Calibri" w:hAnsi="Calibri"/>
        </w:rPr>
      </w:pPr>
      <w:r w:rsidRPr="0074609D">
        <w:rPr>
          <w:rFonts w:ascii="Calibri" w:hAnsi="Calibri"/>
        </w:rPr>
        <w:t>A household survey on the health and well-being of Puerto Rico residents</w:t>
      </w:r>
    </w:p>
    <w:p w:rsidRPr="0074609D" w:rsidR="00274AE2" w:rsidP="00274AE2" w:rsidRDefault="00274AE2" w14:paraId="630E1A90" w14:textId="77777777">
      <w:pPr>
        <w:numPr>
          <w:ilvl w:val="0"/>
          <w:numId w:val="32"/>
        </w:numPr>
        <w:ind w:left="720" w:hanging="360"/>
        <w:rPr>
          <w:rFonts w:ascii="Calibri" w:hAnsi="Calibri"/>
        </w:rPr>
      </w:pPr>
      <w:r w:rsidRPr="0074609D">
        <w:rPr>
          <w:rFonts w:ascii="Calibri" w:hAnsi="Calibri"/>
        </w:rPr>
        <w:t>In-person interviews to better understand how Puerto Rico residents cope with natural disasters such as hurricanes and earthquakes and how existing programs can help</w:t>
      </w:r>
    </w:p>
    <w:p w:rsidRPr="0074609D" w:rsidR="00274AE2" w:rsidP="00274AE2" w:rsidRDefault="00274AE2" w14:paraId="2F1DFE20" w14:textId="77777777">
      <w:pPr>
        <w:spacing w:before="240" w:after="120"/>
        <w:rPr>
          <w:rFonts w:cstheme="minorHAnsi"/>
          <w:bCs/>
          <w:szCs w:val="24"/>
        </w:rPr>
      </w:pPr>
      <w:r w:rsidRPr="0074609D">
        <w:rPr>
          <w:rFonts w:cstheme="minorHAnsi"/>
          <w:bCs/>
          <w:szCs w:val="24"/>
        </w:rPr>
        <w:t>Survey distribution and in-person interviews will be conducted in spring and summer 2023.</w:t>
      </w:r>
    </w:p>
    <w:p w:rsidRPr="0074609D" w:rsidR="00274AE2" w:rsidP="00274AE2" w:rsidRDefault="00274AE2" w14:paraId="2CAAD61C" w14:textId="77777777">
      <w:pPr>
        <w:spacing w:before="240" w:after="120"/>
        <w:rPr>
          <w:rFonts w:cstheme="minorHAnsi"/>
          <w:b/>
          <w:szCs w:val="24"/>
        </w:rPr>
      </w:pPr>
      <w:r w:rsidRPr="0074609D">
        <w:rPr>
          <w:rFonts w:cstheme="minorHAnsi"/>
          <w:b/>
          <w:szCs w:val="24"/>
        </w:rPr>
        <w:t>Support for the Puerto Rico Health and Well-Being Study</w:t>
      </w:r>
    </w:p>
    <w:p w:rsidRPr="0074609D" w:rsidR="00274AE2" w:rsidP="00274AE2" w:rsidRDefault="00274AE2" w14:paraId="30E4CAC3" w14:textId="77777777">
      <w:pPr>
        <w:spacing w:before="240" w:after="120"/>
        <w:rPr>
          <w:rFonts w:cstheme="minorHAnsi"/>
          <w:i/>
          <w:iCs/>
          <w:szCs w:val="24"/>
        </w:rPr>
      </w:pPr>
      <w:r w:rsidRPr="0074609D">
        <w:rPr>
          <w:rFonts w:cstheme="minorHAnsi"/>
          <w:i/>
          <w:iCs/>
          <w:szCs w:val="24"/>
        </w:rPr>
        <w:t xml:space="preserve">[ADSEF endorsement] </w:t>
      </w:r>
    </w:p>
    <w:p w:rsidRPr="0074609D" w:rsidR="00274AE2" w:rsidP="00274AE2" w:rsidRDefault="00274AE2" w14:paraId="54436578" w14:textId="77777777">
      <w:pPr>
        <w:spacing w:before="240" w:after="120"/>
        <w:rPr>
          <w:rFonts w:cstheme="minorHAnsi"/>
          <w:i/>
          <w:iCs/>
          <w:szCs w:val="24"/>
        </w:rPr>
      </w:pPr>
      <w:r w:rsidRPr="0074609D">
        <w:rPr>
          <w:rFonts w:cstheme="minorHAnsi"/>
          <w:i/>
          <w:iCs/>
          <w:szCs w:val="24"/>
        </w:rPr>
        <w:t>[logos for other community-based organizations that endorse the study]</w:t>
      </w:r>
    </w:p>
    <w:p w:rsidRPr="0074609D" w:rsidR="00274AE2" w:rsidP="00274AE2" w:rsidRDefault="00274AE2" w14:paraId="38988323" w14:textId="77777777">
      <w:pPr>
        <w:spacing w:before="240" w:after="120"/>
        <w:rPr>
          <w:rFonts w:cstheme="minorHAnsi"/>
          <w:b/>
          <w:bCs/>
          <w:szCs w:val="24"/>
        </w:rPr>
      </w:pPr>
      <w:r w:rsidRPr="0074609D">
        <w:rPr>
          <w:rFonts w:cstheme="minorHAnsi"/>
          <w:b/>
          <w:bCs/>
          <w:szCs w:val="24"/>
        </w:rPr>
        <w:t>Contact Information</w:t>
      </w:r>
    </w:p>
    <w:p w:rsidRPr="0074609D" w:rsidR="00274AE2" w:rsidP="00274AE2" w:rsidRDefault="00274AE2" w14:paraId="4DEBA7B0" w14:textId="77777777">
      <w:pPr>
        <w:pStyle w:val="BodyText-IPR"/>
      </w:pPr>
      <w:r w:rsidRPr="0074609D">
        <w:t>For more information, contact the study team via email at name@insightpolicyresearch.com or by phone at XXX.XXX.XXXX.</w:t>
      </w:r>
    </w:p>
    <w:p w:rsidRPr="0074609D" w:rsidR="00274AE2" w:rsidP="00274AE2" w:rsidRDefault="00274AE2" w14:paraId="648CD9D6" w14:textId="77777777">
      <w:pPr>
        <w:spacing w:before="240" w:after="120"/>
        <w:rPr>
          <w:rFonts w:cstheme="minorHAnsi"/>
          <w:szCs w:val="24"/>
        </w:rPr>
      </w:pPr>
      <w:r w:rsidRPr="0074609D">
        <w:rPr>
          <w:rFonts w:cstheme="minorHAnsi"/>
          <w:szCs w:val="24"/>
        </w:rPr>
        <w:lastRenderedPageBreak/>
        <w:t>Your participation is voluntary. If you or anyone in your household receives assistance from ADSEF, participating in the study will not affect your benefits, the benefits of anyone else in your household, or the benefits you may apply for in the future.</w:t>
      </w:r>
    </w:p>
    <w:p w:rsidRPr="0074609D" w:rsidR="00274AE2" w:rsidP="00274AE2" w:rsidRDefault="00274AE2" w14:paraId="0A8DCADA" w14:textId="77777777">
      <w:pPr>
        <w:spacing w:before="240" w:after="120"/>
        <w:rPr>
          <w:rFonts w:cstheme="minorHAnsi"/>
          <w:szCs w:val="24"/>
        </w:rPr>
      </w:pPr>
      <w:r w:rsidRPr="0074609D">
        <w:rPr>
          <w:rFonts w:cstheme="minorHAnsi"/>
          <w:szCs w:val="24"/>
        </w:rPr>
        <w:t xml:space="preserve">For additional privacy information, visit </w:t>
      </w:r>
      <w:hyperlink w:history="1" r:id="rId10">
        <w:r w:rsidRPr="0074609D">
          <w:rPr>
            <w:color w:val="B12732"/>
            <w:szCs w:val="24"/>
            <w:u w:val="single"/>
          </w:rPr>
          <w:t>https://www.usda.gov/privacy-policy</w:t>
        </w:r>
      </w:hyperlink>
      <w:r w:rsidRPr="0074609D">
        <w:rPr>
          <w:rFonts w:cstheme="minorHAnsi"/>
          <w:szCs w:val="24"/>
        </w:rPr>
        <w:t xml:space="preserve">. </w:t>
      </w:r>
    </w:p>
    <w:p w:rsidRPr="0074609D" w:rsidR="00274AE2" w:rsidP="00274AE2" w:rsidRDefault="00274AE2" w14:paraId="7CABB414" w14:textId="77777777">
      <w:pPr>
        <w:spacing w:before="240" w:after="120"/>
        <w:rPr>
          <w:rFonts w:cstheme="minorHAnsi"/>
          <w:b/>
          <w:szCs w:val="24"/>
        </w:rPr>
      </w:pPr>
      <w:r w:rsidRPr="0074609D">
        <w:rPr>
          <w:rFonts w:cstheme="minorHAnsi"/>
          <w:b/>
          <w:szCs w:val="24"/>
        </w:rPr>
        <w:t>About Insight Policy Research</w:t>
      </w:r>
    </w:p>
    <w:p w:rsidRPr="0074609D" w:rsidR="00274AE2" w:rsidP="00274AE2" w:rsidRDefault="00274AE2" w14:paraId="62286DE2" w14:textId="77777777">
      <w:pPr>
        <w:spacing w:before="240" w:after="120"/>
        <w:rPr>
          <w:rFonts w:cstheme="minorHAnsi"/>
          <w:szCs w:val="24"/>
        </w:rPr>
      </w:pPr>
      <w:r w:rsidRPr="0074609D">
        <w:rPr>
          <w:rFonts w:cstheme="minorHAnsi"/>
          <w:szCs w:val="24"/>
        </w:rPr>
        <w:t xml:space="preserve">Insight Policy Research (Insight) is a certified woman-owned small business located in Arlington, Virginia. Insight’s core focus is on programs and issues that affect at-risk and vulnerable populations in the areas of family support, food and nutrition, education, health, workforce development, and military and veteran support. For more information about Insight, please visit </w:t>
      </w:r>
      <w:hyperlink w:history="1" r:id="rId11">
        <w:r w:rsidRPr="0074609D">
          <w:rPr>
            <w:color w:val="B12732"/>
            <w:szCs w:val="24"/>
            <w:u w:val="single"/>
          </w:rPr>
          <w:t>https://www.insightpolicyresearch.com</w:t>
        </w:r>
      </w:hyperlink>
      <w:r w:rsidRPr="0074609D">
        <w:rPr>
          <w:rFonts w:cstheme="minorHAnsi"/>
          <w:szCs w:val="24"/>
        </w:rPr>
        <w:t>.</w:t>
      </w:r>
    </w:p>
    <w:p w:rsidRPr="0074609D" w:rsidR="00274AE2" w:rsidP="00274AE2" w:rsidRDefault="00274AE2" w14:paraId="440C5270" w14:textId="77777777">
      <w:pPr>
        <w:spacing w:before="240" w:after="120"/>
        <w:rPr>
          <w:rFonts w:cstheme="minorHAnsi"/>
          <w:b/>
          <w:szCs w:val="24"/>
        </w:rPr>
      </w:pPr>
      <w:r w:rsidRPr="0074609D">
        <w:rPr>
          <w:rFonts w:cstheme="minorHAnsi"/>
          <w:b/>
          <w:szCs w:val="24"/>
        </w:rPr>
        <w:t xml:space="preserve">About </w:t>
      </w:r>
      <w:proofErr w:type="spellStart"/>
      <w:r w:rsidRPr="0074609D">
        <w:rPr>
          <w:rFonts w:cstheme="minorHAnsi"/>
          <w:b/>
          <w:szCs w:val="24"/>
        </w:rPr>
        <w:t>Westat</w:t>
      </w:r>
      <w:proofErr w:type="spellEnd"/>
      <w:r w:rsidRPr="0074609D">
        <w:rPr>
          <w:rFonts w:cstheme="minorHAnsi"/>
          <w:b/>
          <w:szCs w:val="24"/>
        </w:rPr>
        <w:t xml:space="preserve"> </w:t>
      </w:r>
    </w:p>
    <w:p w:rsidRPr="0074609D" w:rsidR="00274AE2" w:rsidP="00274AE2" w:rsidRDefault="00274AE2" w14:paraId="27C37CA3" w14:textId="77777777">
      <w:pPr>
        <w:spacing w:before="240" w:after="120"/>
        <w:rPr>
          <w:rFonts w:cstheme="minorHAnsi"/>
          <w:szCs w:val="24"/>
        </w:rPr>
      </w:pPr>
      <w:proofErr w:type="spellStart"/>
      <w:r w:rsidRPr="0074609D">
        <w:rPr>
          <w:rFonts w:cstheme="minorHAnsi"/>
          <w:szCs w:val="24"/>
        </w:rPr>
        <w:t>Westat</w:t>
      </w:r>
      <w:proofErr w:type="spellEnd"/>
      <w:r w:rsidRPr="0074609D">
        <w:rPr>
          <w:rFonts w:cstheme="minorHAnsi"/>
          <w:szCs w:val="24"/>
        </w:rPr>
        <w:t xml:space="preserve"> is a private employee-owned research company headquartered in Rockville, Maryland, with 14 locations nationwide. Dedicated to improving lives through research, </w:t>
      </w:r>
      <w:proofErr w:type="spellStart"/>
      <w:r w:rsidRPr="0074609D">
        <w:rPr>
          <w:rFonts w:cstheme="minorHAnsi"/>
          <w:szCs w:val="24"/>
        </w:rPr>
        <w:t>Westat</w:t>
      </w:r>
      <w:proofErr w:type="spellEnd"/>
      <w:r w:rsidRPr="0074609D">
        <w:rPr>
          <w:rFonts w:cstheme="minorHAnsi"/>
          <w:szCs w:val="24"/>
        </w:rPr>
        <w:t xml:space="preserve"> works in the fields of health, education, social policy, and transportation. For more information about </w:t>
      </w:r>
      <w:proofErr w:type="spellStart"/>
      <w:r w:rsidRPr="0074609D">
        <w:rPr>
          <w:rFonts w:cstheme="minorHAnsi"/>
          <w:szCs w:val="24"/>
        </w:rPr>
        <w:t>Westat</w:t>
      </w:r>
      <w:proofErr w:type="spellEnd"/>
      <w:r w:rsidRPr="0074609D">
        <w:rPr>
          <w:rFonts w:cstheme="minorHAnsi"/>
          <w:szCs w:val="24"/>
        </w:rPr>
        <w:t xml:space="preserve">, please visit </w:t>
      </w:r>
      <w:hyperlink w:history="1" r:id="rId12">
        <w:r w:rsidRPr="0074609D">
          <w:rPr>
            <w:color w:val="B12732"/>
            <w:szCs w:val="24"/>
            <w:u w:val="single"/>
          </w:rPr>
          <w:t>https://www.westat.com</w:t>
        </w:r>
      </w:hyperlink>
      <w:r w:rsidRPr="0074609D">
        <w:rPr>
          <w:rFonts w:cstheme="minorHAnsi"/>
          <w:szCs w:val="24"/>
        </w:rPr>
        <w:t>.</w:t>
      </w:r>
    </w:p>
    <w:p w:rsidRPr="0074609D" w:rsidR="00274AE2" w:rsidP="00274AE2" w:rsidRDefault="00274AE2" w14:paraId="11914CEA" w14:textId="77777777">
      <w:pPr>
        <w:spacing w:before="240" w:after="120"/>
        <w:rPr>
          <w:rFonts w:cstheme="minorHAnsi"/>
          <w:b/>
          <w:bCs/>
          <w:szCs w:val="24"/>
        </w:rPr>
      </w:pPr>
      <w:r w:rsidRPr="0074609D">
        <w:rPr>
          <w:rFonts w:cstheme="minorHAnsi"/>
          <w:b/>
          <w:bCs/>
          <w:szCs w:val="24"/>
        </w:rPr>
        <w:t xml:space="preserve">About </w:t>
      </w:r>
      <w:proofErr w:type="spellStart"/>
      <w:r w:rsidRPr="0074609D">
        <w:rPr>
          <w:rFonts w:cstheme="minorHAnsi"/>
          <w:b/>
          <w:bCs/>
          <w:szCs w:val="24"/>
        </w:rPr>
        <w:t>Estudios</w:t>
      </w:r>
      <w:proofErr w:type="spellEnd"/>
      <w:r w:rsidRPr="0074609D">
        <w:rPr>
          <w:rFonts w:cstheme="minorHAnsi"/>
          <w:b/>
          <w:bCs/>
          <w:szCs w:val="24"/>
        </w:rPr>
        <w:t xml:space="preserve"> </w:t>
      </w:r>
      <w:proofErr w:type="spellStart"/>
      <w:r w:rsidRPr="0074609D">
        <w:rPr>
          <w:rFonts w:cstheme="minorHAnsi"/>
          <w:b/>
          <w:bCs/>
          <w:szCs w:val="24"/>
        </w:rPr>
        <w:t>Técnicos</w:t>
      </w:r>
      <w:proofErr w:type="spellEnd"/>
    </w:p>
    <w:p w:rsidRPr="0074609D" w:rsidR="00274AE2" w:rsidP="00274AE2" w:rsidRDefault="00274AE2" w14:paraId="0E405C5E" w14:textId="77777777">
      <w:pPr>
        <w:spacing w:before="240" w:after="120"/>
        <w:rPr>
          <w:rFonts w:cstheme="minorHAnsi"/>
          <w:szCs w:val="24"/>
        </w:rPr>
      </w:pPr>
      <w:proofErr w:type="spellStart"/>
      <w:r w:rsidRPr="0074609D">
        <w:rPr>
          <w:rFonts w:cstheme="minorHAnsi"/>
          <w:szCs w:val="24"/>
        </w:rPr>
        <w:t>Estudios</w:t>
      </w:r>
      <w:proofErr w:type="spellEnd"/>
      <w:r w:rsidRPr="0074609D">
        <w:rPr>
          <w:rFonts w:cstheme="minorHAnsi"/>
          <w:szCs w:val="24"/>
        </w:rPr>
        <w:t xml:space="preserve"> </w:t>
      </w:r>
      <w:proofErr w:type="spellStart"/>
      <w:r w:rsidRPr="0074609D">
        <w:rPr>
          <w:rFonts w:cstheme="minorHAnsi"/>
          <w:szCs w:val="24"/>
        </w:rPr>
        <w:t>Técnicos</w:t>
      </w:r>
      <w:proofErr w:type="spellEnd"/>
      <w:r w:rsidRPr="0074609D">
        <w:rPr>
          <w:rFonts w:cstheme="minorHAnsi"/>
          <w:szCs w:val="24"/>
        </w:rPr>
        <w:t xml:space="preserve"> is the leading firm in planning, research, market strategies, social analysis, and economic advisory consulting in Puerto Rico. The mission of </w:t>
      </w:r>
      <w:proofErr w:type="spellStart"/>
      <w:r w:rsidRPr="0074609D">
        <w:rPr>
          <w:rFonts w:cstheme="minorHAnsi"/>
          <w:szCs w:val="24"/>
        </w:rPr>
        <w:t>Estudios</w:t>
      </w:r>
      <w:proofErr w:type="spellEnd"/>
      <w:r w:rsidRPr="0074609D">
        <w:rPr>
          <w:rFonts w:cstheme="minorHAnsi"/>
          <w:szCs w:val="24"/>
        </w:rPr>
        <w:t xml:space="preserve"> </w:t>
      </w:r>
      <w:proofErr w:type="spellStart"/>
      <w:r w:rsidRPr="0074609D">
        <w:rPr>
          <w:rFonts w:cstheme="minorHAnsi"/>
          <w:szCs w:val="24"/>
        </w:rPr>
        <w:t>Técnicos</w:t>
      </w:r>
      <w:proofErr w:type="spellEnd"/>
      <w:r w:rsidRPr="0074609D">
        <w:rPr>
          <w:rFonts w:cstheme="minorHAnsi"/>
          <w:szCs w:val="24"/>
        </w:rPr>
        <w:t xml:space="preserve"> is to contribute to the social and economic development of Puerto Rico through the delivery of research and advice to institutions in the public, entrepreneurial, and nonprofit sectors. For more information about </w:t>
      </w:r>
      <w:proofErr w:type="spellStart"/>
      <w:r w:rsidRPr="0074609D">
        <w:rPr>
          <w:rFonts w:cstheme="minorHAnsi"/>
          <w:szCs w:val="24"/>
        </w:rPr>
        <w:t>Estudios</w:t>
      </w:r>
      <w:proofErr w:type="spellEnd"/>
      <w:r w:rsidRPr="0074609D">
        <w:rPr>
          <w:rFonts w:cstheme="minorHAnsi"/>
          <w:szCs w:val="24"/>
        </w:rPr>
        <w:t xml:space="preserve"> </w:t>
      </w:r>
      <w:proofErr w:type="spellStart"/>
      <w:r w:rsidRPr="0074609D">
        <w:rPr>
          <w:rFonts w:cstheme="minorHAnsi"/>
          <w:szCs w:val="24"/>
        </w:rPr>
        <w:t>Técnicos</w:t>
      </w:r>
      <w:proofErr w:type="spellEnd"/>
      <w:r w:rsidRPr="0074609D">
        <w:rPr>
          <w:rFonts w:cstheme="minorHAnsi"/>
          <w:szCs w:val="24"/>
        </w:rPr>
        <w:t xml:space="preserve">, please visit </w:t>
      </w:r>
      <w:hyperlink w:history="1" r:id="rId13">
        <w:r w:rsidRPr="0074609D">
          <w:rPr>
            <w:color w:val="B12732"/>
            <w:szCs w:val="24"/>
            <w:u w:val="single"/>
          </w:rPr>
          <w:t>https://estudiostecnicos.com</w:t>
        </w:r>
      </w:hyperlink>
      <w:r w:rsidRPr="0074609D">
        <w:rPr>
          <w:rFonts w:cstheme="minorHAnsi"/>
          <w:szCs w:val="24"/>
        </w:rPr>
        <w:t>.</w:t>
      </w:r>
    </w:p>
    <w:p w:rsidRPr="00274AE2" w:rsidR="006C158E" w:rsidP="00274AE2" w:rsidRDefault="006C158E" w14:paraId="5E29DA57" w14:textId="102CD785">
      <w:pPr>
        <w:spacing w:after="200" w:line="276" w:lineRule="auto"/>
        <w:rPr>
          <w:rFonts w:cstheme="minorHAnsi"/>
          <w:szCs w:val="24"/>
        </w:rPr>
      </w:pPr>
    </w:p>
    <w:p w:rsidR="006C158E" w:rsidRDefault="006C158E" w14:paraId="4963E14A" w14:textId="77777777">
      <w:pPr>
        <w:spacing w:after="200" w:line="276" w:lineRule="auto"/>
        <w:rPr>
          <w:rFonts w:ascii="Calibri" w:hAnsi="Calibri" w:eastAsia="Calibri" w:cs="Times New Roman"/>
        </w:rPr>
      </w:pPr>
    </w:p>
    <w:p w:rsidR="00A50FE8" w:rsidRDefault="00A50FE8" w14:paraId="056A0F62" w14:textId="438FC4A3">
      <w:pPr>
        <w:spacing w:after="200" w:line="276" w:lineRule="auto"/>
        <w:rPr>
          <w:rFonts w:ascii="Calibri" w:hAnsi="Calibri" w:eastAsia="Calibri" w:cs="Times New Roman"/>
        </w:rPr>
      </w:pPr>
    </w:p>
    <w:p w:rsidR="00BF4093" w:rsidRDefault="00BF4093" w14:paraId="7D777C19" w14:textId="77777777">
      <w:pPr>
        <w:spacing w:after="200" w:line="276" w:lineRule="auto"/>
        <w:rPr>
          <w:rFonts w:ascii="Calibri" w:hAnsi="Calibri" w:eastAsia="Calibri" w:cs="Times New Roman"/>
        </w:rPr>
      </w:pPr>
    </w:p>
    <w:p w:rsidRPr="0074609D" w:rsidR="00BF4093" w:rsidRDefault="00BF4093" w14:paraId="3D837EE7" w14:textId="41C9A6B0">
      <w:pPr>
        <w:spacing w:after="200" w:line="276" w:lineRule="auto"/>
        <w:rPr>
          <w:rFonts w:ascii="Calibri" w:hAnsi="Calibri" w:eastAsia="Calibri" w:cs="Times New Roman"/>
        </w:rPr>
      </w:pPr>
      <w:r w:rsidRPr="0074609D">
        <w:rPr>
          <w:rFonts w:ascii="Times New Roman" w:hAnsi="Times New Roman" w:eastAsia="Calibri" w:cs="Times New Roman"/>
          <w:noProof/>
          <w:sz w:val="24"/>
          <w:szCs w:val="24"/>
        </w:rPr>
        <mc:AlternateContent>
          <mc:Choice Requires="wps">
            <w:drawing>
              <wp:inline distT="0" distB="0" distL="0" distR="0" wp14:anchorId="700C88BF" wp14:editId="306F940F">
                <wp:extent cx="5943600" cy="2025650"/>
                <wp:effectExtent l="0" t="0" r="0" b="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5650"/>
                        </a:xfrm>
                        <a:prstGeom prst="rect">
                          <a:avLst/>
                        </a:prstGeom>
                        <a:solidFill>
                          <a:sysClr val="window" lastClr="FFFFFF">
                            <a:lumMod val="95000"/>
                          </a:sysClr>
                        </a:solidFill>
                        <a:ln w="9525">
                          <a:noFill/>
                          <a:miter lim="800000"/>
                          <a:headEnd/>
                          <a:tailEnd/>
                        </a:ln>
                      </wps:spPr>
                      <wps:txbx>
                        <w:txbxContent>
                          <w:p w:rsidRPr="00DE7BE0" w:rsidR="00BF4093" w:rsidP="00BF4093" w:rsidRDefault="00BF4093" w14:paraId="66CC6A60" w14:textId="77777777">
                            <w:pPr>
                              <w:spacing w:after="0"/>
                              <w:jc w:val="center"/>
                              <w:rPr>
                                <w:rFonts w:cs="Calibri"/>
                                <w:b/>
                                <w:bCs/>
                                <w:sz w:val="20"/>
                                <w:szCs w:val="20"/>
                              </w:rPr>
                            </w:pPr>
                            <w:r w:rsidRPr="00DE7BE0">
                              <w:rPr>
                                <w:rFonts w:cs="Calibri"/>
                                <w:b/>
                                <w:bCs/>
                                <w:sz w:val="20"/>
                                <w:szCs w:val="20"/>
                              </w:rPr>
                              <w:t>Public Burden Statement</w:t>
                            </w:r>
                          </w:p>
                          <w:p w:rsidRPr="003F1295" w:rsidR="00BF4093" w:rsidP="00BF4093" w:rsidRDefault="00BF4093" w14:paraId="4B19C8E7" w14:textId="2BC94B56">
                            <w:pPr>
                              <w:pStyle w:val="BodyText-IPR"/>
                              <w:spacing w:after="0"/>
                              <w:rPr>
                                <w:i/>
                                <w:iCs/>
                                <w:sz w:val="20"/>
                                <w:szCs w:val="20"/>
                              </w:rPr>
                            </w:pPr>
                            <w:r w:rsidRPr="00733DC0">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5</w:t>
                            </w:r>
                            <w:r w:rsidRPr="00733DC0">
                              <w:rPr>
                                <w:i/>
                                <w:iCs/>
                                <w:sz w:val="20"/>
                                <w:szCs w:val="20"/>
                              </w:rPr>
                              <w:t xml:space="preserve"> minutes. Send comments regarding this burden estimate or any other aspect of this collection of information, including suggestions for reducing this burden, </w:t>
                            </w:r>
                            <w:proofErr w:type="gramStart"/>
                            <w:r w:rsidRPr="00733DC0">
                              <w:rPr>
                                <w:i/>
                                <w:iCs/>
                                <w:sz w:val="20"/>
                                <w:szCs w:val="20"/>
                              </w:rPr>
                              <w:t>to:</w:t>
                            </w:r>
                            <w:proofErr w:type="gramEnd"/>
                            <w:r w:rsidRPr="00733DC0">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700C88BF">
                <v:stroke joinstyle="miter"/>
                <v:path gradientshapeok="t" o:connecttype="rect"/>
              </v:shapetype>
              <v:shape id="Text Box 35" style="width:468pt;height:159.5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">
                <v:textbox>
                  <w:txbxContent>
                    <w:p w:rsidRPr="00DE7BE0" w:rsidR="00BF4093" w:rsidP="00BF4093" w:rsidRDefault="00BF4093" w14:paraId="66CC6A60" w14:textId="77777777">
                      <w:pPr>
                        <w:spacing w:after="0"/>
                        <w:jc w:val="center"/>
                        <w:rPr>
                          <w:rFonts w:cs="Calibri"/>
                          <w:b/>
                          <w:bCs/>
                          <w:sz w:val="20"/>
                          <w:szCs w:val="20"/>
                        </w:rPr>
                      </w:pPr>
                      <w:r w:rsidRPr="00DE7BE0">
                        <w:rPr>
                          <w:rFonts w:cs="Calibri"/>
                          <w:b/>
                          <w:bCs/>
                          <w:sz w:val="20"/>
                          <w:szCs w:val="20"/>
                        </w:rPr>
                        <w:t>Public Burden Statement</w:t>
                      </w:r>
                    </w:p>
                    <w:p w:rsidRPr="003F1295" w:rsidR="00BF4093" w:rsidP="00BF4093" w:rsidRDefault="00BF4093" w14:paraId="4B19C8E7" w14:textId="2BC94B56">
                      <w:pPr>
                        <w:pStyle w:val="BodyText-IPR"/>
                        <w:spacing w:after="0"/>
                        <w:rPr>
                          <w:i/>
                          <w:iCs/>
                          <w:sz w:val="20"/>
                          <w:szCs w:val="20"/>
                        </w:rPr>
                      </w:pPr>
                      <w:r w:rsidRPr="00733DC0">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5</w:t>
                      </w:r>
                      <w:r w:rsidRPr="00733DC0">
                        <w:rPr>
                          <w:i/>
                          <w:iCs/>
                          <w:sz w:val="20"/>
                          <w:szCs w:val="20"/>
                        </w:rPr>
                        <w:t xml:space="preserve"> minutes. Send comments regarding this burden estimate or any other aspect of this collection of information, including suggestions for reducing this burden, </w:t>
                      </w:r>
                      <w:proofErr w:type="gramStart"/>
                      <w:r w:rsidRPr="00733DC0">
                        <w:rPr>
                          <w:i/>
                          <w:iCs/>
                          <w:sz w:val="20"/>
                          <w:szCs w:val="20"/>
                        </w:rPr>
                        <w:t>to:</w:t>
                      </w:r>
                      <w:proofErr w:type="gramEnd"/>
                      <w:r w:rsidRPr="00733DC0">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Pr="0074609D" w:rsidR="00BF4093" w:rsidSect="00F045DB">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5" w:name="_Hlk71889229" w:displacedByCustomXml="prev"/>
              <w:p w14:paraId="672C599A" w14:textId="329BB5FA"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5"/>
                <w:r>
                  <w:rPr>
                    <w:rStyle w:val="FooterTitle-IPRChar"/>
                    <w:szCs w:val="20"/>
                  </w:rPr>
                  <w:t xml:space="preserve">, </w:t>
                </w:r>
                <w:r w:rsidR="00BC5E8C" w:rsidRPr="00BC5E8C">
                  <w:rPr>
                    <w:rStyle w:val="FooterTitle-IPRChar"/>
                    <w:szCs w:val="20"/>
                  </w:rPr>
                  <w:t>Appendix G.</w:t>
                </w:r>
                <w:r w:rsidR="00274AE2">
                  <w:rPr>
                    <w:rStyle w:val="FooterTitle-IPRChar"/>
                    <w:szCs w:val="20"/>
                  </w:rPr>
                  <w:t>9</w:t>
                </w:r>
                <w:r w:rsidR="00BC5E8C" w:rsidRPr="00BC5E8C">
                  <w:rPr>
                    <w:rStyle w:val="FooterTitle-IPRChar"/>
                    <w:szCs w:val="20"/>
                  </w:rPr>
                  <w:t>.</w:t>
                </w:r>
                <w:r w:rsidR="00274AE2" w:rsidRPr="00274AE2">
                  <w:t xml:space="preserve"> </w:t>
                </w:r>
                <w:r w:rsidR="00274AE2" w:rsidRPr="00274AE2">
                  <w:rPr>
                    <w:rStyle w:val="FooterTitle-IPRChar"/>
                    <w:szCs w:val="20"/>
                  </w:rPr>
                  <w:t>Text for Website (Home Page) in English</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50BA" w14:textId="77777777" w:rsidR="00BF4093" w:rsidRDefault="00BF4093" w:rsidP="00BF4093">
    <w:pPr>
      <w:pStyle w:val="Header"/>
    </w:pPr>
    <w:r>
      <w:rPr>
        <w:noProof/>
      </w:rPr>
      <mc:AlternateContent>
        <mc:Choice Requires="wps">
          <w:drawing>
            <wp:anchor distT="0" distB="0" distL="114300" distR="114300" simplePos="0" relativeHeight="251659264" behindDoc="0" locked="0" layoutInCell="1" allowOverlap="1" wp14:anchorId="1CF01222" wp14:editId="40F45BE6">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4C19E51A" w14:textId="77777777" w:rsidR="00BF4093" w:rsidRDefault="00BF4093" w:rsidP="00BF4093">
                          <w:pPr>
                            <w:pStyle w:val="Body11ptCalibri-IPR"/>
                            <w:spacing w:after="60"/>
                            <w:ind w:firstLine="0"/>
                            <w:rPr>
                              <w:caps/>
                              <w:sz w:val="18"/>
                              <w:szCs w:val="20"/>
                            </w:rPr>
                          </w:pPr>
                          <w:r>
                            <w:rPr>
                              <w:b/>
                              <w:sz w:val="18"/>
                              <w:szCs w:val="20"/>
                            </w:rPr>
                            <w:t>OMB Number: 0584-XXXX</w:t>
                          </w:r>
                        </w:p>
                        <w:p w14:paraId="1876EF3D" w14:textId="77777777" w:rsidR="00BF4093" w:rsidRDefault="00BF4093" w:rsidP="00BF4093">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F01222"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4C19E51A" w14:textId="77777777" w:rsidR="00BF4093" w:rsidRDefault="00BF4093" w:rsidP="00BF4093">
                    <w:pPr>
                      <w:pStyle w:val="Body11ptCalibri-IPR"/>
                      <w:spacing w:after="60"/>
                      <w:ind w:firstLine="0"/>
                      <w:rPr>
                        <w:caps/>
                        <w:sz w:val="18"/>
                        <w:szCs w:val="20"/>
                      </w:rPr>
                    </w:pPr>
                    <w:r>
                      <w:rPr>
                        <w:b/>
                        <w:sz w:val="18"/>
                        <w:szCs w:val="20"/>
                      </w:rPr>
                      <w:t>OMB Number: 0584-XXXX</w:t>
                    </w:r>
                  </w:p>
                  <w:p w14:paraId="1876EF3D" w14:textId="77777777" w:rsidR="00BF4093" w:rsidRDefault="00BF4093" w:rsidP="00BF4093">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06379231" w14:textId="77777777" w:rsidR="00BF4093" w:rsidRDefault="00BF4093" w:rsidP="00BF4093">
    <w:pPr>
      <w:pStyle w:val="Header"/>
    </w:pPr>
  </w:p>
  <w:p w14:paraId="4848B630" w14:textId="77777777" w:rsidR="00BF4093" w:rsidRDefault="00BF4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4AE2"/>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0D88"/>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E5D7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5E8C"/>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4093"/>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5DB"/>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tudiostecnic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sta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ightpolicyresearc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sda.gov/privacy-poli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2022-01-13T15:10:00Z</dcterms:created>
  <dcterms:modified xsi:type="dcterms:W3CDTF">2022-02-01T21:17:00Z</dcterms:modified>
</cp:coreProperties>
</file>