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3FAF" w:rsidRPr="00FE66BD" w:rsidP="00713FAF" w14:paraId="6BF0731D" w14:textId="77777777">
      <w:pPr>
        <w:pStyle w:val="NoSpacing"/>
        <w:jc w:val="center"/>
        <w:rPr>
          <w:rFonts w:cstheme="minorHAnsi"/>
          <w:b/>
        </w:rPr>
      </w:pPr>
      <w:r w:rsidRPr="00FE66BD">
        <w:rPr>
          <w:rFonts w:cstheme="minorHAnsi"/>
          <w:b/>
        </w:rPr>
        <w:t>JUSTIFI</w:t>
      </w:r>
      <w:r w:rsidRPr="00FE66BD" w:rsidR="005A797D">
        <w:rPr>
          <w:rFonts w:cstheme="minorHAnsi"/>
          <w:b/>
        </w:rPr>
        <w:t>C</w:t>
      </w:r>
      <w:r w:rsidRPr="00FE66BD">
        <w:rPr>
          <w:rFonts w:cstheme="minorHAnsi"/>
          <w:b/>
        </w:rPr>
        <w:t>ATION FOR NONMATERIAL/NONSUBSTANTIVE CHANGE</w:t>
      </w:r>
    </w:p>
    <w:p w:rsidR="00713FAF" w:rsidRPr="00FE66BD" w:rsidP="00713FAF" w14:paraId="027D096A" w14:textId="77777777">
      <w:pPr>
        <w:pStyle w:val="NoSpacing"/>
        <w:jc w:val="center"/>
        <w:rPr>
          <w:rFonts w:cstheme="minorHAnsi"/>
          <w:b/>
        </w:rPr>
      </w:pPr>
      <w:r w:rsidRPr="00FE66BD">
        <w:rPr>
          <w:rFonts w:cstheme="minorHAnsi"/>
          <w:b/>
        </w:rPr>
        <w:t>(</w:t>
      </w:r>
      <w:r w:rsidRPr="00CC0117" w:rsidR="00CC0117">
        <w:rPr>
          <w:rFonts w:cstheme="minorHAnsi"/>
          <w:b/>
        </w:rPr>
        <w:t>Admission to Practice and Roster of Registered Patent Attorneys and Agents Admitted to Practice Before the United States Patent and Trademark Office</w:t>
      </w:r>
      <w:r w:rsidRPr="00FE66BD" w:rsidR="005A797D">
        <w:rPr>
          <w:rFonts w:cstheme="minorHAnsi"/>
          <w:b/>
        </w:rPr>
        <w:t>)</w:t>
      </w:r>
    </w:p>
    <w:p w:rsidR="00713FAF" w:rsidRPr="00FE66BD" w:rsidP="00713FAF" w14:paraId="11DECDF3" w14:textId="77777777">
      <w:pPr>
        <w:pStyle w:val="NoSpacing"/>
        <w:jc w:val="center"/>
        <w:rPr>
          <w:rFonts w:cstheme="minorHAnsi"/>
        </w:rPr>
      </w:pPr>
      <w:r w:rsidRPr="00FE66BD">
        <w:rPr>
          <w:rFonts w:cstheme="minorHAnsi"/>
          <w:b/>
        </w:rPr>
        <w:t>OMB Control Number 0651-00</w:t>
      </w:r>
      <w:r w:rsidR="007A500D">
        <w:rPr>
          <w:rFonts w:cstheme="minorHAnsi"/>
          <w:b/>
        </w:rPr>
        <w:t>12</w:t>
      </w:r>
    </w:p>
    <w:p w:rsidR="00713FAF" w:rsidRPr="00FE66BD" w:rsidP="00713FAF" w14:paraId="2B8F9DBA" w14:textId="77777777">
      <w:pPr>
        <w:pStyle w:val="NoSpacing"/>
        <w:jc w:val="both"/>
        <w:rPr>
          <w:rFonts w:cstheme="minorHAnsi"/>
        </w:rPr>
      </w:pPr>
    </w:p>
    <w:p w:rsidR="00713FAF" w:rsidRPr="00FE66BD" w:rsidP="00EC48F5" w14:paraId="3FA2A6C3" w14:textId="77777777">
      <w:pPr>
        <w:pStyle w:val="NoSpacing"/>
        <w:spacing w:after="240"/>
        <w:jc w:val="both"/>
        <w:rPr>
          <w:rFonts w:cstheme="minorHAnsi"/>
        </w:rPr>
      </w:pPr>
      <w:r w:rsidRPr="00FE66BD">
        <w:rPr>
          <w:rFonts w:cstheme="minorHAnsi"/>
          <w:u w:val="single"/>
        </w:rPr>
        <w:t>Background</w:t>
      </w:r>
    </w:p>
    <w:p w:rsidR="00A67F5C" w:rsidP="00EC48F5" w14:paraId="5DE45789" w14:textId="77777777">
      <w:pPr>
        <w:pStyle w:val="NoSpacing"/>
        <w:spacing w:after="240"/>
        <w:jc w:val="both"/>
      </w:pPr>
      <w:r>
        <w:t xml:space="preserve">This collection of information is required by 35 U.S.C. 2(b)(2)(D), which permits the United States Patent and Trademark Office (USPTO) to establish regulations governing the recognition and conduct of agents, attorneys, or other persons representing applicants or other parties before the USPTO. This statute also permits the USPTO to require information from applicants that shows that they are of good moral character and reputation and </w:t>
      </w:r>
      <w:r w:rsidR="004E3F0B">
        <w:t xml:space="preserve">possess </w:t>
      </w:r>
      <w:r>
        <w:t xml:space="preserve">the necessary qualifications to assist applicants with the patent process and to represent them before the USPTO. </w:t>
      </w:r>
    </w:p>
    <w:p w:rsidR="00A67F5C" w:rsidP="00EC48F5" w14:paraId="1BFF14AA" w14:textId="77777777">
      <w:pPr>
        <w:pStyle w:val="NoSpacing"/>
        <w:spacing w:after="240"/>
        <w:jc w:val="both"/>
      </w:pPr>
      <w:r>
        <w:t>This information collection addresses submissions required by the regulations at 37 CFR 1.21 and 11.5–11.</w:t>
      </w:r>
      <w:r w:rsidR="004E3F0B">
        <w:t>14</w:t>
      </w:r>
      <w:r>
        <w:t xml:space="preserve">, which set forth the requirements to </w:t>
      </w:r>
      <w:r w:rsidR="00BF49B1">
        <w:t>become recognized to re</w:t>
      </w:r>
      <w:r w:rsidR="004E3F0B">
        <w:t>present others</w:t>
      </w:r>
      <w:r>
        <w:t xml:space="preserve"> before the USPTO. The Office of Enrollment and Discipline (OED) collects this information to determine the qualifications of individuals entitled to represent applicants before the USPTO. </w:t>
      </w:r>
    </w:p>
    <w:p w:rsidR="00274FE5" w:rsidP="00EC48F5" w14:paraId="6D940947" w14:textId="0A1C7CE0">
      <w:pPr>
        <w:pStyle w:val="NoSpacing"/>
        <w:spacing w:after="240"/>
        <w:jc w:val="both"/>
        <w:rPr>
          <w:rFonts w:cstheme="minorHAnsi"/>
        </w:rPr>
      </w:pPr>
      <w:r>
        <w:rPr>
          <w:rFonts w:cstheme="minorHAnsi"/>
        </w:rPr>
        <w:t>This request is related to a final rule</w:t>
      </w:r>
      <w:r w:rsidR="00541812">
        <w:rPr>
          <w:rFonts w:cstheme="minorHAnsi"/>
        </w:rPr>
        <w:t xml:space="preserve"> (RIN 0651-AD58)</w:t>
      </w:r>
      <w:r>
        <w:rPr>
          <w:rFonts w:cstheme="minorHAnsi"/>
        </w:rPr>
        <w:t xml:space="preserve"> published by the United States Patent and Trademark Office</w:t>
      </w:r>
      <w:r w:rsidR="00FD5F41">
        <w:rPr>
          <w:rFonts w:cstheme="minorHAnsi"/>
        </w:rPr>
        <w:t xml:space="preserve"> on</w:t>
      </w:r>
      <w:r>
        <w:rPr>
          <w:rFonts w:cstheme="minorHAnsi"/>
        </w:rPr>
        <w:t xml:space="preserve"> July 14, 2023.   </w:t>
      </w:r>
    </w:p>
    <w:p w:rsidR="00713FAF" w:rsidP="00EC48F5" w14:paraId="5C36D642" w14:textId="68B3C2F8">
      <w:pPr>
        <w:pStyle w:val="NoSpacing"/>
        <w:spacing w:after="240"/>
        <w:jc w:val="both"/>
        <w:rPr>
          <w:rFonts w:cstheme="minorHAnsi"/>
        </w:rPr>
      </w:pPr>
      <w:r w:rsidRPr="00FE66BD">
        <w:rPr>
          <w:rFonts w:cstheme="minorHAnsi"/>
        </w:rPr>
        <w:t xml:space="preserve">This </w:t>
      </w:r>
      <w:r w:rsidR="00541812">
        <w:rPr>
          <w:rFonts w:cstheme="minorHAnsi"/>
        </w:rPr>
        <w:t xml:space="preserve">information collection </w:t>
      </w:r>
      <w:r w:rsidRPr="00FE66BD">
        <w:rPr>
          <w:rFonts w:cstheme="minorHAnsi"/>
        </w:rPr>
        <w:t>request is to</w:t>
      </w:r>
      <w:r w:rsidR="001C305B">
        <w:rPr>
          <w:rFonts w:cstheme="minorHAnsi"/>
        </w:rPr>
        <w:t>:</w:t>
      </w:r>
      <w:r w:rsidRPr="00FE66BD">
        <w:rPr>
          <w:rFonts w:cstheme="minorHAnsi"/>
        </w:rPr>
        <w:t xml:space="preserve"> </w:t>
      </w:r>
      <w:r w:rsidR="00E7698E">
        <w:rPr>
          <w:rFonts w:cstheme="minorHAnsi"/>
        </w:rPr>
        <w:t xml:space="preserve">1) </w:t>
      </w:r>
      <w:r w:rsidR="00274FE5">
        <w:rPr>
          <w:rFonts w:cstheme="minorHAnsi"/>
        </w:rPr>
        <w:t>remove the fee to change from agent to attorney, 2) update the number of individuals who seek to change registration status from agent to attorney</w:t>
      </w:r>
      <w:r w:rsidR="0028218F">
        <w:rPr>
          <w:rFonts w:cstheme="minorHAnsi"/>
        </w:rPr>
        <w:t xml:space="preserve">, and </w:t>
      </w:r>
      <w:r w:rsidR="00274FE5">
        <w:rPr>
          <w:rFonts w:cstheme="minorHAnsi"/>
        </w:rPr>
        <w:t>3</w:t>
      </w:r>
      <w:r w:rsidR="0028218F">
        <w:rPr>
          <w:rFonts w:cstheme="minorHAnsi"/>
        </w:rPr>
        <w:t>)</w:t>
      </w:r>
      <w:r w:rsidR="00E7698E">
        <w:rPr>
          <w:rFonts w:cstheme="minorHAnsi"/>
        </w:rPr>
        <w:t xml:space="preserve"> </w:t>
      </w:r>
      <w:r w:rsidR="00274FE5">
        <w:rPr>
          <w:rFonts w:cstheme="minorHAnsi"/>
        </w:rPr>
        <w:t>update the hourly time burdens associated with this action</w:t>
      </w:r>
      <w:r w:rsidR="002C37C7">
        <w:rPr>
          <w:rFonts w:cstheme="minorHAnsi"/>
        </w:rPr>
        <w:t xml:space="preserve">.  </w:t>
      </w:r>
    </w:p>
    <w:p w:rsidR="005E052E" w:rsidP="002C37C7" w14:paraId="78421835" w14:textId="77777777">
      <w:pPr>
        <w:pStyle w:val="NoSpacing"/>
        <w:spacing w:after="240"/>
        <w:jc w:val="both"/>
        <w:rPr>
          <w:rFonts w:cstheme="minorHAnsi"/>
        </w:rPr>
      </w:pPr>
      <w:r w:rsidRPr="00274FE5">
        <w:rPr>
          <w:rFonts w:cstheme="minorHAnsi"/>
        </w:rPr>
        <w:t xml:space="preserve">This rulemaking benefits the public by improving the accuracy of the register of attorneys and agents who are permitted to practice before the USPTO in patent matters. Specifically, removing the fee to change from agent to attorney is expected to incentivize a registered patent agent who is an attorney but has not updated their registration status to do so. </w:t>
      </w:r>
    </w:p>
    <w:p w:rsidR="007A292D" w:rsidP="002C37C7" w14:paraId="11A92E45" w14:textId="241275E1">
      <w:pPr>
        <w:pStyle w:val="NoSpacing"/>
        <w:spacing w:after="240"/>
        <w:jc w:val="both"/>
        <w:rPr>
          <w:rFonts w:cstheme="minorHAnsi"/>
        </w:rPr>
      </w:pPr>
      <w:r w:rsidRPr="00274FE5">
        <w:rPr>
          <w:rFonts w:cstheme="minorHAnsi"/>
        </w:rPr>
        <w:t xml:space="preserve">The fee removal reduces the estimated cost burdens associated with 0651–0012 by $27,720; (252 respondents × $110 fee = $27,720). Accordingly, the current estimate of patent agents who change to attorney in 0651–0012 are expected to </w:t>
      </w:r>
      <w:r w:rsidR="00E64849">
        <w:rPr>
          <w:rFonts w:cstheme="minorHAnsi"/>
        </w:rPr>
        <w:t>change</w:t>
      </w:r>
      <w:r w:rsidRPr="00274FE5">
        <w:rPr>
          <w:rFonts w:cstheme="minorHAnsi"/>
        </w:rPr>
        <w:t xml:space="preserve"> from 252 practitioners to the new estimate of 340 practitioners. </w:t>
      </w:r>
      <w:r w:rsidR="005E052E">
        <w:rPr>
          <w:rFonts w:cstheme="minorHAnsi"/>
        </w:rPr>
        <w:t xml:space="preserve">(Note: the overall number of respondents listed for this item is decreasing due to administrative changes in how recordkeeping burdens were previously included in this information collection.) </w:t>
      </w:r>
      <w:r w:rsidRPr="00274FE5">
        <w:rPr>
          <w:rFonts w:cstheme="minorHAnsi"/>
        </w:rPr>
        <w:t xml:space="preserve">The expected increase in practitioners who change their registration status will result in a slight hourly burden increase of 44 hours; (88 practitioners × 0.5 hours = 44 hours). The USPTO further estimates that this increase of 88 respondents will add seven hours of recordkeeping burden to 0651–0012; (88 practitioners × 0.083 hours = 7 hours). These burden estimates are based on the prior OMB approved burdens associated with information collection 0651–0012. </w:t>
      </w:r>
    </w:p>
    <w:p w:rsidR="00541812" w:rsidP="00541812" w14:paraId="73410071" w14:textId="00E9B5C4">
      <w:pPr>
        <w:pStyle w:val="NoSpacing"/>
        <w:jc w:val="both"/>
        <w:rPr>
          <w:rFonts w:cstheme="minorHAnsi"/>
        </w:rPr>
      </w:pPr>
      <w:r>
        <w:rPr>
          <w:rFonts w:cstheme="minorHAnsi"/>
        </w:rPr>
        <w:t xml:space="preserve">Changes for Line Item 8: </w:t>
      </w:r>
      <w:r w:rsidRPr="00541812">
        <w:rPr>
          <w:rFonts w:cstheme="minorHAnsi"/>
        </w:rPr>
        <w:t>Change of Registration from Agent to Attorney</w:t>
      </w:r>
    </w:p>
    <w:tbl>
      <w:tblPr>
        <w:tblDescription w:val="table that charts list of burden"/>
        <w:tblW w:w="4301"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8"/>
        <w:gridCol w:w="1306"/>
        <w:gridCol w:w="1306"/>
        <w:gridCol w:w="1319"/>
        <w:gridCol w:w="1305"/>
      </w:tblGrid>
      <w:tr w14:paraId="467A420F" w14:textId="77777777" w:rsidTr="00083341">
        <w:tblPrEx>
          <w:tblW w:w="4301"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92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83341" w:rsidRPr="004976B1" w:rsidP="005507EB" w14:paraId="36FB21FA"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 </w:t>
            </w:r>
          </w:p>
        </w:tc>
        <w:tc>
          <w:tcPr>
            <w:tcW w:w="813"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83341" w:rsidRPr="004976B1" w:rsidP="005507EB" w14:paraId="5B535779"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Requested</w:t>
            </w:r>
          </w:p>
        </w:tc>
        <w:tc>
          <w:tcPr>
            <w:tcW w:w="81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83341" w:rsidRPr="004976B1" w:rsidP="005507EB" w14:paraId="274FAD20"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Program Change Due to New Statute</w:t>
            </w:r>
          </w:p>
        </w:tc>
        <w:tc>
          <w:tcPr>
            <w:tcW w:w="81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83341" w:rsidRPr="004976B1" w:rsidP="005507EB" w14:paraId="36B17B3E"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Program Change Due to Agency Discretion</w:t>
            </w:r>
          </w:p>
        </w:tc>
        <w:tc>
          <w:tcPr>
            <w:tcW w:w="82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83341" w:rsidRPr="004976B1" w:rsidP="005507EB" w14:paraId="51D1D276"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Change Due to Adjustment in Agency Estimate</w:t>
            </w:r>
          </w:p>
        </w:tc>
        <w:tc>
          <w:tcPr>
            <w:tcW w:w="81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83341" w:rsidRPr="004976B1" w:rsidP="005507EB" w14:paraId="54B53334"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Previously Approved</w:t>
            </w:r>
          </w:p>
        </w:tc>
      </w:tr>
      <w:tr w14:paraId="0AEC8CC9" w14:textId="77777777" w:rsidTr="00083341">
        <w:tblPrEx>
          <w:tblW w:w="4301" w:type="pct"/>
          <w:tblCellMar>
            <w:left w:w="0" w:type="dxa"/>
            <w:right w:w="0" w:type="dxa"/>
          </w:tblCellMar>
          <w:tblLook w:val="04A0"/>
        </w:tblPrEx>
        <w:trPr>
          <w:trHeight w:val="375"/>
        </w:trPr>
        <w:tc>
          <w:tcPr>
            <w:tcW w:w="92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5B451011" w14:textId="77777777">
            <w:pPr>
              <w:spacing w:line="225" w:lineRule="atLeast"/>
              <w:rPr>
                <w:rFonts w:ascii="Arial" w:hAnsi="Arial" w:cs="Arial"/>
                <w:color w:val="56606F"/>
                <w:sz w:val="16"/>
                <w:szCs w:val="17"/>
              </w:rPr>
            </w:pPr>
            <w:r w:rsidRPr="004976B1">
              <w:rPr>
                <w:rFonts w:ascii="Arial" w:hAnsi="Arial" w:cs="Arial"/>
                <w:color w:val="56606F"/>
                <w:sz w:val="16"/>
                <w:szCs w:val="17"/>
              </w:rPr>
              <w:t>Annual Number of Responses</w:t>
            </w:r>
          </w:p>
        </w:tc>
        <w:tc>
          <w:tcPr>
            <w:tcW w:w="81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0386351F" w14:textId="43707BE5">
            <w:pPr>
              <w:spacing w:line="225" w:lineRule="atLeast"/>
              <w:rPr>
                <w:rFonts w:ascii="Arial" w:hAnsi="Arial" w:cs="Arial"/>
                <w:sz w:val="16"/>
                <w:szCs w:val="17"/>
              </w:rPr>
            </w:pPr>
            <w:r>
              <w:rPr>
                <w:rFonts w:ascii="Arial" w:hAnsi="Arial" w:cs="Arial"/>
                <w:sz w:val="16"/>
                <w:szCs w:val="17"/>
              </w:rPr>
              <w:t>340</w:t>
            </w:r>
          </w:p>
        </w:tc>
        <w:tc>
          <w:tcPr>
            <w:tcW w:w="81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4EB08AAD" w14:textId="77777777">
            <w:pPr>
              <w:spacing w:line="225" w:lineRule="atLeast"/>
              <w:rPr>
                <w:rFonts w:ascii="Arial" w:hAnsi="Arial" w:cs="Arial"/>
                <w:sz w:val="16"/>
                <w:szCs w:val="17"/>
              </w:rPr>
            </w:pPr>
            <w:r w:rsidRPr="004976B1">
              <w:rPr>
                <w:rFonts w:ascii="Arial" w:hAnsi="Arial" w:cs="Arial"/>
                <w:sz w:val="16"/>
                <w:szCs w:val="17"/>
              </w:rPr>
              <w:t>0</w:t>
            </w:r>
          </w:p>
        </w:tc>
        <w:tc>
          <w:tcPr>
            <w:tcW w:w="81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65C4F353" w14:textId="2AC71A88">
            <w:pPr>
              <w:spacing w:line="225" w:lineRule="atLeast"/>
              <w:rPr>
                <w:rFonts w:ascii="Arial" w:hAnsi="Arial" w:cs="Arial"/>
                <w:sz w:val="16"/>
                <w:szCs w:val="17"/>
              </w:rPr>
            </w:pPr>
            <w:r w:rsidRPr="004976B1">
              <w:rPr>
                <w:rFonts w:ascii="Arial" w:hAnsi="Arial" w:cs="Arial"/>
                <w:sz w:val="16"/>
                <w:szCs w:val="17"/>
              </w:rPr>
              <w:t> </w:t>
            </w:r>
            <w:r>
              <w:rPr>
                <w:rFonts w:ascii="Arial" w:hAnsi="Arial" w:cs="Arial"/>
                <w:sz w:val="16"/>
                <w:szCs w:val="17"/>
              </w:rPr>
              <w:t>-164</w:t>
            </w:r>
          </w:p>
        </w:tc>
        <w:tc>
          <w:tcPr>
            <w:tcW w:w="82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4FB7A73F" w14:textId="0D7DD404">
            <w:pPr>
              <w:spacing w:line="225" w:lineRule="atLeast"/>
              <w:rPr>
                <w:rFonts w:ascii="Arial" w:hAnsi="Arial" w:cs="Arial"/>
                <w:sz w:val="16"/>
                <w:szCs w:val="17"/>
              </w:rPr>
            </w:pPr>
            <w:r>
              <w:rPr>
                <w:rFonts w:ascii="Arial" w:hAnsi="Arial" w:cs="Arial"/>
                <w:sz w:val="16"/>
                <w:szCs w:val="17"/>
              </w:rPr>
              <w:t>0</w:t>
            </w:r>
          </w:p>
        </w:tc>
        <w:tc>
          <w:tcPr>
            <w:tcW w:w="81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0633C3D6" w14:textId="2D32E97D">
            <w:pPr>
              <w:spacing w:line="225" w:lineRule="atLeast"/>
              <w:rPr>
                <w:rFonts w:ascii="Arial" w:hAnsi="Arial" w:cs="Arial"/>
                <w:sz w:val="16"/>
                <w:szCs w:val="17"/>
              </w:rPr>
            </w:pPr>
            <w:r>
              <w:rPr>
                <w:rFonts w:ascii="Arial" w:hAnsi="Arial" w:cs="Arial"/>
                <w:sz w:val="16"/>
                <w:szCs w:val="17"/>
              </w:rPr>
              <w:t>504</w:t>
            </w:r>
          </w:p>
        </w:tc>
      </w:tr>
      <w:tr w14:paraId="61E3878A" w14:textId="77777777" w:rsidTr="00083341">
        <w:tblPrEx>
          <w:tblW w:w="4301" w:type="pct"/>
          <w:tblCellMar>
            <w:left w:w="0" w:type="dxa"/>
            <w:right w:w="0" w:type="dxa"/>
          </w:tblCellMar>
          <w:tblLook w:val="04A0"/>
        </w:tblPrEx>
        <w:trPr>
          <w:trHeight w:val="375"/>
        </w:trPr>
        <w:tc>
          <w:tcPr>
            <w:tcW w:w="92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2FE1BCA8" w14:textId="77777777">
            <w:pPr>
              <w:spacing w:line="225" w:lineRule="atLeast"/>
              <w:rPr>
                <w:rFonts w:ascii="Arial" w:hAnsi="Arial" w:cs="Arial"/>
                <w:color w:val="56606F"/>
                <w:sz w:val="16"/>
                <w:szCs w:val="17"/>
              </w:rPr>
            </w:pPr>
            <w:r w:rsidRPr="004976B1">
              <w:rPr>
                <w:rFonts w:ascii="Arial" w:hAnsi="Arial" w:cs="Arial"/>
                <w:color w:val="56606F"/>
                <w:sz w:val="16"/>
                <w:szCs w:val="17"/>
              </w:rPr>
              <w:t>Annual Time Burden (Hr)</w:t>
            </w:r>
          </w:p>
        </w:tc>
        <w:tc>
          <w:tcPr>
            <w:tcW w:w="81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020F575F" w14:textId="28B5C9E9">
            <w:pPr>
              <w:spacing w:line="225" w:lineRule="atLeast"/>
              <w:rPr>
                <w:rFonts w:ascii="Arial" w:hAnsi="Arial" w:cs="Arial"/>
                <w:sz w:val="16"/>
                <w:szCs w:val="17"/>
              </w:rPr>
            </w:pPr>
            <w:r>
              <w:rPr>
                <w:rFonts w:ascii="Arial" w:hAnsi="Arial" w:cs="Arial"/>
                <w:sz w:val="16"/>
                <w:szCs w:val="17"/>
              </w:rPr>
              <w:t>197</w:t>
            </w:r>
          </w:p>
        </w:tc>
        <w:tc>
          <w:tcPr>
            <w:tcW w:w="81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21977EED" w14:textId="77777777">
            <w:pPr>
              <w:spacing w:line="225" w:lineRule="atLeast"/>
              <w:rPr>
                <w:rFonts w:ascii="Arial" w:hAnsi="Arial" w:cs="Arial"/>
                <w:sz w:val="16"/>
                <w:szCs w:val="17"/>
              </w:rPr>
            </w:pPr>
            <w:r w:rsidRPr="004976B1">
              <w:rPr>
                <w:rFonts w:ascii="Arial" w:hAnsi="Arial" w:cs="Arial"/>
                <w:sz w:val="16"/>
                <w:szCs w:val="17"/>
              </w:rPr>
              <w:t>0</w:t>
            </w:r>
          </w:p>
        </w:tc>
        <w:tc>
          <w:tcPr>
            <w:tcW w:w="81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4BED1268" w14:textId="66B79B87">
            <w:pPr>
              <w:spacing w:line="225" w:lineRule="atLeast"/>
              <w:rPr>
                <w:rFonts w:ascii="Arial" w:hAnsi="Arial" w:cs="Arial"/>
                <w:sz w:val="16"/>
                <w:szCs w:val="17"/>
              </w:rPr>
            </w:pPr>
            <w:r>
              <w:rPr>
                <w:rFonts w:ascii="Arial" w:hAnsi="Arial" w:cs="Arial"/>
                <w:sz w:val="16"/>
                <w:szCs w:val="17"/>
              </w:rPr>
              <w:t>51</w:t>
            </w:r>
          </w:p>
        </w:tc>
        <w:tc>
          <w:tcPr>
            <w:tcW w:w="82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60E7F51F" w14:textId="3A97062F">
            <w:pPr>
              <w:spacing w:line="225" w:lineRule="atLeast"/>
              <w:rPr>
                <w:rFonts w:ascii="Arial" w:hAnsi="Arial" w:cs="Arial"/>
                <w:sz w:val="16"/>
                <w:szCs w:val="17"/>
              </w:rPr>
            </w:pPr>
            <w:r>
              <w:rPr>
                <w:rFonts w:ascii="Arial" w:hAnsi="Arial" w:cs="Arial"/>
                <w:sz w:val="16"/>
                <w:szCs w:val="17"/>
              </w:rPr>
              <w:t>0</w:t>
            </w:r>
          </w:p>
        </w:tc>
        <w:tc>
          <w:tcPr>
            <w:tcW w:w="81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2F621C46" w14:textId="1C99BB58">
            <w:pPr>
              <w:spacing w:line="225" w:lineRule="atLeast"/>
              <w:rPr>
                <w:rFonts w:ascii="Arial" w:hAnsi="Arial" w:cs="Arial"/>
                <w:sz w:val="16"/>
                <w:szCs w:val="17"/>
              </w:rPr>
            </w:pPr>
            <w:r>
              <w:rPr>
                <w:rFonts w:ascii="Arial" w:hAnsi="Arial" w:cs="Arial"/>
                <w:sz w:val="16"/>
                <w:szCs w:val="17"/>
              </w:rPr>
              <w:t>146</w:t>
            </w:r>
          </w:p>
        </w:tc>
      </w:tr>
      <w:tr w14:paraId="2A9BE24D" w14:textId="77777777" w:rsidTr="00083341">
        <w:tblPrEx>
          <w:tblW w:w="4301" w:type="pct"/>
          <w:tblCellMar>
            <w:left w:w="0" w:type="dxa"/>
            <w:right w:w="0" w:type="dxa"/>
          </w:tblCellMar>
          <w:tblLook w:val="04A0"/>
        </w:tblPrEx>
        <w:trPr>
          <w:trHeight w:val="375"/>
        </w:trPr>
        <w:tc>
          <w:tcPr>
            <w:tcW w:w="92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70D3985D" w14:textId="77777777">
            <w:pPr>
              <w:spacing w:line="225" w:lineRule="atLeast"/>
              <w:rPr>
                <w:rFonts w:ascii="Arial" w:hAnsi="Arial" w:cs="Arial"/>
                <w:sz w:val="16"/>
                <w:szCs w:val="17"/>
              </w:rPr>
            </w:pPr>
            <w:r w:rsidRPr="004976B1">
              <w:rPr>
                <w:rFonts w:ascii="Arial" w:hAnsi="Arial" w:cs="Arial"/>
                <w:color w:val="56606F"/>
                <w:sz w:val="16"/>
                <w:szCs w:val="17"/>
              </w:rPr>
              <w:t>Annual Cost Burden ($)</w:t>
            </w:r>
          </w:p>
        </w:tc>
        <w:tc>
          <w:tcPr>
            <w:tcW w:w="81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008922D2" w14:textId="3AE3F8D0">
            <w:pPr>
              <w:spacing w:line="225" w:lineRule="atLeast"/>
              <w:rPr>
                <w:rFonts w:ascii="Arial" w:hAnsi="Arial" w:cs="Arial"/>
                <w:sz w:val="16"/>
                <w:szCs w:val="17"/>
              </w:rPr>
            </w:pPr>
            <w:r>
              <w:rPr>
                <w:rFonts w:ascii="Arial" w:hAnsi="Arial" w:cs="Arial"/>
                <w:sz w:val="16"/>
                <w:szCs w:val="17"/>
              </w:rPr>
              <w:t>0</w:t>
            </w:r>
          </w:p>
        </w:tc>
        <w:tc>
          <w:tcPr>
            <w:tcW w:w="81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28098FA8" w14:textId="12BD6ED2">
            <w:pPr>
              <w:spacing w:line="225" w:lineRule="atLeast"/>
              <w:rPr>
                <w:rFonts w:ascii="Arial" w:hAnsi="Arial" w:cs="Arial"/>
                <w:sz w:val="16"/>
                <w:szCs w:val="17"/>
              </w:rPr>
            </w:pPr>
            <w:r w:rsidRPr="004976B1">
              <w:rPr>
                <w:rFonts w:ascii="Arial" w:hAnsi="Arial" w:cs="Arial"/>
                <w:sz w:val="16"/>
                <w:szCs w:val="17"/>
              </w:rPr>
              <w:t>0</w:t>
            </w:r>
          </w:p>
        </w:tc>
        <w:tc>
          <w:tcPr>
            <w:tcW w:w="81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11D8F0CF" w14:textId="1F9D6E66">
            <w:pPr>
              <w:spacing w:line="225" w:lineRule="atLeast"/>
              <w:rPr>
                <w:rFonts w:ascii="Arial" w:hAnsi="Arial" w:cs="Arial"/>
                <w:sz w:val="16"/>
                <w:szCs w:val="17"/>
              </w:rPr>
            </w:pPr>
            <w:r w:rsidRPr="004976B1">
              <w:rPr>
                <w:rFonts w:ascii="Arial" w:hAnsi="Arial" w:cs="Arial"/>
                <w:sz w:val="16"/>
                <w:szCs w:val="17"/>
              </w:rPr>
              <w:t xml:space="preserve">  </w:t>
            </w:r>
            <w:r>
              <w:rPr>
                <w:rFonts w:ascii="Arial" w:hAnsi="Arial" w:cs="Arial"/>
                <w:sz w:val="16"/>
                <w:szCs w:val="17"/>
              </w:rPr>
              <w:t>-27,720</w:t>
            </w:r>
          </w:p>
        </w:tc>
        <w:tc>
          <w:tcPr>
            <w:tcW w:w="82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4A9AECD5" w14:textId="341D6615">
            <w:pPr>
              <w:spacing w:line="225" w:lineRule="atLeast"/>
              <w:rPr>
                <w:rFonts w:ascii="Arial" w:hAnsi="Arial" w:cs="Arial"/>
                <w:sz w:val="16"/>
                <w:szCs w:val="17"/>
              </w:rPr>
            </w:pPr>
            <w:r>
              <w:rPr>
                <w:rFonts w:ascii="Arial" w:hAnsi="Arial" w:cs="Arial"/>
                <w:sz w:val="16"/>
                <w:szCs w:val="17"/>
              </w:rPr>
              <w:t>0</w:t>
            </w:r>
          </w:p>
        </w:tc>
        <w:tc>
          <w:tcPr>
            <w:tcW w:w="81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83341" w:rsidRPr="004976B1" w:rsidP="005507EB" w14:paraId="2993EA9A" w14:textId="182A7A9D">
            <w:pPr>
              <w:spacing w:line="225" w:lineRule="atLeast"/>
              <w:rPr>
                <w:rFonts w:ascii="Arial" w:hAnsi="Arial" w:cs="Arial"/>
                <w:sz w:val="16"/>
                <w:szCs w:val="17"/>
              </w:rPr>
            </w:pPr>
            <w:r>
              <w:rPr>
                <w:rFonts w:ascii="Arial" w:hAnsi="Arial" w:cs="Arial"/>
                <w:sz w:val="16"/>
                <w:szCs w:val="17"/>
              </w:rPr>
              <w:t>27,720</w:t>
            </w:r>
          </w:p>
        </w:tc>
      </w:tr>
    </w:tbl>
    <w:p w:rsidR="005E052E" w:rsidP="002C37C7" w14:paraId="2666208A" w14:textId="77777777">
      <w:pPr>
        <w:pStyle w:val="NoSpacing"/>
        <w:spacing w:after="240"/>
        <w:jc w:val="both"/>
        <w:rPr>
          <w:rFonts w:cstheme="minorHAnsi"/>
        </w:rPr>
      </w:pPr>
    </w:p>
    <w:p w:rsidR="00713FAF" w:rsidRPr="00FE66BD" w:rsidP="006C43FA" w14:paraId="3ECB17C8" w14:textId="77777777">
      <w:pPr>
        <w:pStyle w:val="NoSpacing"/>
        <w:spacing w:after="240"/>
        <w:jc w:val="both"/>
        <w:rPr>
          <w:rFonts w:cstheme="minorHAnsi"/>
        </w:rPr>
      </w:pPr>
      <w:r w:rsidRPr="00FE66BD">
        <w:rPr>
          <w:rFonts w:cstheme="minorHAnsi"/>
          <w:u w:val="single"/>
        </w:rPr>
        <w:t>Summary of Changes</w:t>
      </w:r>
    </w:p>
    <w:p w:rsidR="002C37C7" w:rsidP="002C37C7" w14:paraId="07E6B1BD" w14:textId="6203A34A">
      <w:pPr>
        <w:pStyle w:val="NoSpacing"/>
        <w:spacing w:after="240"/>
        <w:jc w:val="both"/>
        <w:rPr>
          <w:rFonts w:cstheme="minorHAnsi"/>
        </w:rPr>
      </w:pPr>
      <w:r w:rsidRPr="00274FE5">
        <w:rPr>
          <w:rFonts w:cstheme="minorHAnsi"/>
        </w:rPr>
        <w:t>Overall, this final rule adds 51 burden hours and removes $27,720 in cost burdens</w:t>
      </w:r>
      <w:r w:rsidR="00541812">
        <w:rPr>
          <w:rFonts w:cstheme="minorHAnsi"/>
        </w:rPr>
        <w:t xml:space="preserve"> as seen in the table below</w:t>
      </w:r>
      <w:r w:rsidRPr="00274FE5">
        <w:rPr>
          <w:rFonts w:cstheme="minorHAnsi"/>
        </w:rPr>
        <w:t>.</w:t>
      </w:r>
      <w:r w:rsidR="00541812">
        <w:rPr>
          <w:rFonts w:cstheme="minorHAnsi"/>
        </w:rPr>
        <w:t xml:space="preserve">  </w:t>
      </w:r>
    </w:p>
    <w:p w:rsidR="00541812" w:rsidP="00541812" w14:paraId="1FCF0BC6" w14:textId="7EFF9F92">
      <w:pPr>
        <w:pStyle w:val="NoSpacing"/>
        <w:jc w:val="both"/>
        <w:rPr>
          <w:rFonts w:cstheme="minorHAnsi"/>
        </w:rPr>
      </w:pPr>
      <w:r>
        <w:rPr>
          <w:rFonts w:cstheme="minorHAnsi"/>
        </w:rPr>
        <w:t>Overall Changes for Information Collection 0651-0012: Admission to Practice</w:t>
      </w:r>
    </w:p>
    <w:tbl>
      <w:tblPr>
        <w:tblDescription w:val="table that charts list of burden"/>
        <w:tblW w:w="43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8"/>
        <w:gridCol w:w="1307"/>
        <w:gridCol w:w="1307"/>
        <w:gridCol w:w="1320"/>
        <w:gridCol w:w="1300"/>
      </w:tblGrid>
      <w:tr w14:paraId="44D22C26" w14:textId="77777777" w:rsidTr="00541812">
        <w:tblPrEx>
          <w:tblW w:w="43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93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41812" w:rsidRPr="004976B1" w:rsidP="005507EB" w14:paraId="00724276"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 </w:t>
            </w:r>
          </w:p>
        </w:tc>
        <w:tc>
          <w:tcPr>
            <w:tcW w:w="8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41812" w:rsidRPr="004976B1" w:rsidP="005507EB" w14:paraId="3A6C51DB" w14:textId="04391172">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Requested</w:t>
            </w:r>
          </w:p>
        </w:tc>
        <w:tc>
          <w:tcPr>
            <w:tcW w:w="813"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41812" w:rsidRPr="004976B1" w:rsidP="005507EB" w14:paraId="688D0E1E"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Program Change Due to New Statute</w:t>
            </w:r>
          </w:p>
        </w:tc>
        <w:tc>
          <w:tcPr>
            <w:tcW w:w="813"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41812" w:rsidRPr="004976B1" w:rsidP="005507EB" w14:paraId="066385F8"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Program Change Due to Agency Discretion</w:t>
            </w:r>
          </w:p>
        </w:tc>
        <w:tc>
          <w:tcPr>
            <w:tcW w:w="82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41812" w:rsidRPr="004976B1" w:rsidP="005507EB" w14:paraId="3317323E"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Change Due to Adjustment in Agency Estimate</w:t>
            </w:r>
          </w:p>
        </w:tc>
        <w:tc>
          <w:tcPr>
            <w:tcW w:w="81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41812" w:rsidRPr="004976B1" w:rsidP="005507EB" w14:paraId="1BEF4260"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Previously Approved</w:t>
            </w:r>
          </w:p>
        </w:tc>
      </w:tr>
      <w:tr w14:paraId="30EEE543" w14:textId="77777777" w:rsidTr="00541812">
        <w:tblPrEx>
          <w:tblW w:w="4300" w:type="pct"/>
          <w:tblCellMar>
            <w:left w:w="0" w:type="dxa"/>
            <w:right w:w="0" w:type="dxa"/>
          </w:tblCellMar>
          <w:tblLook w:val="04A0"/>
        </w:tblPrEx>
        <w:trPr>
          <w:trHeight w:val="375"/>
        </w:trPr>
        <w:tc>
          <w:tcPr>
            <w:tcW w:w="93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4DF48E63" w14:textId="77777777">
            <w:pPr>
              <w:spacing w:line="225" w:lineRule="atLeast"/>
              <w:rPr>
                <w:rFonts w:ascii="Arial" w:hAnsi="Arial" w:cs="Arial"/>
                <w:color w:val="56606F"/>
                <w:sz w:val="16"/>
                <w:szCs w:val="17"/>
              </w:rPr>
            </w:pPr>
            <w:r w:rsidRPr="004976B1">
              <w:rPr>
                <w:rFonts w:ascii="Arial" w:hAnsi="Arial" w:cs="Arial"/>
                <w:color w:val="56606F"/>
                <w:sz w:val="16"/>
                <w:szCs w:val="17"/>
              </w:rPr>
              <w:t>Annual Number of Responses</w:t>
            </w:r>
          </w:p>
        </w:tc>
        <w:tc>
          <w:tcPr>
            <w:tcW w:w="8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3A074AF9" w14:textId="1DE1A396">
            <w:pPr>
              <w:spacing w:line="225" w:lineRule="atLeast"/>
              <w:rPr>
                <w:rFonts w:ascii="Arial" w:hAnsi="Arial" w:cs="Arial"/>
                <w:sz w:val="16"/>
                <w:szCs w:val="17"/>
              </w:rPr>
            </w:pPr>
            <w:r>
              <w:rPr>
                <w:rFonts w:ascii="Arial" w:hAnsi="Arial" w:cs="Arial"/>
                <w:sz w:val="16"/>
                <w:szCs w:val="17"/>
              </w:rPr>
              <w:t>30,563</w:t>
            </w:r>
          </w:p>
        </w:tc>
        <w:tc>
          <w:tcPr>
            <w:tcW w:w="81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44D41896" w14:textId="77777777">
            <w:pPr>
              <w:spacing w:line="225" w:lineRule="atLeast"/>
              <w:rPr>
                <w:rFonts w:ascii="Arial" w:hAnsi="Arial" w:cs="Arial"/>
                <w:sz w:val="16"/>
                <w:szCs w:val="17"/>
              </w:rPr>
            </w:pPr>
            <w:r w:rsidRPr="004976B1">
              <w:rPr>
                <w:rFonts w:ascii="Arial" w:hAnsi="Arial" w:cs="Arial"/>
                <w:sz w:val="16"/>
                <w:szCs w:val="17"/>
              </w:rPr>
              <w:t>0</w:t>
            </w:r>
          </w:p>
        </w:tc>
        <w:tc>
          <w:tcPr>
            <w:tcW w:w="81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17BFFC13" w14:textId="77777777">
            <w:pPr>
              <w:spacing w:line="225" w:lineRule="atLeast"/>
              <w:rPr>
                <w:rFonts w:ascii="Arial" w:hAnsi="Arial" w:cs="Arial"/>
                <w:sz w:val="16"/>
                <w:szCs w:val="17"/>
              </w:rPr>
            </w:pPr>
            <w:r w:rsidRPr="004976B1">
              <w:rPr>
                <w:rFonts w:ascii="Arial" w:hAnsi="Arial" w:cs="Arial"/>
                <w:sz w:val="16"/>
                <w:szCs w:val="17"/>
              </w:rPr>
              <w:t> </w:t>
            </w:r>
            <w:r>
              <w:rPr>
                <w:rFonts w:ascii="Arial" w:hAnsi="Arial" w:cs="Arial"/>
                <w:sz w:val="16"/>
                <w:szCs w:val="17"/>
              </w:rPr>
              <w:t>-164</w:t>
            </w:r>
          </w:p>
        </w:tc>
        <w:tc>
          <w:tcPr>
            <w:tcW w:w="82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3B36269D" w14:textId="77777777">
            <w:pPr>
              <w:spacing w:line="225" w:lineRule="atLeast"/>
              <w:rPr>
                <w:rFonts w:ascii="Arial" w:hAnsi="Arial" w:cs="Arial"/>
                <w:sz w:val="16"/>
                <w:szCs w:val="17"/>
              </w:rPr>
            </w:pPr>
            <w:r>
              <w:rPr>
                <w:rFonts w:ascii="Arial" w:hAnsi="Arial" w:cs="Arial"/>
                <w:sz w:val="16"/>
                <w:szCs w:val="17"/>
              </w:rPr>
              <w:t>0</w:t>
            </w:r>
          </w:p>
        </w:tc>
        <w:tc>
          <w:tcPr>
            <w:tcW w:w="81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27743A57" w14:textId="025A3485">
            <w:pPr>
              <w:spacing w:line="225" w:lineRule="atLeast"/>
              <w:rPr>
                <w:rFonts w:ascii="Arial" w:hAnsi="Arial" w:cs="Arial"/>
                <w:sz w:val="16"/>
                <w:szCs w:val="17"/>
              </w:rPr>
            </w:pPr>
            <w:r>
              <w:rPr>
                <w:rFonts w:ascii="Arial" w:hAnsi="Arial" w:cs="Arial"/>
                <w:sz w:val="16"/>
                <w:szCs w:val="17"/>
              </w:rPr>
              <w:t>30.727</w:t>
            </w:r>
          </w:p>
        </w:tc>
      </w:tr>
      <w:tr w14:paraId="410E965E" w14:textId="77777777" w:rsidTr="00541812">
        <w:tblPrEx>
          <w:tblW w:w="4300" w:type="pct"/>
          <w:tblCellMar>
            <w:left w:w="0" w:type="dxa"/>
            <w:right w:w="0" w:type="dxa"/>
          </w:tblCellMar>
          <w:tblLook w:val="04A0"/>
        </w:tblPrEx>
        <w:trPr>
          <w:trHeight w:val="375"/>
        </w:trPr>
        <w:tc>
          <w:tcPr>
            <w:tcW w:w="93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57DE0405" w14:textId="77777777">
            <w:pPr>
              <w:spacing w:line="225" w:lineRule="atLeast"/>
              <w:rPr>
                <w:rFonts w:ascii="Arial" w:hAnsi="Arial" w:cs="Arial"/>
                <w:color w:val="56606F"/>
                <w:sz w:val="16"/>
                <w:szCs w:val="17"/>
              </w:rPr>
            </w:pPr>
            <w:r w:rsidRPr="004976B1">
              <w:rPr>
                <w:rFonts w:ascii="Arial" w:hAnsi="Arial" w:cs="Arial"/>
                <w:color w:val="56606F"/>
                <w:sz w:val="16"/>
                <w:szCs w:val="17"/>
              </w:rPr>
              <w:t>Annual Time Burden (Hr)</w:t>
            </w:r>
          </w:p>
        </w:tc>
        <w:tc>
          <w:tcPr>
            <w:tcW w:w="8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7B4D14FF" w14:textId="4E697B7C">
            <w:pPr>
              <w:spacing w:line="225" w:lineRule="atLeast"/>
              <w:rPr>
                <w:rFonts w:ascii="Arial" w:hAnsi="Arial" w:cs="Arial"/>
                <w:sz w:val="16"/>
                <w:szCs w:val="17"/>
              </w:rPr>
            </w:pPr>
            <w:r>
              <w:rPr>
                <w:rFonts w:ascii="Arial" w:hAnsi="Arial" w:cs="Arial"/>
                <w:sz w:val="16"/>
                <w:szCs w:val="17"/>
              </w:rPr>
              <w:t>18,239</w:t>
            </w:r>
          </w:p>
        </w:tc>
        <w:tc>
          <w:tcPr>
            <w:tcW w:w="81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572B6B07" w14:textId="77777777">
            <w:pPr>
              <w:spacing w:line="225" w:lineRule="atLeast"/>
              <w:rPr>
                <w:rFonts w:ascii="Arial" w:hAnsi="Arial" w:cs="Arial"/>
                <w:sz w:val="16"/>
                <w:szCs w:val="17"/>
              </w:rPr>
            </w:pPr>
            <w:r w:rsidRPr="004976B1">
              <w:rPr>
                <w:rFonts w:ascii="Arial" w:hAnsi="Arial" w:cs="Arial"/>
                <w:sz w:val="16"/>
                <w:szCs w:val="17"/>
              </w:rPr>
              <w:t>0</w:t>
            </w:r>
          </w:p>
        </w:tc>
        <w:tc>
          <w:tcPr>
            <w:tcW w:w="81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37B5D711" w14:textId="77777777">
            <w:pPr>
              <w:spacing w:line="225" w:lineRule="atLeast"/>
              <w:rPr>
                <w:rFonts w:ascii="Arial" w:hAnsi="Arial" w:cs="Arial"/>
                <w:sz w:val="16"/>
                <w:szCs w:val="17"/>
              </w:rPr>
            </w:pPr>
            <w:r>
              <w:rPr>
                <w:rFonts w:ascii="Arial" w:hAnsi="Arial" w:cs="Arial"/>
                <w:sz w:val="16"/>
                <w:szCs w:val="17"/>
              </w:rPr>
              <w:t>51</w:t>
            </w:r>
          </w:p>
        </w:tc>
        <w:tc>
          <w:tcPr>
            <w:tcW w:w="82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560873C0" w14:textId="77777777">
            <w:pPr>
              <w:spacing w:line="225" w:lineRule="atLeast"/>
              <w:rPr>
                <w:rFonts w:ascii="Arial" w:hAnsi="Arial" w:cs="Arial"/>
                <w:sz w:val="16"/>
                <w:szCs w:val="17"/>
              </w:rPr>
            </w:pPr>
            <w:r>
              <w:rPr>
                <w:rFonts w:ascii="Arial" w:hAnsi="Arial" w:cs="Arial"/>
                <w:sz w:val="16"/>
                <w:szCs w:val="17"/>
              </w:rPr>
              <w:t>0</w:t>
            </w:r>
          </w:p>
        </w:tc>
        <w:tc>
          <w:tcPr>
            <w:tcW w:w="81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1D4D7F05" w14:textId="3E8C35CD">
            <w:pPr>
              <w:spacing w:line="225" w:lineRule="atLeast"/>
              <w:rPr>
                <w:rFonts w:ascii="Arial" w:hAnsi="Arial" w:cs="Arial"/>
                <w:sz w:val="16"/>
                <w:szCs w:val="17"/>
              </w:rPr>
            </w:pPr>
            <w:r>
              <w:rPr>
                <w:rFonts w:ascii="Arial" w:hAnsi="Arial" w:cs="Arial"/>
                <w:sz w:val="16"/>
                <w:szCs w:val="17"/>
              </w:rPr>
              <w:t>18,188</w:t>
            </w:r>
          </w:p>
        </w:tc>
      </w:tr>
      <w:tr w14:paraId="2413537C" w14:textId="77777777" w:rsidTr="00541812">
        <w:tblPrEx>
          <w:tblW w:w="4300" w:type="pct"/>
          <w:tblCellMar>
            <w:left w:w="0" w:type="dxa"/>
            <w:right w:w="0" w:type="dxa"/>
          </w:tblCellMar>
          <w:tblLook w:val="04A0"/>
        </w:tblPrEx>
        <w:trPr>
          <w:trHeight w:val="375"/>
        </w:trPr>
        <w:tc>
          <w:tcPr>
            <w:tcW w:w="93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67AB6CC9" w14:textId="77777777">
            <w:pPr>
              <w:spacing w:line="225" w:lineRule="atLeast"/>
              <w:rPr>
                <w:rFonts w:ascii="Arial" w:hAnsi="Arial" w:cs="Arial"/>
                <w:sz w:val="16"/>
                <w:szCs w:val="17"/>
              </w:rPr>
            </w:pPr>
            <w:r w:rsidRPr="004976B1">
              <w:rPr>
                <w:rFonts w:ascii="Arial" w:hAnsi="Arial" w:cs="Arial"/>
                <w:color w:val="56606F"/>
                <w:sz w:val="16"/>
                <w:szCs w:val="17"/>
              </w:rPr>
              <w:t>Annual Cost Burden ($)</w:t>
            </w:r>
          </w:p>
        </w:tc>
        <w:tc>
          <w:tcPr>
            <w:tcW w:w="8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367956A7" w14:textId="2B4584B9">
            <w:pPr>
              <w:spacing w:line="225" w:lineRule="atLeast"/>
              <w:rPr>
                <w:rFonts w:ascii="Arial" w:hAnsi="Arial" w:cs="Arial"/>
                <w:sz w:val="16"/>
                <w:szCs w:val="17"/>
              </w:rPr>
            </w:pPr>
            <w:r>
              <w:rPr>
                <w:rFonts w:ascii="Arial" w:hAnsi="Arial" w:cs="Arial"/>
                <w:sz w:val="16"/>
                <w:szCs w:val="17"/>
              </w:rPr>
              <w:t>822,186</w:t>
            </w:r>
          </w:p>
        </w:tc>
        <w:tc>
          <w:tcPr>
            <w:tcW w:w="81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67FE1344" w14:textId="77777777">
            <w:pPr>
              <w:spacing w:line="225" w:lineRule="atLeast"/>
              <w:rPr>
                <w:rFonts w:ascii="Arial" w:hAnsi="Arial" w:cs="Arial"/>
                <w:sz w:val="16"/>
                <w:szCs w:val="17"/>
              </w:rPr>
            </w:pPr>
            <w:r w:rsidRPr="004976B1">
              <w:rPr>
                <w:rFonts w:ascii="Arial" w:hAnsi="Arial" w:cs="Arial"/>
                <w:sz w:val="16"/>
                <w:szCs w:val="17"/>
              </w:rPr>
              <w:t>0</w:t>
            </w:r>
          </w:p>
        </w:tc>
        <w:tc>
          <w:tcPr>
            <w:tcW w:w="81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1936064D" w14:textId="77777777">
            <w:pPr>
              <w:spacing w:line="225" w:lineRule="atLeast"/>
              <w:rPr>
                <w:rFonts w:ascii="Arial" w:hAnsi="Arial" w:cs="Arial"/>
                <w:sz w:val="16"/>
                <w:szCs w:val="17"/>
              </w:rPr>
            </w:pPr>
            <w:r w:rsidRPr="004976B1">
              <w:rPr>
                <w:rFonts w:ascii="Arial" w:hAnsi="Arial" w:cs="Arial"/>
                <w:sz w:val="16"/>
                <w:szCs w:val="17"/>
              </w:rPr>
              <w:t xml:space="preserve">  </w:t>
            </w:r>
            <w:r>
              <w:rPr>
                <w:rFonts w:ascii="Arial" w:hAnsi="Arial" w:cs="Arial"/>
                <w:sz w:val="16"/>
                <w:szCs w:val="17"/>
              </w:rPr>
              <w:t>-27,720</w:t>
            </w:r>
          </w:p>
        </w:tc>
        <w:tc>
          <w:tcPr>
            <w:tcW w:w="82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489C6F58" w14:textId="77777777">
            <w:pPr>
              <w:spacing w:line="225" w:lineRule="atLeast"/>
              <w:rPr>
                <w:rFonts w:ascii="Arial" w:hAnsi="Arial" w:cs="Arial"/>
                <w:sz w:val="16"/>
                <w:szCs w:val="17"/>
              </w:rPr>
            </w:pPr>
            <w:r>
              <w:rPr>
                <w:rFonts w:ascii="Arial" w:hAnsi="Arial" w:cs="Arial"/>
                <w:sz w:val="16"/>
                <w:szCs w:val="17"/>
              </w:rPr>
              <w:t>0</w:t>
            </w:r>
          </w:p>
        </w:tc>
        <w:tc>
          <w:tcPr>
            <w:tcW w:w="81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41812" w:rsidRPr="004976B1" w:rsidP="005507EB" w14:paraId="346865BA" w14:textId="43C82824">
            <w:pPr>
              <w:spacing w:line="225" w:lineRule="atLeast"/>
              <w:rPr>
                <w:rFonts w:ascii="Arial" w:hAnsi="Arial" w:cs="Arial"/>
                <w:sz w:val="16"/>
                <w:szCs w:val="17"/>
              </w:rPr>
            </w:pPr>
            <w:r>
              <w:rPr>
                <w:rFonts w:ascii="Arial" w:hAnsi="Arial" w:cs="Arial"/>
                <w:sz w:val="16"/>
                <w:szCs w:val="17"/>
              </w:rPr>
              <w:t>849,906</w:t>
            </w:r>
          </w:p>
        </w:tc>
      </w:tr>
    </w:tbl>
    <w:p w:rsidR="00784842" w:rsidRPr="00FE66BD" w:rsidP="002C37C7" w14:paraId="105C2794" w14:textId="680E4E82">
      <w:pPr>
        <w:pStyle w:val="NoSpacing"/>
        <w:jc w:val="both"/>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EB7ABA"/>
    <w:multiLevelType w:val="hybridMultilevel"/>
    <w:tmpl w:val="4DAE73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AF"/>
    <w:rsid w:val="00004C8F"/>
    <w:rsid w:val="00016A41"/>
    <w:rsid w:val="00042C50"/>
    <w:rsid w:val="0006095B"/>
    <w:rsid w:val="00083341"/>
    <w:rsid w:val="000A3B40"/>
    <w:rsid w:val="000B047D"/>
    <w:rsid w:val="000C3047"/>
    <w:rsid w:val="000F6182"/>
    <w:rsid w:val="00134EB0"/>
    <w:rsid w:val="001A3E7D"/>
    <w:rsid w:val="001C305B"/>
    <w:rsid w:val="001C3786"/>
    <w:rsid w:val="001E675E"/>
    <w:rsid w:val="0021154B"/>
    <w:rsid w:val="0023467C"/>
    <w:rsid w:val="002375AE"/>
    <w:rsid w:val="00274FE5"/>
    <w:rsid w:val="00282022"/>
    <w:rsid w:val="0028218F"/>
    <w:rsid w:val="002C37C7"/>
    <w:rsid w:val="00300DBF"/>
    <w:rsid w:val="00310BA5"/>
    <w:rsid w:val="00314F7C"/>
    <w:rsid w:val="00394BBA"/>
    <w:rsid w:val="00466299"/>
    <w:rsid w:val="004976B1"/>
    <w:rsid w:val="004E3F0B"/>
    <w:rsid w:val="00541812"/>
    <w:rsid w:val="005507EB"/>
    <w:rsid w:val="005A797D"/>
    <w:rsid w:val="005E052E"/>
    <w:rsid w:val="005E0711"/>
    <w:rsid w:val="005E0A2F"/>
    <w:rsid w:val="0067307F"/>
    <w:rsid w:val="006A1F32"/>
    <w:rsid w:val="006A2532"/>
    <w:rsid w:val="006C43FA"/>
    <w:rsid w:val="006F2D06"/>
    <w:rsid w:val="00713FAF"/>
    <w:rsid w:val="007340D3"/>
    <w:rsid w:val="00752808"/>
    <w:rsid w:val="0076034A"/>
    <w:rsid w:val="00784842"/>
    <w:rsid w:val="007A13B0"/>
    <w:rsid w:val="007A292D"/>
    <w:rsid w:val="007A500D"/>
    <w:rsid w:val="007B070D"/>
    <w:rsid w:val="0080171F"/>
    <w:rsid w:val="00834380"/>
    <w:rsid w:val="008418DC"/>
    <w:rsid w:val="00864BD6"/>
    <w:rsid w:val="009E209B"/>
    <w:rsid w:val="00A67099"/>
    <w:rsid w:val="00A67F5C"/>
    <w:rsid w:val="00AC46F2"/>
    <w:rsid w:val="00B27538"/>
    <w:rsid w:val="00B533F3"/>
    <w:rsid w:val="00BC1776"/>
    <w:rsid w:val="00BC306F"/>
    <w:rsid w:val="00BF49B1"/>
    <w:rsid w:val="00C4402A"/>
    <w:rsid w:val="00C62325"/>
    <w:rsid w:val="00C8232B"/>
    <w:rsid w:val="00C90042"/>
    <w:rsid w:val="00CB1141"/>
    <w:rsid w:val="00CC0117"/>
    <w:rsid w:val="00CE6779"/>
    <w:rsid w:val="00D404A3"/>
    <w:rsid w:val="00D540DA"/>
    <w:rsid w:val="00D75E25"/>
    <w:rsid w:val="00D933FF"/>
    <w:rsid w:val="00DB17F9"/>
    <w:rsid w:val="00E54B69"/>
    <w:rsid w:val="00E64849"/>
    <w:rsid w:val="00E7698E"/>
    <w:rsid w:val="00E93539"/>
    <w:rsid w:val="00E96B1E"/>
    <w:rsid w:val="00EC48F5"/>
    <w:rsid w:val="00EC58D0"/>
    <w:rsid w:val="00EC6F67"/>
    <w:rsid w:val="00ED2008"/>
    <w:rsid w:val="00ED7DBC"/>
    <w:rsid w:val="00EE1B30"/>
    <w:rsid w:val="00F65DA8"/>
    <w:rsid w:val="00F91B93"/>
    <w:rsid w:val="00FC30EB"/>
    <w:rsid w:val="00FC60B5"/>
    <w:rsid w:val="00FD4975"/>
    <w:rsid w:val="00FD5F41"/>
    <w:rsid w:val="00FE66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0602C"/>
  <w15:chartTrackingRefBased/>
  <w15:docId w15:val="{2B732993-DF2C-476E-91FA-A8501381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B4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3FAF"/>
    <w:pPr>
      <w:spacing w:after="0" w:line="240" w:lineRule="auto"/>
    </w:pPr>
  </w:style>
  <w:style w:type="table" w:styleId="TableGrid">
    <w:name w:val="Table Grid"/>
    <w:basedOn w:val="TableNormal"/>
    <w:uiPriority w:val="39"/>
    <w:rsid w:val="0071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33F3"/>
    <w:rPr>
      <w:sz w:val="16"/>
      <w:szCs w:val="16"/>
    </w:rPr>
  </w:style>
  <w:style w:type="paragraph" w:styleId="CommentText">
    <w:name w:val="annotation text"/>
    <w:basedOn w:val="Normal"/>
    <w:link w:val="CommentTextChar"/>
    <w:uiPriority w:val="99"/>
    <w:semiHidden/>
    <w:unhideWhenUsed/>
    <w:rsid w:val="00B533F3"/>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B533F3"/>
    <w:rPr>
      <w:sz w:val="20"/>
      <w:szCs w:val="20"/>
    </w:rPr>
  </w:style>
  <w:style w:type="paragraph" w:styleId="CommentSubject">
    <w:name w:val="annotation subject"/>
    <w:basedOn w:val="CommentText"/>
    <w:next w:val="CommentText"/>
    <w:link w:val="CommentSubjectChar"/>
    <w:uiPriority w:val="99"/>
    <w:semiHidden/>
    <w:unhideWhenUsed/>
    <w:rsid w:val="00B533F3"/>
    <w:rPr>
      <w:b/>
      <w:bCs/>
    </w:rPr>
  </w:style>
  <w:style w:type="character" w:customStyle="1" w:styleId="CommentSubjectChar">
    <w:name w:val="Comment Subject Char"/>
    <w:basedOn w:val="CommentTextChar"/>
    <w:link w:val="CommentSubject"/>
    <w:uiPriority w:val="99"/>
    <w:semiHidden/>
    <w:rsid w:val="00B533F3"/>
    <w:rPr>
      <w:b/>
      <w:bCs/>
      <w:sz w:val="20"/>
      <w:szCs w:val="20"/>
    </w:rPr>
  </w:style>
  <w:style w:type="paragraph" w:styleId="BalloonText">
    <w:name w:val="Balloon Text"/>
    <w:basedOn w:val="Normal"/>
    <w:link w:val="BalloonTextChar"/>
    <w:uiPriority w:val="99"/>
    <w:semiHidden/>
    <w:unhideWhenUsed/>
    <w:rsid w:val="00B533F3"/>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B533F3"/>
    <w:rPr>
      <w:rFonts w:ascii="Segoe UI" w:hAnsi="Segoe UI" w:cs="Segoe UI"/>
      <w:sz w:val="18"/>
      <w:szCs w:val="18"/>
    </w:rPr>
  </w:style>
  <w:style w:type="paragraph" w:styleId="FootnoteText">
    <w:name w:val="footnote text"/>
    <w:basedOn w:val="Normal"/>
    <w:link w:val="FootnoteTextChar"/>
    <w:uiPriority w:val="99"/>
    <w:semiHidden/>
    <w:unhideWhenUsed/>
    <w:rsid w:val="00394BBA"/>
  </w:style>
  <w:style w:type="character" w:customStyle="1" w:styleId="FootnoteTextChar">
    <w:name w:val="Footnote Text Char"/>
    <w:basedOn w:val="DefaultParagraphFont"/>
    <w:link w:val="FootnoteText"/>
    <w:uiPriority w:val="99"/>
    <w:semiHidden/>
    <w:rsid w:val="00394B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4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E85DE8A9-5CD3-41FE-A1A0-70BC17107555" xsi:nil="true"/>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Level xmlns="e85de8a9-5cd3-41fe-a1a0-70bc17107555" xsi:nil="true"/>
    <SharedWithUsers xmlns="5dfc53cf-7c17-4489-98ab-5f87c96333b9">
      <UserInfo>
        <DisplayName>Isaac, Justin (AMBIT)</DisplayName>
        <AccountId>115</AccountId>
        <AccountType/>
      </UserInfo>
    </SharedWithUsers>
  </documentManagement>
</p:properties>
</file>

<file path=customXml/itemProps1.xml><?xml version="1.0" encoding="utf-8"?>
<ds:datastoreItem xmlns:ds="http://schemas.openxmlformats.org/officeDocument/2006/customXml" ds:itemID="{BB5A913B-E31E-402F-A3BA-E9525B5BB0FF}">
  <ds:schemaRefs>
    <ds:schemaRef ds:uri="http://schemas.openxmlformats.org/officeDocument/2006/bibliography"/>
  </ds:schemaRefs>
</ds:datastoreItem>
</file>

<file path=customXml/itemProps2.xml><?xml version="1.0" encoding="utf-8"?>
<ds:datastoreItem xmlns:ds="http://schemas.openxmlformats.org/officeDocument/2006/customXml" ds:itemID="{8E8FE60C-D95A-4AD5-B5A9-4A4A52AA8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D8F99-7223-41F2-B0B9-3B3B7A66234A}">
  <ds:schemaRefs>
    <ds:schemaRef ds:uri="http://schemas.microsoft.com/sharepoint/v3/contenttype/forms"/>
  </ds:schemaRefs>
</ds:datastoreItem>
</file>

<file path=customXml/itemProps4.xml><?xml version="1.0" encoding="utf-8"?>
<ds:datastoreItem xmlns:ds="http://schemas.openxmlformats.org/officeDocument/2006/customXml" ds:itemID="{E0FBC9D6-2EC1-47B8-B01E-952217F590D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 Maryam (AMBIT)</dc:creator>
  <cp:lastModifiedBy>Isaac, Justin</cp:lastModifiedBy>
  <cp:revision>6</cp:revision>
  <dcterms:created xsi:type="dcterms:W3CDTF">2023-07-14T19:42:00Z</dcterms:created>
  <dcterms:modified xsi:type="dcterms:W3CDTF">2023-07-14T22:20:00Z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