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C45431" w:rsidP="00CE5AA9" w14:paraId="22E2A2F0" w14:textId="392E1E63">
      <w:pPr>
        <w:tabs>
          <w:tab w:val="center" w:pos="4680"/>
        </w:tabs>
        <w:spacing w:before="120"/>
        <w:jc w:val="center"/>
        <w:rPr>
          <w:rFonts w:ascii="Arial" w:hAnsi="Arial" w:cs="Arial"/>
          <w:b/>
          <w:bCs/>
          <w:sz w:val="32"/>
          <w:szCs w:val="32"/>
        </w:rPr>
      </w:pPr>
      <w:r w:rsidRPr="00325D3C">
        <w:rPr>
          <w:rFonts w:ascii="Arial" w:hAnsi="Arial" w:cs="Arial"/>
          <w:b/>
          <w:bCs/>
          <w:sz w:val="32"/>
          <w:szCs w:val="32"/>
        </w:rPr>
        <w:t>Rural Maternity and Obstetrics Management Strategies Program</w:t>
      </w:r>
      <w:r w:rsidR="00473007">
        <w:rPr>
          <w:rFonts w:ascii="Arial" w:hAnsi="Arial" w:cs="Arial"/>
          <w:b/>
          <w:bCs/>
          <w:sz w:val="32"/>
          <w:szCs w:val="32"/>
        </w:rPr>
        <w:t xml:space="preserve"> </w:t>
      </w:r>
      <w:r w:rsidRPr="00473007" w:rsidR="00473007">
        <w:rPr>
          <w:rFonts w:ascii="Arial" w:hAnsi="Arial" w:cs="Arial"/>
          <w:b/>
          <w:bCs/>
          <w:sz w:val="32"/>
          <w:szCs w:val="32"/>
        </w:rPr>
        <w:t>Performance Improvement and Measurement System</w:t>
      </w:r>
    </w:p>
    <w:p w:rsidR="00BA1A0C" w:rsidP="00CE5AA9" w14:paraId="22E2A2F1" w14:textId="06E71D13">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Pr="00C45431" w:rsidR="00E34A1F">
        <w:rPr>
          <w:rFonts w:ascii="Arial" w:hAnsi="Arial" w:cs="Arial"/>
          <w:b/>
          <w:bCs/>
          <w:sz w:val="32"/>
          <w:szCs w:val="32"/>
        </w:rPr>
        <w:t>15</w:t>
      </w:r>
      <w:r w:rsidRPr="00C45431">
        <w:rPr>
          <w:rFonts w:ascii="Arial" w:hAnsi="Arial" w:cs="Arial"/>
          <w:b/>
          <w:bCs/>
          <w:sz w:val="32"/>
          <w:szCs w:val="32"/>
        </w:rPr>
        <w:t>-XXXX</w:t>
      </w:r>
    </w:p>
    <w:p w:rsidR="007763FC" w:rsidRPr="00C45431" w:rsidP="00CE5AA9" w14:paraId="6B53184C" w14:textId="0316865A">
      <w:pPr>
        <w:tabs>
          <w:tab w:val="center" w:pos="4680"/>
        </w:tabs>
        <w:spacing w:before="120"/>
        <w:jc w:val="center"/>
        <w:rPr>
          <w:rFonts w:ascii="Arial" w:hAnsi="Arial" w:cs="Arial"/>
          <w:b/>
          <w:bCs/>
          <w:sz w:val="32"/>
          <w:szCs w:val="32"/>
        </w:rPr>
      </w:pPr>
      <w:r>
        <w:rPr>
          <w:rFonts w:ascii="Arial" w:hAnsi="Arial" w:cs="Arial"/>
          <w:b/>
          <w:bCs/>
          <w:sz w:val="32"/>
          <w:szCs w:val="32"/>
        </w:rPr>
        <w:t>New</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P="00CE5AA9" w14:paraId="22E2A2F4" w14:textId="4D39733C">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763FC">
        <w:rPr>
          <w:rFonts w:ascii="Arial" w:hAnsi="Arial" w:cs="Arial"/>
          <w:sz w:val="24"/>
        </w:rPr>
        <w:t>None</w:t>
      </w:r>
    </w:p>
    <w:p w:rsidR="007763FC" w:rsidRPr="00C45431" w:rsidP="00CE5AA9" w14:paraId="300690A0"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491D40" w:rsidRPr="00491D40" w:rsidP="000D7130" w14:paraId="6905538C" w14:textId="6EA3E033">
      <w:pPr>
        <w:spacing w:before="120" w:after="240"/>
        <w:ind w:left="360"/>
        <w:rPr>
          <w:rFonts w:ascii="Arial" w:hAnsi="Arial" w:cs="Arial"/>
          <w:color w:val="000000"/>
          <w:sz w:val="24"/>
        </w:rPr>
      </w:pPr>
      <w:r w:rsidRPr="00225EE6">
        <w:rPr>
          <w:rFonts w:ascii="Arial" w:hAnsi="Arial" w:cs="Arial"/>
          <w:color w:val="000000"/>
          <w:sz w:val="24"/>
        </w:rPr>
        <w:t xml:space="preserve">The Health Resources and Services Administration (HRSA)’s Federal Office of Rural Health Policy (FORHP) is requesting OMB approval </w:t>
      </w:r>
      <w:r w:rsidRPr="0073608B" w:rsidR="0073608B">
        <w:rPr>
          <w:rFonts w:ascii="Arial" w:hAnsi="Arial" w:cs="Arial"/>
          <w:color w:val="000000"/>
          <w:sz w:val="24"/>
        </w:rPr>
        <w:t xml:space="preserve">to collect information about </w:t>
      </w:r>
      <w:r w:rsidRPr="00D61ADD" w:rsidR="00D61ADD">
        <w:rPr>
          <w:rFonts w:ascii="Arial" w:hAnsi="Arial" w:cs="Arial"/>
          <w:color w:val="000000"/>
          <w:sz w:val="24"/>
        </w:rPr>
        <w:t xml:space="preserve">Rural Maternity and Obstetrics Management Strategies </w:t>
      </w:r>
      <w:r w:rsidR="00D61ADD">
        <w:rPr>
          <w:rFonts w:ascii="Arial" w:hAnsi="Arial" w:cs="Arial"/>
          <w:color w:val="000000"/>
          <w:sz w:val="24"/>
        </w:rPr>
        <w:t xml:space="preserve">(RMOMS) </w:t>
      </w:r>
      <w:r w:rsidRPr="00D61ADD" w:rsidR="00D61ADD">
        <w:rPr>
          <w:rFonts w:ascii="Arial" w:hAnsi="Arial" w:cs="Arial"/>
          <w:color w:val="000000"/>
          <w:sz w:val="24"/>
        </w:rPr>
        <w:t xml:space="preserve">Program </w:t>
      </w:r>
      <w:r w:rsidRPr="0073608B" w:rsidR="0073608B">
        <w:rPr>
          <w:rFonts w:ascii="Arial" w:hAnsi="Arial" w:cs="Arial"/>
          <w:color w:val="000000"/>
          <w:sz w:val="24"/>
        </w:rPr>
        <w:t>grant</w:t>
      </w:r>
      <w:r w:rsidR="00987CA2">
        <w:rPr>
          <w:rFonts w:ascii="Arial" w:hAnsi="Arial" w:cs="Arial"/>
          <w:color w:val="000000"/>
          <w:sz w:val="24"/>
        </w:rPr>
        <w:t xml:space="preserve"> activities</w:t>
      </w:r>
      <w:r w:rsidRPr="0073608B" w:rsidR="0073608B">
        <w:rPr>
          <w:rFonts w:ascii="Arial" w:hAnsi="Arial" w:cs="Arial"/>
          <w:color w:val="000000"/>
          <w:sz w:val="24"/>
        </w:rPr>
        <w:t xml:space="preserve"> using performance measures in HRSA’s Electronic Handbooks via the Performance Improvement and Measurement Syste</w:t>
      </w:r>
      <w:r w:rsidR="00987CA2">
        <w:rPr>
          <w:rFonts w:ascii="Arial" w:hAnsi="Arial" w:cs="Arial"/>
          <w:color w:val="000000"/>
          <w:sz w:val="24"/>
        </w:rPr>
        <w:t>m</w:t>
      </w:r>
      <w:r w:rsidR="00035AF5">
        <w:rPr>
          <w:rFonts w:ascii="Arial" w:hAnsi="Arial" w:cs="Arial"/>
          <w:color w:val="000000"/>
          <w:sz w:val="24"/>
        </w:rPr>
        <w:t xml:space="preserve"> (PIMS)</w:t>
      </w:r>
      <w:r w:rsidR="00987CA2">
        <w:rPr>
          <w:rFonts w:ascii="Arial" w:hAnsi="Arial" w:cs="Arial"/>
          <w:color w:val="000000"/>
          <w:sz w:val="24"/>
        </w:rPr>
        <w:t>.</w:t>
      </w:r>
      <w:r w:rsidRPr="00491D40">
        <w:rPr>
          <w:rFonts w:ascii="Arial" w:hAnsi="Arial" w:cs="Arial"/>
          <w:color w:val="000000"/>
          <w:sz w:val="24"/>
        </w:rPr>
        <w:t xml:space="preserve"> </w:t>
      </w:r>
    </w:p>
    <w:p w:rsidR="00491D40" w:rsidRPr="00491D40" w:rsidP="000D7130" w14:paraId="0C631015" w14:textId="77777777">
      <w:pPr>
        <w:spacing w:before="120" w:after="240"/>
        <w:ind w:left="360"/>
        <w:rPr>
          <w:rFonts w:ascii="Arial" w:hAnsi="Arial" w:cs="Arial"/>
          <w:color w:val="000000"/>
          <w:sz w:val="24"/>
        </w:rPr>
      </w:pPr>
      <w:r w:rsidRPr="00491D40">
        <w:rPr>
          <w:rFonts w:ascii="Arial" w:hAnsi="Arial" w:cs="Arial"/>
          <w:color w:val="000000"/>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w:t>
      </w:r>
    </w:p>
    <w:p w:rsidR="00491D40" w:rsidP="000D7130" w14:paraId="4F6CB086" w14:textId="3A27773F">
      <w:pPr>
        <w:spacing w:before="120" w:after="240"/>
        <w:ind w:left="360"/>
        <w:rPr>
          <w:rFonts w:ascii="Arial" w:hAnsi="Arial" w:cs="Arial"/>
          <w:color w:val="000000"/>
          <w:sz w:val="24"/>
        </w:rPr>
      </w:pPr>
      <w:r w:rsidRPr="00491D40">
        <w:rPr>
          <w:rFonts w:ascii="Arial" w:hAnsi="Arial" w:cs="Arial"/>
          <w:color w:val="000000"/>
          <w:sz w:val="24"/>
        </w:rPr>
        <w:t xml:space="preserve">These performance measures support FORHP’s charge to improve health in rural communities through providing a means to 1) quantify impact of grant funding; 2) inform performance tracking of grant funded projects </w:t>
      </w:r>
      <w:r w:rsidRPr="00491D40">
        <w:rPr>
          <w:rFonts w:ascii="Arial" w:hAnsi="Arial" w:cs="Arial"/>
          <w:color w:val="000000"/>
          <w:sz w:val="24"/>
        </w:rPr>
        <w:t>and;</w:t>
      </w:r>
      <w:r w:rsidRPr="00491D40">
        <w:rPr>
          <w:rFonts w:ascii="Arial" w:hAnsi="Arial" w:cs="Arial"/>
          <w:color w:val="000000"/>
          <w:sz w:val="24"/>
        </w:rPr>
        <w:t xml:space="preserve"> 3) inform program improvement in order to support project goals. Using the </w:t>
      </w:r>
      <w:r w:rsidR="00035AF5">
        <w:rPr>
          <w:rFonts w:ascii="Arial" w:hAnsi="Arial" w:cs="Arial"/>
          <w:color w:val="000000"/>
          <w:sz w:val="24"/>
        </w:rPr>
        <w:t>PIMS</w:t>
      </w:r>
      <w:r w:rsidRPr="00491D40">
        <w:rPr>
          <w:rFonts w:ascii="Arial" w:hAnsi="Arial" w:cs="Arial"/>
          <w:color w:val="000000"/>
          <w:sz w:val="24"/>
        </w:rPr>
        <w:t xml:space="preserve"> electronic reporting system, built into the EHB web-based portal used by award recipients to submit information to HRSA, the annual collection of this data specifically ensures awarded projects </w:t>
      </w:r>
      <w:r w:rsidRPr="00491D40">
        <w:rPr>
          <w:rFonts w:ascii="Arial" w:hAnsi="Arial" w:cs="Arial"/>
          <w:color w:val="000000"/>
          <w:sz w:val="24"/>
        </w:rPr>
        <w:t>are able to</w:t>
      </w:r>
      <w:r w:rsidRPr="00491D40">
        <w:rPr>
          <w:rFonts w:ascii="Arial" w:hAnsi="Arial" w:cs="Arial"/>
          <w:color w:val="000000"/>
          <w:sz w:val="24"/>
        </w:rPr>
        <w:t xml:space="preserve"> adequately fulfill the authorized goals for the </w:t>
      </w:r>
      <w:r w:rsidR="00035AF5">
        <w:rPr>
          <w:rFonts w:ascii="Arial" w:hAnsi="Arial" w:cs="Arial"/>
          <w:color w:val="000000"/>
          <w:sz w:val="24"/>
        </w:rPr>
        <w:t xml:space="preserve">RMOMS </w:t>
      </w:r>
      <w:r w:rsidRPr="00491D40">
        <w:rPr>
          <w:rFonts w:ascii="Arial" w:hAnsi="Arial" w:cs="Arial"/>
          <w:color w:val="000000"/>
          <w:sz w:val="24"/>
        </w:rPr>
        <w:t>Program.</w:t>
      </w:r>
    </w:p>
    <w:p w:rsidR="009C56C5" w:rsidRPr="009C56C5" w:rsidP="000D7130" w14:paraId="3E2C97D7" w14:textId="0573F3E4">
      <w:pPr>
        <w:spacing w:before="120" w:after="240"/>
        <w:ind w:left="360"/>
        <w:rPr>
          <w:rFonts w:ascii="Arial" w:hAnsi="Arial" w:cs="Arial"/>
          <w:color w:val="000000"/>
          <w:sz w:val="24"/>
        </w:rPr>
      </w:pPr>
      <w:r>
        <w:rPr>
          <w:rFonts w:ascii="Arial" w:hAnsi="Arial" w:cs="Arial"/>
          <w:color w:val="000000"/>
          <w:sz w:val="24"/>
        </w:rPr>
        <w:t>The RMOMS</w:t>
      </w:r>
      <w:r w:rsidRPr="009C56C5">
        <w:rPr>
          <w:rFonts w:ascii="Arial" w:hAnsi="Arial" w:cs="Arial"/>
          <w:color w:val="000000"/>
          <w:sz w:val="24"/>
        </w:rPr>
        <w:t xml:space="preserve"> Program</w:t>
      </w:r>
      <w:r>
        <w:rPr>
          <w:rFonts w:ascii="Arial" w:hAnsi="Arial" w:cs="Arial"/>
          <w:color w:val="000000"/>
          <w:sz w:val="24"/>
        </w:rPr>
        <w:t xml:space="preserve"> </w:t>
      </w:r>
      <w:r w:rsidRPr="009C56C5">
        <w:rPr>
          <w:rFonts w:ascii="Arial" w:hAnsi="Arial" w:cs="Arial"/>
          <w:color w:val="000000"/>
          <w:sz w:val="24"/>
        </w:rPr>
        <w:t xml:space="preserve">is authorized by sections 501(a)(2) and 711(b)(5) of the Social Security Act (42 U.S.C. §§ 701(a)(2) and 912(b)(5), respectively), and sections 330A(e) and 330A-2 of the Public Health Service Act (42 U.S.C. §§ 254c(e) </w:t>
      </w:r>
      <w:r w:rsidRPr="009C56C5">
        <w:rPr>
          <w:rFonts w:ascii="Arial" w:hAnsi="Arial" w:cs="Arial"/>
          <w:color w:val="000000"/>
          <w:sz w:val="24"/>
        </w:rPr>
        <w:t>and 254c-1b, respectively). These authorities allow HRSA to, among other things, award grants to promote rural health care services outreach by improving and expanding the delivery of health care services to include new and enhanced services in rural areas, through community engagement and evidence-based or innovative, evidence-informed models; as well as establish or continue collaborative improvement and innovation networks to improve access to, and delivery of, maternity and obstetrics care in rural areas.</w:t>
      </w:r>
    </w:p>
    <w:p w:rsidR="009C56C5" w:rsidRPr="00491D40" w:rsidP="000D7130" w14:paraId="1A7B71B2" w14:textId="7DB908D7">
      <w:pPr>
        <w:spacing w:before="120" w:after="240"/>
        <w:ind w:left="360"/>
        <w:rPr>
          <w:rFonts w:ascii="Arial" w:hAnsi="Arial" w:cs="Arial"/>
          <w:color w:val="000000"/>
          <w:sz w:val="24"/>
        </w:rPr>
      </w:pPr>
      <w:r w:rsidRPr="009C56C5">
        <w:rPr>
          <w:rFonts w:ascii="Arial" w:hAnsi="Arial" w:cs="Arial"/>
          <w:color w:val="000000"/>
          <w:sz w:val="24"/>
        </w:rPr>
        <w:t>The RMOMS program grants support networks that improve access to, and continuity of, maternal and obstetrics care in rural communities.  The goals of the RMOMS program are to: (1) improve maternal and neonatal outcomes within a rural region; (2) develop a sustainable network approach to increase the delivery and access of preconception, prenatal, pregnancy, labor and delivery, and postpartum services; (3) develop a safe delivery environment with the support and access to specialty care for perinatal patients and infants; and (4) develop sustainable financing models for the provision of maternal and obstetrics care in rural hospitals and communities.</w:t>
      </w:r>
    </w:p>
    <w:p w:rsidR="009B3794" w:rsidRPr="000D7130" w:rsidP="00CA3DA6" w14:paraId="22E2A2FB" w14:textId="31EA51B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EA46F4" w:rsidP="00397EF1" w14:paraId="160FB5BE" w14:textId="41B2C9DF">
      <w:pPr>
        <w:spacing w:before="240"/>
        <w:ind w:left="360"/>
        <w:rPr>
          <w:rFonts w:ascii="Arial" w:hAnsi="Arial" w:cs="Arial"/>
          <w:bCs/>
          <w:sz w:val="24"/>
        </w:rPr>
      </w:pPr>
      <w:r w:rsidRPr="000D7130">
        <w:rPr>
          <w:rFonts w:ascii="Arial" w:hAnsi="Arial" w:cs="Arial"/>
          <w:bCs/>
          <w:sz w:val="24"/>
        </w:rPr>
        <w:t xml:space="preserve">FORHP is proposing to conduct an annual data collection of user information for the </w:t>
      </w:r>
      <w:r>
        <w:rPr>
          <w:rFonts w:ascii="Arial" w:hAnsi="Arial" w:cs="Arial"/>
          <w:bCs/>
          <w:sz w:val="24"/>
        </w:rPr>
        <w:t>RMOMS Program</w:t>
      </w:r>
      <w:r w:rsidRPr="000D7130">
        <w:rPr>
          <w:rFonts w:ascii="Arial" w:hAnsi="Arial" w:cs="Arial"/>
          <w:bCs/>
          <w:sz w:val="24"/>
        </w:rPr>
        <w:t>. The purpose of this data collection is to provide HRSA with information on how well each grantee is meeting the goals of the grant program.</w:t>
      </w:r>
    </w:p>
    <w:p w:rsidR="00EA46F4" w:rsidRPr="000D7130" w:rsidP="000D7130" w14:paraId="0B5C7BA2" w14:textId="3059820F">
      <w:pPr>
        <w:spacing w:before="240"/>
        <w:ind w:left="360"/>
        <w:rPr>
          <w:rFonts w:ascii="Arial" w:hAnsi="Arial" w:cs="Arial"/>
          <w:bCs/>
          <w:sz w:val="24"/>
        </w:rPr>
      </w:pPr>
      <w:r w:rsidRPr="00EA46F4">
        <w:rPr>
          <w:rFonts w:ascii="Arial" w:hAnsi="Arial" w:cs="Arial"/>
          <w:bCs/>
          <w:sz w:val="24"/>
        </w:rPr>
        <w:t xml:space="preserve">The type of information requested in the </w:t>
      </w:r>
      <w:r w:rsidR="000E7A34">
        <w:rPr>
          <w:rFonts w:ascii="Arial" w:hAnsi="Arial" w:cs="Arial"/>
          <w:bCs/>
          <w:sz w:val="24"/>
        </w:rPr>
        <w:t>RMOMS</w:t>
      </w:r>
      <w:r w:rsidRPr="00EA46F4">
        <w:rPr>
          <w:rFonts w:ascii="Arial" w:hAnsi="Arial" w:cs="Arial"/>
          <w:bCs/>
          <w:sz w:val="24"/>
        </w:rPr>
        <w:t xml:space="preserve"> </w:t>
      </w:r>
      <w:r w:rsidR="000E7A34">
        <w:rPr>
          <w:rFonts w:ascii="Arial" w:hAnsi="Arial" w:cs="Arial"/>
          <w:bCs/>
          <w:sz w:val="24"/>
        </w:rPr>
        <w:t>p</w:t>
      </w:r>
      <w:r w:rsidRPr="00EA46F4">
        <w:rPr>
          <w:rFonts w:ascii="Arial" w:hAnsi="Arial" w:cs="Arial"/>
          <w:bCs/>
          <w:sz w:val="24"/>
        </w:rPr>
        <w:t>rogram PIMS enables FORHP to assess the following characteristics about its programs: (1) consortium/network; (2) sustainability; (3) population demographics; (4) project-specific domains.</w:t>
      </w:r>
    </w:p>
    <w:p w:rsidR="000D7130" w:rsidRPr="000D7130" w:rsidP="000D7130" w14:paraId="4723C9CC" w14:textId="16ACA206">
      <w:pPr>
        <w:spacing w:before="240"/>
        <w:ind w:left="360"/>
        <w:rPr>
          <w:rFonts w:ascii="Arial" w:hAnsi="Arial" w:cs="Arial"/>
          <w:bCs/>
          <w:sz w:val="24"/>
        </w:rPr>
      </w:pPr>
      <w:r w:rsidRPr="000D7130">
        <w:rPr>
          <w:rFonts w:ascii="Arial" w:hAnsi="Arial" w:cs="Arial"/>
          <w:bCs/>
          <w:sz w:val="24"/>
        </w:rPr>
        <w:t xml:space="preserve">This assessment will provide useful information for the </w:t>
      </w:r>
      <w:r w:rsidR="00397EF1">
        <w:rPr>
          <w:rFonts w:ascii="Arial" w:hAnsi="Arial" w:cs="Arial"/>
          <w:bCs/>
          <w:sz w:val="24"/>
        </w:rPr>
        <w:t>RMOMS Program</w:t>
      </w:r>
      <w:r w:rsidRPr="000D7130">
        <w:rPr>
          <w:rFonts w:ascii="Arial" w:hAnsi="Arial" w:cs="Arial"/>
          <w:bCs/>
          <w:sz w:val="24"/>
        </w:rPr>
        <w:t xml:space="preserve"> and will enable HRSA to assess the success of the program. It will also ensure that awarded programs are effectively using funds to meet the proposed health needs of the community.  </w:t>
      </w:r>
    </w:p>
    <w:p w:rsidR="000D7130" w:rsidRPr="00C45431" w:rsidP="000D7130" w14:paraId="00830D9E" w14:textId="6D8746F8">
      <w:pPr>
        <w:spacing w:before="240"/>
        <w:ind w:left="360"/>
        <w:rPr>
          <w:rFonts w:ascii="Arial" w:hAnsi="Arial" w:cs="Arial"/>
          <w:b/>
          <w:sz w:val="24"/>
        </w:rPr>
      </w:pPr>
      <w:r w:rsidRPr="000D7130">
        <w:rPr>
          <w:rFonts w:ascii="Arial" w:hAnsi="Arial" w:cs="Arial"/>
          <w:bCs/>
          <w:sz w:val="24"/>
        </w:rPr>
        <w:t xml:space="preserve">Without collection of this data, it would be difficult to ascertain the collective impact of this program across all </w:t>
      </w:r>
      <w:r w:rsidR="00397EF1">
        <w:rPr>
          <w:rFonts w:ascii="Arial" w:hAnsi="Arial" w:cs="Arial"/>
          <w:bCs/>
          <w:sz w:val="24"/>
        </w:rPr>
        <w:t>RMOMS Program</w:t>
      </w:r>
      <w:r w:rsidRPr="000D7130">
        <w:rPr>
          <w:rFonts w:ascii="Arial" w:hAnsi="Arial" w:cs="Arial"/>
          <w:bCs/>
          <w:sz w:val="24"/>
        </w:rPr>
        <w:t xml:space="preserve"> grantees and if this funding has improved the characteristics and outcomes mentioned above. Lack of such data would also hamper future efforts to create resources and funding opportunities to address gaps and healthcare needs presented in the data</w:t>
      </w:r>
      <w:r w:rsidRPr="000D7130">
        <w:rPr>
          <w:rFonts w:ascii="Arial" w:hAnsi="Arial" w:cs="Arial"/>
          <w:b/>
          <w:sz w:val="24"/>
        </w:rPr>
        <w:t>.</w:t>
      </w:r>
    </w:p>
    <w:p w:rsidR="009B3794" w:rsidRPr="00A60A8F" w:rsidP="00CA3DA6"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A60A8F" w:rsidRPr="00C45431" w:rsidP="00A60A8F" w14:paraId="38AE8F53" w14:textId="4A4839CF">
      <w:pPr>
        <w:spacing w:before="240"/>
        <w:ind w:left="360"/>
        <w:rPr>
          <w:rFonts w:ascii="Arial" w:hAnsi="Arial" w:cs="Arial"/>
          <w:sz w:val="24"/>
        </w:rPr>
      </w:pPr>
      <w:r w:rsidRPr="00A60A8F">
        <w:rPr>
          <w:rFonts w:ascii="Arial" w:hAnsi="Arial" w:cs="Arial"/>
          <w:sz w:val="24"/>
        </w:rPr>
        <w:t xml:space="preserve">This activity is fully (100 percent)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w:t>
      </w:r>
      <w:r w:rsidRPr="00A60A8F">
        <w:rPr>
          <w:rFonts w:ascii="Arial" w:hAnsi="Arial" w:cs="Arial"/>
          <w:sz w:val="24"/>
        </w:rPr>
        <w:t xml:space="preserve">OMB approved Standard Forms. The EHB has a </w:t>
      </w:r>
      <w:r w:rsidR="00123882">
        <w:rPr>
          <w:rFonts w:ascii="Arial" w:hAnsi="Arial" w:cs="Arial"/>
          <w:sz w:val="24"/>
        </w:rPr>
        <w:t>H</w:t>
      </w:r>
      <w:r w:rsidRPr="00A60A8F">
        <w:rPr>
          <w:rFonts w:ascii="Arial" w:hAnsi="Arial" w:cs="Arial"/>
          <w:sz w:val="24"/>
        </w:rPr>
        <w:t>elp</w:t>
      </w:r>
      <w:r w:rsidR="00123882">
        <w:rPr>
          <w:rFonts w:ascii="Arial" w:hAnsi="Arial" w:cs="Arial"/>
          <w:sz w:val="24"/>
        </w:rPr>
        <w:t xml:space="preserve"> D</w:t>
      </w:r>
      <w:r w:rsidRPr="00A60A8F">
        <w:rPr>
          <w:rFonts w:ascii="Arial" w:hAnsi="Arial" w:cs="Arial"/>
          <w:sz w:val="24"/>
        </w:rPr>
        <w:t>esk feature that includes a toll-free number and e-mail address for any technical questions from grantees. 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009B3794" w:rsidRPr="00797F7E" w:rsidP="00CA3DA6" w14:paraId="22E2A305" w14:textId="1326827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797F7E" w:rsidRPr="00797F7E" w:rsidP="00797F7E" w14:paraId="0B8CF9C5" w14:textId="1D0ACD6C">
      <w:pPr>
        <w:spacing w:before="240"/>
        <w:ind w:left="360"/>
        <w:rPr>
          <w:rFonts w:ascii="Arial" w:hAnsi="Arial" w:cs="Arial"/>
          <w:bCs/>
          <w:sz w:val="24"/>
        </w:rPr>
      </w:pPr>
      <w:r>
        <w:rPr>
          <w:rFonts w:ascii="Arial" w:hAnsi="Arial" w:cs="Arial"/>
          <w:bCs/>
          <w:sz w:val="24"/>
        </w:rPr>
        <w:t xml:space="preserve">RMOMS Program award recipients also collect </w:t>
      </w:r>
      <w:r w:rsidR="00013C22">
        <w:rPr>
          <w:rFonts w:ascii="Arial" w:hAnsi="Arial" w:cs="Arial"/>
          <w:bCs/>
          <w:sz w:val="24"/>
        </w:rPr>
        <w:t xml:space="preserve">and report </w:t>
      </w:r>
      <w:r>
        <w:rPr>
          <w:rFonts w:ascii="Arial" w:hAnsi="Arial" w:cs="Arial"/>
          <w:bCs/>
          <w:sz w:val="24"/>
        </w:rPr>
        <w:t>patient-level clinical data as part of the program activities. However, the PIMS reporting encompasses aggregate data from all RMOMS Program network partners, including partners providing support services (non-clinical).</w:t>
      </w:r>
    </w:p>
    <w:p w:rsidR="009B3794" w:rsidRPr="006B3FC2"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6B3FC2" w:rsidRPr="00C45431" w:rsidP="006B3FC2" w14:paraId="513C23BB" w14:textId="4B26CE44">
      <w:pPr>
        <w:spacing w:before="240"/>
        <w:ind w:left="360"/>
        <w:rPr>
          <w:rFonts w:ascii="Arial" w:hAnsi="Arial" w:cs="Arial"/>
          <w:color w:val="000000"/>
          <w:sz w:val="24"/>
        </w:rPr>
      </w:pPr>
      <w:r w:rsidRPr="006B3FC2">
        <w:rPr>
          <w:rFonts w:ascii="Arial" w:hAnsi="Arial" w:cs="Arial"/>
          <w:color w:val="000000"/>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9B3794" w:rsidRPr="00C45431" w:rsidP="00AC26D5" w14:paraId="22E2A311" w14:textId="2C5464E7">
      <w:pPr>
        <w:widowControl/>
        <w:autoSpaceDE/>
        <w:autoSpaceDN/>
        <w:adjustRightInd/>
        <w:spacing w:before="120"/>
        <w:ind w:left="360"/>
        <w:rPr>
          <w:rFonts w:ascii="Arial" w:hAnsi="Arial" w:cs="Arial"/>
          <w:sz w:val="24"/>
        </w:rPr>
      </w:pPr>
      <w:r w:rsidRPr="00AC26D5">
        <w:rPr>
          <w:rFonts w:ascii="Arial" w:hAnsi="Arial" w:cs="Arial"/>
          <w:sz w:val="24"/>
        </w:rPr>
        <w:t>Respondents will respond to this data collection on an annual basis.</w:t>
      </w:r>
      <w:r>
        <w:rPr>
          <w:rFonts w:ascii="Arial" w:hAnsi="Arial" w:cs="Arial"/>
          <w:sz w:val="24"/>
        </w:rPr>
        <w:t xml:space="preserve"> </w:t>
      </w:r>
      <w:r w:rsidRPr="00AC26D5">
        <w:rPr>
          <w:rFonts w:ascii="Arial" w:hAnsi="Arial" w:cs="Arial"/>
          <w:sz w:val="24"/>
        </w:rPr>
        <w:t>This information is needed by the program, FORHP and HRSA to measure effective use of grant dollars and progress toward strategic goals and objectives in a timely manner.  There are no legal obstacles to reduce the burden.</w:t>
      </w:r>
      <w:r w:rsidRPr="00C45431">
        <w:rPr>
          <w:rFonts w:ascii="Arial" w:hAnsi="Arial" w:cs="Arial"/>
          <w:sz w:val="24"/>
        </w:rPr>
        <w:tab/>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B25E50" w:rsidP="00B25E50" w14:paraId="22E2A31B" w14:textId="73FF4FF2">
      <w:pPr>
        <w:widowControl/>
        <w:spacing w:before="120"/>
        <w:ind w:firstLine="360"/>
        <w:rPr>
          <w:rFonts w:ascii="Arial" w:hAnsi="Arial" w:cs="Arial"/>
          <w:bCs/>
          <w:sz w:val="24"/>
        </w:rPr>
      </w:pPr>
      <w:r w:rsidRPr="00B25E50">
        <w:rPr>
          <w:rFonts w:ascii="Arial" w:hAnsi="Arial" w:cs="Arial"/>
          <w:bCs/>
          <w:sz w:val="24"/>
        </w:rPr>
        <w:t>T</w:t>
      </w:r>
      <w:r w:rsidRPr="00B25E50">
        <w:rPr>
          <w:rFonts w:ascii="Arial" w:hAnsi="Arial" w:cs="Arial"/>
          <w:bCs/>
          <w:sz w:val="24"/>
        </w:rPr>
        <w: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B3794" w:rsidRPr="00880BDE" w:rsidP="00880BDE" w14:paraId="22E2A320" w14:textId="762DAA8C">
      <w:pPr>
        <w:spacing w:before="120"/>
        <w:ind w:left="360"/>
        <w:rPr>
          <w:rFonts w:ascii="Arial" w:hAnsi="Arial" w:cs="Arial"/>
          <w:bCs/>
          <w:sz w:val="24"/>
        </w:rPr>
      </w:pPr>
      <w:r w:rsidRPr="00880BDE">
        <w:rPr>
          <w:rFonts w:ascii="Arial" w:hAnsi="Arial" w:cs="Arial"/>
          <w:bCs/>
          <w:sz w:val="24"/>
        </w:rPr>
        <w:t xml:space="preserve">A 60-day Federal Register Notice was published in the </w:t>
      </w:r>
      <w:r w:rsidRPr="00880BDE">
        <w:rPr>
          <w:rFonts w:ascii="Arial" w:hAnsi="Arial" w:cs="Arial"/>
          <w:bCs/>
          <w:i/>
          <w:iCs/>
          <w:sz w:val="24"/>
        </w:rPr>
        <w:t xml:space="preserve">Federal Register </w:t>
      </w:r>
      <w:r w:rsidRPr="00880BDE">
        <w:rPr>
          <w:rFonts w:ascii="Arial" w:hAnsi="Arial" w:cs="Arial"/>
          <w:bCs/>
          <w:sz w:val="24"/>
        </w:rPr>
        <w:t xml:space="preserve">on </w:t>
      </w:r>
      <w:r w:rsidRPr="00323E38" w:rsidR="00323E38">
        <w:rPr>
          <w:rFonts w:ascii="Arial" w:hAnsi="Arial" w:cs="Arial"/>
          <w:bCs/>
          <w:sz w:val="24"/>
        </w:rPr>
        <w:t>April 7, 2023, vol. 88, No. 67; pp. 20893-20894</w:t>
      </w:r>
      <w:r w:rsidRPr="00880BDE">
        <w:rPr>
          <w:rFonts w:ascii="Arial" w:hAnsi="Arial" w:cs="Arial"/>
          <w:bCs/>
          <w:sz w:val="24"/>
        </w:rPr>
        <w:t>. There were no public comments.</w:t>
      </w:r>
      <w:r w:rsidR="000E7A34">
        <w:rPr>
          <w:rFonts w:ascii="Arial" w:hAnsi="Arial" w:cs="Arial"/>
          <w:bCs/>
          <w:sz w:val="24"/>
        </w:rPr>
        <w:t xml:space="preserve"> </w:t>
      </w:r>
      <w:r w:rsidRPr="00880BDE" w:rsidR="000E7A34">
        <w:rPr>
          <w:rFonts w:ascii="Arial" w:hAnsi="Arial" w:cs="Arial"/>
          <w:bCs/>
          <w:sz w:val="24"/>
        </w:rPr>
        <w:t xml:space="preserve">A </w:t>
      </w:r>
      <w:r w:rsidR="000E7A34">
        <w:rPr>
          <w:rFonts w:ascii="Arial" w:hAnsi="Arial" w:cs="Arial"/>
          <w:bCs/>
          <w:sz w:val="24"/>
        </w:rPr>
        <w:t>30</w:t>
      </w:r>
      <w:r w:rsidRPr="00880BDE" w:rsidR="000E7A34">
        <w:rPr>
          <w:rFonts w:ascii="Arial" w:hAnsi="Arial" w:cs="Arial"/>
          <w:bCs/>
          <w:sz w:val="24"/>
        </w:rPr>
        <w:t xml:space="preserve">-day Federal Register Notice was published in the </w:t>
      </w:r>
      <w:r w:rsidRPr="00E950EF" w:rsidR="000E7A34">
        <w:rPr>
          <w:rFonts w:ascii="Arial" w:hAnsi="Arial" w:cs="Arial"/>
          <w:bCs/>
          <w:sz w:val="24"/>
        </w:rPr>
        <w:t xml:space="preserve">Federal Register </w:t>
      </w:r>
      <w:r w:rsidRPr="00880BDE" w:rsidR="000E7A34">
        <w:rPr>
          <w:rFonts w:ascii="Arial" w:hAnsi="Arial" w:cs="Arial"/>
          <w:bCs/>
          <w:sz w:val="24"/>
        </w:rPr>
        <w:t xml:space="preserve">on </w:t>
      </w:r>
      <w:r w:rsidR="000E7A34">
        <w:rPr>
          <w:rFonts w:ascii="Arial" w:hAnsi="Arial" w:cs="Arial"/>
          <w:bCs/>
          <w:sz w:val="24"/>
        </w:rPr>
        <w:t>July</w:t>
      </w:r>
      <w:r w:rsidRPr="00323E38" w:rsidR="000E7A34">
        <w:rPr>
          <w:rFonts w:ascii="Arial" w:hAnsi="Arial" w:cs="Arial"/>
          <w:bCs/>
          <w:sz w:val="24"/>
        </w:rPr>
        <w:t xml:space="preserve"> 7, 2023, vol. 88, No</w:t>
      </w:r>
      <w:r w:rsidR="000E7A34">
        <w:rPr>
          <w:rFonts w:ascii="Arial" w:hAnsi="Arial" w:cs="Arial"/>
          <w:bCs/>
          <w:sz w:val="24"/>
        </w:rPr>
        <w:t>. 129</w:t>
      </w:r>
      <w:r w:rsidRPr="00323E38" w:rsidR="000E7A34">
        <w:rPr>
          <w:rFonts w:ascii="Arial" w:hAnsi="Arial" w:cs="Arial"/>
          <w:bCs/>
          <w:sz w:val="24"/>
        </w:rPr>
        <w:t xml:space="preserve">; pp. </w:t>
      </w:r>
      <w:r w:rsidRPr="00E950EF" w:rsidR="000E7A34">
        <w:rPr>
          <w:rFonts w:ascii="Arial" w:hAnsi="Arial" w:cs="Arial"/>
          <w:bCs/>
          <w:sz w:val="24"/>
        </w:rPr>
        <w:t>43360</w:t>
      </w:r>
      <w:r w:rsidRPr="00323E38" w:rsidR="000E7A34">
        <w:rPr>
          <w:rFonts w:ascii="Arial" w:hAnsi="Arial" w:cs="Arial"/>
          <w:bCs/>
          <w:sz w:val="24"/>
        </w:rPr>
        <w:t>-</w:t>
      </w:r>
      <w:r w:rsidRPr="00E950EF" w:rsidR="000E7A34">
        <w:rPr>
          <w:rFonts w:ascii="Arial" w:hAnsi="Arial" w:cs="Arial"/>
          <w:bCs/>
          <w:sz w:val="24"/>
        </w:rPr>
        <w:t xml:space="preserve"> 43361</w:t>
      </w:r>
    </w:p>
    <w:p w:rsidR="00DE3A45" w:rsidRPr="000E7A34" w:rsidP="000E7A34" w14:paraId="22E2A321" w14:textId="77777777">
      <w:pPr>
        <w:spacing w:before="120"/>
        <w:rPr>
          <w:rFonts w:ascii="Arial" w:hAnsi="Arial" w:cs="Arial"/>
          <w:b/>
          <w:sz w:val="28"/>
          <w:szCs w:val="28"/>
        </w:rPr>
      </w:pPr>
      <w:r w:rsidRPr="000E7A34">
        <w:rPr>
          <w:rFonts w:ascii="Arial" w:hAnsi="Arial" w:cs="Arial"/>
          <w:b/>
          <w:sz w:val="28"/>
          <w:szCs w:val="28"/>
        </w:rPr>
        <w:t>Section 8B:</w:t>
      </w:r>
    </w:p>
    <w:p w:rsidR="002D626C" w:rsidRPr="0078462F" w:rsidP="00E950EF" w14:paraId="1C166700" w14:textId="626C35B1">
      <w:pPr>
        <w:spacing w:before="120"/>
        <w:ind w:left="360"/>
        <w:rPr>
          <w:rFonts w:ascii="Arial" w:hAnsi="Arial" w:cs="Arial"/>
          <w:bCs/>
          <w:sz w:val="24"/>
        </w:rPr>
      </w:pPr>
      <w:r w:rsidRPr="006D16FB">
        <w:rPr>
          <w:rFonts w:ascii="Arial" w:hAnsi="Arial" w:cs="Arial"/>
          <w:bCs/>
          <w:sz w:val="24"/>
        </w:rPr>
        <w:t>In order to</w:t>
      </w:r>
      <w:r w:rsidRPr="006D16FB">
        <w:rPr>
          <w:rFonts w:ascii="Arial" w:hAnsi="Arial" w:cs="Arial"/>
          <w:bCs/>
          <w:sz w:val="24"/>
        </w:rPr>
        <w:t xml:space="preserve"> create a final set of performance measures that are useful for all program grantees, a set of measures was vetted to </w:t>
      </w:r>
      <w:r w:rsidR="00DA1B0D">
        <w:rPr>
          <w:rFonts w:ascii="Arial" w:hAnsi="Arial" w:cs="Arial"/>
          <w:bCs/>
          <w:sz w:val="24"/>
        </w:rPr>
        <w:t>three</w:t>
      </w:r>
      <w:r w:rsidRPr="006D16FB">
        <w:rPr>
          <w:rFonts w:ascii="Arial" w:hAnsi="Arial" w:cs="Arial"/>
          <w:bCs/>
          <w:sz w:val="24"/>
        </w:rPr>
        <w:t xml:space="preserve"> </w:t>
      </w:r>
      <w:r w:rsidR="0018044F">
        <w:rPr>
          <w:rFonts w:ascii="Arial" w:hAnsi="Arial" w:cs="Arial"/>
          <w:bCs/>
          <w:sz w:val="24"/>
        </w:rPr>
        <w:t xml:space="preserve">individuals in </w:t>
      </w:r>
      <w:r w:rsidRPr="006D16FB">
        <w:rPr>
          <w:rFonts w:ascii="Arial" w:hAnsi="Arial" w:cs="Arial"/>
          <w:bCs/>
          <w:sz w:val="24"/>
        </w:rPr>
        <w:t xml:space="preserve">participating grantee </w:t>
      </w:r>
      <w:r w:rsidRPr="006D16FB">
        <w:rPr>
          <w:rFonts w:ascii="Arial" w:hAnsi="Arial" w:cs="Arial"/>
          <w:bCs/>
          <w:sz w:val="24"/>
        </w:rPr>
        <w:t xml:space="preserve">organizations in </w:t>
      </w:r>
      <w:r w:rsidR="00DA1B0D">
        <w:rPr>
          <w:rFonts w:ascii="Arial" w:hAnsi="Arial" w:cs="Arial"/>
          <w:bCs/>
          <w:sz w:val="24"/>
        </w:rPr>
        <w:t xml:space="preserve">late 2022 and early </w:t>
      </w:r>
      <w:r>
        <w:rPr>
          <w:rFonts w:ascii="Arial" w:hAnsi="Arial" w:cs="Arial"/>
          <w:bCs/>
          <w:sz w:val="24"/>
        </w:rPr>
        <w:t>2023</w:t>
      </w:r>
      <w:r w:rsidRPr="006D16FB">
        <w:rPr>
          <w:rFonts w:ascii="Arial" w:hAnsi="Arial" w:cs="Arial"/>
          <w:bCs/>
          <w:sz w:val="24"/>
        </w:rPr>
        <w:t xml:space="preserve">. </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EE4C00" w:rsidP="00EE4C00" w14:paraId="22E2A32D" w14:textId="2EF49A78">
      <w:pPr>
        <w:spacing w:before="120"/>
        <w:ind w:firstLine="360"/>
        <w:rPr>
          <w:rFonts w:ascii="Arial" w:hAnsi="Arial" w:cs="Arial"/>
          <w:bCs/>
          <w:sz w:val="24"/>
        </w:rPr>
      </w:pPr>
      <w:r w:rsidRPr="00EE4C00">
        <w:rPr>
          <w:rFonts w:ascii="Arial" w:hAnsi="Arial" w:cs="Arial"/>
          <w:bCs/>
          <w:sz w:val="24"/>
        </w:rPr>
        <w:t xml:space="preserve">Respondents will not receive </w:t>
      </w:r>
      <w:r w:rsidRPr="00EE4C00" w:rsidR="008B04CA">
        <w:rPr>
          <w:rFonts w:ascii="Arial" w:hAnsi="Arial" w:cs="Arial"/>
          <w:bCs/>
          <w:sz w:val="24"/>
        </w:rPr>
        <w:t xml:space="preserve">any </w:t>
      </w:r>
      <w:r w:rsidRPr="00EE4C00">
        <w:rPr>
          <w:rFonts w:ascii="Arial" w:hAnsi="Arial" w:cs="Arial"/>
          <w:bCs/>
          <w:sz w:val="24"/>
        </w:rPr>
        <w:t>payment</w:t>
      </w:r>
      <w:r w:rsidRPr="00EE4C00" w:rsidR="008B04CA">
        <w:rPr>
          <w:rFonts w:ascii="Arial" w:hAnsi="Arial" w:cs="Arial"/>
          <w:bCs/>
          <w:sz w:val="24"/>
        </w:rPr>
        <w:t>s</w:t>
      </w:r>
      <w:r w:rsidRPr="00EE4C00">
        <w:rPr>
          <w:rFonts w:ascii="Arial" w:hAnsi="Arial" w:cs="Arial"/>
          <w:bCs/>
          <w:sz w:val="24"/>
        </w:rPr>
        <w:t xml:space="preserve"> or gifts</w:t>
      </w:r>
      <w:r w:rsidRPr="00EE4C00" w:rsidR="00EE4C00">
        <w:rPr>
          <w:rFonts w:ascii="Arial" w:hAnsi="Arial" w:cs="Arial"/>
          <w:bCs/>
          <w:sz w:val="24"/>
        </w:rPr>
        <w:t>.</w:t>
      </w:r>
    </w:p>
    <w:p w:rsidR="009B3794" w:rsidRPr="007253D4"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7253D4" w:rsidRPr="007253D4" w:rsidP="007253D4" w14:paraId="5A082E27" w14:textId="1F2C5EED">
      <w:pPr>
        <w:spacing w:before="240"/>
        <w:ind w:left="360"/>
        <w:rPr>
          <w:rFonts w:ascii="Arial" w:hAnsi="Arial" w:cs="Arial"/>
          <w:bCs/>
          <w:sz w:val="24"/>
        </w:rPr>
      </w:pPr>
      <w:r w:rsidRPr="007253D4">
        <w:rPr>
          <w:rFonts w:ascii="Arial" w:hAnsi="Arial" w:cs="Arial"/>
          <w:bCs/>
          <w:sz w:val="24"/>
        </w:rPr>
        <w:t>Data will be kept private to the extent allowed by law. The data system does not involve the reporting of information about identifiable individuals; therefore, the Privacy Act is not applicable to this activity. The proposed performance measures will be used only in aggregate data for program activities.</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9B3794" w:rsidRPr="00C45431" w:rsidP="003B177C" w14:paraId="22E2A33A" w14:textId="6F9B2FB7">
      <w:pPr>
        <w:widowControl/>
        <w:spacing w:before="120"/>
        <w:ind w:left="360"/>
        <w:rPr>
          <w:rFonts w:ascii="Arial" w:hAnsi="Arial" w:cs="Arial"/>
          <w:sz w:val="24"/>
        </w:rPr>
      </w:pPr>
      <w:r w:rsidRPr="003B177C">
        <w:rPr>
          <w:rFonts w:ascii="Arial" w:hAnsi="Arial" w:cs="Arial"/>
          <w:sz w:val="24"/>
        </w:rPr>
        <w:t>There are no sensitive questions.</w:t>
      </w:r>
      <w:r>
        <w:rPr>
          <w:rFonts w:ascii="Arial" w:hAnsi="Arial" w:cs="Arial"/>
          <w:sz w:val="24"/>
        </w:rPr>
        <w:t xml:space="preserve"> Race and ethnicity </w:t>
      </w:r>
      <w:r w:rsidR="003E7F4F">
        <w:rPr>
          <w:rFonts w:ascii="Arial" w:hAnsi="Arial" w:cs="Arial"/>
          <w:sz w:val="24"/>
        </w:rPr>
        <w:t>are collected at an aggregate level.</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P="0018044F" w14:paraId="22E2A33D" w14:textId="42456213">
      <w:pPr>
        <w:widowControl/>
        <w:spacing w:before="120"/>
        <w:ind w:left="360"/>
        <w:rPr>
          <w:rFonts w:ascii="Arial" w:hAnsi="Arial" w:cs="Arial"/>
          <w:sz w:val="24"/>
        </w:rPr>
      </w:pPr>
      <w:r w:rsidRPr="00C45431">
        <w:rPr>
          <w:rFonts w:ascii="Arial" w:hAnsi="Arial" w:cs="Arial"/>
          <w:sz w:val="24"/>
        </w:rPr>
        <w:t xml:space="preserve">This section summarizes the total burden hours for this information collection in addition to the cost associated with those hours. </w:t>
      </w:r>
      <w:r w:rsidR="002F4350">
        <w:rPr>
          <w:rFonts w:ascii="Arial" w:hAnsi="Arial" w:cs="Arial"/>
          <w:sz w:val="24"/>
        </w:rPr>
        <w:t xml:space="preserve">The total burden hours were estimated by </w:t>
      </w:r>
      <w:r w:rsidR="00096D0E">
        <w:rPr>
          <w:rFonts w:ascii="Arial" w:hAnsi="Arial" w:cs="Arial"/>
          <w:sz w:val="24"/>
        </w:rPr>
        <w:t xml:space="preserve">reaching out to three RMOMS </w:t>
      </w:r>
      <w:r w:rsidR="00A5383B">
        <w:rPr>
          <w:rFonts w:ascii="Arial" w:hAnsi="Arial" w:cs="Arial"/>
          <w:sz w:val="24"/>
        </w:rPr>
        <w:t>Program grantees</w:t>
      </w:r>
      <w:r w:rsidR="00096D0E">
        <w:rPr>
          <w:rFonts w:ascii="Arial" w:hAnsi="Arial" w:cs="Arial"/>
          <w:sz w:val="24"/>
        </w:rPr>
        <w:t xml:space="preserve"> who had </w:t>
      </w:r>
      <w:r w:rsidR="00A5383B">
        <w:rPr>
          <w:rFonts w:ascii="Arial" w:hAnsi="Arial" w:cs="Arial"/>
          <w:sz w:val="24"/>
        </w:rPr>
        <w:t xml:space="preserve">responded to the </w:t>
      </w:r>
      <w:r w:rsidRPr="00B947A6" w:rsidR="00B947A6">
        <w:rPr>
          <w:rFonts w:ascii="Arial" w:hAnsi="Arial" w:cs="Arial"/>
          <w:sz w:val="24"/>
        </w:rPr>
        <w:t>Rural Maternity and Obstetrics Management Strategies Program Performance Improvement and Measurement System</w:t>
      </w:r>
      <w:r w:rsidR="00B947A6">
        <w:rPr>
          <w:rFonts w:ascii="Arial" w:hAnsi="Arial" w:cs="Arial"/>
          <w:sz w:val="24"/>
        </w:rPr>
        <w:t xml:space="preserve"> in the last year. The three grantees provided an estimate of the time spent on completing the form</w:t>
      </w:r>
      <w:r w:rsidR="00D846E2">
        <w:rPr>
          <w:rFonts w:ascii="Arial" w:hAnsi="Arial" w:cs="Arial"/>
          <w:sz w:val="24"/>
        </w:rPr>
        <w:t xml:space="preserve">, and an average of the three estimates </w:t>
      </w:r>
      <w:r w:rsidR="00D846E2">
        <w:rPr>
          <w:rFonts w:ascii="Arial" w:hAnsi="Arial" w:cs="Arial"/>
          <w:sz w:val="24"/>
        </w:rPr>
        <w:t>was calculated</w:t>
      </w:r>
      <w:r w:rsidR="00D846E2">
        <w:rPr>
          <w:rFonts w:ascii="Arial" w:hAnsi="Arial" w:cs="Arial"/>
          <w:sz w:val="24"/>
        </w:rPr>
        <w:t xml:space="preserve"> to determine the Average Burden per Response (in hours) of 9 hours, as shown in the table below.</w:t>
      </w:r>
      <w:r w:rsidR="0018044F">
        <w:rPr>
          <w:rFonts w:ascii="Arial" w:hAnsi="Arial" w:cs="Arial"/>
          <w:sz w:val="24"/>
        </w:rPr>
        <w:t xml:space="preserve">  Data </w:t>
      </w:r>
      <w:r w:rsidR="0018044F">
        <w:rPr>
          <w:rFonts w:ascii="Arial" w:hAnsi="Arial" w:cs="Arial"/>
          <w:sz w:val="24"/>
        </w:rPr>
        <w:t>is collected</w:t>
      </w:r>
      <w:r w:rsidR="0018044F">
        <w:rPr>
          <w:rFonts w:ascii="Arial" w:hAnsi="Arial" w:cs="Arial"/>
          <w:sz w:val="24"/>
        </w:rPr>
        <w:t xml:space="preserve"> annually. </w:t>
      </w:r>
    </w:p>
    <w:p w:rsidR="00F557FE" w:rsidP="00BF4C3A" w14:paraId="081C0BEC" w14:textId="0292E021">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p w:rsidR="00F557FE" w:rsidP="00BF4C3A" w14:paraId="76C98CE4" w14:textId="77777777">
      <w:pPr>
        <w:widowControl/>
        <w:tabs>
          <w:tab w:val="num" w:pos="1080"/>
        </w:tabs>
        <w:spacing w:before="120"/>
        <w:rPr>
          <w:rFonts w:ascii="Arial" w:hAnsi="Arial" w:cs="Arial"/>
          <w:sz w:val="24"/>
        </w:rPr>
      </w:pPr>
    </w:p>
    <w:tbl>
      <w:tblPr>
        <w:tblW w:w="9484" w:type="dxa"/>
        <w:tblInd w:w="97" w:type="dxa"/>
        <w:tblLayout w:type="fixed"/>
        <w:tblCellMar>
          <w:left w:w="97" w:type="dxa"/>
          <w:right w:w="97" w:type="dxa"/>
        </w:tblCellMar>
        <w:tblLook w:val="0000"/>
      </w:tblPr>
      <w:tblGrid>
        <w:gridCol w:w="2014"/>
        <w:gridCol w:w="1520"/>
        <w:gridCol w:w="1720"/>
        <w:gridCol w:w="1440"/>
        <w:gridCol w:w="1350"/>
        <w:gridCol w:w="1440"/>
      </w:tblGrid>
      <w:tr w14:paraId="12B13A0B" w14:textId="77777777" w:rsidTr="0018044F">
        <w:tblPrEx>
          <w:tblW w:w="9484" w:type="dxa"/>
          <w:tblInd w:w="97" w:type="dxa"/>
          <w:tblLayout w:type="fixed"/>
          <w:tblCellMar>
            <w:left w:w="97" w:type="dxa"/>
            <w:right w:w="97" w:type="dxa"/>
          </w:tblCellMar>
          <w:tblLook w:val="0000"/>
        </w:tblPrEx>
        <w:tc>
          <w:tcPr>
            <w:tcW w:w="2014"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1E2995D2"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F557FE" w:rsidRPr="00BF4C3A" w:rsidP="009D559F" w14:paraId="3C656664"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r w:rsidRPr="00BF4C3A">
              <w:rPr>
                <w:rFonts w:ascii="Arial" w:hAnsi="Arial" w:cs="Arial"/>
                <w:sz w:val="22"/>
                <w:szCs w:val="22"/>
              </w:rPr>
              <w:t>Form Name</w:t>
            </w:r>
          </w:p>
        </w:tc>
        <w:tc>
          <w:tcPr>
            <w:tcW w:w="1520"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1915EF09" w14:textId="77777777">
            <w:pPr>
              <w:pStyle w:val="BodyText"/>
              <w:widowControl/>
              <w:jc w:val="center"/>
              <w:rPr>
                <w:rFonts w:ascii="Arial" w:hAnsi="Arial" w:cs="Arial"/>
                <w:sz w:val="22"/>
                <w:szCs w:val="22"/>
              </w:rPr>
            </w:pPr>
            <w:r w:rsidRPr="00BF4C3A">
              <w:rPr>
                <w:rFonts w:ascii="Arial" w:hAnsi="Arial" w:cs="Arial"/>
                <w:sz w:val="22"/>
                <w:szCs w:val="22"/>
              </w:rPr>
              <w:t>Number of Respondents</w:t>
            </w:r>
          </w:p>
        </w:tc>
        <w:tc>
          <w:tcPr>
            <w:tcW w:w="1720"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797FE48A" w14:textId="77777777">
            <w:pPr>
              <w:pStyle w:val="BodyText"/>
              <w:widowControl/>
              <w:jc w:val="center"/>
              <w:rPr>
                <w:rFonts w:ascii="Arial" w:hAnsi="Arial" w:cs="Arial"/>
                <w:sz w:val="22"/>
                <w:szCs w:val="22"/>
              </w:rPr>
            </w:pPr>
          </w:p>
          <w:p w:rsidR="00F557FE" w:rsidRPr="00BF4C3A" w:rsidP="009D559F" w14:paraId="3A6F6BC8" w14:textId="77777777">
            <w:pPr>
              <w:pStyle w:val="BodyText"/>
              <w:widowControl/>
              <w:jc w:val="center"/>
              <w:rPr>
                <w:rFonts w:ascii="Arial" w:hAnsi="Arial" w:cs="Arial"/>
                <w:sz w:val="22"/>
                <w:szCs w:val="22"/>
              </w:rPr>
            </w:pPr>
            <w:r w:rsidRPr="00BF4C3A">
              <w:rPr>
                <w:rFonts w:ascii="Arial" w:hAnsi="Arial" w:cs="Arial"/>
                <w:sz w:val="22"/>
                <w:szCs w:val="22"/>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5F86B5FD" w14:textId="77777777">
            <w:pPr>
              <w:pStyle w:val="BodyText"/>
              <w:widowControl/>
              <w:jc w:val="center"/>
              <w:rPr>
                <w:rFonts w:ascii="Arial" w:hAnsi="Arial" w:cs="Arial"/>
                <w:sz w:val="22"/>
                <w:szCs w:val="22"/>
              </w:rPr>
            </w:pPr>
          </w:p>
          <w:p w:rsidR="00F557FE" w:rsidRPr="00BF4C3A" w:rsidP="009D559F" w14:paraId="4E009F0C" w14:textId="77777777">
            <w:pPr>
              <w:pStyle w:val="BodyText"/>
              <w:widowControl/>
              <w:jc w:val="center"/>
              <w:rPr>
                <w:rFonts w:ascii="Arial" w:hAnsi="Arial" w:cs="Arial"/>
                <w:sz w:val="22"/>
                <w:szCs w:val="22"/>
              </w:rPr>
            </w:pPr>
            <w:r w:rsidRPr="00BF4C3A">
              <w:rPr>
                <w:rFonts w:ascii="Arial" w:hAnsi="Arial" w:cs="Arial"/>
                <w:sz w:val="22"/>
                <w:szCs w:val="22"/>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08E27E08" w14:textId="77777777">
            <w:pPr>
              <w:pStyle w:val="BodyText"/>
              <w:widowControl/>
              <w:jc w:val="center"/>
              <w:rPr>
                <w:rFonts w:ascii="Arial" w:hAnsi="Arial" w:cs="Arial"/>
                <w:sz w:val="22"/>
                <w:szCs w:val="22"/>
              </w:rPr>
            </w:pPr>
          </w:p>
          <w:p w:rsidR="00F557FE" w:rsidRPr="00BF4C3A" w:rsidP="009D559F" w14:paraId="7409B73E" w14:textId="77777777">
            <w:pPr>
              <w:pStyle w:val="BodyText"/>
              <w:widowControl/>
              <w:jc w:val="center"/>
              <w:rPr>
                <w:rFonts w:ascii="Arial" w:hAnsi="Arial" w:cs="Arial"/>
                <w:sz w:val="22"/>
                <w:szCs w:val="22"/>
              </w:rPr>
            </w:pPr>
            <w:r w:rsidRPr="00BF4C3A">
              <w:rPr>
                <w:rFonts w:ascii="Arial" w:hAnsi="Arial" w:cs="Arial"/>
                <w:sz w:val="22"/>
                <w:szCs w:val="22"/>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F557FE" w:rsidRPr="00BF4C3A" w:rsidP="009D559F" w14:paraId="33C7CA86" w14:textId="77777777">
            <w:pPr>
              <w:pStyle w:val="BodyText"/>
              <w:widowControl/>
              <w:jc w:val="center"/>
              <w:rPr>
                <w:rFonts w:ascii="Arial" w:hAnsi="Arial" w:cs="Arial"/>
                <w:sz w:val="22"/>
                <w:szCs w:val="22"/>
              </w:rPr>
            </w:pPr>
            <w:r w:rsidRPr="00BF4C3A">
              <w:rPr>
                <w:rFonts w:ascii="Arial" w:hAnsi="Arial" w:cs="Arial"/>
                <w:sz w:val="22"/>
                <w:szCs w:val="22"/>
              </w:rPr>
              <w:t>Total Burden Hours</w:t>
            </w:r>
          </w:p>
        </w:tc>
      </w:tr>
      <w:tr w14:paraId="21BC9847" w14:textId="77777777" w:rsidTr="0018044F">
        <w:tblPrEx>
          <w:tblW w:w="9484" w:type="dxa"/>
          <w:tblInd w:w="97" w:type="dxa"/>
          <w:tblLayout w:type="fixed"/>
          <w:tblCellMar>
            <w:left w:w="97" w:type="dxa"/>
            <w:right w:w="97" w:type="dxa"/>
          </w:tblCellMar>
          <w:tblLook w:val="0000"/>
        </w:tblPrEx>
        <w:tc>
          <w:tcPr>
            <w:tcW w:w="2014" w:type="dxa"/>
            <w:tcBorders>
              <w:top w:val="single" w:sz="2" w:space="0" w:color="auto"/>
              <w:left w:val="single" w:sz="2" w:space="0" w:color="auto"/>
              <w:bottom w:val="single" w:sz="2" w:space="0" w:color="auto"/>
              <w:right w:val="single" w:sz="2" w:space="0" w:color="auto"/>
            </w:tcBorders>
          </w:tcPr>
          <w:p w:rsidR="00F557FE" w:rsidRPr="00BF4C3A" w:rsidP="009D559F" w14:paraId="340C76C9" w14:textId="77777777">
            <w:pPr>
              <w:rPr>
                <w:rFonts w:ascii="Arial" w:hAnsi="Arial" w:cs="Arial"/>
                <w:sz w:val="22"/>
                <w:szCs w:val="22"/>
              </w:rPr>
            </w:pPr>
            <w:r w:rsidRPr="00BF4C3A">
              <w:rPr>
                <w:rFonts w:ascii="Arial" w:hAnsi="Arial" w:cs="Arial"/>
                <w:sz w:val="22"/>
                <w:szCs w:val="22"/>
              </w:rPr>
              <w:t>Rural Maternity and Obstetrics Management Strategies Program Performance Improvement and Measurement System</w:t>
            </w:r>
          </w:p>
        </w:tc>
        <w:tc>
          <w:tcPr>
            <w:tcW w:w="152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5D35DF19" w14:textId="77777777">
            <w:pPr>
              <w:jc w:val="right"/>
              <w:rPr>
                <w:rFonts w:ascii="Arial" w:hAnsi="Arial" w:cs="Arial"/>
                <w:sz w:val="22"/>
                <w:szCs w:val="22"/>
              </w:rPr>
            </w:pPr>
            <w:r w:rsidRPr="00BF4C3A">
              <w:rPr>
                <w:rFonts w:ascii="Arial" w:hAnsi="Arial" w:cs="Arial"/>
                <w:sz w:val="22"/>
                <w:szCs w:val="22"/>
                <w:lang w:val="fr-FR"/>
              </w:rPr>
              <w:t>10</w:t>
            </w:r>
          </w:p>
        </w:tc>
        <w:tc>
          <w:tcPr>
            <w:tcW w:w="172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76BCB95D" w14:textId="77777777">
            <w:pPr>
              <w:jc w:val="right"/>
              <w:rPr>
                <w:rFonts w:ascii="Arial" w:hAnsi="Arial" w:cs="Arial"/>
                <w:sz w:val="22"/>
                <w:szCs w:val="22"/>
              </w:rPr>
            </w:pPr>
            <w:r w:rsidRPr="00BF4C3A">
              <w:rPr>
                <w:rFonts w:ascii="Arial" w:hAnsi="Arial" w:cs="Arial"/>
                <w:sz w:val="22"/>
                <w:szCs w:val="22"/>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41202B95" w14:textId="77777777">
            <w:pPr>
              <w:jc w:val="right"/>
              <w:rPr>
                <w:rFonts w:ascii="Arial" w:hAnsi="Arial" w:cs="Arial"/>
                <w:sz w:val="22"/>
                <w:szCs w:val="22"/>
              </w:rPr>
            </w:pPr>
            <w:r w:rsidRPr="00BF4C3A">
              <w:rPr>
                <w:rFonts w:ascii="Arial" w:hAnsi="Arial" w:cs="Arial"/>
                <w:sz w:val="22"/>
                <w:szCs w:val="22"/>
                <w:lang w:val="fr-FR"/>
              </w:rPr>
              <w:t>10</w:t>
            </w:r>
          </w:p>
        </w:tc>
        <w:tc>
          <w:tcPr>
            <w:tcW w:w="135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0A34C448" w14:textId="77777777">
            <w:pPr>
              <w:jc w:val="right"/>
              <w:rPr>
                <w:rFonts w:ascii="Arial" w:hAnsi="Arial" w:cs="Arial"/>
                <w:sz w:val="22"/>
                <w:szCs w:val="22"/>
              </w:rPr>
            </w:pPr>
            <w:r w:rsidRPr="00BF4C3A">
              <w:rPr>
                <w:rFonts w:ascii="Arial" w:hAnsi="Arial" w:cs="Arial"/>
                <w:sz w:val="22"/>
                <w:szCs w:val="22"/>
                <w:lang w:val="fr-FR"/>
              </w:rPr>
              <w:t>9</w:t>
            </w:r>
          </w:p>
        </w:tc>
        <w:tc>
          <w:tcPr>
            <w:tcW w:w="144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255AA6C5" w14:textId="77777777">
            <w:pPr>
              <w:jc w:val="right"/>
              <w:rPr>
                <w:rFonts w:ascii="Arial" w:hAnsi="Arial" w:cs="Arial"/>
                <w:sz w:val="22"/>
                <w:szCs w:val="22"/>
              </w:rPr>
            </w:pPr>
            <w:r w:rsidRPr="00BF4C3A">
              <w:rPr>
                <w:rFonts w:ascii="Arial" w:hAnsi="Arial" w:cs="Arial"/>
                <w:sz w:val="22"/>
                <w:szCs w:val="22"/>
                <w:lang w:val="fr-FR"/>
              </w:rPr>
              <w:t>90</w:t>
            </w:r>
          </w:p>
        </w:tc>
      </w:tr>
      <w:tr w14:paraId="04A902A0" w14:textId="77777777" w:rsidTr="0018044F">
        <w:tblPrEx>
          <w:tblW w:w="9484" w:type="dxa"/>
          <w:tblInd w:w="97" w:type="dxa"/>
          <w:tblLayout w:type="fixed"/>
          <w:tblCellMar>
            <w:left w:w="97" w:type="dxa"/>
            <w:right w:w="97" w:type="dxa"/>
          </w:tblCellMar>
          <w:tblLook w:val="0000"/>
        </w:tblPrEx>
        <w:tc>
          <w:tcPr>
            <w:tcW w:w="2014" w:type="dxa"/>
            <w:tcBorders>
              <w:top w:val="single" w:sz="2" w:space="0" w:color="auto"/>
              <w:left w:val="single" w:sz="2" w:space="0" w:color="auto"/>
              <w:bottom w:val="single" w:sz="2" w:space="0" w:color="auto"/>
              <w:right w:val="single" w:sz="2" w:space="0" w:color="auto"/>
            </w:tcBorders>
          </w:tcPr>
          <w:p w:rsidR="00F557FE" w:rsidRPr="00BF4C3A" w:rsidP="009D559F" w14:paraId="5B2AA4EC" w14:textId="77777777">
            <w:pPr>
              <w:rPr>
                <w:rFonts w:ascii="Arial" w:hAnsi="Arial" w:cs="Arial"/>
                <w:sz w:val="22"/>
                <w:szCs w:val="22"/>
              </w:rPr>
            </w:pPr>
            <w:r w:rsidRPr="00BF4C3A">
              <w:rPr>
                <w:rFonts w:ascii="Arial" w:hAnsi="Arial" w:cs="Arial"/>
                <w:sz w:val="22"/>
                <w:szCs w:val="22"/>
              </w:rPr>
              <w:t>Total</w:t>
            </w:r>
          </w:p>
        </w:tc>
        <w:tc>
          <w:tcPr>
            <w:tcW w:w="1520" w:type="dxa"/>
            <w:tcBorders>
              <w:top w:val="single" w:sz="2" w:space="0" w:color="auto"/>
              <w:left w:val="single" w:sz="2" w:space="0" w:color="auto"/>
              <w:bottom w:val="single" w:sz="2" w:space="0" w:color="auto"/>
              <w:right w:val="single" w:sz="2" w:space="0" w:color="auto"/>
            </w:tcBorders>
          </w:tcPr>
          <w:p w:rsidR="00F557FE" w:rsidRPr="00BF4C3A" w:rsidP="009D559F" w14:paraId="0E05D65E" w14:textId="77777777">
            <w:pPr>
              <w:jc w:val="right"/>
              <w:rPr>
                <w:rFonts w:ascii="Arial" w:hAnsi="Arial" w:cs="Arial"/>
                <w:sz w:val="22"/>
                <w:szCs w:val="22"/>
              </w:rPr>
            </w:pPr>
            <w:r w:rsidRPr="00BF4C3A">
              <w:rPr>
                <w:rFonts w:ascii="Arial" w:hAnsi="Arial" w:cs="Arial"/>
                <w:sz w:val="22"/>
                <w:szCs w:val="22"/>
                <w:lang w:val="fr-FR"/>
              </w:rPr>
              <w:t>10</w:t>
            </w:r>
          </w:p>
        </w:tc>
        <w:tc>
          <w:tcPr>
            <w:tcW w:w="1720" w:type="dxa"/>
            <w:tcBorders>
              <w:top w:val="single" w:sz="2" w:space="0" w:color="auto"/>
              <w:left w:val="single" w:sz="2" w:space="0" w:color="auto"/>
              <w:bottom w:val="single" w:sz="2" w:space="0" w:color="auto"/>
              <w:right w:val="single" w:sz="2" w:space="0" w:color="auto"/>
            </w:tcBorders>
          </w:tcPr>
          <w:p w:rsidR="00F557FE" w:rsidRPr="00BF4C3A" w:rsidP="009D559F" w14:paraId="10FD8574" w14:textId="77777777">
            <w:pPr>
              <w:jc w:val="right"/>
              <w:rPr>
                <w:rFonts w:ascii="Arial" w:hAnsi="Arial" w:cs="Arial"/>
                <w:sz w:val="22"/>
                <w:szCs w:val="22"/>
              </w:rPr>
            </w:pPr>
          </w:p>
        </w:tc>
        <w:tc>
          <w:tcPr>
            <w:tcW w:w="1440" w:type="dxa"/>
            <w:tcBorders>
              <w:top w:val="single" w:sz="2" w:space="0" w:color="auto"/>
              <w:left w:val="single" w:sz="2" w:space="0" w:color="auto"/>
              <w:bottom w:val="single" w:sz="2" w:space="0" w:color="auto"/>
              <w:right w:val="single" w:sz="2" w:space="0" w:color="auto"/>
            </w:tcBorders>
          </w:tcPr>
          <w:p w:rsidR="00F557FE" w:rsidRPr="00BF4C3A" w:rsidP="009D559F" w14:paraId="68F57A8C" w14:textId="77777777">
            <w:pPr>
              <w:jc w:val="right"/>
              <w:rPr>
                <w:rFonts w:ascii="Arial" w:hAnsi="Arial" w:cs="Arial"/>
                <w:sz w:val="22"/>
                <w:szCs w:val="22"/>
              </w:rPr>
            </w:pPr>
            <w:r w:rsidRPr="00BF4C3A">
              <w:rPr>
                <w:rFonts w:ascii="Arial" w:hAnsi="Arial" w:cs="Arial"/>
                <w:sz w:val="22"/>
                <w:szCs w:val="22"/>
                <w:lang w:val="fr-FR"/>
              </w:rPr>
              <w:t>10</w:t>
            </w:r>
          </w:p>
        </w:tc>
        <w:tc>
          <w:tcPr>
            <w:tcW w:w="1350" w:type="dxa"/>
            <w:tcBorders>
              <w:top w:val="single" w:sz="2" w:space="0" w:color="auto"/>
              <w:left w:val="single" w:sz="2" w:space="0" w:color="auto"/>
              <w:bottom w:val="single" w:sz="2" w:space="0" w:color="auto"/>
              <w:right w:val="single" w:sz="2" w:space="0" w:color="auto"/>
            </w:tcBorders>
          </w:tcPr>
          <w:p w:rsidR="00F557FE" w:rsidRPr="00BF4C3A" w:rsidP="009D559F" w14:paraId="2C6B2AAC" w14:textId="77777777">
            <w:pPr>
              <w:jc w:val="right"/>
              <w:rPr>
                <w:rFonts w:ascii="Arial" w:hAnsi="Arial" w:cs="Arial"/>
                <w:sz w:val="22"/>
                <w:szCs w:val="22"/>
              </w:rPr>
            </w:pPr>
          </w:p>
        </w:tc>
        <w:tc>
          <w:tcPr>
            <w:tcW w:w="1440" w:type="dxa"/>
            <w:tcBorders>
              <w:top w:val="single" w:sz="2" w:space="0" w:color="auto"/>
              <w:left w:val="single" w:sz="2" w:space="0" w:color="auto"/>
              <w:bottom w:val="single" w:sz="2" w:space="0" w:color="auto"/>
              <w:right w:val="single" w:sz="2" w:space="0" w:color="auto"/>
            </w:tcBorders>
            <w:vAlign w:val="center"/>
          </w:tcPr>
          <w:p w:rsidR="00F557FE" w:rsidRPr="00BF4C3A" w:rsidP="009D559F" w14:paraId="2650CBD9" w14:textId="77777777">
            <w:pPr>
              <w:jc w:val="right"/>
              <w:rPr>
                <w:rFonts w:ascii="Arial" w:hAnsi="Arial" w:cs="Arial"/>
                <w:sz w:val="22"/>
                <w:szCs w:val="22"/>
              </w:rPr>
            </w:pPr>
            <w:r w:rsidRPr="00BF4C3A">
              <w:rPr>
                <w:rFonts w:ascii="Arial" w:hAnsi="Arial" w:cs="Arial"/>
                <w:sz w:val="22"/>
                <w:szCs w:val="22"/>
                <w:lang w:val="fr-FR"/>
              </w:rPr>
              <w:t>90</w:t>
            </w:r>
          </w:p>
        </w:tc>
      </w:tr>
    </w:tbl>
    <w:p w:rsidR="007763FC" w:rsidRPr="0018044F" w:rsidP="007763FC" w14:paraId="28711EE9" w14:textId="363EDF8F">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w:t>
      </w:r>
      <w:r w:rsidR="0018044F">
        <w:rPr>
          <w:rFonts w:ascii="Arial" w:hAnsi="Arial" w:cs="Arial"/>
          <w:sz w:val="28"/>
          <w:szCs w:val="28"/>
        </w:rPr>
        <w:t xml:space="preserve"> </w:t>
      </w:r>
      <w:r w:rsidRPr="00C45431">
        <w:rPr>
          <w:rFonts w:ascii="Arial" w:hAnsi="Arial" w:cs="Arial"/>
          <w:b/>
          <w:sz w:val="24"/>
        </w:rPr>
        <w:t>Estimated Annualized Burden Costs</w:t>
      </w:r>
    </w:p>
    <w:p w:rsidR="007E0803" w:rsidRPr="002558C8" w:rsidP="0018044F" w14:paraId="70A8B201" w14:textId="54AC1B4E">
      <w:pPr>
        <w:widowControl/>
        <w:spacing w:before="120"/>
        <w:ind w:left="360"/>
        <w:rPr>
          <w:rFonts w:ascii="Arial" w:hAnsi="Arial" w:cs="Arial"/>
          <w:bCs/>
          <w:sz w:val="24"/>
        </w:rPr>
      </w:pPr>
      <w:r>
        <w:rPr>
          <w:rFonts w:ascii="Arial" w:hAnsi="Arial" w:cs="Arial"/>
          <w:bCs/>
          <w:sz w:val="24"/>
        </w:rPr>
        <w:t xml:space="preserve">The person completing the data collection is the Project Director.  </w:t>
      </w:r>
      <w:r w:rsidR="0018044F">
        <w:rPr>
          <w:rFonts w:ascii="Arial" w:hAnsi="Arial" w:cs="Arial"/>
          <w:bCs/>
          <w:sz w:val="24"/>
        </w:rPr>
        <w:t>T</w:t>
      </w:r>
      <w:r w:rsidRPr="0018044F" w:rsidR="0018044F">
        <w:rPr>
          <w:rFonts w:ascii="Arial" w:hAnsi="Arial" w:cs="Arial"/>
          <w:bCs/>
          <w:sz w:val="24"/>
        </w:rPr>
        <w:t xml:space="preserve">he person completing the collection would fall under the Bureau of Labor Statistics (BLS) category, “Medical and Health Services Manager.”  </w:t>
      </w:r>
      <w:r>
        <w:rPr>
          <w:rFonts w:ascii="Arial" w:hAnsi="Arial" w:cs="Arial"/>
          <w:bCs/>
          <w:sz w:val="24"/>
        </w:rPr>
        <w:t xml:space="preserve">The mean hourly rate is used, as opposed to adjusting for locality, since award recipients are spread across the country. </w:t>
      </w:r>
    </w:p>
    <w:p w:rsidR="00D96DB9" w:rsidP="00CA3DA6" w14:paraId="1FC1C12A" w14:textId="101EBA5E">
      <w:pPr>
        <w:widowControl/>
        <w:spacing w:before="120"/>
        <w:ind w:left="270"/>
        <w:rPr>
          <w:rFonts w:ascii="Arial" w:hAnsi="Arial" w:cs="Arial"/>
          <w:b/>
          <w:sz w:val="24"/>
        </w:rPr>
      </w:pPr>
    </w:p>
    <w:tbl>
      <w:tblPr>
        <w:tblW w:w="714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4"/>
        <w:gridCol w:w="1274"/>
        <w:gridCol w:w="1339"/>
        <w:gridCol w:w="1645"/>
      </w:tblGrid>
      <w:tr w14:paraId="3C4797CA" w14:textId="77777777" w:rsidTr="002558C8">
        <w:tblPrEx>
          <w:tblW w:w="714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7E0803" w:rsidRPr="002E672F" w:rsidP="009D559F" w14:paraId="09964CAB" w14:textId="77777777">
            <w:pPr>
              <w:widowControl/>
              <w:spacing w:before="120"/>
              <w:rPr>
                <w:rFonts w:ascii="Arial" w:hAnsi="Arial" w:cs="Arial"/>
                <w:b/>
                <w:bCs/>
                <w:sz w:val="24"/>
              </w:rPr>
            </w:pPr>
            <w:r w:rsidRPr="002E672F">
              <w:rPr>
                <w:rFonts w:ascii="Arial" w:hAnsi="Arial" w:cs="Arial"/>
                <w:b/>
                <w:bCs/>
                <w:sz w:val="24"/>
              </w:rPr>
              <w:t>Type of</w:t>
            </w:r>
          </w:p>
          <w:p w:rsidR="007E0803" w:rsidRPr="002E672F" w:rsidP="009D559F" w14:paraId="6607FE35" w14:textId="77777777">
            <w:pPr>
              <w:widowControl/>
              <w:spacing w:before="120"/>
              <w:rPr>
                <w:rFonts w:ascii="Arial" w:hAnsi="Arial" w:cs="Arial"/>
                <w:sz w:val="24"/>
              </w:rPr>
            </w:pPr>
            <w:r w:rsidRPr="002E672F">
              <w:rPr>
                <w:rFonts w:ascii="Arial" w:hAnsi="Arial" w:cs="Arial"/>
                <w:b/>
                <w:bCs/>
                <w:sz w:val="24"/>
              </w:rPr>
              <w:t>Respondent</w:t>
            </w:r>
          </w:p>
          <w:p w:rsidR="007E0803" w:rsidRPr="002E672F" w:rsidP="009D559F" w14:paraId="5BB01909" w14:textId="77777777">
            <w:pPr>
              <w:widowControl/>
              <w:spacing w:before="120"/>
              <w:rPr>
                <w:rFonts w:ascii="Arial" w:hAnsi="Arial" w:cs="Arial"/>
                <w:b/>
                <w:bCs/>
                <w:sz w:val="24"/>
              </w:rPr>
            </w:pPr>
          </w:p>
        </w:tc>
        <w:tc>
          <w:tcPr>
            <w:tcW w:w="1277" w:type="dxa"/>
          </w:tcPr>
          <w:p w:rsidR="007E0803" w:rsidRPr="002E672F" w:rsidP="009D559F" w14:paraId="7B9D8840" w14:textId="1E5DF465">
            <w:pPr>
              <w:widowControl/>
              <w:spacing w:before="120"/>
              <w:rPr>
                <w:rFonts w:ascii="Arial" w:hAnsi="Arial" w:cs="Arial"/>
                <w:b/>
                <w:bCs/>
                <w:sz w:val="24"/>
              </w:rPr>
            </w:pPr>
            <w:r>
              <w:rPr>
                <w:rFonts w:ascii="Arial" w:hAnsi="Arial" w:cs="Arial"/>
                <w:b/>
                <w:bCs/>
                <w:sz w:val="24"/>
              </w:rPr>
              <w:t>BLS Code</w:t>
            </w:r>
          </w:p>
        </w:tc>
        <w:tc>
          <w:tcPr>
            <w:tcW w:w="1277" w:type="dxa"/>
          </w:tcPr>
          <w:p w:rsidR="007E0803" w:rsidRPr="002E672F" w:rsidP="009D559F" w14:paraId="0DBD49AF" w14:textId="6C2FAA1A">
            <w:pPr>
              <w:widowControl/>
              <w:spacing w:before="120"/>
              <w:rPr>
                <w:rFonts w:ascii="Arial" w:hAnsi="Arial" w:cs="Arial"/>
                <w:b/>
                <w:bCs/>
                <w:sz w:val="24"/>
              </w:rPr>
            </w:pPr>
            <w:r w:rsidRPr="002E672F">
              <w:rPr>
                <w:rFonts w:ascii="Arial" w:hAnsi="Arial" w:cs="Arial"/>
                <w:b/>
                <w:bCs/>
                <w:sz w:val="24"/>
              </w:rPr>
              <w:t>Total Burden</w:t>
            </w:r>
          </w:p>
          <w:p w:rsidR="007E0803" w:rsidRPr="002E672F" w:rsidP="007E0803" w14:paraId="31C08921" w14:textId="77777777">
            <w:pPr>
              <w:widowControl/>
              <w:spacing w:before="120"/>
              <w:ind w:left="2160" w:hanging="2160"/>
              <w:rPr>
                <w:rFonts w:ascii="Arial" w:hAnsi="Arial" w:cs="Arial"/>
                <w:sz w:val="24"/>
              </w:rPr>
            </w:pPr>
            <w:r w:rsidRPr="002E672F">
              <w:rPr>
                <w:rFonts w:ascii="Arial" w:hAnsi="Arial" w:cs="Arial"/>
                <w:b/>
                <w:bCs/>
                <w:sz w:val="24"/>
              </w:rPr>
              <w:t>Hours</w:t>
            </w:r>
          </w:p>
          <w:p w:rsidR="007E0803" w:rsidRPr="002E672F" w:rsidP="009D559F" w14:paraId="42598690" w14:textId="77777777">
            <w:pPr>
              <w:widowControl/>
              <w:spacing w:before="120"/>
              <w:rPr>
                <w:rFonts w:ascii="Arial" w:hAnsi="Arial" w:cs="Arial"/>
                <w:b/>
                <w:bCs/>
                <w:sz w:val="24"/>
              </w:rPr>
            </w:pPr>
          </w:p>
        </w:tc>
        <w:tc>
          <w:tcPr>
            <w:tcW w:w="1342" w:type="dxa"/>
          </w:tcPr>
          <w:p w:rsidR="007E0803" w:rsidRPr="002E672F" w:rsidP="009D559F" w14:paraId="7F8C1867" w14:textId="77777777">
            <w:pPr>
              <w:widowControl/>
              <w:spacing w:before="120"/>
              <w:rPr>
                <w:rFonts w:ascii="Arial" w:hAnsi="Arial" w:cs="Arial"/>
                <w:b/>
                <w:bCs/>
                <w:sz w:val="24"/>
              </w:rPr>
            </w:pPr>
            <w:r w:rsidRPr="002E672F">
              <w:rPr>
                <w:rFonts w:ascii="Arial" w:hAnsi="Arial" w:cs="Arial"/>
                <w:b/>
                <w:bCs/>
                <w:sz w:val="24"/>
              </w:rPr>
              <w:t>Hourly</w:t>
            </w:r>
          </w:p>
          <w:p w:rsidR="007E0803" w:rsidRPr="002E672F" w:rsidP="007763FC" w14:paraId="25F7C3F7" w14:textId="3388A43F">
            <w:pPr>
              <w:widowControl/>
              <w:spacing w:before="120"/>
              <w:rPr>
                <w:rFonts w:ascii="Arial" w:hAnsi="Arial" w:cs="Arial"/>
                <w:b/>
                <w:bCs/>
                <w:sz w:val="24"/>
              </w:rPr>
            </w:pPr>
            <w:r w:rsidRPr="002E672F">
              <w:rPr>
                <w:rFonts w:ascii="Arial" w:hAnsi="Arial" w:cs="Arial"/>
                <w:b/>
                <w:bCs/>
                <w:sz w:val="24"/>
              </w:rPr>
              <w:t>Wage Rate</w:t>
            </w:r>
            <w:r>
              <w:rPr>
                <w:rFonts w:ascii="Arial" w:hAnsi="Arial" w:cs="Arial"/>
                <w:b/>
                <w:bCs/>
                <w:sz w:val="24"/>
              </w:rPr>
              <w:t xml:space="preserve"> x 2</w:t>
            </w:r>
          </w:p>
        </w:tc>
        <w:tc>
          <w:tcPr>
            <w:tcW w:w="1646" w:type="dxa"/>
          </w:tcPr>
          <w:p w:rsidR="007E0803" w:rsidRPr="002E672F" w:rsidP="007763FC" w14:paraId="1600EB17" w14:textId="1C11CF98">
            <w:pPr>
              <w:widowControl/>
              <w:spacing w:before="120"/>
              <w:rPr>
                <w:rFonts w:ascii="Arial" w:hAnsi="Arial" w:cs="Arial"/>
                <w:b/>
                <w:bCs/>
                <w:sz w:val="24"/>
              </w:rPr>
            </w:pPr>
            <w:r w:rsidRPr="002E672F">
              <w:rPr>
                <w:rFonts w:ascii="Arial" w:hAnsi="Arial" w:cs="Arial"/>
                <w:b/>
                <w:bCs/>
                <w:sz w:val="24"/>
              </w:rPr>
              <w:t>Total Respondent Costs</w:t>
            </w:r>
          </w:p>
        </w:tc>
      </w:tr>
      <w:tr w14:paraId="1BF47987" w14:textId="77777777" w:rsidTr="002558C8">
        <w:tblPrEx>
          <w:tblW w:w="7145" w:type="dxa"/>
          <w:tblInd w:w="1327" w:type="dxa"/>
          <w:tblLook w:val="01E0"/>
        </w:tblPrEx>
        <w:tc>
          <w:tcPr>
            <w:tcW w:w="1603" w:type="dxa"/>
          </w:tcPr>
          <w:p w:rsidR="007E0803" w:rsidRPr="002E672F" w:rsidP="009D559F" w14:paraId="2196F055" w14:textId="77777777">
            <w:pPr>
              <w:spacing w:before="120"/>
              <w:rPr>
                <w:rFonts w:ascii="Arial" w:hAnsi="Arial" w:cs="Arial"/>
                <w:sz w:val="24"/>
              </w:rPr>
            </w:pPr>
            <w:r w:rsidRPr="002E672F">
              <w:rPr>
                <w:rFonts w:ascii="Arial" w:hAnsi="Arial" w:cs="Arial"/>
                <w:sz w:val="24"/>
              </w:rPr>
              <w:t xml:space="preserve">Project Director </w:t>
            </w:r>
          </w:p>
        </w:tc>
        <w:tc>
          <w:tcPr>
            <w:tcW w:w="1277" w:type="dxa"/>
          </w:tcPr>
          <w:p w:rsidR="007E0803" w:rsidP="009D559F" w14:paraId="1EFD6C19" w14:textId="40ECFF0A">
            <w:pPr>
              <w:spacing w:before="120"/>
              <w:rPr>
                <w:rFonts w:ascii="Arial" w:hAnsi="Arial" w:cs="Arial"/>
                <w:sz w:val="24"/>
              </w:rPr>
            </w:pPr>
            <w:r w:rsidRPr="007E0803">
              <w:rPr>
                <w:rFonts w:ascii="Arial" w:hAnsi="Arial" w:cs="Arial"/>
                <w:sz w:val="24"/>
              </w:rPr>
              <w:t>11-9111</w:t>
            </w:r>
            <w:r>
              <w:rPr>
                <w:rFonts w:ascii="Arial" w:hAnsi="Arial" w:cs="Arial"/>
                <w:sz w:val="24"/>
              </w:rPr>
              <w:t>:</w:t>
            </w:r>
            <w:r w:rsidRPr="007E0803">
              <w:rPr>
                <w:rFonts w:ascii="Arial" w:hAnsi="Arial" w:cs="Arial"/>
                <w:sz w:val="24"/>
              </w:rPr>
              <w:t xml:space="preserve"> Medical and Health Services Managers</w:t>
            </w:r>
          </w:p>
        </w:tc>
        <w:tc>
          <w:tcPr>
            <w:tcW w:w="1277" w:type="dxa"/>
          </w:tcPr>
          <w:p w:rsidR="007E0803" w:rsidRPr="002E672F" w:rsidP="009D559F" w14:paraId="368EBF73" w14:textId="6580F329">
            <w:pPr>
              <w:spacing w:before="120"/>
              <w:rPr>
                <w:rFonts w:ascii="Arial" w:hAnsi="Arial" w:cs="Arial"/>
                <w:sz w:val="24"/>
              </w:rPr>
            </w:pPr>
            <w:r>
              <w:rPr>
                <w:rFonts w:ascii="Arial" w:hAnsi="Arial" w:cs="Arial"/>
                <w:sz w:val="24"/>
              </w:rPr>
              <w:t>10</w:t>
            </w:r>
          </w:p>
        </w:tc>
        <w:tc>
          <w:tcPr>
            <w:tcW w:w="1342" w:type="dxa"/>
          </w:tcPr>
          <w:p w:rsidR="007E0803" w:rsidRPr="002E672F" w:rsidP="009D559F" w14:paraId="1D537F10" w14:textId="435F9A97">
            <w:pPr>
              <w:spacing w:before="120"/>
              <w:jc w:val="right"/>
              <w:rPr>
                <w:rFonts w:ascii="Arial" w:hAnsi="Arial" w:cs="Arial"/>
                <w:sz w:val="24"/>
              </w:rPr>
            </w:pPr>
            <w:r>
              <w:rPr>
                <w:rFonts w:ascii="Arial" w:hAnsi="Arial" w:cs="Arial"/>
                <w:sz w:val="24"/>
              </w:rPr>
              <w:t>$123.06</w:t>
            </w:r>
          </w:p>
        </w:tc>
        <w:tc>
          <w:tcPr>
            <w:tcW w:w="1646" w:type="dxa"/>
          </w:tcPr>
          <w:p w:rsidR="007E0803" w:rsidRPr="002E672F" w:rsidP="009D559F" w14:paraId="273E4BF3" w14:textId="45BA771C">
            <w:pPr>
              <w:spacing w:before="120"/>
              <w:jc w:val="right"/>
              <w:rPr>
                <w:rFonts w:ascii="Arial" w:hAnsi="Arial" w:cs="Arial"/>
                <w:sz w:val="24"/>
              </w:rPr>
            </w:pPr>
            <w:r>
              <w:rPr>
                <w:rFonts w:ascii="Arial" w:hAnsi="Arial" w:cs="Arial"/>
                <w:sz w:val="24"/>
              </w:rPr>
              <w:t>$1,230.60</w:t>
            </w:r>
          </w:p>
        </w:tc>
      </w:tr>
      <w:tr w14:paraId="5845EBC1" w14:textId="77777777" w:rsidTr="002558C8">
        <w:tblPrEx>
          <w:tblW w:w="7145" w:type="dxa"/>
          <w:tblInd w:w="1327" w:type="dxa"/>
          <w:tblLook w:val="01E0"/>
        </w:tblPrEx>
        <w:trPr>
          <w:trHeight w:val="440"/>
        </w:trPr>
        <w:tc>
          <w:tcPr>
            <w:tcW w:w="1603" w:type="dxa"/>
          </w:tcPr>
          <w:p w:rsidR="007E0803" w:rsidRPr="002E672F" w:rsidP="009D559F" w14:paraId="0CE6F821" w14:textId="77777777">
            <w:pPr>
              <w:widowControl/>
              <w:spacing w:before="120"/>
              <w:rPr>
                <w:rFonts w:ascii="Arial" w:hAnsi="Arial" w:cs="Arial"/>
                <w:sz w:val="24"/>
              </w:rPr>
            </w:pPr>
            <w:r w:rsidRPr="002E672F">
              <w:rPr>
                <w:rFonts w:ascii="Arial" w:hAnsi="Arial" w:cs="Arial"/>
                <w:sz w:val="24"/>
              </w:rPr>
              <w:t>Total</w:t>
            </w:r>
          </w:p>
        </w:tc>
        <w:tc>
          <w:tcPr>
            <w:tcW w:w="1277" w:type="dxa"/>
          </w:tcPr>
          <w:p w:rsidR="007E0803" w:rsidRPr="002E672F" w:rsidP="009D559F" w14:paraId="6743E180" w14:textId="77777777">
            <w:pPr>
              <w:widowControl/>
              <w:spacing w:before="120"/>
              <w:rPr>
                <w:rFonts w:ascii="Arial" w:hAnsi="Arial" w:cs="Arial"/>
                <w:sz w:val="24"/>
              </w:rPr>
            </w:pPr>
          </w:p>
        </w:tc>
        <w:tc>
          <w:tcPr>
            <w:tcW w:w="1277" w:type="dxa"/>
          </w:tcPr>
          <w:p w:rsidR="007E0803" w:rsidRPr="002E672F" w:rsidP="009D559F" w14:paraId="13C9B36D" w14:textId="7B28CCC0">
            <w:pPr>
              <w:widowControl/>
              <w:spacing w:before="120"/>
              <w:rPr>
                <w:rFonts w:ascii="Arial" w:hAnsi="Arial" w:cs="Arial"/>
                <w:sz w:val="24"/>
              </w:rPr>
            </w:pPr>
          </w:p>
        </w:tc>
        <w:tc>
          <w:tcPr>
            <w:tcW w:w="1342" w:type="dxa"/>
          </w:tcPr>
          <w:p w:rsidR="007E0803" w:rsidRPr="002E672F" w:rsidP="009D559F" w14:paraId="3BF5213C" w14:textId="77777777">
            <w:pPr>
              <w:widowControl/>
              <w:spacing w:before="120"/>
              <w:jc w:val="right"/>
              <w:rPr>
                <w:rFonts w:ascii="Arial" w:hAnsi="Arial" w:cs="Arial"/>
                <w:sz w:val="24"/>
              </w:rPr>
            </w:pPr>
          </w:p>
        </w:tc>
        <w:tc>
          <w:tcPr>
            <w:tcW w:w="1646" w:type="dxa"/>
          </w:tcPr>
          <w:p w:rsidR="007E0803" w:rsidRPr="002E672F" w:rsidP="009D559F" w14:paraId="4608BCF5" w14:textId="2A7CCD6F">
            <w:pPr>
              <w:widowControl/>
              <w:spacing w:before="120"/>
              <w:jc w:val="right"/>
              <w:rPr>
                <w:rFonts w:ascii="Arial" w:hAnsi="Arial" w:cs="Arial"/>
                <w:sz w:val="24"/>
              </w:rPr>
            </w:pPr>
            <w:r>
              <w:rPr>
                <w:rFonts w:ascii="Arial" w:hAnsi="Arial" w:cs="Arial"/>
                <w:sz w:val="24"/>
              </w:rPr>
              <w:t>$1,230.60</w:t>
            </w:r>
          </w:p>
        </w:tc>
      </w:tr>
    </w:tbl>
    <w:p w:rsidR="003877C1" w:rsidRPr="002E672F" w:rsidP="003877C1" w14:paraId="42BD4E42" w14:textId="1C90D6F0">
      <w:pPr>
        <w:spacing w:before="240"/>
        <w:ind w:left="360"/>
        <w:rPr>
          <w:rFonts w:ascii="Arial" w:hAnsi="Arial" w:cs="Arial"/>
          <w:sz w:val="24"/>
        </w:rPr>
      </w:pPr>
      <w:r w:rsidRPr="002E672F">
        <w:rPr>
          <w:i/>
          <w:sz w:val="24"/>
        </w:rPr>
        <w:t xml:space="preserve">Hourly Wage Rate based on the United States </w:t>
      </w:r>
      <w:r w:rsidRPr="002E672F">
        <w:rPr>
          <w:i/>
          <w:color w:val="000000"/>
          <w:sz w:val="24"/>
        </w:rPr>
        <w:t>Department of Labor, Bureau of Labor Statistics: (</w:t>
      </w:r>
      <w:hyperlink r:id="rId8" w:history="1">
        <w:r w:rsidRPr="00E06378" w:rsidR="007E0803">
          <w:rPr>
            <w:rStyle w:val="Hyperlink"/>
            <w:i/>
            <w:sz w:val="24"/>
          </w:rPr>
          <w:t>https://www.bls.gov/oes/current/oes119111.htm</w:t>
        </w:r>
      </w:hyperlink>
      <w:r w:rsidRPr="002E672F">
        <w:rPr>
          <w:i/>
          <w:color w:val="000000"/>
          <w:sz w:val="24"/>
        </w:rPr>
        <w:t>)</w:t>
      </w:r>
      <w:r w:rsidR="007E0803">
        <w:rPr>
          <w:i/>
          <w:color w:val="000000"/>
          <w:sz w:val="24"/>
        </w:rPr>
        <w:t xml:space="preserve">.  </w:t>
      </w:r>
      <w:r w:rsidRPr="0018044F" w:rsidR="0018044F">
        <w:rPr>
          <w:i/>
          <w:color w:val="000000"/>
          <w:sz w:val="24"/>
        </w:rPr>
        <w:t>Mean hourly wage of $61.53</w:t>
      </w:r>
      <w:r w:rsidRPr="0018044F" w:rsidR="0018044F">
        <w:rPr>
          <w:i/>
          <w:color w:val="000000"/>
          <w:sz w:val="24"/>
        </w:rPr>
        <w:tab/>
        <w:t xml:space="preserve"> doubled to account for overhead costs.</w:t>
      </w:r>
    </w:p>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3B41AD" w:rsidP="003B41AD" w14:paraId="22E2A394" w14:textId="10E1F744">
      <w:pPr>
        <w:pStyle w:val="BodyTextIndent"/>
        <w:spacing w:before="120"/>
        <w:ind w:left="360"/>
        <w:rPr>
          <w:rFonts w:ascii="Arial" w:hAnsi="Arial" w:cs="Arial"/>
          <w:bCs/>
        </w:rPr>
      </w:pPr>
      <w:r w:rsidRPr="003B41AD">
        <w:rPr>
          <w:rFonts w:ascii="Arial" w:hAnsi="Arial" w:cs="Arial"/>
          <w:bCs/>
        </w:rPr>
        <w:t>Other than their time, there is no cost to respondents.</w:t>
      </w:r>
    </w:p>
    <w:p w:rsidR="009B3794" w:rsidRPr="00893182"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893182" w:rsidRPr="00893182" w:rsidP="00893182" w14:paraId="3F40D7E1" w14:textId="4ED56C88">
      <w:pPr>
        <w:spacing w:before="240"/>
        <w:ind w:left="360"/>
        <w:rPr>
          <w:rFonts w:ascii="Arial" w:hAnsi="Arial" w:cs="Arial"/>
          <w:bCs/>
          <w:sz w:val="24"/>
        </w:rPr>
      </w:pPr>
      <w:r w:rsidRPr="00893182">
        <w:rPr>
          <w:rFonts w:ascii="Arial" w:hAnsi="Arial" w:cs="Arial"/>
          <w:bCs/>
          <w:sz w:val="24"/>
        </w:rPr>
        <w:t xml:space="preserve">Annual data collection for this program </w:t>
      </w:r>
      <w:r w:rsidRPr="00893182">
        <w:rPr>
          <w:rFonts w:ascii="Arial" w:hAnsi="Arial" w:cs="Arial"/>
          <w:bCs/>
          <w:sz w:val="24"/>
        </w:rPr>
        <w:t>is expected</w:t>
      </w:r>
      <w:r w:rsidRPr="00893182">
        <w:rPr>
          <w:rFonts w:ascii="Arial" w:hAnsi="Arial" w:cs="Arial"/>
          <w:bCs/>
          <w:sz w:val="24"/>
        </w:rPr>
        <w:t xml:space="preserve"> to be carried out at a cost to the Federal Government of $</w:t>
      </w:r>
      <w:r w:rsidRPr="0085373B" w:rsidR="00624134">
        <w:rPr>
          <w:rFonts w:ascii="Arial" w:hAnsi="Arial" w:cs="Arial"/>
          <w:bCs/>
          <w:sz w:val="24"/>
        </w:rPr>
        <w:t>3,102.33</w:t>
      </w:r>
      <w:r w:rsidRPr="00893182">
        <w:rPr>
          <w:rFonts w:ascii="Arial" w:hAnsi="Arial" w:cs="Arial"/>
          <w:bCs/>
          <w:sz w:val="24"/>
        </w:rPr>
        <w:t>. Staff at FORHP monitor the contracts and provide guidance to grantee project staff at a cost of $</w:t>
      </w:r>
      <w:r w:rsidRPr="0085373B" w:rsidR="0085373B">
        <w:t xml:space="preserve"> </w:t>
      </w:r>
      <w:r w:rsidRPr="0085373B" w:rsidR="0085373B">
        <w:rPr>
          <w:rFonts w:ascii="Arial" w:hAnsi="Arial" w:cs="Arial"/>
          <w:bCs/>
          <w:sz w:val="24"/>
        </w:rPr>
        <w:t>3,102.33</w:t>
      </w:r>
      <w:r w:rsidR="00090C0C">
        <w:rPr>
          <w:rFonts w:ascii="Arial" w:hAnsi="Arial" w:cs="Arial"/>
          <w:bCs/>
          <w:sz w:val="24"/>
        </w:rPr>
        <w:t xml:space="preserve"> </w:t>
      </w:r>
      <w:r w:rsidRPr="00893182">
        <w:rPr>
          <w:rFonts w:ascii="Arial" w:hAnsi="Arial" w:cs="Arial"/>
          <w:bCs/>
          <w:sz w:val="24"/>
        </w:rPr>
        <w:t>per year (25.5 hours per year at $</w:t>
      </w:r>
      <w:r w:rsidR="0085373B">
        <w:rPr>
          <w:rFonts w:ascii="Arial" w:hAnsi="Arial" w:cs="Arial"/>
          <w:bCs/>
          <w:sz w:val="24"/>
        </w:rPr>
        <w:t>121.66</w:t>
      </w:r>
      <w:r w:rsidRPr="00893182">
        <w:rPr>
          <w:rFonts w:ascii="Arial" w:hAnsi="Arial" w:cs="Arial"/>
          <w:bCs/>
          <w:sz w:val="24"/>
        </w:rPr>
        <w:t xml:space="preserve"> per hour at a GS-13, Step </w:t>
      </w:r>
      <w:r w:rsidR="00264815">
        <w:rPr>
          <w:rFonts w:ascii="Arial" w:hAnsi="Arial" w:cs="Arial"/>
          <w:bCs/>
          <w:sz w:val="24"/>
        </w:rPr>
        <w:t>5</w:t>
      </w:r>
      <w:r w:rsidRPr="00893182">
        <w:rPr>
          <w:rFonts w:ascii="Arial" w:hAnsi="Arial" w:cs="Arial"/>
          <w:bCs/>
          <w:sz w:val="24"/>
        </w:rPr>
        <w:t xml:space="preserve"> salary level</w:t>
      </w:r>
      <w:r w:rsidR="0085373B">
        <w:rPr>
          <w:rFonts w:ascii="Arial" w:hAnsi="Arial" w:cs="Arial"/>
          <w:bCs/>
          <w:sz w:val="24"/>
        </w:rPr>
        <w:t xml:space="preserve">, locality pay area Washington-Baltimore-Arlington, multiplied by 2 to account for </w:t>
      </w:r>
      <w:r w:rsidR="0018044F">
        <w:rPr>
          <w:rFonts w:ascii="Arial" w:hAnsi="Arial" w:cs="Arial"/>
          <w:bCs/>
          <w:sz w:val="24"/>
        </w:rPr>
        <w:t>overhead costs</w:t>
      </w:r>
      <w:r w:rsidR="0085373B">
        <w:rPr>
          <w:rFonts w:ascii="Arial" w:hAnsi="Arial" w:cs="Arial"/>
          <w:bCs/>
          <w:sz w:val="24"/>
        </w:rPr>
        <w:t>).</w:t>
      </w:r>
      <w:r w:rsidR="00624134">
        <w:rPr>
          <w:rFonts w:ascii="Arial" w:hAnsi="Arial" w:cs="Arial"/>
          <w:bCs/>
          <w:sz w:val="24"/>
        </w:rPr>
        <w:t xml:space="preserve">  Total cost is </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B3794" w:rsidRPr="00C45431" w:rsidP="00CA3DA6" w14:paraId="22E2A39E" w14:textId="586ED388">
      <w:pPr>
        <w:pStyle w:val="BodyTextIndent"/>
        <w:spacing w:before="120"/>
        <w:ind w:left="360"/>
        <w:rPr>
          <w:rFonts w:ascii="Arial" w:hAnsi="Arial" w:cs="Arial"/>
          <w:b/>
        </w:rPr>
      </w:pPr>
      <w:r w:rsidRPr="00C45431">
        <w:rPr>
          <w:rFonts w:ascii="Arial" w:hAnsi="Arial" w:cs="Arial"/>
        </w:rPr>
        <w:t xml:space="preserve">This is a new </w:t>
      </w:r>
      <w:r w:rsidRPr="00C45431" w:rsidR="00FE6C30">
        <w:rPr>
          <w:rFonts w:ascii="Arial" w:hAnsi="Arial" w:cs="Arial"/>
        </w:rPr>
        <w:t>information</w:t>
      </w:r>
      <w:r w:rsidRPr="00C45431">
        <w:rPr>
          <w:rFonts w:ascii="Arial" w:hAnsi="Arial" w:cs="Arial"/>
        </w:rPr>
        <w:t xml:space="preserve"> collection.</w:t>
      </w:r>
    </w:p>
    <w:p w:rsidR="009B3794" w:rsidRPr="00C45431" w:rsidP="00CA3DA6" w14:paraId="22E2A3A0"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D74B86" w:rsidRPr="00C45431" w:rsidP="00430F9C" w14:paraId="22E2A3A2" w14:textId="04565559">
      <w:pPr>
        <w:spacing w:before="120"/>
        <w:ind w:left="360"/>
        <w:rPr>
          <w:rFonts w:ascii="Arial" w:hAnsi="Arial" w:cs="Arial"/>
          <w:sz w:val="24"/>
        </w:rPr>
      </w:pPr>
      <w:r w:rsidRPr="00430F9C">
        <w:rPr>
          <w:rFonts w:ascii="Arial" w:hAnsi="Arial" w:cs="Arial"/>
          <w:sz w:val="24"/>
        </w:rPr>
        <w:t>There are no plans to publish the data. The data may be used on an aggregate program level to document the impact and success of program. This information might be used in the FORHP Annual Report produced internally for the agency and may also be included in presentations used for rural stakeholders. The FORHP Annual Report is produced in February, reporting the prior fiscal year’s activities</w:t>
      </w:r>
      <w:r>
        <w:rPr>
          <w:rFonts w:ascii="Arial" w:hAnsi="Arial" w:cs="Arial"/>
          <w:sz w:val="24"/>
        </w:rPr>
        <w:t>.</w:t>
      </w:r>
    </w:p>
    <w:p w:rsidR="009B3794" w:rsidRPr="00C45431" w:rsidP="00CA3DA6" w14:paraId="22E2A3A3" w14:textId="5B09DF04">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430F9C" w:rsidP="00CA3DA6" w14:paraId="22E2A3A4" w14:textId="31CBCBEE">
      <w:pPr>
        <w:pStyle w:val="BodyTextIndent"/>
        <w:spacing w:before="120"/>
        <w:ind w:left="360"/>
        <w:rPr>
          <w:rFonts w:ascii="Arial" w:hAnsi="Arial" w:cs="Arial"/>
          <w:bCs/>
        </w:rPr>
      </w:pPr>
      <w:r w:rsidRPr="00430F9C">
        <w:rPr>
          <w:rFonts w:ascii="Arial" w:hAnsi="Arial" w:cs="Arial"/>
          <w:bCs/>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565AC7" w:rsidP="00CA3DA6" w14:paraId="22E2A3A6" w14:textId="2F063019">
      <w:pPr>
        <w:pStyle w:val="BodyTextIndent"/>
        <w:spacing w:before="120"/>
        <w:ind w:left="360"/>
        <w:rPr>
          <w:rFonts w:ascii="Arial" w:hAnsi="Arial" w:cs="Arial"/>
          <w:bCs/>
        </w:rPr>
      </w:pPr>
      <w:r w:rsidRPr="00565AC7">
        <w:rPr>
          <w:rFonts w:ascii="Arial" w:hAnsi="Arial" w:cs="Arial"/>
          <w:bCs/>
        </w:rPr>
        <w:t>There are no exceptions to the certification.</w:t>
      </w:r>
    </w:p>
    <w:sectPr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0">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2">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690176646">
    <w:abstractNumId w:val="42"/>
  </w:num>
  <w:num w:numId="2" w16cid:durableId="329990187">
    <w:abstractNumId w:val="21"/>
  </w:num>
  <w:num w:numId="3" w16cid:durableId="491261746">
    <w:abstractNumId w:val="14"/>
  </w:num>
  <w:num w:numId="4" w16cid:durableId="1402603501">
    <w:abstractNumId w:val="38"/>
  </w:num>
  <w:num w:numId="5" w16cid:durableId="2082410038">
    <w:abstractNumId w:val="41"/>
  </w:num>
  <w:num w:numId="6" w16cid:durableId="1452162421">
    <w:abstractNumId w:val="9"/>
  </w:num>
  <w:num w:numId="7" w16cid:durableId="449592495">
    <w:abstractNumId w:val="34"/>
  </w:num>
  <w:num w:numId="8" w16cid:durableId="1005937675">
    <w:abstractNumId w:val="17"/>
  </w:num>
  <w:num w:numId="9" w16cid:durableId="1798719188">
    <w:abstractNumId w:val="25"/>
  </w:num>
  <w:num w:numId="10" w16cid:durableId="1731920803">
    <w:abstractNumId w:val="19"/>
  </w:num>
  <w:num w:numId="11" w16cid:durableId="229728886">
    <w:abstractNumId w:val="8"/>
  </w:num>
  <w:num w:numId="12" w16cid:durableId="804808738">
    <w:abstractNumId w:val="24"/>
  </w:num>
  <w:num w:numId="13" w16cid:durableId="332726658">
    <w:abstractNumId w:val="20"/>
  </w:num>
  <w:num w:numId="14" w16cid:durableId="1903560421">
    <w:abstractNumId w:val="22"/>
  </w:num>
  <w:num w:numId="15" w16cid:durableId="374894180">
    <w:abstractNumId w:val="7"/>
  </w:num>
  <w:num w:numId="16" w16cid:durableId="1092698370">
    <w:abstractNumId w:val="0"/>
  </w:num>
  <w:num w:numId="17" w16cid:durableId="1525558925">
    <w:abstractNumId w:val="1"/>
  </w:num>
  <w:num w:numId="18" w16cid:durableId="1454323331">
    <w:abstractNumId w:val="15"/>
  </w:num>
  <w:num w:numId="19" w16cid:durableId="1798720173">
    <w:abstractNumId w:val="33"/>
  </w:num>
  <w:num w:numId="20" w16cid:durableId="1035231513">
    <w:abstractNumId w:val="31"/>
  </w:num>
  <w:num w:numId="21" w16cid:durableId="335494851">
    <w:abstractNumId w:val="18"/>
  </w:num>
  <w:num w:numId="22" w16cid:durableId="1430344591">
    <w:abstractNumId w:val="37"/>
  </w:num>
  <w:num w:numId="23" w16cid:durableId="1704599985">
    <w:abstractNumId w:val="29"/>
  </w:num>
  <w:num w:numId="24" w16cid:durableId="147940763">
    <w:abstractNumId w:val="30"/>
  </w:num>
  <w:num w:numId="25" w16cid:durableId="1041200004">
    <w:abstractNumId w:val="40"/>
  </w:num>
  <w:num w:numId="26" w16cid:durableId="868837800">
    <w:abstractNumId w:val="36"/>
  </w:num>
  <w:num w:numId="27" w16cid:durableId="374931537">
    <w:abstractNumId w:val="3"/>
  </w:num>
  <w:num w:numId="28" w16cid:durableId="557715283">
    <w:abstractNumId w:val="16"/>
  </w:num>
  <w:num w:numId="29" w16cid:durableId="998650463">
    <w:abstractNumId w:val="39"/>
  </w:num>
  <w:num w:numId="30" w16cid:durableId="2021538277">
    <w:abstractNumId w:val="35"/>
  </w:num>
  <w:num w:numId="31" w16cid:durableId="1139805813">
    <w:abstractNumId w:val="32"/>
  </w:num>
  <w:num w:numId="32" w16cid:durableId="323628866">
    <w:abstractNumId w:val="10"/>
  </w:num>
  <w:num w:numId="33" w16cid:durableId="1316644266">
    <w:abstractNumId w:val="2"/>
  </w:num>
  <w:num w:numId="34" w16cid:durableId="1515611622">
    <w:abstractNumId w:val="26"/>
  </w:num>
  <w:num w:numId="35" w16cid:durableId="64105470">
    <w:abstractNumId w:val="12"/>
  </w:num>
  <w:num w:numId="36" w16cid:durableId="69432491">
    <w:abstractNumId w:val="11"/>
  </w:num>
  <w:num w:numId="37" w16cid:durableId="708073165">
    <w:abstractNumId w:val="13"/>
  </w:num>
  <w:num w:numId="38" w16cid:durableId="1961495656">
    <w:abstractNumId w:val="4"/>
  </w:num>
  <w:num w:numId="39" w16cid:durableId="1810435146">
    <w:abstractNumId w:val="28"/>
  </w:num>
  <w:num w:numId="40" w16cid:durableId="1329209612">
    <w:abstractNumId w:val="6"/>
  </w:num>
  <w:num w:numId="41" w16cid:durableId="1880243984">
    <w:abstractNumId w:val="27"/>
  </w:num>
  <w:num w:numId="42" w16cid:durableId="575215141">
    <w:abstractNumId w:val="23"/>
  </w:num>
  <w:num w:numId="43" w16cid:durableId="781416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3C22"/>
    <w:rsid w:val="00015505"/>
    <w:rsid w:val="00035AF5"/>
    <w:rsid w:val="0005682B"/>
    <w:rsid w:val="00090C0C"/>
    <w:rsid w:val="000910C5"/>
    <w:rsid w:val="00096D0E"/>
    <w:rsid w:val="000A7542"/>
    <w:rsid w:val="000A7F93"/>
    <w:rsid w:val="000D7130"/>
    <w:rsid w:val="000E7A34"/>
    <w:rsid w:val="00123882"/>
    <w:rsid w:val="001325B2"/>
    <w:rsid w:val="00140EAA"/>
    <w:rsid w:val="0018044F"/>
    <w:rsid w:val="001920C3"/>
    <w:rsid w:val="001D4856"/>
    <w:rsid w:val="001E1AA3"/>
    <w:rsid w:val="001E7891"/>
    <w:rsid w:val="002118B4"/>
    <w:rsid w:val="00225EE6"/>
    <w:rsid w:val="002451F9"/>
    <w:rsid w:val="002558C8"/>
    <w:rsid w:val="002640E7"/>
    <w:rsid w:val="00264815"/>
    <w:rsid w:val="00274C50"/>
    <w:rsid w:val="00281924"/>
    <w:rsid w:val="002D626C"/>
    <w:rsid w:val="002E672F"/>
    <w:rsid w:val="002F4350"/>
    <w:rsid w:val="00305690"/>
    <w:rsid w:val="00322313"/>
    <w:rsid w:val="00323E38"/>
    <w:rsid w:val="00325D3C"/>
    <w:rsid w:val="00355EAD"/>
    <w:rsid w:val="003877C1"/>
    <w:rsid w:val="00391E16"/>
    <w:rsid w:val="00397EF1"/>
    <w:rsid w:val="003A1EE6"/>
    <w:rsid w:val="003B177C"/>
    <w:rsid w:val="003B1EE8"/>
    <w:rsid w:val="003B41AD"/>
    <w:rsid w:val="003D23B1"/>
    <w:rsid w:val="003E7F4F"/>
    <w:rsid w:val="0041161D"/>
    <w:rsid w:val="00430F9C"/>
    <w:rsid w:val="00472847"/>
    <w:rsid w:val="00473007"/>
    <w:rsid w:val="004746CA"/>
    <w:rsid w:val="00481AAF"/>
    <w:rsid w:val="00490720"/>
    <w:rsid w:val="00491D40"/>
    <w:rsid w:val="004E687D"/>
    <w:rsid w:val="00503BAB"/>
    <w:rsid w:val="00565AC7"/>
    <w:rsid w:val="005D7625"/>
    <w:rsid w:val="005E00DB"/>
    <w:rsid w:val="005E1765"/>
    <w:rsid w:val="00624019"/>
    <w:rsid w:val="00624134"/>
    <w:rsid w:val="00627FFD"/>
    <w:rsid w:val="00680D76"/>
    <w:rsid w:val="006B3FC2"/>
    <w:rsid w:val="006D16FB"/>
    <w:rsid w:val="007253D4"/>
    <w:rsid w:val="0073114C"/>
    <w:rsid w:val="0073608B"/>
    <w:rsid w:val="007763FC"/>
    <w:rsid w:val="0078462F"/>
    <w:rsid w:val="00797F7E"/>
    <w:rsid w:val="007B67FE"/>
    <w:rsid w:val="007C22E4"/>
    <w:rsid w:val="007D4D4A"/>
    <w:rsid w:val="007E0803"/>
    <w:rsid w:val="007F047A"/>
    <w:rsid w:val="008002AB"/>
    <w:rsid w:val="0085373B"/>
    <w:rsid w:val="00880BDE"/>
    <w:rsid w:val="008905DD"/>
    <w:rsid w:val="00893182"/>
    <w:rsid w:val="008B04CA"/>
    <w:rsid w:val="008D2D67"/>
    <w:rsid w:val="008E4981"/>
    <w:rsid w:val="00935E77"/>
    <w:rsid w:val="00987CA2"/>
    <w:rsid w:val="009A1D6D"/>
    <w:rsid w:val="009A3B22"/>
    <w:rsid w:val="009B3794"/>
    <w:rsid w:val="009B7E4D"/>
    <w:rsid w:val="009C0B59"/>
    <w:rsid w:val="009C56C5"/>
    <w:rsid w:val="009D559F"/>
    <w:rsid w:val="00A1688A"/>
    <w:rsid w:val="00A5383B"/>
    <w:rsid w:val="00A60A8F"/>
    <w:rsid w:val="00A92CAB"/>
    <w:rsid w:val="00AC26D5"/>
    <w:rsid w:val="00AE7154"/>
    <w:rsid w:val="00B200B3"/>
    <w:rsid w:val="00B25E50"/>
    <w:rsid w:val="00B30003"/>
    <w:rsid w:val="00B655C6"/>
    <w:rsid w:val="00B74C1C"/>
    <w:rsid w:val="00B947A6"/>
    <w:rsid w:val="00BA1A0C"/>
    <w:rsid w:val="00BA3105"/>
    <w:rsid w:val="00BF2F34"/>
    <w:rsid w:val="00BF4C3A"/>
    <w:rsid w:val="00BF4D86"/>
    <w:rsid w:val="00C2224C"/>
    <w:rsid w:val="00C30335"/>
    <w:rsid w:val="00C45431"/>
    <w:rsid w:val="00C74B86"/>
    <w:rsid w:val="00CA3DA6"/>
    <w:rsid w:val="00CD36E7"/>
    <w:rsid w:val="00CE5AA9"/>
    <w:rsid w:val="00D11CA3"/>
    <w:rsid w:val="00D46313"/>
    <w:rsid w:val="00D56CC2"/>
    <w:rsid w:val="00D61ADD"/>
    <w:rsid w:val="00D74B86"/>
    <w:rsid w:val="00D846E2"/>
    <w:rsid w:val="00D86F5B"/>
    <w:rsid w:val="00D92E1D"/>
    <w:rsid w:val="00D96DB9"/>
    <w:rsid w:val="00DA1B0D"/>
    <w:rsid w:val="00DA7802"/>
    <w:rsid w:val="00DD5240"/>
    <w:rsid w:val="00DE3A45"/>
    <w:rsid w:val="00E00CEE"/>
    <w:rsid w:val="00E0395D"/>
    <w:rsid w:val="00E06378"/>
    <w:rsid w:val="00E203FA"/>
    <w:rsid w:val="00E34A1F"/>
    <w:rsid w:val="00E87554"/>
    <w:rsid w:val="00E950EF"/>
    <w:rsid w:val="00E962DB"/>
    <w:rsid w:val="00EA46F4"/>
    <w:rsid w:val="00EC38CD"/>
    <w:rsid w:val="00ED18EA"/>
    <w:rsid w:val="00EE4C00"/>
    <w:rsid w:val="00EE529C"/>
    <w:rsid w:val="00F4221E"/>
    <w:rsid w:val="00F557FE"/>
    <w:rsid w:val="00FA5311"/>
    <w:rsid w:val="00FE6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7E08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7E08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unhideWhenUsed/>
    <w:rsid w:val="00B30003"/>
    <w:rPr>
      <w:sz w:val="16"/>
      <w:szCs w:val="16"/>
    </w:rPr>
  </w:style>
  <w:style w:type="paragraph" w:styleId="CommentText">
    <w:name w:val="annotation text"/>
    <w:basedOn w:val="Normal"/>
    <w:link w:val="CommentTextChar"/>
    <w:unhideWhenUsed/>
    <w:rsid w:val="00B30003"/>
    <w:rPr>
      <w:szCs w:val="20"/>
    </w:rPr>
  </w:style>
  <w:style w:type="character" w:customStyle="1" w:styleId="CommentTextChar">
    <w:name w:val="Comment Text Char"/>
    <w:basedOn w:val="DefaultParagraphFont"/>
    <w:link w:val="CommentText"/>
    <w:rsid w:val="00B30003"/>
  </w:style>
  <w:style w:type="paragraph" w:styleId="CommentSubject">
    <w:name w:val="annotation subject"/>
    <w:basedOn w:val="CommentText"/>
    <w:next w:val="CommentText"/>
    <w:link w:val="CommentSubjectChar"/>
    <w:semiHidden/>
    <w:unhideWhenUsed/>
    <w:rsid w:val="00B30003"/>
    <w:rPr>
      <w:b/>
      <w:bCs/>
    </w:rPr>
  </w:style>
  <w:style w:type="character" w:customStyle="1" w:styleId="CommentSubjectChar">
    <w:name w:val="Comment Subject Char"/>
    <w:basedOn w:val="CommentTextChar"/>
    <w:link w:val="CommentSubject"/>
    <w:semiHidden/>
    <w:rsid w:val="00B30003"/>
    <w:rPr>
      <w:b/>
      <w:bCs/>
    </w:rPr>
  </w:style>
  <w:style w:type="paragraph" w:styleId="BodyText">
    <w:name w:val="Body Text"/>
    <w:basedOn w:val="Normal"/>
    <w:link w:val="BodyTextChar"/>
    <w:semiHidden/>
    <w:unhideWhenUsed/>
    <w:rsid w:val="009C56C5"/>
    <w:pPr>
      <w:spacing w:after="120"/>
    </w:pPr>
  </w:style>
  <w:style w:type="character" w:customStyle="1" w:styleId="BodyTextChar">
    <w:name w:val="Body Text Char"/>
    <w:basedOn w:val="DefaultParagraphFont"/>
    <w:link w:val="BodyText"/>
    <w:semiHidden/>
    <w:rsid w:val="009C56C5"/>
    <w:rPr>
      <w:szCs w:val="24"/>
    </w:rPr>
  </w:style>
  <w:style w:type="character" w:styleId="UnresolvedMention">
    <w:name w:val="Unresolved Mention"/>
    <w:basedOn w:val="DefaultParagraphFont"/>
    <w:uiPriority w:val="99"/>
    <w:semiHidden/>
    <w:unhideWhenUsed/>
    <w:rsid w:val="0078462F"/>
    <w:rPr>
      <w:color w:val="605E5C"/>
      <w:shd w:val="clear" w:color="auto" w:fill="E1DFDD"/>
    </w:rPr>
  </w:style>
  <w:style w:type="character" w:customStyle="1" w:styleId="Heading4Char">
    <w:name w:val="Heading 4 Char"/>
    <w:basedOn w:val="DefaultParagraphFont"/>
    <w:link w:val="Heading4"/>
    <w:semiHidden/>
    <w:rsid w:val="007E0803"/>
    <w:rPr>
      <w:rFonts w:asciiTheme="majorHAnsi" w:eastAsiaTheme="majorEastAsia" w:hAnsiTheme="majorHAnsi" w:cstheme="majorBidi"/>
      <w:i/>
      <w:iCs/>
      <w:color w:val="365F91" w:themeColor="accent1" w:themeShade="BF"/>
      <w:szCs w:val="24"/>
    </w:rPr>
  </w:style>
  <w:style w:type="paragraph" w:styleId="Revision">
    <w:name w:val="Revision"/>
    <w:hidden/>
    <w:uiPriority w:val="99"/>
    <w:semiHidden/>
    <w:rsid w:val="007E0803"/>
    <w:rPr>
      <w:szCs w:val="24"/>
    </w:rPr>
  </w:style>
  <w:style w:type="character" w:customStyle="1" w:styleId="Heading2Char">
    <w:name w:val="Heading 2 Char"/>
    <w:basedOn w:val="DefaultParagraphFont"/>
    <w:link w:val="Heading2"/>
    <w:semiHidden/>
    <w:rsid w:val="007E08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1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3CF59685ED40BC8532DE204CE595" ma:contentTypeVersion="17" ma:contentTypeDescription="Create a new document." ma:contentTypeScope="" ma:versionID="015f8b0681c7935616c1042088330f8c">
  <xsd:schema xmlns:xsd="http://www.w3.org/2001/XMLSchema" xmlns:xs="http://www.w3.org/2001/XMLSchema" xmlns:p="http://schemas.microsoft.com/office/2006/metadata/properties" xmlns:ns2="1f75adea-8363-4816-a45a-7257280cc888" xmlns:ns3="0f464456-4ad3-4007-a658-955a3f524309" targetNamespace="http://schemas.microsoft.com/office/2006/metadata/properties" ma:root="true" ma:fieldsID="89f5881540b93dab2fc64d9f93533d82" ns2:_="" ns3:_="">
    <xsd:import namespace="1f75adea-8363-4816-a45a-7257280cc888"/>
    <xsd:import namespace="0f464456-4ad3-4007-a658-955a3f52430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ndf45109ce9c440caa008cf5676500d9" minOccurs="0"/>
                <xsd:element ref="ns3:off0e063c4ac4896a8ed381271f94ee9" minOccurs="0"/>
                <xsd:element ref="ns3:fda249c14538429ba7e1f4720deb5a57" minOccurs="0"/>
                <xsd:element ref="ns3:j9157e9a67e148a2b3ed3c184c073ecb" minOccurs="0"/>
                <xsd:element ref="ns3:kfd758cf354f4becad3de7fb99ecacd4" minOccurs="0"/>
                <xsd:element ref="ns3:pb9420dcbd31474c9ef63426a8f1eae4"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4456-4ad3-4007-a658-955a3f524309" elementFormDefault="qualified">
    <xsd:import namespace="http://schemas.microsoft.com/office/2006/documentManagement/types"/>
    <xsd:import namespace="http://schemas.microsoft.com/office/infopath/2007/PartnerControls"/>
    <xsd:element name="ndf45109ce9c440caa008cf5676500d9" ma:index="9" nillable="true" ma:displayName="Facility Type_0" ma:hidden="true" ma:internalName="ndf45109ce9c440caa008cf5676500d9" ma:readOnly="false">
      <xsd:simpleType>
        <xsd:restriction base="dms:Note"/>
      </xsd:simpleType>
    </xsd:element>
    <xsd:element name="off0e063c4ac4896a8ed381271f94ee9" ma:index="11" nillable="true" ma:displayName="Workforce and Education_0" ma:hidden="true" ma:internalName="off0e063c4ac4896a8ed381271f94ee9" ma:readOnly="false">
      <xsd:simpleType>
        <xsd:restriction base="dms:Note"/>
      </xsd:simpleType>
    </xsd:element>
    <xsd:element name="fda249c14538429ba7e1f4720deb5a57" ma:index="13" nillable="true" ma:displayName="Population Health/Demographics_0" ma:hidden="true" ma:internalName="fda249c14538429ba7e1f4720deb5a57" ma:readOnly="false">
      <xsd:simpleType>
        <xsd:restriction base="dms:Note"/>
      </xsd:simpleType>
    </xsd:element>
    <xsd:element name="j9157e9a67e148a2b3ed3c184c073ecb" ma:index="15" nillable="true" ma:displayName="Payer/Payment_0" ma:hidden="true" ma:internalName="j9157e9a67e148a2b3ed3c184c073ecb" ma:readOnly="false">
      <xsd:simpleType>
        <xsd:restriction base="dms:Note"/>
      </xsd:simpleType>
    </xsd:element>
    <xsd:element name="kfd758cf354f4becad3de7fb99ecacd4" ma:index="17" nillable="true" ma:displayName="Telehealth_0" ma:hidden="true" ma:internalName="kfd758cf354f4becad3de7fb99ecacd4" ma:readOnly="false">
      <xsd:simpleType>
        <xsd:restriction base="dms:Note"/>
      </xsd:simpleType>
    </xsd:element>
    <xsd:element name="pb9420dcbd31474c9ef63426a8f1eae4" ma:index="19" nillable="true" ma:displayName="Other_0" ma:hidden="true" ma:internalName="pb9420dcbd31474c9ef63426a8f1eae4" ma:readOnly="fals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d758cf354f4becad3de7fb99ecacd4 xmlns="0f464456-4ad3-4007-a658-955a3f524309" xsi:nil="true"/>
    <TaxCatchAll xmlns="1f75adea-8363-4816-a45a-7257280cc888" xsi:nil="true"/>
    <fda249c14538429ba7e1f4720deb5a57 xmlns="0f464456-4ad3-4007-a658-955a3f524309" xsi:nil="true"/>
    <j9157e9a67e148a2b3ed3c184c073ecb xmlns="0f464456-4ad3-4007-a658-955a3f524309" xsi:nil="true"/>
    <ndf45109ce9c440caa008cf5676500d9 xmlns="0f464456-4ad3-4007-a658-955a3f524309" xsi:nil="true"/>
    <pb9420dcbd31474c9ef63426a8f1eae4 xmlns="0f464456-4ad3-4007-a658-955a3f524309" xsi:nil="true"/>
    <off0e063c4ac4896a8ed381271f94ee9 xmlns="0f464456-4ad3-4007-a658-955a3f524309" xsi:nil="true"/>
    <_dlc_DocId xmlns="1f75adea-8363-4816-a45a-7257280cc888">E6NE7ANZ5YDJ-343448191-2844</_dlc_DocId>
    <_dlc_DocIdUrl xmlns="1f75adea-8363-4816-a45a-7257280cc888">
      <Url>https://nih.sharepoint.com/sites/HRSA-FORHP/team/cbd/_layouts/15/DocIdRedir.aspx?ID=E6NE7ANZ5YDJ-343448191-2844</Url>
      <Description>E6NE7ANZ5YDJ-343448191-2844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67F612-D3B4-4223-8B39-6028C4BAC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0f464456-4ad3-4007-a658-955a3f524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documentManagement/types"/>
    <ds:schemaRef ds:uri="http://purl.org/dc/elements/1.1/"/>
    <ds:schemaRef ds:uri="1f75adea-8363-4816-a45a-7257280cc888"/>
    <ds:schemaRef ds:uri="http://purl.org/dc/dcmitype/"/>
    <ds:schemaRef ds:uri="0f464456-4ad3-4007-a658-955a3f52430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70613C1-35C9-464C-992B-2F7226BE402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1618</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4</cp:revision>
  <cp:lastPrinted>2010-10-14T13:41:00Z</cp:lastPrinted>
  <dcterms:created xsi:type="dcterms:W3CDTF">2023-07-11T17:15:00Z</dcterms:created>
  <dcterms:modified xsi:type="dcterms:W3CDTF">2023-07-11T21:36:00Z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0x010100F4703CF59685ED40BC8532DE204CE595</vt:lpwstr>
  </property>
  <property fmtid="{D5CDD505-2E9C-101B-9397-08002B2CF9AE}" pid="3" name="Facility Type">
    <vt:lpwstr/>
  </property>
  <property fmtid="{D5CDD505-2E9C-101B-9397-08002B2CF9AE}" pid="4" name="Other">
    <vt:lpwstr/>
  </property>
  <property fmtid="{D5CDD505-2E9C-101B-9397-08002B2CF9AE}" pid="5" name="Payer/Payment">
    <vt:lpwstr/>
  </property>
  <property fmtid="{D5CDD505-2E9C-101B-9397-08002B2CF9AE}" pid="6" name="Population Health/Demographics">
    <vt:lpwstr/>
  </property>
  <property fmtid="{D5CDD505-2E9C-101B-9397-08002B2CF9AE}" pid="7" name="Telehealth">
    <vt:lpwstr/>
  </property>
  <property fmtid="{D5CDD505-2E9C-101B-9397-08002B2CF9AE}" pid="8" name="Workforce and Education">
    <vt:lpwstr/>
  </property>
  <property fmtid="{D5CDD505-2E9C-101B-9397-08002B2CF9AE}" pid="9" name="_dlc_DocIdItemGuid">
    <vt:lpwstr>18b19060-944d-4774-b7ed-102b673225d2</vt:lpwstr>
  </property>
</Properties>
</file>