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10F1" w:rsidRPr="00557B0B" w:rsidP="00781CAF" w14:paraId="766B336E" w14:textId="77777777">
      <w:pPr>
        <w:pStyle w:val="BodyText"/>
        <w:spacing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557B0B">
        <w:rPr>
          <w:rFonts w:ascii="Times New Roman" w:hAnsi="Times New Roman" w:cs="Times New Roman"/>
          <w:bCs w:val="0"/>
          <w:sz w:val="28"/>
          <w:szCs w:val="28"/>
        </w:rPr>
        <w:t>Supporting Statement</w:t>
      </w:r>
    </w:p>
    <w:p w:rsidR="002F53FD" w:rsidRPr="00236F36" w:rsidP="00781CAF" w14:paraId="09A0FB13" w14:textId="060998C9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F36">
        <w:rPr>
          <w:rFonts w:ascii="Times New Roman" w:hAnsi="Times New Roman" w:cs="Times New Roman"/>
          <w:sz w:val="28"/>
          <w:szCs w:val="28"/>
        </w:rPr>
        <w:t xml:space="preserve">Ryan White HIV/AIDS </w:t>
      </w:r>
      <w:r w:rsidRPr="00236F36" w:rsidR="00376B85">
        <w:rPr>
          <w:rFonts w:ascii="Times New Roman" w:hAnsi="Times New Roman" w:cs="Times New Roman"/>
          <w:sz w:val="28"/>
          <w:szCs w:val="28"/>
        </w:rPr>
        <w:t xml:space="preserve">Program </w:t>
      </w:r>
      <w:r w:rsidRPr="00B0674E" w:rsidR="00901E9C">
        <w:rPr>
          <w:rStyle w:val="Strong"/>
          <w:rFonts w:ascii="Times New Roman" w:hAnsi="Times New Roman" w:cs="Times New Roman"/>
          <w:b/>
          <w:bCs/>
          <w:sz w:val="28"/>
          <w:szCs w:val="28"/>
        </w:rPr>
        <w:t>Mpox Vaccine Distribution</w:t>
      </w:r>
      <w:r w:rsidRPr="00236F36" w:rsidR="006D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3FD" w:rsidRPr="00557B0B" w:rsidP="00781CAF" w14:paraId="7FCCC1F8" w14:textId="7084A293">
      <w:pPr>
        <w:pStyle w:val="Title"/>
        <w:rPr>
          <w:rStyle w:val="BodyTextFi"/>
          <w:rFonts w:ascii="Times New Roman" w:hAnsi="Times New Roman" w:cs="Times New Roman"/>
          <w:bCs w:val="0"/>
          <w:caps w:val="0"/>
          <w:szCs w:val="28"/>
        </w:rPr>
      </w:pPr>
      <w:r w:rsidRPr="00557B0B">
        <w:rPr>
          <w:rStyle w:val="BodyTextFi"/>
          <w:rFonts w:ascii="Times New Roman" w:hAnsi="Times New Roman" w:cs="Times New Roman"/>
          <w:bCs w:val="0"/>
          <w:caps w:val="0"/>
          <w:szCs w:val="28"/>
        </w:rPr>
        <w:t>OMB Control No. 0915-</w:t>
      </w:r>
      <w:r w:rsidR="00F4286D">
        <w:rPr>
          <w:rStyle w:val="BodyTextFi"/>
          <w:rFonts w:ascii="Times New Roman" w:hAnsi="Times New Roman" w:cs="Times New Roman"/>
          <w:bCs w:val="0"/>
          <w:caps w:val="0"/>
          <w:szCs w:val="28"/>
        </w:rPr>
        <w:t>XXXX</w:t>
      </w:r>
      <w:r w:rsidR="0045479C">
        <w:rPr>
          <w:rStyle w:val="BodyTextFi"/>
          <w:rFonts w:ascii="Times New Roman" w:hAnsi="Times New Roman" w:cs="Times New Roman"/>
          <w:bCs w:val="0"/>
          <w:caps w:val="0"/>
          <w:szCs w:val="28"/>
        </w:rPr>
        <w:t xml:space="preserve"> - New</w:t>
      </w:r>
    </w:p>
    <w:p w:rsidR="00236F36" w:rsidRPr="00236F36" w:rsidP="00781CAF" w14:paraId="6D3A3E87" w14:textId="77777777">
      <w:pPr>
        <w:pStyle w:val="Title"/>
        <w:jc w:val="left"/>
        <w:rPr>
          <w:rStyle w:val="BodyTextFi"/>
          <w:rFonts w:ascii="Times New Roman" w:hAnsi="Times New Roman" w:cs="Times New Roman"/>
          <w:b w:val="0"/>
          <w:caps w:val="0"/>
          <w:sz w:val="24"/>
          <w:szCs w:val="24"/>
        </w:rPr>
      </w:pPr>
      <w:r w:rsidRPr="00236F36">
        <w:rPr>
          <w:rStyle w:val="BodyTextFi"/>
          <w:rFonts w:ascii="Times New Roman" w:hAnsi="Times New Roman" w:cs="Times New Roman"/>
          <w:caps w:val="0"/>
          <w:sz w:val="24"/>
          <w:szCs w:val="24"/>
        </w:rPr>
        <w:t>Terms of Clearance:</w:t>
      </w:r>
      <w:r w:rsidRPr="00236F36">
        <w:rPr>
          <w:rStyle w:val="BodyTextFi"/>
          <w:rFonts w:ascii="Times New Roman" w:hAnsi="Times New Roman" w:cs="Times New Roman"/>
          <w:b w:val="0"/>
          <w:caps w:val="0"/>
          <w:sz w:val="24"/>
          <w:szCs w:val="24"/>
        </w:rPr>
        <w:t xml:space="preserve"> None</w:t>
      </w:r>
    </w:p>
    <w:p w:rsidR="002F53FD" w:rsidRPr="00236F36" w:rsidP="00781CAF" w14:paraId="6E7DAF8F" w14:textId="77777777">
      <w:pPr>
        <w:pStyle w:val="Heading1"/>
        <w:spacing w:line="240" w:lineRule="auto"/>
        <w:rPr>
          <w:rFonts w:cs="Times New Roman"/>
          <w:sz w:val="24"/>
          <w:szCs w:val="24"/>
        </w:rPr>
      </w:pPr>
      <w:bookmarkStart w:id="0" w:name="_Toc46022708"/>
      <w:r w:rsidRPr="00236F36">
        <w:rPr>
          <w:rFonts w:cs="Times New Roman"/>
          <w:sz w:val="24"/>
          <w:szCs w:val="24"/>
        </w:rPr>
        <w:t>A.</w:t>
      </w:r>
      <w:r w:rsidRPr="00236F36">
        <w:rPr>
          <w:rFonts w:cs="Times New Roman"/>
          <w:sz w:val="24"/>
          <w:szCs w:val="24"/>
        </w:rPr>
        <w:tab/>
        <w:t>Justification</w:t>
      </w:r>
      <w:bookmarkEnd w:id="0"/>
    </w:p>
    <w:p w:rsidR="002F53FD" w:rsidRPr="00236F36" w:rsidP="00781CAF" w14:paraId="66C4FE27" w14:textId="2C5130A5">
      <w:pPr>
        <w:pStyle w:val="Heading2"/>
        <w:spacing w:line="240" w:lineRule="auto"/>
        <w:rPr>
          <w:rFonts w:cs="Times New Roman"/>
          <w:szCs w:val="24"/>
        </w:rPr>
      </w:pPr>
      <w:bookmarkStart w:id="1" w:name="_Toc46022709"/>
      <w:r w:rsidRPr="00236F36">
        <w:rPr>
          <w:rFonts w:cs="Times New Roman"/>
          <w:szCs w:val="24"/>
        </w:rPr>
        <w:t>1.</w:t>
      </w:r>
      <w:r w:rsidRPr="00236F36">
        <w:rPr>
          <w:rFonts w:cs="Times New Roman"/>
          <w:szCs w:val="24"/>
        </w:rPr>
        <w:tab/>
      </w:r>
      <w:r w:rsidRPr="00236F36">
        <w:rPr>
          <w:rFonts w:cs="Times New Roman"/>
          <w:szCs w:val="24"/>
          <w:u w:val="single"/>
        </w:rPr>
        <w:t xml:space="preserve">Circumstances </w:t>
      </w:r>
      <w:r w:rsidR="00236F36">
        <w:rPr>
          <w:rFonts w:cs="Times New Roman"/>
          <w:szCs w:val="24"/>
          <w:u w:val="single"/>
        </w:rPr>
        <w:t xml:space="preserve">Making the Collection of </w:t>
      </w:r>
      <w:r w:rsidRPr="00236F36">
        <w:rPr>
          <w:rFonts w:cs="Times New Roman"/>
          <w:szCs w:val="24"/>
          <w:u w:val="single"/>
        </w:rPr>
        <w:t xml:space="preserve">Information </w:t>
      </w:r>
      <w:bookmarkEnd w:id="1"/>
      <w:r w:rsidR="00236F36">
        <w:rPr>
          <w:rFonts w:cs="Times New Roman"/>
          <w:szCs w:val="24"/>
          <w:u w:val="single"/>
        </w:rPr>
        <w:t>Necessary</w:t>
      </w:r>
    </w:p>
    <w:p w:rsidR="00E07A28" w:rsidP="00781CAF" w14:paraId="6491344C" w14:textId="5ABFA4E1">
      <w:pPr>
        <w:spacing w:after="0" w:line="240" w:lineRule="auto"/>
        <w:rPr>
          <w:rStyle w:val="BodyTextFi"/>
        </w:rPr>
      </w:pPr>
      <w:r w:rsidRPr="00A56B6A">
        <w:t xml:space="preserve">The Health Resources and Services Administration (HRSA) is requesting </w:t>
      </w:r>
      <w:r>
        <w:t>approval</w:t>
      </w:r>
      <w:r w:rsidRPr="00A56B6A">
        <w:t xml:space="preserve"> from the Office of Management and Budget (OMB) for </w:t>
      </w:r>
      <w:r w:rsidR="00761753">
        <w:t xml:space="preserve">the </w:t>
      </w:r>
      <w:r>
        <w:t xml:space="preserve">continuation of </w:t>
      </w:r>
      <w:r w:rsidR="002B6664">
        <w:t>the</w:t>
      </w:r>
      <w:r w:rsidRPr="00EA7581">
        <w:t xml:space="preserve"> </w:t>
      </w:r>
      <w:r w:rsidR="001D3A44">
        <w:t xml:space="preserve">mpox </w:t>
      </w:r>
      <w:r w:rsidR="00380612">
        <w:t xml:space="preserve">vaccine distribution data </w:t>
      </w:r>
      <w:r w:rsidRPr="00A56B6A">
        <w:t xml:space="preserve">collection </w:t>
      </w:r>
      <w:r w:rsidR="00C5347D">
        <w:t>instrument</w:t>
      </w:r>
      <w:r w:rsidRPr="00A56B6A">
        <w:t xml:space="preserve"> </w:t>
      </w:r>
      <w:r w:rsidR="00761753">
        <w:t xml:space="preserve">that </w:t>
      </w:r>
      <w:r>
        <w:t xml:space="preserve">received OMB approval under emergency review on </w:t>
      </w:r>
      <w:r w:rsidR="005C0B1F">
        <w:t>October 17, 2022</w:t>
      </w:r>
      <w:r w:rsidR="009E57AE">
        <w:t>,</w:t>
      </w:r>
      <w:r>
        <w:t xml:space="preserve"> with an expiration date of </w:t>
      </w:r>
      <w:r w:rsidR="00113DCC">
        <w:t xml:space="preserve">January </w:t>
      </w:r>
      <w:r w:rsidRPr="007659C1">
        <w:t>31</w:t>
      </w:r>
      <w:r>
        <w:t>, 202</w:t>
      </w:r>
      <w:r w:rsidR="00113DCC">
        <w:t>3</w:t>
      </w:r>
      <w:r w:rsidR="00D65D38">
        <w:rPr>
          <w:rStyle w:val="BodyTextFi"/>
        </w:rPr>
        <w:t>.</w:t>
      </w:r>
      <w:r w:rsidRPr="00236F36" w:rsidR="002F53FD">
        <w:rPr>
          <w:rStyle w:val="BodyTextFi"/>
        </w:rPr>
        <w:t xml:space="preserve">  </w:t>
      </w:r>
    </w:p>
    <w:p w:rsidR="00E07A28" w:rsidP="00781CAF" w14:paraId="638A028D" w14:textId="1B0E4AA0">
      <w:pPr>
        <w:spacing w:after="0" w:line="240" w:lineRule="auto"/>
        <w:rPr>
          <w:rStyle w:val="BodyTextFi"/>
        </w:rPr>
      </w:pPr>
    </w:p>
    <w:p w:rsidR="00F1379D" w:rsidP="00781CAF" w14:paraId="691CF48A" w14:textId="581DCFEA">
      <w:pPr>
        <w:spacing w:line="240" w:lineRule="auto"/>
      </w:pPr>
      <w:r>
        <w:t xml:space="preserve">The Department of </w:t>
      </w:r>
      <w:r>
        <w:t>Health and Human Services (HHS)</w:t>
      </w:r>
      <w:r w:rsidRPr="00BE56E0">
        <w:t xml:space="preserve"> authorized </w:t>
      </w:r>
      <w:r>
        <w:t>HRSA</w:t>
      </w:r>
      <w:r w:rsidRPr="00BE56E0">
        <w:t xml:space="preserve"> to receive allotment</w:t>
      </w:r>
      <w:r>
        <w:t>s</w:t>
      </w:r>
      <w:r w:rsidRPr="00BE56E0">
        <w:t xml:space="preserve"> of the JYNNEOS vaccine for </w:t>
      </w:r>
      <w:r>
        <w:t>mpox</w:t>
      </w:r>
      <w:r w:rsidRPr="00BE56E0">
        <w:t xml:space="preserve"> for rapid distribution to Ryan White HIV</w:t>
      </w:r>
      <w:r>
        <w:t>/</w:t>
      </w:r>
      <w:r w:rsidRPr="00BE56E0">
        <w:t>AIDS Program (RWHAP) recipients.</w:t>
      </w:r>
      <w:r>
        <w:t xml:space="preserve">  </w:t>
      </w:r>
      <w:r w:rsidRPr="00BE56E0">
        <w:t>HRSA</w:t>
      </w:r>
      <w:r>
        <w:t xml:space="preserve"> </w:t>
      </w:r>
      <w:r w:rsidRPr="00BE56E0">
        <w:t xml:space="preserve">was identified as a distribution </w:t>
      </w:r>
      <w:r>
        <w:t>partner</w:t>
      </w:r>
      <w:r w:rsidRPr="00BE56E0">
        <w:t xml:space="preserve"> due to the health care services provided to individuals with HIV and the number of uninsured and underinsured </w:t>
      </w:r>
      <w:r>
        <w:t>person</w:t>
      </w:r>
      <w:r w:rsidRPr="00BE56E0">
        <w:t>s seen in RWHAP and Health Center Programs.</w:t>
      </w:r>
      <w:r>
        <w:t xml:space="preserve">   </w:t>
      </w:r>
    </w:p>
    <w:p w:rsidR="00F1379D" w:rsidP="00781CAF" w14:paraId="16DE356A" w14:textId="50315B4C">
      <w:pPr>
        <w:spacing w:line="240" w:lineRule="auto"/>
      </w:pPr>
      <w:r w:rsidRPr="00BE56E0">
        <w:t xml:space="preserve">To expedite dispensing </w:t>
      </w:r>
      <w:r>
        <w:t xml:space="preserve">of </w:t>
      </w:r>
      <w:r w:rsidRPr="00BE56E0">
        <w:t>the</w:t>
      </w:r>
      <w:r>
        <w:t xml:space="preserve"> </w:t>
      </w:r>
      <w:r w:rsidRPr="00BE56E0">
        <w:t xml:space="preserve">vaccine, HRSA </w:t>
      </w:r>
      <w:r>
        <w:t xml:space="preserve">provided the </w:t>
      </w:r>
      <w:r w:rsidRPr="00BE56E0">
        <w:t xml:space="preserve">vaccine to dually funded RWHAP Part C </w:t>
      </w:r>
      <w:r>
        <w:t xml:space="preserve">and Health Center </w:t>
      </w:r>
      <w:r w:rsidRPr="00BE56E0">
        <w:t xml:space="preserve">providers that care for </w:t>
      </w:r>
      <w:r>
        <w:t xml:space="preserve">at-risk populations.  Most of the </w:t>
      </w:r>
      <w:r w:rsidRPr="00BE56E0">
        <w:t>identified providers already ha</w:t>
      </w:r>
      <w:r>
        <w:t>d</w:t>
      </w:r>
      <w:r w:rsidRPr="00BE56E0">
        <w:t xml:space="preserve"> access to the </w:t>
      </w:r>
      <w:r w:rsidRPr="00BE56E0" w:rsidR="00D279D4">
        <w:t>Health Partner Ordering Portal</w:t>
      </w:r>
      <w:r w:rsidR="00D279D4">
        <w:t xml:space="preserve"> (HPOP)</w:t>
      </w:r>
      <w:r w:rsidRPr="00BE56E0">
        <w:t xml:space="preserve">, </w:t>
      </w:r>
      <w:r>
        <w:t xml:space="preserve">a system HHS uses to </w:t>
      </w:r>
      <w:r w:rsidRPr="00BE56E0">
        <w:t xml:space="preserve">quickly </w:t>
      </w:r>
      <w:r>
        <w:t xml:space="preserve">distribute </w:t>
      </w:r>
      <w:r w:rsidRPr="00BE56E0">
        <w:t>the vaccine</w:t>
      </w:r>
      <w:r>
        <w:t>s</w:t>
      </w:r>
      <w:r w:rsidRPr="00BE56E0">
        <w:t xml:space="preserve"> to </w:t>
      </w:r>
      <w:r w:rsidR="00697E69">
        <w:t>HHS health partners</w:t>
      </w:r>
      <w:r w:rsidRPr="00BE56E0">
        <w:t>.</w:t>
      </w:r>
      <w:r>
        <w:t xml:space="preserve">  For providers who elected to receive the vaccine but did not have access to HPOP, HRSA registered them in the HPOP system.  </w:t>
      </w:r>
    </w:p>
    <w:p w:rsidR="00BF0B0A" w:rsidP="00781CAF" w14:paraId="58D6BABC" w14:textId="6DBAE1F9">
      <w:pPr>
        <w:spacing w:after="0" w:line="240" w:lineRule="auto"/>
      </w:pPr>
      <w:r w:rsidRPr="00820FF6">
        <w:t>RWHAP recipients that receive</w:t>
      </w:r>
      <w:r w:rsidR="002C48AF">
        <w:t>d</w:t>
      </w:r>
      <w:r w:rsidRPr="00820FF6">
        <w:t xml:space="preserve"> shipments of the JYNNEOS vaccine</w:t>
      </w:r>
      <w:r w:rsidR="003865EA">
        <w:t xml:space="preserve"> </w:t>
      </w:r>
      <w:r w:rsidR="004E722A">
        <w:t>because of</w:t>
      </w:r>
      <w:r w:rsidR="003865EA">
        <w:t xml:space="preserve"> the </w:t>
      </w:r>
      <w:r w:rsidR="006B31D7">
        <w:t xml:space="preserve">mpox </w:t>
      </w:r>
      <w:r w:rsidR="003A066B">
        <w:t>public health emergency (PHE)</w:t>
      </w:r>
      <w:r w:rsidRPr="00820FF6">
        <w:t xml:space="preserve"> </w:t>
      </w:r>
      <w:r>
        <w:t xml:space="preserve">are </w:t>
      </w:r>
      <w:r w:rsidRPr="00820FF6">
        <w:t xml:space="preserve">required to upload administration and inventory/wastage data into </w:t>
      </w:r>
      <w:r w:rsidR="008E5B77">
        <w:t>HPOP</w:t>
      </w:r>
      <w:r w:rsidR="00D279D4">
        <w:t xml:space="preserve"> </w:t>
      </w:r>
      <w:r w:rsidRPr="00820FF6">
        <w:t>on a weekly basis</w:t>
      </w:r>
      <w:r>
        <w:t>.  The information collected includes federal or state PIN, contact, lot number, description, number of vials, expiration date, courses/doses/bottles administered, bottles available, wastage, reason, and date reported.</w:t>
      </w:r>
      <w:r w:rsidR="00FA25C8">
        <w:t xml:space="preserve"> </w:t>
      </w:r>
      <w:r w:rsidR="002A24C9">
        <w:rPr>
          <w:rStyle w:val="BodyTextFi"/>
        </w:rPr>
        <w:t xml:space="preserve"> </w:t>
      </w:r>
      <w:r w:rsidRPr="006230B9" w:rsidR="002A24C9">
        <w:t xml:space="preserve">RWHAP recipients </w:t>
      </w:r>
      <w:r w:rsidR="002A24C9">
        <w:t>are</w:t>
      </w:r>
      <w:r w:rsidRPr="006230B9" w:rsidR="002A24C9">
        <w:t xml:space="preserve"> </w:t>
      </w:r>
      <w:r w:rsidR="002A24C9">
        <w:t>also asked</w:t>
      </w:r>
      <w:r w:rsidRPr="006230B9" w:rsidR="002A24C9">
        <w:t xml:space="preserve"> </w:t>
      </w:r>
      <w:r w:rsidR="002A24C9">
        <w:t xml:space="preserve">to submit data </w:t>
      </w:r>
      <w:r w:rsidRPr="006230B9" w:rsidR="002A24C9">
        <w:t xml:space="preserve">with information necessary for HRSA to assess the quantity of </w:t>
      </w:r>
      <w:r w:rsidR="002A24C9">
        <w:t>mpox</w:t>
      </w:r>
      <w:r w:rsidRPr="006230B9" w:rsidR="002A24C9">
        <w:t xml:space="preserve"> vaccines </w:t>
      </w:r>
      <w:r w:rsidR="002A24C9">
        <w:t>requested</w:t>
      </w:r>
      <w:r w:rsidRPr="006230B9" w:rsidR="002A24C9">
        <w:t xml:space="preserve"> and </w:t>
      </w:r>
      <w:r w:rsidR="0048573E">
        <w:t>their</w:t>
      </w:r>
      <w:r w:rsidRPr="006230B9" w:rsidR="002A24C9">
        <w:t xml:space="preserve"> distribution</w:t>
      </w:r>
      <w:r w:rsidR="002A24C9">
        <w:t xml:space="preserve"> status.  </w:t>
      </w:r>
      <w:r w:rsidRPr="006230B9" w:rsidR="002A24C9">
        <w:t>Th</w:t>
      </w:r>
      <w:r w:rsidR="002A24C9">
        <w:t>e</w:t>
      </w:r>
      <w:r w:rsidRPr="006230B9" w:rsidR="002A24C9">
        <w:t xml:space="preserve"> information</w:t>
      </w:r>
      <w:r w:rsidR="002A24C9">
        <w:t xml:space="preserve"> collected </w:t>
      </w:r>
      <w:r w:rsidRPr="00A2036B" w:rsidR="002A24C9">
        <w:t>includes grant number; recipient name, point of contact, phone number; shipping address; shipping point of contac</w:t>
      </w:r>
      <w:r w:rsidR="002A24C9">
        <w:t>t</w:t>
      </w:r>
      <w:r w:rsidRPr="00A2036B" w:rsidR="002A24C9">
        <w:t xml:space="preserve">, email address, and number of boxes of </w:t>
      </w:r>
      <w:r w:rsidR="002A24C9">
        <w:t>mpox</w:t>
      </w:r>
      <w:r w:rsidRPr="00A2036B" w:rsidR="002A24C9">
        <w:t xml:space="preserve"> vaccine requested</w:t>
      </w:r>
      <w:r w:rsidR="002A24C9">
        <w:t>.</w:t>
      </w:r>
    </w:p>
    <w:p w:rsidR="005966D9" w:rsidP="00781CAF" w14:paraId="357BFDC7" w14:textId="2DA486F5">
      <w:pPr>
        <w:spacing w:after="0" w:line="240" w:lineRule="auto"/>
      </w:pPr>
    </w:p>
    <w:p w:rsidR="005966D9" w:rsidRPr="00E726A3" w:rsidP="005966D9" w14:paraId="1BDA2A64" w14:textId="09D7FA22">
      <w:pPr>
        <w:spacing w:after="0" w:line="240" w:lineRule="auto"/>
      </w:pPr>
      <w:r>
        <w:t>Data collection is authorized under Public Law 111 – 352</w:t>
      </w:r>
      <w:r w:rsidR="00BC35CE">
        <w:t>, Section 4</w:t>
      </w:r>
      <w:r>
        <w:t xml:space="preserve"> (Government Performance and Results Act (GPRA) Modernization Act of 2010</w:t>
      </w:r>
      <w:r w:rsidR="00BC35CE">
        <w:t>).</w:t>
      </w:r>
    </w:p>
    <w:p w:rsidR="002F53FD" w:rsidRPr="00236F36" w:rsidP="00781CAF" w14:paraId="269609D6" w14:textId="77777777">
      <w:pPr>
        <w:pStyle w:val="Heading2"/>
        <w:spacing w:line="240" w:lineRule="auto"/>
        <w:rPr>
          <w:u w:val="single"/>
        </w:rPr>
      </w:pPr>
      <w:bookmarkStart w:id="2" w:name="_Toc46022710"/>
      <w:r>
        <w:t>2.</w:t>
      </w:r>
      <w:r>
        <w:tab/>
      </w:r>
      <w:r w:rsidRPr="00236F36">
        <w:rPr>
          <w:u w:val="single"/>
        </w:rPr>
        <w:t>Purpose and Use of Information</w:t>
      </w:r>
      <w:bookmarkEnd w:id="2"/>
      <w:r w:rsidR="00236F36">
        <w:rPr>
          <w:u w:val="single"/>
        </w:rPr>
        <w:t xml:space="preserve"> Collection</w:t>
      </w:r>
    </w:p>
    <w:p w:rsidR="00DF43F1" w:rsidP="00781CAF" w14:paraId="2D847042" w14:textId="65CFBD57">
      <w:pPr>
        <w:spacing w:line="240" w:lineRule="auto"/>
      </w:pPr>
      <w:r>
        <w:t>Th</w:t>
      </w:r>
      <w:r w:rsidR="00372751">
        <w:t xml:space="preserve">e </w:t>
      </w:r>
      <w:r w:rsidR="005B0033">
        <w:t xml:space="preserve">major purpose of this data collection is </w:t>
      </w:r>
      <w:r>
        <w:t xml:space="preserve">to </w:t>
      </w:r>
      <w:r w:rsidRPr="009D6413">
        <w:t>improve HRSA</w:t>
      </w:r>
      <w:r>
        <w:t>’s</w:t>
      </w:r>
      <w:r w:rsidRPr="009D6413">
        <w:t xml:space="preserve"> ability to provide </w:t>
      </w:r>
      <w:r>
        <w:t xml:space="preserve">additional </w:t>
      </w:r>
      <w:r w:rsidRPr="009D6413">
        <w:t xml:space="preserve">resources and assistance to RWHAP recipients, </w:t>
      </w:r>
      <w:r>
        <w:t>which may result</w:t>
      </w:r>
      <w:r w:rsidRPr="009D6413">
        <w:t xml:space="preserve"> in i</w:t>
      </w:r>
      <w:r>
        <w:t xml:space="preserve">ncreased </w:t>
      </w:r>
      <w:r w:rsidRPr="009D6413">
        <w:t xml:space="preserve">prevention </w:t>
      </w:r>
      <w:r>
        <w:t>of mpox among RWHAP clients</w:t>
      </w:r>
      <w:r w:rsidRPr="009D6413">
        <w:t>.</w:t>
      </w:r>
    </w:p>
    <w:p w:rsidR="00DF43F1" w:rsidP="00781CAF" w14:paraId="47A188AE" w14:textId="77777777">
      <w:pPr>
        <w:spacing w:line="240" w:lineRule="auto"/>
      </w:pPr>
      <w:r w:rsidRPr="0059552D">
        <w:t>HRSA</w:t>
      </w:r>
      <w:r>
        <w:t xml:space="preserve"> </w:t>
      </w:r>
      <w:r w:rsidRPr="0059552D">
        <w:t>will use the information collected to</w:t>
      </w:r>
      <w:r>
        <w:t>:</w:t>
      </w:r>
    </w:p>
    <w:p w:rsidR="005B0033" w:rsidP="00781CAF" w14:paraId="422076BB" w14:textId="1AF22C92">
      <w:pPr>
        <w:pStyle w:val="ListParagraph"/>
        <w:numPr>
          <w:ilvl w:val="0"/>
          <w:numId w:val="15"/>
        </w:numPr>
        <w:spacing w:line="240" w:lineRule="auto"/>
      </w:pPr>
      <w:r>
        <w:t>A</w:t>
      </w:r>
      <w:r w:rsidRPr="00B11910" w:rsidR="000728D9">
        <w:t xml:space="preserve">ssess and improve its response to the </w:t>
      </w:r>
      <w:r w:rsidR="000728D9">
        <w:t>mpox</w:t>
      </w:r>
      <w:r w:rsidRPr="00B11910" w:rsidR="000728D9">
        <w:t xml:space="preserve"> </w:t>
      </w:r>
      <w:r w:rsidR="00FA5EFA">
        <w:t>outbreak</w:t>
      </w:r>
      <w:r>
        <w:t>;</w:t>
      </w:r>
      <w:r w:rsidR="000728D9">
        <w:t xml:space="preserve"> and </w:t>
      </w:r>
    </w:p>
    <w:p w:rsidR="000728D9" w:rsidP="00781CAF" w14:paraId="795DFE1B" w14:textId="4E950509">
      <w:pPr>
        <w:pStyle w:val="ListParagraph"/>
        <w:numPr>
          <w:ilvl w:val="0"/>
          <w:numId w:val="15"/>
        </w:numPr>
        <w:spacing w:line="240" w:lineRule="auto"/>
      </w:pPr>
      <w:r>
        <w:t>I</w:t>
      </w:r>
      <w:r w:rsidRPr="00B11910">
        <w:t>mprove HRSA’s ability to provide resources and assistance to RWHAP recipients</w:t>
      </w:r>
      <w:r>
        <w:t xml:space="preserve"> in future public health emergencies.</w:t>
      </w:r>
      <w:r w:rsidR="004337B9">
        <w:t xml:space="preserve"> </w:t>
      </w:r>
    </w:p>
    <w:p w:rsidR="00551081" w:rsidRPr="00551081" w:rsidP="00781CAF" w14:paraId="2E4ED58F" w14:textId="711B86D2">
      <w:pPr>
        <w:pStyle w:val="Heading2"/>
        <w:spacing w:line="240" w:lineRule="auto"/>
        <w:rPr>
          <w:u w:val="single"/>
        </w:rPr>
      </w:pPr>
      <w:bookmarkStart w:id="3" w:name="_Toc46022711"/>
      <w:r>
        <w:t>3.</w:t>
      </w:r>
      <w:r>
        <w:tab/>
      </w:r>
      <w:r w:rsidRPr="00236F36">
        <w:rPr>
          <w:u w:val="single"/>
        </w:rPr>
        <w:t>Use of Improved Information Technology</w:t>
      </w:r>
      <w:bookmarkEnd w:id="3"/>
      <w:r w:rsidRPr="00236F36" w:rsidR="00236F36">
        <w:rPr>
          <w:u w:val="single"/>
        </w:rPr>
        <w:t xml:space="preserve"> and Burden Reduction</w:t>
      </w:r>
      <w:bookmarkStart w:id="4" w:name="_Toc46022712"/>
      <w:r>
        <w:rPr>
          <w:u w:val="single"/>
        </w:rPr>
        <w:br/>
      </w:r>
      <w:r w:rsidRPr="005A4F05" w:rsidR="00A3663C">
        <w:rPr>
          <w:b w:val="0"/>
          <w:bCs w:val="0"/>
        </w:rPr>
        <w:t>RWHAP recipients that receive shipments of the JYNNEOS vaccine upload administration and inventory/wastage data into</w:t>
      </w:r>
      <w:r w:rsidRPr="005A4F05" w:rsidR="00717B65">
        <w:rPr>
          <w:b w:val="0"/>
          <w:bCs w:val="0"/>
        </w:rPr>
        <w:t xml:space="preserve"> HPOP</w:t>
      </w:r>
      <w:r w:rsidRPr="00551081">
        <w:rPr>
          <w:b w:val="0"/>
          <w:bCs w:val="0"/>
          <w:szCs w:val="24"/>
        </w:rPr>
        <w:t xml:space="preserve">. </w:t>
      </w:r>
    </w:p>
    <w:p w:rsidR="002F53FD" w:rsidP="00781CAF" w14:paraId="13F40D52" w14:textId="13D6B0F1">
      <w:pPr>
        <w:pStyle w:val="Heading2"/>
        <w:spacing w:line="240" w:lineRule="auto"/>
      </w:pPr>
      <w:r>
        <w:t>4.</w:t>
      </w:r>
      <w:r>
        <w:tab/>
      </w:r>
      <w:r w:rsidRPr="00236F36">
        <w:rPr>
          <w:u w:val="single"/>
        </w:rPr>
        <w:t>Efforts to Identify Duplication</w:t>
      </w:r>
      <w:bookmarkEnd w:id="4"/>
      <w:r w:rsidRPr="00236F36" w:rsidR="00236F36">
        <w:rPr>
          <w:u w:val="single"/>
        </w:rPr>
        <w:t xml:space="preserve"> and Use of Similar Information</w:t>
      </w:r>
    </w:p>
    <w:p w:rsidR="0019279F" w:rsidP="00781CAF" w14:paraId="14AFB1EC" w14:textId="0525267B">
      <w:pPr>
        <w:spacing w:line="240" w:lineRule="auto"/>
      </w:pPr>
      <w:r>
        <w:t xml:space="preserve">Data that describe the activities of the </w:t>
      </w:r>
      <w:r w:rsidR="00535F59">
        <w:t>JYNNEOS</w:t>
      </w:r>
      <w:r>
        <w:t xml:space="preserve"> </w:t>
      </w:r>
      <w:r w:rsidR="00E52D7E">
        <w:t>recipients</w:t>
      </w:r>
      <w:r>
        <w:t xml:space="preserve"> are not available elsewhere. </w:t>
      </w:r>
      <w:r w:rsidR="00B85CB5">
        <w:t xml:space="preserve"> </w:t>
      </w:r>
    </w:p>
    <w:p w:rsidR="002F53FD" w:rsidRPr="00236F36" w:rsidP="00781CAF" w14:paraId="334967E1" w14:textId="7D751266">
      <w:pPr>
        <w:pStyle w:val="Heading2"/>
        <w:numPr>
          <w:ilvl w:val="0"/>
          <w:numId w:val="5"/>
        </w:numPr>
        <w:tabs>
          <w:tab w:val="num" w:pos="360"/>
          <w:tab w:val="clear" w:pos="720"/>
        </w:tabs>
        <w:spacing w:line="240" w:lineRule="auto"/>
        <w:ind w:left="0" w:firstLine="0"/>
        <w:rPr>
          <w:u w:val="single"/>
        </w:rPr>
      </w:pPr>
      <w:bookmarkStart w:id="5" w:name="_Toc46022713"/>
      <w:r>
        <w:rPr>
          <w:u w:val="single"/>
        </w:rPr>
        <w:t>Impact</w:t>
      </w:r>
      <w:r w:rsidRPr="00236F36">
        <w:rPr>
          <w:u w:val="single"/>
        </w:rPr>
        <w:t xml:space="preserve"> </w:t>
      </w:r>
      <w:r w:rsidRPr="00236F36" w:rsidR="00236F36">
        <w:rPr>
          <w:u w:val="single"/>
        </w:rPr>
        <w:t>on</w:t>
      </w:r>
      <w:r w:rsidRPr="00236F36">
        <w:rPr>
          <w:u w:val="single"/>
        </w:rPr>
        <w:t xml:space="preserve"> Small </w:t>
      </w:r>
      <w:bookmarkEnd w:id="5"/>
      <w:r w:rsidRPr="00236F36" w:rsidR="00236F36">
        <w:rPr>
          <w:u w:val="single"/>
        </w:rPr>
        <w:t>Businesses or Other Small Entities</w:t>
      </w:r>
    </w:p>
    <w:p w:rsidR="0019279F" w:rsidP="00781CAF" w14:paraId="2222DE9C" w14:textId="77777777">
      <w:pPr>
        <w:spacing w:line="240" w:lineRule="auto"/>
      </w:pPr>
      <w:r>
        <w:t>This data collection does not involve small businesses</w:t>
      </w:r>
      <w:r w:rsidR="00CE6620">
        <w:t xml:space="preserve"> and does not have a significant impact on small entities</w:t>
      </w:r>
      <w:r>
        <w:t>.</w:t>
      </w:r>
    </w:p>
    <w:p w:rsidR="002F53FD" w:rsidRPr="00236F36" w:rsidP="00781CAF" w14:paraId="2EC2BF2B" w14:textId="77777777">
      <w:pPr>
        <w:pStyle w:val="Heading2"/>
        <w:spacing w:line="240" w:lineRule="auto"/>
        <w:rPr>
          <w:b w:val="0"/>
          <w:bCs w:val="0"/>
          <w:u w:val="single"/>
        </w:rPr>
      </w:pPr>
      <w:bookmarkStart w:id="6" w:name="_Toc46022714"/>
      <w:r>
        <w:t>6.</w:t>
      </w:r>
      <w:r>
        <w:tab/>
      </w:r>
      <w:r w:rsidRPr="00236F36">
        <w:rPr>
          <w:u w:val="single"/>
        </w:rPr>
        <w:t>Consequences</w:t>
      </w:r>
      <w:r w:rsidRPr="00236F36" w:rsidR="00236F36">
        <w:rPr>
          <w:u w:val="single"/>
        </w:rPr>
        <w:t xml:space="preserve"> of Collecting the Information</w:t>
      </w:r>
      <w:r w:rsidRPr="00236F36">
        <w:rPr>
          <w:u w:val="single"/>
        </w:rPr>
        <w:t xml:space="preserve"> Less Frequently</w:t>
      </w:r>
      <w:bookmarkEnd w:id="6"/>
    </w:p>
    <w:p w:rsidR="00B57E31" w:rsidP="00781CAF" w14:paraId="3CFB61FC" w14:textId="0CDF3ADA">
      <w:pPr>
        <w:spacing w:line="240" w:lineRule="auto"/>
      </w:pPr>
      <w:r>
        <w:t xml:space="preserve">The public health emergency ended </w:t>
      </w:r>
      <w:r w:rsidR="0082691C">
        <w:t xml:space="preserve">on January </w:t>
      </w:r>
      <w:r w:rsidR="003B249E">
        <w:t>31, 2023</w:t>
      </w:r>
      <w:r w:rsidR="00E3456F">
        <w:t xml:space="preserve">. </w:t>
      </w:r>
      <w:r w:rsidR="00A60083">
        <w:t xml:space="preserve"> </w:t>
      </w:r>
      <w:r w:rsidRPr="00B4742C" w:rsidR="0089229F">
        <w:t xml:space="preserve">HRSA is proposing to continue collecting </w:t>
      </w:r>
      <w:r w:rsidR="0089229F">
        <w:t>these</w:t>
      </w:r>
      <w:r w:rsidRPr="00B4742C" w:rsidR="0089229F">
        <w:t xml:space="preserve"> data until the end of 2025</w:t>
      </w:r>
      <w:r w:rsidR="00BF1783">
        <w:t xml:space="preserve">. </w:t>
      </w:r>
      <w:r w:rsidR="00A60083">
        <w:t xml:space="preserve"> </w:t>
      </w:r>
      <w:r w:rsidR="00FB4BD6">
        <w:t xml:space="preserve">Without the weekly reporting of the </w:t>
      </w:r>
      <w:r w:rsidR="00375D7B">
        <w:t xml:space="preserve">mpox vaccine </w:t>
      </w:r>
      <w:r w:rsidR="00503D84">
        <w:t>distribution,</w:t>
      </w:r>
      <w:r w:rsidR="007A3255">
        <w:t xml:space="preserve"> HRSA </w:t>
      </w:r>
      <w:r w:rsidR="005A2710">
        <w:t>HIV/AIDS Bureau (</w:t>
      </w:r>
      <w:r w:rsidR="007A3255">
        <w:t>HAB</w:t>
      </w:r>
      <w:r w:rsidR="005A2710">
        <w:t>)</w:t>
      </w:r>
      <w:r w:rsidR="007A3255">
        <w:t xml:space="preserve"> would not </w:t>
      </w:r>
      <w:r>
        <w:t>be able to:</w:t>
      </w:r>
    </w:p>
    <w:p w:rsidR="00DC3D0E" w:rsidP="00781CAF" w14:paraId="27F8A139" w14:textId="03062241">
      <w:pPr>
        <w:pStyle w:val="ListParagraph"/>
        <w:numPr>
          <w:ilvl w:val="0"/>
          <w:numId w:val="16"/>
        </w:numPr>
        <w:spacing w:line="240" w:lineRule="auto"/>
      </w:pPr>
      <w:r>
        <w:t>Track and a</w:t>
      </w:r>
      <w:r w:rsidR="00080E8F">
        <w:t xml:space="preserve">ssess </w:t>
      </w:r>
      <w:r w:rsidR="006B1E05">
        <w:t xml:space="preserve">mpox </w:t>
      </w:r>
      <w:r w:rsidR="00A17902">
        <w:t xml:space="preserve">vaccine </w:t>
      </w:r>
      <w:r w:rsidR="006B1E05">
        <w:t>distributed</w:t>
      </w:r>
      <w:r w:rsidR="008E4C88">
        <w:t xml:space="preserve"> to </w:t>
      </w:r>
      <w:r w:rsidR="00125E34">
        <w:t xml:space="preserve">RWHAP </w:t>
      </w:r>
      <w:r w:rsidR="008E4C88">
        <w:t xml:space="preserve">Part C dually funded </w:t>
      </w:r>
      <w:r w:rsidR="00123347">
        <w:t>recipients</w:t>
      </w:r>
    </w:p>
    <w:p w:rsidR="00A17902" w:rsidP="00781CAF" w14:paraId="3A4827DD" w14:textId="6978C7A4">
      <w:pPr>
        <w:pStyle w:val="ListParagraph"/>
        <w:numPr>
          <w:ilvl w:val="0"/>
          <w:numId w:val="16"/>
        </w:numPr>
        <w:spacing w:line="240" w:lineRule="auto"/>
      </w:pPr>
      <w:r>
        <w:t>Assess</w:t>
      </w:r>
      <w:r w:rsidR="00192162">
        <w:t xml:space="preserve"> t</w:t>
      </w:r>
      <w:r w:rsidR="00375D7B">
        <w:t>herapeutic</w:t>
      </w:r>
      <w:r>
        <w:t xml:space="preserve"> outcomes</w:t>
      </w:r>
      <w:r w:rsidR="00503D84">
        <w:t xml:space="preserve"> for the clients of </w:t>
      </w:r>
      <w:r w:rsidR="008E4C88">
        <w:t>recipients</w:t>
      </w:r>
      <w:r w:rsidR="00503D84">
        <w:t xml:space="preserve"> who </w:t>
      </w:r>
      <w:r w:rsidR="008E4C88">
        <w:t>administered</w:t>
      </w:r>
      <w:r w:rsidR="00503D84">
        <w:t xml:space="preserve"> </w:t>
      </w:r>
      <w:r w:rsidR="008E4C88">
        <w:t xml:space="preserve">the </w:t>
      </w:r>
      <w:r>
        <w:t xml:space="preserve">mpox </w:t>
      </w:r>
      <w:r w:rsidR="008E4C88">
        <w:t>vaccine</w:t>
      </w:r>
    </w:p>
    <w:p w:rsidR="00A17902" w:rsidP="00781CAF" w14:paraId="283FBB5F" w14:textId="56BFCD49">
      <w:pPr>
        <w:pStyle w:val="ListParagraph"/>
        <w:numPr>
          <w:ilvl w:val="0"/>
          <w:numId w:val="16"/>
        </w:numPr>
        <w:spacing w:line="240" w:lineRule="auto"/>
      </w:pPr>
      <w:r>
        <w:t>Monitor</w:t>
      </w:r>
      <w:r w:rsidR="00825868">
        <w:t xml:space="preserve"> the</w:t>
      </w:r>
      <w:r>
        <w:t xml:space="preserve"> </w:t>
      </w:r>
      <w:r w:rsidR="00825868">
        <w:t>proper</w:t>
      </w:r>
      <w:r>
        <w:t xml:space="preserve"> </w:t>
      </w:r>
      <w:r w:rsidR="00123347">
        <w:t>elimination</w:t>
      </w:r>
      <w:r w:rsidR="008E4C88">
        <w:t xml:space="preserve"> and removal of </w:t>
      </w:r>
      <w:r w:rsidR="005320C2">
        <w:t xml:space="preserve">JYNNEOS </w:t>
      </w:r>
      <w:r w:rsidR="00A60083">
        <w:t xml:space="preserve">vaccine </w:t>
      </w:r>
      <w:r w:rsidR="00123347">
        <w:t>wastage</w:t>
      </w:r>
      <w:r>
        <w:t xml:space="preserve"> </w:t>
      </w:r>
    </w:p>
    <w:p w:rsidR="002F53FD" w:rsidP="00781CAF" w14:paraId="4CEE7962" w14:textId="77777777">
      <w:pPr>
        <w:pStyle w:val="Heading2"/>
        <w:spacing w:line="240" w:lineRule="auto"/>
      </w:pPr>
      <w:bookmarkStart w:id="7" w:name="_Toc46022715"/>
      <w:r>
        <w:t>7.</w:t>
      </w:r>
      <w:r>
        <w:tab/>
      </w:r>
      <w:r w:rsidRPr="0019279F">
        <w:rPr>
          <w:u w:val="single"/>
        </w:rPr>
        <w:t xml:space="preserve">Special Circumstances Relating to the </w:t>
      </w:r>
      <w:r w:rsidRPr="0019279F">
        <w:rPr>
          <w:u w:val="single"/>
        </w:rPr>
        <w:t>Guidelines in 5 CFR 1320.5</w:t>
      </w:r>
      <w:bookmarkEnd w:id="7"/>
    </w:p>
    <w:p w:rsidR="00A17738" w:rsidP="00781CAF" w14:paraId="73B38BED" w14:textId="77777777">
      <w:pPr>
        <w:spacing w:line="240" w:lineRule="auto"/>
        <w:rPr>
          <w:rStyle w:val="BodyTextFi"/>
        </w:rPr>
      </w:pPr>
      <w:r>
        <w:rPr>
          <w:rStyle w:val="BodyTextFi"/>
        </w:rPr>
        <w:t>The</w:t>
      </w:r>
      <w:r w:rsidR="00621F60">
        <w:rPr>
          <w:rStyle w:val="BodyTextFi"/>
        </w:rPr>
        <w:t>se</w:t>
      </w:r>
      <w:r>
        <w:rPr>
          <w:rStyle w:val="BodyTextFi"/>
        </w:rPr>
        <w:t xml:space="preserve"> data will be collected in a manner consistent wit</w:t>
      </w:r>
      <w:r>
        <w:rPr>
          <w:rStyle w:val="BodyTextFi"/>
        </w:rPr>
        <w:t xml:space="preserve">h the </w:t>
      </w:r>
      <w:r w:rsidR="00236F36">
        <w:rPr>
          <w:rStyle w:val="BodyTextFi"/>
        </w:rPr>
        <w:t>guidelines in 5 CFR 1320.5</w:t>
      </w:r>
      <w:r>
        <w:rPr>
          <w:rStyle w:val="BodyTextFi"/>
        </w:rPr>
        <w:t>.</w:t>
      </w:r>
    </w:p>
    <w:p w:rsidR="002F53FD" w:rsidRPr="00236F36" w:rsidP="00781CAF" w14:paraId="4A0BFDD4" w14:textId="77777777">
      <w:pPr>
        <w:pStyle w:val="Heading2"/>
        <w:spacing w:line="240" w:lineRule="auto"/>
        <w:rPr>
          <w:u w:val="single"/>
        </w:rPr>
      </w:pPr>
      <w:bookmarkStart w:id="8" w:name="_Toc46022716"/>
      <w:r>
        <w:t>8.</w:t>
      </w:r>
      <w:r>
        <w:tab/>
      </w:r>
      <w:r w:rsidRPr="00236F36" w:rsidR="00236F36">
        <w:rPr>
          <w:u w:val="single"/>
        </w:rPr>
        <w:t>Comments in Response to the Federal Register Notice/</w:t>
      </w:r>
      <w:r w:rsidRPr="00236F36">
        <w:rPr>
          <w:u w:val="single"/>
        </w:rPr>
        <w:t>Outside</w:t>
      </w:r>
      <w:bookmarkEnd w:id="8"/>
      <w:r w:rsidRPr="00236F36" w:rsidR="00236F36">
        <w:rPr>
          <w:u w:val="single"/>
        </w:rPr>
        <w:t xml:space="preserve"> Consultation</w:t>
      </w:r>
    </w:p>
    <w:p w:rsidR="00236F36" w:rsidRPr="00DD7C61" w:rsidP="00781CAF" w14:paraId="49159C3C" w14:textId="77777777">
      <w:pPr>
        <w:spacing w:line="240" w:lineRule="auto"/>
        <w:rPr>
          <w:b/>
        </w:rPr>
      </w:pPr>
      <w:r w:rsidRPr="00DD7C61">
        <w:rPr>
          <w:b/>
        </w:rPr>
        <w:t>Section 8A:</w:t>
      </w:r>
    </w:p>
    <w:p w:rsidR="008B26F1" w:rsidRPr="008B26F1" w:rsidP="00781CAF" w14:paraId="316A974E" w14:textId="74901C3F">
      <w:pPr>
        <w:spacing w:line="240" w:lineRule="auto"/>
        <w:rPr>
          <w:sz w:val="22"/>
          <w:szCs w:val="22"/>
        </w:rPr>
      </w:pPr>
      <w:r w:rsidRPr="008B26F1">
        <w:t xml:space="preserve">A 60-day </w:t>
      </w:r>
      <w:r w:rsidRPr="00E726A3">
        <w:rPr>
          <w:i/>
        </w:rPr>
        <w:t>Federal Register</w:t>
      </w:r>
      <w:r w:rsidRPr="008B26F1">
        <w:t xml:space="preserve"> Notice was published in the Federal Register on May 9, 2023 (Volume 88, No. 89, pages 29909-10).  </w:t>
      </w:r>
      <w:r w:rsidR="005E31B4">
        <w:t>There was one comment received.  There are</w:t>
      </w:r>
      <w:r w:rsidR="005E31B4">
        <w:rPr>
          <w:rStyle w:val="ui-provider"/>
        </w:rPr>
        <w:t xml:space="preserve"> no changes made</w:t>
      </w:r>
      <w:r w:rsidRPr="00E726A3" w:rsidR="005E31B4">
        <w:rPr>
          <w:rStyle w:val="ui-provider"/>
        </w:rPr>
        <w:t xml:space="preserve"> to the </w:t>
      </w:r>
      <w:r w:rsidR="005E31B4">
        <w:rPr>
          <w:rStyle w:val="ui-provider"/>
        </w:rPr>
        <w:t>information collection since the comment received is outside the scope of this information request</w:t>
      </w:r>
      <w:r w:rsidR="005E31B4">
        <w:t>.</w:t>
      </w:r>
    </w:p>
    <w:p w:rsidR="00236F36" w:rsidRPr="00DD7C61" w:rsidP="00781CAF" w14:paraId="6B3E6915" w14:textId="77777777">
      <w:pPr>
        <w:spacing w:line="240" w:lineRule="auto"/>
        <w:rPr>
          <w:b/>
        </w:rPr>
      </w:pPr>
      <w:r w:rsidRPr="00DD7C61">
        <w:rPr>
          <w:b/>
        </w:rPr>
        <w:t>Section 8B:</w:t>
      </w:r>
    </w:p>
    <w:p w:rsidR="000203B7" w:rsidP="00781CAF" w14:paraId="54523207" w14:textId="19304D18">
      <w:pPr>
        <w:spacing w:line="240" w:lineRule="auto"/>
      </w:pPr>
      <w:r>
        <w:t>I</w:t>
      </w:r>
      <w:r w:rsidR="002F53FD">
        <w:t>n determining</w:t>
      </w:r>
      <w:r w:rsidR="009514C5">
        <w:t xml:space="preserve"> the burden estimate and the clarity of the information requested in the report</w:t>
      </w:r>
      <w:r w:rsidR="002F53FD">
        <w:t xml:space="preserve"> from </w:t>
      </w:r>
      <w:r w:rsidR="00E52D7E">
        <w:t>recipients</w:t>
      </w:r>
      <w:r w:rsidR="002F53FD">
        <w:t xml:space="preserve">, </w:t>
      </w:r>
      <w:r w:rsidR="00E52D7E">
        <w:t xml:space="preserve">HRSA </w:t>
      </w:r>
      <w:r w:rsidR="002F53FD">
        <w:t>HAB consulted with</w:t>
      </w:r>
      <w:r w:rsidR="00315585">
        <w:t xml:space="preserve"> </w:t>
      </w:r>
      <w:r w:rsidR="00ED7B28">
        <w:t>seven</w:t>
      </w:r>
      <w:r w:rsidR="002F53FD">
        <w:t xml:space="preserve"> </w:t>
      </w:r>
      <w:r w:rsidR="00315585">
        <w:t>(</w:t>
      </w:r>
      <w:r w:rsidR="00ED7B28">
        <w:t>7</w:t>
      </w:r>
      <w:r w:rsidR="00315585">
        <w:t>)</w:t>
      </w:r>
      <w:r w:rsidRPr="00AD3655" w:rsidR="00611B3D">
        <w:t xml:space="preserve"> </w:t>
      </w:r>
      <w:r w:rsidR="00125E34">
        <w:t xml:space="preserve">RWHAP </w:t>
      </w:r>
      <w:r w:rsidR="009752D6">
        <w:t>Part C dually funded recipients</w:t>
      </w:r>
      <w:r w:rsidR="00AD3655">
        <w:t xml:space="preserve"> in </w:t>
      </w:r>
      <w:r w:rsidR="009752D6">
        <w:t>May</w:t>
      </w:r>
      <w:r w:rsidR="00BD56B8">
        <w:t xml:space="preserve"> 2023</w:t>
      </w:r>
      <w:r w:rsidR="009514C5">
        <w:t>.</w:t>
      </w:r>
      <w:r>
        <w:t xml:space="preserve"> </w:t>
      </w:r>
      <w:r w:rsidR="00315585">
        <w:t xml:space="preserve"> </w:t>
      </w:r>
      <w:r w:rsidR="00B63D8E">
        <w:t>All</w:t>
      </w:r>
      <w:r w:rsidR="00F5636D">
        <w:t xml:space="preserve"> the </w:t>
      </w:r>
      <w:r w:rsidR="00A230F8">
        <w:t>recipients in the pilot group report</w:t>
      </w:r>
      <w:r w:rsidR="00B63D8E">
        <w:t>ed</w:t>
      </w:r>
      <w:r w:rsidR="00A230F8">
        <w:t xml:space="preserve"> no issues with the </w:t>
      </w:r>
      <w:r w:rsidR="001E706E">
        <w:t xml:space="preserve">data collection instruments </w:t>
      </w:r>
      <w:r w:rsidR="00A230F8">
        <w:t xml:space="preserve">or </w:t>
      </w:r>
      <w:r w:rsidR="00E379F9">
        <w:t xml:space="preserve">the data collection </w:t>
      </w:r>
      <w:r w:rsidR="001E706E">
        <w:t>process.</w:t>
      </w:r>
      <w:r w:rsidR="00A230F8">
        <w:t xml:space="preserve"> </w:t>
      </w:r>
      <w:r w:rsidR="009752D6">
        <w:t xml:space="preserve"> </w:t>
      </w:r>
    </w:p>
    <w:p w:rsidR="002F53FD" w:rsidP="00781CAF" w14:paraId="3CE689B8" w14:textId="77777777">
      <w:pPr>
        <w:pStyle w:val="Heading2"/>
        <w:spacing w:line="240" w:lineRule="auto"/>
      </w:pPr>
      <w:bookmarkStart w:id="9" w:name="_Toc46022717"/>
      <w:r>
        <w:t>9.</w:t>
      </w:r>
      <w:r>
        <w:tab/>
      </w:r>
      <w:r w:rsidRPr="00236F36" w:rsidR="00236F36">
        <w:rPr>
          <w:u w:val="single"/>
        </w:rPr>
        <w:t>Explanation of any Payment/Gift to Respondents</w:t>
      </w:r>
      <w:bookmarkEnd w:id="9"/>
    </w:p>
    <w:p w:rsidR="002F53FD" w:rsidP="00781CAF" w14:paraId="733E3B92" w14:textId="77777777">
      <w:pPr>
        <w:spacing w:line="240" w:lineRule="auto"/>
      </w:pPr>
      <w:r>
        <w:rPr>
          <w:rStyle w:val="BodyTextFi"/>
        </w:rPr>
        <w:t>Respondents will not be remunerated.</w:t>
      </w:r>
    </w:p>
    <w:p w:rsidR="002F53FD" w:rsidP="00781CAF" w14:paraId="3580472D" w14:textId="77777777">
      <w:pPr>
        <w:pStyle w:val="Heading2"/>
        <w:spacing w:line="240" w:lineRule="auto"/>
      </w:pPr>
      <w:bookmarkStart w:id="10" w:name="_Toc46022718"/>
      <w:r>
        <w:t>10.</w:t>
      </w:r>
      <w:r>
        <w:tab/>
      </w:r>
      <w:r w:rsidRPr="00212785">
        <w:rPr>
          <w:u w:val="single"/>
        </w:rPr>
        <w:t>Assurance of Confidentiality</w:t>
      </w:r>
      <w:bookmarkEnd w:id="10"/>
      <w:r w:rsidRPr="00212785" w:rsidR="00212785">
        <w:rPr>
          <w:u w:val="single"/>
        </w:rPr>
        <w:t xml:space="preserve"> Provided to Respondents</w:t>
      </w:r>
    </w:p>
    <w:p w:rsidR="002F53FD" w:rsidP="00781CAF" w14:paraId="15375BFF" w14:textId="69E2FEA8">
      <w:pPr>
        <w:spacing w:line="240" w:lineRule="auto"/>
      </w:pPr>
      <w:r>
        <w:t>Only summary data will be included in any reports developed from the collection of this information.</w:t>
      </w:r>
      <w:r w:rsidR="00315585">
        <w:t xml:space="preserve"> </w:t>
      </w:r>
      <w:r>
        <w:t xml:space="preserve"> No </w:t>
      </w:r>
      <w:r w:rsidR="00E379F9">
        <w:t>individual-level</w:t>
      </w:r>
      <w:r>
        <w:t xml:space="preserve"> data will be seen by HRSA or any outside party.  </w:t>
      </w:r>
    </w:p>
    <w:p w:rsidR="002F53FD" w:rsidP="00781CAF" w14:paraId="07D10687" w14:textId="77777777">
      <w:pPr>
        <w:pStyle w:val="Heading2"/>
        <w:spacing w:line="240" w:lineRule="auto"/>
      </w:pPr>
      <w:bookmarkStart w:id="11" w:name="_Toc46022719"/>
      <w:r>
        <w:t>11.</w:t>
      </w:r>
      <w:r>
        <w:tab/>
      </w:r>
      <w:r w:rsidRPr="00212785" w:rsidR="00212785">
        <w:rPr>
          <w:u w:val="single"/>
        </w:rPr>
        <w:t>Justification for</w:t>
      </w:r>
      <w:r w:rsidRPr="00212785">
        <w:rPr>
          <w:u w:val="single"/>
        </w:rPr>
        <w:t xml:space="preserve"> Sensitive </w:t>
      </w:r>
      <w:bookmarkEnd w:id="11"/>
      <w:r w:rsidRPr="00212785" w:rsidR="00212785">
        <w:rPr>
          <w:u w:val="single"/>
        </w:rPr>
        <w:t>Questions</w:t>
      </w:r>
    </w:p>
    <w:p w:rsidR="002F53FD" w:rsidP="00781CAF" w14:paraId="78F4280E" w14:textId="5387F399">
      <w:pPr>
        <w:spacing w:line="240" w:lineRule="auto"/>
      </w:pPr>
      <w:r>
        <w:t xml:space="preserve">Data are reported on </w:t>
      </w:r>
      <w:r w:rsidR="00C63B59">
        <w:t xml:space="preserve">the number of </w:t>
      </w:r>
      <w:r w:rsidR="00E2255B">
        <w:t xml:space="preserve">people </w:t>
      </w:r>
      <w:r w:rsidR="00C63B59">
        <w:t>with HIV;</w:t>
      </w:r>
      <w:r>
        <w:t xml:space="preserve"> however</w:t>
      </w:r>
      <w:r w:rsidR="00C63B59">
        <w:t>,</w:t>
      </w:r>
      <w:r>
        <w:t xml:space="preserve"> data submitted to HRSA do not include any client-level data or client-identifying information.  </w:t>
      </w:r>
    </w:p>
    <w:p w:rsidR="002F53FD" w:rsidP="00781CAF" w14:paraId="49B19812" w14:textId="77777777">
      <w:pPr>
        <w:pStyle w:val="Heading2"/>
        <w:spacing w:line="240" w:lineRule="auto"/>
      </w:pPr>
      <w:bookmarkStart w:id="12" w:name="_Toc46022720"/>
      <w:r>
        <w:t>12.</w:t>
      </w:r>
      <w:r>
        <w:tab/>
      </w:r>
      <w:r w:rsidRPr="00212785">
        <w:rPr>
          <w:u w:val="single"/>
        </w:rPr>
        <w:t xml:space="preserve">Estimates of Annualized Hour </w:t>
      </w:r>
      <w:r w:rsidRPr="00212785" w:rsidR="00212785">
        <w:rPr>
          <w:u w:val="single"/>
        </w:rPr>
        <w:t xml:space="preserve">and Cost </w:t>
      </w:r>
      <w:r w:rsidRPr="00212785">
        <w:rPr>
          <w:u w:val="single"/>
        </w:rPr>
        <w:t>Burden</w:t>
      </w:r>
      <w:bookmarkEnd w:id="12"/>
    </w:p>
    <w:p w:rsidR="002F53FD" w:rsidP="00781CAF" w14:paraId="3D23D576" w14:textId="67925D19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id="13" w:name="_Toc46022721"/>
      <w:r>
        <w:rPr>
          <w:rFonts w:ascii="Times New Roman" w:hAnsi="Times New Roman" w:cs="Times New Roman"/>
          <w:sz w:val="24"/>
          <w:szCs w:val="24"/>
        </w:rPr>
        <w:t xml:space="preserve">The estimated annual burden to complete the </w:t>
      </w:r>
      <w:r w:rsidR="00774158">
        <w:rPr>
          <w:rFonts w:ascii="Times New Roman" w:hAnsi="Times New Roman" w:cs="Times New Roman"/>
          <w:sz w:val="24"/>
          <w:szCs w:val="24"/>
        </w:rPr>
        <w:t>mpox forms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613BF">
        <w:rPr>
          <w:rFonts w:ascii="Times New Roman" w:hAnsi="Times New Roman" w:cs="Times New Roman"/>
          <w:sz w:val="24"/>
          <w:szCs w:val="24"/>
        </w:rPr>
        <w:t>s as follows:</w:t>
      </w:r>
    </w:p>
    <w:p w:rsidR="00B60171" w:rsidP="00781CAF" w14:paraId="4F8F4EB1" w14:textId="77777777">
      <w:pPr>
        <w:pStyle w:val="Footer"/>
        <w:tabs>
          <w:tab w:val="clear" w:pos="4320"/>
          <w:tab w:val="clear" w:pos="8640"/>
        </w:tabs>
        <w:spacing w:after="0" w:line="240" w:lineRule="auto"/>
        <w:rPr>
          <w:b/>
          <w:u w:val="single"/>
        </w:rPr>
      </w:pPr>
    </w:p>
    <w:p w:rsidR="002F53FD" w:rsidRPr="00340E5B" w:rsidP="00781CAF" w14:paraId="2A6A7906" w14:textId="0EB4F7B3">
      <w:pPr>
        <w:pStyle w:val="Footer"/>
        <w:tabs>
          <w:tab w:val="clear" w:pos="4320"/>
          <w:tab w:val="clear" w:pos="8640"/>
        </w:tabs>
        <w:spacing w:after="0" w:line="240" w:lineRule="auto"/>
        <w:rPr>
          <w:b/>
        </w:rPr>
      </w:pPr>
      <w:r w:rsidRPr="00340E5B">
        <w:rPr>
          <w:b/>
        </w:rPr>
        <w:t>12A. Estimated Annualized Burden Hours</w:t>
      </w:r>
    </w:p>
    <w:p w:rsidR="00781CAF" w:rsidP="00781CAF" w14:paraId="63E2DF61" w14:textId="65CC9F79">
      <w:pPr>
        <w:spacing w:line="240" w:lineRule="auto"/>
      </w:pPr>
      <w:r>
        <w:t xml:space="preserve">To determine the </w:t>
      </w:r>
      <w:r w:rsidR="00C634F3">
        <w:t>updated burden estimates</w:t>
      </w:r>
      <w:r>
        <w:t>,</w:t>
      </w:r>
      <w:r w:rsidR="0048573E">
        <w:t xml:space="preserve"> HRSA HAB contacted </w:t>
      </w:r>
      <w:r w:rsidR="00E726A3">
        <w:t>seven</w:t>
      </w:r>
      <w:r w:rsidR="0048573E">
        <w:t xml:space="preserve"> (</w:t>
      </w:r>
      <w:r w:rsidR="00E726A3">
        <w:t>7</w:t>
      </w:r>
      <w:r w:rsidR="0048573E">
        <w:t xml:space="preserve">) </w:t>
      </w:r>
      <w:r w:rsidR="009C78B9">
        <w:rPr>
          <w:rFonts w:cstheme="minorHAnsi"/>
        </w:rPr>
        <w:t>Dually funded</w:t>
      </w:r>
      <w:r w:rsidRPr="00E23858" w:rsidR="0048573E">
        <w:rPr>
          <w:rFonts w:cstheme="minorHAnsi"/>
        </w:rPr>
        <w:t xml:space="preserve"> RWHAP Part C</w:t>
      </w:r>
      <w:r w:rsidR="0048573E">
        <w:t xml:space="preserve"> </w:t>
      </w:r>
      <w:r w:rsidR="009C78B9">
        <w:t>recipients</w:t>
      </w:r>
      <w:r>
        <w:t xml:space="preserve"> in May 2023, to determine the amount of time </w:t>
      </w:r>
      <w:r w:rsidR="00FD6644">
        <w:t xml:space="preserve">they </w:t>
      </w:r>
      <w:r>
        <w:t>spen</w:t>
      </w:r>
      <w:r w:rsidR="00FD6644">
        <w:t>d</w:t>
      </w:r>
      <w:r>
        <w:t xml:space="preserve">, </w:t>
      </w:r>
      <w:r w:rsidR="00015AB1">
        <w:t>w</w:t>
      </w:r>
      <w:r>
        <w:t>eekly, to u</w:t>
      </w:r>
      <w:r w:rsidRPr="00A326CE" w:rsidR="009C78B9">
        <w:rPr>
          <w:rFonts w:cstheme="minorHAnsi"/>
        </w:rPr>
        <w:t xml:space="preserve">pload </w:t>
      </w:r>
      <w:r>
        <w:rPr>
          <w:rFonts w:cstheme="minorHAnsi"/>
        </w:rPr>
        <w:t xml:space="preserve">the vaccine </w:t>
      </w:r>
      <w:r w:rsidRPr="00A326CE" w:rsidR="009C78B9">
        <w:rPr>
          <w:rFonts w:cstheme="minorHAnsi"/>
        </w:rPr>
        <w:t>administration and inventory/wastage data</w:t>
      </w:r>
      <w:r w:rsidR="0048573E">
        <w:t xml:space="preserve">. </w:t>
      </w:r>
      <w:r w:rsidR="00C634F3">
        <w:t xml:space="preserve"> </w:t>
      </w:r>
      <w:r>
        <w:t xml:space="preserve">The revised burden hour table is an </w:t>
      </w:r>
      <w:r w:rsidRPr="00781CAF">
        <w:t xml:space="preserve">adjustment of the burden estimate submitted in the 60-Day </w:t>
      </w:r>
      <w:r w:rsidRPr="00781CAF">
        <w:rPr>
          <w:i/>
          <w:iCs/>
        </w:rPr>
        <w:t>Federal Register</w:t>
      </w:r>
      <w:r w:rsidRPr="00781CAF">
        <w:t xml:space="preserve"> notice publication.  </w:t>
      </w:r>
    </w:p>
    <w:p w:rsidR="00A4240C" w:rsidP="00781CAF" w14:paraId="28F8A2FF" w14:textId="42F167CB">
      <w:pPr>
        <w:spacing w:line="240" w:lineRule="auto"/>
      </w:pPr>
      <w:r>
        <w:t>B</w:t>
      </w:r>
      <w:r w:rsidR="007065BB">
        <w:t xml:space="preserve">elow </w:t>
      </w:r>
      <w:r>
        <w:t xml:space="preserve">is the table illustrating </w:t>
      </w:r>
      <w:r w:rsidR="007065BB">
        <w:t>the burden estimates.</w:t>
      </w:r>
      <w:r w:rsidR="00505FFA">
        <w:t xml:space="preserve"> </w:t>
      </w:r>
    </w:p>
    <w:tbl>
      <w:tblPr>
        <w:tblW w:w="5000" w:type="pct"/>
        <w:tblLayout w:type="fixed"/>
        <w:tblCellMar>
          <w:left w:w="97" w:type="dxa"/>
          <w:right w:w="97" w:type="dxa"/>
        </w:tblCellMar>
        <w:tblLook w:val="0000"/>
      </w:tblPr>
      <w:tblGrid>
        <w:gridCol w:w="2948"/>
        <w:gridCol w:w="1396"/>
        <w:gridCol w:w="1313"/>
        <w:gridCol w:w="1151"/>
        <w:gridCol w:w="1313"/>
        <w:gridCol w:w="1233"/>
      </w:tblGrid>
      <w:tr w14:paraId="460AA9BA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46748B08" w14:textId="77777777">
            <w:pPr>
              <w:pStyle w:val="BodyText"/>
              <w:tabs>
                <w:tab w:val="left" w:pos="10080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00069172" w14:textId="77777777">
            <w:pPr>
              <w:pStyle w:val="BodyText"/>
              <w:tabs>
                <w:tab w:val="left" w:pos="10080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Form Name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1706663C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Number of Respondents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6B8CB887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10900B66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Number of Responses per Respondent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01120F2A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2CDC8032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Total Responses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222ED203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793B85E1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Average Burden per Response (in hours)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7B8C078D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Total Burden Hours</w:t>
            </w:r>
          </w:p>
        </w:tc>
      </w:tr>
      <w:tr w14:paraId="7FB2B478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21E280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</w:pPr>
            <w:r>
              <w:t>Vaccine Distribution Report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79F1634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3C79E452" w14:textId="0D032BD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B38F5AE" w14:textId="15294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335F086" w14:textId="0B4B65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0.2</w:t>
            </w:r>
            <w:r w:rsidR="005E31B4">
              <w:rPr>
                <w:lang w:val="fr-FR"/>
              </w:rPr>
              <w:t>0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7591621" w14:textId="66818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11.4</w:t>
            </w:r>
            <w:r w:rsidR="005E31B4">
              <w:rPr>
                <w:lang w:val="fr-FR"/>
              </w:rPr>
              <w:t>0</w:t>
            </w:r>
          </w:p>
        </w:tc>
      </w:tr>
      <w:tr w14:paraId="15D5E79F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5C2608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</w:pPr>
            <w:r>
              <w:t>Wastage Upload Report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CFEA59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02262D3" w14:textId="5A8771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62360680" w14:textId="56D2017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457D12">
              <w:rPr>
                <w:lang w:val="fr-FR"/>
              </w:rPr>
              <w:t>,</w:t>
            </w:r>
            <w:r>
              <w:rPr>
                <w:lang w:val="fr-FR"/>
              </w:rPr>
              <w:t>964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DA45223" w14:textId="534603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  <w:r>
              <w:rPr>
                <w:lang w:val="fr-FR"/>
              </w:rPr>
              <w:t>.23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33EFE94C" w14:textId="665F9AC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681.72</w:t>
            </w:r>
          </w:p>
        </w:tc>
      </w:tr>
      <w:tr w14:paraId="0516D98A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A237E8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</w:pPr>
            <w:r>
              <w:t>Therapeutic Courses (Administered and Available)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EB9CA9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89F1DD6" w14:textId="36599D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1B48800C" w14:textId="47299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457D12">
              <w:rPr>
                <w:lang w:val="fr-FR"/>
              </w:rPr>
              <w:t>,</w:t>
            </w:r>
            <w:r>
              <w:rPr>
                <w:lang w:val="fr-FR"/>
              </w:rPr>
              <w:t>964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7651604" w14:textId="20E3B2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  <w:r>
              <w:rPr>
                <w:lang w:val="fr-FR"/>
              </w:rPr>
              <w:t>.23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C0A6023" w14:textId="02F976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681.72</w:t>
            </w:r>
          </w:p>
        </w:tc>
      </w:tr>
      <w:tr w14:paraId="7D2CBCE3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58A426C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lang w:val="fr-FR"/>
              </w:rPr>
            </w:pPr>
            <w:r w:rsidRPr="001460D7">
              <w:rPr>
                <w:lang w:val="fr-FR"/>
              </w:rPr>
              <w:t>Total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C714BA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171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116F526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76BA11DC" w14:textId="680C38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5,985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5B4C253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133BEE2C" w14:textId="2FF759F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</w:pPr>
            <w:r>
              <w:t>1</w:t>
            </w:r>
            <w:r w:rsidR="00457D12">
              <w:t>,</w:t>
            </w:r>
            <w:r w:rsidR="00554FE2">
              <w:t>374.84</w:t>
            </w:r>
            <w:r w:rsidR="00875B60">
              <w:t>*</w:t>
            </w:r>
          </w:p>
        </w:tc>
      </w:tr>
    </w:tbl>
    <w:p w:rsidR="00A4240C" w:rsidP="00781CAF" w14:paraId="26EBFDE1" w14:textId="7FBFBA21">
      <w:pPr>
        <w:spacing w:line="240" w:lineRule="auto"/>
      </w:pPr>
      <w:r>
        <w:t xml:space="preserve">* 1,374.84 hours rounds up to 1,375 hours in ROCIS. </w:t>
      </w:r>
    </w:p>
    <w:p w:rsidR="002F53FD" w:rsidP="00781CAF" w14:paraId="2DCDC930" w14:textId="6CC3DEE1">
      <w:pPr>
        <w:pStyle w:val="Footer"/>
        <w:tabs>
          <w:tab w:val="clear" w:pos="4320"/>
          <w:tab w:val="clear" w:pos="8640"/>
        </w:tabs>
        <w:spacing w:line="240" w:lineRule="auto"/>
        <w:rPr>
          <w:b/>
        </w:rPr>
      </w:pPr>
      <w:r>
        <w:rPr>
          <w:b/>
        </w:rPr>
        <w:br w:type="column"/>
      </w:r>
      <w:r w:rsidRPr="00340E5B" w:rsidR="00212785">
        <w:rPr>
          <w:b/>
        </w:rPr>
        <w:t>12B. Estimated Annualize</w:t>
      </w:r>
      <w:r w:rsidRPr="00340E5B" w:rsidR="00D96333">
        <w:rPr>
          <w:b/>
        </w:rPr>
        <w:t>d</w:t>
      </w:r>
      <w:r w:rsidRPr="00340E5B" w:rsidR="00212785">
        <w:rPr>
          <w:b/>
        </w:rPr>
        <w:t xml:space="preserve"> Burden Costs</w:t>
      </w:r>
    </w:p>
    <w:p w:rsidR="00790662" w:rsidRPr="00790662" w:rsidP="00781CAF" w14:paraId="344FF799" w14:textId="295FC9C8">
      <w:pPr>
        <w:pStyle w:val="Footer"/>
        <w:tabs>
          <w:tab w:val="clear" w:pos="4320"/>
          <w:tab w:val="clear" w:pos="8640"/>
        </w:tabs>
        <w:spacing w:line="240" w:lineRule="auto"/>
        <w:rPr>
          <w:bCs/>
        </w:rPr>
      </w:pPr>
      <w:r>
        <w:rPr>
          <w:bCs/>
        </w:rPr>
        <w:t>In most cases, h</w:t>
      </w:r>
      <w:r>
        <w:rPr>
          <w:bCs/>
        </w:rPr>
        <w:t>ealthcare facilities across the country</w:t>
      </w:r>
      <w:r w:rsidR="00066001">
        <w:rPr>
          <w:bCs/>
        </w:rPr>
        <w:t xml:space="preserve"> use </w:t>
      </w:r>
      <w:r>
        <w:rPr>
          <w:bCs/>
        </w:rPr>
        <w:t xml:space="preserve">Registered Nurses </w:t>
      </w:r>
      <w:r w:rsidR="00AD064F">
        <w:rPr>
          <w:bCs/>
        </w:rPr>
        <w:t xml:space="preserve">to </w:t>
      </w:r>
      <w:r>
        <w:rPr>
          <w:bCs/>
        </w:rPr>
        <w:t>administ</w:t>
      </w:r>
      <w:r w:rsidR="00AD064F">
        <w:rPr>
          <w:bCs/>
        </w:rPr>
        <w:t>e</w:t>
      </w:r>
      <w:r>
        <w:rPr>
          <w:bCs/>
        </w:rPr>
        <w:t xml:space="preserve">r and </w:t>
      </w:r>
      <w:r w:rsidR="00E22310">
        <w:rPr>
          <w:bCs/>
        </w:rPr>
        <w:t>dispos</w:t>
      </w:r>
      <w:r w:rsidR="00B143A6">
        <w:rPr>
          <w:bCs/>
        </w:rPr>
        <w:t>e</w:t>
      </w:r>
      <w:r w:rsidR="00E22310">
        <w:rPr>
          <w:bCs/>
        </w:rPr>
        <w:t xml:space="preserve"> of</w:t>
      </w:r>
      <w:r w:rsidR="00357227">
        <w:rPr>
          <w:bCs/>
        </w:rPr>
        <w:t xml:space="preserve"> mpox</w:t>
      </w:r>
      <w:r w:rsidR="00E22310">
        <w:rPr>
          <w:bCs/>
        </w:rPr>
        <w:t xml:space="preserve"> </w:t>
      </w:r>
      <w:r>
        <w:rPr>
          <w:bCs/>
        </w:rPr>
        <w:t>vaccine waste byproducts</w:t>
      </w:r>
      <w:r w:rsidR="00781CAF">
        <w:rPr>
          <w:bCs/>
        </w:rPr>
        <w:t xml:space="preserve">.  </w:t>
      </w:r>
      <w:r>
        <w:rPr>
          <w:bCs/>
        </w:rPr>
        <w:t xml:space="preserve">Therefore, the </w:t>
      </w:r>
      <w:r w:rsidRPr="00790662">
        <w:rPr>
          <w:bCs/>
        </w:rPr>
        <w:t>BLS code used for this calculation is 29-1141</w:t>
      </w:r>
      <w:r>
        <w:rPr>
          <w:bCs/>
        </w:rPr>
        <w:t>.</w:t>
      </w:r>
      <w:r w:rsidRPr="00790662">
        <w:rPr>
          <w:bCs/>
        </w:rPr>
        <w:t xml:space="preserve"> </w:t>
      </w:r>
      <w:r w:rsidRPr="00781CAF" w:rsidR="00781CAF">
        <w:rPr>
          <w:bCs/>
        </w:rPr>
        <w:t>The mean hourly rate is used, as opposed to adjusting for locality, since award recipients are spread across the country.</w:t>
      </w:r>
      <w:r w:rsidR="00781CAF">
        <w:rPr>
          <w:bCs/>
        </w:rPr>
        <w:t xml:space="preserve">  </w:t>
      </w:r>
      <w:r>
        <w:rPr>
          <w:bCs/>
        </w:rPr>
        <w:t xml:space="preserve">The </w:t>
      </w:r>
      <w:r w:rsidR="005E31B4">
        <w:rPr>
          <w:bCs/>
        </w:rPr>
        <w:t>hourly wage rate</w:t>
      </w:r>
      <w:r>
        <w:rPr>
          <w:bCs/>
        </w:rPr>
        <w:t xml:space="preserve"> </w:t>
      </w:r>
      <w:r w:rsidR="00E10E44">
        <w:rPr>
          <w:bCs/>
        </w:rPr>
        <w:t>is</w:t>
      </w:r>
      <w:r>
        <w:rPr>
          <w:bCs/>
        </w:rPr>
        <w:t xml:space="preserve"> doubled to account for </w:t>
      </w:r>
      <w:r w:rsidR="005E31B4">
        <w:rPr>
          <w:bCs/>
        </w:rPr>
        <w:t>overhead costs</w:t>
      </w:r>
      <w:r>
        <w:rPr>
          <w:bCs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2348"/>
        <w:gridCol w:w="2328"/>
        <w:gridCol w:w="2327"/>
        <w:gridCol w:w="2347"/>
      </w:tblGrid>
      <w:tr w14:paraId="2CA7D76A" w14:textId="77777777" w:rsidTr="00B91DF0">
        <w:tblPrEx>
          <w:tblW w:w="0" w:type="auto"/>
          <w:tblLook w:val="04A0"/>
        </w:tblPrEx>
        <w:tc>
          <w:tcPr>
            <w:tcW w:w="2348" w:type="dxa"/>
            <w:vAlign w:val="center"/>
          </w:tcPr>
          <w:p w:rsidR="00DD7C61" w:rsidRPr="00B91DF0" w:rsidP="00781CAF" w14:paraId="4AABFD8B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Type of Respondent</w:t>
            </w:r>
          </w:p>
        </w:tc>
        <w:tc>
          <w:tcPr>
            <w:tcW w:w="2328" w:type="dxa"/>
            <w:vAlign w:val="center"/>
          </w:tcPr>
          <w:p w:rsidR="00DD7C61" w:rsidRPr="00B91DF0" w:rsidP="00781CAF" w14:paraId="432AA5CC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Total Burden Hours</w:t>
            </w:r>
          </w:p>
        </w:tc>
        <w:tc>
          <w:tcPr>
            <w:tcW w:w="2327" w:type="dxa"/>
            <w:vAlign w:val="center"/>
          </w:tcPr>
          <w:p w:rsidR="00DD7C61" w:rsidRPr="00B91DF0" w:rsidP="00781CAF" w14:paraId="562756F4" w14:textId="01BD6284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Hourly Wage Rate</w:t>
            </w:r>
            <w:r w:rsidR="005E31B4">
              <w:t xml:space="preserve"> (x2)</w:t>
            </w:r>
          </w:p>
        </w:tc>
        <w:tc>
          <w:tcPr>
            <w:tcW w:w="2347" w:type="dxa"/>
            <w:vAlign w:val="center"/>
          </w:tcPr>
          <w:p w:rsidR="00DD7C61" w:rsidRPr="00B91DF0" w:rsidP="00781CAF" w14:paraId="3E3FB24C" w14:textId="2245C6D5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Total Respondent Costs</w:t>
            </w:r>
            <w:r w:rsidR="00790662">
              <w:t>**</w:t>
            </w:r>
          </w:p>
        </w:tc>
      </w:tr>
      <w:tr w14:paraId="0073C07F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81E50" w:rsidRPr="00B91DF0" w:rsidP="00781CAF" w14:paraId="3DFFD420" w14:textId="3D107508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>
              <w:t>Vaccine Distribution Report</w:t>
            </w:r>
          </w:p>
        </w:tc>
        <w:tc>
          <w:tcPr>
            <w:tcW w:w="2328" w:type="dxa"/>
            <w:vAlign w:val="center"/>
          </w:tcPr>
          <w:p w:rsidR="00581E50" w:rsidRPr="00B91DF0" w:rsidP="00781CAF" w14:paraId="1A79A891" w14:textId="3B36127E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t>11.4</w:t>
            </w:r>
          </w:p>
        </w:tc>
        <w:tc>
          <w:tcPr>
            <w:tcW w:w="2327" w:type="dxa"/>
            <w:vAlign w:val="center"/>
          </w:tcPr>
          <w:p w:rsidR="00581E50" w:rsidRPr="00B91DF0" w:rsidP="00781CAF" w14:paraId="48448D74" w14:textId="1CC9D0B2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t>85.60</w:t>
            </w:r>
          </w:p>
        </w:tc>
        <w:tc>
          <w:tcPr>
            <w:tcW w:w="2347" w:type="dxa"/>
            <w:vAlign w:val="center"/>
          </w:tcPr>
          <w:p w:rsidR="00581E50" w:rsidRPr="00B91DF0" w:rsidP="00781CAF" w14:paraId="08F37FA0" w14:textId="7DF64C81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E31B4">
              <w:t>975.84</w:t>
            </w:r>
          </w:p>
        </w:tc>
      </w:tr>
      <w:tr w14:paraId="40EAADDA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E31B4" w:rsidRPr="00B91DF0" w:rsidP="00781CAF" w14:paraId="73AC716B" w14:textId="32EABBFD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>
              <w:t>Wastage Upload Report</w:t>
            </w:r>
          </w:p>
        </w:tc>
        <w:tc>
          <w:tcPr>
            <w:tcW w:w="2328" w:type="dxa"/>
            <w:vAlign w:val="center"/>
          </w:tcPr>
          <w:p w:rsidR="005E31B4" w:rsidRPr="00B91DF0" w:rsidP="00781CAF" w14:paraId="3988194C" w14:textId="60B0A540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rPr>
                <w:lang w:val="fr-FR"/>
              </w:rPr>
              <w:t>681.72</w:t>
            </w:r>
          </w:p>
        </w:tc>
        <w:tc>
          <w:tcPr>
            <w:tcW w:w="2327" w:type="dxa"/>
            <w:vAlign w:val="center"/>
          </w:tcPr>
          <w:p w:rsidR="005E31B4" w:rsidRPr="00B91DF0" w:rsidP="00781CAF" w14:paraId="353F4E8E" w14:textId="0557FFA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t>85.60</w:t>
            </w:r>
          </w:p>
        </w:tc>
        <w:tc>
          <w:tcPr>
            <w:tcW w:w="2347" w:type="dxa"/>
            <w:vAlign w:val="center"/>
          </w:tcPr>
          <w:p w:rsidR="005E31B4" w:rsidRPr="00B91DF0" w:rsidP="00781CAF" w14:paraId="58B55E2C" w14:textId="6CE1E646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E31B4">
              <w:t>58,355.23</w:t>
            </w:r>
          </w:p>
        </w:tc>
      </w:tr>
      <w:tr w14:paraId="17BDE7D0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E31B4" w:rsidRPr="00B91DF0" w:rsidP="00781CAF" w14:paraId="500D865F" w14:textId="19279098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</w:pPr>
            <w:r>
              <w:t>Therapeutic Courses (Administered and Available)</w:t>
            </w:r>
          </w:p>
        </w:tc>
        <w:tc>
          <w:tcPr>
            <w:tcW w:w="2328" w:type="dxa"/>
            <w:vAlign w:val="center"/>
          </w:tcPr>
          <w:p w:rsidR="005E31B4" w:rsidRPr="00B91DF0" w:rsidP="00781CAF" w14:paraId="31E8BAE9" w14:textId="280BCF04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>
              <w:rPr>
                <w:lang w:val="fr-FR"/>
              </w:rPr>
              <w:t>681.72</w:t>
            </w:r>
          </w:p>
        </w:tc>
        <w:tc>
          <w:tcPr>
            <w:tcW w:w="2327" w:type="dxa"/>
            <w:vAlign w:val="center"/>
          </w:tcPr>
          <w:p w:rsidR="005E31B4" w:rsidRPr="00B91DF0" w:rsidP="00781CAF" w14:paraId="485752A9" w14:textId="1BF76BFB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>
              <w:t>85.60</w:t>
            </w:r>
          </w:p>
        </w:tc>
        <w:tc>
          <w:tcPr>
            <w:tcW w:w="2347" w:type="dxa"/>
            <w:vAlign w:val="center"/>
          </w:tcPr>
          <w:p w:rsidR="005E31B4" w:rsidRPr="00B91DF0" w:rsidP="00781CAF" w14:paraId="590B0B50" w14:textId="314BFD8C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 w:rsidRPr="005E31B4">
              <w:t>58,355.23</w:t>
            </w:r>
          </w:p>
        </w:tc>
      </w:tr>
      <w:tr w14:paraId="27E44DD7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E31B4" w:rsidRPr="00B91DF0" w:rsidP="00781CAF" w14:paraId="061C654E" w14:textId="77777777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</w:pPr>
            <w:r w:rsidRPr="00B91DF0">
              <w:t>Total</w:t>
            </w:r>
          </w:p>
        </w:tc>
        <w:tc>
          <w:tcPr>
            <w:tcW w:w="2328" w:type="dxa"/>
            <w:vAlign w:val="center"/>
          </w:tcPr>
          <w:p w:rsidR="005E31B4" w:rsidRPr="00B91DF0" w:rsidP="00781CAF" w14:paraId="0A672466" w14:textId="77777777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</w:p>
        </w:tc>
        <w:tc>
          <w:tcPr>
            <w:tcW w:w="2327" w:type="dxa"/>
            <w:vAlign w:val="center"/>
          </w:tcPr>
          <w:p w:rsidR="005E31B4" w:rsidRPr="00B91DF0" w:rsidP="00781CAF" w14:paraId="31EC2656" w14:textId="77777777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</w:p>
        </w:tc>
        <w:tc>
          <w:tcPr>
            <w:tcW w:w="2347" w:type="dxa"/>
            <w:vAlign w:val="center"/>
          </w:tcPr>
          <w:p w:rsidR="005E31B4" w:rsidRPr="00B91DF0" w:rsidP="00781CAF" w14:paraId="4B877D72" w14:textId="4B4AAFE9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 w:rsidRPr="005E31B4">
              <w:t>117,686.3</w:t>
            </w:r>
            <w:r>
              <w:t>0</w:t>
            </w:r>
          </w:p>
        </w:tc>
      </w:tr>
    </w:tbl>
    <w:p w:rsidR="00DD7C61" w:rsidP="00781CAF" w14:paraId="7C8AF942" w14:textId="0668D8C2">
      <w:pPr>
        <w:pStyle w:val="Footer"/>
        <w:tabs>
          <w:tab w:val="clear" w:pos="4320"/>
          <w:tab w:val="clear" w:pos="8640"/>
        </w:tabs>
        <w:spacing w:after="0" w:line="240" w:lineRule="auto"/>
        <w:rPr>
          <w:rStyle w:val="Hyperlink"/>
        </w:rPr>
      </w:pPr>
      <w:r>
        <w:t>*</w:t>
      </w:r>
      <w:r w:rsidRPr="005E31B4" w:rsidR="005E31B4">
        <w:t>https://www.bls.gov/oes/current/oes291141.htm</w:t>
      </w:r>
      <w:r w:rsidR="00781CAF">
        <w:t xml:space="preserve"> </w:t>
      </w:r>
      <w:r w:rsidR="005E31B4">
        <w:t xml:space="preserve"> </w:t>
      </w:r>
    </w:p>
    <w:p w:rsidR="00790662" w:rsidRPr="00790662" w:rsidP="00781CAF" w14:paraId="349912E6" w14:textId="5651D79F">
      <w:pPr>
        <w:pStyle w:val="Footer"/>
        <w:tabs>
          <w:tab w:val="clear" w:pos="4320"/>
          <w:tab w:val="clear" w:pos="8640"/>
        </w:tabs>
        <w:spacing w:after="0" w:line="240" w:lineRule="auto"/>
      </w:pPr>
      <w:r w:rsidRPr="00790662">
        <w:rPr>
          <w:rStyle w:val="Hyperlink"/>
          <w:color w:val="auto"/>
          <w:u w:val="none"/>
        </w:rPr>
        <w:t xml:space="preserve">** </w:t>
      </w:r>
      <w:r w:rsidR="005E31B4">
        <w:rPr>
          <w:rStyle w:val="Hyperlink"/>
          <w:color w:val="auto"/>
          <w:u w:val="none"/>
        </w:rPr>
        <w:t>Hourly wage of 42.80 doubled to account for overhead costs.</w:t>
      </w:r>
    </w:p>
    <w:p w:rsidR="00950827" w:rsidP="00781CAF" w14:paraId="4464F3E1" w14:textId="77777777">
      <w:pPr>
        <w:pStyle w:val="Footer"/>
        <w:tabs>
          <w:tab w:val="clear" w:pos="4320"/>
          <w:tab w:val="clear" w:pos="8640"/>
        </w:tabs>
        <w:spacing w:after="0" w:line="240" w:lineRule="auto"/>
      </w:pPr>
    </w:p>
    <w:p w:rsidR="002F53FD" w:rsidRPr="00212785" w:rsidP="00781CAF" w14:paraId="7A89561B" w14:textId="77777777">
      <w:pPr>
        <w:pStyle w:val="Heading2"/>
        <w:numPr>
          <w:ilvl w:val="0"/>
          <w:numId w:val="10"/>
        </w:numPr>
        <w:spacing w:line="240" w:lineRule="auto"/>
        <w:rPr>
          <w:u w:val="single"/>
        </w:rPr>
      </w:pPr>
      <w:r w:rsidRPr="00212785">
        <w:rPr>
          <w:u w:val="single"/>
        </w:rPr>
        <w:t>Estimates of Annualized Cost Burden to Respondents</w:t>
      </w:r>
      <w:bookmarkEnd w:id="13"/>
      <w:r w:rsidR="00212785">
        <w:rPr>
          <w:u w:val="single"/>
        </w:rPr>
        <w:t xml:space="preserve"> or Recordkeepers/Capital Costs</w:t>
      </w:r>
    </w:p>
    <w:p w:rsidR="002F53FD" w:rsidP="00781CAF" w14:paraId="01B930D7" w14:textId="098D9D5A">
      <w:pPr>
        <w:spacing w:line="240" w:lineRule="auto"/>
      </w:pPr>
      <w:r>
        <w:t xml:space="preserve">There </w:t>
      </w:r>
      <w:r w:rsidR="00B60171">
        <w:t>is</w:t>
      </w:r>
      <w:r>
        <w:t xml:space="preserve"> no capital or </w:t>
      </w:r>
      <w:r w:rsidR="00B60171">
        <w:t>startup</w:t>
      </w:r>
      <w:r>
        <w:t xml:space="preserve"> costs for this activity.  </w:t>
      </w:r>
      <w:r w:rsidRPr="00851DC2">
        <w:t xml:space="preserve">There are no direct costs to respondents other than their time in participating in the data collection, which is shown in </w:t>
      </w:r>
      <w:r w:rsidR="005A439B">
        <w:t xml:space="preserve">the </w:t>
      </w:r>
      <w:r w:rsidRPr="00851DC2">
        <w:t>table above.</w:t>
      </w:r>
    </w:p>
    <w:p w:rsidR="002F53FD" w:rsidRPr="00212785" w:rsidP="00781CAF" w14:paraId="3893524A" w14:textId="77777777">
      <w:pPr>
        <w:pStyle w:val="Heading2"/>
        <w:numPr>
          <w:ilvl w:val="0"/>
          <w:numId w:val="10"/>
        </w:numPr>
        <w:spacing w:line="240" w:lineRule="auto"/>
        <w:rPr>
          <w:u w:val="single"/>
        </w:rPr>
      </w:pPr>
      <w:r>
        <w:rPr>
          <w:u w:val="single"/>
        </w:rPr>
        <w:t>Annualized Cost to Federal Government</w:t>
      </w:r>
    </w:p>
    <w:p w:rsidR="004C79CE" w:rsidRPr="00E73EB6" w:rsidP="00781CAF" w14:paraId="28243D3B" w14:textId="02B89242">
      <w:pPr>
        <w:spacing w:line="240" w:lineRule="auto"/>
      </w:pPr>
      <w:r>
        <w:rPr>
          <w:rStyle w:val="BodyTextFi"/>
        </w:rPr>
        <w:t>G</w:t>
      </w:r>
      <w:r w:rsidRPr="00E73EB6">
        <w:rPr>
          <w:rStyle w:val="BodyTextFi"/>
        </w:rPr>
        <w:t xml:space="preserve">overnment personnel </w:t>
      </w:r>
      <w:r w:rsidR="005F7B11">
        <w:rPr>
          <w:rStyle w:val="BodyTextFi"/>
        </w:rPr>
        <w:t>requires</w:t>
      </w:r>
      <w:r w:rsidRPr="00E73EB6" w:rsidR="005F7B11">
        <w:rPr>
          <w:rStyle w:val="BodyTextFi"/>
        </w:rPr>
        <w:t xml:space="preserve"> </w:t>
      </w:r>
      <w:r w:rsidRPr="00E73EB6">
        <w:rPr>
          <w:rStyle w:val="BodyTextFi"/>
        </w:rPr>
        <w:t>10</w:t>
      </w:r>
      <w:r w:rsidR="00781CAF">
        <w:rPr>
          <w:rStyle w:val="BodyTextFi"/>
        </w:rPr>
        <w:t xml:space="preserve"> percent</w:t>
      </w:r>
      <w:r w:rsidRPr="00E73EB6">
        <w:rPr>
          <w:rStyle w:val="BodyTextFi"/>
        </w:rPr>
        <w:t xml:space="preserve"> time of 1 FTE at a GS-13</w:t>
      </w:r>
      <w:r w:rsidR="007915AA">
        <w:rPr>
          <w:rStyle w:val="BodyTextFi"/>
        </w:rPr>
        <w:t xml:space="preserve"> step</w:t>
      </w:r>
      <w:r w:rsidR="007260B9">
        <w:rPr>
          <w:rStyle w:val="BodyTextFi"/>
        </w:rPr>
        <w:t xml:space="preserve"> 1</w:t>
      </w:r>
      <w:r w:rsidRPr="00E73EB6">
        <w:rPr>
          <w:rStyle w:val="BodyTextFi"/>
        </w:rPr>
        <w:t xml:space="preserve"> ($1</w:t>
      </w:r>
      <w:r w:rsidR="007260B9">
        <w:rPr>
          <w:rStyle w:val="BodyTextFi"/>
        </w:rPr>
        <w:t>12</w:t>
      </w:r>
      <w:r w:rsidRPr="00E73EB6">
        <w:rPr>
          <w:rStyle w:val="BodyTextFi"/>
        </w:rPr>
        <w:t>,</w:t>
      </w:r>
      <w:r w:rsidR="007260B9">
        <w:rPr>
          <w:rStyle w:val="BodyTextFi"/>
        </w:rPr>
        <w:t>015</w:t>
      </w:r>
      <w:r w:rsidRPr="00E73EB6">
        <w:rPr>
          <w:rStyle w:val="BodyTextFi"/>
        </w:rPr>
        <w:t xml:space="preserve">) to </w:t>
      </w:r>
      <w:r w:rsidRPr="00E73EB6">
        <w:rPr>
          <w:rStyle w:val="BodyTextFi"/>
        </w:rPr>
        <w:t>provide technical assistance</w:t>
      </w:r>
      <w:r>
        <w:rPr>
          <w:rStyle w:val="BodyTextFi"/>
        </w:rPr>
        <w:t xml:space="preserve"> and data </w:t>
      </w:r>
      <w:r w:rsidRPr="00E73EB6">
        <w:rPr>
          <w:rStyle w:val="BodyTextFi"/>
        </w:rPr>
        <w:t>analysis</w:t>
      </w:r>
      <w:r>
        <w:rPr>
          <w:rStyle w:val="BodyTextFi"/>
        </w:rPr>
        <w:t xml:space="preserve"> support</w:t>
      </w:r>
      <w:r w:rsidR="000B0B3B">
        <w:rPr>
          <w:rStyle w:val="BodyTextFi"/>
        </w:rPr>
        <w:t>.</w:t>
      </w:r>
      <w:r w:rsidR="00D218CD">
        <w:rPr>
          <w:rStyle w:val="BodyTextFi"/>
        </w:rPr>
        <w:t xml:space="preserve"> </w:t>
      </w:r>
      <w:r w:rsidR="00781CAF">
        <w:rPr>
          <w:rStyle w:val="BodyTextFi"/>
        </w:rPr>
        <w:t xml:space="preserve"> The wage is adjusted for the Washington-Baltimore-Arlington, DC-MD-VA-WV-PA locality and doubled to account for overhead costs.  </w:t>
      </w:r>
      <w:r w:rsidR="00D218CD">
        <w:rPr>
          <w:rStyle w:val="BodyTextFi"/>
        </w:rPr>
        <w:t xml:space="preserve">The </w:t>
      </w:r>
      <w:r w:rsidRPr="00E73EB6" w:rsidR="005A29E6">
        <w:rPr>
          <w:rStyle w:val="BodyTextFi"/>
        </w:rPr>
        <w:t>total estimated</w:t>
      </w:r>
      <w:r w:rsidR="00D51A14">
        <w:rPr>
          <w:rStyle w:val="BodyTextFi"/>
        </w:rPr>
        <w:t xml:space="preserve"> annual</w:t>
      </w:r>
      <w:r w:rsidRPr="00E73EB6" w:rsidR="005A29E6">
        <w:rPr>
          <w:rStyle w:val="BodyTextFi"/>
        </w:rPr>
        <w:t xml:space="preserve"> cost is </w:t>
      </w:r>
      <w:r w:rsidRPr="00E73EB6">
        <w:rPr>
          <w:rStyle w:val="BodyTextFi"/>
        </w:rPr>
        <w:t>approximately $</w:t>
      </w:r>
      <w:r w:rsidR="00781CAF">
        <w:rPr>
          <w:rStyle w:val="BodyTextFi"/>
        </w:rPr>
        <w:t>22,403.</w:t>
      </w:r>
      <w:r w:rsidRPr="00E73EB6">
        <w:rPr>
          <w:rStyle w:val="BodyTextFi"/>
        </w:rPr>
        <w:t xml:space="preserve">  </w:t>
      </w:r>
    </w:p>
    <w:p w:rsidR="002F53FD" w:rsidRPr="00212785" w:rsidP="00781CAF" w14:paraId="7511143F" w14:textId="77777777">
      <w:pPr>
        <w:pStyle w:val="Heading2"/>
        <w:spacing w:line="240" w:lineRule="auto"/>
        <w:rPr>
          <w:u w:val="single"/>
        </w:rPr>
      </w:pPr>
      <w:bookmarkStart w:id="14" w:name="_Toc46022723"/>
      <w:r w:rsidRPr="00907570">
        <w:t>15.</w:t>
      </w:r>
      <w:r w:rsidRPr="00907570">
        <w:tab/>
      </w:r>
      <w:r w:rsidRPr="00212785" w:rsidR="00212785">
        <w:rPr>
          <w:u w:val="single"/>
        </w:rPr>
        <w:t>Explanation for Program Changes or Adjustments</w:t>
      </w:r>
      <w:bookmarkEnd w:id="14"/>
    </w:p>
    <w:p w:rsidR="009A77F1" w:rsidRPr="006C2D71" w:rsidP="00781CAF" w14:paraId="04F85EAF" w14:textId="60A75C1A">
      <w:pPr>
        <w:pStyle w:val="ColorfulList-Accent11"/>
        <w:widowControl/>
        <w:tabs>
          <w:tab w:val="left" w:pos="360"/>
        </w:tabs>
        <w:ind w:left="0"/>
        <w:contextualSpacing w:val="0"/>
        <w:outlineLvl w:val="1"/>
        <w:rPr>
          <w:sz w:val="24"/>
          <w:szCs w:val="24"/>
        </w:rPr>
      </w:pPr>
      <w:r>
        <w:rPr>
          <w:sz w:val="24"/>
          <w:szCs w:val="24"/>
        </w:rPr>
        <w:t>This is a new data collection.</w:t>
      </w:r>
    </w:p>
    <w:p w:rsidR="009A77F1" w:rsidRPr="0044556F" w:rsidP="00D75336" w14:paraId="694350DA" w14:textId="77777777">
      <w:pPr>
        <w:pStyle w:val="ColorfulList-Accent11"/>
        <w:widowControl/>
        <w:tabs>
          <w:tab w:val="left" w:pos="360"/>
        </w:tabs>
        <w:ind w:left="0"/>
        <w:contextualSpacing w:val="0"/>
        <w:outlineLvl w:val="1"/>
        <w:rPr>
          <w:sz w:val="22"/>
          <w:szCs w:val="22"/>
        </w:rPr>
      </w:pPr>
    </w:p>
    <w:p w:rsidR="00A20B6F" w:rsidP="00781CAF" w14:paraId="6F7D2D74" w14:textId="6EF53FEC">
      <w:pPr>
        <w:pStyle w:val="Heading2"/>
        <w:spacing w:before="0" w:after="0" w:line="240" w:lineRule="auto"/>
        <w:contextualSpacing/>
        <w:mirrorIndents/>
      </w:pPr>
      <w:r w:rsidRPr="00907570">
        <w:t>16.</w:t>
      </w:r>
      <w:r w:rsidRPr="00907570">
        <w:tab/>
      </w:r>
      <w:bookmarkStart w:id="15" w:name="_Toc46022724"/>
      <w:r w:rsidRPr="00212785" w:rsidR="00212785">
        <w:rPr>
          <w:u w:val="single"/>
        </w:rPr>
        <w:t xml:space="preserve">Plans for Tabulation, </w:t>
      </w:r>
      <w:r w:rsidRPr="00212785">
        <w:rPr>
          <w:u w:val="single"/>
        </w:rPr>
        <w:t>Publication</w:t>
      </w:r>
      <w:r w:rsidRPr="00212785" w:rsidR="00212785">
        <w:rPr>
          <w:u w:val="single"/>
        </w:rPr>
        <w:t>,</w:t>
      </w:r>
      <w:r w:rsidRPr="00212785">
        <w:rPr>
          <w:u w:val="single"/>
        </w:rPr>
        <w:t xml:space="preserve"> and </w:t>
      </w:r>
      <w:r w:rsidRPr="00212785" w:rsidR="00212785">
        <w:rPr>
          <w:u w:val="single"/>
        </w:rPr>
        <w:t>Project Time Schedule</w:t>
      </w:r>
      <w:bookmarkEnd w:id="15"/>
      <w:r w:rsidRPr="00A20B6F">
        <w:t xml:space="preserve"> </w:t>
      </w:r>
    </w:p>
    <w:p w:rsidR="0037333C" w:rsidRPr="00B60171" w:rsidP="00781CAF" w14:paraId="0C405AAE" w14:textId="62292B36">
      <w:pPr>
        <w:pStyle w:val="TOC1"/>
      </w:pPr>
      <w:r w:rsidRPr="00820FF6">
        <w:t xml:space="preserve">RWHAP recipients that receive shipments of the JYNNEOS vaccine </w:t>
      </w:r>
      <w:r>
        <w:t xml:space="preserve">are </w:t>
      </w:r>
      <w:r w:rsidRPr="00820FF6">
        <w:t>required to upload administration and inventory/wastage data into HP</w:t>
      </w:r>
      <w:r>
        <w:t>O</w:t>
      </w:r>
      <w:r w:rsidRPr="00820FF6">
        <w:t>P on a weekly basis</w:t>
      </w:r>
      <w:r w:rsidRPr="00B60171">
        <w:t xml:space="preserve">.  </w:t>
      </w:r>
    </w:p>
    <w:p w:rsidR="00BA4AB6" w:rsidRPr="00B60171" w:rsidP="00781CAF" w14:paraId="3045B533" w14:textId="51EAFF57">
      <w:pPr>
        <w:pStyle w:val="Heading2"/>
        <w:spacing w:before="0" w:after="0" w:line="240" w:lineRule="auto"/>
        <w:contextualSpacing/>
        <w:mirrorIndents/>
        <w:rPr>
          <w:rFonts w:cs="Times New Roman"/>
          <w:b w:val="0"/>
        </w:rPr>
      </w:pPr>
      <w:r w:rsidRPr="00B60171">
        <w:rPr>
          <w:rFonts w:cs="Times New Roman"/>
          <w:b w:val="0"/>
        </w:rPr>
        <w:t>The</w:t>
      </w:r>
      <w:bookmarkStart w:id="16" w:name="_Toc46022725"/>
      <w:r w:rsidRPr="00B60171" w:rsidR="005F6EAF">
        <w:rPr>
          <w:rFonts w:cs="Times New Roman"/>
          <w:b w:val="0"/>
        </w:rPr>
        <w:t>re are no plans for formal publication of the information</w:t>
      </w:r>
      <w:r w:rsidR="004902CB">
        <w:rPr>
          <w:rFonts w:cs="Times New Roman"/>
          <w:b w:val="0"/>
        </w:rPr>
        <w:t>.</w:t>
      </w:r>
      <w:r w:rsidRPr="00B60171" w:rsidR="005F6EAF">
        <w:rPr>
          <w:rFonts w:cs="Times New Roman"/>
          <w:b w:val="0"/>
        </w:rPr>
        <w:t xml:space="preserve"> </w:t>
      </w:r>
    </w:p>
    <w:p w:rsidR="002F53FD" w:rsidP="00781CAF" w14:paraId="7D453B51" w14:textId="77777777">
      <w:pPr>
        <w:pStyle w:val="Heading2"/>
        <w:spacing w:line="240" w:lineRule="auto"/>
      </w:pPr>
      <w:r>
        <w:t>17.</w:t>
      </w:r>
      <w:r>
        <w:tab/>
      </w:r>
      <w:r w:rsidRPr="00212785" w:rsidR="00212785">
        <w:rPr>
          <w:u w:val="single"/>
        </w:rPr>
        <w:t xml:space="preserve">Reason(s) Display of OMB </w:t>
      </w:r>
      <w:r w:rsidRPr="00212785">
        <w:rPr>
          <w:u w:val="single"/>
        </w:rPr>
        <w:t>Expiration Date</w:t>
      </w:r>
      <w:bookmarkEnd w:id="16"/>
      <w:r w:rsidRPr="00212785" w:rsidR="00212785">
        <w:rPr>
          <w:u w:val="single"/>
        </w:rPr>
        <w:t xml:space="preserve"> is Inappropriate</w:t>
      </w:r>
    </w:p>
    <w:p w:rsidR="00BF7989" w:rsidP="00781CAF" w14:paraId="640191CD" w14:textId="77777777">
      <w:pPr>
        <w:spacing w:line="240" w:lineRule="auto"/>
      </w:pPr>
      <w:r>
        <w:t>The expiration date will be displayed.</w:t>
      </w:r>
    </w:p>
    <w:p w:rsidR="00BF7989" w:rsidP="00781CAF" w14:paraId="2B435D96" w14:textId="77777777">
      <w:pPr>
        <w:pStyle w:val="Heading2"/>
        <w:spacing w:line="240" w:lineRule="auto"/>
      </w:pPr>
      <w:bookmarkStart w:id="17" w:name="_Toc46022726"/>
      <w:r>
        <w:t>18.</w:t>
      </w:r>
      <w:r>
        <w:tab/>
      </w:r>
      <w:r w:rsidRPr="00212785">
        <w:rPr>
          <w:u w:val="single"/>
        </w:rPr>
        <w:t>Exceptions to Certification for P</w:t>
      </w:r>
      <w:r w:rsidRPr="00212785" w:rsidR="00212785">
        <w:rPr>
          <w:u w:val="single"/>
        </w:rPr>
        <w:t xml:space="preserve">aperwork </w:t>
      </w:r>
      <w:r w:rsidRPr="00212785">
        <w:rPr>
          <w:u w:val="single"/>
        </w:rPr>
        <w:t>R</w:t>
      </w:r>
      <w:r w:rsidRPr="00212785" w:rsidR="00212785">
        <w:rPr>
          <w:u w:val="single"/>
        </w:rPr>
        <w:t xml:space="preserve">eduction </w:t>
      </w:r>
      <w:r w:rsidRPr="00212785">
        <w:rPr>
          <w:u w:val="single"/>
        </w:rPr>
        <w:t>A</w:t>
      </w:r>
      <w:r w:rsidRPr="00212785" w:rsidR="00212785">
        <w:rPr>
          <w:u w:val="single"/>
        </w:rPr>
        <w:t>ct</w:t>
      </w:r>
      <w:r w:rsidRPr="00212785">
        <w:rPr>
          <w:u w:val="single"/>
        </w:rPr>
        <w:t xml:space="preserve"> Submissions</w:t>
      </w:r>
      <w:bookmarkEnd w:id="17"/>
    </w:p>
    <w:p w:rsidR="00BF7989" w:rsidP="00781CAF" w14:paraId="5269FD7C" w14:textId="4A5C0DE9">
      <w:pPr>
        <w:tabs>
          <w:tab w:val="left" w:pos="0"/>
          <w:tab w:val="left" w:pos="288"/>
          <w:tab w:val="left" w:pos="720"/>
          <w:tab w:val="left" w:pos="1058"/>
          <w:tab w:val="left" w:pos="1440"/>
          <w:tab w:val="left" w:pos="1814"/>
          <w:tab w:val="left" w:pos="2160"/>
          <w:tab w:val="left" w:pos="2494"/>
          <w:tab w:val="left" w:pos="2880"/>
          <w:tab w:val="left" w:pos="3132"/>
          <w:tab w:val="left" w:pos="3600"/>
          <w:tab w:val="left" w:pos="4006"/>
          <w:tab w:val="left" w:pos="4320"/>
          <w:tab w:val="left" w:pos="4687"/>
          <w:tab w:val="left" w:pos="5040"/>
          <w:tab w:val="left" w:pos="5443"/>
          <w:tab w:val="left" w:pos="5760"/>
          <w:tab w:val="left" w:pos="6480"/>
          <w:tab w:val="left" w:pos="7200"/>
        </w:tabs>
        <w:spacing w:line="240" w:lineRule="auto"/>
      </w:pPr>
      <w:r>
        <w:rPr>
          <w:rStyle w:val="BodyTextFi"/>
        </w:rPr>
        <w:t>This information collection fully complies with the guidelines in 5 CFR 1320.9.</w:t>
      </w:r>
      <w:r w:rsidR="00B85CB5">
        <w:rPr>
          <w:rStyle w:val="BodyTextFi"/>
        </w:rPr>
        <w:t xml:space="preserve"> </w:t>
      </w:r>
      <w:r>
        <w:rPr>
          <w:rStyle w:val="BodyTextFi"/>
        </w:rPr>
        <w:t xml:space="preserve"> The necessary certifications are included in the package</w:t>
      </w:r>
      <w:r w:rsidR="005B5942">
        <w:rPr>
          <w:rStyle w:val="BodyTextFi"/>
        </w:rPr>
        <w:t>.</w:t>
      </w:r>
      <w:r w:rsidRPr="00E54AD4" w:rsidR="005B5942">
        <w:t xml:space="preserve"> </w:t>
      </w:r>
    </w:p>
    <w:sectPr w:rsidSect="00487A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10F1" w14:paraId="28A761FF" w14:textId="0743FDA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702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09C" w14:paraId="3FDDBD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B02F9"/>
    <w:multiLevelType w:val="hybridMultilevel"/>
    <w:tmpl w:val="5FF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97C0A"/>
    <w:multiLevelType w:val="hybridMultilevel"/>
    <w:tmpl w:val="D052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16B1C"/>
    <w:multiLevelType w:val="hybridMultilevel"/>
    <w:tmpl w:val="1248D9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95B96"/>
    <w:multiLevelType w:val="hybridMultilevel"/>
    <w:tmpl w:val="CC38F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D5771"/>
    <w:multiLevelType w:val="hybridMultilevel"/>
    <w:tmpl w:val="BA9455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3EAF"/>
    <w:multiLevelType w:val="hybridMultilevel"/>
    <w:tmpl w:val="08DC354C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47D62D81"/>
    <w:multiLevelType w:val="hybridMultilevel"/>
    <w:tmpl w:val="C4F81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7A7CF5"/>
    <w:multiLevelType w:val="hybridMultilevel"/>
    <w:tmpl w:val="3F9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77ED8"/>
    <w:multiLevelType w:val="hybridMultilevel"/>
    <w:tmpl w:val="D14C1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7350C"/>
    <w:multiLevelType w:val="hybridMultilevel"/>
    <w:tmpl w:val="817C1A7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D94390"/>
    <w:multiLevelType w:val="hybridMultilevel"/>
    <w:tmpl w:val="60CA9FE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FC0D6B"/>
    <w:multiLevelType w:val="hybridMultilevel"/>
    <w:tmpl w:val="C08C3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4A20CE"/>
    <w:multiLevelType w:val="hybridMultilevel"/>
    <w:tmpl w:val="70D869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B67DB0"/>
    <w:multiLevelType w:val="hybridMultilevel"/>
    <w:tmpl w:val="F1BA287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F7B11E3"/>
    <w:multiLevelType w:val="hybridMultilevel"/>
    <w:tmpl w:val="9062817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9C6F80"/>
    <w:multiLevelType w:val="multilevel"/>
    <w:tmpl w:val="B1767A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494652">
    <w:abstractNumId w:val="14"/>
  </w:num>
  <w:num w:numId="2" w16cid:durableId="1928032555">
    <w:abstractNumId w:val="2"/>
  </w:num>
  <w:num w:numId="3" w16cid:durableId="135729248">
    <w:abstractNumId w:val="10"/>
  </w:num>
  <w:num w:numId="4" w16cid:durableId="1013145190">
    <w:abstractNumId w:val="3"/>
  </w:num>
  <w:num w:numId="5" w16cid:durableId="287126293">
    <w:abstractNumId w:val="11"/>
  </w:num>
  <w:num w:numId="6" w16cid:durableId="102841636">
    <w:abstractNumId w:val="6"/>
  </w:num>
  <w:num w:numId="7" w16cid:durableId="1255357920">
    <w:abstractNumId w:val="9"/>
  </w:num>
  <w:num w:numId="8" w16cid:durableId="490800009">
    <w:abstractNumId w:val="8"/>
  </w:num>
  <w:num w:numId="9" w16cid:durableId="1810512572">
    <w:abstractNumId w:val="1"/>
  </w:num>
  <w:num w:numId="10" w16cid:durableId="52892170">
    <w:abstractNumId w:val="13"/>
  </w:num>
  <w:num w:numId="11" w16cid:durableId="1702364155">
    <w:abstractNumId w:val="15"/>
  </w:num>
  <w:num w:numId="12" w16cid:durableId="863129901">
    <w:abstractNumId w:val="0"/>
  </w:num>
  <w:num w:numId="13" w16cid:durableId="1607616242">
    <w:abstractNumId w:val="7"/>
  </w:num>
  <w:num w:numId="14" w16cid:durableId="760954926">
    <w:abstractNumId w:val="12"/>
  </w:num>
  <w:num w:numId="15" w16cid:durableId="497186568">
    <w:abstractNumId w:val="4"/>
  </w:num>
  <w:num w:numId="16" w16cid:durableId="122553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29"/>
    <w:rsid w:val="00005C7E"/>
    <w:rsid w:val="00015AB1"/>
    <w:rsid w:val="000167C8"/>
    <w:rsid w:val="000203B7"/>
    <w:rsid w:val="0002147F"/>
    <w:rsid w:val="00023EEC"/>
    <w:rsid w:val="00044054"/>
    <w:rsid w:val="00044454"/>
    <w:rsid w:val="000523A9"/>
    <w:rsid w:val="00061552"/>
    <w:rsid w:val="00062925"/>
    <w:rsid w:val="0006393C"/>
    <w:rsid w:val="00066001"/>
    <w:rsid w:val="000728D9"/>
    <w:rsid w:val="00074320"/>
    <w:rsid w:val="00074403"/>
    <w:rsid w:val="00080E8F"/>
    <w:rsid w:val="00087A2D"/>
    <w:rsid w:val="00087E74"/>
    <w:rsid w:val="00091A32"/>
    <w:rsid w:val="000971DB"/>
    <w:rsid w:val="000A6D98"/>
    <w:rsid w:val="000B0B3B"/>
    <w:rsid w:val="000B17D3"/>
    <w:rsid w:val="000B2DC1"/>
    <w:rsid w:val="000B4586"/>
    <w:rsid w:val="000B492E"/>
    <w:rsid w:val="000B67ED"/>
    <w:rsid w:val="000B7B67"/>
    <w:rsid w:val="000C128B"/>
    <w:rsid w:val="000C30CB"/>
    <w:rsid w:val="000C3B3D"/>
    <w:rsid w:val="000C5CD2"/>
    <w:rsid w:val="000D1318"/>
    <w:rsid w:val="000D2743"/>
    <w:rsid w:val="000D388E"/>
    <w:rsid w:val="000D77D9"/>
    <w:rsid w:val="000E2ACA"/>
    <w:rsid w:val="000E5664"/>
    <w:rsid w:val="000F6234"/>
    <w:rsid w:val="00113DCC"/>
    <w:rsid w:val="00116297"/>
    <w:rsid w:val="00123347"/>
    <w:rsid w:val="001257D0"/>
    <w:rsid w:val="00125E34"/>
    <w:rsid w:val="001460D7"/>
    <w:rsid w:val="001545AC"/>
    <w:rsid w:val="00192162"/>
    <w:rsid w:val="00192513"/>
    <w:rsid w:val="0019279F"/>
    <w:rsid w:val="00197FAB"/>
    <w:rsid w:val="001A1766"/>
    <w:rsid w:val="001A26D5"/>
    <w:rsid w:val="001B5BFA"/>
    <w:rsid w:val="001C0A96"/>
    <w:rsid w:val="001C217E"/>
    <w:rsid w:val="001C7D42"/>
    <w:rsid w:val="001D3A44"/>
    <w:rsid w:val="001D4E66"/>
    <w:rsid w:val="001D60CD"/>
    <w:rsid w:val="001E706E"/>
    <w:rsid w:val="00204DC5"/>
    <w:rsid w:val="0021251C"/>
    <w:rsid w:val="00212785"/>
    <w:rsid w:val="00217501"/>
    <w:rsid w:val="00226301"/>
    <w:rsid w:val="0023266F"/>
    <w:rsid w:val="00234905"/>
    <w:rsid w:val="00236F36"/>
    <w:rsid w:val="00240C33"/>
    <w:rsid w:val="00245AE0"/>
    <w:rsid w:val="0024696D"/>
    <w:rsid w:val="00247511"/>
    <w:rsid w:val="0025554B"/>
    <w:rsid w:val="00264013"/>
    <w:rsid w:val="00275ED6"/>
    <w:rsid w:val="00280D94"/>
    <w:rsid w:val="002879AC"/>
    <w:rsid w:val="00297286"/>
    <w:rsid w:val="002A120D"/>
    <w:rsid w:val="002A24C9"/>
    <w:rsid w:val="002A71E5"/>
    <w:rsid w:val="002B0645"/>
    <w:rsid w:val="002B2A54"/>
    <w:rsid w:val="002B359B"/>
    <w:rsid w:val="002B404E"/>
    <w:rsid w:val="002B6664"/>
    <w:rsid w:val="002C0C86"/>
    <w:rsid w:val="002C1514"/>
    <w:rsid w:val="002C20A9"/>
    <w:rsid w:val="002C48AF"/>
    <w:rsid w:val="002C78B0"/>
    <w:rsid w:val="002E5B16"/>
    <w:rsid w:val="002E67FD"/>
    <w:rsid w:val="002E7E11"/>
    <w:rsid w:val="002F15CB"/>
    <w:rsid w:val="002F53FD"/>
    <w:rsid w:val="002F5E96"/>
    <w:rsid w:val="002F73DB"/>
    <w:rsid w:val="002F7AB6"/>
    <w:rsid w:val="00315585"/>
    <w:rsid w:val="00321BD9"/>
    <w:rsid w:val="003241D7"/>
    <w:rsid w:val="0032786F"/>
    <w:rsid w:val="00340E5B"/>
    <w:rsid w:val="00342BC2"/>
    <w:rsid w:val="00352A14"/>
    <w:rsid w:val="00357227"/>
    <w:rsid w:val="00361E15"/>
    <w:rsid w:val="0036275F"/>
    <w:rsid w:val="0037220C"/>
    <w:rsid w:val="00372751"/>
    <w:rsid w:val="0037333C"/>
    <w:rsid w:val="00375D7B"/>
    <w:rsid w:val="00376B85"/>
    <w:rsid w:val="00380612"/>
    <w:rsid w:val="003828DF"/>
    <w:rsid w:val="003865EA"/>
    <w:rsid w:val="00392C32"/>
    <w:rsid w:val="0039361A"/>
    <w:rsid w:val="003946B4"/>
    <w:rsid w:val="003A066B"/>
    <w:rsid w:val="003A0D27"/>
    <w:rsid w:val="003A100C"/>
    <w:rsid w:val="003A2B14"/>
    <w:rsid w:val="003B2131"/>
    <w:rsid w:val="003B249E"/>
    <w:rsid w:val="003C0327"/>
    <w:rsid w:val="003D0A52"/>
    <w:rsid w:val="003E0264"/>
    <w:rsid w:val="003E02F4"/>
    <w:rsid w:val="003E281A"/>
    <w:rsid w:val="003E2B5F"/>
    <w:rsid w:val="003F3FC8"/>
    <w:rsid w:val="003F59CD"/>
    <w:rsid w:val="003F6C54"/>
    <w:rsid w:val="0040202C"/>
    <w:rsid w:val="00402A19"/>
    <w:rsid w:val="00404549"/>
    <w:rsid w:val="00415394"/>
    <w:rsid w:val="004337B9"/>
    <w:rsid w:val="00437BA3"/>
    <w:rsid w:val="00437BE1"/>
    <w:rsid w:val="0044556F"/>
    <w:rsid w:val="004459D8"/>
    <w:rsid w:val="00450422"/>
    <w:rsid w:val="00452EC0"/>
    <w:rsid w:val="0045479C"/>
    <w:rsid w:val="00455464"/>
    <w:rsid w:val="00457D12"/>
    <w:rsid w:val="00462663"/>
    <w:rsid w:val="00462864"/>
    <w:rsid w:val="00464094"/>
    <w:rsid w:val="004679C7"/>
    <w:rsid w:val="00467A37"/>
    <w:rsid w:val="004716E7"/>
    <w:rsid w:val="00471F30"/>
    <w:rsid w:val="00476600"/>
    <w:rsid w:val="0048573E"/>
    <w:rsid w:val="00487ABC"/>
    <w:rsid w:val="004902CB"/>
    <w:rsid w:val="0049376E"/>
    <w:rsid w:val="004A0AA9"/>
    <w:rsid w:val="004A7B45"/>
    <w:rsid w:val="004B096B"/>
    <w:rsid w:val="004B25E3"/>
    <w:rsid w:val="004B78B7"/>
    <w:rsid w:val="004C0767"/>
    <w:rsid w:val="004C79CE"/>
    <w:rsid w:val="004D673E"/>
    <w:rsid w:val="004E722A"/>
    <w:rsid w:val="004F51C8"/>
    <w:rsid w:val="004F532D"/>
    <w:rsid w:val="004F7448"/>
    <w:rsid w:val="00503D84"/>
    <w:rsid w:val="00505AB9"/>
    <w:rsid w:val="00505FFA"/>
    <w:rsid w:val="00511499"/>
    <w:rsid w:val="00525626"/>
    <w:rsid w:val="005320C2"/>
    <w:rsid w:val="00533172"/>
    <w:rsid w:val="00535F59"/>
    <w:rsid w:val="00540763"/>
    <w:rsid w:val="00545CD4"/>
    <w:rsid w:val="00546333"/>
    <w:rsid w:val="00550004"/>
    <w:rsid w:val="00551081"/>
    <w:rsid w:val="00554FE2"/>
    <w:rsid w:val="00557B0B"/>
    <w:rsid w:val="00572B26"/>
    <w:rsid w:val="005739BC"/>
    <w:rsid w:val="00580DF0"/>
    <w:rsid w:val="00581E50"/>
    <w:rsid w:val="00591132"/>
    <w:rsid w:val="00591754"/>
    <w:rsid w:val="00591D93"/>
    <w:rsid w:val="0059552D"/>
    <w:rsid w:val="005966D9"/>
    <w:rsid w:val="005A046B"/>
    <w:rsid w:val="005A2710"/>
    <w:rsid w:val="005A29E6"/>
    <w:rsid w:val="005A439B"/>
    <w:rsid w:val="005A4F05"/>
    <w:rsid w:val="005A6B54"/>
    <w:rsid w:val="005B0033"/>
    <w:rsid w:val="005B5942"/>
    <w:rsid w:val="005C0B1F"/>
    <w:rsid w:val="005C57BE"/>
    <w:rsid w:val="005D0737"/>
    <w:rsid w:val="005D3587"/>
    <w:rsid w:val="005D74FA"/>
    <w:rsid w:val="005E0B33"/>
    <w:rsid w:val="005E2499"/>
    <w:rsid w:val="005E3035"/>
    <w:rsid w:val="005E31B4"/>
    <w:rsid w:val="005E32E8"/>
    <w:rsid w:val="005E54B6"/>
    <w:rsid w:val="005F3CAD"/>
    <w:rsid w:val="005F6EAF"/>
    <w:rsid w:val="005F7B11"/>
    <w:rsid w:val="00611B3D"/>
    <w:rsid w:val="00611ED7"/>
    <w:rsid w:val="0061473F"/>
    <w:rsid w:val="00615691"/>
    <w:rsid w:val="00616E72"/>
    <w:rsid w:val="00621F60"/>
    <w:rsid w:val="00622DDE"/>
    <w:rsid w:val="006230B9"/>
    <w:rsid w:val="00626CA6"/>
    <w:rsid w:val="006278DD"/>
    <w:rsid w:val="00656963"/>
    <w:rsid w:val="00663A3C"/>
    <w:rsid w:val="00663BEC"/>
    <w:rsid w:val="00665CD3"/>
    <w:rsid w:val="00666493"/>
    <w:rsid w:val="0067083C"/>
    <w:rsid w:val="00684A41"/>
    <w:rsid w:val="0069017C"/>
    <w:rsid w:val="00696114"/>
    <w:rsid w:val="00697E69"/>
    <w:rsid w:val="006A0AE1"/>
    <w:rsid w:val="006A4C1B"/>
    <w:rsid w:val="006A7299"/>
    <w:rsid w:val="006B1E05"/>
    <w:rsid w:val="006B31D7"/>
    <w:rsid w:val="006B4A61"/>
    <w:rsid w:val="006B4F75"/>
    <w:rsid w:val="006C2D71"/>
    <w:rsid w:val="006C2F5F"/>
    <w:rsid w:val="006C4FD2"/>
    <w:rsid w:val="006D63BC"/>
    <w:rsid w:val="006D645E"/>
    <w:rsid w:val="006D7A24"/>
    <w:rsid w:val="006E00AC"/>
    <w:rsid w:val="006E2FA3"/>
    <w:rsid w:val="006E65F1"/>
    <w:rsid w:val="006E757B"/>
    <w:rsid w:val="006F6F91"/>
    <w:rsid w:val="006F7E8E"/>
    <w:rsid w:val="007065BB"/>
    <w:rsid w:val="007136AB"/>
    <w:rsid w:val="00714FCD"/>
    <w:rsid w:val="00715FD2"/>
    <w:rsid w:val="00716BF5"/>
    <w:rsid w:val="00717A61"/>
    <w:rsid w:val="00717B65"/>
    <w:rsid w:val="00717BD1"/>
    <w:rsid w:val="0072455B"/>
    <w:rsid w:val="00725491"/>
    <w:rsid w:val="007260B9"/>
    <w:rsid w:val="007269F6"/>
    <w:rsid w:val="00741647"/>
    <w:rsid w:val="0074487F"/>
    <w:rsid w:val="007521F2"/>
    <w:rsid w:val="00753580"/>
    <w:rsid w:val="0075419B"/>
    <w:rsid w:val="007613BF"/>
    <w:rsid w:val="00761753"/>
    <w:rsid w:val="007659C1"/>
    <w:rsid w:val="00774158"/>
    <w:rsid w:val="00776CD5"/>
    <w:rsid w:val="00781CAF"/>
    <w:rsid w:val="007825D7"/>
    <w:rsid w:val="00782846"/>
    <w:rsid w:val="007842A0"/>
    <w:rsid w:val="007870CF"/>
    <w:rsid w:val="00790662"/>
    <w:rsid w:val="007915AA"/>
    <w:rsid w:val="00793147"/>
    <w:rsid w:val="0079578E"/>
    <w:rsid w:val="00796E45"/>
    <w:rsid w:val="007A0D74"/>
    <w:rsid w:val="007A3255"/>
    <w:rsid w:val="007A4C7C"/>
    <w:rsid w:val="007C1745"/>
    <w:rsid w:val="007C2E76"/>
    <w:rsid w:val="007C3577"/>
    <w:rsid w:val="007C4520"/>
    <w:rsid w:val="007C4EB7"/>
    <w:rsid w:val="007D1082"/>
    <w:rsid w:val="007D26F2"/>
    <w:rsid w:val="008010EC"/>
    <w:rsid w:val="00803F7C"/>
    <w:rsid w:val="00806F3E"/>
    <w:rsid w:val="008111D2"/>
    <w:rsid w:val="00820FF6"/>
    <w:rsid w:val="00821607"/>
    <w:rsid w:val="00822024"/>
    <w:rsid w:val="00825868"/>
    <w:rsid w:val="00826486"/>
    <w:rsid w:val="0082691C"/>
    <w:rsid w:val="00833A1C"/>
    <w:rsid w:val="00837BE1"/>
    <w:rsid w:val="00851DC2"/>
    <w:rsid w:val="0085376D"/>
    <w:rsid w:val="008559A6"/>
    <w:rsid w:val="00857CF3"/>
    <w:rsid w:val="00860347"/>
    <w:rsid w:val="00867257"/>
    <w:rsid w:val="0087574D"/>
    <w:rsid w:val="00875B60"/>
    <w:rsid w:val="0089229F"/>
    <w:rsid w:val="008927D0"/>
    <w:rsid w:val="0089285C"/>
    <w:rsid w:val="008A1782"/>
    <w:rsid w:val="008A3D70"/>
    <w:rsid w:val="008A43CC"/>
    <w:rsid w:val="008B26F1"/>
    <w:rsid w:val="008C62B5"/>
    <w:rsid w:val="008E4597"/>
    <w:rsid w:val="008E4C88"/>
    <w:rsid w:val="008E5B77"/>
    <w:rsid w:val="008E63B4"/>
    <w:rsid w:val="008E71F4"/>
    <w:rsid w:val="008E753A"/>
    <w:rsid w:val="008F6E85"/>
    <w:rsid w:val="008F7589"/>
    <w:rsid w:val="00901E9C"/>
    <w:rsid w:val="00907570"/>
    <w:rsid w:val="00914283"/>
    <w:rsid w:val="0091549E"/>
    <w:rsid w:val="0091753A"/>
    <w:rsid w:val="009205CA"/>
    <w:rsid w:val="0092213C"/>
    <w:rsid w:val="00925F4F"/>
    <w:rsid w:val="00927F6C"/>
    <w:rsid w:val="009306EC"/>
    <w:rsid w:val="009338B1"/>
    <w:rsid w:val="00934456"/>
    <w:rsid w:val="00945354"/>
    <w:rsid w:val="0094762B"/>
    <w:rsid w:val="00947EF9"/>
    <w:rsid w:val="00950827"/>
    <w:rsid w:val="009514C5"/>
    <w:rsid w:val="00955D15"/>
    <w:rsid w:val="00955D35"/>
    <w:rsid w:val="00970861"/>
    <w:rsid w:val="009752D6"/>
    <w:rsid w:val="009774A2"/>
    <w:rsid w:val="0098141D"/>
    <w:rsid w:val="0098307B"/>
    <w:rsid w:val="0099011B"/>
    <w:rsid w:val="00991150"/>
    <w:rsid w:val="009A17FD"/>
    <w:rsid w:val="009A77F1"/>
    <w:rsid w:val="009A7DA0"/>
    <w:rsid w:val="009B2D6A"/>
    <w:rsid w:val="009B53F6"/>
    <w:rsid w:val="009C36A8"/>
    <w:rsid w:val="009C4017"/>
    <w:rsid w:val="009C78B9"/>
    <w:rsid w:val="009D6413"/>
    <w:rsid w:val="009E2A18"/>
    <w:rsid w:val="009E48F6"/>
    <w:rsid w:val="009E57AE"/>
    <w:rsid w:val="009F3045"/>
    <w:rsid w:val="009F5B5B"/>
    <w:rsid w:val="009F5BFF"/>
    <w:rsid w:val="009F6A4E"/>
    <w:rsid w:val="00A1045D"/>
    <w:rsid w:val="00A17738"/>
    <w:rsid w:val="00A17902"/>
    <w:rsid w:val="00A2036B"/>
    <w:rsid w:val="00A20B6F"/>
    <w:rsid w:val="00A230F8"/>
    <w:rsid w:val="00A26BC4"/>
    <w:rsid w:val="00A27485"/>
    <w:rsid w:val="00A326CE"/>
    <w:rsid w:val="00A3663C"/>
    <w:rsid w:val="00A418A1"/>
    <w:rsid w:val="00A41B5F"/>
    <w:rsid w:val="00A4240C"/>
    <w:rsid w:val="00A4427D"/>
    <w:rsid w:val="00A46D19"/>
    <w:rsid w:val="00A51FD9"/>
    <w:rsid w:val="00A56B6A"/>
    <w:rsid w:val="00A60083"/>
    <w:rsid w:val="00A659AE"/>
    <w:rsid w:val="00A73871"/>
    <w:rsid w:val="00A831C2"/>
    <w:rsid w:val="00A95324"/>
    <w:rsid w:val="00A96404"/>
    <w:rsid w:val="00A971D5"/>
    <w:rsid w:val="00AA5D7A"/>
    <w:rsid w:val="00AB0DA6"/>
    <w:rsid w:val="00AB24E5"/>
    <w:rsid w:val="00AB5B4E"/>
    <w:rsid w:val="00AD064F"/>
    <w:rsid w:val="00AD3655"/>
    <w:rsid w:val="00AD441A"/>
    <w:rsid w:val="00AD7A6C"/>
    <w:rsid w:val="00AE1897"/>
    <w:rsid w:val="00AE3151"/>
    <w:rsid w:val="00AE3810"/>
    <w:rsid w:val="00AE71E3"/>
    <w:rsid w:val="00B05496"/>
    <w:rsid w:val="00B05B9C"/>
    <w:rsid w:val="00B06545"/>
    <w:rsid w:val="00B0674E"/>
    <w:rsid w:val="00B10325"/>
    <w:rsid w:val="00B11910"/>
    <w:rsid w:val="00B143A6"/>
    <w:rsid w:val="00B200F1"/>
    <w:rsid w:val="00B20E68"/>
    <w:rsid w:val="00B36C1F"/>
    <w:rsid w:val="00B36F1B"/>
    <w:rsid w:val="00B4742C"/>
    <w:rsid w:val="00B4782C"/>
    <w:rsid w:val="00B47EFE"/>
    <w:rsid w:val="00B53435"/>
    <w:rsid w:val="00B54BDF"/>
    <w:rsid w:val="00B5560B"/>
    <w:rsid w:val="00B57E31"/>
    <w:rsid w:val="00B60171"/>
    <w:rsid w:val="00B61AA0"/>
    <w:rsid w:val="00B621EF"/>
    <w:rsid w:val="00B63D8E"/>
    <w:rsid w:val="00B65660"/>
    <w:rsid w:val="00B71571"/>
    <w:rsid w:val="00B84029"/>
    <w:rsid w:val="00B85CB5"/>
    <w:rsid w:val="00B91DF0"/>
    <w:rsid w:val="00B9688D"/>
    <w:rsid w:val="00BA11C7"/>
    <w:rsid w:val="00BA194A"/>
    <w:rsid w:val="00BA24F1"/>
    <w:rsid w:val="00BA273E"/>
    <w:rsid w:val="00BA4AB6"/>
    <w:rsid w:val="00BA62E2"/>
    <w:rsid w:val="00BB0345"/>
    <w:rsid w:val="00BB06B2"/>
    <w:rsid w:val="00BB3391"/>
    <w:rsid w:val="00BC1F3E"/>
    <w:rsid w:val="00BC264D"/>
    <w:rsid w:val="00BC35CE"/>
    <w:rsid w:val="00BD283D"/>
    <w:rsid w:val="00BD4F8E"/>
    <w:rsid w:val="00BD56B8"/>
    <w:rsid w:val="00BD6796"/>
    <w:rsid w:val="00BE56E0"/>
    <w:rsid w:val="00BF0B0A"/>
    <w:rsid w:val="00BF1783"/>
    <w:rsid w:val="00BF7989"/>
    <w:rsid w:val="00C0171A"/>
    <w:rsid w:val="00C02C85"/>
    <w:rsid w:val="00C04E60"/>
    <w:rsid w:val="00C06C53"/>
    <w:rsid w:val="00C112C4"/>
    <w:rsid w:val="00C118FD"/>
    <w:rsid w:val="00C1210E"/>
    <w:rsid w:val="00C15617"/>
    <w:rsid w:val="00C2509C"/>
    <w:rsid w:val="00C34956"/>
    <w:rsid w:val="00C45E41"/>
    <w:rsid w:val="00C51861"/>
    <w:rsid w:val="00C5188D"/>
    <w:rsid w:val="00C52C81"/>
    <w:rsid w:val="00C5347D"/>
    <w:rsid w:val="00C634F3"/>
    <w:rsid w:val="00C63B59"/>
    <w:rsid w:val="00C644F6"/>
    <w:rsid w:val="00C75F67"/>
    <w:rsid w:val="00C87E6D"/>
    <w:rsid w:val="00CA36A1"/>
    <w:rsid w:val="00CA7FFA"/>
    <w:rsid w:val="00CC22E2"/>
    <w:rsid w:val="00CD2854"/>
    <w:rsid w:val="00CD4ABF"/>
    <w:rsid w:val="00CE27F5"/>
    <w:rsid w:val="00CE5C06"/>
    <w:rsid w:val="00CE6620"/>
    <w:rsid w:val="00CF7B02"/>
    <w:rsid w:val="00D0014F"/>
    <w:rsid w:val="00D1321C"/>
    <w:rsid w:val="00D218CD"/>
    <w:rsid w:val="00D279D4"/>
    <w:rsid w:val="00D45DDF"/>
    <w:rsid w:val="00D47CED"/>
    <w:rsid w:val="00D50CC9"/>
    <w:rsid w:val="00D51A14"/>
    <w:rsid w:val="00D553B1"/>
    <w:rsid w:val="00D57F3F"/>
    <w:rsid w:val="00D60A5B"/>
    <w:rsid w:val="00D619E8"/>
    <w:rsid w:val="00D65D38"/>
    <w:rsid w:val="00D75336"/>
    <w:rsid w:val="00D76D53"/>
    <w:rsid w:val="00D8189E"/>
    <w:rsid w:val="00D842E6"/>
    <w:rsid w:val="00D93524"/>
    <w:rsid w:val="00D959F3"/>
    <w:rsid w:val="00D96333"/>
    <w:rsid w:val="00DA7762"/>
    <w:rsid w:val="00DC3D0E"/>
    <w:rsid w:val="00DC3F52"/>
    <w:rsid w:val="00DC6D6F"/>
    <w:rsid w:val="00DD26B1"/>
    <w:rsid w:val="00DD5297"/>
    <w:rsid w:val="00DD7C61"/>
    <w:rsid w:val="00DE7026"/>
    <w:rsid w:val="00DE7130"/>
    <w:rsid w:val="00DE798A"/>
    <w:rsid w:val="00DF173D"/>
    <w:rsid w:val="00DF43F1"/>
    <w:rsid w:val="00E01FD6"/>
    <w:rsid w:val="00E07A28"/>
    <w:rsid w:val="00E10E44"/>
    <w:rsid w:val="00E22310"/>
    <w:rsid w:val="00E2255B"/>
    <w:rsid w:val="00E23858"/>
    <w:rsid w:val="00E25E7E"/>
    <w:rsid w:val="00E27730"/>
    <w:rsid w:val="00E27B82"/>
    <w:rsid w:val="00E302DF"/>
    <w:rsid w:val="00E31946"/>
    <w:rsid w:val="00E33F2E"/>
    <w:rsid w:val="00E341B3"/>
    <w:rsid w:val="00E3456F"/>
    <w:rsid w:val="00E379F9"/>
    <w:rsid w:val="00E37E93"/>
    <w:rsid w:val="00E45210"/>
    <w:rsid w:val="00E454CC"/>
    <w:rsid w:val="00E50504"/>
    <w:rsid w:val="00E52D7E"/>
    <w:rsid w:val="00E54AD4"/>
    <w:rsid w:val="00E56695"/>
    <w:rsid w:val="00E65A52"/>
    <w:rsid w:val="00E66632"/>
    <w:rsid w:val="00E67193"/>
    <w:rsid w:val="00E70F63"/>
    <w:rsid w:val="00E726A3"/>
    <w:rsid w:val="00E73EB6"/>
    <w:rsid w:val="00E7612E"/>
    <w:rsid w:val="00E82070"/>
    <w:rsid w:val="00E91705"/>
    <w:rsid w:val="00E9433E"/>
    <w:rsid w:val="00EA04C4"/>
    <w:rsid w:val="00EA121A"/>
    <w:rsid w:val="00EA122E"/>
    <w:rsid w:val="00EA1636"/>
    <w:rsid w:val="00EA7581"/>
    <w:rsid w:val="00EB1141"/>
    <w:rsid w:val="00EB2652"/>
    <w:rsid w:val="00EB6D9C"/>
    <w:rsid w:val="00EC0DDA"/>
    <w:rsid w:val="00ED5E09"/>
    <w:rsid w:val="00ED7B28"/>
    <w:rsid w:val="00EE0ABE"/>
    <w:rsid w:val="00EF45F3"/>
    <w:rsid w:val="00F01A10"/>
    <w:rsid w:val="00F0318B"/>
    <w:rsid w:val="00F1379D"/>
    <w:rsid w:val="00F145CD"/>
    <w:rsid w:val="00F4286D"/>
    <w:rsid w:val="00F44D63"/>
    <w:rsid w:val="00F46747"/>
    <w:rsid w:val="00F52DB4"/>
    <w:rsid w:val="00F5636D"/>
    <w:rsid w:val="00F5709E"/>
    <w:rsid w:val="00F60C93"/>
    <w:rsid w:val="00F610F1"/>
    <w:rsid w:val="00F64516"/>
    <w:rsid w:val="00F65DF0"/>
    <w:rsid w:val="00F66BF4"/>
    <w:rsid w:val="00F760F6"/>
    <w:rsid w:val="00F84264"/>
    <w:rsid w:val="00F9575A"/>
    <w:rsid w:val="00F9756B"/>
    <w:rsid w:val="00FA054A"/>
    <w:rsid w:val="00FA25C8"/>
    <w:rsid w:val="00FA379B"/>
    <w:rsid w:val="00FA43CE"/>
    <w:rsid w:val="00FA5EFA"/>
    <w:rsid w:val="00FB4BD6"/>
    <w:rsid w:val="00FC6B7A"/>
    <w:rsid w:val="00FD6644"/>
    <w:rsid w:val="00FD7C61"/>
    <w:rsid w:val="00FF11E2"/>
    <w:rsid w:val="00FF39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CF5649"/>
  <w15:docId w15:val="{D69C392B-62A9-47DC-9ABE-A72B5BF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ABC"/>
    <w:pPr>
      <w:spacing w:after="240"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87ABC"/>
    <w:pPr>
      <w:keepNext/>
      <w:spacing w:before="240" w:after="12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487ABC"/>
    <w:pPr>
      <w:keepNext/>
      <w:tabs>
        <w:tab w:val="left" w:pos="360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487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4762B"/>
    <w:pPr>
      <w:spacing w:line="240" w:lineRule="auto"/>
    </w:pPr>
  </w:style>
  <w:style w:type="paragraph" w:styleId="TOC2">
    <w:name w:val="toc 2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leader="dot" w:pos="9360"/>
      </w:tabs>
      <w:spacing w:after="0" w:line="240" w:lineRule="auto"/>
      <w:ind w:left="360"/>
    </w:pPr>
  </w:style>
  <w:style w:type="paragraph" w:styleId="TOC3">
    <w:name w:val="toc 3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pos="9216"/>
      </w:tabs>
      <w:spacing w:after="0" w:line="240" w:lineRule="auto"/>
      <w:ind w:left="720"/>
    </w:pPr>
  </w:style>
  <w:style w:type="paragraph" w:styleId="TOC4">
    <w:name w:val="toc 4"/>
    <w:basedOn w:val="Normal"/>
    <w:next w:val="Normal"/>
    <w:autoRedefine/>
    <w:semiHidden/>
    <w:rsid w:val="00487ABC"/>
    <w:pPr>
      <w:ind w:left="720"/>
    </w:pPr>
  </w:style>
  <w:style w:type="paragraph" w:styleId="TOC5">
    <w:name w:val="toc 5"/>
    <w:basedOn w:val="Normal"/>
    <w:next w:val="Normal"/>
    <w:autoRedefine/>
    <w:semiHidden/>
    <w:rsid w:val="00487ABC"/>
    <w:pPr>
      <w:ind w:left="960"/>
    </w:pPr>
  </w:style>
  <w:style w:type="paragraph" w:styleId="TOC6">
    <w:name w:val="toc 6"/>
    <w:basedOn w:val="Normal"/>
    <w:next w:val="Normal"/>
    <w:autoRedefine/>
    <w:semiHidden/>
    <w:rsid w:val="00487ABC"/>
    <w:pPr>
      <w:ind w:left="1200"/>
    </w:pPr>
  </w:style>
  <w:style w:type="paragraph" w:styleId="TOC7">
    <w:name w:val="toc 7"/>
    <w:basedOn w:val="Normal"/>
    <w:next w:val="Normal"/>
    <w:autoRedefine/>
    <w:semiHidden/>
    <w:rsid w:val="00487ABC"/>
    <w:pPr>
      <w:ind w:left="1440"/>
    </w:pPr>
  </w:style>
  <w:style w:type="paragraph" w:styleId="TOC8">
    <w:name w:val="toc 8"/>
    <w:basedOn w:val="Normal"/>
    <w:next w:val="Normal"/>
    <w:autoRedefine/>
    <w:semiHidden/>
    <w:rsid w:val="00487ABC"/>
    <w:pPr>
      <w:ind w:left="1680"/>
    </w:pPr>
  </w:style>
  <w:style w:type="paragraph" w:styleId="TOC9">
    <w:name w:val="toc 9"/>
    <w:basedOn w:val="Normal"/>
    <w:next w:val="Normal"/>
    <w:autoRedefine/>
    <w:semiHidden/>
    <w:rsid w:val="00487ABC"/>
    <w:pPr>
      <w:ind w:left="1920"/>
    </w:pPr>
  </w:style>
  <w:style w:type="character" w:customStyle="1" w:styleId="BodyTextFi">
    <w:name w:val="Body Text Fi"/>
    <w:rsid w:val="00487ABC"/>
  </w:style>
  <w:style w:type="paragraph" w:styleId="BodyText">
    <w:name w:val="Body Text"/>
    <w:basedOn w:val="Normal"/>
    <w:rsid w:val="00487ABC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487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7A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ABC"/>
  </w:style>
  <w:style w:type="paragraph" w:styleId="Title">
    <w:name w:val="Title"/>
    <w:basedOn w:val="Normal"/>
    <w:qFormat/>
    <w:rsid w:val="00487ABC"/>
    <w:pPr>
      <w:spacing w:before="240" w:after="60" w:line="240" w:lineRule="auto"/>
      <w:jc w:val="center"/>
    </w:pPr>
    <w:rPr>
      <w:rFonts w:ascii="Arial" w:hAnsi="Arial" w:cs="Arial"/>
      <w:b/>
      <w:bCs/>
      <w:caps/>
      <w:sz w:val="28"/>
      <w:szCs w:val="32"/>
    </w:rPr>
  </w:style>
  <w:style w:type="paragraph" w:customStyle="1" w:styleId="TitlePage">
    <w:name w:val="TitlePage"/>
    <w:basedOn w:val="Title"/>
    <w:rsid w:val="00487ABC"/>
    <w:rPr>
      <w:caps w:val="0"/>
      <w:sz w:val="48"/>
    </w:rPr>
  </w:style>
  <w:style w:type="character" w:styleId="Hyperlink">
    <w:name w:val="Hyperlink"/>
    <w:basedOn w:val="DefaultParagraphFont"/>
    <w:uiPriority w:val="99"/>
    <w:rsid w:val="00487ABC"/>
    <w:rPr>
      <w:color w:val="0000FF"/>
      <w:u w:val="single"/>
    </w:rPr>
  </w:style>
  <w:style w:type="paragraph" w:styleId="HTMLPreformatted">
    <w:name w:val="HTML Preformatted"/>
    <w:basedOn w:val="Normal"/>
    <w:rsid w:val="00487A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4B7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3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7B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BE1"/>
  </w:style>
  <w:style w:type="paragraph" w:styleId="CommentSubject">
    <w:name w:val="annotation subject"/>
    <w:basedOn w:val="CommentText"/>
    <w:next w:val="CommentText"/>
    <w:link w:val="CommentSubjectChar"/>
    <w:rsid w:val="0043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BE1"/>
    <w:rPr>
      <w:b/>
      <w:bCs/>
    </w:rPr>
  </w:style>
  <w:style w:type="table" w:styleId="TableGrid">
    <w:name w:val="Table Grid"/>
    <w:basedOn w:val="TableNormal"/>
    <w:rsid w:val="00DD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B33"/>
    <w:pPr>
      <w:ind w:left="720"/>
      <w:contextualSpacing/>
    </w:pPr>
  </w:style>
  <w:style w:type="character" w:customStyle="1" w:styleId="FootnoteTextChar">
    <w:name w:val="Footnote Text Char"/>
    <w:aliases w:val="Char Char,F1 Char"/>
    <w:basedOn w:val="DefaultParagraphFont"/>
    <w:link w:val="FootnoteText"/>
    <w:uiPriority w:val="99"/>
    <w:semiHidden/>
    <w:locked/>
    <w:rsid w:val="00D65D38"/>
    <w:rPr>
      <w:rFonts w:ascii="Calibri" w:hAnsi="Calibri" w:eastAsiaTheme="minorHAnsi" w:cstheme="minorBidi"/>
    </w:rPr>
  </w:style>
  <w:style w:type="paragraph" w:styleId="FootnoteText">
    <w:name w:val="footnote text"/>
    <w:aliases w:val="Char,F1"/>
    <w:basedOn w:val="Normal"/>
    <w:link w:val="FootnoteTextChar"/>
    <w:uiPriority w:val="99"/>
    <w:semiHidden/>
    <w:unhideWhenUsed/>
    <w:qFormat/>
    <w:rsid w:val="00D65D38"/>
    <w:pPr>
      <w:spacing w:after="0" w:line="240" w:lineRule="auto"/>
    </w:pPr>
    <w:rPr>
      <w:rFonts w:ascii="Calibri" w:hAnsi="Calibri" w:eastAsia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semiHidden/>
    <w:rsid w:val="00D65D38"/>
  </w:style>
  <w:style w:type="character" w:styleId="FootnoteReference">
    <w:name w:val="footnote reference"/>
    <w:uiPriority w:val="99"/>
    <w:semiHidden/>
    <w:unhideWhenUsed/>
    <w:rsid w:val="00D65D3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02F4"/>
    <w:rPr>
      <w:color w:val="605E5C"/>
      <w:shd w:val="clear" w:color="auto" w:fill="E1DFDD"/>
    </w:rPr>
  </w:style>
  <w:style w:type="paragraph" w:customStyle="1" w:styleId="TableHeaderCenter">
    <w:name w:val="Table Header Center"/>
    <w:basedOn w:val="TableHeaderLeft"/>
    <w:qFormat/>
    <w:rsid w:val="00C34956"/>
    <w:pPr>
      <w:jc w:val="center"/>
    </w:pPr>
  </w:style>
  <w:style w:type="paragraph" w:customStyle="1" w:styleId="TableHeaderLeft">
    <w:name w:val="Table Header Left"/>
    <w:qFormat/>
    <w:rsid w:val="00C34956"/>
    <w:pPr>
      <w:spacing w:before="120" w:after="60"/>
    </w:pPr>
    <w:rPr>
      <w:rFonts w:ascii="Arial" w:hAnsi="Arial"/>
      <w:b/>
      <w:color w:val="FFFFFF" w:themeColor="background1"/>
      <w:sz w:val="18"/>
    </w:rPr>
  </w:style>
  <w:style w:type="paragraph" w:customStyle="1" w:styleId="NormalSS">
    <w:name w:val="NormalSS"/>
    <w:basedOn w:val="Normal"/>
    <w:link w:val="NormalSSChar"/>
    <w:qFormat/>
    <w:rsid w:val="004F51C8"/>
    <w:pPr>
      <w:spacing w:line="240" w:lineRule="auto"/>
      <w:ind w:firstLine="432"/>
    </w:pPr>
    <w:rPr>
      <w:szCs w:val="20"/>
    </w:rPr>
  </w:style>
  <w:style w:type="character" w:customStyle="1" w:styleId="NormalSSChar">
    <w:name w:val="NormalSS Char"/>
    <w:basedOn w:val="DefaultParagraphFont"/>
    <w:link w:val="NormalSS"/>
    <w:locked/>
    <w:rsid w:val="004F51C8"/>
    <w:rPr>
      <w:sz w:val="24"/>
    </w:rPr>
  </w:style>
  <w:style w:type="paragraph" w:styleId="Revision">
    <w:name w:val="Revision"/>
    <w:hidden/>
    <w:uiPriority w:val="99"/>
    <w:semiHidden/>
    <w:rsid w:val="00FA054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79AC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901E9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81E50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A77F1"/>
    <w:pPr>
      <w:widowControl w:val="0"/>
      <w:spacing w:after="0" w:line="240" w:lineRule="auto"/>
      <w:ind w:left="720"/>
      <w:contextualSpacing/>
    </w:pPr>
    <w:rPr>
      <w:sz w:val="20"/>
      <w:szCs w:val="20"/>
      <w:lang w:eastAsia="ja-JP"/>
    </w:rPr>
  </w:style>
  <w:style w:type="character" w:customStyle="1" w:styleId="ui-provider">
    <w:name w:val="ui-provider"/>
    <w:basedOn w:val="DefaultParagraphFont"/>
    <w:rsid w:val="005E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B03F3A7A704B96FA2859FDCE6C8D" ma:contentTypeVersion="" ma:contentTypeDescription="Create a new document." ma:contentTypeScope="" ma:versionID="18260a793ecc04d83f4e03bcefdaff78">
  <xsd:schema xmlns:xsd="http://www.w3.org/2001/XMLSchema" xmlns:xs="http://www.w3.org/2001/XMLSchema" xmlns:p="http://schemas.microsoft.com/office/2006/metadata/properties" xmlns:ns2="721993b8-963c-40f8-bb77-721e51881077" xmlns:ns3="0da5d3f8-c2bc-48c1-9c46-6ed742716744" targetNamespace="http://schemas.microsoft.com/office/2006/metadata/properties" ma:root="true" ma:fieldsID="81807f1e28012e5074b8dea5d3b84973" ns2:_="" ns3:_="">
    <xsd:import namespace="721993b8-963c-40f8-bb77-721e51881077"/>
    <xsd:import namespace="0da5d3f8-c2bc-48c1-9c46-6ed7427167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93b8-963c-40f8-bb77-721e51881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5d3f8-c2bc-48c1-9c46-6ed742716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1993b8-963c-40f8-bb77-721e51881077">DYXX3KQPS52K-1114335524-89887</_dlc_DocId>
    <_dlc_DocIdUrl xmlns="721993b8-963c-40f8-bb77-721e51881077">
      <Url>https://ogcintranet.hhs.gov/sites/DocumentCenter/_layouts/15/DocIdRedir.aspx?ID=DYXX3KQPS52K-1114335524-89887</Url>
      <Description>DYXX3KQPS52K-1114335524-89887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37A26-8C28-43B7-9B0E-E00F6263F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93b8-963c-40f8-bb77-721e51881077"/>
    <ds:schemaRef ds:uri="0da5d3f8-c2bc-48c1-9c46-6ed742716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093DB-7D27-4DF8-9BAF-6B2FDA5A7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D4C4B-2C12-44AD-9A86-532FC3C1C75F}">
  <ds:schemaRefs>
    <ds:schemaRef ds:uri="http://schemas.microsoft.com/office/2006/metadata/properties"/>
    <ds:schemaRef ds:uri="http://schemas.microsoft.com/office/infopath/2007/PartnerControls"/>
    <ds:schemaRef ds:uri="721993b8-963c-40f8-bb77-721e51881077"/>
  </ds:schemaRefs>
</ds:datastoreItem>
</file>

<file path=customXml/itemProps4.xml><?xml version="1.0" encoding="utf-8"?>
<ds:datastoreItem xmlns:ds="http://schemas.openxmlformats.org/officeDocument/2006/customXml" ds:itemID="{F5EF9EBF-66D0-4ECD-B963-47F6912CB2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1259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CSR Inc.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Claudia Flatau</dc:creator>
  <cp:lastModifiedBy>Cooper, Laura (HRSA)</cp:lastModifiedBy>
  <cp:revision>7</cp:revision>
  <cp:lastPrinted>2014-05-08T19:32:00Z</cp:lastPrinted>
  <dcterms:created xsi:type="dcterms:W3CDTF">2023-07-13T12:15:00Z</dcterms:created>
  <dcterms:modified xsi:type="dcterms:W3CDTF">2023-07-21T15:17:00Z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0x010100961DB03F3A7A704B96FA2859FDCE6C8D</vt:lpwstr>
  </property>
  <property fmtid="{D5CDD505-2E9C-101B-9397-08002B2CF9AE}" pid="3" name="GrammarlyDocumentId">
    <vt:lpwstr>896e6dba202cc9e0b27937b4d6adc5de8897634cc8e678db0368f134ee9e39fb</vt:lpwstr>
  </property>
  <property fmtid="{D5CDD505-2E9C-101B-9397-08002B2CF9AE}" pid="4" name="_dlc_DocIdItemGuid">
    <vt:lpwstr>ab7922c7-2000-4703-92b4-528527c3800d</vt:lpwstr>
  </property>
</Properties>
</file>