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2DEC" w:rsidRPr="00A25321" w:rsidP="00E92DEC" w14:paraId="6D566B97" w14:textId="0A79B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25321">
        <w:rPr>
          <w:lang w:val="en-CA"/>
        </w:rPr>
        <w:fldChar w:fldCharType="begin"/>
      </w:r>
      <w:r w:rsidRPr="00A25321">
        <w:rPr>
          <w:lang w:val="en-CA"/>
        </w:rPr>
        <w:instrText xml:space="preserve"> SEQ CHAPTER \h \r 1</w:instrText>
      </w:r>
      <w:r w:rsidRPr="00A25321">
        <w:rPr>
          <w:lang w:val="en-CA"/>
        </w:rPr>
        <w:fldChar w:fldCharType="separate"/>
      </w:r>
      <w:r w:rsidRPr="00A25321">
        <w:rPr>
          <w:lang w:val="en-CA"/>
        </w:rPr>
        <w:fldChar w:fldCharType="end"/>
      </w:r>
      <w:r w:rsidRPr="00A25321">
        <w:rPr>
          <w:b/>
          <w:bCs/>
          <w:sz w:val="32"/>
          <w:szCs w:val="32"/>
        </w:rPr>
        <w:t>Supporting Statement for</w:t>
      </w:r>
    </w:p>
    <w:p w:rsidR="00E92DEC" w:rsidRPr="00A25321" w:rsidP="00E92DEC" w14:paraId="276A74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3E377D" w:rsidP="00E92DEC" w14:paraId="0655DD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25321">
        <w:rPr>
          <w:b/>
          <w:bCs/>
          <w:sz w:val="32"/>
          <w:szCs w:val="32"/>
        </w:rPr>
        <w:t xml:space="preserve">Indian </w:t>
      </w:r>
      <w:r w:rsidR="00B37D5F">
        <w:rPr>
          <w:b/>
          <w:bCs/>
          <w:sz w:val="32"/>
          <w:szCs w:val="32"/>
        </w:rPr>
        <w:t>Health Service Medical Staff Credentials</w:t>
      </w:r>
      <w:r w:rsidR="0019639E">
        <w:rPr>
          <w:b/>
          <w:bCs/>
          <w:sz w:val="32"/>
          <w:szCs w:val="32"/>
        </w:rPr>
        <w:t xml:space="preserve"> and Privileges</w:t>
      </w:r>
      <w:r w:rsidR="00B37D5F">
        <w:rPr>
          <w:b/>
          <w:bCs/>
          <w:sz w:val="32"/>
          <w:szCs w:val="32"/>
        </w:rPr>
        <w:t xml:space="preserve"> </w:t>
      </w:r>
    </w:p>
    <w:p w:rsidR="003E377D" w:rsidP="00E92DEC" w14:paraId="6A3BEF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E92DEC" w:rsidP="00E92DEC" w14:paraId="3A162456" w14:textId="3964C7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Records</w:t>
      </w:r>
    </w:p>
    <w:p w:rsidR="00E92DEC" w:rsidP="00E92DEC" w14:paraId="7E7CD3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E92DEC" w:rsidRPr="00A25321" w:rsidP="00E92DEC" w14:paraId="15D27F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A25321">
        <w:rPr>
          <w:b/>
          <w:bCs/>
          <w:sz w:val="32"/>
          <w:szCs w:val="32"/>
        </w:rPr>
        <w:t xml:space="preserve">OMB Control Number </w:t>
      </w:r>
      <w:r>
        <w:rPr>
          <w:b/>
          <w:bCs/>
          <w:sz w:val="32"/>
          <w:szCs w:val="32"/>
        </w:rPr>
        <w:t>0917-00</w:t>
      </w:r>
      <w:r w:rsidR="00B37D5F">
        <w:rPr>
          <w:b/>
          <w:bCs/>
          <w:sz w:val="32"/>
          <w:szCs w:val="32"/>
        </w:rPr>
        <w:t>09</w:t>
      </w:r>
    </w:p>
    <w:p w:rsidR="007D2DF9" w:rsidRPr="008E0086" w14:paraId="477CB19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15B68FF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b/>
          <w:color w:val="000000" w:themeColor="text1"/>
          <w:szCs w:val="24"/>
        </w:rPr>
        <w:t>A.</w:t>
      </w:r>
      <w:r w:rsidRPr="008E0086">
        <w:rPr>
          <w:b/>
          <w:color w:val="000000" w:themeColor="text1"/>
          <w:szCs w:val="24"/>
        </w:rPr>
        <w:tab/>
        <w:t>Justification</w:t>
      </w:r>
    </w:p>
    <w:p w:rsidR="008E3B16" w:rsidRPr="008E0086" w14:paraId="17BE4FA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7B02675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ab/>
        <w:t>1.</w:t>
      </w:r>
      <w:r w:rsidRPr="008E0086">
        <w:rPr>
          <w:b/>
          <w:color w:val="000000" w:themeColor="text1"/>
          <w:szCs w:val="24"/>
        </w:rPr>
        <w:tab/>
      </w:r>
      <w:r w:rsidRPr="008E0086">
        <w:rPr>
          <w:b/>
          <w:color w:val="000000" w:themeColor="text1"/>
          <w:szCs w:val="24"/>
          <w:u w:val="single"/>
        </w:rPr>
        <w:t>Circumstances Making the Collection of Information Necessary</w:t>
      </w:r>
    </w:p>
    <w:p w:rsidR="008E3B16" w:rsidRPr="008E0086" w14:paraId="2644A0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p>
    <w:p w:rsidR="008E3B16" w:rsidRPr="008E0086" w14:paraId="31BDB66B" w14:textId="788ABBF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This is </w:t>
      </w:r>
      <w:r w:rsidRPr="00227A6E" w:rsidR="00E0438D">
        <w:rPr>
          <w:color w:val="000000" w:themeColor="text1"/>
        </w:rPr>
        <w:t>an update</w:t>
      </w:r>
      <w:r w:rsidRPr="00227A6E" w:rsidR="00D2069E">
        <w:rPr>
          <w:color w:val="000000" w:themeColor="text1"/>
        </w:rPr>
        <w:t xml:space="preserve"> of a currently</w:t>
      </w:r>
      <w:r w:rsidRPr="008E0086" w:rsidR="00D2069E">
        <w:rPr>
          <w:color w:val="000000" w:themeColor="text1"/>
          <w:szCs w:val="24"/>
        </w:rPr>
        <w:t xml:space="preserve"> a</w:t>
      </w:r>
      <w:r w:rsidRPr="008E0086" w:rsidR="005B2983">
        <w:rPr>
          <w:color w:val="000000" w:themeColor="text1"/>
          <w:szCs w:val="24"/>
        </w:rPr>
        <w:t xml:space="preserve">pproved </w:t>
      </w:r>
      <w:r w:rsidRPr="008E0086">
        <w:rPr>
          <w:color w:val="000000" w:themeColor="text1"/>
          <w:szCs w:val="24"/>
        </w:rPr>
        <w:t>Indian Health Service (IHS) information collection</w:t>
      </w:r>
      <w:r w:rsidRPr="008E0086" w:rsidR="005B2983">
        <w:rPr>
          <w:color w:val="000000" w:themeColor="text1"/>
          <w:szCs w:val="24"/>
        </w:rPr>
        <w:t xml:space="preserve"> titled</w:t>
      </w:r>
      <w:r w:rsidRPr="008E0086">
        <w:rPr>
          <w:color w:val="000000" w:themeColor="text1"/>
          <w:szCs w:val="24"/>
        </w:rPr>
        <w:t xml:space="preserve"> </w:t>
      </w:r>
      <w:r w:rsidR="002C6061">
        <w:rPr>
          <w:color w:val="000000" w:themeColor="text1"/>
          <w:szCs w:val="24"/>
        </w:rPr>
        <w:t>“</w:t>
      </w:r>
      <w:r w:rsidRPr="008E0086">
        <w:rPr>
          <w:color w:val="000000" w:themeColor="text1"/>
          <w:szCs w:val="24"/>
        </w:rPr>
        <w:t xml:space="preserve">Indian Health Service Medical Staff Credentials </w:t>
      </w:r>
      <w:r w:rsidR="00F338A6">
        <w:rPr>
          <w:color w:val="000000" w:themeColor="text1"/>
          <w:szCs w:val="24"/>
        </w:rPr>
        <w:t>Application</w:t>
      </w:r>
      <w:r w:rsidRPr="008E0086" w:rsidR="00F338A6">
        <w:rPr>
          <w:color w:val="000000" w:themeColor="text1"/>
          <w:szCs w:val="24"/>
        </w:rPr>
        <w:t xml:space="preserve"> </w:t>
      </w:r>
      <w:r w:rsidRPr="008E0086" w:rsidR="005B2983">
        <w:rPr>
          <w:color w:val="000000" w:themeColor="text1"/>
          <w:szCs w:val="24"/>
        </w:rPr>
        <w:t>(OMB No.</w:t>
      </w:r>
      <w:r w:rsidR="00CB015C">
        <w:rPr>
          <w:color w:val="000000" w:themeColor="text1"/>
          <w:szCs w:val="24"/>
        </w:rPr>
        <w:t> </w:t>
      </w:r>
      <w:r w:rsidRPr="008E0086" w:rsidR="005B2983">
        <w:rPr>
          <w:color w:val="000000" w:themeColor="text1"/>
          <w:szCs w:val="24"/>
        </w:rPr>
        <w:t>0917-0009),”</w:t>
      </w:r>
      <w:r w:rsidRPr="008E0086">
        <w:rPr>
          <w:color w:val="000000" w:themeColor="text1"/>
          <w:szCs w:val="24"/>
        </w:rPr>
        <w:t xml:space="preserve"> which will expire</w:t>
      </w:r>
      <w:r w:rsidRPr="008E0086" w:rsidR="009E5363">
        <w:rPr>
          <w:color w:val="000000" w:themeColor="text1"/>
          <w:szCs w:val="24"/>
        </w:rPr>
        <w:t xml:space="preserve"> on </w:t>
      </w:r>
      <w:r w:rsidR="00CB015C">
        <w:rPr>
          <w:color w:val="000000" w:themeColor="text1"/>
          <w:szCs w:val="24"/>
        </w:rPr>
        <w:t xml:space="preserve">August </w:t>
      </w:r>
      <w:r w:rsidR="003335D9">
        <w:rPr>
          <w:color w:val="000000" w:themeColor="text1"/>
          <w:szCs w:val="24"/>
        </w:rPr>
        <w:t>31</w:t>
      </w:r>
      <w:r w:rsidR="00CB015C">
        <w:rPr>
          <w:color w:val="000000" w:themeColor="text1"/>
          <w:szCs w:val="24"/>
        </w:rPr>
        <w:t xml:space="preserve">, </w:t>
      </w:r>
      <w:r w:rsidRPr="00451801" w:rsidR="00451801">
        <w:rPr>
          <w:color w:val="000000" w:themeColor="text1"/>
          <w:szCs w:val="24"/>
        </w:rPr>
        <w:t>202</w:t>
      </w:r>
      <w:r w:rsidR="003335D9">
        <w:rPr>
          <w:color w:val="000000" w:themeColor="text1"/>
          <w:szCs w:val="24"/>
        </w:rPr>
        <w:t>3</w:t>
      </w:r>
      <w:r w:rsidRPr="008E0086">
        <w:rPr>
          <w:color w:val="000000" w:themeColor="text1"/>
          <w:szCs w:val="24"/>
        </w:rPr>
        <w:t xml:space="preserve">.  The IHS collects and maintains this information under the following authorities:  </w:t>
      </w:r>
      <w:r w:rsidRPr="008E0086" w:rsidR="005B2983">
        <w:rPr>
          <w:color w:val="000000" w:themeColor="text1"/>
          <w:szCs w:val="24"/>
        </w:rPr>
        <w:t xml:space="preserve">The </w:t>
      </w:r>
      <w:r w:rsidRPr="008E0086">
        <w:rPr>
          <w:color w:val="000000" w:themeColor="text1"/>
          <w:szCs w:val="24"/>
        </w:rPr>
        <w:t xml:space="preserve">Snyder Act (25 U.S.C. </w:t>
      </w:r>
      <w:r w:rsidRPr="008E0086" w:rsidR="005B2983">
        <w:rPr>
          <w:color w:val="000000" w:themeColor="text1"/>
          <w:szCs w:val="24"/>
        </w:rPr>
        <w:t>§</w:t>
      </w:r>
      <w:r w:rsidRPr="008E0086">
        <w:rPr>
          <w:color w:val="000000" w:themeColor="text1"/>
          <w:szCs w:val="24"/>
        </w:rPr>
        <w:t>13)</w:t>
      </w:r>
      <w:r w:rsidR="00764CDC">
        <w:rPr>
          <w:color w:val="000000" w:themeColor="text1"/>
          <w:szCs w:val="24"/>
        </w:rPr>
        <w:t xml:space="preserve"> and the</w:t>
      </w:r>
      <w:r w:rsidRPr="008E0086">
        <w:rPr>
          <w:color w:val="000000" w:themeColor="text1"/>
          <w:szCs w:val="24"/>
        </w:rPr>
        <w:t xml:space="preserve"> Indian Health Service Transfer Act (42 U.S.C. </w:t>
      </w:r>
      <w:r w:rsidRPr="008E0086" w:rsidR="005B2983">
        <w:rPr>
          <w:color w:val="000000" w:themeColor="text1"/>
          <w:szCs w:val="24"/>
        </w:rPr>
        <w:t xml:space="preserve">§§ </w:t>
      </w:r>
      <w:r w:rsidRPr="008E0086">
        <w:rPr>
          <w:color w:val="000000" w:themeColor="text1"/>
          <w:szCs w:val="24"/>
        </w:rPr>
        <w:t>2001-2004).</w:t>
      </w:r>
      <w:r w:rsidR="006B1EB8">
        <w:rPr>
          <w:color w:val="000000" w:themeColor="text1"/>
          <w:szCs w:val="24"/>
        </w:rPr>
        <w:t xml:space="preserve"> </w:t>
      </w:r>
      <w:r w:rsidR="00CB015C">
        <w:rPr>
          <w:color w:val="000000" w:themeColor="text1"/>
          <w:szCs w:val="24"/>
        </w:rPr>
        <w:t xml:space="preserve"> </w:t>
      </w:r>
      <w:r w:rsidRPr="006B1EB8" w:rsidR="006B1EB8">
        <w:rPr>
          <w:color w:val="000000" w:themeColor="text1"/>
          <w:szCs w:val="24"/>
        </w:rPr>
        <w:t>The Indian Health Care Improvement Act (IHCIA), the cornerstone legal authority for the provision of health care to American Indians and Alaska Natives</w:t>
      </w:r>
      <w:r w:rsidR="004001B5">
        <w:rPr>
          <w:color w:val="000000" w:themeColor="text1"/>
          <w:szCs w:val="24"/>
        </w:rPr>
        <w:t xml:space="preserve"> (AI/AN)</w:t>
      </w:r>
      <w:r w:rsidRPr="006B1EB8" w:rsidR="006B1EB8">
        <w:rPr>
          <w:color w:val="000000" w:themeColor="text1"/>
          <w:szCs w:val="24"/>
        </w:rPr>
        <w:t xml:space="preserve">, was made permanent as part of the Patient Protection and Affordable Care Act. </w:t>
      </w:r>
      <w:r w:rsidR="00DC0B67">
        <w:rPr>
          <w:color w:val="000000" w:themeColor="text1"/>
          <w:szCs w:val="24"/>
        </w:rPr>
        <w:t xml:space="preserve"> </w:t>
      </w:r>
      <w:r w:rsidRPr="006B1EB8" w:rsidR="006B1EB8">
        <w:rPr>
          <w:color w:val="000000" w:themeColor="text1"/>
          <w:szCs w:val="24"/>
        </w:rPr>
        <w:t xml:space="preserve">The authorization of appropriations for the IHCIA had expired in 2000, and while various versions of the bill were considered by Congress since then, the act now has no expiration date. </w:t>
      </w:r>
      <w:r w:rsidR="00DC0B67">
        <w:rPr>
          <w:color w:val="000000" w:themeColor="text1"/>
          <w:szCs w:val="24"/>
        </w:rPr>
        <w:t xml:space="preserve"> </w:t>
      </w:r>
      <w:r w:rsidRPr="006B1EB8" w:rsidR="006B1EB8">
        <w:rPr>
          <w:color w:val="000000" w:themeColor="text1"/>
          <w:szCs w:val="24"/>
        </w:rPr>
        <w:t xml:space="preserve">The </w:t>
      </w:r>
      <w:r w:rsidR="00DC0B67">
        <w:rPr>
          <w:color w:val="000000" w:themeColor="text1"/>
          <w:szCs w:val="24"/>
        </w:rPr>
        <w:t>IHCIA</w:t>
      </w:r>
      <w:r w:rsidRPr="006B1EB8" w:rsidR="006B1EB8">
        <w:rPr>
          <w:color w:val="000000" w:themeColor="text1"/>
          <w:szCs w:val="24"/>
        </w:rPr>
        <w:t xml:space="preserve"> of 1976 (25 U.S.C 1601, et seq.) and the Snyder Act of 1921 (25 U.S.C 13) comprise the basic legislative authority for the </w:t>
      </w:r>
      <w:r w:rsidR="00DC0B67">
        <w:rPr>
          <w:color w:val="000000" w:themeColor="text1"/>
          <w:szCs w:val="24"/>
        </w:rPr>
        <w:t>IHS</w:t>
      </w:r>
      <w:r w:rsidRPr="006B1EB8" w:rsidR="006B1EB8">
        <w:rPr>
          <w:color w:val="000000" w:themeColor="text1"/>
          <w:szCs w:val="24"/>
        </w:rPr>
        <w:t xml:space="preserve">.  These Acts along with several other Acts give Congress appropriations for the </w:t>
      </w:r>
      <w:r w:rsidR="00FC2036">
        <w:rPr>
          <w:color w:val="000000" w:themeColor="text1"/>
          <w:szCs w:val="24"/>
        </w:rPr>
        <w:t>IHS</w:t>
      </w:r>
      <w:r w:rsidRPr="006B1EB8" w:rsidR="006B1EB8">
        <w:rPr>
          <w:color w:val="000000" w:themeColor="text1"/>
          <w:szCs w:val="24"/>
        </w:rPr>
        <w:t>.</w:t>
      </w:r>
    </w:p>
    <w:p w:rsidR="008E3B16" w:rsidRPr="008E0086" w14:paraId="560C059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263EEF6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themeColor="text1"/>
          <w:szCs w:val="24"/>
        </w:rPr>
      </w:pPr>
      <w:r w:rsidRPr="008E0086">
        <w:rPr>
          <w:b/>
          <w:color w:val="000000" w:themeColor="text1"/>
          <w:szCs w:val="24"/>
        </w:rPr>
        <w:tab/>
      </w:r>
      <w:r w:rsidRPr="001E6BC5">
        <w:rPr>
          <w:b/>
          <w:color w:val="000000" w:themeColor="text1"/>
          <w:szCs w:val="24"/>
        </w:rPr>
        <w:t>2.</w:t>
      </w:r>
      <w:r w:rsidRPr="001E6BC5">
        <w:rPr>
          <w:b/>
          <w:color w:val="000000" w:themeColor="text1"/>
          <w:szCs w:val="24"/>
        </w:rPr>
        <w:tab/>
      </w:r>
      <w:r w:rsidRPr="001E6BC5">
        <w:rPr>
          <w:b/>
          <w:color w:val="000000" w:themeColor="text1"/>
          <w:szCs w:val="24"/>
          <w:u w:val="single"/>
        </w:rPr>
        <w:t>Purpose and Use of Information Collection</w:t>
      </w:r>
    </w:p>
    <w:p w:rsidR="008E3B16" w:rsidRPr="008E0086" w14:paraId="57725CA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Cs w:val="24"/>
        </w:rPr>
      </w:pPr>
    </w:p>
    <w:p w:rsidR="008E3B16" w14:paraId="5959CC55" w14:textId="794ECF0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This collection of information is used to evaluate </w:t>
      </w:r>
      <w:r w:rsidRPr="003E377D" w:rsidR="003E377D">
        <w:rPr>
          <w:color w:val="000000" w:themeColor="text1"/>
          <w:szCs w:val="24"/>
        </w:rPr>
        <w:t>IHS medical and health care professionals to include:</w:t>
      </w:r>
      <w:r w:rsidR="003E377D">
        <w:rPr>
          <w:color w:val="000000" w:themeColor="text1"/>
          <w:szCs w:val="24"/>
        </w:rPr>
        <w:t xml:space="preserve"> </w:t>
      </w:r>
      <w:r w:rsidR="00FC2036">
        <w:rPr>
          <w:color w:val="000000" w:themeColor="text1"/>
          <w:szCs w:val="24"/>
        </w:rPr>
        <w:t xml:space="preserve"> </w:t>
      </w:r>
      <w:r w:rsidR="004001B5">
        <w:rPr>
          <w:color w:val="000000" w:themeColor="text1"/>
          <w:szCs w:val="24"/>
        </w:rPr>
        <w:t xml:space="preserve">licensed </w:t>
      </w:r>
      <w:r w:rsidRPr="008E0086">
        <w:rPr>
          <w:color w:val="000000" w:themeColor="text1"/>
          <w:szCs w:val="24"/>
        </w:rPr>
        <w:t>pr</w:t>
      </w:r>
      <w:r w:rsidR="00644342">
        <w:rPr>
          <w:color w:val="000000" w:themeColor="text1"/>
          <w:szCs w:val="24"/>
        </w:rPr>
        <w:t>actitioners</w:t>
      </w:r>
      <w:r w:rsidRPr="008E0086">
        <w:rPr>
          <w:color w:val="000000" w:themeColor="text1"/>
          <w:szCs w:val="24"/>
        </w:rPr>
        <w:t xml:space="preserve"> </w:t>
      </w:r>
      <w:r w:rsidR="00644342">
        <w:rPr>
          <w:color w:val="000000" w:themeColor="text1"/>
          <w:szCs w:val="24"/>
        </w:rPr>
        <w:t xml:space="preserve">(LP) </w:t>
      </w:r>
      <w:r w:rsidRPr="008E0086">
        <w:rPr>
          <w:color w:val="000000" w:themeColor="text1"/>
          <w:szCs w:val="24"/>
        </w:rPr>
        <w:t xml:space="preserve">applying for medical staff </w:t>
      </w:r>
      <w:r w:rsidR="004001B5">
        <w:rPr>
          <w:color w:val="000000" w:themeColor="text1"/>
          <w:szCs w:val="24"/>
        </w:rPr>
        <w:t>membership</w:t>
      </w:r>
      <w:r w:rsidR="0019639E">
        <w:rPr>
          <w:color w:val="000000" w:themeColor="text1"/>
          <w:szCs w:val="24"/>
        </w:rPr>
        <w:t>, credentialing</w:t>
      </w:r>
      <w:r w:rsidR="004001B5">
        <w:rPr>
          <w:color w:val="000000" w:themeColor="text1"/>
          <w:szCs w:val="24"/>
        </w:rPr>
        <w:t xml:space="preserve"> and </w:t>
      </w:r>
      <w:r w:rsidRPr="008E0086">
        <w:rPr>
          <w:color w:val="000000" w:themeColor="text1"/>
          <w:szCs w:val="24"/>
        </w:rPr>
        <w:t>privileges at IHS health care facilities</w:t>
      </w:r>
      <w:r w:rsidR="00FD6756">
        <w:rPr>
          <w:color w:val="000000" w:themeColor="text1"/>
          <w:szCs w:val="24"/>
        </w:rPr>
        <w:t>.</w:t>
      </w:r>
      <w:r w:rsidRPr="00227A6E" w:rsidR="00DB71EF">
        <w:rPr>
          <w:color w:val="000000" w:themeColor="text1"/>
        </w:rPr>
        <w:t xml:space="preserve"> </w:t>
      </w:r>
      <w:r w:rsidR="002A2FFE">
        <w:rPr>
          <w:color w:val="000000" w:themeColor="text1"/>
        </w:rPr>
        <w:t xml:space="preserve"> </w:t>
      </w:r>
      <w:r w:rsidRPr="00451801" w:rsidR="00451801">
        <w:rPr>
          <w:color w:val="000000" w:themeColor="text1"/>
          <w:szCs w:val="24"/>
        </w:rPr>
        <w:t>Pr</w:t>
      </w:r>
      <w:r w:rsidR="00644342">
        <w:rPr>
          <w:color w:val="000000" w:themeColor="text1"/>
          <w:szCs w:val="24"/>
        </w:rPr>
        <w:t>actitioner</w:t>
      </w:r>
      <w:r w:rsidRPr="00451801" w:rsidR="00451801">
        <w:rPr>
          <w:color w:val="000000" w:themeColor="text1"/>
          <w:szCs w:val="24"/>
        </w:rPr>
        <w:t xml:space="preserve"> credentialing and privileging in the IHS has been identified as a priority area for quality improvement to support patient safety, demonstrate quality of care, and improve </w:t>
      </w:r>
      <w:r w:rsidR="00644342">
        <w:rPr>
          <w:color w:val="000000" w:themeColor="text1"/>
          <w:szCs w:val="24"/>
        </w:rPr>
        <w:t>practitioner</w:t>
      </w:r>
      <w:r w:rsidRPr="00451801" w:rsidR="00644342">
        <w:rPr>
          <w:color w:val="000000" w:themeColor="text1"/>
          <w:szCs w:val="24"/>
        </w:rPr>
        <w:t xml:space="preserve"> </w:t>
      </w:r>
      <w:r w:rsidRPr="00451801" w:rsidR="00451801">
        <w:rPr>
          <w:color w:val="000000" w:themeColor="text1"/>
          <w:szCs w:val="24"/>
        </w:rPr>
        <w:t>satisfaction.</w:t>
      </w:r>
    </w:p>
    <w:p w:rsidR="001D6888" w14:paraId="57C2273B" w14:textId="6077F57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1D6888" w:rsidRPr="008E0086" w14:paraId="75113344" w14:textId="6D1D2E7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Indian Health Service</w:t>
      </w:r>
      <w:r w:rsidRPr="00DE1AA2" w:rsidR="00DE1AA2">
        <w:rPr>
          <w:color w:val="000000" w:themeColor="text1"/>
          <w:szCs w:val="24"/>
        </w:rPr>
        <w:t xml:space="preserve"> policy specifically requires all LP (i.e. </w:t>
      </w:r>
      <w:r>
        <w:rPr>
          <w:color w:val="000000" w:themeColor="text1"/>
          <w:szCs w:val="24"/>
        </w:rPr>
        <w:t>F</w:t>
      </w:r>
      <w:r w:rsidRPr="00DE1AA2" w:rsidR="00DE1AA2">
        <w:rPr>
          <w:color w:val="000000" w:themeColor="text1"/>
          <w:szCs w:val="24"/>
        </w:rPr>
        <w:t xml:space="preserve">ederal employees, contractors, </w:t>
      </w:r>
      <w:r w:rsidR="00F97528">
        <w:rPr>
          <w:color w:val="000000" w:themeColor="text1"/>
          <w:szCs w:val="24"/>
        </w:rPr>
        <w:t xml:space="preserve">and/or </w:t>
      </w:r>
      <w:r w:rsidRPr="00DE1AA2" w:rsidR="00DE1AA2">
        <w:rPr>
          <w:color w:val="000000" w:themeColor="text1"/>
          <w:szCs w:val="24"/>
        </w:rPr>
        <w:t xml:space="preserve">volunteers) who intend to provide health care services at IHS facilities to be credentialed and privileged </w:t>
      </w:r>
      <w:r w:rsidR="00246725">
        <w:rPr>
          <w:color w:val="000000" w:themeColor="text1"/>
          <w:szCs w:val="24"/>
        </w:rPr>
        <w:t>prior</w:t>
      </w:r>
      <w:r w:rsidRPr="00DE1AA2" w:rsidR="00246725">
        <w:rPr>
          <w:color w:val="000000" w:themeColor="text1"/>
          <w:szCs w:val="24"/>
        </w:rPr>
        <w:t xml:space="preserve"> </w:t>
      </w:r>
      <w:r w:rsidRPr="00DE1AA2" w:rsidR="00DE1AA2">
        <w:rPr>
          <w:color w:val="000000" w:themeColor="text1"/>
          <w:szCs w:val="24"/>
        </w:rPr>
        <w:t xml:space="preserve">to providing such care. </w:t>
      </w:r>
      <w:r w:rsidR="00F97528">
        <w:rPr>
          <w:color w:val="000000" w:themeColor="text1"/>
          <w:szCs w:val="24"/>
        </w:rPr>
        <w:t xml:space="preserve"> </w:t>
      </w:r>
      <w:r>
        <w:rPr>
          <w:color w:val="000000" w:themeColor="text1"/>
          <w:szCs w:val="24"/>
        </w:rPr>
        <w:t xml:space="preserve">When a </w:t>
      </w:r>
      <w:r w:rsidR="00644342">
        <w:rPr>
          <w:color w:val="000000" w:themeColor="text1"/>
          <w:szCs w:val="24"/>
        </w:rPr>
        <w:t>practitioner</w:t>
      </w:r>
      <w:r w:rsidRPr="00451801" w:rsidR="00644342">
        <w:rPr>
          <w:color w:val="000000" w:themeColor="text1"/>
          <w:szCs w:val="24"/>
        </w:rPr>
        <w:t xml:space="preserve"> </w:t>
      </w:r>
      <w:r>
        <w:rPr>
          <w:color w:val="000000" w:themeColor="text1"/>
          <w:szCs w:val="24"/>
        </w:rPr>
        <w:t xml:space="preserve">applies to provide health care services at an IHS clinic or hospital, that application contains two parts. </w:t>
      </w:r>
      <w:r w:rsidR="00F97528">
        <w:rPr>
          <w:color w:val="000000" w:themeColor="text1"/>
          <w:szCs w:val="24"/>
        </w:rPr>
        <w:t xml:space="preserve"> </w:t>
      </w:r>
      <w:r>
        <w:rPr>
          <w:color w:val="000000" w:themeColor="text1"/>
          <w:szCs w:val="24"/>
        </w:rPr>
        <w:t xml:space="preserve">The first is for membership in the medical staff. </w:t>
      </w:r>
      <w:r w:rsidR="00246725">
        <w:rPr>
          <w:color w:val="000000" w:themeColor="text1"/>
          <w:szCs w:val="24"/>
        </w:rPr>
        <w:t xml:space="preserve"> </w:t>
      </w:r>
      <w:r>
        <w:rPr>
          <w:color w:val="000000" w:themeColor="text1"/>
          <w:szCs w:val="24"/>
        </w:rPr>
        <w:t>Criteria for such membership may include type of licensure, education, training</w:t>
      </w:r>
      <w:r w:rsidR="00F97528">
        <w:rPr>
          <w:color w:val="000000" w:themeColor="text1"/>
          <w:szCs w:val="24"/>
        </w:rPr>
        <w:t>,</w:t>
      </w:r>
      <w:r>
        <w:rPr>
          <w:color w:val="000000" w:themeColor="text1"/>
          <w:szCs w:val="24"/>
        </w:rPr>
        <w:t xml:space="preserve"> and experience. </w:t>
      </w:r>
      <w:r w:rsidR="00246725">
        <w:rPr>
          <w:color w:val="000000" w:themeColor="text1"/>
          <w:szCs w:val="24"/>
        </w:rPr>
        <w:t xml:space="preserve"> </w:t>
      </w:r>
      <w:r>
        <w:rPr>
          <w:color w:val="000000" w:themeColor="text1"/>
          <w:szCs w:val="24"/>
        </w:rPr>
        <w:t xml:space="preserve">The second part is for privileges, which define the scope of clinical care that a </w:t>
      </w:r>
      <w:r w:rsidR="00644342">
        <w:rPr>
          <w:color w:val="000000" w:themeColor="text1"/>
          <w:szCs w:val="24"/>
        </w:rPr>
        <w:t>practitioner</w:t>
      </w:r>
      <w:r w:rsidRPr="00451801" w:rsidR="00644342">
        <w:rPr>
          <w:color w:val="000000" w:themeColor="text1"/>
          <w:szCs w:val="24"/>
        </w:rPr>
        <w:t xml:space="preserve"> </w:t>
      </w:r>
      <w:r>
        <w:rPr>
          <w:color w:val="000000" w:themeColor="text1"/>
          <w:szCs w:val="24"/>
        </w:rPr>
        <w:t xml:space="preserve">can administer and matches the </w:t>
      </w:r>
      <w:r w:rsidR="00644342">
        <w:rPr>
          <w:color w:val="000000" w:themeColor="text1"/>
          <w:szCs w:val="24"/>
        </w:rPr>
        <w:t>practitioner’s</w:t>
      </w:r>
      <w:r w:rsidRPr="00451801" w:rsidR="00644342">
        <w:rPr>
          <w:color w:val="000000" w:themeColor="text1"/>
          <w:szCs w:val="24"/>
        </w:rPr>
        <w:t xml:space="preserve"> </w:t>
      </w:r>
      <w:r>
        <w:rPr>
          <w:color w:val="000000" w:themeColor="text1"/>
          <w:szCs w:val="24"/>
        </w:rPr>
        <w:t xml:space="preserve">current clinical competency. </w:t>
      </w:r>
      <w:r w:rsidR="00F97528">
        <w:rPr>
          <w:color w:val="000000" w:themeColor="text1"/>
          <w:szCs w:val="24"/>
        </w:rPr>
        <w:t xml:space="preserve"> </w:t>
      </w:r>
      <w:r>
        <w:rPr>
          <w:color w:val="000000" w:themeColor="text1"/>
          <w:szCs w:val="24"/>
        </w:rPr>
        <w:t>T</w:t>
      </w:r>
      <w:r w:rsidRPr="001D6888">
        <w:rPr>
          <w:color w:val="000000" w:themeColor="text1"/>
          <w:szCs w:val="24"/>
        </w:rPr>
        <w:t xml:space="preserve">here are certain criteria that </w:t>
      </w:r>
      <w:r w:rsidR="00644342">
        <w:rPr>
          <w:color w:val="000000" w:themeColor="text1"/>
          <w:szCs w:val="24"/>
        </w:rPr>
        <w:t xml:space="preserve">practitioners </w:t>
      </w:r>
      <w:r w:rsidRPr="001D6888">
        <w:rPr>
          <w:color w:val="000000" w:themeColor="text1"/>
          <w:szCs w:val="24"/>
        </w:rPr>
        <w:t xml:space="preserve">must meet in order to exercise particular privileges in the </w:t>
      </w:r>
      <w:r w:rsidR="00644342">
        <w:rPr>
          <w:color w:val="000000" w:themeColor="text1"/>
          <w:szCs w:val="24"/>
        </w:rPr>
        <w:t>facilities</w:t>
      </w:r>
      <w:r w:rsidRPr="001D6888">
        <w:rPr>
          <w:color w:val="000000" w:themeColor="text1"/>
          <w:szCs w:val="24"/>
        </w:rPr>
        <w:t xml:space="preserve">. These criteria may overlap with criteria for membership on the medical staff, but those for </w:t>
      </w:r>
      <w:r w:rsidRPr="001D6888">
        <w:rPr>
          <w:color w:val="000000" w:themeColor="text1"/>
          <w:szCs w:val="24"/>
        </w:rPr>
        <w:t xml:space="preserve">privileges </w:t>
      </w:r>
      <w:r>
        <w:rPr>
          <w:color w:val="000000" w:themeColor="text1"/>
          <w:szCs w:val="24"/>
        </w:rPr>
        <w:t>are</w:t>
      </w:r>
      <w:r w:rsidRPr="001D6888">
        <w:rPr>
          <w:color w:val="000000" w:themeColor="text1"/>
          <w:szCs w:val="24"/>
        </w:rPr>
        <w:t xml:space="preserve"> more specific</w:t>
      </w:r>
      <w:r>
        <w:rPr>
          <w:color w:val="000000" w:themeColor="text1"/>
          <w:szCs w:val="24"/>
        </w:rPr>
        <w:t xml:space="preserve"> and must be facility specific to meet the </w:t>
      </w:r>
      <w:r w:rsidR="003E377D">
        <w:rPr>
          <w:color w:val="000000" w:themeColor="text1"/>
          <w:szCs w:val="24"/>
        </w:rPr>
        <w:t xml:space="preserve">facility’s </w:t>
      </w:r>
      <w:r>
        <w:rPr>
          <w:color w:val="000000" w:themeColor="text1"/>
          <w:szCs w:val="24"/>
        </w:rPr>
        <w:t>requirements.</w:t>
      </w:r>
    </w:p>
    <w:p w:rsidR="008E3B16" w:rsidRPr="008E0086" w14:paraId="6500CC4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451801" w14:paraId="3738C99D" w14:textId="02D35FD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IHS operates health care facilities that provide health care services to </w:t>
      </w:r>
      <w:r w:rsidR="004001B5">
        <w:rPr>
          <w:color w:val="000000" w:themeColor="text1"/>
          <w:szCs w:val="24"/>
        </w:rPr>
        <w:t>AI/</w:t>
      </w:r>
      <w:r w:rsidR="004001B5">
        <w:rPr>
          <w:color w:val="000000" w:themeColor="text1"/>
          <w:szCs w:val="24"/>
        </w:rPr>
        <w:t>AN</w:t>
      </w:r>
      <w:r w:rsidR="003B4CD7">
        <w:rPr>
          <w:color w:val="000000" w:themeColor="text1"/>
          <w:szCs w:val="24"/>
        </w:rPr>
        <w:t xml:space="preserve"> patients</w:t>
      </w:r>
      <w:r w:rsidR="004001B5">
        <w:rPr>
          <w:color w:val="000000" w:themeColor="text1"/>
          <w:szCs w:val="24"/>
        </w:rPr>
        <w:t>.</w:t>
      </w:r>
      <w:r w:rsidRPr="008E0086">
        <w:rPr>
          <w:color w:val="000000" w:themeColor="text1"/>
          <w:szCs w:val="24"/>
        </w:rPr>
        <w:t xml:space="preserve">  To provide these services, the IHS employs (</w:t>
      </w:r>
      <w:r w:rsidRPr="008E0086" w:rsidR="00FF7E13">
        <w:rPr>
          <w:color w:val="000000" w:themeColor="text1"/>
          <w:szCs w:val="24"/>
        </w:rPr>
        <w:t>direct</w:t>
      </w:r>
      <w:r w:rsidR="00FF7E13">
        <w:rPr>
          <w:color w:val="000000" w:themeColor="text1"/>
          <w:szCs w:val="24"/>
        </w:rPr>
        <w:t>-hire</w:t>
      </w:r>
      <w:r w:rsidRPr="008E0086" w:rsidR="00FF7E13">
        <w:rPr>
          <w:color w:val="000000" w:themeColor="text1"/>
          <w:szCs w:val="24"/>
        </w:rPr>
        <w:t xml:space="preserve"> </w:t>
      </w:r>
      <w:r w:rsidRPr="008E0086" w:rsidR="00644342">
        <w:rPr>
          <w:color w:val="000000" w:themeColor="text1"/>
          <w:szCs w:val="24"/>
        </w:rPr>
        <w:t>and</w:t>
      </w:r>
      <w:r w:rsidR="00644342">
        <w:rPr>
          <w:color w:val="000000" w:themeColor="text1"/>
          <w:szCs w:val="24"/>
        </w:rPr>
        <w:t xml:space="preserve"> direct-</w:t>
      </w:r>
      <w:r w:rsidRPr="008E0086" w:rsidR="00FF7E13">
        <w:rPr>
          <w:color w:val="000000" w:themeColor="text1"/>
          <w:szCs w:val="24"/>
        </w:rPr>
        <w:t>contract</w:t>
      </w:r>
      <w:r w:rsidRPr="008E0086">
        <w:rPr>
          <w:color w:val="000000" w:themeColor="text1"/>
          <w:szCs w:val="24"/>
        </w:rPr>
        <w:t xml:space="preserve">) several categories of </w:t>
      </w:r>
      <w:r w:rsidR="003F0248">
        <w:rPr>
          <w:color w:val="000000" w:themeColor="text1"/>
          <w:szCs w:val="24"/>
        </w:rPr>
        <w:t xml:space="preserve">fully </w:t>
      </w:r>
      <w:r w:rsidR="004001B5">
        <w:rPr>
          <w:color w:val="000000" w:themeColor="text1"/>
          <w:szCs w:val="24"/>
        </w:rPr>
        <w:t>licensed</w:t>
      </w:r>
      <w:r w:rsidR="003F0248">
        <w:rPr>
          <w:color w:val="000000" w:themeColor="text1"/>
          <w:szCs w:val="24"/>
        </w:rPr>
        <w:t>, registered, or certified</w:t>
      </w:r>
      <w:r w:rsidR="004001B5">
        <w:rPr>
          <w:color w:val="000000" w:themeColor="text1"/>
          <w:szCs w:val="24"/>
        </w:rPr>
        <w:t xml:space="preserve"> </w:t>
      </w:r>
      <w:r w:rsidR="00DE1AA2">
        <w:rPr>
          <w:color w:val="000000" w:themeColor="text1"/>
          <w:szCs w:val="24"/>
        </w:rPr>
        <w:t xml:space="preserve">individuals </w:t>
      </w:r>
      <w:r w:rsidRPr="00644342" w:rsidR="00DE1AA2">
        <w:rPr>
          <w:color w:val="000000" w:themeColor="text1"/>
          <w:szCs w:val="24"/>
        </w:rPr>
        <w:t xml:space="preserve">permitted by law to independently provide patient care services within the scope of </w:t>
      </w:r>
      <w:r w:rsidR="00B65A61">
        <w:rPr>
          <w:color w:val="000000" w:themeColor="text1"/>
          <w:szCs w:val="24"/>
        </w:rPr>
        <w:t xml:space="preserve">the individuals </w:t>
      </w:r>
      <w:r w:rsidRPr="00644342" w:rsidR="00DE1AA2">
        <w:rPr>
          <w:color w:val="000000" w:themeColor="text1"/>
          <w:szCs w:val="24"/>
        </w:rPr>
        <w:t>license, registration, or certification, and in accordance with individually granted clinical privileges when the individual is a credentialed member of the IHS medical staff</w:t>
      </w:r>
      <w:r w:rsidR="002F3566">
        <w:rPr>
          <w:color w:val="000000" w:themeColor="text1"/>
          <w:szCs w:val="24"/>
        </w:rPr>
        <w:t>.</w:t>
      </w:r>
      <w:r w:rsidRPr="00764CDC" w:rsidR="00764CDC">
        <w:rPr>
          <w:color w:val="000000" w:themeColor="text1"/>
          <w:szCs w:val="24"/>
        </w:rPr>
        <w:t xml:space="preserve"> </w:t>
      </w:r>
      <w:r w:rsidR="003B4CD7">
        <w:rPr>
          <w:color w:val="000000" w:themeColor="text1"/>
          <w:szCs w:val="24"/>
        </w:rPr>
        <w:t xml:space="preserve"> </w:t>
      </w:r>
      <w:r w:rsidRPr="00644342" w:rsidR="00DE1AA2">
        <w:rPr>
          <w:color w:val="000000" w:themeColor="text1"/>
          <w:szCs w:val="24"/>
        </w:rPr>
        <w:t>Licensed Practitioners</w:t>
      </w:r>
      <w:r w:rsidR="00DE1AA2">
        <w:rPr>
          <w:color w:val="000000" w:themeColor="text1"/>
          <w:szCs w:val="24"/>
        </w:rPr>
        <w:t xml:space="preserve"> </w:t>
      </w:r>
      <w:r w:rsidR="00764CDC">
        <w:rPr>
          <w:color w:val="000000" w:themeColor="text1"/>
          <w:szCs w:val="24"/>
        </w:rPr>
        <w:t xml:space="preserve">who are eligible may </w:t>
      </w:r>
      <w:r w:rsidRPr="008E0086" w:rsidR="00764CDC">
        <w:rPr>
          <w:color w:val="000000" w:themeColor="text1"/>
          <w:szCs w:val="24"/>
        </w:rPr>
        <w:t xml:space="preserve">become medical staff members, depending on the local health care facility's capabilities and medical staff </w:t>
      </w:r>
      <w:r w:rsidR="003B4CD7">
        <w:rPr>
          <w:color w:val="000000" w:themeColor="text1"/>
          <w:szCs w:val="24"/>
        </w:rPr>
        <w:t>b</w:t>
      </w:r>
      <w:r w:rsidRPr="008E0086" w:rsidR="00764CDC">
        <w:rPr>
          <w:color w:val="000000" w:themeColor="text1"/>
          <w:szCs w:val="24"/>
        </w:rPr>
        <w:t xml:space="preserve">ylaws.  </w:t>
      </w:r>
    </w:p>
    <w:p w:rsidR="00DE1AA2" w:rsidP="00764CDC" w14:paraId="51A78920"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C50C65" w:rsidP="00764CDC" w14:paraId="04A804CF" w14:textId="54A5A65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C50C65">
        <w:rPr>
          <w:color w:val="000000" w:themeColor="text1"/>
          <w:szCs w:val="24"/>
        </w:rPr>
        <w:t xml:space="preserve">All </w:t>
      </w:r>
      <w:r w:rsidR="00DE1AA2">
        <w:rPr>
          <w:color w:val="000000" w:themeColor="text1"/>
          <w:szCs w:val="24"/>
        </w:rPr>
        <w:t>LP</w:t>
      </w:r>
      <w:r w:rsidRPr="00C50C65">
        <w:rPr>
          <w:color w:val="000000" w:themeColor="text1"/>
          <w:szCs w:val="24"/>
        </w:rPr>
        <w:t xml:space="preserve"> who provide care at IHS facilities must maintain </w:t>
      </w:r>
      <w:r w:rsidR="003F0248">
        <w:rPr>
          <w:color w:val="000000" w:themeColor="text1"/>
          <w:szCs w:val="24"/>
        </w:rPr>
        <w:t xml:space="preserve">full, active, unrestricted and </w:t>
      </w:r>
      <w:r w:rsidRPr="00C50C65">
        <w:rPr>
          <w:color w:val="000000" w:themeColor="text1"/>
          <w:szCs w:val="24"/>
        </w:rPr>
        <w:t xml:space="preserve">current licensure and credentials, and be proficient </w:t>
      </w:r>
      <w:r w:rsidR="00084A8D">
        <w:rPr>
          <w:color w:val="000000" w:themeColor="text1"/>
          <w:szCs w:val="24"/>
        </w:rPr>
        <w:t>in</w:t>
      </w:r>
      <w:r w:rsidRPr="00C50C65" w:rsidR="00084A8D">
        <w:rPr>
          <w:color w:val="000000" w:themeColor="text1"/>
          <w:szCs w:val="24"/>
        </w:rPr>
        <w:t xml:space="preserve"> </w:t>
      </w:r>
      <w:r w:rsidRPr="00C50C65">
        <w:rPr>
          <w:color w:val="000000" w:themeColor="text1"/>
          <w:szCs w:val="24"/>
        </w:rPr>
        <w:t>their granted privileges in accordance with</w:t>
      </w:r>
      <w:r w:rsidR="003F0248">
        <w:rPr>
          <w:color w:val="000000" w:themeColor="text1"/>
          <w:szCs w:val="24"/>
        </w:rPr>
        <w:t xml:space="preserve"> the facility’s medical staff bylaws, accreditation standards, privilege criteria, agency and local policies, and</w:t>
      </w:r>
      <w:r w:rsidRPr="00C50C65">
        <w:rPr>
          <w:color w:val="000000" w:themeColor="text1"/>
          <w:szCs w:val="24"/>
        </w:rPr>
        <w:t xml:space="preserve"> applicable law and guidelines.</w:t>
      </w:r>
    </w:p>
    <w:p w:rsidR="003F0248" w:rsidRPr="00C50C65" w:rsidP="003F0248" w14:paraId="41C8296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764CDC" w14:paraId="64DDAE6C" w14:textId="411E4CC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National health care standards developed by the Centers for Medicare and Medicaid Services</w:t>
      </w:r>
      <w:r w:rsidR="0016254E">
        <w:rPr>
          <w:color w:val="000000" w:themeColor="text1"/>
          <w:szCs w:val="24"/>
        </w:rPr>
        <w:t>,</w:t>
      </w:r>
      <w:r w:rsidRPr="00C50C65" w:rsidR="0016254E">
        <w:rPr>
          <w:color w:val="000000" w:themeColor="text1"/>
          <w:szCs w:val="24"/>
        </w:rPr>
        <w:t xml:space="preserve"> </w:t>
      </w:r>
      <w:r w:rsidRPr="007852F3">
        <w:rPr>
          <w:color w:val="000000" w:themeColor="text1"/>
          <w:szCs w:val="24"/>
        </w:rPr>
        <w:t xml:space="preserve"> the Joint Commission, and other accrediting organizations require health care facilities to review, evaluate</w:t>
      </w:r>
      <w:r w:rsidR="004E1B54">
        <w:rPr>
          <w:color w:val="000000" w:themeColor="text1"/>
          <w:szCs w:val="24"/>
        </w:rPr>
        <w:t>,</w:t>
      </w:r>
      <w:r w:rsidRPr="007852F3">
        <w:rPr>
          <w:color w:val="000000" w:themeColor="text1"/>
          <w:szCs w:val="24"/>
        </w:rPr>
        <w:t xml:space="preserve"> and </w:t>
      </w:r>
      <w:r>
        <w:rPr>
          <w:color w:val="000000" w:themeColor="text1"/>
          <w:szCs w:val="24"/>
        </w:rPr>
        <w:t xml:space="preserve">prime source </w:t>
      </w:r>
      <w:r w:rsidRPr="007852F3">
        <w:rPr>
          <w:color w:val="000000" w:themeColor="text1"/>
          <w:szCs w:val="24"/>
        </w:rPr>
        <w:t>verify</w:t>
      </w:r>
      <w:r w:rsidR="00C50C65">
        <w:rPr>
          <w:color w:val="000000" w:themeColor="text1"/>
          <w:szCs w:val="24"/>
        </w:rPr>
        <w:t xml:space="preserve"> c</w:t>
      </w:r>
      <w:r w:rsidRPr="00C50C65" w:rsidR="00C50C65">
        <w:rPr>
          <w:color w:val="000000" w:themeColor="text1"/>
          <w:szCs w:val="24"/>
        </w:rPr>
        <w:t xml:space="preserve">redentials </w:t>
      </w:r>
      <w:r w:rsidRPr="007852F3" w:rsidR="00C50C65">
        <w:rPr>
          <w:color w:val="000000" w:themeColor="text1"/>
          <w:szCs w:val="24"/>
        </w:rPr>
        <w:t>of medical staff applicants prior to granting medical staff privileges</w:t>
      </w:r>
      <w:r w:rsidR="0016254E">
        <w:rPr>
          <w:color w:val="000000" w:themeColor="text1"/>
          <w:szCs w:val="24"/>
        </w:rPr>
        <w:t xml:space="preserve">.  Medical </w:t>
      </w:r>
      <w:r w:rsidR="00C50C65">
        <w:rPr>
          <w:color w:val="000000" w:themeColor="text1"/>
          <w:szCs w:val="24"/>
        </w:rPr>
        <w:t xml:space="preserve">credentials </w:t>
      </w:r>
      <w:r w:rsidRPr="00C50C65" w:rsidR="00C50C65">
        <w:rPr>
          <w:color w:val="000000" w:themeColor="text1"/>
          <w:szCs w:val="24"/>
        </w:rPr>
        <w:t>specifically include the primary source verified and documented evidence of competence, character, judgment, education</w:t>
      </w:r>
      <w:r w:rsidR="004E1B54">
        <w:rPr>
          <w:color w:val="000000" w:themeColor="text1"/>
          <w:szCs w:val="24"/>
        </w:rPr>
        <w:t>,</w:t>
      </w:r>
      <w:r w:rsidRPr="00C50C65" w:rsidR="00C50C65">
        <w:rPr>
          <w:color w:val="000000" w:themeColor="text1"/>
          <w:szCs w:val="24"/>
        </w:rPr>
        <w:t xml:space="preserve"> and training</w:t>
      </w:r>
      <w:r w:rsidR="00C50C65">
        <w:rPr>
          <w:color w:val="000000" w:themeColor="text1"/>
          <w:szCs w:val="24"/>
        </w:rPr>
        <w:t>.</w:t>
      </w:r>
      <w:r w:rsidR="00935297">
        <w:rPr>
          <w:color w:val="000000" w:themeColor="text1"/>
          <w:szCs w:val="24"/>
        </w:rPr>
        <w:t xml:space="preserve"> </w:t>
      </w:r>
      <w:r w:rsidRPr="007852F3">
        <w:rPr>
          <w:color w:val="000000" w:themeColor="text1"/>
          <w:szCs w:val="24"/>
        </w:rPr>
        <w:t xml:space="preserve"> In order to meet these standards, IHS health care facilities require all medical staff applicants to provide</w:t>
      </w:r>
      <w:r w:rsidR="00C50C65">
        <w:rPr>
          <w:color w:val="000000" w:themeColor="text1"/>
          <w:szCs w:val="24"/>
        </w:rPr>
        <w:t xml:space="preserve"> verifiable</w:t>
      </w:r>
      <w:r w:rsidRPr="007852F3">
        <w:rPr>
          <w:color w:val="000000" w:themeColor="text1"/>
          <w:szCs w:val="24"/>
        </w:rPr>
        <w:t xml:space="preserve"> information concerning their education, training, licensure, work experience</w:t>
      </w:r>
      <w:r w:rsidR="00C50C65">
        <w:rPr>
          <w:color w:val="000000" w:themeColor="text1"/>
          <w:szCs w:val="24"/>
        </w:rPr>
        <w:t>, health status, and current professional conduct and competence</w:t>
      </w:r>
      <w:r w:rsidRPr="007852F3">
        <w:rPr>
          <w:color w:val="000000" w:themeColor="text1"/>
          <w:szCs w:val="24"/>
        </w:rPr>
        <w:t xml:space="preserve"> and any adverse disciplinary actions taken against them.</w:t>
      </w:r>
      <w:r>
        <w:rPr>
          <w:color w:val="000000" w:themeColor="text1"/>
          <w:szCs w:val="24"/>
        </w:rPr>
        <w:t xml:space="preserve"> </w:t>
      </w:r>
      <w:r w:rsidR="00AF5678">
        <w:rPr>
          <w:color w:val="000000" w:themeColor="text1"/>
          <w:szCs w:val="24"/>
        </w:rPr>
        <w:t xml:space="preserve"> </w:t>
      </w:r>
      <w:r>
        <w:rPr>
          <w:color w:val="000000" w:themeColor="text1"/>
          <w:szCs w:val="24"/>
        </w:rPr>
        <w:t xml:space="preserve">This information is collected </w:t>
      </w:r>
      <w:r w:rsidR="00AD2CBD">
        <w:rPr>
          <w:color w:val="000000" w:themeColor="text1"/>
          <w:szCs w:val="24"/>
        </w:rPr>
        <w:t>through</w:t>
      </w:r>
      <w:r>
        <w:rPr>
          <w:color w:val="000000" w:themeColor="text1"/>
          <w:szCs w:val="24"/>
        </w:rPr>
        <w:t xml:space="preserve"> </w:t>
      </w:r>
      <w:r w:rsidR="00180820">
        <w:rPr>
          <w:color w:val="000000" w:themeColor="text1"/>
          <w:szCs w:val="24"/>
        </w:rPr>
        <w:t xml:space="preserve">the agency’s current commercial off the shelf credentialing software </w:t>
      </w:r>
      <w:r w:rsidRPr="002055DF" w:rsidR="002055DF">
        <w:rPr>
          <w:color w:val="000000" w:themeColor="text1"/>
          <w:szCs w:val="24"/>
        </w:rPr>
        <w:t xml:space="preserve">to make the </w:t>
      </w:r>
      <w:r w:rsidR="002055DF">
        <w:rPr>
          <w:color w:val="000000" w:themeColor="text1"/>
          <w:szCs w:val="24"/>
        </w:rPr>
        <w:t xml:space="preserve">following </w:t>
      </w:r>
      <w:r w:rsidRPr="002055DF" w:rsidR="002055DF">
        <w:rPr>
          <w:color w:val="000000" w:themeColor="text1"/>
          <w:szCs w:val="24"/>
        </w:rPr>
        <w:t xml:space="preserve">application packets electronically available via the Internet. </w:t>
      </w:r>
      <w:r w:rsidR="00935297">
        <w:rPr>
          <w:color w:val="000000" w:themeColor="text1"/>
          <w:szCs w:val="24"/>
        </w:rPr>
        <w:t xml:space="preserve"> </w:t>
      </w:r>
      <w:r w:rsidR="002055DF">
        <w:rPr>
          <w:color w:val="000000" w:themeColor="text1"/>
          <w:szCs w:val="24"/>
        </w:rPr>
        <w:t xml:space="preserve">The Application packets are: </w:t>
      </w:r>
      <w:r w:rsidR="00AF5678">
        <w:rPr>
          <w:color w:val="000000" w:themeColor="text1"/>
          <w:szCs w:val="24"/>
        </w:rPr>
        <w:t xml:space="preserve"> </w:t>
      </w:r>
      <w:r w:rsidR="002055DF">
        <w:rPr>
          <w:color w:val="000000" w:themeColor="text1"/>
          <w:szCs w:val="24"/>
        </w:rPr>
        <w:t xml:space="preserve">1) </w:t>
      </w:r>
      <w:r>
        <w:rPr>
          <w:color w:val="000000" w:themeColor="text1"/>
          <w:szCs w:val="24"/>
        </w:rPr>
        <w:t>Pre-App</w:t>
      </w:r>
      <w:r w:rsidR="00180820">
        <w:rPr>
          <w:color w:val="000000" w:themeColor="text1"/>
          <w:szCs w:val="24"/>
        </w:rPr>
        <w:t>lication</w:t>
      </w:r>
      <w:r w:rsidR="00AF5678">
        <w:rPr>
          <w:color w:val="000000" w:themeColor="text1"/>
          <w:szCs w:val="24"/>
        </w:rPr>
        <w:t>;</w:t>
      </w:r>
      <w:r w:rsidR="002055DF">
        <w:rPr>
          <w:color w:val="000000" w:themeColor="text1"/>
          <w:szCs w:val="24"/>
        </w:rPr>
        <w:t xml:space="preserve"> 2)</w:t>
      </w:r>
      <w:r>
        <w:rPr>
          <w:color w:val="000000" w:themeColor="text1"/>
          <w:szCs w:val="24"/>
        </w:rPr>
        <w:t xml:space="preserve"> Initial</w:t>
      </w:r>
      <w:r w:rsidR="00180820">
        <w:rPr>
          <w:color w:val="000000" w:themeColor="text1"/>
          <w:szCs w:val="24"/>
        </w:rPr>
        <w:t xml:space="preserve"> Application</w:t>
      </w:r>
      <w:r w:rsidR="002055DF">
        <w:rPr>
          <w:color w:val="000000" w:themeColor="text1"/>
          <w:szCs w:val="24"/>
        </w:rPr>
        <w:t xml:space="preserve"> for Membership &amp; Privileges</w:t>
      </w:r>
      <w:r w:rsidR="00AF5678">
        <w:rPr>
          <w:color w:val="000000" w:themeColor="text1"/>
          <w:szCs w:val="24"/>
        </w:rPr>
        <w:t>;</w:t>
      </w:r>
      <w:r w:rsidR="00180820">
        <w:rPr>
          <w:color w:val="000000" w:themeColor="text1"/>
          <w:szCs w:val="24"/>
        </w:rPr>
        <w:t xml:space="preserve"> </w:t>
      </w:r>
      <w:r w:rsidR="002055DF">
        <w:rPr>
          <w:color w:val="000000" w:themeColor="text1"/>
          <w:szCs w:val="24"/>
        </w:rPr>
        <w:t xml:space="preserve">3) </w:t>
      </w:r>
      <w:r>
        <w:rPr>
          <w:color w:val="000000" w:themeColor="text1"/>
          <w:szCs w:val="24"/>
        </w:rPr>
        <w:t>Reappointment</w:t>
      </w:r>
      <w:r w:rsidR="00180820">
        <w:rPr>
          <w:color w:val="000000" w:themeColor="text1"/>
          <w:szCs w:val="24"/>
        </w:rPr>
        <w:t xml:space="preserve"> Application</w:t>
      </w:r>
      <w:r w:rsidR="002055DF">
        <w:rPr>
          <w:color w:val="000000" w:themeColor="text1"/>
          <w:szCs w:val="24"/>
        </w:rPr>
        <w:t xml:space="preserve"> for Membership and Privileges</w:t>
      </w:r>
      <w:r w:rsidR="00FF097A">
        <w:rPr>
          <w:color w:val="000000" w:themeColor="text1"/>
          <w:szCs w:val="24"/>
        </w:rPr>
        <w:t>; and 4)</w:t>
      </w:r>
      <w:r w:rsidR="00935297">
        <w:rPr>
          <w:color w:val="000000" w:themeColor="text1"/>
          <w:szCs w:val="24"/>
        </w:rPr>
        <w:t> </w:t>
      </w:r>
      <w:r w:rsidR="00FF097A">
        <w:rPr>
          <w:color w:val="000000" w:themeColor="text1"/>
          <w:szCs w:val="24"/>
        </w:rPr>
        <w:t>Credentialing</w:t>
      </w:r>
      <w:r w:rsidR="00FF097A">
        <w:rPr>
          <w:color w:val="000000" w:themeColor="text1"/>
          <w:szCs w:val="24"/>
        </w:rPr>
        <w:t xml:space="preserve"> by Proxy </w:t>
      </w:r>
      <w:r w:rsidR="0067646E">
        <w:rPr>
          <w:color w:val="000000" w:themeColor="text1"/>
          <w:szCs w:val="24"/>
        </w:rPr>
        <w:t xml:space="preserve">(CBP) </w:t>
      </w:r>
      <w:r w:rsidR="00FF097A">
        <w:rPr>
          <w:color w:val="000000" w:themeColor="text1"/>
          <w:szCs w:val="24"/>
        </w:rPr>
        <w:t>Intake Form</w:t>
      </w:r>
      <w:r w:rsidR="002055DF">
        <w:rPr>
          <w:color w:val="000000" w:themeColor="text1"/>
          <w:szCs w:val="24"/>
        </w:rPr>
        <w:t>.</w:t>
      </w:r>
      <w:r w:rsidR="00AF5678">
        <w:rPr>
          <w:color w:val="000000" w:themeColor="text1"/>
          <w:szCs w:val="24"/>
        </w:rPr>
        <w:t xml:space="preserve"> </w:t>
      </w:r>
      <w:r w:rsidR="002055DF">
        <w:rPr>
          <w:color w:val="000000" w:themeColor="text1"/>
          <w:szCs w:val="24"/>
        </w:rPr>
        <w:t xml:space="preserve"> </w:t>
      </w:r>
      <w:r w:rsidR="00394FD4">
        <w:rPr>
          <w:color w:val="000000" w:themeColor="text1"/>
          <w:szCs w:val="24"/>
        </w:rPr>
        <w:t>The first three</w:t>
      </w:r>
      <w:r w:rsidR="00180820">
        <w:rPr>
          <w:color w:val="000000" w:themeColor="text1"/>
          <w:szCs w:val="24"/>
        </w:rPr>
        <w:t xml:space="preserve"> application</w:t>
      </w:r>
      <w:r w:rsidR="002055DF">
        <w:rPr>
          <w:color w:val="000000" w:themeColor="text1"/>
          <w:szCs w:val="24"/>
        </w:rPr>
        <w:t xml:space="preserve"> packet</w:t>
      </w:r>
      <w:r w:rsidR="00180820">
        <w:rPr>
          <w:color w:val="000000" w:themeColor="text1"/>
          <w:szCs w:val="24"/>
        </w:rPr>
        <w:t>s include a</w:t>
      </w:r>
      <w:r w:rsidR="00C3717D">
        <w:rPr>
          <w:color w:val="000000" w:themeColor="text1"/>
          <w:szCs w:val="24"/>
        </w:rPr>
        <w:t>n</w:t>
      </w:r>
      <w:r w:rsidR="00AD2CBD">
        <w:rPr>
          <w:color w:val="000000" w:themeColor="text1"/>
          <w:szCs w:val="24"/>
        </w:rPr>
        <w:t xml:space="preserve"> </w:t>
      </w:r>
      <w:r w:rsidR="00F974BF">
        <w:rPr>
          <w:color w:val="000000" w:themeColor="text1"/>
          <w:szCs w:val="24"/>
        </w:rPr>
        <w:t xml:space="preserve">IHS Conditions </w:t>
      </w:r>
      <w:r w:rsidR="00AD2CBD">
        <w:rPr>
          <w:color w:val="000000" w:themeColor="text1"/>
          <w:szCs w:val="24"/>
        </w:rPr>
        <w:t xml:space="preserve">of </w:t>
      </w:r>
      <w:r w:rsidR="00F974BF">
        <w:rPr>
          <w:color w:val="000000" w:themeColor="text1"/>
          <w:szCs w:val="24"/>
        </w:rPr>
        <w:t>Application</w:t>
      </w:r>
      <w:r w:rsidR="00AD2CBD">
        <w:rPr>
          <w:color w:val="000000" w:themeColor="text1"/>
          <w:szCs w:val="24"/>
        </w:rPr>
        <w:t xml:space="preserve"> and Release and Health </w:t>
      </w:r>
      <w:r w:rsidR="00180820">
        <w:rPr>
          <w:color w:val="000000" w:themeColor="text1"/>
          <w:szCs w:val="24"/>
        </w:rPr>
        <w:t xml:space="preserve">Attestation </w:t>
      </w:r>
      <w:r w:rsidR="00AD2CBD">
        <w:rPr>
          <w:color w:val="000000" w:themeColor="text1"/>
          <w:szCs w:val="24"/>
        </w:rPr>
        <w:t>Statement</w:t>
      </w:r>
      <w:r w:rsidR="00180820">
        <w:rPr>
          <w:color w:val="000000" w:themeColor="text1"/>
          <w:szCs w:val="24"/>
        </w:rPr>
        <w:t xml:space="preserve"> for the LP to </w:t>
      </w:r>
      <w:r w:rsidR="002055DF">
        <w:rPr>
          <w:color w:val="000000" w:themeColor="text1"/>
          <w:szCs w:val="24"/>
        </w:rPr>
        <w:t>sign</w:t>
      </w:r>
      <w:r w:rsidR="00394FD4">
        <w:rPr>
          <w:color w:val="000000" w:themeColor="text1"/>
          <w:szCs w:val="24"/>
        </w:rPr>
        <w:t>;</w:t>
      </w:r>
      <w:r w:rsidR="00260868">
        <w:rPr>
          <w:color w:val="000000" w:themeColor="text1"/>
          <w:szCs w:val="24"/>
        </w:rPr>
        <w:t xml:space="preserve"> </w:t>
      </w:r>
      <w:r w:rsidR="00F974BF">
        <w:rPr>
          <w:color w:val="000000" w:themeColor="text1"/>
          <w:szCs w:val="24"/>
        </w:rPr>
        <w:t xml:space="preserve">Item 4, </w:t>
      </w:r>
      <w:r w:rsidR="00260868">
        <w:rPr>
          <w:color w:val="000000" w:themeColor="text1"/>
          <w:szCs w:val="24"/>
        </w:rPr>
        <w:t>the CBP Intake Form</w:t>
      </w:r>
      <w:r w:rsidR="00F974BF">
        <w:rPr>
          <w:color w:val="000000" w:themeColor="text1"/>
          <w:szCs w:val="24"/>
        </w:rPr>
        <w:t>,</w:t>
      </w:r>
      <w:r w:rsidR="00260868">
        <w:rPr>
          <w:color w:val="000000" w:themeColor="text1"/>
          <w:szCs w:val="24"/>
        </w:rPr>
        <w:t xml:space="preserve"> only includes a</w:t>
      </w:r>
      <w:r w:rsidR="00C3717D">
        <w:rPr>
          <w:color w:val="000000" w:themeColor="text1"/>
          <w:szCs w:val="24"/>
        </w:rPr>
        <w:t>n</w:t>
      </w:r>
      <w:r w:rsidR="00260868">
        <w:rPr>
          <w:color w:val="000000" w:themeColor="text1"/>
          <w:szCs w:val="24"/>
        </w:rPr>
        <w:t xml:space="preserve"> </w:t>
      </w:r>
      <w:r w:rsidR="00F974BF">
        <w:rPr>
          <w:color w:val="000000" w:themeColor="text1"/>
          <w:szCs w:val="24"/>
        </w:rPr>
        <w:t>IHS Conditions of Application and Release</w:t>
      </w:r>
      <w:r>
        <w:rPr>
          <w:color w:val="000000" w:themeColor="text1"/>
          <w:szCs w:val="24"/>
        </w:rPr>
        <w:t>.</w:t>
      </w:r>
    </w:p>
    <w:p w:rsidR="001C534D" w14:paraId="2AAE7A6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1C534D" w:rsidP="001C534D" w14:paraId="25050A42" w14:textId="2BF1BF05">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 xml:space="preserve">Privileges </w:t>
      </w:r>
      <w:r>
        <w:rPr>
          <w:color w:val="000000" w:themeColor="text1"/>
          <w:szCs w:val="24"/>
        </w:rPr>
        <w:t>vary</w:t>
      </w:r>
      <w:r w:rsidRPr="007852F3">
        <w:rPr>
          <w:color w:val="000000" w:themeColor="text1"/>
          <w:szCs w:val="24"/>
        </w:rPr>
        <w:t xml:space="preserve"> across</w:t>
      </w:r>
      <w:r>
        <w:rPr>
          <w:color w:val="000000" w:themeColor="text1"/>
          <w:szCs w:val="24"/>
        </w:rPr>
        <w:t xml:space="preserve"> all</w:t>
      </w:r>
      <w:r w:rsidRPr="007852F3">
        <w:rPr>
          <w:color w:val="000000" w:themeColor="text1"/>
          <w:szCs w:val="24"/>
        </w:rPr>
        <w:t xml:space="preserve"> IHS Areas and clinics, </w:t>
      </w:r>
      <w:r>
        <w:rPr>
          <w:color w:val="000000" w:themeColor="text1"/>
          <w:szCs w:val="24"/>
        </w:rPr>
        <w:t>as services and procedures provided and equipment utilized varies across facilities and can change often</w:t>
      </w:r>
      <w:r w:rsidR="00084A8D">
        <w:rPr>
          <w:color w:val="000000" w:themeColor="text1"/>
          <w:szCs w:val="24"/>
        </w:rPr>
        <w:t xml:space="preserve">. </w:t>
      </w:r>
      <w:r w:rsidR="00AF5678">
        <w:rPr>
          <w:color w:val="000000" w:themeColor="text1"/>
          <w:szCs w:val="24"/>
        </w:rPr>
        <w:t xml:space="preserve"> </w:t>
      </w:r>
      <w:r w:rsidR="00084A8D">
        <w:rPr>
          <w:color w:val="000000" w:themeColor="text1"/>
          <w:szCs w:val="24"/>
        </w:rPr>
        <w:t>P</w:t>
      </w:r>
      <w:r>
        <w:rPr>
          <w:color w:val="000000" w:themeColor="text1"/>
          <w:szCs w:val="24"/>
        </w:rPr>
        <w:t>rivilege forms are required to be current and modified to reflect only services and procedures provided by that specific facility in order to be i</w:t>
      </w:r>
      <w:r w:rsidRPr="007852F3">
        <w:rPr>
          <w:color w:val="000000" w:themeColor="text1"/>
          <w:szCs w:val="24"/>
        </w:rPr>
        <w:t>n compliance with accreditation standards.</w:t>
      </w:r>
      <w:r>
        <w:rPr>
          <w:color w:val="000000" w:themeColor="text1"/>
          <w:szCs w:val="24"/>
        </w:rPr>
        <w:t xml:space="preserve"> </w:t>
      </w:r>
      <w:r w:rsidR="00AF5678">
        <w:rPr>
          <w:color w:val="000000" w:themeColor="text1"/>
          <w:szCs w:val="24"/>
        </w:rPr>
        <w:t xml:space="preserve"> </w:t>
      </w:r>
      <w:r w:rsidRPr="007852F3">
        <w:rPr>
          <w:color w:val="000000" w:themeColor="text1"/>
          <w:szCs w:val="24"/>
        </w:rPr>
        <w:t xml:space="preserve">The electronic credentialing system allows tailoring the </w:t>
      </w:r>
      <w:r>
        <w:rPr>
          <w:color w:val="000000" w:themeColor="text1"/>
          <w:szCs w:val="24"/>
        </w:rPr>
        <w:t xml:space="preserve">privileging </w:t>
      </w:r>
      <w:r w:rsidRPr="007852F3">
        <w:rPr>
          <w:color w:val="000000" w:themeColor="text1"/>
          <w:szCs w:val="24"/>
        </w:rPr>
        <w:t xml:space="preserve">needs to site specifications. </w:t>
      </w:r>
    </w:p>
    <w:p w:rsidR="00764CDC" w14:paraId="0CEE412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1E6BC5" w14:paraId="3EDE825F" w14:textId="7439EE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I</w:t>
      </w:r>
      <w:r w:rsidRPr="007852F3" w:rsidR="007852F3">
        <w:rPr>
          <w:color w:val="000000" w:themeColor="text1"/>
          <w:szCs w:val="24"/>
        </w:rPr>
        <w:t xml:space="preserve">nformation </w:t>
      </w:r>
      <w:r>
        <w:rPr>
          <w:color w:val="000000" w:themeColor="text1"/>
          <w:szCs w:val="24"/>
        </w:rPr>
        <w:t>collected in the application packets are</w:t>
      </w:r>
      <w:r w:rsidRPr="007852F3" w:rsidR="007852F3">
        <w:rPr>
          <w:color w:val="000000" w:themeColor="text1"/>
          <w:szCs w:val="24"/>
        </w:rPr>
        <w:t xml:space="preserve"> </w:t>
      </w:r>
      <w:r w:rsidR="00AE0425">
        <w:rPr>
          <w:color w:val="000000" w:themeColor="text1"/>
          <w:szCs w:val="24"/>
        </w:rPr>
        <w:t xml:space="preserve">prime source </w:t>
      </w:r>
      <w:r w:rsidRPr="007852F3" w:rsidR="007852F3">
        <w:rPr>
          <w:color w:val="000000" w:themeColor="text1"/>
          <w:szCs w:val="24"/>
        </w:rPr>
        <w:t>verified</w:t>
      </w:r>
      <w:r w:rsidR="00180820">
        <w:rPr>
          <w:color w:val="000000" w:themeColor="text1"/>
          <w:szCs w:val="24"/>
        </w:rPr>
        <w:t xml:space="preserve"> by IHS staff</w:t>
      </w:r>
      <w:r w:rsidRPr="007852F3" w:rsidR="007852F3">
        <w:rPr>
          <w:color w:val="000000" w:themeColor="text1"/>
          <w:szCs w:val="24"/>
        </w:rPr>
        <w:t xml:space="preserve"> </w:t>
      </w:r>
      <w:r w:rsidR="00AD2CBD">
        <w:rPr>
          <w:color w:val="000000" w:themeColor="text1"/>
          <w:szCs w:val="24"/>
        </w:rPr>
        <w:t xml:space="preserve">using standard IHS forms (Affiliation, Peer Reference, Insurance, and Education) </w:t>
      </w:r>
      <w:r w:rsidRPr="007852F3" w:rsidR="007852F3">
        <w:rPr>
          <w:color w:val="000000" w:themeColor="text1"/>
          <w:szCs w:val="24"/>
        </w:rPr>
        <w:t xml:space="preserve">with </w:t>
      </w:r>
      <w:r w:rsidR="00AE0425">
        <w:rPr>
          <w:color w:val="000000" w:themeColor="text1"/>
          <w:szCs w:val="24"/>
        </w:rPr>
        <w:t xml:space="preserve">the original source of the credential. </w:t>
      </w:r>
      <w:r w:rsidR="00592CFF">
        <w:rPr>
          <w:color w:val="000000" w:themeColor="text1"/>
          <w:szCs w:val="24"/>
        </w:rPr>
        <w:t xml:space="preserve"> </w:t>
      </w:r>
      <w:r w:rsidR="0016254E">
        <w:rPr>
          <w:color w:val="000000" w:themeColor="text1"/>
          <w:szCs w:val="24"/>
        </w:rPr>
        <w:t>The c</w:t>
      </w:r>
      <w:r w:rsidR="00AE0425">
        <w:rPr>
          <w:color w:val="000000" w:themeColor="text1"/>
          <w:szCs w:val="24"/>
        </w:rPr>
        <w:t>redentials review includes</w:t>
      </w:r>
      <w:r w:rsidR="00AD2CBD">
        <w:rPr>
          <w:color w:val="000000" w:themeColor="text1"/>
          <w:szCs w:val="24"/>
        </w:rPr>
        <w:t>,</w:t>
      </w:r>
      <w:r w:rsidR="00AE0425">
        <w:rPr>
          <w:color w:val="000000" w:themeColor="text1"/>
          <w:szCs w:val="24"/>
        </w:rPr>
        <w:t xml:space="preserve"> but is not limited to</w:t>
      </w:r>
      <w:r w:rsidR="0016254E">
        <w:rPr>
          <w:color w:val="000000" w:themeColor="text1"/>
          <w:szCs w:val="24"/>
        </w:rPr>
        <w:t>, verifying information from the</w:t>
      </w:r>
      <w:r w:rsidR="00AE0425">
        <w:rPr>
          <w:color w:val="000000" w:themeColor="text1"/>
          <w:szCs w:val="24"/>
        </w:rPr>
        <w:t xml:space="preserve"> state medical boards, </w:t>
      </w:r>
      <w:r w:rsidRPr="00AE0425" w:rsidR="00AE0425">
        <w:rPr>
          <w:color w:val="000000" w:themeColor="text1"/>
          <w:szCs w:val="24"/>
        </w:rPr>
        <w:t xml:space="preserve">the Drug Enforcement Administration, </w:t>
      </w:r>
      <w:r w:rsidRPr="00AE0425" w:rsidR="00AE0425">
        <w:rPr>
          <w:color w:val="000000" w:themeColor="text1"/>
          <w:szCs w:val="24"/>
        </w:rPr>
        <w:t>Excluded Parties List System/System for Awards Management, National Practitioner Data Bank</w:t>
      </w:r>
      <w:r w:rsidR="00AE0425">
        <w:rPr>
          <w:color w:val="000000" w:themeColor="text1"/>
          <w:szCs w:val="24"/>
        </w:rPr>
        <w:t xml:space="preserve">, Office of Inspector General, </w:t>
      </w:r>
      <w:r w:rsidR="00501C19">
        <w:rPr>
          <w:color w:val="000000" w:themeColor="text1"/>
          <w:szCs w:val="24"/>
        </w:rPr>
        <w:t xml:space="preserve">colleges or </w:t>
      </w:r>
      <w:r w:rsidR="00AE0425">
        <w:rPr>
          <w:color w:val="000000" w:themeColor="text1"/>
          <w:szCs w:val="24"/>
        </w:rPr>
        <w:t xml:space="preserve">universities, residency programs, peer references, </w:t>
      </w:r>
      <w:r w:rsidR="00AD07FF">
        <w:rPr>
          <w:color w:val="000000" w:themeColor="text1"/>
          <w:szCs w:val="24"/>
        </w:rPr>
        <w:t>insurance companies, etc</w:t>
      </w:r>
      <w:r w:rsidR="0016254E">
        <w:rPr>
          <w:color w:val="000000" w:themeColor="text1"/>
          <w:szCs w:val="24"/>
        </w:rPr>
        <w:t>.</w:t>
      </w:r>
    </w:p>
    <w:p w:rsidR="007852F3" w:rsidRPr="008E0086" w14:paraId="2192BBB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P="007852F3" w14:paraId="038A8852" w14:textId="3D9A434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Once the</w:t>
      </w:r>
      <w:r w:rsidR="00324831">
        <w:rPr>
          <w:color w:val="000000" w:themeColor="text1"/>
          <w:szCs w:val="24"/>
        </w:rPr>
        <w:t xml:space="preserve"> LP </w:t>
      </w:r>
      <w:r w:rsidR="00087037">
        <w:rPr>
          <w:color w:val="000000" w:themeColor="text1"/>
          <w:szCs w:val="24"/>
        </w:rPr>
        <w:t xml:space="preserve">application packet </w:t>
      </w:r>
      <w:r w:rsidR="00324831">
        <w:rPr>
          <w:color w:val="000000" w:themeColor="text1"/>
          <w:szCs w:val="24"/>
        </w:rPr>
        <w:t xml:space="preserve">is </w:t>
      </w:r>
      <w:r>
        <w:rPr>
          <w:color w:val="000000" w:themeColor="text1"/>
          <w:szCs w:val="24"/>
        </w:rPr>
        <w:t xml:space="preserve">approved, </w:t>
      </w:r>
      <w:r w:rsidR="00324831">
        <w:rPr>
          <w:color w:val="000000" w:themeColor="text1"/>
          <w:szCs w:val="24"/>
        </w:rPr>
        <w:t>agency policy</w:t>
      </w:r>
      <w:r w:rsidRPr="003335D9" w:rsidR="003335D9">
        <w:rPr>
          <w:color w:val="000000" w:themeColor="text1"/>
          <w:szCs w:val="24"/>
        </w:rPr>
        <w:t xml:space="preserve"> </w:t>
      </w:r>
      <w:r w:rsidRPr="007852F3" w:rsidR="007852F3">
        <w:rPr>
          <w:color w:val="000000" w:themeColor="text1"/>
          <w:szCs w:val="24"/>
        </w:rPr>
        <w:t>require</w:t>
      </w:r>
      <w:r w:rsidR="00084A8D">
        <w:rPr>
          <w:color w:val="000000" w:themeColor="text1"/>
          <w:szCs w:val="24"/>
        </w:rPr>
        <w:t>s</w:t>
      </w:r>
      <w:r w:rsidRPr="007852F3" w:rsidR="007852F3">
        <w:rPr>
          <w:color w:val="000000" w:themeColor="text1"/>
          <w:szCs w:val="24"/>
        </w:rPr>
        <w:t xml:space="preserve"> </w:t>
      </w:r>
      <w:r>
        <w:rPr>
          <w:color w:val="000000" w:themeColor="text1"/>
          <w:szCs w:val="24"/>
        </w:rPr>
        <w:t>licensure</w:t>
      </w:r>
      <w:r w:rsidR="00324831">
        <w:rPr>
          <w:color w:val="000000" w:themeColor="text1"/>
          <w:szCs w:val="24"/>
        </w:rPr>
        <w:t>, registration,</w:t>
      </w:r>
      <w:r>
        <w:rPr>
          <w:color w:val="000000" w:themeColor="text1"/>
          <w:szCs w:val="24"/>
        </w:rPr>
        <w:t xml:space="preserve"> and certification requirements and </w:t>
      </w:r>
      <w:r w:rsidR="00324831">
        <w:rPr>
          <w:color w:val="000000" w:themeColor="text1"/>
          <w:szCs w:val="24"/>
        </w:rPr>
        <w:t xml:space="preserve">clinical </w:t>
      </w:r>
      <w:r>
        <w:rPr>
          <w:color w:val="000000" w:themeColor="text1"/>
          <w:szCs w:val="24"/>
        </w:rPr>
        <w:t xml:space="preserve">competency be </w:t>
      </w:r>
      <w:r w:rsidR="00324831">
        <w:rPr>
          <w:color w:val="000000" w:themeColor="text1"/>
          <w:szCs w:val="24"/>
        </w:rPr>
        <w:t xml:space="preserve">continuously </w:t>
      </w:r>
      <w:r>
        <w:rPr>
          <w:color w:val="000000" w:themeColor="text1"/>
          <w:szCs w:val="24"/>
        </w:rPr>
        <w:t xml:space="preserve">verified on </w:t>
      </w:r>
      <w:r w:rsidRPr="007852F3" w:rsidR="007852F3">
        <w:rPr>
          <w:color w:val="000000" w:themeColor="text1"/>
          <w:szCs w:val="24"/>
        </w:rPr>
        <w:t>a</w:t>
      </w:r>
      <w:r>
        <w:rPr>
          <w:color w:val="000000" w:themeColor="text1"/>
          <w:szCs w:val="24"/>
        </w:rPr>
        <w:t xml:space="preserve">n ongoing basis until the time of the </w:t>
      </w:r>
      <w:r w:rsidR="00324831">
        <w:rPr>
          <w:color w:val="000000" w:themeColor="text1"/>
          <w:szCs w:val="24"/>
        </w:rPr>
        <w:t xml:space="preserve">next </w:t>
      </w:r>
      <w:r>
        <w:rPr>
          <w:color w:val="000000" w:themeColor="text1"/>
          <w:szCs w:val="24"/>
        </w:rPr>
        <w:t xml:space="preserve">reappointment. </w:t>
      </w:r>
      <w:r w:rsidR="00AE5C0F">
        <w:rPr>
          <w:color w:val="000000" w:themeColor="text1"/>
          <w:szCs w:val="24"/>
        </w:rPr>
        <w:t xml:space="preserve"> </w:t>
      </w:r>
      <w:r w:rsidR="00AD2CBD">
        <w:rPr>
          <w:color w:val="000000" w:themeColor="text1"/>
          <w:szCs w:val="24"/>
        </w:rPr>
        <w:t xml:space="preserve">At the time of reappointment </w:t>
      </w:r>
      <w:r>
        <w:rPr>
          <w:color w:val="000000" w:themeColor="text1"/>
          <w:szCs w:val="24"/>
        </w:rPr>
        <w:t>the health care practitioner will go through a similar reappointment process to renew their membership and privilege status</w:t>
      </w:r>
      <w:r w:rsidRPr="007852F3" w:rsidR="007852F3">
        <w:rPr>
          <w:color w:val="000000" w:themeColor="text1"/>
          <w:szCs w:val="24"/>
        </w:rPr>
        <w:t xml:space="preserve">.  This review evaluates the current competence of the </w:t>
      </w:r>
      <w:r w:rsidR="003335D9">
        <w:rPr>
          <w:color w:val="000000" w:themeColor="text1"/>
          <w:szCs w:val="24"/>
        </w:rPr>
        <w:t>health care providers</w:t>
      </w:r>
      <w:r w:rsidRPr="007852F3" w:rsidR="007852F3">
        <w:rPr>
          <w:color w:val="000000" w:themeColor="text1"/>
          <w:szCs w:val="24"/>
        </w:rPr>
        <w:t xml:space="preserve"> and verifies whether they are maintaining the licensure or certification requirements of their specialty.</w:t>
      </w:r>
    </w:p>
    <w:p w:rsidR="007852F3" w:rsidRPr="008E0086" w:rsidP="007852F3" w14:paraId="726AEC9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451801" w14:paraId="68E3E981" w14:textId="3968DD5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 xml:space="preserve">The medical staff credentials and privileges records are </w:t>
      </w:r>
      <w:r w:rsidRPr="00084A8D" w:rsidR="00084A8D">
        <w:rPr>
          <w:color w:val="000000" w:themeColor="text1"/>
          <w:szCs w:val="24"/>
        </w:rPr>
        <w:t>stored in two ways: records stored in file folders are stored at the IHS facilities or the Federal Record Center, and computer</w:t>
      </w:r>
      <w:r w:rsidR="00057004">
        <w:rPr>
          <w:color w:val="000000" w:themeColor="text1"/>
          <w:szCs w:val="24"/>
        </w:rPr>
        <w:noBreakHyphen/>
      </w:r>
      <w:r w:rsidRPr="00084A8D" w:rsidR="00084A8D">
        <w:rPr>
          <w:color w:val="000000" w:themeColor="text1"/>
          <w:szCs w:val="24"/>
        </w:rPr>
        <w:t xml:space="preserve">based or electronic records are located at the IHS Albuquerque Data Center in Albuquerque, </w:t>
      </w:r>
      <w:r w:rsidR="00592CFF">
        <w:rPr>
          <w:color w:val="000000" w:themeColor="text1"/>
          <w:szCs w:val="24"/>
        </w:rPr>
        <w:t>New Mexico</w:t>
      </w:r>
      <w:r w:rsidRPr="00084A8D" w:rsidR="00084A8D">
        <w:rPr>
          <w:color w:val="000000" w:themeColor="text1"/>
          <w:szCs w:val="24"/>
        </w:rPr>
        <w:t>.</w:t>
      </w:r>
      <w:r w:rsidRPr="007852F3">
        <w:rPr>
          <w:color w:val="000000" w:themeColor="text1"/>
          <w:szCs w:val="24"/>
        </w:rPr>
        <w:t xml:space="preserve">  </w:t>
      </w:r>
    </w:p>
    <w:p w:rsidR="007852F3" w14:paraId="6C191CA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1C534D" w:rsidP="007852F3" w14:paraId="7A14D4F1" w14:textId="42C009D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 xml:space="preserve">The IHS is </w:t>
      </w:r>
      <w:r w:rsidR="0019639E">
        <w:rPr>
          <w:color w:val="000000" w:themeColor="text1"/>
          <w:szCs w:val="24"/>
        </w:rPr>
        <w:t>continuing to standardize</w:t>
      </w:r>
      <w:r w:rsidR="002055DF">
        <w:rPr>
          <w:color w:val="000000" w:themeColor="text1"/>
          <w:szCs w:val="24"/>
        </w:rPr>
        <w:t>, transform</w:t>
      </w:r>
      <w:r w:rsidR="00592CFF">
        <w:rPr>
          <w:color w:val="000000" w:themeColor="text1"/>
          <w:szCs w:val="24"/>
        </w:rPr>
        <w:t>,</w:t>
      </w:r>
      <w:r w:rsidR="0019639E">
        <w:rPr>
          <w:color w:val="000000" w:themeColor="text1"/>
          <w:szCs w:val="24"/>
        </w:rPr>
        <w:t xml:space="preserve"> and optimize </w:t>
      </w:r>
      <w:r w:rsidR="003D2523">
        <w:rPr>
          <w:color w:val="000000" w:themeColor="text1"/>
          <w:szCs w:val="24"/>
        </w:rPr>
        <w:t xml:space="preserve">the medical staff </w:t>
      </w:r>
      <w:r w:rsidRPr="007852F3">
        <w:rPr>
          <w:color w:val="000000" w:themeColor="text1"/>
          <w:szCs w:val="24"/>
        </w:rPr>
        <w:t>credentialing</w:t>
      </w:r>
      <w:r w:rsidR="003D2523">
        <w:rPr>
          <w:color w:val="000000" w:themeColor="text1"/>
          <w:szCs w:val="24"/>
        </w:rPr>
        <w:t xml:space="preserve"> </w:t>
      </w:r>
      <w:r w:rsidR="002055DF">
        <w:rPr>
          <w:color w:val="000000" w:themeColor="text1"/>
          <w:szCs w:val="24"/>
        </w:rPr>
        <w:t xml:space="preserve">and privileging </w:t>
      </w:r>
      <w:r w:rsidR="003D2523">
        <w:rPr>
          <w:color w:val="000000" w:themeColor="text1"/>
          <w:szCs w:val="24"/>
        </w:rPr>
        <w:t>process</w:t>
      </w:r>
      <w:r w:rsidR="001F6973">
        <w:rPr>
          <w:color w:val="000000" w:themeColor="text1"/>
          <w:szCs w:val="24"/>
        </w:rPr>
        <w:t xml:space="preserve"> </w:t>
      </w:r>
      <w:r w:rsidRPr="007852F3">
        <w:rPr>
          <w:color w:val="000000" w:themeColor="text1"/>
          <w:szCs w:val="24"/>
        </w:rPr>
        <w:t xml:space="preserve">into a centrally automated, standardized, electronic/digital, measurable, portable, accessible, and efficient business process to improve the effectiveness of application and re-application to </w:t>
      </w:r>
      <w:r w:rsidR="002055DF">
        <w:rPr>
          <w:color w:val="000000" w:themeColor="text1"/>
          <w:szCs w:val="24"/>
        </w:rPr>
        <w:t>m</w:t>
      </w:r>
      <w:r w:rsidRPr="007852F3">
        <w:rPr>
          <w:color w:val="000000" w:themeColor="text1"/>
          <w:szCs w:val="24"/>
        </w:rPr>
        <w:t xml:space="preserve">edical </w:t>
      </w:r>
      <w:r w:rsidR="002055DF">
        <w:rPr>
          <w:color w:val="000000" w:themeColor="text1"/>
          <w:szCs w:val="24"/>
        </w:rPr>
        <w:t>s</w:t>
      </w:r>
      <w:r w:rsidRPr="007852F3">
        <w:rPr>
          <w:color w:val="000000" w:themeColor="text1"/>
          <w:szCs w:val="24"/>
        </w:rPr>
        <w:t xml:space="preserve">taff, movement of practitioners within the IHS system, and recruitment/retention of high-quality </w:t>
      </w:r>
      <w:r w:rsidR="002055DF">
        <w:rPr>
          <w:color w:val="000000" w:themeColor="text1"/>
          <w:szCs w:val="24"/>
        </w:rPr>
        <w:t>LP</w:t>
      </w:r>
      <w:r w:rsidRPr="007852F3">
        <w:rPr>
          <w:color w:val="000000" w:themeColor="text1"/>
          <w:szCs w:val="24"/>
        </w:rPr>
        <w:t>.</w:t>
      </w:r>
    </w:p>
    <w:p w:rsidR="001C534D" w:rsidP="007852F3" w14:paraId="26ED3D5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DB71EF" w:rsidRPr="008E0086" w14:paraId="697C226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007517F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Pr>
          <w:b/>
          <w:color w:val="000000" w:themeColor="text1"/>
          <w:szCs w:val="24"/>
        </w:rPr>
        <w:tab/>
      </w:r>
      <w:r w:rsidRPr="001E6BC5">
        <w:rPr>
          <w:b/>
          <w:color w:val="000000" w:themeColor="text1"/>
          <w:szCs w:val="24"/>
        </w:rPr>
        <w:t>3.</w:t>
      </w:r>
      <w:r w:rsidRPr="001E6BC5">
        <w:rPr>
          <w:color w:val="000000" w:themeColor="text1"/>
          <w:szCs w:val="24"/>
        </w:rPr>
        <w:tab/>
      </w:r>
      <w:r w:rsidRPr="001E6BC5">
        <w:rPr>
          <w:b/>
          <w:color w:val="000000" w:themeColor="text1"/>
          <w:szCs w:val="24"/>
          <w:u w:val="single"/>
        </w:rPr>
        <w:t>Use of Improved Information Technology and Burden Reduction</w:t>
      </w:r>
    </w:p>
    <w:p w:rsidR="008E3B16" w:rsidRPr="008E0086" w14:paraId="27248E8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7852F3" w:rsidP="00E03C81" w14:paraId="4B7F5D69" w14:textId="161A902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E03C81">
        <w:rPr>
          <w:color w:val="000000" w:themeColor="text1"/>
          <w:szCs w:val="24"/>
        </w:rPr>
        <w:t>In response to Sections 1104 and 10109 of</w:t>
      </w:r>
      <w:r>
        <w:rPr>
          <w:color w:val="000000" w:themeColor="text1"/>
          <w:szCs w:val="24"/>
        </w:rPr>
        <w:t xml:space="preserve"> </w:t>
      </w:r>
      <w:r w:rsidRPr="00E03C81">
        <w:rPr>
          <w:color w:val="000000" w:themeColor="text1"/>
          <w:szCs w:val="24"/>
        </w:rPr>
        <w:t>the Affordable Care Act and to reduce administrative burdens, the National Committee on Vital</w:t>
      </w:r>
      <w:r>
        <w:rPr>
          <w:color w:val="000000" w:themeColor="text1"/>
          <w:szCs w:val="24"/>
        </w:rPr>
        <w:t xml:space="preserve"> </w:t>
      </w:r>
      <w:r w:rsidRPr="00E03C81">
        <w:rPr>
          <w:color w:val="000000" w:themeColor="text1"/>
          <w:szCs w:val="24"/>
        </w:rPr>
        <w:t>Health Statistics (NCVHS) developed recommendations to digitize and standardize the</w:t>
      </w:r>
      <w:r>
        <w:rPr>
          <w:color w:val="000000" w:themeColor="text1"/>
          <w:szCs w:val="24"/>
        </w:rPr>
        <w:t xml:space="preserve"> </w:t>
      </w:r>
      <w:r w:rsidRPr="00E03C81">
        <w:rPr>
          <w:color w:val="000000" w:themeColor="text1"/>
          <w:szCs w:val="24"/>
        </w:rPr>
        <w:t>practitioner credentialing process.</w:t>
      </w:r>
      <w:r w:rsidRPr="00E03C81">
        <w:rPr>
          <w:rFonts w:ascii="Times-Roman" w:hAnsi="Times-Roman" w:cs="Times-Roman"/>
          <w:szCs w:val="24"/>
        </w:rPr>
        <w:t xml:space="preserve"> </w:t>
      </w:r>
      <w:r w:rsidR="00B1251C">
        <w:rPr>
          <w:rFonts w:ascii="Times-Roman" w:hAnsi="Times-Roman" w:cs="Times-Roman"/>
          <w:szCs w:val="24"/>
        </w:rPr>
        <w:t xml:space="preserve"> </w:t>
      </w:r>
      <w:r w:rsidRPr="00006DAB" w:rsidR="00B1251C">
        <w:rPr>
          <w:color w:val="000000" w:themeColor="text1"/>
          <w:szCs w:val="24"/>
        </w:rPr>
        <w:t xml:space="preserve">The </w:t>
      </w:r>
      <w:r w:rsidRPr="00E03C81">
        <w:rPr>
          <w:color w:val="000000" w:themeColor="text1"/>
          <w:szCs w:val="24"/>
        </w:rPr>
        <w:t>NCVHS cited redundant forms, the lack of automation, and the unique process that each facility</w:t>
      </w:r>
      <w:r>
        <w:rPr>
          <w:color w:val="000000" w:themeColor="text1"/>
          <w:szCs w:val="24"/>
        </w:rPr>
        <w:t xml:space="preserve"> </w:t>
      </w:r>
      <w:r w:rsidRPr="00E03C81">
        <w:rPr>
          <w:color w:val="000000" w:themeColor="text1"/>
          <w:szCs w:val="24"/>
        </w:rPr>
        <w:t>requires as the critical obstacle to simplifying and streamlining the practitioner credentialing</w:t>
      </w:r>
      <w:r>
        <w:rPr>
          <w:color w:val="000000" w:themeColor="text1"/>
          <w:szCs w:val="24"/>
        </w:rPr>
        <w:t xml:space="preserve"> </w:t>
      </w:r>
      <w:r w:rsidRPr="00E03C81">
        <w:rPr>
          <w:color w:val="000000" w:themeColor="text1"/>
          <w:szCs w:val="24"/>
        </w:rPr>
        <w:t>process.</w:t>
      </w:r>
      <w:r>
        <w:rPr>
          <w:color w:val="000000" w:themeColor="text1"/>
          <w:szCs w:val="24"/>
        </w:rPr>
        <w:t xml:space="preserve"> </w:t>
      </w:r>
      <w:r w:rsidR="00057004">
        <w:rPr>
          <w:color w:val="000000" w:themeColor="text1"/>
          <w:szCs w:val="24"/>
        </w:rPr>
        <w:t xml:space="preserve"> </w:t>
      </w:r>
      <w:r w:rsidRPr="007852F3">
        <w:rPr>
          <w:color w:val="000000" w:themeColor="text1"/>
          <w:szCs w:val="24"/>
        </w:rPr>
        <w:t xml:space="preserve">The adoption of a central source </w:t>
      </w:r>
      <w:r w:rsidR="00087037">
        <w:rPr>
          <w:color w:val="000000" w:themeColor="text1"/>
          <w:szCs w:val="24"/>
        </w:rPr>
        <w:t>credentialing software</w:t>
      </w:r>
      <w:r w:rsidRPr="007852F3">
        <w:rPr>
          <w:color w:val="000000" w:themeColor="text1"/>
          <w:szCs w:val="24"/>
        </w:rPr>
        <w:t xml:space="preserve"> system for </w:t>
      </w:r>
      <w:r w:rsidR="00F83881">
        <w:rPr>
          <w:color w:val="000000" w:themeColor="text1"/>
          <w:szCs w:val="24"/>
        </w:rPr>
        <w:t>LP</w:t>
      </w:r>
      <w:r w:rsidRPr="007852F3">
        <w:rPr>
          <w:color w:val="000000" w:themeColor="text1"/>
          <w:szCs w:val="24"/>
        </w:rPr>
        <w:t xml:space="preserve"> staff credentialing/privileging data </w:t>
      </w:r>
      <w:r w:rsidR="001D1167">
        <w:rPr>
          <w:color w:val="000000" w:themeColor="text1"/>
          <w:szCs w:val="24"/>
        </w:rPr>
        <w:t>continues to</w:t>
      </w:r>
      <w:r w:rsidRPr="007852F3">
        <w:rPr>
          <w:color w:val="000000" w:themeColor="text1"/>
          <w:szCs w:val="24"/>
        </w:rPr>
        <w:t xml:space="preserve"> enhance</w:t>
      </w:r>
      <w:r w:rsidR="001D1167">
        <w:rPr>
          <w:color w:val="000000" w:themeColor="text1"/>
          <w:szCs w:val="24"/>
        </w:rPr>
        <w:t xml:space="preserve"> and improve</w:t>
      </w:r>
      <w:r w:rsidRPr="007852F3">
        <w:rPr>
          <w:color w:val="000000" w:themeColor="text1"/>
          <w:szCs w:val="24"/>
        </w:rPr>
        <w:t xml:space="preserve"> the quality, accuracy, and efficiency of the IHS credentialing/privileging process</w:t>
      </w:r>
      <w:r w:rsidR="00501C19">
        <w:rPr>
          <w:color w:val="000000" w:themeColor="text1"/>
          <w:szCs w:val="24"/>
        </w:rPr>
        <w:t xml:space="preserve">. </w:t>
      </w:r>
      <w:r w:rsidR="00B1251C">
        <w:rPr>
          <w:color w:val="000000" w:themeColor="text1"/>
          <w:szCs w:val="24"/>
        </w:rPr>
        <w:t xml:space="preserve"> </w:t>
      </w:r>
      <w:r w:rsidR="00501C19">
        <w:rPr>
          <w:color w:val="000000" w:themeColor="text1"/>
          <w:szCs w:val="24"/>
        </w:rPr>
        <w:t xml:space="preserve">A byproduct </w:t>
      </w:r>
      <w:r>
        <w:rPr>
          <w:color w:val="000000" w:themeColor="text1"/>
          <w:szCs w:val="24"/>
        </w:rPr>
        <w:t>seen</w:t>
      </w:r>
      <w:r w:rsidRPr="007852F3">
        <w:rPr>
          <w:color w:val="000000" w:themeColor="text1"/>
          <w:szCs w:val="24"/>
        </w:rPr>
        <w:t xml:space="preserve"> </w:t>
      </w:r>
      <w:r w:rsidR="00501C19">
        <w:rPr>
          <w:color w:val="000000" w:themeColor="text1"/>
          <w:szCs w:val="24"/>
        </w:rPr>
        <w:t xml:space="preserve">of this credentialing software is </w:t>
      </w:r>
      <w:r w:rsidRPr="007852F3">
        <w:rPr>
          <w:color w:val="000000" w:themeColor="text1"/>
          <w:szCs w:val="24"/>
        </w:rPr>
        <w:t xml:space="preserve">the </w:t>
      </w:r>
      <w:r>
        <w:rPr>
          <w:color w:val="000000" w:themeColor="text1"/>
          <w:szCs w:val="24"/>
        </w:rPr>
        <w:t>reduction of turnaround time, one IHS Area recorded a 34</w:t>
      </w:r>
      <w:r w:rsidR="00183474">
        <w:rPr>
          <w:color w:val="000000" w:themeColor="text1"/>
          <w:szCs w:val="24"/>
        </w:rPr>
        <w:t xml:space="preserve"> percent</w:t>
      </w:r>
      <w:r>
        <w:rPr>
          <w:color w:val="000000" w:themeColor="text1"/>
          <w:szCs w:val="24"/>
        </w:rPr>
        <w:t xml:space="preserve"> reduction in turnaround time for processing initial and reappointments. </w:t>
      </w:r>
      <w:r w:rsidR="00183474">
        <w:rPr>
          <w:color w:val="000000" w:themeColor="text1"/>
          <w:szCs w:val="24"/>
        </w:rPr>
        <w:t xml:space="preserve"> </w:t>
      </w:r>
      <w:r>
        <w:rPr>
          <w:color w:val="000000" w:themeColor="text1"/>
          <w:szCs w:val="24"/>
        </w:rPr>
        <w:t xml:space="preserve">In addition, the affiliation module of the software reduces the administrative burden to responding to ongoing request for affiliation verifications by </w:t>
      </w:r>
      <w:r w:rsidR="00183474">
        <w:rPr>
          <w:color w:val="000000" w:themeColor="text1"/>
          <w:szCs w:val="24"/>
        </w:rPr>
        <w:t>four</w:t>
      </w:r>
      <w:r>
        <w:rPr>
          <w:color w:val="000000" w:themeColor="text1"/>
          <w:szCs w:val="24"/>
        </w:rPr>
        <w:t xml:space="preserve"> hours a week. </w:t>
      </w:r>
      <w:r w:rsidR="00183474">
        <w:rPr>
          <w:color w:val="000000" w:themeColor="text1"/>
          <w:szCs w:val="24"/>
        </w:rPr>
        <w:t xml:space="preserve"> </w:t>
      </w:r>
      <w:r>
        <w:rPr>
          <w:color w:val="000000" w:themeColor="text1"/>
          <w:szCs w:val="24"/>
        </w:rPr>
        <w:t xml:space="preserve">The same </w:t>
      </w:r>
      <w:r w:rsidR="00932B63">
        <w:rPr>
          <w:color w:val="000000" w:themeColor="text1"/>
          <w:szCs w:val="24"/>
        </w:rPr>
        <w:t xml:space="preserve">IHS </w:t>
      </w:r>
      <w:r>
        <w:rPr>
          <w:color w:val="000000" w:themeColor="text1"/>
          <w:szCs w:val="24"/>
        </w:rPr>
        <w:t xml:space="preserve">Area tracked the cost savings of the termination of paperwork and eliminating </w:t>
      </w:r>
      <w:r w:rsidR="00932B63">
        <w:rPr>
          <w:color w:val="000000" w:themeColor="text1"/>
          <w:szCs w:val="24"/>
        </w:rPr>
        <w:t xml:space="preserve">duplicative </w:t>
      </w:r>
      <w:r>
        <w:rPr>
          <w:color w:val="000000" w:themeColor="text1"/>
          <w:szCs w:val="24"/>
        </w:rPr>
        <w:t xml:space="preserve">processes </w:t>
      </w:r>
      <w:r w:rsidR="00932B63">
        <w:rPr>
          <w:color w:val="000000" w:themeColor="text1"/>
          <w:szCs w:val="24"/>
        </w:rPr>
        <w:t xml:space="preserve">and recorded a $90,720 cost savings on paper alone. </w:t>
      </w:r>
    </w:p>
    <w:p w:rsidR="00E03C81" w:rsidP="00E03C81" w14:paraId="478E5B35" w14:textId="2526EF9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E03C81" w:rsidP="00E03C81" w14:paraId="61C239B0" w14:textId="7EC070F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E03C81">
        <w:rPr>
          <w:color w:val="000000" w:themeColor="text1"/>
          <w:szCs w:val="24"/>
        </w:rPr>
        <w:t>The time that medical service professionals must devote to processing</w:t>
      </w:r>
      <w:r>
        <w:rPr>
          <w:color w:val="000000" w:themeColor="text1"/>
          <w:szCs w:val="24"/>
        </w:rPr>
        <w:t xml:space="preserve"> </w:t>
      </w:r>
      <w:r w:rsidRPr="00E03C81">
        <w:rPr>
          <w:color w:val="000000" w:themeColor="text1"/>
          <w:szCs w:val="24"/>
        </w:rPr>
        <w:t xml:space="preserve">redundant credentialing forms alone is approximately 20 hours per provider each year. </w:t>
      </w:r>
      <w:r w:rsidR="00BB4F06">
        <w:rPr>
          <w:color w:val="000000" w:themeColor="text1"/>
          <w:szCs w:val="24"/>
        </w:rPr>
        <w:t xml:space="preserve"> </w:t>
      </w:r>
      <w:r w:rsidRPr="00E03C81">
        <w:rPr>
          <w:color w:val="000000" w:themeColor="text1"/>
          <w:szCs w:val="24"/>
        </w:rPr>
        <w:t xml:space="preserve">A </w:t>
      </w:r>
      <w:hyperlink r:id="rId5" w:history="1">
        <w:r w:rsidRPr="00E03C81">
          <w:rPr>
            <w:rStyle w:val="Hyperlink"/>
            <w:szCs w:val="24"/>
          </w:rPr>
          <w:t>New England Journal of Medicine in 2012</w:t>
        </w:r>
      </w:hyperlink>
      <w:r>
        <w:rPr>
          <w:color w:val="000000" w:themeColor="text1"/>
          <w:szCs w:val="24"/>
        </w:rPr>
        <w:t xml:space="preserve"> </w:t>
      </w:r>
      <w:r w:rsidRPr="00E03C81">
        <w:rPr>
          <w:color w:val="000000" w:themeColor="text1"/>
          <w:szCs w:val="24"/>
        </w:rPr>
        <w:t>projected that a standardized credentialing system could save the U.S. health</w:t>
      </w:r>
      <w:r w:rsidR="00BB4F06">
        <w:rPr>
          <w:color w:val="000000" w:themeColor="text1"/>
          <w:szCs w:val="24"/>
        </w:rPr>
        <w:t xml:space="preserve"> </w:t>
      </w:r>
      <w:r w:rsidRPr="00E03C81">
        <w:rPr>
          <w:color w:val="000000" w:themeColor="text1"/>
          <w:szCs w:val="24"/>
        </w:rPr>
        <w:t>care system</w:t>
      </w:r>
      <w:r>
        <w:rPr>
          <w:color w:val="000000" w:themeColor="text1"/>
          <w:szCs w:val="24"/>
        </w:rPr>
        <w:t xml:space="preserve"> </w:t>
      </w:r>
      <w:r w:rsidRPr="00E03C81">
        <w:rPr>
          <w:color w:val="000000" w:themeColor="text1"/>
          <w:szCs w:val="24"/>
        </w:rPr>
        <w:t>close to $1 billion each year</w:t>
      </w:r>
      <w:r>
        <w:rPr>
          <w:color w:val="000000" w:themeColor="text1"/>
          <w:szCs w:val="24"/>
        </w:rPr>
        <w:t>.</w:t>
      </w:r>
    </w:p>
    <w:p w:rsidR="00451801" w14:paraId="1DBFCCD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451801" w:rsidP="00451801" w14:paraId="62213960" w14:textId="663E8C9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451801">
        <w:rPr>
          <w:color w:val="000000" w:themeColor="text1"/>
          <w:szCs w:val="24"/>
        </w:rPr>
        <w:t xml:space="preserve">Furthermore, communicating information electronically can reduce costs and errors, promote collaboration, ensure accreditation/privileging requirements are met, and help </w:t>
      </w:r>
      <w:r w:rsidR="00601491">
        <w:rPr>
          <w:color w:val="000000" w:themeColor="text1"/>
          <w:szCs w:val="24"/>
        </w:rPr>
        <w:t>bring</w:t>
      </w:r>
      <w:r w:rsidRPr="00451801">
        <w:rPr>
          <w:color w:val="000000" w:themeColor="text1"/>
          <w:szCs w:val="24"/>
        </w:rPr>
        <w:t xml:space="preserve"> practitioners on board more quickly, which will improve recruitment and retention.</w:t>
      </w:r>
    </w:p>
    <w:p w:rsidR="00451801" w:rsidP="00451801" w14:paraId="0815137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14:paraId="41CD311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Pr>
          <w:b/>
          <w:color w:val="000000" w:themeColor="text1"/>
          <w:szCs w:val="24"/>
        </w:rPr>
        <w:tab/>
      </w:r>
      <w:r w:rsidRPr="008E0086">
        <w:rPr>
          <w:b/>
          <w:color w:val="000000" w:themeColor="text1"/>
          <w:szCs w:val="24"/>
        </w:rPr>
        <w:t>4.</w:t>
      </w:r>
      <w:r w:rsidRPr="008E0086">
        <w:rPr>
          <w:b/>
          <w:color w:val="000000" w:themeColor="text1"/>
          <w:szCs w:val="24"/>
        </w:rPr>
        <w:tab/>
      </w:r>
      <w:r w:rsidRPr="008E0086">
        <w:rPr>
          <w:b/>
          <w:color w:val="000000" w:themeColor="text1"/>
          <w:szCs w:val="24"/>
          <w:u w:val="single"/>
        </w:rPr>
        <w:t xml:space="preserve">Efforts to Identify Duplication and Use of Similar Information </w:t>
      </w:r>
    </w:p>
    <w:p w:rsidR="008E3B16" w:rsidRPr="008E0086" w14:paraId="77E0955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p>
    <w:p w:rsidR="005C666A" w:rsidP="005C666A" w14:paraId="3D7C4588" w14:textId="6012F10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There is </w:t>
      </w:r>
      <w:r w:rsidR="00932B63">
        <w:rPr>
          <w:color w:val="000000" w:themeColor="text1"/>
          <w:szCs w:val="24"/>
        </w:rPr>
        <w:t xml:space="preserve">little if any </w:t>
      </w:r>
      <w:r>
        <w:rPr>
          <w:color w:val="000000" w:themeColor="text1"/>
          <w:szCs w:val="24"/>
        </w:rPr>
        <w:t xml:space="preserve">duplication of efforts with the new system. </w:t>
      </w:r>
      <w:r w:rsidR="00BB4F06">
        <w:rPr>
          <w:color w:val="000000" w:themeColor="text1"/>
          <w:szCs w:val="24"/>
        </w:rPr>
        <w:t xml:space="preserve"> </w:t>
      </w:r>
      <w:r w:rsidR="00AE345E">
        <w:rPr>
          <w:color w:val="000000" w:themeColor="text1"/>
          <w:szCs w:val="24"/>
        </w:rPr>
        <w:t xml:space="preserve">The </w:t>
      </w:r>
      <w:r w:rsidR="00B07829">
        <w:rPr>
          <w:color w:val="000000" w:themeColor="text1"/>
          <w:szCs w:val="24"/>
        </w:rPr>
        <w:t>IHS facilities can use current provider information within the agency credentialing software that meets agency policy and the verifying organizations terms of use for</w:t>
      </w:r>
      <w:r w:rsidRPr="00B07829" w:rsidR="00B07829">
        <w:rPr>
          <w:color w:val="000000" w:themeColor="text1"/>
          <w:szCs w:val="24"/>
        </w:rPr>
        <w:t xml:space="preserve"> </w:t>
      </w:r>
      <w:r w:rsidRPr="000B7DE0" w:rsidR="00B07829">
        <w:rPr>
          <w:color w:val="000000" w:themeColor="text1"/>
          <w:szCs w:val="24"/>
        </w:rPr>
        <w:t>evaluat</w:t>
      </w:r>
      <w:r w:rsidR="00B07829">
        <w:rPr>
          <w:color w:val="000000" w:themeColor="text1"/>
          <w:szCs w:val="24"/>
        </w:rPr>
        <w:t>ing</w:t>
      </w:r>
      <w:r w:rsidRPr="000B7DE0" w:rsidR="00B07829">
        <w:rPr>
          <w:color w:val="000000" w:themeColor="text1"/>
          <w:szCs w:val="24"/>
        </w:rPr>
        <w:t xml:space="preserve"> and verify</w:t>
      </w:r>
      <w:r w:rsidR="00B07829">
        <w:rPr>
          <w:color w:val="000000" w:themeColor="text1"/>
          <w:szCs w:val="24"/>
        </w:rPr>
        <w:t>ing</w:t>
      </w:r>
      <w:r w:rsidRPr="000B7DE0" w:rsidR="00B07829">
        <w:rPr>
          <w:color w:val="000000" w:themeColor="text1"/>
          <w:szCs w:val="24"/>
        </w:rPr>
        <w:t xml:space="preserve"> the applications of medical staff applicants and approve medical staff membership and privileges in IHS health care facilities.</w:t>
      </w:r>
      <w:r w:rsidR="00B07829">
        <w:rPr>
          <w:color w:val="000000" w:themeColor="text1"/>
          <w:szCs w:val="24"/>
        </w:rPr>
        <w:t xml:space="preserve"> </w:t>
      </w:r>
      <w:r w:rsidR="00C17C07">
        <w:rPr>
          <w:color w:val="000000" w:themeColor="text1"/>
          <w:szCs w:val="24"/>
        </w:rPr>
        <w:t xml:space="preserve"> The </w:t>
      </w:r>
      <w:r w:rsidR="00B07829">
        <w:rPr>
          <w:color w:val="000000" w:themeColor="text1"/>
          <w:szCs w:val="24"/>
        </w:rPr>
        <w:t>IHS</w:t>
      </w:r>
      <w:r w:rsidRPr="000B7DE0">
        <w:rPr>
          <w:color w:val="000000" w:themeColor="text1"/>
          <w:szCs w:val="24"/>
        </w:rPr>
        <w:t xml:space="preserve"> cannot reuse any information from other departments or Agencies. </w:t>
      </w:r>
      <w:r w:rsidR="00C17C07">
        <w:rPr>
          <w:color w:val="000000" w:themeColor="text1"/>
          <w:szCs w:val="24"/>
        </w:rPr>
        <w:t xml:space="preserve"> </w:t>
      </w:r>
      <w:r>
        <w:rPr>
          <w:color w:val="000000" w:themeColor="text1"/>
          <w:szCs w:val="24"/>
        </w:rPr>
        <w:t>I</w:t>
      </w:r>
      <w:r w:rsidRPr="000B7DE0">
        <w:rPr>
          <w:color w:val="000000" w:themeColor="text1"/>
          <w:szCs w:val="24"/>
        </w:rPr>
        <w:t xml:space="preserve">nformation </w:t>
      </w:r>
      <w:r>
        <w:rPr>
          <w:color w:val="000000" w:themeColor="text1"/>
          <w:szCs w:val="24"/>
        </w:rPr>
        <w:t>from t</w:t>
      </w:r>
      <w:r w:rsidRPr="008E0086">
        <w:rPr>
          <w:color w:val="000000" w:themeColor="text1"/>
          <w:szCs w:val="24"/>
        </w:rPr>
        <w:t xml:space="preserve">he Division of Commissioned Personnel and Office of Personnel Management </w:t>
      </w:r>
      <w:r>
        <w:rPr>
          <w:color w:val="000000" w:themeColor="text1"/>
          <w:szCs w:val="24"/>
        </w:rPr>
        <w:t xml:space="preserve">may be related, but is not sufficient to be </w:t>
      </w:r>
      <w:r w:rsidRPr="000B7DE0">
        <w:rPr>
          <w:color w:val="000000" w:themeColor="text1"/>
          <w:szCs w:val="24"/>
        </w:rPr>
        <w:t xml:space="preserve">used for medical credentials and privileges. </w:t>
      </w:r>
      <w:r w:rsidR="00C17C07">
        <w:rPr>
          <w:color w:val="000000" w:themeColor="text1"/>
          <w:szCs w:val="24"/>
        </w:rPr>
        <w:t xml:space="preserve"> </w:t>
      </w:r>
      <w:r w:rsidRPr="000B7DE0">
        <w:rPr>
          <w:color w:val="000000" w:themeColor="text1"/>
          <w:szCs w:val="24"/>
        </w:rPr>
        <w:t>Additionally, the medical peer review cannot be conducted by any another departments or agencies</w:t>
      </w:r>
      <w:r>
        <w:rPr>
          <w:color w:val="000000" w:themeColor="text1"/>
          <w:szCs w:val="24"/>
        </w:rPr>
        <w:t xml:space="preserve"> for </w:t>
      </w:r>
      <w:r w:rsidR="00C17C07">
        <w:rPr>
          <w:color w:val="000000" w:themeColor="text1"/>
          <w:szCs w:val="24"/>
        </w:rPr>
        <w:t xml:space="preserve">the </w:t>
      </w:r>
      <w:r>
        <w:rPr>
          <w:color w:val="000000" w:themeColor="text1"/>
          <w:szCs w:val="24"/>
        </w:rPr>
        <w:t>IHS</w:t>
      </w:r>
      <w:r w:rsidRPr="000B7DE0">
        <w:rPr>
          <w:color w:val="000000" w:themeColor="text1"/>
          <w:szCs w:val="24"/>
        </w:rPr>
        <w:t xml:space="preserve">.  </w:t>
      </w:r>
    </w:p>
    <w:p w:rsidR="008E3B16" w:rsidRPr="008E0086" w14:paraId="4A4408B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2F100F68"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Pr>
          <w:b/>
          <w:color w:val="000000" w:themeColor="text1"/>
          <w:szCs w:val="24"/>
        </w:rPr>
        <w:tab/>
      </w:r>
      <w:r w:rsidRPr="008E0086">
        <w:rPr>
          <w:b/>
          <w:color w:val="000000" w:themeColor="text1"/>
          <w:szCs w:val="24"/>
        </w:rPr>
        <w:t>5.</w:t>
      </w:r>
      <w:r w:rsidRPr="008E0086">
        <w:rPr>
          <w:b/>
          <w:color w:val="000000" w:themeColor="text1"/>
          <w:szCs w:val="24"/>
        </w:rPr>
        <w:tab/>
      </w:r>
      <w:r w:rsidRPr="008E0086">
        <w:rPr>
          <w:b/>
          <w:color w:val="000000" w:themeColor="text1"/>
          <w:szCs w:val="24"/>
          <w:u w:val="single"/>
        </w:rPr>
        <w:t>Impact on Small Businesses or Other Small Entities</w:t>
      </w:r>
    </w:p>
    <w:p w:rsidR="008E3B16" w:rsidRPr="008E0086" w14:paraId="162BCCF8"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D86B1A" w:rsidRPr="008E0086" w:rsidP="00D86B1A" w14:paraId="7E9666CA" w14:textId="211BEE1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This collection of information, in general, does not involve small businesses or other small entities but rather individual health professionals, staff of health care provider organizations, colleges or universities, and state licensing boards.  Rural hospitals may be considered small entities; however, the information requested of them (i.e., verification of employment and work history) should not impose an undue reporting burden since such information should be routinely contained in the rural hospital's personnel or medical staff records.</w:t>
      </w:r>
    </w:p>
    <w:p w:rsidR="005C666A" w:rsidRPr="008E0086" w14:paraId="0EA84AA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722329D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Pr>
          <w:b/>
          <w:color w:val="000000" w:themeColor="text1"/>
          <w:szCs w:val="24"/>
        </w:rPr>
        <w:tab/>
      </w:r>
      <w:r w:rsidRPr="008E0086">
        <w:rPr>
          <w:b/>
          <w:color w:val="000000" w:themeColor="text1"/>
          <w:szCs w:val="24"/>
        </w:rPr>
        <w:t>6.</w:t>
      </w:r>
      <w:r w:rsidRPr="008E0086">
        <w:rPr>
          <w:b/>
          <w:color w:val="000000" w:themeColor="text1"/>
          <w:szCs w:val="24"/>
        </w:rPr>
        <w:tab/>
      </w:r>
      <w:r w:rsidRPr="008E0086">
        <w:rPr>
          <w:b/>
          <w:color w:val="000000" w:themeColor="text1"/>
          <w:szCs w:val="24"/>
          <w:u w:val="single"/>
        </w:rPr>
        <w:t>Consequences of Collecting the Information and Less Frequent Collection</w:t>
      </w:r>
    </w:p>
    <w:p w:rsidR="008E3B16" w:rsidRPr="008E0086" w14:paraId="4A09FE3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14:paraId="7C6B6D35" w14:textId="033A51F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w:t>
      </w:r>
      <w:r w:rsidR="00203586">
        <w:rPr>
          <w:color w:val="000000" w:themeColor="text1"/>
          <w:szCs w:val="24"/>
        </w:rPr>
        <w:t xml:space="preserve"> credentialing</w:t>
      </w:r>
      <w:r w:rsidRPr="008E0086">
        <w:rPr>
          <w:color w:val="000000" w:themeColor="text1"/>
          <w:szCs w:val="24"/>
        </w:rPr>
        <w:t xml:space="preserve"> information must be collected</w:t>
      </w:r>
      <w:r w:rsidR="00501C19">
        <w:rPr>
          <w:color w:val="000000" w:themeColor="text1"/>
          <w:szCs w:val="24"/>
        </w:rPr>
        <w:t xml:space="preserve"> and verified</w:t>
      </w:r>
      <w:r w:rsidRPr="008E0086">
        <w:rPr>
          <w:color w:val="000000" w:themeColor="text1"/>
          <w:szCs w:val="24"/>
        </w:rPr>
        <w:t xml:space="preserve"> at the time that the individual is initially applying for membership</w:t>
      </w:r>
      <w:r w:rsidR="00203586">
        <w:rPr>
          <w:color w:val="000000" w:themeColor="text1"/>
          <w:szCs w:val="24"/>
        </w:rPr>
        <w:t xml:space="preserve"> and privileges</w:t>
      </w:r>
      <w:r w:rsidRPr="008E0086">
        <w:rPr>
          <w:color w:val="000000" w:themeColor="text1"/>
          <w:szCs w:val="24"/>
        </w:rPr>
        <w:t xml:space="preserve"> on the IHS medical staff (either as a direct or contract provider) and </w:t>
      </w:r>
      <w:r w:rsidR="005948DF">
        <w:rPr>
          <w:color w:val="000000" w:themeColor="text1"/>
          <w:szCs w:val="24"/>
        </w:rPr>
        <w:t>reappointment cycle</w:t>
      </w:r>
      <w:r w:rsidRPr="008E0086">
        <w:rPr>
          <w:color w:val="000000" w:themeColor="text1"/>
          <w:szCs w:val="24"/>
        </w:rPr>
        <w:t xml:space="preserve"> thereafter</w:t>
      </w:r>
      <w:r w:rsidR="00501C19">
        <w:rPr>
          <w:color w:val="000000" w:themeColor="text1"/>
          <w:szCs w:val="24"/>
        </w:rPr>
        <w:t xml:space="preserve"> according to </w:t>
      </w:r>
      <w:r w:rsidR="00180E6A">
        <w:rPr>
          <w:color w:val="000000" w:themeColor="text1"/>
          <w:szCs w:val="24"/>
        </w:rPr>
        <w:t>IHS</w:t>
      </w:r>
      <w:r w:rsidR="00501C19">
        <w:rPr>
          <w:color w:val="000000" w:themeColor="text1"/>
          <w:szCs w:val="24"/>
        </w:rPr>
        <w:t xml:space="preserve"> policy and/or accreditation standards</w:t>
      </w:r>
      <w:r w:rsidRPr="008E0086">
        <w:rPr>
          <w:color w:val="000000" w:themeColor="text1"/>
          <w:szCs w:val="24"/>
        </w:rPr>
        <w:t>.  Less frequent information collection could jeopardize patient quality care and safety and the accreditation status of the facility.</w:t>
      </w:r>
    </w:p>
    <w:p w:rsidR="00014802" w14:paraId="564F899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014802" w:rsidRPr="008E0086" w14:paraId="445E344E" w14:textId="66766E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The burden of information collection </w:t>
      </w:r>
      <w:r w:rsidR="001D1167">
        <w:rPr>
          <w:color w:val="000000" w:themeColor="text1"/>
          <w:szCs w:val="24"/>
        </w:rPr>
        <w:t>is</w:t>
      </w:r>
      <w:r>
        <w:rPr>
          <w:color w:val="000000" w:themeColor="text1"/>
          <w:szCs w:val="24"/>
        </w:rPr>
        <w:t xml:space="preserve"> reduced by the electronic credentialing software system which enable</w:t>
      </w:r>
      <w:r w:rsidR="00203586">
        <w:rPr>
          <w:color w:val="000000" w:themeColor="text1"/>
          <w:szCs w:val="24"/>
        </w:rPr>
        <w:t>s</w:t>
      </w:r>
      <w:r>
        <w:rPr>
          <w:color w:val="000000" w:themeColor="text1"/>
          <w:szCs w:val="24"/>
        </w:rPr>
        <w:t xml:space="preserve"> automated, electronic updates of credentials from primary sources (e.g. licensing boards) via online (secure, encrypted) query.  </w:t>
      </w:r>
    </w:p>
    <w:p w:rsidR="008E3B16" w:rsidRPr="008E0086" w14:paraId="40497E8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5E8870B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Pr>
          <w:b/>
          <w:color w:val="000000" w:themeColor="text1"/>
          <w:szCs w:val="24"/>
        </w:rPr>
        <w:tab/>
      </w:r>
      <w:r w:rsidRPr="008E0086">
        <w:rPr>
          <w:b/>
          <w:color w:val="000000" w:themeColor="text1"/>
          <w:szCs w:val="24"/>
        </w:rPr>
        <w:t>7.</w:t>
      </w:r>
      <w:r w:rsidRPr="008E0086">
        <w:rPr>
          <w:b/>
          <w:color w:val="000000" w:themeColor="text1"/>
          <w:szCs w:val="24"/>
        </w:rPr>
        <w:tab/>
      </w:r>
      <w:r w:rsidRPr="008E0086">
        <w:rPr>
          <w:b/>
          <w:color w:val="000000" w:themeColor="text1"/>
          <w:szCs w:val="24"/>
          <w:u w:val="single"/>
        </w:rPr>
        <w:t>Special Circumstances Relating to the Guidelines of 5 C</w:t>
      </w:r>
      <w:r w:rsidRPr="008E0086" w:rsidR="00A51677">
        <w:rPr>
          <w:b/>
          <w:color w:val="000000" w:themeColor="text1"/>
          <w:szCs w:val="24"/>
          <w:u w:val="single"/>
        </w:rPr>
        <w:t>.</w:t>
      </w:r>
      <w:r w:rsidRPr="008E0086">
        <w:rPr>
          <w:b/>
          <w:color w:val="000000" w:themeColor="text1"/>
          <w:szCs w:val="24"/>
          <w:u w:val="single"/>
        </w:rPr>
        <w:t>F</w:t>
      </w:r>
      <w:r w:rsidRPr="008E0086" w:rsidR="00A51677">
        <w:rPr>
          <w:b/>
          <w:color w:val="000000" w:themeColor="text1"/>
          <w:szCs w:val="24"/>
          <w:u w:val="single"/>
        </w:rPr>
        <w:t>.</w:t>
      </w:r>
      <w:r w:rsidRPr="008E0086">
        <w:rPr>
          <w:b/>
          <w:color w:val="000000" w:themeColor="text1"/>
          <w:szCs w:val="24"/>
          <w:u w:val="single"/>
        </w:rPr>
        <w:t>R</w:t>
      </w:r>
      <w:r w:rsidRPr="008E0086" w:rsidR="00A51677">
        <w:rPr>
          <w:b/>
          <w:color w:val="000000" w:themeColor="text1"/>
          <w:szCs w:val="24"/>
          <w:u w:val="single"/>
        </w:rPr>
        <w:t>. §</w:t>
      </w:r>
      <w:r w:rsidRPr="008E0086">
        <w:rPr>
          <w:b/>
          <w:color w:val="000000" w:themeColor="text1"/>
          <w:szCs w:val="24"/>
          <w:u w:val="single"/>
        </w:rPr>
        <w:t xml:space="preserve"> 1320.5</w:t>
      </w:r>
    </w:p>
    <w:p w:rsidR="008E3B16" w:rsidRPr="008E0086" w14:paraId="3359DF1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19D187A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This information collection is consistent with the guidelines in 5 C</w:t>
      </w:r>
      <w:r w:rsidRPr="008E0086" w:rsidR="00EB35F1">
        <w:rPr>
          <w:color w:val="000000" w:themeColor="text1"/>
          <w:szCs w:val="24"/>
        </w:rPr>
        <w:t>.</w:t>
      </w:r>
      <w:r w:rsidRPr="008E0086">
        <w:rPr>
          <w:color w:val="000000" w:themeColor="text1"/>
          <w:szCs w:val="24"/>
        </w:rPr>
        <w:t>F</w:t>
      </w:r>
      <w:r w:rsidRPr="008E0086" w:rsidR="00EB35F1">
        <w:rPr>
          <w:color w:val="000000" w:themeColor="text1"/>
          <w:szCs w:val="24"/>
        </w:rPr>
        <w:t>.</w:t>
      </w:r>
      <w:r w:rsidRPr="008E0086">
        <w:rPr>
          <w:color w:val="000000" w:themeColor="text1"/>
          <w:szCs w:val="24"/>
        </w:rPr>
        <w:t>R</w:t>
      </w:r>
      <w:r w:rsidRPr="008E0086" w:rsidR="00EB35F1">
        <w:rPr>
          <w:color w:val="000000" w:themeColor="text1"/>
          <w:szCs w:val="24"/>
        </w:rPr>
        <w:t>.</w:t>
      </w:r>
      <w:r w:rsidRPr="008E0086">
        <w:rPr>
          <w:color w:val="000000" w:themeColor="text1"/>
          <w:szCs w:val="24"/>
        </w:rPr>
        <w:t xml:space="preserve"> </w:t>
      </w:r>
      <w:r w:rsidRPr="008E0086" w:rsidR="00A51677">
        <w:rPr>
          <w:color w:val="000000" w:themeColor="text1"/>
          <w:szCs w:val="24"/>
        </w:rPr>
        <w:t xml:space="preserve">§ </w:t>
      </w:r>
      <w:r w:rsidRPr="008E0086">
        <w:rPr>
          <w:color w:val="000000" w:themeColor="text1"/>
          <w:szCs w:val="24"/>
        </w:rPr>
        <w:t>1320.5(d) (2).</w:t>
      </w:r>
    </w:p>
    <w:p w:rsidR="008E3B16" w14:paraId="164DA78D" w14:textId="032DDB65">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C46706" w14:paraId="1146603A" w14:textId="19594DC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C46706" w:rsidRPr="008E0086" w14:paraId="12089C30"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3C21813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Pr>
          <w:b/>
          <w:color w:val="000000" w:themeColor="text1"/>
          <w:szCs w:val="24"/>
        </w:rPr>
        <w:tab/>
      </w:r>
      <w:r w:rsidRPr="008E0086">
        <w:rPr>
          <w:b/>
          <w:color w:val="000000" w:themeColor="text1"/>
          <w:szCs w:val="24"/>
        </w:rPr>
        <w:t>8.</w:t>
      </w:r>
      <w:r w:rsidRPr="008E0086">
        <w:rPr>
          <w:b/>
          <w:color w:val="000000" w:themeColor="text1"/>
          <w:szCs w:val="24"/>
        </w:rPr>
        <w:tab/>
      </w:r>
      <w:r w:rsidRPr="008E0086">
        <w:rPr>
          <w:b/>
          <w:color w:val="000000" w:themeColor="text1"/>
          <w:szCs w:val="24"/>
          <w:u w:val="single"/>
        </w:rPr>
        <w:t>Comments in Response to the Federal Register Notice/Outside Consultation</w:t>
      </w:r>
    </w:p>
    <w:p w:rsidR="008E3B16" w:rsidRPr="008E0086" w14:paraId="6C66451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themeColor="text1"/>
          <w:szCs w:val="24"/>
        </w:rPr>
      </w:pPr>
    </w:p>
    <w:p w:rsidR="008E3B16" w:rsidP="000C0219" w14:paraId="2A763D3B" w14:textId="111F552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w:t>
      </w:r>
      <w:r w:rsidRPr="008E0086" w:rsidR="00EB35F1">
        <w:rPr>
          <w:color w:val="000000" w:themeColor="text1"/>
          <w:szCs w:val="24"/>
        </w:rPr>
        <w:t>60</w:t>
      </w:r>
      <w:r w:rsidR="00765635">
        <w:rPr>
          <w:color w:val="000000" w:themeColor="text1"/>
          <w:szCs w:val="24"/>
        </w:rPr>
        <w:t>-</w:t>
      </w:r>
      <w:r w:rsidRPr="008E0086" w:rsidR="00EB35F1">
        <w:rPr>
          <w:color w:val="000000" w:themeColor="text1"/>
          <w:szCs w:val="24"/>
        </w:rPr>
        <w:t xml:space="preserve">Day </w:t>
      </w:r>
      <w:r w:rsidRPr="00227A6E">
        <w:rPr>
          <w:i/>
          <w:color w:val="000000" w:themeColor="text1"/>
        </w:rPr>
        <w:t>Federal Register</w:t>
      </w:r>
      <w:r w:rsidRPr="008E0086">
        <w:rPr>
          <w:color w:val="000000" w:themeColor="text1"/>
          <w:szCs w:val="24"/>
        </w:rPr>
        <w:t xml:space="preserve"> </w:t>
      </w:r>
      <w:r w:rsidR="00EC595E">
        <w:rPr>
          <w:color w:val="000000" w:themeColor="text1"/>
          <w:szCs w:val="24"/>
        </w:rPr>
        <w:t>(FR)</w:t>
      </w:r>
      <w:r w:rsidRPr="008E0086">
        <w:rPr>
          <w:color w:val="000000" w:themeColor="text1"/>
          <w:szCs w:val="24"/>
        </w:rPr>
        <w:t xml:space="preserve"> notice</w:t>
      </w:r>
      <w:r w:rsidRPr="008E0086" w:rsidR="00EB35F1">
        <w:rPr>
          <w:color w:val="000000" w:themeColor="text1"/>
          <w:szCs w:val="24"/>
        </w:rPr>
        <w:t xml:space="preserve"> was published in the </w:t>
      </w:r>
      <w:r w:rsidR="00EC595E">
        <w:rPr>
          <w:color w:val="000000" w:themeColor="text1"/>
          <w:szCs w:val="24"/>
        </w:rPr>
        <w:t>FR</w:t>
      </w:r>
      <w:r w:rsidRPr="008E0086" w:rsidR="00EB35F1">
        <w:rPr>
          <w:color w:val="000000" w:themeColor="text1"/>
          <w:szCs w:val="24"/>
        </w:rPr>
        <w:t xml:space="preserve"> (</w:t>
      </w:r>
      <w:r w:rsidRPr="00D75B2D" w:rsidR="00D75B2D">
        <w:rPr>
          <w:color w:val="000000" w:themeColor="text1"/>
          <w:szCs w:val="24"/>
        </w:rPr>
        <w:t>88 FR 30317</w:t>
      </w:r>
      <w:r w:rsidRPr="008E0086" w:rsidR="00EB35F1">
        <w:rPr>
          <w:color w:val="000000" w:themeColor="text1"/>
          <w:szCs w:val="24"/>
        </w:rPr>
        <w:t xml:space="preserve">) on </w:t>
      </w:r>
      <w:r w:rsidR="00D75B2D">
        <w:rPr>
          <w:color w:val="000000" w:themeColor="text1"/>
          <w:szCs w:val="24"/>
        </w:rPr>
        <w:t>May</w:t>
      </w:r>
      <w:r w:rsidR="00C46706">
        <w:rPr>
          <w:color w:val="000000" w:themeColor="text1"/>
          <w:szCs w:val="24"/>
        </w:rPr>
        <w:t> </w:t>
      </w:r>
      <w:r w:rsidR="00D75B2D">
        <w:rPr>
          <w:color w:val="000000" w:themeColor="text1"/>
          <w:szCs w:val="24"/>
        </w:rPr>
        <w:t>1</w:t>
      </w:r>
      <w:r w:rsidR="002C6061">
        <w:rPr>
          <w:color w:val="000000" w:themeColor="text1"/>
          <w:szCs w:val="24"/>
        </w:rPr>
        <w:t>1</w:t>
      </w:r>
      <w:r w:rsidR="00D75B2D">
        <w:rPr>
          <w:color w:val="000000" w:themeColor="text1"/>
          <w:szCs w:val="24"/>
        </w:rPr>
        <w:t>, 2023</w:t>
      </w:r>
      <w:r w:rsidRPr="008E0086">
        <w:rPr>
          <w:color w:val="000000" w:themeColor="text1"/>
          <w:szCs w:val="24"/>
        </w:rPr>
        <w:t xml:space="preserve">, </w:t>
      </w:r>
      <w:r w:rsidRPr="008E0086" w:rsidR="00EB35F1">
        <w:rPr>
          <w:color w:val="000000" w:themeColor="text1"/>
          <w:szCs w:val="24"/>
        </w:rPr>
        <w:t xml:space="preserve">to solicit public comments on the information collection prior to submission to OMB, as </w:t>
      </w:r>
      <w:r w:rsidRPr="008E0086">
        <w:rPr>
          <w:color w:val="000000" w:themeColor="text1"/>
          <w:szCs w:val="24"/>
        </w:rPr>
        <w:t xml:space="preserve">required by 44 U.S.C. </w:t>
      </w:r>
      <w:r w:rsidRPr="008E0086" w:rsidR="00A51677">
        <w:rPr>
          <w:color w:val="000000" w:themeColor="text1"/>
          <w:szCs w:val="24"/>
        </w:rPr>
        <w:t xml:space="preserve">§ </w:t>
      </w:r>
      <w:r w:rsidRPr="008E0086">
        <w:rPr>
          <w:color w:val="000000" w:themeColor="text1"/>
          <w:szCs w:val="24"/>
        </w:rPr>
        <w:t>3506(c) (2) (A)</w:t>
      </w:r>
      <w:r w:rsidRPr="008E0086" w:rsidR="0049162B">
        <w:rPr>
          <w:color w:val="000000" w:themeColor="text1"/>
          <w:szCs w:val="24"/>
        </w:rPr>
        <w:t xml:space="preserve">. </w:t>
      </w:r>
      <w:r w:rsidR="00145156">
        <w:rPr>
          <w:color w:val="000000" w:themeColor="text1"/>
          <w:szCs w:val="24"/>
        </w:rPr>
        <w:t xml:space="preserve"> </w:t>
      </w:r>
      <w:r w:rsidR="009F6160">
        <w:rPr>
          <w:color w:val="000000" w:themeColor="text1"/>
          <w:szCs w:val="24"/>
        </w:rPr>
        <w:t xml:space="preserve">The </w:t>
      </w:r>
      <w:r w:rsidRPr="004043B1" w:rsidR="00B37D5F">
        <w:rPr>
          <w:color w:val="000000" w:themeColor="text1"/>
          <w:szCs w:val="24"/>
        </w:rPr>
        <w:t xml:space="preserve">IHS received </w:t>
      </w:r>
      <w:r w:rsidR="00D75B2D">
        <w:rPr>
          <w:color w:val="000000" w:themeColor="text1"/>
          <w:szCs w:val="24"/>
        </w:rPr>
        <w:t xml:space="preserve">one </w:t>
      </w:r>
      <w:r w:rsidR="00630543">
        <w:rPr>
          <w:color w:val="000000" w:themeColor="text1"/>
          <w:szCs w:val="24"/>
        </w:rPr>
        <w:t>public</w:t>
      </w:r>
      <w:r w:rsidRPr="004043B1" w:rsidR="00B37D5F">
        <w:rPr>
          <w:color w:val="000000" w:themeColor="text1"/>
          <w:szCs w:val="24"/>
        </w:rPr>
        <w:t xml:space="preserve"> comment.</w:t>
      </w:r>
    </w:p>
    <w:p w:rsidR="003F6513" w:rsidP="000C0219" w14:paraId="67D6B18F" w14:textId="03471E5D">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P="00900694" w14:paraId="1517D63B" w14:textId="01B8ECCD">
      <w:pPr>
        <w:ind w:firstLine="540"/>
        <w:rPr>
          <w:color w:val="000000" w:themeColor="text1"/>
          <w:szCs w:val="24"/>
        </w:rPr>
      </w:pPr>
      <w:r>
        <w:rPr>
          <w:color w:val="000000" w:themeColor="text1"/>
          <w:szCs w:val="24"/>
        </w:rPr>
        <w:t>A current 30</w:t>
      </w:r>
      <w:r w:rsidR="009F6160">
        <w:rPr>
          <w:color w:val="000000" w:themeColor="text1"/>
          <w:szCs w:val="24"/>
        </w:rPr>
        <w:t>-</w:t>
      </w:r>
      <w:r>
        <w:rPr>
          <w:color w:val="000000" w:themeColor="text1"/>
          <w:szCs w:val="24"/>
        </w:rPr>
        <w:t xml:space="preserve">day </w:t>
      </w:r>
      <w:r w:rsidR="009F6160">
        <w:rPr>
          <w:color w:val="000000" w:themeColor="text1"/>
          <w:szCs w:val="24"/>
        </w:rPr>
        <w:t>FR</w:t>
      </w:r>
      <w:r>
        <w:rPr>
          <w:color w:val="000000" w:themeColor="text1"/>
          <w:szCs w:val="24"/>
        </w:rPr>
        <w:t xml:space="preserve"> Notice </w:t>
      </w:r>
      <w:r w:rsidR="00900694">
        <w:rPr>
          <w:color w:val="000000" w:themeColor="text1"/>
          <w:szCs w:val="24"/>
        </w:rPr>
        <w:t>was</w:t>
      </w:r>
      <w:r>
        <w:rPr>
          <w:color w:val="000000" w:themeColor="text1"/>
          <w:szCs w:val="24"/>
        </w:rPr>
        <w:t xml:space="preserve"> published</w:t>
      </w:r>
      <w:r w:rsidR="00D75B2D">
        <w:rPr>
          <w:color w:val="000000" w:themeColor="text1"/>
          <w:szCs w:val="24"/>
        </w:rPr>
        <w:t xml:space="preserve"> </w:t>
      </w:r>
      <w:r w:rsidR="00900694">
        <w:rPr>
          <w:color w:val="000000" w:themeColor="text1"/>
          <w:szCs w:val="24"/>
        </w:rPr>
        <w:t>in the FR on July 28, 2023 (</w:t>
      </w:r>
      <w:r w:rsidRPr="00900694" w:rsidR="00900694">
        <w:rPr>
          <w:color w:val="000000" w:themeColor="text1"/>
          <w:szCs w:val="24"/>
        </w:rPr>
        <w:t>88 FR 48896</w:t>
      </w:r>
      <w:r w:rsidR="00900694">
        <w:rPr>
          <w:color w:val="000000" w:themeColor="text1"/>
          <w:szCs w:val="24"/>
        </w:rPr>
        <w:t xml:space="preserve">). </w:t>
      </w:r>
    </w:p>
    <w:p w:rsidR="00900694" w:rsidRPr="008E0086" w:rsidP="00900694" w14:paraId="2E6112D2" w14:textId="66CF1917">
      <w:pPr>
        <w:ind w:firstLine="540"/>
        <w:rPr>
          <w:color w:val="000000" w:themeColor="text1"/>
          <w:szCs w:val="24"/>
        </w:rPr>
      </w:pPr>
      <w:r>
        <w:rPr>
          <w:color w:val="000000" w:themeColor="text1"/>
          <w:szCs w:val="24"/>
        </w:rPr>
        <w:t>.</w:t>
      </w:r>
    </w:p>
    <w:p w:rsidR="008E3B16" w:rsidRPr="008E0086" w:rsidP="003A2ABA" w14:paraId="4E82481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Pr>
          <w:b/>
          <w:color w:val="000000" w:themeColor="text1"/>
          <w:szCs w:val="24"/>
        </w:rPr>
        <w:tab/>
      </w:r>
      <w:r w:rsidRPr="008E0086">
        <w:rPr>
          <w:b/>
          <w:color w:val="000000" w:themeColor="text1"/>
          <w:szCs w:val="24"/>
        </w:rPr>
        <w:t>9.</w:t>
      </w:r>
      <w:r w:rsidRPr="008E0086">
        <w:rPr>
          <w:b/>
          <w:color w:val="000000" w:themeColor="text1"/>
          <w:szCs w:val="24"/>
        </w:rPr>
        <w:tab/>
      </w:r>
      <w:r w:rsidRPr="008E0086">
        <w:rPr>
          <w:b/>
          <w:color w:val="000000" w:themeColor="text1"/>
          <w:szCs w:val="24"/>
          <w:u w:val="single"/>
        </w:rPr>
        <w:t>Explanation of any Payment/ Gift to Respondents</w:t>
      </w:r>
    </w:p>
    <w:p w:rsidR="008E3B16" w:rsidRPr="008E0086" w14:paraId="771445B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5FC44404" w14:textId="4799CC7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respondents will not receive any payments or gifts for providing the information</w:t>
      </w:r>
      <w:r w:rsidR="003F6513">
        <w:rPr>
          <w:color w:val="000000" w:themeColor="text1"/>
          <w:szCs w:val="24"/>
        </w:rPr>
        <w:t>.</w:t>
      </w:r>
    </w:p>
    <w:p w:rsidR="008E3B16" w:rsidRPr="008E0086" w14:paraId="07723E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44C4129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Pr>
          <w:b/>
          <w:color w:val="000000" w:themeColor="text1"/>
          <w:szCs w:val="24"/>
        </w:rPr>
        <w:tab/>
      </w:r>
      <w:r w:rsidRPr="001E6BC5">
        <w:rPr>
          <w:b/>
          <w:color w:val="000000" w:themeColor="text1"/>
          <w:szCs w:val="24"/>
        </w:rPr>
        <w:t>10.</w:t>
      </w:r>
      <w:r w:rsidRPr="001E6BC5">
        <w:rPr>
          <w:b/>
          <w:color w:val="000000" w:themeColor="text1"/>
          <w:szCs w:val="24"/>
        </w:rPr>
        <w:tab/>
      </w:r>
      <w:r w:rsidRPr="001E6BC5">
        <w:rPr>
          <w:b/>
          <w:color w:val="000000" w:themeColor="text1"/>
          <w:szCs w:val="24"/>
          <w:u w:val="single"/>
        </w:rPr>
        <w:t>Assurance of Confidentiality Provided to Respondents</w:t>
      </w:r>
    </w:p>
    <w:p w:rsidR="008E3B16" w:rsidRPr="008E0086" w14:paraId="310A848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BF6D81" w:rsidRPr="00227A6E" w14:paraId="2A1F58F8" w14:textId="4173F64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8E0086">
        <w:rPr>
          <w:color w:val="000000" w:themeColor="text1"/>
          <w:szCs w:val="24"/>
        </w:rPr>
        <w:t xml:space="preserve">The records contained in this information collection activity are subject to </w:t>
      </w:r>
      <w:r w:rsidRPr="008E0086" w:rsidR="00A97661">
        <w:rPr>
          <w:color w:val="000000" w:themeColor="text1"/>
          <w:szCs w:val="24"/>
        </w:rPr>
        <w:t xml:space="preserve">the </w:t>
      </w:r>
      <w:r w:rsidRPr="008E0086">
        <w:rPr>
          <w:color w:val="000000" w:themeColor="text1"/>
          <w:szCs w:val="24"/>
        </w:rPr>
        <w:t>Privacy Act system of recor</w:t>
      </w:r>
      <w:r w:rsidRPr="008E0086" w:rsidR="000B4140">
        <w:rPr>
          <w:color w:val="000000" w:themeColor="text1"/>
          <w:szCs w:val="24"/>
        </w:rPr>
        <w:t xml:space="preserve">ds </w:t>
      </w:r>
      <w:r>
        <w:rPr>
          <w:color w:val="000000" w:themeColor="text1"/>
          <w:szCs w:val="24"/>
        </w:rPr>
        <w:t xml:space="preserve">notice (SORN) </w:t>
      </w:r>
      <w:r w:rsidRPr="008E0086" w:rsidR="000B4140">
        <w:rPr>
          <w:color w:val="000000" w:themeColor="text1"/>
          <w:szCs w:val="24"/>
        </w:rPr>
        <w:t>titled</w:t>
      </w:r>
      <w:r w:rsidRPr="008E0086">
        <w:rPr>
          <w:color w:val="000000" w:themeColor="text1"/>
          <w:szCs w:val="24"/>
        </w:rPr>
        <w:t xml:space="preserve"> "Indian Health Service Medical Staff Credentials and </w:t>
      </w:r>
      <w:r w:rsidRPr="008E0086">
        <w:rPr>
          <w:color w:val="000000" w:themeColor="text1"/>
          <w:szCs w:val="24"/>
        </w:rPr>
        <w:t>Privileges</w:t>
      </w:r>
      <w:r>
        <w:rPr>
          <w:color w:val="000000" w:themeColor="text1"/>
          <w:szCs w:val="24"/>
        </w:rPr>
        <w:t xml:space="preserve"> Records</w:t>
      </w:r>
      <w:r w:rsidRPr="008E0086">
        <w:rPr>
          <w:color w:val="000000" w:themeColor="text1"/>
          <w:szCs w:val="24"/>
        </w:rPr>
        <w:t xml:space="preserve">" </w:t>
      </w:r>
      <w:r w:rsidRPr="008E0086" w:rsidR="000B4140">
        <w:rPr>
          <w:color w:val="000000" w:themeColor="text1"/>
          <w:szCs w:val="24"/>
        </w:rPr>
        <w:t>(</w:t>
      </w:r>
      <w:r>
        <w:rPr>
          <w:color w:val="000000" w:themeColor="text1"/>
          <w:szCs w:val="24"/>
        </w:rPr>
        <w:t xml:space="preserve">SORN </w:t>
      </w:r>
      <w:r w:rsidRPr="008E0086" w:rsidR="000B4140">
        <w:rPr>
          <w:color w:val="000000" w:themeColor="text1"/>
          <w:szCs w:val="24"/>
        </w:rPr>
        <w:t xml:space="preserve">09-17-0003).  </w:t>
      </w:r>
      <w:r w:rsidRPr="008E0086">
        <w:rPr>
          <w:color w:val="000000" w:themeColor="text1"/>
          <w:szCs w:val="24"/>
        </w:rPr>
        <w:t xml:space="preserve">Information collected in the IHS </w:t>
      </w:r>
      <w:r w:rsidR="00790D4B">
        <w:rPr>
          <w:color w:val="000000" w:themeColor="text1"/>
          <w:szCs w:val="24"/>
        </w:rPr>
        <w:t xml:space="preserve">medical staff </w:t>
      </w:r>
      <w:r w:rsidRPr="008E0086">
        <w:rPr>
          <w:color w:val="000000" w:themeColor="text1"/>
          <w:szCs w:val="24"/>
        </w:rPr>
        <w:t>credentials and privileges process, as well as the handling and storage of this information, will be in compliance with the Privacy Act</w:t>
      </w:r>
      <w:r w:rsidRPr="00227A6E" w:rsidR="00D54C55">
        <w:rPr>
          <w:szCs w:val="24"/>
        </w:rPr>
        <w:t xml:space="preserve">. </w:t>
      </w:r>
      <w:r w:rsidR="00590614">
        <w:rPr>
          <w:szCs w:val="24"/>
        </w:rPr>
        <w:t xml:space="preserve"> </w:t>
      </w:r>
      <w:r w:rsidRPr="00227A6E" w:rsidR="00A92EEB">
        <w:rPr>
          <w:szCs w:val="24"/>
        </w:rPr>
        <w:t>To the extent the records are protected by 25 U.S.C. § 1675, the records may only be disclosed in accordance with the exceptions in 25 U.S.C. § 1675(d), (e</w:t>
      </w:r>
      <w:r w:rsidRPr="00227A6E" w:rsidR="00A92EEB">
        <w:rPr>
          <w:szCs w:val="24"/>
        </w:rPr>
        <w:t>)(</w:t>
      </w:r>
      <w:r w:rsidRPr="00227A6E" w:rsidR="00A92EEB">
        <w:rPr>
          <w:szCs w:val="24"/>
        </w:rPr>
        <w:t>2)</w:t>
      </w:r>
      <w:r w:rsidR="005948DF">
        <w:rPr>
          <w:szCs w:val="24"/>
        </w:rPr>
        <w:t>.</w:t>
      </w:r>
    </w:p>
    <w:p w:rsidR="00BF6D81" w14:paraId="4445955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BF6D81" w14:paraId="78BA1C9B" w14:textId="6FF06D8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BF6D81">
        <w:rPr>
          <w:color w:val="000000" w:themeColor="text1"/>
          <w:szCs w:val="24"/>
        </w:rPr>
        <w:t xml:space="preserve">The system shall keep Personally Identifiable Information (PII) data secure per </w:t>
      </w:r>
      <w:r w:rsidR="0001344A">
        <w:rPr>
          <w:color w:val="000000" w:themeColor="text1"/>
          <w:szCs w:val="24"/>
        </w:rPr>
        <w:t>the National Institute of Standards and Technology (</w:t>
      </w:r>
      <w:r w:rsidRPr="00BF6D81">
        <w:rPr>
          <w:color w:val="000000" w:themeColor="text1"/>
          <w:szCs w:val="24"/>
        </w:rPr>
        <w:t>NIST</w:t>
      </w:r>
      <w:r w:rsidR="0001344A">
        <w:rPr>
          <w:color w:val="000000" w:themeColor="text1"/>
          <w:szCs w:val="24"/>
        </w:rPr>
        <w:t>)</w:t>
      </w:r>
      <w:r w:rsidRPr="00BF6D81">
        <w:rPr>
          <w:color w:val="000000" w:themeColor="text1"/>
          <w:szCs w:val="24"/>
        </w:rPr>
        <w:t xml:space="preserve"> 800</w:t>
      </w:r>
      <w:r w:rsidR="00986E3E">
        <w:rPr>
          <w:color w:val="000000" w:themeColor="text1"/>
          <w:szCs w:val="24"/>
        </w:rPr>
        <w:noBreakHyphen/>
      </w:r>
      <w:r w:rsidRPr="00BF6D81">
        <w:rPr>
          <w:color w:val="000000" w:themeColor="text1"/>
          <w:szCs w:val="24"/>
        </w:rPr>
        <w:t xml:space="preserve">53 and </w:t>
      </w:r>
      <w:r w:rsidR="005948DF">
        <w:rPr>
          <w:color w:val="000000" w:themeColor="text1"/>
          <w:szCs w:val="24"/>
        </w:rPr>
        <w:t xml:space="preserve">the </w:t>
      </w:r>
      <w:r w:rsidRPr="00BF6D81">
        <w:rPr>
          <w:color w:val="000000" w:themeColor="text1"/>
          <w:szCs w:val="24"/>
        </w:rPr>
        <w:t>HHS</w:t>
      </w:r>
      <w:r w:rsidR="005948DF">
        <w:rPr>
          <w:color w:val="000000" w:themeColor="text1"/>
          <w:szCs w:val="24"/>
        </w:rPr>
        <w:t xml:space="preserve"> Policy for</w:t>
      </w:r>
      <w:r w:rsidRPr="00BF6D81">
        <w:rPr>
          <w:color w:val="000000" w:themeColor="text1"/>
          <w:szCs w:val="24"/>
        </w:rPr>
        <w:t xml:space="preserve"> Information Security and Privacy P</w:t>
      </w:r>
      <w:r w:rsidR="005948DF">
        <w:rPr>
          <w:color w:val="000000" w:themeColor="text1"/>
          <w:szCs w:val="24"/>
        </w:rPr>
        <w:t>rotection</w:t>
      </w:r>
      <w:r w:rsidRPr="00BF6D81">
        <w:rPr>
          <w:color w:val="000000" w:themeColor="text1"/>
          <w:szCs w:val="24"/>
        </w:rPr>
        <w:t xml:space="preserve"> (HHS OCIO-</w:t>
      </w:r>
      <w:r w:rsidR="005948DF">
        <w:rPr>
          <w:color w:val="000000" w:themeColor="text1"/>
          <w:szCs w:val="24"/>
        </w:rPr>
        <w:t>OIS-</w:t>
      </w:r>
      <w:r w:rsidRPr="00BF6D81">
        <w:rPr>
          <w:color w:val="000000" w:themeColor="text1"/>
          <w:szCs w:val="24"/>
        </w:rPr>
        <w:t>20</w:t>
      </w:r>
      <w:r w:rsidR="005948DF">
        <w:rPr>
          <w:color w:val="000000" w:themeColor="text1"/>
          <w:szCs w:val="24"/>
        </w:rPr>
        <w:t>2</w:t>
      </w:r>
      <w:r w:rsidRPr="00BF6D81">
        <w:rPr>
          <w:color w:val="000000" w:themeColor="text1"/>
          <w:szCs w:val="24"/>
        </w:rPr>
        <w:t>1</w:t>
      </w:r>
      <w:r w:rsidR="00986E3E">
        <w:rPr>
          <w:color w:val="000000" w:themeColor="text1"/>
          <w:szCs w:val="24"/>
        </w:rPr>
        <w:noBreakHyphen/>
      </w:r>
      <w:r w:rsidR="005948DF">
        <w:rPr>
          <w:color w:val="000000" w:themeColor="text1"/>
          <w:szCs w:val="24"/>
        </w:rPr>
        <w:t>11-</w:t>
      </w:r>
      <w:r w:rsidRPr="00BF6D81">
        <w:rPr>
          <w:color w:val="000000" w:themeColor="text1"/>
          <w:szCs w:val="24"/>
        </w:rPr>
        <w:t>00</w:t>
      </w:r>
      <w:r w:rsidR="005948DF">
        <w:rPr>
          <w:color w:val="000000" w:themeColor="text1"/>
          <w:szCs w:val="24"/>
        </w:rPr>
        <w:t>6</w:t>
      </w:r>
      <w:r w:rsidRPr="00BF6D81">
        <w:rPr>
          <w:color w:val="000000" w:themeColor="text1"/>
          <w:szCs w:val="24"/>
        </w:rPr>
        <w:t xml:space="preserve">). </w:t>
      </w:r>
      <w:r w:rsidR="00986E3E">
        <w:rPr>
          <w:color w:val="000000" w:themeColor="text1"/>
          <w:szCs w:val="24"/>
        </w:rPr>
        <w:t xml:space="preserve"> </w:t>
      </w:r>
      <w:r w:rsidRPr="00BF6D81">
        <w:rPr>
          <w:color w:val="000000" w:themeColor="text1"/>
          <w:szCs w:val="24"/>
        </w:rPr>
        <w:t xml:space="preserve">The system shall comply with the Federal Information Security </w:t>
      </w:r>
      <w:r w:rsidR="00372C66">
        <w:rPr>
          <w:color w:val="000000" w:themeColor="text1"/>
          <w:szCs w:val="24"/>
        </w:rPr>
        <w:t xml:space="preserve">Modernization </w:t>
      </w:r>
      <w:r w:rsidRPr="00BF6D81">
        <w:rPr>
          <w:color w:val="000000" w:themeColor="text1"/>
          <w:szCs w:val="24"/>
        </w:rPr>
        <w:t>Act 20</w:t>
      </w:r>
      <w:r w:rsidR="00372C66">
        <w:rPr>
          <w:color w:val="000000" w:themeColor="text1"/>
          <w:szCs w:val="24"/>
        </w:rPr>
        <w:t>14</w:t>
      </w:r>
      <w:r w:rsidRPr="00BF6D81">
        <w:rPr>
          <w:color w:val="000000" w:themeColor="text1"/>
          <w:szCs w:val="24"/>
        </w:rPr>
        <w:t xml:space="preserve"> including the NIST Special Publication (SP) 800 Series and associated Federal Information Processing Standard Publications standards to meet security control baselines supporting data in accordance with FIPS 199, Privacy Act of 19</w:t>
      </w:r>
      <w:r w:rsidR="002C1C00">
        <w:rPr>
          <w:color w:val="000000" w:themeColor="text1"/>
          <w:szCs w:val="24"/>
        </w:rPr>
        <w:t>74</w:t>
      </w:r>
      <w:r w:rsidRPr="00BF6D81">
        <w:rPr>
          <w:color w:val="000000" w:themeColor="text1"/>
          <w:szCs w:val="24"/>
        </w:rPr>
        <w:t xml:space="preserve">, </w:t>
      </w:r>
      <w:r w:rsidR="00487298">
        <w:rPr>
          <w:color w:val="000000" w:themeColor="text1"/>
          <w:szCs w:val="24"/>
        </w:rPr>
        <w:t xml:space="preserve">42 CFR Part 2, </w:t>
      </w:r>
      <w:r w:rsidRPr="00BF6D81">
        <w:rPr>
          <w:color w:val="000000" w:themeColor="text1"/>
          <w:szCs w:val="24"/>
        </w:rPr>
        <w:t xml:space="preserve">the Computer Matching and Privacy Protection Act of 1988, </w:t>
      </w:r>
      <w:r w:rsidR="00B66513">
        <w:rPr>
          <w:color w:val="000000" w:themeColor="text1"/>
          <w:szCs w:val="24"/>
        </w:rPr>
        <w:t xml:space="preserve">and </w:t>
      </w:r>
      <w:r w:rsidRPr="00BF6D81">
        <w:rPr>
          <w:color w:val="000000" w:themeColor="text1"/>
          <w:szCs w:val="24"/>
        </w:rPr>
        <w:t>E-Government Act of 2002.</w:t>
      </w:r>
    </w:p>
    <w:p w:rsidR="00BF6D81" w14:paraId="16E8502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14:paraId="7B8AD5B4" w14:textId="6311C7E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If any physical </w:t>
      </w:r>
      <w:r w:rsidRPr="008E0086">
        <w:rPr>
          <w:color w:val="000000" w:themeColor="text1"/>
          <w:szCs w:val="24"/>
        </w:rPr>
        <w:t>file folders are</w:t>
      </w:r>
      <w:r>
        <w:rPr>
          <w:color w:val="000000" w:themeColor="text1"/>
          <w:szCs w:val="24"/>
        </w:rPr>
        <w:t xml:space="preserve"> used, they are</w:t>
      </w:r>
      <w:r w:rsidRPr="008E0086">
        <w:rPr>
          <w:color w:val="000000" w:themeColor="text1"/>
          <w:szCs w:val="24"/>
        </w:rPr>
        <w:t xml:space="preserve"> secured in locked cabinets and access to them is restricted to staff directly involved with the cre</w:t>
      </w:r>
      <w:r w:rsidRPr="008E0086" w:rsidR="00A97661">
        <w:rPr>
          <w:color w:val="000000" w:themeColor="text1"/>
          <w:szCs w:val="24"/>
        </w:rPr>
        <w:t xml:space="preserve">dentialing/privileging process.  </w:t>
      </w:r>
      <w:r w:rsidRPr="008E0086">
        <w:rPr>
          <w:color w:val="000000" w:themeColor="text1"/>
          <w:szCs w:val="24"/>
        </w:rPr>
        <w:t>The latter may include the medical staff coordinator, the Clinical Director,</w:t>
      </w:r>
      <w:r w:rsidRPr="008E0086" w:rsidR="00D54C55">
        <w:rPr>
          <w:color w:val="000000" w:themeColor="text1"/>
          <w:szCs w:val="24"/>
        </w:rPr>
        <w:t xml:space="preserve"> the Credentials Committee</w:t>
      </w:r>
      <w:r w:rsidR="00501C19">
        <w:rPr>
          <w:color w:val="000000" w:themeColor="text1"/>
          <w:szCs w:val="24"/>
        </w:rPr>
        <w:t xml:space="preserve">, the Medical Executive Committee of the Medical Staff, Quality Managers, </w:t>
      </w:r>
      <w:r w:rsidR="009145F1">
        <w:rPr>
          <w:color w:val="000000" w:themeColor="text1"/>
          <w:szCs w:val="24"/>
        </w:rPr>
        <w:t>Area Directors</w:t>
      </w:r>
      <w:r w:rsidR="00210633">
        <w:rPr>
          <w:color w:val="000000" w:themeColor="text1"/>
          <w:szCs w:val="24"/>
        </w:rPr>
        <w:t>,</w:t>
      </w:r>
      <w:r w:rsidR="009145F1">
        <w:rPr>
          <w:color w:val="000000" w:themeColor="text1"/>
          <w:szCs w:val="24"/>
        </w:rPr>
        <w:t xml:space="preserve"> </w:t>
      </w:r>
      <w:r w:rsidR="00501C19">
        <w:rPr>
          <w:color w:val="000000" w:themeColor="text1"/>
          <w:szCs w:val="24"/>
        </w:rPr>
        <w:t>and members of the Governing Board</w:t>
      </w:r>
      <w:r w:rsidRPr="008E0086" w:rsidR="00D54C55">
        <w:rPr>
          <w:color w:val="000000" w:themeColor="text1"/>
          <w:szCs w:val="24"/>
        </w:rPr>
        <w:t xml:space="preserve">.  </w:t>
      </w:r>
      <w:r w:rsidRPr="008E0086">
        <w:rPr>
          <w:color w:val="000000" w:themeColor="text1"/>
          <w:szCs w:val="24"/>
        </w:rPr>
        <w:t>Elements of the information may be collected and updated by the assigned IHS staff, IHS Area Office staff, or a non-</w:t>
      </w:r>
      <w:r w:rsidR="00210633">
        <w:rPr>
          <w:color w:val="000000" w:themeColor="text1"/>
          <w:szCs w:val="24"/>
        </w:rPr>
        <w:t>F</w:t>
      </w:r>
      <w:r w:rsidRPr="008E0086">
        <w:rPr>
          <w:color w:val="000000" w:themeColor="text1"/>
          <w:szCs w:val="24"/>
        </w:rPr>
        <w:t>ederal credential verifi</w:t>
      </w:r>
      <w:r w:rsidRPr="008E0086" w:rsidR="00D54C55">
        <w:rPr>
          <w:color w:val="000000" w:themeColor="text1"/>
          <w:szCs w:val="24"/>
        </w:rPr>
        <w:t xml:space="preserve">cation service under contract.  </w:t>
      </w:r>
      <w:r w:rsidRPr="008E0086">
        <w:rPr>
          <w:color w:val="000000" w:themeColor="text1"/>
          <w:szCs w:val="24"/>
        </w:rPr>
        <w:t>A</w:t>
      </w:r>
      <w:r w:rsidR="00790D4B">
        <w:rPr>
          <w:color w:val="000000" w:themeColor="text1"/>
          <w:szCs w:val="24"/>
        </w:rPr>
        <w:t>ll a</w:t>
      </w:r>
      <w:r w:rsidRPr="008E0086">
        <w:rPr>
          <w:color w:val="000000" w:themeColor="text1"/>
          <w:szCs w:val="24"/>
        </w:rPr>
        <w:t xml:space="preserve">pplicants sign a release authorizing </w:t>
      </w:r>
      <w:r w:rsidR="00210633">
        <w:rPr>
          <w:color w:val="000000" w:themeColor="text1"/>
          <w:szCs w:val="24"/>
        </w:rPr>
        <w:t xml:space="preserve">the </w:t>
      </w:r>
      <w:r w:rsidRPr="008E0086">
        <w:rPr>
          <w:color w:val="000000" w:themeColor="text1"/>
          <w:szCs w:val="24"/>
        </w:rPr>
        <w:t xml:space="preserve">IHS to verify the information </w:t>
      </w:r>
      <w:r w:rsidRPr="008E0086" w:rsidR="00D54C55">
        <w:rPr>
          <w:color w:val="000000" w:themeColor="text1"/>
          <w:szCs w:val="24"/>
        </w:rPr>
        <w:t xml:space="preserve">submitted </w:t>
      </w:r>
      <w:r w:rsidRPr="008E0086">
        <w:rPr>
          <w:color w:val="000000" w:themeColor="text1"/>
          <w:szCs w:val="24"/>
        </w:rPr>
        <w:t>in their applications, and they are provided a Privacy Act notification statement which describes the authority for collecting the information, the purposes for which it is collected, and the routine use disclosures.</w:t>
      </w:r>
    </w:p>
    <w:p w:rsidR="008E3B16" w:rsidRPr="008E0086" w14:paraId="1835501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P="00A953A7" w14:paraId="7C83DD64" w14:textId="65028BFB">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w:t>
      </w:r>
      <w:r w:rsidRPr="008E0086">
        <w:rPr>
          <w:i/>
          <w:color w:val="000000" w:themeColor="text1"/>
          <w:szCs w:val="24"/>
        </w:rPr>
        <w:t>Indian Health Manual</w:t>
      </w:r>
      <w:r w:rsidRPr="008E0086" w:rsidR="00A51677">
        <w:rPr>
          <w:color w:val="000000" w:themeColor="text1"/>
          <w:szCs w:val="24"/>
        </w:rPr>
        <w:t xml:space="preserve"> c</w:t>
      </w:r>
      <w:r w:rsidRPr="008E0086" w:rsidR="00A97661">
        <w:rPr>
          <w:color w:val="000000" w:themeColor="text1"/>
          <w:szCs w:val="24"/>
        </w:rPr>
        <w:t xml:space="preserve">hapter on medical </w:t>
      </w:r>
      <w:r w:rsidRPr="008E0086">
        <w:rPr>
          <w:color w:val="000000" w:themeColor="text1"/>
          <w:szCs w:val="24"/>
        </w:rPr>
        <w:t>credentialing and privileging addresses th</w:t>
      </w:r>
      <w:r w:rsidRPr="008E0086" w:rsidR="00793487">
        <w:rPr>
          <w:color w:val="000000" w:themeColor="text1"/>
          <w:szCs w:val="24"/>
        </w:rPr>
        <w:t xml:space="preserve">e </w:t>
      </w:r>
      <w:r w:rsidR="007B1CA8">
        <w:rPr>
          <w:color w:val="000000" w:themeColor="text1"/>
          <w:szCs w:val="24"/>
        </w:rPr>
        <w:t>Privacy Act Considerations</w:t>
      </w:r>
      <w:r w:rsidRPr="008E0086" w:rsidR="00793487">
        <w:rPr>
          <w:color w:val="000000" w:themeColor="text1"/>
          <w:szCs w:val="24"/>
        </w:rPr>
        <w:t xml:space="preserve">. </w:t>
      </w:r>
      <w:r w:rsidR="009370A5">
        <w:rPr>
          <w:color w:val="000000" w:themeColor="text1"/>
          <w:szCs w:val="24"/>
        </w:rPr>
        <w:t xml:space="preserve"> </w:t>
      </w:r>
      <w:r w:rsidR="001F175C">
        <w:rPr>
          <w:color w:val="000000" w:themeColor="text1"/>
          <w:szCs w:val="24"/>
        </w:rPr>
        <w:t xml:space="preserve">The </w:t>
      </w:r>
      <w:r w:rsidR="00DD4E73">
        <w:rPr>
          <w:color w:val="000000" w:themeColor="text1"/>
          <w:szCs w:val="24"/>
        </w:rPr>
        <w:t xml:space="preserve">IHS </w:t>
      </w:r>
      <w:r w:rsidR="001F175C">
        <w:rPr>
          <w:color w:val="000000" w:themeColor="text1"/>
          <w:szCs w:val="24"/>
        </w:rPr>
        <w:t xml:space="preserve">SORN </w:t>
      </w:r>
      <w:r w:rsidR="00FD6756">
        <w:rPr>
          <w:color w:val="000000" w:themeColor="text1"/>
          <w:szCs w:val="24"/>
        </w:rPr>
        <w:t>was</w:t>
      </w:r>
      <w:r w:rsidR="001F175C">
        <w:rPr>
          <w:color w:val="000000" w:themeColor="text1"/>
          <w:szCs w:val="24"/>
        </w:rPr>
        <w:t xml:space="preserve"> updated</w:t>
      </w:r>
      <w:r w:rsidRPr="00852FB6" w:rsidR="003418D4">
        <w:rPr>
          <w:color w:val="000000" w:themeColor="text1"/>
          <w:szCs w:val="24"/>
        </w:rPr>
        <w:t xml:space="preserve"> </w:t>
      </w:r>
      <w:r w:rsidRPr="00852FB6" w:rsidR="00BF6D81">
        <w:rPr>
          <w:color w:val="000000" w:themeColor="text1"/>
          <w:szCs w:val="24"/>
        </w:rPr>
        <w:t>for the new system</w:t>
      </w:r>
      <w:r w:rsidR="00B93741">
        <w:rPr>
          <w:color w:val="000000" w:themeColor="text1"/>
          <w:szCs w:val="24"/>
        </w:rPr>
        <w:t xml:space="preserve"> and </w:t>
      </w:r>
      <w:r w:rsidR="00B93741">
        <w:rPr>
          <w:color w:val="000000" w:themeColor="text1"/>
          <w:szCs w:val="24"/>
        </w:rPr>
        <w:t xml:space="preserve">published on </w:t>
      </w:r>
      <w:r w:rsidR="009370A5">
        <w:rPr>
          <w:color w:val="000000" w:themeColor="text1"/>
          <w:szCs w:val="24"/>
        </w:rPr>
        <w:t>May 25, 2023.</w:t>
      </w:r>
    </w:p>
    <w:p w:rsidR="008E3B16" w:rsidRPr="008E0086" w:rsidP="00A82DA3" w14:paraId="1DACF56A" w14:textId="3C9B5AF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rsidP="00414F3C" w14:paraId="0F4F9411" w14:textId="77777777">
      <w:pPr>
        <w:widowControl w:val="0"/>
        <w:numPr>
          <w:ilvl w:val="0"/>
          <w:numId w:val="1"/>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0"/>
        <w:rPr>
          <w:b/>
          <w:color w:val="000000" w:themeColor="text1"/>
          <w:szCs w:val="24"/>
          <w:u w:val="single"/>
        </w:rPr>
      </w:pPr>
      <w:r w:rsidRPr="008E0086">
        <w:rPr>
          <w:b/>
          <w:color w:val="000000" w:themeColor="text1"/>
          <w:szCs w:val="24"/>
          <w:u w:val="single"/>
        </w:rPr>
        <w:t>Justification for Sensitive Questions</w:t>
      </w:r>
    </w:p>
    <w:p w:rsidR="008E3B16" w:rsidRPr="008E0086" w:rsidP="004B0332" w14:paraId="7AEFF84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Cs w:val="24"/>
          <w:u w:val="single"/>
        </w:rPr>
      </w:pPr>
    </w:p>
    <w:p w:rsidR="008E3B16" w:rsidRPr="008E0086" w:rsidP="004B0332" w14:paraId="631402F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Applicants for medical staff membership and privileges provide information of a sensitive</w:t>
      </w:r>
    </w:p>
    <w:p w:rsidR="008E3B16" w:rsidRPr="008E0086" w14:paraId="11C3D6C4" w14:textId="2EFC6CD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nature </w:t>
      </w:r>
      <w:r w:rsidR="00D86B1A">
        <w:rPr>
          <w:color w:val="000000" w:themeColor="text1"/>
          <w:szCs w:val="24"/>
        </w:rPr>
        <w:t xml:space="preserve">including PII and other information </w:t>
      </w:r>
      <w:r w:rsidRPr="008E0086">
        <w:rPr>
          <w:color w:val="000000" w:themeColor="text1"/>
          <w:szCs w:val="24"/>
        </w:rPr>
        <w:t>concerning their professional experience with medical liability or adverse actions, as well as their health status</w:t>
      </w:r>
      <w:r w:rsidR="004609CF">
        <w:rPr>
          <w:color w:val="000000" w:themeColor="text1"/>
          <w:szCs w:val="24"/>
        </w:rPr>
        <w:t>, any criminal activity</w:t>
      </w:r>
      <w:r w:rsidR="009D481D">
        <w:rPr>
          <w:color w:val="000000" w:themeColor="text1"/>
          <w:szCs w:val="24"/>
        </w:rPr>
        <w:t>,</w:t>
      </w:r>
      <w:r w:rsidRPr="008E0086">
        <w:rPr>
          <w:color w:val="000000" w:themeColor="text1"/>
          <w:szCs w:val="24"/>
        </w:rPr>
        <w:t xml:space="preserve"> and any alcohol or drug dependency.  This information is collected, evaluated and verified to ensure that members of IHS medical staff are fully qualified, competent</w:t>
      </w:r>
      <w:r w:rsidR="009D481D">
        <w:rPr>
          <w:color w:val="000000" w:themeColor="text1"/>
          <w:szCs w:val="24"/>
        </w:rPr>
        <w:t>,</w:t>
      </w:r>
      <w:r w:rsidRPr="008E0086">
        <w:rPr>
          <w:color w:val="000000" w:themeColor="text1"/>
          <w:szCs w:val="24"/>
        </w:rPr>
        <w:t xml:space="preserve"> and capable of delivering quality </w:t>
      </w:r>
      <w:r w:rsidR="00D1596D">
        <w:rPr>
          <w:color w:val="000000" w:themeColor="text1"/>
          <w:szCs w:val="24"/>
        </w:rPr>
        <w:t xml:space="preserve">and safe </w:t>
      </w:r>
      <w:r w:rsidRPr="008E0086">
        <w:rPr>
          <w:color w:val="000000" w:themeColor="text1"/>
          <w:szCs w:val="24"/>
        </w:rPr>
        <w:t>health services to patients without any impairment.  By formally applying for IHS medical staff membership and privileges, signing the release statement</w:t>
      </w:r>
      <w:r w:rsidR="009D481D">
        <w:rPr>
          <w:color w:val="000000" w:themeColor="text1"/>
          <w:szCs w:val="24"/>
        </w:rPr>
        <w:t>,</w:t>
      </w:r>
      <w:r w:rsidRPr="008E0086">
        <w:rPr>
          <w:color w:val="000000" w:themeColor="text1"/>
          <w:szCs w:val="24"/>
        </w:rPr>
        <w:t xml:space="preserve"> and receiving the IHS Privacy Act notification statement described in item 10, applicants are informed and provide IHS informed consent to obtain this information and to use this information as described in the Privacy Act notification statement.</w:t>
      </w:r>
    </w:p>
    <w:p w:rsidR="008E3B16" w:rsidRPr="008E0086" w14:paraId="2112E6C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6D2C6EB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Pr>
          <w:b/>
          <w:color w:val="000000" w:themeColor="text1"/>
          <w:szCs w:val="24"/>
        </w:rPr>
        <w:tab/>
      </w:r>
      <w:r w:rsidRPr="00BF6D81">
        <w:rPr>
          <w:b/>
          <w:color w:val="000000" w:themeColor="text1"/>
          <w:szCs w:val="24"/>
        </w:rPr>
        <w:t>12.</w:t>
      </w:r>
      <w:r w:rsidRPr="00BF6D81">
        <w:rPr>
          <w:b/>
          <w:color w:val="000000" w:themeColor="text1"/>
          <w:szCs w:val="24"/>
        </w:rPr>
        <w:tab/>
      </w:r>
      <w:r w:rsidRPr="00BF6D81">
        <w:rPr>
          <w:b/>
          <w:color w:val="000000" w:themeColor="text1"/>
          <w:szCs w:val="24"/>
          <w:u w:val="single"/>
        </w:rPr>
        <w:t xml:space="preserve">Estimates of Annualized </w:t>
      </w:r>
      <w:r w:rsidRPr="00BF6D81" w:rsidR="00574932">
        <w:rPr>
          <w:b/>
          <w:color w:val="000000" w:themeColor="text1"/>
          <w:szCs w:val="24"/>
          <w:u w:val="single"/>
        </w:rPr>
        <w:t>Hour and Cost Burden</w:t>
      </w:r>
    </w:p>
    <w:p w:rsidR="008E3B16" w:rsidRPr="008E0086" w14:paraId="5CA0E13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14:paraId="22EDAAD1" w14:textId="4BE2552B">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table </w:t>
      </w:r>
      <w:r w:rsidR="00712844">
        <w:rPr>
          <w:color w:val="000000" w:themeColor="text1"/>
          <w:szCs w:val="24"/>
        </w:rPr>
        <w:t>in Section 12A</w:t>
      </w:r>
      <w:r w:rsidRPr="008E0086">
        <w:rPr>
          <w:color w:val="000000" w:themeColor="text1"/>
          <w:szCs w:val="24"/>
        </w:rPr>
        <w:t xml:space="preserve"> describes: Types of </w:t>
      </w:r>
      <w:r w:rsidR="008E6601">
        <w:rPr>
          <w:color w:val="000000" w:themeColor="text1"/>
          <w:szCs w:val="24"/>
        </w:rPr>
        <w:t>D</w:t>
      </w:r>
      <w:r w:rsidRPr="008E0086">
        <w:rPr>
          <w:color w:val="000000" w:themeColor="text1"/>
          <w:szCs w:val="24"/>
        </w:rPr>
        <w:t xml:space="preserve">ata </w:t>
      </w:r>
      <w:r w:rsidR="008E6601">
        <w:rPr>
          <w:color w:val="000000" w:themeColor="text1"/>
          <w:szCs w:val="24"/>
        </w:rPr>
        <w:t>C</w:t>
      </w:r>
      <w:r w:rsidRPr="008E0086">
        <w:rPr>
          <w:color w:val="000000" w:themeColor="text1"/>
          <w:szCs w:val="24"/>
        </w:rPr>
        <w:t xml:space="preserve">ollection </w:t>
      </w:r>
      <w:r w:rsidR="008E6601">
        <w:rPr>
          <w:color w:val="000000" w:themeColor="text1"/>
          <w:szCs w:val="24"/>
        </w:rPr>
        <w:t>I</w:t>
      </w:r>
      <w:r w:rsidRPr="008E0086">
        <w:rPr>
          <w:color w:val="000000" w:themeColor="text1"/>
          <w:szCs w:val="24"/>
        </w:rPr>
        <w:t xml:space="preserve">nstruments, </w:t>
      </w:r>
      <w:r w:rsidR="008E6601">
        <w:rPr>
          <w:color w:val="000000" w:themeColor="text1"/>
          <w:szCs w:val="24"/>
        </w:rPr>
        <w:t>E</w:t>
      </w:r>
      <w:r w:rsidRPr="008E0086">
        <w:rPr>
          <w:color w:val="000000" w:themeColor="text1"/>
          <w:szCs w:val="24"/>
        </w:rPr>
        <w:t xml:space="preserve">stimated </w:t>
      </w:r>
      <w:r w:rsidR="008E6601">
        <w:rPr>
          <w:color w:val="000000" w:themeColor="text1"/>
          <w:szCs w:val="24"/>
        </w:rPr>
        <w:t>N</w:t>
      </w:r>
      <w:r w:rsidRPr="008E0086">
        <w:rPr>
          <w:color w:val="000000" w:themeColor="text1"/>
          <w:szCs w:val="24"/>
        </w:rPr>
        <w:t xml:space="preserve">umber of </w:t>
      </w:r>
      <w:r w:rsidR="008E6601">
        <w:rPr>
          <w:color w:val="000000" w:themeColor="text1"/>
          <w:szCs w:val="24"/>
        </w:rPr>
        <w:t>R</w:t>
      </w:r>
      <w:r w:rsidRPr="008E0086">
        <w:rPr>
          <w:color w:val="000000" w:themeColor="text1"/>
          <w:szCs w:val="24"/>
        </w:rPr>
        <w:t xml:space="preserve">espondents, </w:t>
      </w:r>
      <w:r w:rsidR="008E6601">
        <w:rPr>
          <w:color w:val="000000" w:themeColor="text1"/>
          <w:szCs w:val="24"/>
        </w:rPr>
        <w:t>N</w:t>
      </w:r>
      <w:r w:rsidRPr="008E0086">
        <w:rPr>
          <w:color w:val="000000" w:themeColor="text1"/>
          <w:szCs w:val="24"/>
        </w:rPr>
        <w:t xml:space="preserve">umber of </w:t>
      </w:r>
      <w:r w:rsidR="008E6601">
        <w:rPr>
          <w:color w:val="000000" w:themeColor="text1"/>
          <w:szCs w:val="24"/>
        </w:rPr>
        <w:t>R</w:t>
      </w:r>
      <w:r w:rsidRPr="008E0086">
        <w:rPr>
          <w:color w:val="000000" w:themeColor="text1"/>
          <w:szCs w:val="24"/>
        </w:rPr>
        <w:t xml:space="preserve">esponses </w:t>
      </w:r>
      <w:r w:rsidR="008E6601">
        <w:rPr>
          <w:color w:val="000000" w:themeColor="text1"/>
          <w:szCs w:val="24"/>
        </w:rPr>
        <w:t>P</w:t>
      </w:r>
      <w:r w:rsidRPr="008E0086">
        <w:rPr>
          <w:color w:val="000000" w:themeColor="text1"/>
          <w:szCs w:val="24"/>
        </w:rPr>
        <w:t>er</w:t>
      </w:r>
      <w:r w:rsidRPr="008E0086">
        <w:rPr>
          <w:color w:val="000000" w:themeColor="text1"/>
          <w:szCs w:val="24"/>
        </w:rPr>
        <w:t xml:space="preserve"> </w:t>
      </w:r>
      <w:r w:rsidR="008E6601">
        <w:rPr>
          <w:color w:val="000000" w:themeColor="text1"/>
          <w:szCs w:val="24"/>
        </w:rPr>
        <w:t>R</w:t>
      </w:r>
      <w:r w:rsidRPr="008E0086">
        <w:rPr>
          <w:color w:val="000000" w:themeColor="text1"/>
          <w:szCs w:val="24"/>
        </w:rPr>
        <w:t xml:space="preserve">espondent, </w:t>
      </w:r>
      <w:r w:rsidR="008E6601">
        <w:rPr>
          <w:color w:val="000000" w:themeColor="text1"/>
          <w:szCs w:val="24"/>
        </w:rPr>
        <w:t>A</w:t>
      </w:r>
      <w:r w:rsidRPr="008E0086">
        <w:rPr>
          <w:color w:val="000000" w:themeColor="text1"/>
          <w:szCs w:val="24"/>
        </w:rPr>
        <w:t xml:space="preserve">verage </w:t>
      </w:r>
      <w:r w:rsidR="008E6601">
        <w:rPr>
          <w:color w:val="000000" w:themeColor="text1"/>
          <w:szCs w:val="24"/>
        </w:rPr>
        <w:t>B</w:t>
      </w:r>
      <w:r w:rsidRPr="008E0086">
        <w:rPr>
          <w:color w:val="000000" w:themeColor="text1"/>
          <w:szCs w:val="24"/>
        </w:rPr>
        <w:t xml:space="preserve">urden </w:t>
      </w:r>
      <w:r w:rsidR="008E6601">
        <w:rPr>
          <w:color w:val="000000" w:themeColor="text1"/>
          <w:szCs w:val="24"/>
        </w:rPr>
        <w:t>H</w:t>
      </w:r>
      <w:r w:rsidRPr="008E0086">
        <w:rPr>
          <w:color w:val="000000" w:themeColor="text1"/>
          <w:szCs w:val="24"/>
        </w:rPr>
        <w:t xml:space="preserve">our </w:t>
      </w:r>
      <w:r w:rsidR="008E6601">
        <w:rPr>
          <w:color w:val="000000" w:themeColor="text1"/>
          <w:szCs w:val="24"/>
        </w:rPr>
        <w:t>P</w:t>
      </w:r>
      <w:r w:rsidRPr="008E0086">
        <w:rPr>
          <w:color w:val="000000" w:themeColor="text1"/>
          <w:szCs w:val="24"/>
        </w:rPr>
        <w:t xml:space="preserve">er </w:t>
      </w:r>
      <w:r w:rsidR="008E6601">
        <w:rPr>
          <w:color w:val="000000" w:themeColor="text1"/>
          <w:szCs w:val="24"/>
        </w:rPr>
        <w:t>R</w:t>
      </w:r>
      <w:r w:rsidRPr="008E0086">
        <w:rPr>
          <w:color w:val="000000" w:themeColor="text1"/>
          <w:szCs w:val="24"/>
        </w:rPr>
        <w:t xml:space="preserve">esponse, and </w:t>
      </w:r>
      <w:r w:rsidR="008E6601">
        <w:rPr>
          <w:color w:val="000000" w:themeColor="text1"/>
          <w:szCs w:val="24"/>
        </w:rPr>
        <w:t>T</w:t>
      </w:r>
      <w:r w:rsidRPr="008E0086">
        <w:rPr>
          <w:color w:val="000000" w:themeColor="text1"/>
          <w:szCs w:val="24"/>
        </w:rPr>
        <w:t xml:space="preserve">otal </w:t>
      </w:r>
      <w:r w:rsidR="008E6601">
        <w:rPr>
          <w:color w:val="000000" w:themeColor="text1"/>
          <w:szCs w:val="24"/>
        </w:rPr>
        <w:t>A</w:t>
      </w:r>
      <w:r w:rsidRPr="008E0086">
        <w:rPr>
          <w:color w:val="000000" w:themeColor="text1"/>
          <w:szCs w:val="24"/>
        </w:rPr>
        <w:t xml:space="preserve">nnual </w:t>
      </w:r>
      <w:r w:rsidR="008E6601">
        <w:rPr>
          <w:color w:val="000000" w:themeColor="text1"/>
          <w:szCs w:val="24"/>
        </w:rPr>
        <w:t>B</w:t>
      </w:r>
      <w:r w:rsidRPr="008E0086">
        <w:rPr>
          <w:color w:val="000000" w:themeColor="text1"/>
          <w:szCs w:val="24"/>
        </w:rPr>
        <w:t xml:space="preserve">urden </w:t>
      </w:r>
      <w:r w:rsidR="008E6601">
        <w:rPr>
          <w:color w:val="000000" w:themeColor="text1"/>
          <w:szCs w:val="24"/>
        </w:rPr>
        <w:t>H</w:t>
      </w:r>
      <w:r w:rsidRPr="008E0086">
        <w:rPr>
          <w:color w:val="000000" w:themeColor="text1"/>
          <w:szCs w:val="24"/>
        </w:rPr>
        <w:t>ours.</w:t>
      </w:r>
      <w:r w:rsidR="006B1EB8">
        <w:rPr>
          <w:color w:val="000000" w:themeColor="text1"/>
          <w:szCs w:val="24"/>
        </w:rPr>
        <w:t xml:space="preserve"> </w:t>
      </w:r>
      <w:r w:rsidR="00712844">
        <w:rPr>
          <w:color w:val="000000" w:themeColor="text1"/>
          <w:szCs w:val="24"/>
        </w:rPr>
        <w:t xml:space="preserve"> </w:t>
      </w:r>
      <w:r w:rsidRPr="006B1EB8" w:rsidR="006B1EB8">
        <w:rPr>
          <w:color w:val="000000" w:themeColor="text1"/>
          <w:szCs w:val="24"/>
        </w:rPr>
        <w:t xml:space="preserve">The number of respondents corresponds directly with approximate number of credentialed providers currently working directly for </w:t>
      </w:r>
      <w:r w:rsidR="00712844">
        <w:rPr>
          <w:color w:val="000000" w:themeColor="text1"/>
          <w:szCs w:val="24"/>
        </w:rPr>
        <w:t>the</w:t>
      </w:r>
      <w:r w:rsidRPr="006B1EB8" w:rsidR="006B1EB8">
        <w:rPr>
          <w:color w:val="000000" w:themeColor="text1"/>
          <w:szCs w:val="24"/>
        </w:rPr>
        <w:t xml:space="preserve"> IHS. </w:t>
      </w:r>
      <w:r w:rsidR="00947FDB">
        <w:rPr>
          <w:color w:val="000000" w:themeColor="text1"/>
          <w:szCs w:val="24"/>
        </w:rPr>
        <w:t xml:space="preserve"> </w:t>
      </w:r>
      <w:r w:rsidRPr="006B1EB8" w:rsidR="006B1EB8">
        <w:rPr>
          <w:color w:val="000000" w:themeColor="text1"/>
          <w:szCs w:val="24"/>
        </w:rPr>
        <w:t xml:space="preserve">Instruments are completed by health care </w:t>
      </w:r>
      <w:r w:rsidRPr="006B1EB8" w:rsidR="00D86B1A">
        <w:rPr>
          <w:color w:val="000000" w:themeColor="text1"/>
          <w:szCs w:val="24"/>
        </w:rPr>
        <w:t>providers and</w:t>
      </w:r>
      <w:r w:rsidRPr="006B1EB8" w:rsidR="006B1EB8">
        <w:rPr>
          <w:color w:val="000000" w:themeColor="text1"/>
          <w:szCs w:val="24"/>
        </w:rPr>
        <w:t xml:space="preserve"> </w:t>
      </w:r>
      <w:r w:rsidR="00D2188C">
        <w:rPr>
          <w:color w:val="000000" w:themeColor="text1"/>
          <w:szCs w:val="24"/>
        </w:rPr>
        <w:t xml:space="preserve">there are no costs to the respondents. </w:t>
      </w:r>
      <w:r w:rsidRPr="006B1EB8" w:rsidR="006B1EB8">
        <w:rPr>
          <w:color w:val="000000" w:themeColor="text1"/>
          <w:szCs w:val="24"/>
        </w:rPr>
        <w:t xml:space="preserve">   </w:t>
      </w:r>
    </w:p>
    <w:p w:rsidR="008E3B16" w:rsidRPr="008E0086" w14:paraId="12BEDC9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14:paraId="78FB069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P="004B0332" w14:paraId="5139E5F1" w14:textId="31CA1E63">
      <w:pPr>
        <w:pStyle w:val="HTMLPreformatted"/>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Pr="003418D4">
        <w:rPr>
          <w:rFonts w:ascii="Times New Roman" w:hAnsi="Times New Roman" w:cs="Times New Roman"/>
          <w:b/>
          <w:color w:val="000000" w:themeColor="text1"/>
          <w:sz w:val="24"/>
          <w:szCs w:val="24"/>
        </w:rPr>
        <w:t xml:space="preserve">12A. </w:t>
      </w:r>
      <w:r w:rsidRPr="003418D4">
        <w:rPr>
          <w:rFonts w:ascii="Times New Roman" w:hAnsi="Times New Roman" w:cs="Times New Roman"/>
          <w:b/>
          <w:color w:val="000000" w:themeColor="text1"/>
          <w:sz w:val="24"/>
          <w:szCs w:val="24"/>
          <w:u w:val="single"/>
        </w:rPr>
        <w:t>Estimated Annualized Burden Hours</w:t>
      </w:r>
      <w:r w:rsidRPr="008E0086">
        <w:rPr>
          <w:rFonts w:ascii="Times New Roman" w:hAnsi="Times New Roman" w:cs="Times New Roman"/>
          <w:b/>
          <w:color w:val="000000" w:themeColor="text1"/>
          <w:sz w:val="24"/>
          <w:szCs w:val="24"/>
        </w:rPr>
        <w:tab/>
      </w:r>
    </w:p>
    <w:p w:rsidR="00FC5FFA" w:rsidP="004B0332" w14:paraId="31FC968E" w14:textId="4F47D1FC">
      <w:pPr>
        <w:pStyle w:val="HTMLPreformatted"/>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Applicant Documents:</w:t>
      </w:r>
    </w:p>
    <w:p w:rsidR="00556F6C" w:rsidP="00556F6C" w14:paraId="7A02155C" w14:textId="779A1330">
      <w:pPr>
        <w:pStyle w:val="HTMLPreformatted"/>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Pre-Application Package </w:t>
      </w:r>
      <w:r>
        <w:rPr>
          <w:rFonts w:ascii="Times New Roman" w:hAnsi="Times New Roman" w:cs="Times New Roman"/>
          <w:sz w:val="24"/>
          <w:szCs w:val="24"/>
        </w:rPr>
        <w:t>to identify eligibility of potential applicants to receive a full application for medical staf</w:t>
      </w:r>
      <w:r>
        <w:rPr>
          <w:rFonts w:ascii="Times New Roman" w:hAnsi="Times New Roman" w:cs="Times New Roman"/>
          <w:sz w:val="24"/>
          <w:szCs w:val="24"/>
        </w:rPr>
        <w:t>f and</w:t>
      </w:r>
      <w:r>
        <w:rPr>
          <w:rFonts w:ascii="Times New Roman" w:hAnsi="Times New Roman" w:cs="Times New Roman"/>
          <w:sz w:val="24"/>
          <w:szCs w:val="24"/>
        </w:rPr>
        <w:t>/or privileges</w:t>
      </w:r>
      <w:r w:rsidR="00AB0DDF">
        <w:rPr>
          <w:rFonts w:ascii="Times New Roman" w:hAnsi="Times New Roman" w:cs="Times New Roman"/>
          <w:sz w:val="24"/>
          <w:szCs w:val="24"/>
        </w:rPr>
        <w:t xml:space="preserve">. </w:t>
      </w:r>
      <w:r>
        <w:rPr>
          <w:rFonts w:ascii="Times New Roman" w:hAnsi="Times New Roman" w:cs="Times New Roman"/>
          <w:sz w:val="24"/>
          <w:szCs w:val="24"/>
        </w:rPr>
        <w:t xml:space="preserve"> The forms included in this package are:</w:t>
      </w:r>
    </w:p>
    <w:p w:rsidR="007B23D3" w:rsidRPr="007B23D3" w:rsidP="007B23D3" w14:paraId="0B34ED5E" w14:textId="6CDF0A2D">
      <w:pPr>
        <w:pStyle w:val="HTMLPreformatted"/>
        <w:numPr>
          <w:ilvl w:val="1"/>
          <w:numId w:val="7"/>
        </w:numPr>
        <w:spacing w:line="480" w:lineRule="auto"/>
        <w:rPr>
          <w:rFonts w:ascii="Times New Roman" w:hAnsi="Times New Roman" w:cs="Times New Roman"/>
          <w:sz w:val="24"/>
          <w:szCs w:val="24"/>
        </w:rPr>
      </w:pPr>
      <w:r>
        <w:rPr>
          <w:rFonts w:ascii="Times New Roman" w:hAnsi="Times New Roman" w:cs="Times New Roman"/>
          <w:sz w:val="24"/>
          <w:szCs w:val="24"/>
        </w:rPr>
        <w:t>Indian Health Service</w:t>
      </w:r>
      <w:r w:rsidR="00556F6C">
        <w:rPr>
          <w:rFonts w:ascii="Times New Roman" w:hAnsi="Times New Roman" w:cs="Times New Roman"/>
          <w:sz w:val="24"/>
          <w:szCs w:val="24"/>
        </w:rPr>
        <w:t xml:space="preserve"> Pre-Application</w:t>
      </w:r>
    </w:p>
    <w:p w:rsidR="002B3223" w:rsidRPr="002B3223" w:rsidP="002B3223" w14:paraId="1E960529" w14:textId="5033F5B1">
      <w:pPr>
        <w:pStyle w:val="HTMLPreformatted"/>
        <w:numPr>
          <w:ilvl w:val="1"/>
          <w:numId w:val="7"/>
        </w:numPr>
        <w:spacing w:line="480" w:lineRule="auto"/>
        <w:rPr>
          <w:rFonts w:ascii="Times New Roman" w:hAnsi="Times New Roman" w:cs="Times New Roman"/>
          <w:sz w:val="24"/>
          <w:szCs w:val="24"/>
        </w:rPr>
      </w:pPr>
      <w:r>
        <w:rPr>
          <w:rFonts w:ascii="Times New Roman" w:hAnsi="Times New Roman" w:cs="Times New Roman"/>
          <w:sz w:val="24"/>
          <w:szCs w:val="24"/>
        </w:rPr>
        <w:t>I</w:t>
      </w:r>
      <w:r w:rsidR="006840EA">
        <w:rPr>
          <w:rFonts w:ascii="Times New Roman" w:hAnsi="Times New Roman" w:cs="Times New Roman"/>
          <w:sz w:val="24"/>
          <w:szCs w:val="24"/>
        </w:rPr>
        <w:t>ndian Health Service</w:t>
      </w:r>
      <w:r>
        <w:rPr>
          <w:rFonts w:ascii="Times New Roman" w:hAnsi="Times New Roman" w:cs="Times New Roman"/>
          <w:sz w:val="24"/>
          <w:szCs w:val="24"/>
        </w:rPr>
        <w:t xml:space="preserve"> Conditions</w:t>
      </w:r>
      <w:r w:rsidR="00556F6C">
        <w:rPr>
          <w:rFonts w:ascii="Times New Roman" w:hAnsi="Times New Roman" w:cs="Times New Roman"/>
          <w:sz w:val="24"/>
          <w:szCs w:val="24"/>
        </w:rPr>
        <w:t xml:space="preserve"> of </w:t>
      </w:r>
      <w:r>
        <w:rPr>
          <w:rFonts w:ascii="Times New Roman" w:hAnsi="Times New Roman" w:cs="Times New Roman"/>
          <w:sz w:val="24"/>
          <w:szCs w:val="24"/>
        </w:rPr>
        <w:t>Application</w:t>
      </w:r>
      <w:r w:rsidR="00556F6C">
        <w:rPr>
          <w:rFonts w:ascii="Times New Roman" w:hAnsi="Times New Roman" w:cs="Times New Roman"/>
          <w:sz w:val="24"/>
          <w:szCs w:val="24"/>
        </w:rPr>
        <w:t xml:space="preserve"> and Release</w:t>
      </w:r>
      <w:r w:rsidRPr="002B3223">
        <w:rPr>
          <w:rFonts w:ascii="Times New Roman" w:hAnsi="Times New Roman" w:cs="Times New Roman"/>
          <w:sz w:val="24"/>
          <w:szCs w:val="24"/>
        </w:rPr>
        <w:t xml:space="preserve"> </w:t>
      </w:r>
    </w:p>
    <w:p w:rsidR="00C86463" w:rsidP="00556F6C" w14:paraId="302D780E" w14:textId="652EDFC8">
      <w:pPr>
        <w:pStyle w:val="HTMLPreformatted"/>
        <w:numPr>
          <w:ilvl w:val="0"/>
          <w:numId w:val="7"/>
        </w:numPr>
        <w:spacing w:line="480" w:lineRule="auto"/>
        <w:rPr>
          <w:rFonts w:ascii="Times New Roman" w:hAnsi="Times New Roman" w:cs="Times New Roman"/>
          <w:sz w:val="24"/>
          <w:szCs w:val="24"/>
        </w:rPr>
      </w:pPr>
      <w:r w:rsidRPr="00086EAC">
        <w:rPr>
          <w:rFonts w:ascii="Times New Roman" w:hAnsi="Times New Roman" w:cs="Times New Roman"/>
          <w:sz w:val="24"/>
          <w:szCs w:val="24"/>
        </w:rPr>
        <w:t xml:space="preserve">Initial Application </w:t>
      </w:r>
      <w:r>
        <w:rPr>
          <w:rFonts w:ascii="Times New Roman" w:hAnsi="Times New Roman" w:cs="Times New Roman"/>
          <w:sz w:val="24"/>
          <w:szCs w:val="24"/>
        </w:rPr>
        <w:t xml:space="preserve">Package </w:t>
      </w:r>
      <w:r w:rsidRPr="00556F6C" w:rsidR="00556F6C">
        <w:rPr>
          <w:rFonts w:ascii="Times New Roman" w:hAnsi="Times New Roman" w:cs="Times New Roman"/>
          <w:sz w:val="24"/>
          <w:szCs w:val="24"/>
        </w:rPr>
        <w:t>for medical staff and/or privileges</w:t>
      </w:r>
      <w:r w:rsidR="00AB0DDF">
        <w:rPr>
          <w:rFonts w:ascii="Times New Roman" w:hAnsi="Times New Roman" w:cs="Times New Roman"/>
          <w:sz w:val="24"/>
          <w:szCs w:val="24"/>
        </w:rPr>
        <w:t xml:space="preserve">. </w:t>
      </w:r>
      <w:r>
        <w:rPr>
          <w:rFonts w:ascii="Times New Roman" w:hAnsi="Times New Roman" w:cs="Times New Roman"/>
          <w:sz w:val="24"/>
          <w:szCs w:val="24"/>
        </w:rPr>
        <w:t xml:space="preserve"> The forms included in this package are: </w:t>
      </w:r>
    </w:p>
    <w:p w:rsidR="00556F6C" w:rsidP="00556F6C" w14:paraId="73AF5191" w14:textId="524BF989">
      <w:pPr>
        <w:pStyle w:val="HTMLPreformatted"/>
        <w:numPr>
          <w:ilvl w:val="1"/>
          <w:numId w:val="7"/>
        </w:numPr>
        <w:spacing w:line="480" w:lineRule="auto"/>
        <w:rPr>
          <w:rFonts w:ascii="Times New Roman" w:hAnsi="Times New Roman" w:cs="Times New Roman"/>
          <w:sz w:val="24"/>
          <w:szCs w:val="24"/>
        </w:rPr>
      </w:pPr>
      <w:r>
        <w:rPr>
          <w:rFonts w:ascii="Times New Roman" w:hAnsi="Times New Roman" w:cs="Times New Roman"/>
          <w:sz w:val="24"/>
          <w:szCs w:val="24"/>
        </w:rPr>
        <w:t>Indian Health Service</w:t>
      </w:r>
      <w:r>
        <w:rPr>
          <w:rFonts w:ascii="Times New Roman" w:hAnsi="Times New Roman" w:cs="Times New Roman"/>
          <w:sz w:val="24"/>
          <w:szCs w:val="24"/>
        </w:rPr>
        <w:t xml:space="preserve"> Medical Staff </w:t>
      </w:r>
      <w:r w:rsidR="00FC5FFA">
        <w:rPr>
          <w:rFonts w:ascii="Times New Roman" w:hAnsi="Times New Roman" w:cs="Times New Roman"/>
          <w:sz w:val="24"/>
          <w:szCs w:val="24"/>
        </w:rPr>
        <w:t xml:space="preserve">Initial </w:t>
      </w:r>
      <w:r>
        <w:rPr>
          <w:rFonts w:ascii="Times New Roman" w:hAnsi="Times New Roman" w:cs="Times New Roman"/>
          <w:sz w:val="24"/>
          <w:szCs w:val="24"/>
        </w:rPr>
        <w:t>Application and</w:t>
      </w:r>
      <w:r w:rsidR="00C028F5">
        <w:rPr>
          <w:rFonts w:ascii="Times New Roman" w:hAnsi="Times New Roman" w:cs="Times New Roman"/>
          <w:sz w:val="24"/>
          <w:szCs w:val="24"/>
        </w:rPr>
        <w:t>/or</w:t>
      </w:r>
      <w:r>
        <w:rPr>
          <w:rFonts w:ascii="Times New Roman" w:hAnsi="Times New Roman" w:cs="Times New Roman"/>
          <w:sz w:val="24"/>
          <w:szCs w:val="24"/>
        </w:rPr>
        <w:t xml:space="preserve"> Privileges, OMB No. 0917-0009</w:t>
      </w:r>
    </w:p>
    <w:p w:rsidR="007B23D3" w:rsidP="00556F6C" w14:paraId="1148B3D8" w14:textId="47B0DC9A">
      <w:pPr>
        <w:pStyle w:val="HTMLPreformatted"/>
        <w:numPr>
          <w:ilvl w:val="1"/>
          <w:numId w:val="7"/>
        </w:numPr>
        <w:spacing w:line="480" w:lineRule="auto"/>
        <w:rPr>
          <w:rFonts w:ascii="Times New Roman" w:hAnsi="Times New Roman" w:cs="Times New Roman"/>
          <w:sz w:val="24"/>
          <w:szCs w:val="24"/>
        </w:rPr>
      </w:pPr>
      <w:r>
        <w:rPr>
          <w:rFonts w:ascii="Times New Roman" w:hAnsi="Times New Roman" w:cs="Times New Roman"/>
          <w:sz w:val="24"/>
          <w:szCs w:val="24"/>
        </w:rPr>
        <w:t>Indian Health Service</w:t>
      </w:r>
      <w:r w:rsidR="00556F6C">
        <w:rPr>
          <w:rFonts w:ascii="Times New Roman" w:hAnsi="Times New Roman" w:cs="Times New Roman"/>
          <w:sz w:val="24"/>
          <w:szCs w:val="24"/>
        </w:rPr>
        <w:t xml:space="preserve"> Statement of Health</w:t>
      </w:r>
    </w:p>
    <w:p w:rsidR="00556F6C" w:rsidP="002B3223" w14:paraId="55F029B9" w14:textId="2D9A3D59">
      <w:pPr>
        <w:pStyle w:val="HTMLPreformatted"/>
        <w:numPr>
          <w:ilvl w:val="1"/>
          <w:numId w:val="7"/>
        </w:numPr>
        <w:spacing w:line="480" w:lineRule="auto"/>
        <w:rPr>
          <w:rFonts w:ascii="Times New Roman" w:hAnsi="Times New Roman" w:cs="Times New Roman"/>
          <w:sz w:val="24"/>
          <w:szCs w:val="24"/>
        </w:rPr>
      </w:pPr>
      <w:r>
        <w:rPr>
          <w:rFonts w:ascii="Times New Roman" w:hAnsi="Times New Roman" w:cs="Times New Roman"/>
          <w:sz w:val="24"/>
          <w:szCs w:val="24"/>
        </w:rPr>
        <w:t>I</w:t>
      </w:r>
      <w:r w:rsidR="006840EA">
        <w:rPr>
          <w:rFonts w:ascii="Times New Roman" w:hAnsi="Times New Roman" w:cs="Times New Roman"/>
          <w:sz w:val="24"/>
          <w:szCs w:val="24"/>
        </w:rPr>
        <w:t>ndian Health Service</w:t>
      </w:r>
      <w:r>
        <w:rPr>
          <w:rFonts w:ascii="Times New Roman" w:hAnsi="Times New Roman" w:cs="Times New Roman"/>
          <w:sz w:val="24"/>
          <w:szCs w:val="24"/>
        </w:rPr>
        <w:t xml:space="preserve"> Conditions of Application and Release</w:t>
      </w:r>
      <w:r w:rsidR="009B50A9">
        <w:rPr>
          <w:rFonts w:ascii="Times New Roman" w:hAnsi="Times New Roman" w:cs="Times New Roman"/>
          <w:sz w:val="24"/>
          <w:szCs w:val="24"/>
        </w:rPr>
        <w:t xml:space="preserve"> </w:t>
      </w:r>
    </w:p>
    <w:p w:rsidR="00C86463" w:rsidP="00556F6C" w14:paraId="7E39BC53" w14:textId="1FFEC9D7">
      <w:pPr>
        <w:pStyle w:val="HTMLPreformatted"/>
        <w:numPr>
          <w:ilvl w:val="0"/>
          <w:numId w:val="7"/>
        </w:numPr>
        <w:spacing w:line="480" w:lineRule="auto"/>
        <w:rPr>
          <w:rFonts w:ascii="Times New Roman" w:hAnsi="Times New Roman" w:cs="Times New Roman"/>
          <w:sz w:val="24"/>
          <w:szCs w:val="24"/>
        </w:rPr>
      </w:pPr>
      <w:r w:rsidRPr="00086EAC">
        <w:rPr>
          <w:rFonts w:ascii="Times New Roman" w:hAnsi="Times New Roman" w:cs="Times New Roman"/>
          <w:sz w:val="24"/>
          <w:szCs w:val="24"/>
        </w:rPr>
        <w:t>Reappointment Application</w:t>
      </w:r>
      <w:r>
        <w:rPr>
          <w:rFonts w:ascii="Times New Roman" w:hAnsi="Times New Roman" w:cs="Times New Roman"/>
          <w:sz w:val="24"/>
          <w:szCs w:val="24"/>
        </w:rPr>
        <w:t xml:space="preserve"> Package</w:t>
      </w:r>
      <w:r w:rsidRPr="00086EAC">
        <w:rPr>
          <w:rFonts w:ascii="Times New Roman" w:hAnsi="Times New Roman" w:cs="Times New Roman"/>
          <w:sz w:val="24"/>
          <w:szCs w:val="24"/>
        </w:rPr>
        <w:t xml:space="preserve"> </w:t>
      </w:r>
      <w:r w:rsidR="00FC5FFA">
        <w:rPr>
          <w:rFonts w:ascii="Times New Roman" w:hAnsi="Times New Roman" w:cs="Times New Roman"/>
          <w:sz w:val="24"/>
          <w:szCs w:val="24"/>
        </w:rPr>
        <w:t>f</w:t>
      </w:r>
      <w:r w:rsidRPr="00086EAC">
        <w:rPr>
          <w:rFonts w:ascii="Times New Roman" w:hAnsi="Times New Roman" w:cs="Times New Roman"/>
          <w:sz w:val="24"/>
          <w:szCs w:val="24"/>
        </w:rPr>
        <w:t>o</w:t>
      </w:r>
      <w:r w:rsidR="00FC5FFA">
        <w:rPr>
          <w:rFonts w:ascii="Times New Roman" w:hAnsi="Times New Roman" w:cs="Times New Roman"/>
          <w:sz w:val="24"/>
          <w:szCs w:val="24"/>
        </w:rPr>
        <w:t>r</w:t>
      </w:r>
      <w:r w:rsidRPr="00086EAC">
        <w:rPr>
          <w:rFonts w:ascii="Times New Roman" w:hAnsi="Times New Roman" w:cs="Times New Roman"/>
          <w:sz w:val="24"/>
          <w:szCs w:val="24"/>
        </w:rPr>
        <w:t xml:space="preserve"> </w:t>
      </w:r>
      <w:r w:rsidR="00FC5FFA">
        <w:rPr>
          <w:rFonts w:ascii="Times New Roman" w:hAnsi="Times New Roman" w:cs="Times New Roman"/>
          <w:sz w:val="24"/>
          <w:szCs w:val="24"/>
        </w:rPr>
        <w:t>m</w:t>
      </w:r>
      <w:r w:rsidRPr="00086EAC">
        <w:rPr>
          <w:rFonts w:ascii="Times New Roman" w:hAnsi="Times New Roman" w:cs="Times New Roman"/>
          <w:sz w:val="24"/>
          <w:szCs w:val="24"/>
        </w:rPr>
        <w:t xml:space="preserve">edical </w:t>
      </w:r>
      <w:r w:rsidR="00FC5FFA">
        <w:rPr>
          <w:rFonts w:ascii="Times New Roman" w:hAnsi="Times New Roman" w:cs="Times New Roman"/>
          <w:sz w:val="24"/>
          <w:szCs w:val="24"/>
        </w:rPr>
        <w:t>s</w:t>
      </w:r>
      <w:r w:rsidRPr="00086EAC">
        <w:rPr>
          <w:rFonts w:ascii="Times New Roman" w:hAnsi="Times New Roman" w:cs="Times New Roman"/>
          <w:sz w:val="24"/>
          <w:szCs w:val="24"/>
        </w:rPr>
        <w:t>taff</w:t>
      </w:r>
      <w:r w:rsidR="0010476D">
        <w:rPr>
          <w:rFonts w:ascii="Times New Roman" w:hAnsi="Times New Roman" w:cs="Times New Roman"/>
          <w:sz w:val="24"/>
          <w:szCs w:val="24"/>
        </w:rPr>
        <w:t xml:space="preserve">. </w:t>
      </w:r>
      <w:r>
        <w:rPr>
          <w:rFonts w:ascii="Times New Roman" w:hAnsi="Times New Roman" w:cs="Times New Roman"/>
          <w:sz w:val="24"/>
          <w:szCs w:val="24"/>
        </w:rPr>
        <w:t xml:space="preserve"> The forms included in this package are:</w:t>
      </w:r>
    </w:p>
    <w:p w:rsidR="00FC5FFA" w:rsidP="00FC5FFA" w14:paraId="18857009" w14:textId="0C91F60E">
      <w:pPr>
        <w:pStyle w:val="HTMLPreformatted"/>
        <w:numPr>
          <w:ilvl w:val="1"/>
          <w:numId w:val="7"/>
        </w:numPr>
        <w:spacing w:line="480" w:lineRule="auto"/>
        <w:rPr>
          <w:rFonts w:ascii="Times New Roman" w:hAnsi="Times New Roman" w:cs="Times New Roman"/>
          <w:sz w:val="24"/>
          <w:szCs w:val="24"/>
        </w:rPr>
      </w:pPr>
      <w:r>
        <w:rPr>
          <w:rFonts w:ascii="Times New Roman" w:hAnsi="Times New Roman" w:cs="Times New Roman"/>
          <w:sz w:val="24"/>
          <w:szCs w:val="24"/>
        </w:rPr>
        <w:t>Indian Health Service</w:t>
      </w:r>
      <w:r>
        <w:rPr>
          <w:rFonts w:ascii="Times New Roman" w:hAnsi="Times New Roman" w:cs="Times New Roman"/>
          <w:sz w:val="24"/>
          <w:szCs w:val="24"/>
        </w:rPr>
        <w:t xml:space="preserve"> Medical Staff Reappointment Application and Privileges</w:t>
      </w:r>
    </w:p>
    <w:p w:rsidR="00FC5FFA" w:rsidP="00FC5FFA" w14:paraId="324EE87D" w14:textId="56992C5C">
      <w:pPr>
        <w:pStyle w:val="HTMLPreformatted"/>
        <w:numPr>
          <w:ilvl w:val="1"/>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Indian Health Service </w:t>
      </w:r>
      <w:r>
        <w:rPr>
          <w:rFonts w:ascii="Times New Roman" w:hAnsi="Times New Roman" w:cs="Times New Roman"/>
          <w:sz w:val="24"/>
          <w:szCs w:val="24"/>
        </w:rPr>
        <w:t>Statement of Health</w:t>
      </w:r>
    </w:p>
    <w:p w:rsidR="002B3223" w:rsidRPr="002B3223" w:rsidP="002B3223" w14:paraId="2E3F6339" w14:textId="01DEF305">
      <w:pPr>
        <w:pStyle w:val="HTMLPreformatted"/>
        <w:numPr>
          <w:ilvl w:val="1"/>
          <w:numId w:val="7"/>
        </w:numPr>
        <w:spacing w:line="480" w:lineRule="auto"/>
        <w:rPr>
          <w:rFonts w:ascii="Times New Roman" w:hAnsi="Times New Roman" w:cs="Times New Roman"/>
          <w:sz w:val="24"/>
          <w:szCs w:val="24"/>
        </w:rPr>
      </w:pPr>
      <w:r>
        <w:rPr>
          <w:rFonts w:ascii="Times New Roman" w:hAnsi="Times New Roman" w:cs="Times New Roman"/>
          <w:sz w:val="24"/>
          <w:szCs w:val="24"/>
        </w:rPr>
        <w:t>I</w:t>
      </w:r>
      <w:r w:rsidR="006840EA">
        <w:rPr>
          <w:rFonts w:ascii="Times New Roman" w:hAnsi="Times New Roman" w:cs="Times New Roman"/>
          <w:sz w:val="24"/>
          <w:szCs w:val="24"/>
        </w:rPr>
        <w:t>ndian Health Service</w:t>
      </w:r>
      <w:r>
        <w:rPr>
          <w:rFonts w:ascii="Times New Roman" w:hAnsi="Times New Roman" w:cs="Times New Roman"/>
          <w:sz w:val="24"/>
          <w:szCs w:val="24"/>
        </w:rPr>
        <w:t xml:space="preserve"> </w:t>
      </w:r>
      <w:r w:rsidR="00F974BF">
        <w:rPr>
          <w:rFonts w:ascii="Times New Roman" w:hAnsi="Times New Roman" w:cs="Times New Roman"/>
          <w:sz w:val="24"/>
          <w:szCs w:val="24"/>
        </w:rPr>
        <w:t>Conditions</w:t>
      </w:r>
      <w:r>
        <w:rPr>
          <w:rFonts w:ascii="Times New Roman" w:hAnsi="Times New Roman" w:cs="Times New Roman"/>
          <w:sz w:val="24"/>
          <w:szCs w:val="24"/>
        </w:rPr>
        <w:t xml:space="preserve"> of </w:t>
      </w:r>
      <w:r w:rsidR="00F974BF">
        <w:rPr>
          <w:rFonts w:ascii="Times New Roman" w:hAnsi="Times New Roman" w:cs="Times New Roman"/>
          <w:sz w:val="24"/>
          <w:szCs w:val="24"/>
        </w:rPr>
        <w:t>Application</w:t>
      </w:r>
      <w:r>
        <w:rPr>
          <w:rFonts w:ascii="Times New Roman" w:hAnsi="Times New Roman" w:cs="Times New Roman"/>
          <w:sz w:val="24"/>
          <w:szCs w:val="24"/>
        </w:rPr>
        <w:t xml:space="preserve"> and Release</w:t>
      </w:r>
    </w:p>
    <w:p w:rsidR="00FF097A" w:rsidP="00556F6C" w14:paraId="7DA5222B" w14:textId="35A3BD08">
      <w:pPr>
        <w:pStyle w:val="HTMLPreformatted"/>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Credentialing by Proxy</w:t>
      </w:r>
      <w:r w:rsidR="0067646E">
        <w:rPr>
          <w:rFonts w:ascii="Times New Roman" w:hAnsi="Times New Roman" w:cs="Times New Roman"/>
          <w:sz w:val="24"/>
          <w:szCs w:val="24"/>
        </w:rPr>
        <w:t xml:space="preserve"> </w:t>
      </w:r>
      <w:r>
        <w:rPr>
          <w:rFonts w:ascii="Times New Roman" w:hAnsi="Times New Roman" w:cs="Times New Roman"/>
          <w:sz w:val="24"/>
          <w:szCs w:val="24"/>
        </w:rPr>
        <w:t>Intake Form</w:t>
      </w:r>
      <w:r w:rsidR="00B85296">
        <w:rPr>
          <w:rFonts w:ascii="Times New Roman" w:hAnsi="Times New Roman" w:cs="Times New Roman"/>
          <w:sz w:val="24"/>
          <w:szCs w:val="24"/>
        </w:rPr>
        <w:t xml:space="preserve"> for medical staff. </w:t>
      </w:r>
      <w:r w:rsidR="00947FDB">
        <w:rPr>
          <w:rFonts w:ascii="Times New Roman" w:hAnsi="Times New Roman" w:cs="Times New Roman"/>
          <w:sz w:val="24"/>
          <w:szCs w:val="24"/>
        </w:rPr>
        <w:t xml:space="preserve"> </w:t>
      </w:r>
      <w:r w:rsidR="00B85296">
        <w:rPr>
          <w:rFonts w:ascii="Times New Roman" w:hAnsi="Times New Roman" w:cs="Times New Roman"/>
          <w:sz w:val="24"/>
          <w:szCs w:val="24"/>
        </w:rPr>
        <w:t>The forms included in this package are:</w:t>
      </w:r>
    </w:p>
    <w:p w:rsidR="00B85296" w:rsidP="0013468C" w14:paraId="39EB550D" w14:textId="53BE7656">
      <w:pPr>
        <w:pStyle w:val="HTMLPreformatted"/>
        <w:numPr>
          <w:ilvl w:val="1"/>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Indian Health Service </w:t>
      </w:r>
      <w:r w:rsidR="0067646E">
        <w:rPr>
          <w:rFonts w:ascii="Times New Roman" w:hAnsi="Times New Roman" w:cs="Times New Roman"/>
          <w:sz w:val="24"/>
          <w:szCs w:val="24"/>
        </w:rPr>
        <w:t>CBP</w:t>
      </w:r>
      <w:r>
        <w:rPr>
          <w:rFonts w:ascii="Times New Roman" w:hAnsi="Times New Roman" w:cs="Times New Roman"/>
          <w:sz w:val="24"/>
          <w:szCs w:val="24"/>
        </w:rPr>
        <w:t xml:space="preserve"> Intake Form</w:t>
      </w:r>
      <w:r w:rsidR="00591863">
        <w:rPr>
          <w:rFonts w:ascii="Times New Roman" w:hAnsi="Times New Roman" w:cs="Times New Roman"/>
          <w:sz w:val="24"/>
          <w:szCs w:val="24"/>
        </w:rPr>
        <w:t xml:space="preserve"> </w:t>
      </w:r>
    </w:p>
    <w:p w:rsidR="00B85296" w:rsidP="0013468C" w14:paraId="27EE9DEF" w14:textId="05BECB98">
      <w:pPr>
        <w:pStyle w:val="HTMLPreformatted"/>
        <w:numPr>
          <w:ilvl w:val="1"/>
          <w:numId w:val="7"/>
        </w:numPr>
        <w:spacing w:line="480" w:lineRule="auto"/>
        <w:rPr>
          <w:rFonts w:ascii="Times New Roman" w:hAnsi="Times New Roman" w:cs="Times New Roman"/>
          <w:sz w:val="24"/>
          <w:szCs w:val="24"/>
        </w:rPr>
      </w:pPr>
      <w:r>
        <w:rPr>
          <w:rFonts w:ascii="Times New Roman" w:hAnsi="Times New Roman" w:cs="Times New Roman"/>
          <w:sz w:val="24"/>
          <w:szCs w:val="24"/>
        </w:rPr>
        <w:t>I</w:t>
      </w:r>
      <w:r w:rsidR="006840EA">
        <w:rPr>
          <w:rFonts w:ascii="Times New Roman" w:hAnsi="Times New Roman" w:cs="Times New Roman"/>
          <w:sz w:val="24"/>
          <w:szCs w:val="24"/>
        </w:rPr>
        <w:t>ndian Health Service</w:t>
      </w:r>
      <w:r>
        <w:rPr>
          <w:rFonts w:ascii="Times New Roman" w:hAnsi="Times New Roman" w:cs="Times New Roman"/>
          <w:sz w:val="24"/>
          <w:szCs w:val="24"/>
        </w:rPr>
        <w:t xml:space="preserve"> Conditions of Application and Release</w:t>
      </w:r>
    </w:p>
    <w:p w:rsidR="00FC5FFA" w:rsidRPr="001F175C" w:rsidP="00FC5FFA" w14:paraId="57F07507" w14:textId="4E646980">
      <w:pPr>
        <w:pStyle w:val="HTMLPreformatted"/>
        <w:spacing w:line="480" w:lineRule="auto"/>
        <w:rPr>
          <w:rFonts w:ascii="Times New Roman" w:hAnsi="Times New Roman" w:cs="Times New Roman"/>
          <w:b/>
          <w:sz w:val="24"/>
          <w:szCs w:val="24"/>
        </w:rPr>
      </w:pPr>
      <w:r w:rsidRPr="001F175C">
        <w:rPr>
          <w:rFonts w:ascii="Times New Roman" w:hAnsi="Times New Roman" w:cs="Times New Roman"/>
          <w:b/>
          <w:sz w:val="24"/>
          <w:szCs w:val="24"/>
        </w:rPr>
        <w:t>Verification Request Documents:</w:t>
      </w:r>
    </w:p>
    <w:p w:rsidR="00C86463" w:rsidRPr="00C86463" w:rsidP="00C86463" w14:paraId="22530F8C" w14:textId="15EAAE08">
      <w:pPr>
        <w:pStyle w:val="HTMLPreformatted"/>
        <w:numPr>
          <w:ilvl w:val="0"/>
          <w:numId w:val="7"/>
        </w:numPr>
        <w:spacing w:line="480" w:lineRule="auto"/>
        <w:rPr>
          <w:rFonts w:ascii="Times New Roman" w:hAnsi="Times New Roman" w:cs="Times New Roman"/>
          <w:sz w:val="24"/>
          <w:szCs w:val="24"/>
        </w:rPr>
      </w:pPr>
      <w:r w:rsidRPr="00C86463">
        <w:rPr>
          <w:rFonts w:ascii="Times New Roman" w:hAnsi="Times New Roman" w:cs="Times New Roman"/>
          <w:sz w:val="24"/>
          <w:szCs w:val="24"/>
        </w:rPr>
        <w:t>Affiliation Verification</w:t>
      </w:r>
    </w:p>
    <w:p w:rsidR="00C86463" w:rsidRPr="00C86463" w:rsidP="00C86463" w14:paraId="67881FAF" w14:textId="67231E67">
      <w:pPr>
        <w:pStyle w:val="HTMLPreformatted"/>
        <w:numPr>
          <w:ilvl w:val="0"/>
          <w:numId w:val="7"/>
        </w:numPr>
        <w:spacing w:line="480" w:lineRule="auto"/>
        <w:rPr>
          <w:rFonts w:ascii="Times New Roman" w:hAnsi="Times New Roman" w:cs="Times New Roman"/>
          <w:sz w:val="24"/>
          <w:szCs w:val="24"/>
        </w:rPr>
      </w:pPr>
      <w:r w:rsidRPr="00C86463">
        <w:rPr>
          <w:rFonts w:ascii="Times New Roman" w:hAnsi="Times New Roman" w:cs="Times New Roman"/>
          <w:sz w:val="24"/>
          <w:szCs w:val="24"/>
        </w:rPr>
        <w:t>Education Verification</w:t>
      </w:r>
    </w:p>
    <w:p w:rsidR="00C86463" w:rsidP="00FC5FFA" w14:paraId="35BF0FA1" w14:textId="495249C8">
      <w:pPr>
        <w:pStyle w:val="HTMLPreformatted"/>
        <w:numPr>
          <w:ilvl w:val="0"/>
          <w:numId w:val="7"/>
        </w:numPr>
        <w:spacing w:line="480" w:lineRule="auto"/>
        <w:rPr>
          <w:rFonts w:ascii="Times New Roman" w:hAnsi="Times New Roman" w:cs="Times New Roman"/>
          <w:sz w:val="24"/>
          <w:szCs w:val="24"/>
        </w:rPr>
      </w:pPr>
      <w:r w:rsidRPr="00C86463">
        <w:rPr>
          <w:rFonts w:ascii="Times New Roman" w:hAnsi="Times New Roman" w:cs="Times New Roman"/>
          <w:sz w:val="24"/>
          <w:szCs w:val="24"/>
        </w:rPr>
        <w:t>Malpractice</w:t>
      </w:r>
      <w:r>
        <w:rPr>
          <w:rFonts w:ascii="Times New Roman" w:hAnsi="Times New Roman" w:cs="Times New Roman"/>
          <w:sz w:val="24"/>
          <w:szCs w:val="24"/>
        </w:rPr>
        <w:t xml:space="preserve"> </w:t>
      </w:r>
      <w:r w:rsidRPr="00C86463">
        <w:rPr>
          <w:rFonts w:ascii="Times New Roman" w:hAnsi="Times New Roman" w:cs="Times New Roman"/>
          <w:sz w:val="24"/>
          <w:szCs w:val="24"/>
        </w:rPr>
        <w:t>Verification</w:t>
      </w:r>
    </w:p>
    <w:p w:rsidR="00FC5FFA" w:rsidRPr="00C86463" w:rsidP="00FC5FFA" w14:paraId="1F5EFF57" w14:textId="1A4C046F">
      <w:pPr>
        <w:pStyle w:val="HTMLPreformatted"/>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Peer Reference</w:t>
      </w:r>
    </w:p>
    <w:p w:rsidR="00F418A2" w14:paraId="353722D9" w14:textId="2A469E00">
      <w:pPr>
        <w:rPr>
          <w:color w:val="000000" w:themeColor="text1"/>
          <w:szCs w:val="24"/>
        </w:rPr>
      </w:pPr>
      <w:r>
        <w:rPr>
          <w:color w:val="000000" w:themeColor="text1"/>
          <w:szCs w:val="24"/>
        </w:rPr>
        <w:br w:type="page"/>
      </w:r>
    </w:p>
    <w:tbl>
      <w:tblPr>
        <w:tblW w:w="49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2"/>
        <w:gridCol w:w="1555"/>
        <w:gridCol w:w="1689"/>
        <w:gridCol w:w="1693"/>
        <w:gridCol w:w="2121"/>
      </w:tblGrid>
      <w:tr w14:paraId="562CB1ED" w14:textId="77777777" w:rsidTr="00006DAB">
        <w:tblPrEx>
          <w:tblW w:w="49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56" w:type="pct"/>
            <w:vAlign w:val="center"/>
          </w:tcPr>
          <w:p w:rsidR="007852F3" w:rsidRPr="00591948" w:rsidP="008F19E9" w14:paraId="6E862809" w14:textId="77777777">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Data Collection Instrument(s)</w:t>
            </w:r>
          </w:p>
        </w:tc>
        <w:tc>
          <w:tcPr>
            <w:tcW w:w="847" w:type="pct"/>
            <w:vAlign w:val="center"/>
          </w:tcPr>
          <w:p w:rsidR="007852F3" w:rsidRPr="00591948" w:rsidP="008F19E9" w14:paraId="2BBACC58" w14:textId="77777777">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Estimated Number of Respondents</w:t>
            </w:r>
          </w:p>
        </w:tc>
        <w:tc>
          <w:tcPr>
            <w:tcW w:w="920" w:type="pct"/>
            <w:vAlign w:val="center"/>
          </w:tcPr>
          <w:p w:rsidR="007852F3" w:rsidRPr="00591948" w:rsidP="00EB3368" w14:paraId="383E152D" w14:textId="4BE06212">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 xml:space="preserve">Responses </w:t>
            </w:r>
            <w:r w:rsidR="00EB3368">
              <w:rPr>
                <w:rFonts w:ascii="Times New Roman" w:hAnsi="Times New Roman" w:cs="Times New Roman"/>
                <w:sz w:val="24"/>
                <w:szCs w:val="24"/>
              </w:rPr>
              <w:t>P</w:t>
            </w:r>
            <w:r w:rsidRPr="00591948" w:rsidR="00EB3368">
              <w:rPr>
                <w:rFonts w:ascii="Times New Roman" w:hAnsi="Times New Roman" w:cs="Times New Roman"/>
                <w:sz w:val="24"/>
                <w:szCs w:val="24"/>
              </w:rPr>
              <w:t xml:space="preserve">er </w:t>
            </w:r>
            <w:r w:rsidRPr="00591948">
              <w:rPr>
                <w:rFonts w:ascii="Times New Roman" w:hAnsi="Times New Roman" w:cs="Times New Roman"/>
                <w:sz w:val="24"/>
                <w:szCs w:val="24"/>
              </w:rPr>
              <w:t>Respondent</w:t>
            </w:r>
          </w:p>
        </w:tc>
        <w:tc>
          <w:tcPr>
            <w:tcW w:w="922" w:type="pct"/>
            <w:vAlign w:val="center"/>
          </w:tcPr>
          <w:p w:rsidR="007852F3" w:rsidRPr="00591948" w:rsidP="008F19E9" w14:paraId="40BF2495" w14:textId="7A1F3403">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 xml:space="preserve">Average Burden Hour </w:t>
            </w:r>
            <w:r w:rsidR="00C446C9">
              <w:rPr>
                <w:rFonts w:ascii="Times New Roman" w:hAnsi="Times New Roman" w:cs="Times New Roman"/>
                <w:sz w:val="24"/>
                <w:szCs w:val="24"/>
              </w:rPr>
              <w:t>P</w:t>
            </w:r>
            <w:r w:rsidRPr="00591948">
              <w:rPr>
                <w:rFonts w:ascii="Times New Roman" w:hAnsi="Times New Roman" w:cs="Times New Roman"/>
                <w:sz w:val="24"/>
                <w:szCs w:val="24"/>
              </w:rPr>
              <w:t>er Response*</w:t>
            </w:r>
          </w:p>
        </w:tc>
        <w:tc>
          <w:tcPr>
            <w:tcW w:w="1155" w:type="pct"/>
            <w:vAlign w:val="center"/>
          </w:tcPr>
          <w:p w:rsidR="007852F3" w:rsidP="008F19E9" w14:paraId="7FEB3BAC" w14:textId="77777777">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 xml:space="preserve">Total Annual Burden </w:t>
            </w:r>
          </w:p>
          <w:p w:rsidR="007852F3" w:rsidRPr="00591948" w:rsidP="008F19E9" w14:paraId="7E5D23A0" w14:textId="1A1B5160">
            <w:pPr>
              <w:pStyle w:val="HTMLPreformatted"/>
              <w:jc w:val="center"/>
              <w:rPr>
                <w:rFonts w:ascii="Times New Roman" w:hAnsi="Times New Roman" w:cs="Times New Roman"/>
                <w:sz w:val="24"/>
                <w:szCs w:val="24"/>
              </w:rPr>
            </w:pPr>
            <w:r>
              <w:rPr>
                <w:rFonts w:ascii="Times New Roman" w:hAnsi="Times New Roman" w:cs="Times New Roman"/>
                <w:sz w:val="24"/>
                <w:szCs w:val="24"/>
              </w:rPr>
              <w:t>(</w:t>
            </w:r>
            <w:r w:rsidR="00C446C9">
              <w:rPr>
                <w:rFonts w:ascii="Times New Roman" w:hAnsi="Times New Roman" w:cs="Times New Roman"/>
                <w:sz w:val="24"/>
                <w:szCs w:val="24"/>
              </w:rPr>
              <w:t>C</w:t>
            </w:r>
            <w:r>
              <w:rPr>
                <w:rFonts w:ascii="Times New Roman" w:hAnsi="Times New Roman" w:cs="Times New Roman"/>
                <w:sz w:val="24"/>
                <w:szCs w:val="24"/>
              </w:rPr>
              <w:t>urrent)</w:t>
            </w:r>
            <w:r w:rsidR="00414D4C">
              <w:rPr>
                <w:rFonts w:ascii="Times New Roman" w:hAnsi="Times New Roman" w:cs="Times New Roman"/>
                <w:sz w:val="24"/>
                <w:szCs w:val="24"/>
              </w:rPr>
              <w:t>*</w:t>
            </w:r>
            <w:r w:rsidR="00D471AA">
              <w:rPr>
                <w:rFonts w:ascii="Times New Roman" w:hAnsi="Times New Roman" w:cs="Times New Roman"/>
                <w:sz w:val="24"/>
                <w:szCs w:val="24"/>
              </w:rPr>
              <w:t>*</w:t>
            </w:r>
            <w:r>
              <w:rPr>
                <w:rFonts w:ascii="Times New Roman" w:hAnsi="Times New Roman" w:cs="Times New Roman"/>
                <w:sz w:val="24"/>
                <w:szCs w:val="24"/>
              </w:rPr>
              <w:t xml:space="preserve"> </w:t>
            </w:r>
          </w:p>
        </w:tc>
      </w:tr>
      <w:tr w14:paraId="2337E091" w14:textId="77777777" w:rsidTr="00006DAB">
        <w:tblPrEx>
          <w:tblW w:w="4909" w:type="pct"/>
          <w:tblInd w:w="-5" w:type="dxa"/>
          <w:tblLook w:val="01E0"/>
        </w:tblPrEx>
        <w:tc>
          <w:tcPr>
            <w:tcW w:w="1156" w:type="pct"/>
            <w:vAlign w:val="center"/>
          </w:tcPr>
          <w:p w:rsidR="004609CF" w:rsidRPr="00086EAC" w:rsidP="00006DAB" w14:paraId="0AF22886" w14:textId="4ED29839">
            <w:pPr>
              <w:pStyle w:val="HTMLPreformatted"/>
              <w:rPr>
                <w:rFonts w:ascii="Times New Roman" w:hAnsi="Times New Roman" w:cs="Times New Roman"/>
                <w:sz w:val="24"/>
                <w:szCs w:val="24"/>
              </w:rPr>
            </w:pPr>
            <w:r>
              <w:rPr>
                <w:rFonts w:ascii="Times New Roman" w:hAnsi="Times New Roman" w:cs="Times New Roman"/>
                <w:sz w:val="24"/>
                <w:szCs w:val="24"/>
              </w:rPr>
              <w:t xml:space="preserve">Pre-Application Package to Medical Staff </w:t>
            </w:r>
          </w:p>
        </w:tc>
        <w:tc>
          <w:tcPr>
            <w:tcW w:w="847" w:type="pct"/>
            <w:vAlign w:val="center"/>
          </w:tcPr>
          <w:p w:rsidR="004609CF" w:rsidP="00DC0A83" w14:paraId="070964EA" w14:textId="1DCDD6A8">
            <w:pPr>
              <w:pStyle w:val="HTMLPreformatted"/>
              <w:jc w:val="center"/>
              <w:rPr>
                <w:rFonts w:ascii="Times New Roman" w:hAnsi="Times New Roman" w:cs="Times New Roman"/>
                <w:sz w:val="24"/>
                <w:szCs w:val="24"/>
              </w:rPr>
            </w:pPr>
            <w:r>
              <w:rPr>
                <w:rFonts w:ascii="Times New Roman" w:hAnsi="Times New Roman" w:cs="Times New Roman"/>
                <w:sz w:val="24"/>
                <w:szCs w:val="24"/>
              </w:rPr>
              <w:t>500</w:t>
            </w:r>
          </w:p>
        </w:tc>
        <w:tc>
          <w:tcPr>
            <w:tcW w:w="920" w:type="pct"/>
            <w:vAlign w:val="center"/>
          </w:tcPr>
          <w:p w:rsidR="004609CF" w:rsidP="00DC0A83" w14:paraId="0E711C62" w14:textId="35736F3C">
            <w:pPr>
              <w:pStyle w:val="HTMLPreformatted"/>
              <w:jc w:val="center"/>
              <w:rPr>
                <w:rFonts w:ascii="Times New Roman" w:hAnsi="Times New Roman" w:cs="Times New Roman"/>
                <w:sz w:val="24"/>
                <w:szCs w:val="24"/>
              </w:rPr>
            </w:pPr>
            <w:r>
              <w:rPr>
                <w:rFonts w:ascii="Times New Roman" w:hAnsi="Times New Roman" w:cs="Times New Roman"/>
                <w:sz w:val="24"/>
                <w:szCs w:val="24"/>
              </w:rPr>
              <w:t>1</w:t>
            </w:r>
          </w:p>
        </w:tc>
        <w:tc>
          <w:tcPr>
            <w:tcW w:w="922" w:type="pct"/>
            <w:vAlign w:val="center"/>
          </w:tcPr>
          <w:p w:rsidR="004609CF" w:rsidP="00DC0A83" w14:paraId="245A97FF" w14:textId="21B7C5F6">
            <w:pPr>
              <w:pStyle w:val="HTMLPreformatted"/>
              <w:jc w:val="center"/>
              <w:rPr>
                <w:rFonts w:ascii="Times New Roman" w:hAnsi="Times New Roman" w:cs="Times New Roman"/>
                <w:sz w:val="24"/>
                <w:szCs w:val="24"/>
              </w:rPr>
            </w:pPr>
            <w:r>
              <w:rPr>
                <w:rFonts w:ascii="Times New Roman" w:hAnsi="Times New Roman" w:cs="Times New Roman"/>
                <w:sz w:val="24"/>
                <w:szCs w:val="24"/>
              </w:rPr>
              <w:t>.50 (30 min)</w:t>
            </w:r>
          </w:p>
        </w:tc>
        <w:tc>
          <w:tcPr>
            <w:tcW w:w="1155" w:type="pct"/>
            <w:vAlign w:val="center"/>
          </w:tcPr>
          <w:p w:rsidR="004609CF" w:rsidP="009867CA" w14:paraId="4285D48C" w14:textId="1F68B34C">
            <w:pPr>
              <w:pStyle w:val="HTMLPreformatted"/>
              <w:jc w:val="center"/>
              <w:rPr>
                <w:rFonts w:ascii="Times New Roman" w:hAnsi="Times New Roman" w:cs="Times New Roman"/>
                <w:sz w:val="24"/>
                <w:szCs w:val="24"/>
              </w:rPr>
            </w:pPr>
            <w:r>
              <w:rPr>
                <w:rFonts w:ascii="Times New Roman" w:hAnsi="Times New Roman" w:cs="Times New Roman"/>
                <w:sz w:val="24"/>
                <w:szCs w:val="24"/>
              </w:rPr>
              <w:t>250</w:t>
            </w:r>
          </w:p>
        </w:tc>
      </w:tr>
      <w:tr w14:paraId="17F4DD98" w14:textId="77777777" w:rsidTr="00006DAB">
        <w:tblPrEx>
          <w:tblW w:w="4909" w:type="pct"/>
          <w:tblInd w:w="-5" w:type="dxa"/>
          <w:tblLook w:val="01E0"/>
        </w:tblPrEx>
        <w:tc>
          <w:tcPr>
            <w:tcW w:w="1156" w:type="pct"/>
            <w:vAlign w:val="center"/>
          </w:tcPr>
          <w:p w:rsidR="00DC0A83" w:rsidRPr="00086EAC" w:rsidP="00006DAB" w14:paraId="0BB2B43B" w14:textId="524E9F0B">
            <w:pPr>
              <w:pStyle w:val="HTMLPreformatted"/>
              <w:rPr>
                <w:rFonts w:ascii="Times New Roman" w:hAnsi="Times New Roman" w:cs="Times New Roman"/>
                <w:sz w:val="24"/>
                <w:szCs w:val="24"/>
              </w:rPr>
            </w:pPr>
            <w:r w:rsidRPr="00086EAC">
              <w:rPr>
                <w:rFonts w:ascii="Times New Roman" w:hAnsi="Times New Roman" w:cs="Times New Roman"/>
                <w:sz w:val="24"/>
                <w:szCs w:val="24"/>
              </w:rPr>
              <w:t xml:space="preserve">Initial Application </w:t>
            </w:r>
            <w:r w:rsidR="008C4A5F">
              <w:rPr>
                <w:rFonts w:ascii="Times New Roman" w:hAnsi="Times New Roman" w:cs="Times New Roman"/>
                <w:sz w:val="24"/>
                <w:szCs w:val="24"/>
              </w:rPr>
              <w:t xml:space="preserve">Package </w:t>
            </w:r>
            <w:r w:rsidRPr="00086EAC">
              <w:rPr>
                <w:rFonts w:ascii="Times New Roman" w:hAnsi="Times New Roman" w:cs="Times New Roman"/>
                <w:sz w:val="24"/>
                <w:szCs w:val="24"/>
              </w:rPr>
              <w:t>to Medical Staff</w:t>
            </w:r>
            <w:r>
              <w:rPr>
                <w:rFonts w:ascii="Times New Roman" w:hAnsi="Times New Roman" w:cs="Times New Roman"/>
                <w:sz w:val="24"/>
                <w:szCs w:val="24"/>
              </w:rPr>
              <w:t xml:space="preserve"> </w:t>
            </w:r>
            <w:r w:rsidR="00942721">
              <w:rPr>
                <w:rFonts w:ascii="Times New Roman" w:hAnsi="Times New Roman" w:cs="Times New Roman"/>
                <w:sz w:val="24"/>
                <w:szCs w:val="24"/>
              </w:rPr>
              <w:t xml:space="preserve">and/or Privileges </w:t>
            </w:r>
          </w:p>
        </w:tc>
        <w:tc>
          <w:tcPr>
            <w:tcW w:w="847" w:type="pct"/>
            <w:vAlign w:val="center"/>
          </w:tcPr>
          <w:p w:rsidR="00DC0A83" w:rsidRPr="00086EAC" w:rsidP="00DC0A83" w14:paraId="61B8FAD2" w14:textId="27BB1B1E">
            <w:pPr>
              <w:pStyle w:val="HTMLPreformatted"/>
              <w:jc w:val="center"/>
              <w:rPr>
                <w:rFonts w:ascii="Times New Roman" w:hAnsi="Times New Roman" w:cs="Times New Roman"/>
                <w:sz w:val="24"/>
                <w:szCs w:val="24"/>
              </w:rPr>
            </w:pPr>
            <w:r>
              <w:rPr>
                <w:rFonts w:ascii="Times New Roman" w:hAnsi="Times New Roman" w:cs="Times New Roman"/>
                <w:sz w:val="24"/>
                <w:szCs w:val="24"/>
              </w:rPr>
              <w:t>878</w:t>
            </w:r>
          </w:p>
        </w:tc>
        <w:tc>
          <w:tcPr>
            <w:tcW w:w="920" w:type="pct"/>
            <w:vAlign w:val="center"/>
          </w:tcPr>
          <w:p w:rsidR="00DC0A83" w:rsidRPr="00086EAC" w:rsidP="00DC0A83" w14:paraId="107B3DC2" w14:textId="37FDC5AD">
            <w:pPr>
              <w:pStyle w:val="HTMLPreformatted"/>
              <w:jc w:val="center"/>
              <w:rPr>
                <w:rFonts w:ascii="Times New Roman" w:hAnsi="Times New Roman" w:cs="Times New Roman"/>
                <w:sz w:val="24"/>
                <w:szCs w:val="24"/>
              </w:rPr>
            </w:pPr>
            <w:r>
              <w:rPr>
                <w:rFonts w:ascii="Times New Roman" w:hAnsi="Times New Roman" w:cs="Times New Roman"/>
                <w:sz w:val="24"/>
                <w:szCs w:val="24"/>
              </w:rPr>
              <w:t>1</w:t>
            </w:r>
          </w:p>
        </w:tc>
        <w:tc>
          <w:tcPr>
            <w:tcW w:w="922" w:type="pct"/>
            <w:vAlign w:val="center"/>
          </w:tcPr>
          <w:p w:rsidR="00DC0A83" w:rsidRPr="00086EAC" w:rsidP="00DC0A83" w14:paraId="62FCEB6E" w14:textId="623320DA">
            <w:pPr>
              <w:pStyle w:val="HTMLPreformatted"/>
              <w:jc w:val="center"/>
              <w:rPr>
                <w:rFonts w:ascii="Times New Roman" w:hAnsi="Times New Roman" w:cs="Times New Roman"/>
                <w:sz w:val="24"/>
                <w:szCs w:val="24"/>
              </w:rPr>
            </w:pPr>
            <w:r>
              <w:rPr>
                <w:rFonts w:ascii="Times New Roman" w:hAnsi="Times New Roman" w:cs="Times New Roman"/>
                <w:sz w:val="24"/>
                <w:szCs w:val="24"/>
              </w:rPr>
              <w:t>1 (60 min)</w:t>
            </w:r>
          </w:p>
        </w:tc>
        <w:tc>
          <w:tcPr>
            <w:tcW w:w="1155" w:type="pct"/>
            <w:vAlign w:val="center"/>
          </w:tcPr>
          <w:p w:rsidR="00DC0A83" w:rsidRPr="00086EAC" w:rsidP="009867CA" w14:paraId="1BE0BE65" w14:textId="287BE58C">
            <w:pPr>
              <w:pStyle w:val="HTMLPreformatted"/>
              <w:jc w:val="center"/>
              <w:rPr>
                <w:rFonts w:ascii="Times New Roman" w:hAnsi="Times New Roman" w:cs="Times New Roman"/>
                <w:sz w:val="24"/>
                <w:szCs w:val="24"/>
              </w:rPr>
            </w:pPr>
            <w:r>
              <w:rPr>
                <w:rFonts w:ascii="Times New Roman" w:hAnsi="Times New Roman" w:cs="Times New Roman"/>
                <w:sz w:val="24"/>
                <w:szCs w:val="24"/>
              </w:rPr>
              <w:t>8</w:t>
            </w:r>
            <w:r w:rsidR="009867CA">
              <w:rPr>
                <w:rFonts w:ascii="Times New Roman" w:hAnsi="Times New Roman" w:cs="Times New Roman"/>
                <w:sz w:val="24"/>
                <w:szCs w:val="24"/>
              </w:rPr>
              <w:t>78</w:t>
            </w:r>
          </w:p>
        </w:tc>
      </w:tr>
      <w:tr w14:paraId="33DAF231" w14:textId="77777777" w:rsidTr="00006DAB">
        <w:tblPrEx>
          <w:tblW w:w="4909" w:type="pct"/>
          <w:tblInd w:w="-5" w:type="dxa"/>
          <w:tblLook w:val="01E0"/>
        </w:tblPrEx>
        <w:tc>
          <w:tcPr>
            <w:tcW w:w="1156" w:type="pct"/>
            <w:vAlign w:val="center"/>
          </w:tcPr>
          <w:p w:rsidR="00D674F5" w:rsidRPr="001F0957" w:rsidP="00006DAB" w14:paraId="509D4C95" w14:textId="0DAC7C64">
            <w:pPr>
              <w:pStyle w:val="HTMLPreformatted"/>
              <w:rPr>
                <w:rFonts w:ascii="Times New Roman" w:hAnsi="Times New Roman" w:cs="Times New Roman"/>
                <w:sz w:val="24"/>
                <w:szCs w:val="24"/>
              </w:rPr>
            </w:pPr>
            <w:r w:rsidRPr="001F0957">
              <w:rPr>
                <w:rFonts w:ascii="Times New Roman" w:hAnsi="Times New Roman" w:cs="Times New Roman"/>
                <w:sz w:val="24"/>
                <w:szCs w:val="24"/>
              </w:rPr>
              <w:t>Indian Health Service Statement of Health</w:t>
            </w:r>
          </w:p>
        </w:tc>
        <w:tc>
          <w:tcPr>
            <w:tcW w:w="847" w:type="pct"/>
            <w:vAlign w:val="center"/>
          </w:tcPr>
          <w:p w:rsidR="00D674F5" w:rsidRPr="001F0957" w:rsidP="009867CA" w14:paraId="3D8FCCD1" w14:textId="2A2AF0F9">
            <w:pPr>
              <w:pStyle w:val="HTMLPreformatted"/>
              <w:jc w:val="center"/>
              <w:rPr>
                <w:rFonts w:ascii="Times New Roman" w:hAnsi="Times New Roman" w:cs="Times New Roman"/>
                <w:sz w:val="24"/>
                <w:szCs w:val="24"/>
              </w:rPr>
            </w:pPr>
            <w:r w:rsidRPr="001F0957">
              <w:rPr>
                <w:rFonts w:ascii="Times New Roman" w:hAnsi="Times New Roman" w:cs="Times New Roman"/>
                <w:sz w:val="24"/>
                <w:szCs w:val="24"/>
              </w:rPr>
              <w:t>878</w:t>
            </w:r>
          </w:p>
        </w:tc>
        <w:tc>
          <w:tcPr>
            <w:tcW w:w="920" w:type="pct"/>
            <w:vAlign w:val="center"/>
          </w:tcPr>
          <w:p w:rsidR="00D674F5" w:rsidRPr="001F0957" w:rsidP="00DC0A83" w14:paraId="50B13BDA" w14:textId="46B77C48">
            <w:pPr>
              <w:pStyle w:val="HTMLPreformatted"/>
              <w:jc w:val="center"/>
              <w:rPr>
                <w:rFonts w:ascii="Times New Roman" w:hAnsi="Times New Roman" w:cs="Times New Roman"/>
                <w:sz w:val="24"/>
                <w:szCs w:val="24"/>
              </w:rPr>
            </w:pPr>
            <w:r w:rsidRPr="001F0957">
              <w:rPr>
                <w:rFonts w:ascii="Times New Roman" w:hAnsi="Times New Roman" w:cs="Times New Roman"/>
                <w:sz w:val="24"/>
                <w:szCs w:val="24"/>
              </w:rPr>
              <w:t>1</w:t>
            </w:r>
          </w:p>
        </w:tc>
        <w:tc>
          <w:tcPr>
            <w:tcW w:w="922" w:type="pct"/>
            <w:vAlign w:val="center"/>
          </w:tcPr>
          <w:p w:rsidR="00D674F5" w:rsidRPr="001F0957" w:rsidP="005434E4" w14:paraId="3A51F070" w14:textId="05AEDF71">
            <w:pPr>
              <w:pStyle w:val="HTMLPreformatted"/>
              <w:jc w:val="center"/>
              <w:rPr>
                <w:rFonts w:ascii="Times New Roman" w:hAnsi="Times New Roman" w:cs="Times New Roman"/>
                <w:sz w:val="24"/>
                <w:szCs w:val="24"/>
              </w:rPr>
            </w:pPr>
            <w:r w:rsidRPr="001F0957">
              <w:rPr>
                <w:rFonts w:ascii="Times New Roman" w:hAnsi="Times New Roman" w:cs="Times New Roman"/>
                <w:sz w:val="24"/>
                <w:szCs w:val="24"/>
              </w:rPr>
              <w:t>.083 (5 min)</w:t>
            </w:r>
          </w:p>
        </w:tc>
        <w:tc>
          <w:tcPr>
            <w:tcW w:w="1155" w:type="pct"/>
            <w:vAlign w:val="center"/>
          </w:tcPr>
          <w:p w:rsidR="00D674F5" w:rsidP="009867CA" w14:paraId="7481D525" w14:textId="7D0EE830">
            <w:pPr>
              <w:pStyle w:val="HTMLPreformatted"/>
              <w:jc w:val="center"/>
              <w:rPr>
                <w:rFonts w:ascii="Times New Roman" w:hAnsi="Times New Roman" w:cs="Times New Roman"/>
                <w:sz w:val="24"/>
                <w:szCs w:val="24"/>
              </w:rPr>
            </w:pPr>
            <w:r w:rsidRPr="001F0957">
              <w:rPr>
                <w:rFonts w:ascii="Times New Roman" w:hAnsi="Times New Roman" w:cs="Times New Roman"/>
                <w:sz w:val="24"/>
                <w:szCs w:val="24"/>
              </w:rPr>
              <w:t>73</w:t>
            </w:r>
          </w:p>
        </w:tc>
      </w:tr>
      <w:tr w14:paraId="00C2E5EF" w14:textId="77777777" w:rsidTr="00006DAB">
        <w:tblPrEx>
          <w:tblW w:w="4909" w:type="pct"/>
          <w:tblInd w:w="-5" w:type="dxa"/>
          <w:tblLook w:val="01E0"/>
        </w:tblPrEx>
        <w:tc>
          <w:tcPr>
            <w:tcW w:w="1156" w:type="pct"/>
            <w:vAlign w:val="center"/>
          </w:tcPr>
          <w:p w:rsidR="00DC0A83" w:rsidRPr="00086EAC" w:rsidP="00006DAB" w14:paraId="6BA15778" w14:textId="2E9AD550">
            <w:pPr>
              <w:pStyle w:val="HTMLPreformatted"/>
              <w:rPr>
                <w:rFonts w:ascii="Times New Roman" w:hAnsi="Times New Roman" w:cs="Times New Roman"/>
                <w:sz w:val="24"/>
                <w:szCs w:val="24"/>
              </w:rPr>
            </w:pPr>
            <w:r w:rsidRPr="00086EAC">
              <w:rPr>
                <w:rFonts w:ascii="Times New Roman" w:hAnsi="Times New Roman" w:cs="Times New Roman"/>
                <w:sz w:val="24"/>
                <w:szCs w:val="24"/>
              </w:rPr>
              <w:t>Reappointment Application</w:t>
            </w:r>
            <w:r w:rsidR="008C4A5F">
              <w:rPr>
                <w:rFonts w:ascii="Times New Roman" w:hAnsi="Times New Roman" w:cs="Times New Roman"/>
                <w:sz w:val="24"/>
                <w:szCs w:val="24"/>
              </w:rPr>
              <w:t xml:space="preserve"> Package</w:t>
            </w:r>
            <w:r w:rsidRPr="00086EAC">
              <w:rPr>
                <w:rFonts w:ascii="Times New Roman" w:hAnsi="Times New Roman" w:cs="Times New Roman"/>
                <w:sz w:val="24"/>
                <w:szCs w:val="24"/>
              </w:rPr>
              <w:t xml:space="preserve"> to Medical Staff</w:t>
            </w:r>
            <w:r w:rsidR="00942721">
              <w:rPr>
                <w:rFonts w:ascii="Times New Roman" w:hAnsi="Times New Roman" w:cs="Times New Roman"/>
                <w:sz w:val="24"/>
                <w:szCs w:val="24"/>
              </w:rPr>
              <w:t xml:space="preserve"> and/or Privileges </w:t>
            </w:r>
            <w:bookmarkStart w:id="0" w:name="_GoBack"/>
            <w:bookmarkEnd w:id="0"/>
          </w:p>
        </w:tc>
        <w:tc>
          <w:tcPr>
            <w:tcW w:w="847" w:type="pct"/>
            <w:vAlign w:val="center"/>
          </w:tcPr>
          <w:p w:rsidR="00DC0A83" w:rsidRPr="00086EAC" w:rsidP="009867CA" w14:paraId="27A591A1" w14:textId="4FE21931">
            <w:pPr>
              <w:pStyle w:val="HTMLPreformatted"/>
              <w:jc w:val="center"/>
              <w:rPr>
                <w:rFonts w:ascii="Times New Roman" w:hAnsi="Times New Roman" w:cs="Times New Roman"/>
                <w:sz w:val="24"/>
                <w:szCs w:val="24"/>
              </w:rPr>
            </w:pPr>
            <w:r>
              <w:rPr>
                <w:rFonts w:ascii="Times New Roman" w:hAnsi="Times New Roman" w:cs="Times New Roman"/>
                <w:sz w:val="24"/>
                <w:szCs w:val="24"/>
              </w:rPr>
              <w:t>2</w:t>
            </w:r>
            <w:r w:rsidR="009867CA">
              <w:rPr>
                <w:rFonts w:ascii="Times New Roman" w:hAnsi="Times New Roman" w:cs="Times New Roman"/>
                <w:sz w:val="24"/>
                <w:szCs w:val="24"/>
              </w:rPr>
              <w:t>,212</w:t>
            </w:r>
          </w:p>
        </w:tc>
        <w:tc>
          <w:tcPr>
            <w:tcW w:w="920" w:type="pct"/>
            <w:vAlign w:val="center"/>
          </w:tcPr>
          <w:p w:rsidR="00DC0A83" w:rsidRPr="00086EAC" w:rsidP="00DC0A83" w14:paraId="15D08ADC" w14:textId="77777777">
            <w:pPr>
              <w:pStyle w:val="HTMLPreformatted"/>
              <w:jc w:val="center"/>
              <w:rPr>
                <w:rFonts w:ascii="Times New Roman" w:hAnsi="Times New Roman" w:cs="Times New Roman"/>
                <w:sz w:val="24"/>
                <w:szCs w:val="24"/>
              </w:rPr>
            </w:pPr>
            <w:r w:rsidRPr="00086EAC">
              <w:rPr>
                <w:rFonts w:ascii="Times New Roman" w:hAnsi="Times New Roman" w:cs="Times New Roman"/>
                <w:sz w:val="24"/>
                <w:szCs w:val="24"/>
              </w:rPr>
              <w:t>1</w:t>
            </w:r>
          </w:p>
        </w:tc>
        <w:tc>
          <w:tcPr>
            <w:tcW w:w="922" w:type="pct"/>
            <w:vAlign w:val="center"/>
          </w:tcPr>
          <w:p w:rsidR="00DC0A83" w:rsidRPr="00086EAC" w:rsidP="005434E4" w14:paraId="4D57C360" w14:textId="20736CC8">
            <w:pPr>
              <w:pStyle w:val="HTMLPreformatted"/>
              <w:jc w:val="center"/>
              <w:rPr>
                <w:rFonts w:ascii="Times New Roman" w:hAnsi="Times New Roman" w:cs="Times New Roman"/>
                <w:sz w:val="24"/>
                <w:szCs w:val="24"/>
              </w:rPr>
            </w:pPr>
            <w:r w:rsidRPr="00086EAC">
              <w:rPr>
                <w:rFonts w:ascii="Times New Roman" w:hAnsi="Times New Roman" w:cs="Times New Roman"/>
                <w:sz w:val="24"/>
                <w:szCs w:val="24"/>
              </w:rPr>
              <w:t>0.</w:t>
            </w:r>
            <w:r w:rsidR="005434E4">
              <w:rPr>
                <w:rFonts w:ascii="Times New Roman" w:hAnsi="Times New Roman" w:cs="Times New Roman"/>
                <w:sz w:val="24"/>
                <w:szCs w:val="24"/>
              </w:rPr>
              <w:t>50</w:t>
            </w:r>
            <w:r w:rsidRPr="00086EAC">
              <w:rPr>
                <w:rFonts w:ascii="Times New Roman" w:hAnsi="Times New Roman" w:cs="Times New Roman"/>
                <w:sz w:val="24"/>
                <w:szCs w:val="24"/>
              </w:rPr>
              <w:t xml:space="preserve"> (</w:t>
            </w:r>
            <w:r w:rsidR="005434E4">
              <w:rPr>
                <w:rFonts w:ascii="Times New Roman" w:hAnsi="Times New Roman" w:cs="Times New Roman"/>
                <w:sz w:val="24"/>
                <w:szCs w:val="24"/>
              </w:rPr>
              <w:t>3</w:t>
            </w:r>
            <w:r>
              <w:rPr>
                <w:rFonts w:ascii="Times New Roman" w:hAnsi="Times New Roman" w:cs="Times New Roman"/>
                <w:sz w:val="24"/>
                <w:szCs w:val="24"/>
              </w:rPr>
              <w:t>0</w:t>
            </w:r>
            <w:r w:rsidRPr="00086EAC">
              <w:rPr>
                <w:rFonts w:ascii="Times New Roman" w:hAnsi="Times New Roman" w:cs="Times New Roman"/>
                <w:sz w:val="24"/>
                <w:szCs w:val="24"/>
              </w:rPr>
              <w:t xml:space="preserve"> min)</w:t>
            </w:r>
          </w:p>
        </w:tc>
        <w:tc>
          <w:tcPr>
            <w:tcW w:w="1155" w:type="pct"/>
            <w:vAlign w:val="center"/>
          </w:tcPr>
          <w:p w:rsidR="00DC0A83" w:rsidRPr="00086EAC" w:rsidP="009867CA" w14:paraId="3AEF1344" w14:textId="638F2CA4">
            <w:pPr>
              <w:pStyle w:val="HTMLPreformatted"/>
              <w:jc w:val="center"/>
              <w:rPr>
                <w:rFonts w:ascii="Times New Roman" w:hAnsi="Times New Roman" w:cs="Times New Roman"/>
                <w:sz w:val="24"/>
                <w:szCs w:val="24"/>
              </w:rPr>
            </w:pPr>
            <w:r>
              <w:rPr>
                <w:rFonts w:ascii="Times New Roman" w:hAnsi="Times New Roman" w:cs="Times New Roman"/>
                <w:sz w:val="24"/>
                <w:szCs w:val="24"/>
              </w:rPr>
              <w:t>1,1</w:t>
            </w:r>
            <w:r w:rsidR="009867CA">
              <w:rPr>
                <w:rFonts w:ascii="Times New Roman" w:hAnsi="Times New Roman" w:cs="Times New Roman"/>
                <w:sz w:val="24"/>
                <w:szCs w:val="24"/>
              </w:rPr>
              <w:t>06</w:t>
            </w:r>
          </w:p>
        </w:tc>
      </w:tr>
      <w:tr w14:paraId="2591846D" w14:textId="77777777" w:rsidTr="00006DAB">
        <w:tblPrEx>
          <w:tblW w:w="4909" w:type="pct"/>
          <w:tblInd w:w="-5" w:type="dxa"/>
          <w:tblLook w:val="01E0"/>
        </w:tblPrEx>
        <w:tc>
          <w:tcPr>
            <w:tcW w:w="1156" w:type="pct"/>
            <w:vAlign w:val="center"/>
          </w:tcPr>
          <w:p w:rsidR="00B85296" w:rsidRPr="00086EAC" w:rsidP="00006DAB" w14:paraId="1B3CFD95" w14:textId="5CE371E4">
            <w:pPr>
              <w:pStyle w:val="HTMLPreformatted"/>
              <w:rPr>
                <w:rFonts w:ascii="Times New Roman" w:hAnsi="Times New Roman" w:cs="Times New Roman"/>
                <w:sz w:val="24"/>
                <w:szCs w:val="24"/>
              </w:rPr>
            </w:pPr>
            <w:r w:rsidRPr="00B85296">
              <w:rPr>
                <w:rFonts w:ascii="Times New Roman" w:hAnsi="Times New Roman" w:cs="Times New Roman"/>
                <w:sz w:val="24"/>
                <w:szCs w:val="24"/>
              </w:rPr>
              <w:t>Credentialing by Proxy Intake Form</w:t>
            </w:r>
          </w:p>
        </w:tc>
        <w:tc>
          <w:tcPr>
            <w:tcW w:w="847" w:type="pct"/>
            <w:vAlign w:val="center"/>
          </w:tcPr>
          <w:p w:rsidR="00B85296" w:rsidP="009867CA" w14:paraId="0DD8FACC" w14:textId="5C27BC29">
            <w:pPr>
              <w:pStyle w:val="HTMLPreformatted"/>
              <w:jc w:val="center"/>
              <w:rPr>
                <w:rFonts w:ascii="Times New Roman" w:hAnsi="Times New Roman" w:cs="Times New Roman"/>
                <w:sz w:val="24"/>
                <w:szCs w:val="24"/>
              </w:rPr>
            </w:pPr>
            <w:r>
              <w:rPr>
                <w:rFonts w:ascii="Times New Roman" w:hAnsi="Times New Roman" w:cs="Times New Roman"/>
                <w:sz w:val="24"/>
                <w:szCs w:val="24"/>
              </w:rPr>
              <w:t>250</w:t>
            </w:r>
          </w:p>
        </w:tc>
        <w:tc>
          <w:tcPr>
            <w:tcW w:w="920" w:type="pct"/>
            <w:vAlign w:val="center"/>
          </w:tcPr>
          <w:p w:rsidR="00B85296" w:rsidRPr="00086EAC" w:rsidP="00DC0A83" w14:paraId="581A2A64" w14:textId="5827FC46">
            <w:pPr>
              <w:pStyle w:val="HTMLPreformatted"/>
              <w:jc w:val="center"/>
              <w:rPr>
                <w:rFonts w:ascii="Times New Roman" w:hAnsi="Times New Roman" w:cs="Times New Roman"/>
                <w:sz w:val="24"/>
                <w:szCs w:val="24"/>
              </w:rPr>
            </w:pPr>
            <w:r>
              <w:rPr>
                <w:rFonts w:ascii="Times New Roman" w:hAnsi="Times New Roman" w:cs="Times New Roman"/>
                <w:sz w:val="24"/>
                <w:szCs w:val="24"/>
              </w:rPr>
              <w:t>1</w:t>
            </w:r>
          </w:p>
        </w:tc>
        <w:tc>
          <w:tcPr>
            <w:tcW w:w="922" w:type="pct"/>
            <w:vAlign w:val="center"/>
          </w:tcPr>
          <w:p w:rsidR="00B85296" w:rsidRPr="00086EAC" w:rsidP="005434E4" w14:paraId="7ED926B3" w14:textId="226F768D">
            <w:pPr>
              <w:pStyle w:val="HTMLPreformatted"/>
              <w:jc w:val="center"/>
              <w:rPr>
                <w:rFonts w:ascii="Times New Roman" w:hAnsi="Times New Roman" w:cs="Times New Roman"/>
                <w:sz w:val="24"/>
                <w:szCs w:val="24"/>
              </w:rPr>
            </w:pPr>
            <w:r>
              <w:rPr>
                <w:rFonts w:ascii="Times New Roman" w:hAnsi="Times New Roman" w:cs="Times New Roman"/>
                <w:sz w:val="24"/>
                <w:szCs w:val="24"/>
              </w:rPr>
              <w:t>.25 (15 min)</w:t>
            </w:r>
          </w:p>
        </w:tc>
        <w:tc>
          <w:tcPr>
            <w:tcW w:w="1155" w:type="pct"/>
            <w:vAlign w:val="center"/>
          </w:tcPr>
          <w:p w:rsidR="00B85296" w:rsidP="009867CA" w14:paraId="6BAEA234" w14:textId="27C9881F">
            <w:pPr>
              <w:pStyle w:val="HTMLPreformatted"/>
              <w:jc w:val="center"/>
              <w:rPr>
                <w:rFonts w:ascii="Times New Roman" w:hAnsi="Times New Roman" w:cs="Times New Roman"/>
                <w:sz w:val="24"/>
                <w:szCs w:val="24"/>
              </w:rPr>
            </w:pPr>
            <w:r>
              <w:rPr>
                <w:rFonts w:ascii="Times New Roman" w:hAnsi="Times New Roman" w:cs="Times New Roman"/>
                <w:sz w:val="24"/>
                <w:szCs w:val="24"/>
              </w:rPr>
              <w:t>63</w:t>
            </w:r>
          </w:p>
        </w:tc>
      </w:tr>
      <w:tr w14:paraId="0CDC7651" w14:textId="77777777" w:rsidTr="00006DAB">
        <w:tblPrEx>
          <w:tblW w:w="4909" w:type="pct"/>
          <w:tblInd w:w="-5" w:type="dxa"/>
          <w:tblLook w:val="01E0"/>
        </w:tblPrEx>
        <w:tc>
          <w:tcPr>
            <w:tcW w:w="1156" w:type="pct"/>
            <w:vAlign w:val="center"/>
          </w:tcPr>
          <w:p w:rsidR="008C4A5F" w:rsidRPr="00086EAC" w:rsidP="00006DAB" w14:paraId="6BDA3A49" w14:textId="67426381">
            <w:pPr>
              <w:pStyle w:val="HTMLPreformatted"/>
              <w:rPr>
                <w:rFonts w:ascii="Times New Roman" w:hAnsi="Times New Roman" w:cs="Times New Roman"/>
                <w:sz w:val="24"/>
                <w:szCs w:val="24"/>
              </w:rPr>
            </w:pPr>
            <w:r>
              <w:rPr>
                <w:rFonts w:ascii="Times New Roman" w:hAnsi="Times New Roman" w:cs="Times New Roman"/>
                <w:sz w:val="24"/>
                <w:szCs w:val="24"/>
              </w:rPr>
              <w:t>Affiliation Verification</w:t>
            </w:r>
          </w:p>
        </w:tc>
        <w:tc>
          <w:tcPr>
            <w:tcW w:w="847" w:type="pct"/>
            <w:vAlign w:val="center"/>
          </w:tcPr>
          <w:p w:rsidR="008C4A5F" w:rsidP="00DC0A83" w14:paraId="2DFAE833" w14:textId="7CB2DBA2">
            <w:pPr>
              <w:pStyle w:val="HTMLPreformatted"/>
              <w:jc w:val="center"/>
              <w:rPr>
                <w:rFonts w:ascii="Times New Roman" w:hAnsi="Times New Roman" w:cs="Times New Roman"/>
                <w:sz w:val="24"/>
                <w:szCs w:val="24"/>
              </w:rPr>
            </w:pPr>
            <w:r>
              <w:rPr>
                <w:rFonts w:ascii="Times New Roman" w:hAnsi="Times New Roman" w:cs="Times New Roman"/>
                <w:sz w:val="24"/>
                <w:szCs w:val="24"/>
              </w:rPr>
              <w:t>4,225</w:t>
            </w:r>
          </w:p>
        </w:tc>
        <w:tc>
          <w:tcPr>
            <w:tcW w:w="920" w:type="pct"/>
            <w:vAlign w:val="center"/>
          </w:tcPr>
          <w:p w:rsidR="008C4A5F" w:rsidRPr="00086EAC" w:rsidP="00DC0A83" w14:paraId="0DAAB2BD" w14:textId="4FF1DCF3">
            <w:pPr>
              <w:pStyle w:val="HTMLPreformatted"/>
              <w:jc w:val="center"/>
              <w:rPr>
                <w:rFonts w:ascii="Times New Roman" w:hAnsi="Times New Roman" w:cs="Times New Roman"/>
                <w:sz w:val="24"/>
                <w:szCs w:val="24"/>
              </w:rPr>
            </w:pPr>
            <w:r>
              <w:rPr>
                <w:rFonts w:ascii="Times New Roman" w:hAnsi="Times New Roman" w:cs="Times New Roman"/>
                <w:sz w:val="24"/>
                <w:szCs w:val="24"/>
              </w:rPr>
              <w:t>1</w:t>
            </w:r>
          </w:p>
        </w:tc>
        <w:tc>
          <w:tcPr>
            <w:tcW w:w="922" w:type="pct"/>
            <w:vAlign w:val="center"/>
          </w:tcPr>
          <w:p w:rsidR="008C4A5F" w:rsidRPr="00086EAC" w:rsidP="00DC0A83" w14:paraId="6897B7B4" w14:textId="7BC118A9">
            <w:pPr>
              <w:pStyle w:val="HTMLPreformatted"/>
              <w:jc w:val="center"/>
              <w:rPr>
                <w:rFonts w:ascii="Times New Roman" w:hAnsi="Times New Roman" w:cs="Times New Roman"/>
                <w:sz w:val="24"/>
                <w:szCs w:val="24"/>
              </w:rPr>
            </w:pPr>
            <w:r>
              <w:rPr>
                <w:rFonts w:ascii="Times New Roman" w:hAnsi="Times New Roman" w:cs="Times New Roman"/>
                <w:sz w:val="24"/>
                <w:szCs w:val="24"/>
              </w:rPr>
              <w:t>.25 (15 min)</w:t>
            </w:r>
          </w:p>
        </w:tc>
        <w:tc>
          <w:tcPr>
            <w:tcW w:w="1155" w:type="pct"/>
            <w:vAlign w:val="center"/>
          </w:tcPr>
          <w:p w:rsidR="008C4A5F" w:rsidP="009867CA" w14:paraId="1F6F5354" w14:textId="14755F2B">
            <w:pPr>
              <w:pStyle w:val="HTMLPreformatted"/>
              <w:jc w:val="center"/>
              <w:rPr>
                <w:rFonts w:ascii="Times New Roman" w:hAnsi="Times New Roman" w:cs="Times New Roman"/>
                <w:sz w:val="24"/>
                <w:szCs w:val="24"/>
              </w:rPr>
            </w:pPr>
            <w:r>
              <w:rPr>
                <w:rFonts w:ascii="Times New Roman" w:hAnsi="Times New Roman" w:cs="Times New Roman"/>
                <w:sz w:val="24"/>
                <w:szCs w:val="24"/>
              </w:rPr>
              <w:t>1,056</w:t>
            </w:r>
          </w:p>
        </w:tc>
      </w:tr>
      <w:tr w14:paraId="3BC8ED7A" w14:textId="77777777" w:rsidTr="00006DAB">
        <w:tblPrEx>
          <w:tblW w:w="4909" w:type="pct"/>
          <w:tblInd w:w="-5" w:type="dxa"/>
          <w:tblLook w:val="01E0"/>
        </w:tblPrEx>
        <w:tc>
          <w:tcPr>
            <w:tcW w:w="1156" w:type="pct"/>
            <w:vAlign w:val="center"/>
          </w:tcPr>
          <w:p w:rsidR="004609CF" w:rsidP="00006DAB" w14:paraId="0A187B9B" w14:textId="5F38DB4A">
            <w:pPr>
              <w:pStyle w:val="HTMLPreformatted"/>
              <w:rPr>
                <w:rFonts w:ascii="Times New Roman" w:hAnsi="Times New Roman" w:cs="Times New Roman"/>
                <w:sz w:val="24"/>
                <w:szCs w:val="24"/>
              </w:rPr>
            </w:pPr>
            <w:r>
              <w:rPr>
                <w:rFonts w:ascii="Times New Roman" w:hAnsi="Times New Roman" w:cs="Times New Roman"/>
                <w:sz w:val="24"/>
                <w:szCs w:val="24"/>
              </w:rPr>
              <w:t>Education Verification</w:t>
            </w:r>
          </w:p>
        </w:tc>
        <w:tc>
          <w:tcPr>
            <w:tcW w:w="847" w:type="pct"/>
            <w:vAlign w:val="center"/>
          </w:tcPr>
          <w:p w:rsidR="004609CF" w:rsidP="004609CF" w14:paraId="684AAA1F" w14:textId="4FB7BE8F">
            <w:pPr>
              <w:pStyle w:val="HTMLPreformatted"/>
              <w:jc w:val="center"/>
              <w:rPr>
                <w:rFonts w:ascii="Times New Roman" w:hAnsi="Times New Roman" w:cs="Times New Roman"/>
                <w:sz w:val="24"/>
                <w:szCs w:val="24"/>
              </w:rPr>
            </w:pPr>
            <w:r>
              <w:rPr>
                <w:rFonts w:ascii="Times New Roman" w:hAnsi="Times New Roman" w:cs="Times New Roman"/>
                <w:sz w:val="24"/>
                <w:szCs w:val="24"/>
              </w:rPr>
              <w:t>3,289</w:t>
            </w:r>
          </w:p>
        </w:tc>
        <w:tc>
          <w:tcPr>
            <w:tcW w:w="920" w:type="pct"/>
            <w:vAlign w:val="center"/>
          </w:tcPr>
          <w:p w:rsidR="004609CF" w:rsidRPr="00086EAC" w:rsidP="004609CF" w14:paraId="136D45AD" w14:textId="675DEF43">
            <w:pPr>
              <w:pStyle w:val="HTMLPreformatted"/>
              <w:jc w:val="center"/>
              <w:rPr>
                <w:rFonts w:ascii="Times New Roman" w:hAnsi="Times New Roman" w:cs="Times New Roman"/>
                <w:sz w:val="24"/>
                <w:szCs w:val="24"/>
              </w:rPr>
            </w:pPr>
            <w:r>
              <w:rPr>
                <w:rFonts w:ascii="Times New Roman" w:hAnsi="Times New Roman" w:cs="Times New Roman"/>
                <w:sz w:val="24"/>
                <w:szCs w:val="24"/>
              </w:rPr>
              <w:t>1</w:t>
            </w:r>
          </w:p>
        </w:tc>
        <w:tc>
          <w:tcPr>
            <w:tcW w:w="922" w:type="pct"/>
            <w:vAlign w:val="center"/>
          </w:tcPr>
          <w:p w:rsidR="004609CF" w:rsidRPr="00086EAC" w:rsidP="004609CF" w14:paraId="6216AC3A" w14:textId="51EE8200">
            <w:pPr>
              <w:pStyle w:val="HTMLPreformatted"/>
              <w:jc w:val="center"/>
              <w:rPr>
                <w:rFonts w:ascii="Times New Roman" w:hAnsi="Times New Roman" w:cs="Times New Roman"/>
                <w:sz w:val="24"/>
                <w:szCs w:val="24"/>
              </w:rPr>
            </w:pPr>
            <w:r>
              <w:rPr>
                <w:rFonts w:ascii="Times New Roman" w:hAnsi="Times New Roman" w:cs="Times New Roman"/>
                <w:sz w:val="24"/>
                <w:szCs w:val="24"/>
              </w:rPr>
              <w:t>.25 (15 min)</w:t>
            </w:r>
          </w:p>
        </w:tc>
        <w:tc>
          <w:tcPr>
            <w:tcW w:w="1155" w:type="pct"/>
            <w:vAlign w:val="center"/>
          </w:tcPr>
          <w:p w:rsidR="004609CF" w:rsidP="009867CA" w14:paraId="1ADA179F" w14:textId="11FC578B">
            <w:pPr>
              <w:pStyle w:val="HTMLPreformatted"/>
              <w:jc w:val="center"/>
              <w:rPr>
                <w:rFonts w:ascii="Times New Roman" w:hAnsi="Times New Roman" w:cs="Times New Roman"/>
                <w:sz w:val="24"/>
                <w:szCs w:val="24"/>
              </w:rPr>
            </w:pPr>
            <w:r>
              <w:rPr>
                <w:rFonts w:ascii="Times New Roman" w:hAnsi="Times New Roman" w:cs="Times New Roman"/>
                <w:sz w:val="24"/>
                <w:szCs w:val="24"/>
              </w:rPr>
              <w:t>822</w:t>
            </w:r>
          </w:p>
        </w:tc>
      </w:tr>
      <w:tr w14:paraId="2EC84D5D" w14:textId="77777777" w:rsidTr="00006DAB">
        <w:tblPrEx>
          <w:tblW w:w="4909" w:type="pct"/>
          <w:tblInd w:w="-5" w:type="dxa"/>
          <w:tblLook w:val="01E0"/>
        </w:tblPrEx>
        <w:tc>
          <w:tcPr>
            <w:tcW w:w="1156" w:type="pct"/>
            <w:vAlign w:val="center"/>
          </w:tcPr>
          <w:p w:rsidR="004609CF" w:rsidP="00006DAB" w14:paraId="39C66346" w14:textId="77777777">
            <w:pPr>
              <w:pStyle w:val="HTMLPreformatted"/>
              <w:rPr>
                <w:rFonts w:ascii="Times New Roman" w:hAnsi="Times New Roman" w:cs="Times New Roman"/>
                <w:sz w:val="24"/>
                <w:szCs w:val="24"/>
              </w:rPr>
            </w:pPr>
            <w:r>
              <w:rPr>
                <w:rFonts w:ascii="Times New Roman" w:hAnsi="Times New Roman" w:cs="Times New Roman"/>
                <w:sz w:val="24"/>
                <w:szCs w:val="24"/>
              </w:rPr>
              <w:t>Malpractice</w:t>
            </w:r>
          </w:p>
          <w:p w:rsidR="004609CF" w:rsidP="00006DAB" w14:paraId="546E43A4" w14:textId="05BBCC40">
            <w:pPr>
              <w:pStyle w:val="HTMLPreformatted"/>
              <w:rPr>
                <w:rFonts w:ascii="Times New Roman" w:hAnsi="Times New Roman" w:cs="Times New Roman"/>
                <w:sz w:val="24"/>
                <w:szCs w:val="24"/>
              </w:rPr>
            </w:pPr>
            <w:r>
              <w:rPr>
                <w:rFonts w:ascii="Times New Roman" w:hAnsi="Times New Roman" w:cs="Times New Roman"/>
                <w:sz w:val="24"/>
                <w:szCs w:val="24"/>
              </w:rPr>
              <w:t>Verification</w:t>
            </w:r>
          </w:p>
        </w:tc>
        <w:tc>
          <w:tcPr>
            <w:tcW w:w="847" w:type="pct"/>
            <w:vAlign w:val="center"/>
          </w:tcPr>
          <w:p w:rsidR="004609CF" w:rsidP="004609CF" w14:paraId="2525C3AB" w14:textId="45DA17D5">
            <w:pPr>
              <w:pStyle w:val="HTMLPreformatted"/>
              <w:jc w:val="center"/>
              <w:rPr>
                <w:rFonts w:ascii="Times New Roman" w:hAnsi="Times New Roman" w:cs="Times New Roman"/>
                <w:sz w:val="24"/>
                <w:szCs w:val="24"/>
              </w:rPr>
            </w:pPr>
            <w:r>
              <w:rPr>
                <w:rFonts w:ascii="Times New Roman" w:hAnsi="Times New Roman" w:cs="Times New Roman"/>
                <w:sz w:val="24"/>
                <w:szCs w:val="24"/>
              </w:rPr>
              <w:t>2,535</w:t>
            </w:r>
          </w:p>
        </w:tc>
        <w:tc>
          <w:tcPr>
            <w:tcW w:w="920" w:type="pct"/>
            <w:vAlign w:val="center"/>
          </w:tcPr>
          <w:p w:rsidR="004609CF" w:rsidRPr="00086EAC" w:rsidP="004609CF" w14:paraId="34D04FD6" w14:textId="1A73ED69">
            <w:pPr>
              <w:pStyle w:val="HTMLPreformatted"/>
              <w:jc w:val="center"/>
              <w:rPr>
                <w:rFonts w:ascii="Times New Roman" w:hAnsi="Times New Roman" w:cs="Times New Roman"/>
                <w:sz w:val="24"/>
                <w:szCs w:val="24"/>
              </w:rPr>
            </w:pPr>
            <w:r>
              <w:rPr>
                <w:rFonts w:ascii="Times New Roman" w:hAnsi="Times New Roman" w:cs="Times New Roman"/>
                <w:sz w:val="24"/>
                <w:szCs w:val="24"/>
              </w:rPr>
              <w:t>1</w:t>
            </w:r>
          </w:p>
        </w:tc>
        <w:tc>
          <w:tcPr>
            <w:tcW w:w="922" w:type="pct"/>
            <w:vAlign w:val="center"/>
          </w:tcPr>
          <w:p w:rsidR="004609CF" w:rsidRPr="00086EAC" w:rsidP="004609CF" w14:paraId="3693A0FB" w14:textId="03209829">
            <w:pPr>
              <w:pStyle w:val="HTMLPreformatted"/>
              <w:jc w:val="center"/>
              <w:rPr>
                <w:rFonts w:ascii="Times New Roman" w:hAnsi="Times New Roman" w:cs="Times New Roman"/>
                <w:sz w:val="24"/>
                <w:szCs w:val="24"/>
              </w:rPr>
            </w:pPr>
            <w:r>
              <w:rPr>
                <w:rFonts w:ascii="Times New Roman" w:hAnsi="Times New Roman" w:cs="Times New Roman"/>
                <w:sz w:val="24"/>
                <w:szCs w:val="24"/>
              </w:rPr>
              <w:t>.25 (15 min)</w:t>
            </w:r>
          </w:p>
        </w:tc>
        <w:tc>
          <w:tcPr>
            <w:tcW w:w="1155" w:type="pct"/>
            <w:vAlign w:val="center"/>
          </w:tcPr>
          <w:p w:rsidR="004609CF" w:rsidP="009867CA" w14:paraId="589387A9" w14:textId="42D97FF0">
            <w:pPr>
              <w:pStyle w:val="HTMLPreformatted"/>
              <w:jc w:val="center"/>
              <w:rPr>
                <w:rFonts w:ascii="Times New Roman" w:hAnsi="Times New Roman" w:cs="Times New Roman"/>
                <w:sz w:val="24"/>
                <w:szCs w:val="24"/>
              </w:rPr>
            </w:pPr>
            <w:r>
              <w:rPr>
                <w:rFonts w:ascii="Times New Roman" w:hAnsi="Times New Roman" w:cs="Times New Roman"/>
                <w:sz w:val="24"/>
                <w:szCs w:val="24"/>
              </w:rPr>
              <w:t>634</w:t>
            </w:r>
          </w:p>
        </w:tc>
      </w:tr>
      <w:tr w14:paraId="579E5BC3" w14:textId="77777777" w:rsidTr="00006DAB">
        <w:tblPrEx>
          <w:tblW w:w="4909" w:type="pct"/>
          <w:tblInd w:w="-5" w:type="dxa"/>
          <w:tblLook w:val="01E0"/>
        </w:tblPrEx>
        <w:tc>
          <w:tcPr>
            <w:tcW w:w="1156" w:type="pct"/>
            <w:vAlign w:val="center"/>
          </w:tcPr>
          <w:p w:rsidR="00942721" w:rsidP="00006DAB" w14:paraId="760BA39F" w14:textId="04F68C28">
            <w:pPr>
              <w:pStyle w:val="HTMLPreformatted"/>
              <w:rPr>
                <w:rFonts w:ascii="Times New Roman" w:hAnsi="Times New Roman" w:cs="Times New Roman"/>
                <w:sz w:val="24"/>
                <w:szCs w:val="24"/>
              </w:rPr>
            </w:pPr>
            <w:r>
              <w:rPr>
                <w:rFonts w:ascii="Times New Roman" w:hAnsi="Times New Roman" w:cs="Times New Roman"/>
                <w:sz w:val="24"/>
                <w:szCs w:val="24"/>
              </w:rPr>
              <w:t>Peer Reference Verification</w:t>
            </w:r>
          </w:p>
        </w:tc>
        <w:tc>
          <w:tcPr>
            <w:tcW w:w="847" w:type="pct"/>
            <w:vAlign w:val="center"/>
          </w:tcPr>
          <w:p w:rsidR="00942721" w:rsidP="00942721" w14:paraId="3790EF64" w14:textId="6037572A">
            <w:pPr>
              <w:pStyle w:val="HTMLPreformatted"/>
              <w:jc w:val="center"/>
              <w:rPr>
                <w:rFonts w:ascii="Times New Roman" w:hAnsi="Times New Roman" w:cs="Times New Roman"/>
                <w:sz w:val="24"/>
                <w:szCs w:val="24"/>
              </w:rPr>
            </w:pPr>
            <w:r>
              <w:rPr>
                <w:rFonts w:ascii="Times New Roman" w:hAnsi="Times New Roman" w:cs="Times New Roman"/>
                <w:sz w:val="24"/>
                <w:szCs w:val="24"/>
              </w:rPr>
              <w:t>6,180</w:t>
            </w:r>
          </w:p>
        </w:tc>
        <w:tc>
          <w:tcPr>
            <w:tcW w:w="920" w:type="pct"/>
            <w:vAlign w:val="center"/>
          </w:tcPr>
          <w:p w:rsidR="00942721" w:rsidP="004609CF" w14:paraId="4E3CA712" w14:textId="21000FE8">
            <w:pPr>
              <w:pStyle w:val="HTMLPreformatted"/>
              <w:jc w:val="center"/>
              <w:rPr>
                <w:rFonts w:ascii="Times New Roman" w:hAnsi="Times New Roman" w:cs="Times New Roman"/>
                <w:sz w:val="24"/>
                <w:szCs w:val="24"/>
              </w:rPr>
            </w:pPr>
            <w:r>
              <w:rPr>
                <w:rFonts w:ascii="Times New Roman" w:hAnsi="Times New Roman" w:cs="Times New Roman"/>
                <w:sz w:val="24"/>
                <w:szCs w:val="24"/>
              </w:rPr>
              <w:t>1</w:t>
            </w:r>
          </w:p>
        </w:tc>
        <w:tc>
          <w:tcPr>
            <w:tcW w:w="922" w:type="pct"/>
            <w:vAlign w:val="center"/>
          </w:tcPr>
          <w:p w:rsidR="00942721" w:rsidP="004609CF" w14:paraId="07E22BEB" w14:textId="0A22F8BF">
            <w:pPr>
              <w:pStyle w:val="HTMLPreformatted"/>
              <w:jc w:val="center"/>
              <w:rPr>
                <w:rFonts w:ascii="Times New Roman" w:hAnsi="Times New Roman" w:cs="Times New Roman"/>
                <w:sz w:val="24"/>
                <w:szCs w:val="24"/>
              </w:rPr>
            </w:pPr>
            <w:r>
              <w:rPr>
                <w:rFonts w:ascii="Times New Roman" w:hAnsi="Times New Roman" w:cs="Times New Roman"/>
                <w:sz w:val="24"/>
                <w:szCs w:val="24"/>
              </w:rPr>
              <w:t>.25 (15 min)</w:t>
            </w:r>
          </w:p>
        </w:tc>
        <w:tc>
          <w:tcPr>
            <w:tcW w:w="1155" w:type="pct"/>
            <w:vAlign w:val="center"/>
          </w:tcPr>
          <w:p w:rsidR="00942721" w:rsidP="009867CA" w14:paraId="0ABB89B3" w14:textId="6A8710B7">
            <w:pPr>
              <w:pStyle w:val="HTMLPreformatted"/>
              <w:jc w:val="center"/>
              <w:rPr>
                <w:rFonts w:ascii="Times New Roman" w:hAnsi="Times New Roman" w:cs="Times New Roman"/>
                <w:sz w:val="24"/>
                <w:szCs w:val="24"/>
              </w:rPr>
            </w:pPr>
            <w:r>
              <w:rPr>
                <w:rFonts w:ascii="Times New Roman" w:hAnsi="Times New Roman" w:cs="Times New Roman"/>
                <w:sz w:val="24"/>
                <w:szCs w:val="24"/>
              </w:rPr>
              <w:t>1,545</w:t>
            </w:r>
          </w:p>
        </w:tc>
      </w:tr>
      <w:tr w14:paraId="7E80582D" w14:textId="77777777" w:rsidTr="0000208C">
        <w:tblPrEx>
          <w:tblW w:w="4909" w:type="pct"/>
          <w:tblInd w:w="-5" w:type="dxa"/>
          <w:tblLook w:val="01E0"/>
        </w:tblPrEx>
        <w:tc>
          <w:tcPr>
            <w:tcW w:w="1156" w:type="pct"/>
            <w:vAlign w:val="center"/>
          </w:tcPr>
          <w:p w:rsidR="0080174F" w:rsidRPr="00086EAC" w:rsidP="0080174F" w14:paraId="0EF383B9" w14:textId="18EA7894">
            <w:pPr>
              <w:pStyle w:val="HTMLPreformatted"/>
              <w:rPr>
                <w:rFonts w:ascii="Times New Roman" w:hAnsi="Times New Roman" w:cs="Times New Roman"/>
                <w:sz w:val="24"/>
                <w:szCs w:val="24"/>
              </w:rPr>
            </w:pPr>
            <w:r w:rsidRPr="0080174F">
              <w:rPr>
                <w:rFonts w:ascii="Times New Roman" w:hAnsi="Times New Roman" w:cs="Times New Roman"/>
                <w:sz w:val="24"/>
                <w:szCs w:val="24"/>
              </w:rPr>
              <w:t>Indian Health Service (IHS) Conditions of Application and Release</w:t>
            </w:r>
          </w:p>
        </w:tc>
        <w:tc>
          <w:tcPr>
            <w:tcW w:w="847" w:type="pct"/>
            <w:vAlign w:val="center"/>
          </w:tcPr>
          <w:p w:rsidR="0080174F" w:rsidP="0000208C" w14:paraId="2F1104CF" w14:textId="70EA61FE">
            <w:pPr>
              <w:pStyle w:val="HTMLPreformatted"/>
              <w:jc w:val="center"/>
              <w:rPr>
                <w:rFonts w:ascii="Times New Roman" w:hAnsi="Times New Roman" w:cs="Times New Roman"/>
                <w:sz w:val="24"/>
                <w:szCs w:val="24"/>
              </w:rPr>
            </w:pPr>
            <w:r>
              <w:rPr>
                <w:rFonts w:ascii="Times New Roman" w:hAnsi="Times New Roman" w:cs="Times New Roman"/>
                <w:sz w:val="24"/>
                <w:szCs w:val="24"/>
              </w:rPr>
              <w:t>3840</w:t>
            </w:r>
          </w:p>
        </w:tc>
        <w:tc>
          <w:tcPr>
            <w:tcW w:w="920" w:type="pct"/>
            <w:vAlign w:val="center"/>
          </w:tcPr>
          <w:p w:rsidR="0080174F" w:rsidRPr="00086EAC" w:rsidP="0000208C" w14:paraId="3AF2404F" w14:textId="7DB428A6">
            <w:pPr>
              <w:pStyle w:val="HTMLPreformatted"/>
              <w:jc w:val="center"/>
              <w:rPr>
                <w:rFonts w:ascii="Times New Roman" w:hAnsi="Times New Roman" w:cs="Times New Roman"/>
                <w:sz w:val="24"/>
                <w:szCs w:val="24"/>
              </w:rPr>
            </w:pPr>
            <w:r>
              <w:rPr>
                <w:rFonts w:ascii="Times New Roman" w:hAnsi="Times New Roman" w:cs="Times New Roman"/>
                <w:sz w:val="24"/>
                <w:szCs w:val="24"/>
              </w:rPr>
              <w:t>1</w:t>
            </w:r>
          </w:p>
        </w:tc>
        <w:tc>
          <w:tcPr>
            <w:tcW w:w="922" w:type="pct"/>
            <w:vAlign w:val="center"/>
          </w:tcPr>
          <w:p w:rsidR="0080174F" w:rsidP="0080174F" w14:paraId="7A99D8A2" w14:textId="70E56DFA">
            <w:pPr>
              <w:pStyle w:val="HTMLPreformatted"/>
              <w:jc w:val="center"/>
              <w:rPr>
                <w:rFonts w:ascii="Times New Roman" w:hAnsi="Times New Roman" w:cs="Times New Roman"/>
                <w:sz w:val="24"/>
                <w:szCs w:val="24"/>
              </w:rPr>
            </w:pPr>
            <w:r>
              <w:rPr>
                <w:rFonts w:ascii="Times New Roman" w:hAnsi="Times New Roman" w:cs="Times New Roman"/>
                <w:sz w:val="24"/>
                <w:szCs w:val="24"/>
              </w:rPr>
              <w:t>.083 (5 min)</w:t>
            </w:r>
          </w:p>
        </w:tc>
        <w:tc>
          <w:tcPr>
            <w:tcW w:w="1155" w:type="pct"/>
            <w:vAlign w:val="bottom"/>
          </w:tcPr>
          <w:p w:rsidR="0080174F" w:rsidP="0080174F" w14:paraId="7B18B90E" w14:textId="26BCDD03">
            <w:pPr>
              <w:pStyle w:val="HTMLPreformatted"/>
              <w:jc w:val="center"/>
              <w:rPr>
                <w:rFonts w:ascii="Times New Roman" w:hAnsi="Times New Roman" w:cs="Times New Roman"/>
                <w:sz w:val="24"/>
                <w:szCs w:val="24"/>
              </w:rPr>
            </w:pPr>
            <w:r>
              <w:rPr>
                <w:rFonts w:ascii="Times New Roman" w:hAnsi="Times New Roman" w:cs="Times New Roman"/>
                <w:sz w:val="24"/>
                <w:szCs w:val="24"/>
              </w:rPr>
              <w:t>320</w:t>
            </w:r>
          </w:p>
        </w:tc>
      </w:tr>
      <w:tr w14:paraId="04E5E7DB" w14:textId="77777777" w:rsidTr="0000208C">
        <w:tblPrEx>
          <w:tblW w:w="4909" w:type="pct"/>
          <w:tblInd w:w="-5" w:type="dxa"/>
          <w:tblLook w:val="01E0"/>
        </w:tblPrEx>
        <w:tc>
          <w:tcPr>
            <w:tcW w:w="1156" w:type="pct"/>
            <w:vAlign w:val="center"/>
          </w:tcPr>
          <w:p w:rsidR="0080174F" w:rsidRPr="0024195F" w:rsidP="0000208C" w14:paraId="303C1843" w14:textId="77777777">
            <w:pPr>
              <w:pStyle w:val="HTMLPreformatted"/>
              <w:jc w:val="right"/>
              <w:rPr>
                <w:rFonts w:ascii="Times New Roman" w:hAnsi="Times New Roman" w:cs="Times New Roman"/>
                <w:sz w:val="24"/>
                <w:szCs w:val="24"/>
                <w:highlight w:val="yellow"/>
              </w:rPr>
            </w:pPr>
            <w:r w:rsidRPr="00086EAC">
              <w:rPr>
                <w:rFonts w:ascii="Times New Roman" w:hAnsi="Times New Roman" w:cs="Times New Roman"/>
                <w:sz w:val="24"/>
                <w:szCs w:val="24"/>
              </w:rPr>
              <w:t>Total</w:t>
            </w:r>
          </w:p>
        </w:tc>
        <w:tc>
          <w:tcPr>
            <w:tcW w:w="847" w:type="pct"/>
            <w:vAlign w:val="center"/>
          </w:tcPr>
          <w:p w:rsidR="0080174F" w:rsidRPr="0024195F" w:rsidP="001F0957" w14:paraId="0C7B869A" w14:textId="4B7C99DA">
            <w:pPr>
              <w:pStyle w:val="HTMLPreformatted"/>
              <w:jc w:val="center"/>
              <w:rPr>
                <w:rFonts w:ascii="Times New Roman" w:hAnsi="Times New Roman" w:cs="Times New Roman"/>
                <w:sz w:val="24"/>
                <w:szCs w:val="24"/>
                <w:highlight w:val="yellow"/>
              </w:rPr>
            </w:pPr>
            <w:r>
              <w:rPr>
                <w:rFonts w:ascii="Times New Roman" w:hAnsi="Times New Roman" w:cs="Times New Roman"/>
                <w:sz w:val="24"/>
                <w:szCs w:val="24"/>
              </w:rPr>
              <w:t>2</w:t>
            </w:r>
            <w:r w:rsidR="001F0957">
              <w:rPr>
                <w:rFonts w:ascii="Times New Roman" w:hAnsi="Times New Roman" w:cs="Times New Roman"/>
                <w:sz w:val="24"/>
                <w:szCs w:val="24"/>
              </w:rPr>
              <w:t>4787</w:t>
            </w:r>
          </w:p>
        </w:tc>
        <w:tc>
          <w:tcPr>
            <w:tcW w:w="920" w:type="pct"/>
            <w:vAlign w:val="center"/>
          </w:tcPr>
          <w:p w:rsidR="0080174F" w:rsidRPr="00086EAC" w:rsidP="0000208C" w14:paraId="79E787A0" w14:textId="77777777">
            <w:pPr>
              <w:pStyle w:val="HTMLPreformatted"/>
              <w:jc w:val="center"/>
              <w:rPr>
                <w:rFonts w:ascii="Times New Roman" w:hAnsi="Times New Roman" w:cs="Times New Roman"/>
                <w:sz w:val="24"/>
                <w:szCs w:val="24"/>
              </w:rPr>
            </w:pPr>
            <w:r w:rsidRPr="00086EAC">
              <w:rPr>
                <w:rFonts w:ascii="Times New Roman" w:hAnsi="Times New Roman" w:cs="Times New Roman"/>
                <w:sz w:val="24"/>
                <w:szCs w:val="24"/>
              </w:rPr>
              <w:t>-</w:t>
            </w:r>
          </w:p>
        </w:tc>
        <w:tc>
          <w:tcPr>
            <w:tcW w:w="922" w:type="pct"/>
            <w:vAlign w:val="center"/>
          </w:tcPr>
          <w:p w:rsidR="0080174F" w:rsidRPr="00086EAC" w:rsidP="0000208C" w14:paraId="424B027B" w14:textId="77777777">
            <w:pPr>
              <w:pStyle w:val="HTMLPreformatted"/>
              <w:jc w:val="center"/>
              <w:rPr>
                <w:rFonts w:ascii="Times New Roman" w:hAnsi="Times New Roman" w:cs="Times New Roman"/>
                <w:sz w:val="24"/>
                <w:szCs w:val="24"/>
              </w:rPr>
            </w:pPr>
            <w:r>
              <w:rPr>
                <w:rFonts w:ascii="Times New Roman" w:hAnsi="Times New Roman" w:cs="Times New Roman"/>
                <w:sz w:val="24"/>
                <w:szCs w:val="24"/>
              </w:rPr>
              <w:t>-</w:t>
            </w:r>
          </w:p>
        </w:tc>
        <w:tc>
          <w:tcPr>
            <w:tcW w:w="1155" w:type="pct"/>
            <w:vAlign w:val="bottom"/>
          </w:tcPr>
          <w:p w:rsidR="0080174F" w:rsidRPr="00591948" w:rsidP="001F0957" w14:paraId="52AAFE2D" w14:textId="6D159863">
            <w:pPr>
              <w:pStyle w:val="HTMLPreformatted"/>
              <w:jc w:val="center"/>
              <w:rPr>
                <w:rFonts w:ascii="Times New Roman" w:hAnsi="Times New Roman" w:cs="Times New Roman"/>
                <w:sz w:val="24"/>
                <w:szCs w:val="24"/>
              </w:rPr>
            </w:pPr>
            <w:r>
              <w:rPr>
                <w:rFonts w:ascii="Times New Roman" w:hAnsi="Times New Roman" w:cs="Times New Roman"/>
                <w:sz w:val="24"/>
                <w:szCs w:val="24"/>
              </w:rPr>
              <w:t>6,</w:t>
            </w:r>
            <w:r w:rsidR="001F0957">
              <w:rPr>
                <w:rFonts w:ascii="Times New Roman" w:hAnsi="Times New Roman" w:cs="Times New Roman"/>
                <w:sz w:val="24"/>
                <w:szCs w:val="24"/>
              </w:rPr>
              <w:t>747</w:t>
            </w:r>
          </w:p>
        </w:tc>
      </w:tr>
      <w:tr w14:paraId="771EDD41" w14:textId="77777777" w:rsidTr="00006DAB">
        <w:tblPrEx>
          <w:tblW w:w="4909" w:type="pct"/>
          <w:tblInd w:w="-5" w:type="dxa"/>
          <w:tblLook w:val="01E0"/>
        </w:tblPrEx>
        <w:tc>
          <w:tcPr>
            <w:tcW w:w="1156" w:type="pct"/>
            <w:vAlign w:val="center"/>
          </w:tcPr>
          <w:p w:rsidR="0080174F" w:rsidRPr="00086EAC" w:rsidP="00006DAB" w14:paraId="2987B84C" w14:textId="77777777">
            <w:pPr>
              <w:pStyle w:val="HTMLPreformatted"/>
              <w:jc w:val="right"/>
              <w:rPr>
                <w:rFonts w:ascii="Times New Roman" w:hAnsi="Times New Roman" w:cs="Times New Roman"/>
                <w:sz w:val="24"/>
                <w:szCs w:val="24"/>
              </w:rPr>
            </w:pPr>
          </w:p>
        </w:tc>
        <w:tc>
          <w:tcPr>
            <w:tcW w:w="847" w:type="pct"/>
            <w:vAlign w:val="center"/>
          </w:tcPr>
          <w:p w:rsidR="0080174F" w:rsidP="009E5CCF" w14:paraId="56B60D0E" w14:textId="77777777">
            <w:pPr>
              <w:pStyle w:val="HTMLPreformatted"/>
              <w:jc w:val="center"/>
              <w:rPr>
                <w:rFonts w:ascii="Times New Roman" w:hAnsi="Times New Roman" w:cs="Times New Roman"/>
                <w:sz w:val="24"/>
                <w:szCs w:val="24"/>
              </w:rPr>
            </w:pPr>
          </w:p>
        </w:tc>
        <w:tc>
          <w:tcPr>
            <w:tcW w:w="920" w:type="pct"/>
            <w:vAlign w:val="center"/>
          </w:tcPr>
          <w:p w:rsidR="0080174F" w:rsidRPr="00086EAC" w:rsidP="004609CF" w14:paraId="211FBCF0" w14:textId="77777777">
            <w:pPr>
              <w:pStyle w:val="HTMLPreformatted"/>
              <w:jc w:val="center"/>
              <w:rPr>
                <w:rFonts w:ascii="Times New Roman" w:hAnsi="Times New Roman" w:cs="Times New Roman"/>
                <w:sz w:val="24"/>
                <w:szCs w:val="24"/>
              </w:rPr>
            </w:pPr>
          </w:p>
        </w:tc>
        <w:tc>
          <w:tcPr>
            <w:tcW w:w="922" w:type="pct"/>
            <w:vAlign w:val="center"/>
          </w:tcPr>
          <w:p w:rsidR="0080174F" w:rsidP="004609CF" w14:paraId="599FF769" w14:textId="77777777">
            <w:pPr>
              <w:pStyle w:val="HTMLPreformatted"/>
              <w:jc w:val="center"/>
              <w:rPr>
                <w:rFonts w:ascii="Times New Roman" w:hAnsi="Times New Roman" w:cs="Times New Roman"/>
                <w:sz w:val="24"/>
                <w:szCs w:val="24"/>
              </w:rPr>
            </w:pPr>
          </w:p>
        </w:tc>
        <w:tc>
          <w:tcPr>
            <w:tcW w:w="1155" w:type="pct"/>
            <w:vAlign w:val="bottom"/>
          </w:tcPr>
          <w:p w:rsidR="0080174F" w:rsidP="009867CA" w14:paraId="68E36822" w14:textId="77777777">
            <w:pPr>
              <w:pStyle w:val="HTMLPreformatted"/>
              <w:jc w:val="center"/>
              <w:rPr>
                <w:rFonts w:ascii="Times New Roman" w:hAnsi="Times New Roman" w:cs="Times New Roman"/>
                <w:sz w:val="24"/>
                <w:szCs w:val="24"/>
              </w:rPr>
            </w:pPr>
          </w:p>
        </w:tc>
      </w:tr>
    </w:tbl>
    <w:p w:rsidR="00A00880" w:rsidRPr="008E0086" w:rsidP="009E37B0" w14:paraId="6CB9BE88" w14:textId="77777777">
      <w:pPr>
        <w:pStyle w:val="HTMLPreformatted"/>
        <w:rPr>
          <w:rFonts w:ascii="Times New Roman" w:hAnsi="Times New Roman" w:cs="Times New Roman"/>
          <w:color w:val="000000" w:themeColor="text1"/>
          <w:sz w:val="24"/>
          <w:szCs w:val="24"/>
        </w:rPr>
      </w:pPr>
    </w:p>
    <w:p w:rsidR="00D471AA" w:rsidP="009E37B0" w14:paraId="7935078A" w14:textId="7777777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For ease of understanding</w:t>
      </w:r>
      <w:r>
        <w:rPr>
          <w:rFonts w:ascii="Times New Roman" w:hAnsi="Times New Roman" w:cs="Times New Roman"/>
          <w:color w:val="000000" w:themeColor="text1"/>
          <w:sz w:val="24"/>
          <w:szCs w:val="24"/>
        </w:rPr>
        <w:t>:</w:t>
      </w:r>
    </w:p>
    <w:p w:rsidR="008E3B16" w:rsidP="009E37B0" w14:paraId="2CCF64D6" w14:textId="7C0349C6">
      <w:pPr>
        <w:pStyle w:val="HTMLPreformatted"/>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8E00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Average B</w:t>
      </w:r>
      <w:r w:rsidRPr="008E0086">
        <w:rPr>
          <w:rFonts w:ascii="Times New Roman" w:hAnsi="Times New Roman" w:cs="Times New Roman"/>
          <w:color w:val="000000" w:themeColor="text1"/>
          <w:sz w:val="24"/>
          <w:szCs w:val="24"/>
        </w:rPr>
        <w:t xml:space="preserve">urden </w:t>
      </w:r>
      <w:r>
        <w:rPr>
          <w:rFonts w:ascii="Times New Roman" w:hAnsi="Times New Roman" w:cs="Times New Roman"/>
          <w:color w:val="000000" w:themeColor="text1"/>
          <w:sz w:val="24"/>
          <w:szCs w:val="24"/>
        </w:rPr>
        <w:t xml:space="preserve">Hour </w:t>
      </w:r>
      <w:r w:rsidR="00C446C9">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er</w:t>
      </w:r>
      <w:r>
        <w:rPr>
          <w:rFonts w:ascii="Times New Roman" w:hAnsi="Times New Roman" w:cs="Times New Roman"/>
          <w:color w:val="000000" w:themeColor="text1"/>
          <w:sz w:val="24"/>
          <w:szCs w:val="24"/>
        </w:rPr>
        <w:t xml:space="preserve"> Response</w:t>
      </w:r>
      <w:r w:rsidRPr="008E0086">
        <w:rPr>
          <w:rFonts w:ascii="Times New Roman" w:hAnsi="Times New Roman" w:cs="Times New Roman"/>
          <w:color w:val="000000" w:themeColor="text1"/>
          <w:sz w:val="24"/>
          <w:szCs w:val="24"/>
        </w:rPr>
        <w:t xml:space="preserve"> are provided in actual minutes. </w:t>
      </w:r>
    </w:p>
    <w:p w:rsidR="00D471AA" w:rsidRPr="008E0086" w:rsidP="009E37B0" w14:paraId="0A4969A0" w14:textId="04750F8B">
      <w:pPr>
        <w:pStyle w:val="HTMLPreformatted"/>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Total </w:t>
      </w:r>
      <w:r w:rsidR="00C446C9">
        <w:rPr>
          <w:rFonts w:ascii="Times New Roman" w:hAnsi="Times New Roman" w:cs="Times New Roman"/>
          <w:color w:val="000000" w:themeColor="text1"/>
          <w:sz w:val="24"/>
          <w:szCs w:val="24"/>
        </w:rPr>
        <w:t>Annual</w:t>
      </w:r>
      <w:r>
        <w:rPr>
          <w:rFonts w:ascii="Times New Roman" w:hAnsi="Times New Roman" w:cs="Times New Roman"/>
          <w:color w:val="000000" w:themeColor="text1"/>
          <w:sz w:val="24"/>
          <w:szCs w:val="24"/>
        </w:rPr>
        <w:t xml:space="preserve"> Burden (Current) are provided in hours.</w:t>
      </w:r>
    </w:p>
    <w:p w:rsidR="008E3B16" w:rsidRPr="008E0086" w14:paraId="2B5C4248"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A00880" w:rsidP="007852F3" w14:paraId="1B3128D0" w14:textId="4E40FA35">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Annual number of respondents</w:t>
      </w:r>
      <w:r w:rsidR="008B5C67">
        <w:rPr>
          <w:color w:val="000000" w:themeColor="text1"/>
          <w:szCs w:val="24"/>
        </w:rPr>
        <w:t xml:space="preserve"> and average burden hour</w:t>
      </w:r>
      <w:r w:rsidRPr="007852F3">
        <w:rPr>
          <w:color w:val="000000" w:themeColor="text1"/>
          <w:szCs w:val="24"/>
        </w:rPr>
        <w:t xml:space="preserve"> were factored based on total IHS providers credentialed and privileged </w:t>
      </w:r>
      <w:r w:rsidR="007913BF">
        <w:rPr>
          <w:color w:val="000000" w:themeColor="text1"/>
          <w:szCs w:val="24"/>
        </w:rPr>
        <w:t>Calendar Year (</w:t>
      </w:r>
      <w:r w:rsidR="009867CA">
        <w:rPr>
          <w:color w:val="000000" w:themeColor="text1"/>
          <w:szCs w:val="24"/>
        </w:rPr>
        <w:t>C</w:t>
      </w:r>
      <w:r w:rsidR="00414D4C">
        <w:rPr>
          <w:color w:val="000000" w:themeColor="text1"/>
          <w:szCs w:val="24"/>
        </w:rPr>
        <w:t>Y</w:t>
      </w:r>
      <w:r w:rsidR="007913BF">
        <w:rPr>
          <w:color w:val="000000" w:themeColor="text1"/>
          <w:szCs w:val="24"/>
        </w:rPr>
        <w:t xml:space="preserve">) </w:t>
      </w:r>
      <w:r w:rsidR="00F418A2">
        <w:rPr>
          <w:color w:val="000000" w:themeColor="text1"/>
          <w:szCs w:val="24"/>
        </w:rPr>
        <w:t>20</w:t>
      </w:r>
      <w:r w:rsidR="00414D4C">
        <w:rPr>
          <w:color w:val="000000" w:themeColor="text1"/>
          <w:szCs w:val="24"/>
        </w:rPr>
        <w:t>22</w:t>
      </w:r>
      <w:r w:rsidR="000B269B">
        <w:rPr>
          <w:color w:val="000000" w:themeColor="text1"/>
          <w:szCs w:val="24"/>
        </w:rPr>
        <w:t>, accreditation requirements with estimates of verification per applicant</w:t>
      </w:r>
      <w:r w:rsidR="008B5C67">
        <w:rPr>
          <w:color w:val="000000" w:themeColor="text1"/>
          <w:szCs w:val="24"/>
        </w:rPr>
        <w:t xml:space="preserve"> and respondent estimate time of completion</w:t>
      </w:r>
      <w:r w:rsidRPr="007852F3">
        <w:rPr>
          <w:color w:val="000000" w:themeColor="text1"/>
          <w:szCs w:val="24"/>
        </w:rPr>
        <w:t xml:space="preserve"> in the paragraphs above.  </w:t>
      </w:r>
    </w:p>
    <w:p w:rsidR="008E3B16" w:rsidRPr="008E0086" w:rsidP="007852F3" w14:paraId="7E95799A" w14:textId="40212C85">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w:t>
      </w:r>
    </w:p>
    <w:p w:rsidR="008E3B16" w:rsidRPr="008E0086" w14:paraId="58B9B2D3" w14:textId="1BA5328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Pr>
          <w:b/>
          <w:color w:val="000000" w:themeColor="text1"/>
          <w:szCs w:val="24"/>
        </w:rPr>
        <w:tab/>
      </w:r>
      <w:r w:rsidRPr="008E0086">
        <w:rPr>
          <w:b/>
          <w:color w:val="000000" w:themeColor="text1"/>
          <w:szCs w:val="24"/>
        </w:rPr>
        <w:t>13.</w:t>
      </w:r>
      <w:r w:rsidRPr="008E0086">
        <w:rPr>
          <w:b/>
          <w:color w:val="000000" w:themeColor="text1"/>
          <w:szCs w:val="24"/>
        </w:rPr>
        <w:tab/>
      </w:r>
      <w:r w:rsidRPr="008E0086">
        <w:rPr>
          <w:b/>
          <w:color w:val="000000" w:themeColor="text1"/>
          <w:szCs w:val="24"/>
          <w:u w:val="single"/>
        </w:rPr>
        <w:t xml:space="preserve">Estimates of </w:t>
      </w:r>
      <w:r w:rsidR="001F21A8">
        <w:rPr>
          <w:b/>
          <w:color w:val="000000" w:themeColor="text1"/>
          <w:szCs w:val="24"/>
          <w:u w:val="single"/>
        </w:rPr>
        <w:t>A</w:t>
      </w:r>
      <w:r w:rsidR="00574932">
        <w:rPr>
          <w:b/>
          <w:color w:val="000000" w:themeColor="text1"/>
          <w:szCs w:val="24"/>
          <w:u w:val="single"/>
        </w:rPr>
        <w:t xml:space="preserve">nnualized </w:t>
      </w:r>
      <w:r w:rsidR="001F21A8">
        <w:rPr>
          <w:b/>
          <w:color w:val="000000" w:themeColor="text1"/>
          <w:szCs w:val="24"/>
          <w:u w:val="single"/>
        </w:rPr>
        <w:t>C</w:t>
      </w:r>
      <w:r w:rsidR="00574932">
        <w:rPr>
          <w:b/>
          <w:color w:val="000000" w:themeColor="text1"/>
          <w:szCs w:val="24"/>
          <w:u w:val="single"/>
        </w:rPr>
        <w:t xml:space="preserve">ost to </w:t>
      </w:r>
      <w:r w:rsidR="001F21A8">
        <w:rPr>
          <w:b/>
          <w:color w:val="000000" w:themeColor="text1"/>
          <w:szCs w:val="24"/>
          <w:u w:val="single"/>
        </w:rPr>
        <w:t>R</w:t>
      </w:r>
      <w:r w:rsidRPr="008E0086">
        <w:rPr>
          <w:b/>
          <w:color w:val="000000" w:themeColor="text1"/>
          <w:szCs w:val="24"/>
          <w:u w:val="single"/>
        </w:rPr>
        <w:t xml:space="preserve">espondents </w:t>
      </w:r>
      <w:r w:rsidR="00574932">
        <w:rPr>
          <w:b/>
          <w:color w:val="000000" w:themeColor="text1"/>
          <w:szCs w:val="24"/>
          <w:u w:val="single"/>
        </w:rPr>
        <w:t xml:space="preserve">for the </w:t>
      </w:r>
      <w:r w:rsidR="001F21A8">
        <w:rPr>
          <w:b/>
          <w:color w:val="000000" w:themeColor="text1"/>
          <w:szCs w:val="24"/>
          <w:u w:val="single"/>
        </w:rPr>
        <w:t>H</w:t>
      </w:r>
      <w:r w:rsidR="00574932">
        <w:rPr>
          <w:b/>
          <w:color w:val="000000" w:themeColor="text1"/>
          <w:szCs w:val="24"/>
          <w:u w:val="single"/>
        </w:rPr>
        <w:t xml:space="preserve">our </w:t>
      </w:r>
      <w:r w:rsidR="001F21A8">
        <w:rPr>
          <w:b/>
          <w:color w:val="000000" w:themeColor="text1"/>
          <w:szCs w:val="24"/>
          <w:u w:val="single"/>
        </w:rPr>
        <w:t>B</w:t>
      </w:r>
      <w:r w:rsidR="00574932">
        <w:rPr>
          <w:b/>
          <w:color w:val="000000" w:themeColor="text1"/>
          <w:szCs w:val="24"/>
          <w:u w:val="single"/>
        </w:rPr>
        <w:t xml:space="preserve">urdens for </w:t>
      </w:r>
      <w:r w:rsidR="001F21A8">
        <w:rPr>
          <w:b/>
          <w:color w:val="000000" w:themeColor="text1"/>
          <w:szCs w:val="24"/>
          <w:u w:val="single"/>
        </w:rPr>
        <w:t>C</w:t>
      </w:r>
      <w:r w:rsidR="00574932">
        <w:rPr>
          <w:b/>
          <w:color w:val="000000" w:themeColor="text1"/>
          <w:szCs w:val="24"/>
          <w:u w:val="single"/>
        </w:rPr>
        <w:t xml:space="preserve">ollections of </w:t>
      </w:r>
      <w:r w:rsidR="001F21A8">
        <w:rPr>
          <w:b/>
          <w:color w:val="000000" w:themeColor="text1"/>
          <w:szCs w:val="24"/>
          <w:u w:val="single"/>
        </w:rPr>
        <w:t>I</w:t>
      </w:r>
      <w:r w:rsidR="00574932">
        <w:rPr>
          <w:b/>
          <w:color w:val="000000" w:themeColor="text1"/>
          <w:szCs w:val="24"/>
          <w:u w:val="single"/>
        </w:rPr>
        <w:t xml:space="preserve">nformation, </w:t>
      </w:r>
      <w:r w:rsidR="001F21A8">
        <w:rPr>
          <w:b/>
          <w:color w:val="000000" w:themeColor="text1"/>
          <w:szCs w:val="24"/>
          <w:u w:val="single"/>
        </w:rPr>
        <w:t>I</w:t>
      </w:r>
      <w:r w:rsidR="00574932">
        <w:rPr>
          <w:b/>
          <w:color w:val="000000" w:themeColor="text1"/>
          <w:szCs w:val="24"/>
          <w:u w:val="single"/>
        </w:rPr>
        <w:t xml:space="preserve">dentifying and </w:t>
      </w:r>
      <w:r w:rsidR="001F21A8">
        <w:rPr>
          <w:b/>
          <w:color w:val="000000" w:themeColor="text1"/>
          <w:szCs w:val="24"/>
          <w:u w:val="single"/>
        </w:rPr>
        <w:t>U</w:t>
      </w:r>
      <w:r w:rsidR="00574932">
        <w:rPr>
          <w:b/>
          <w:color w:val="000000" w:themeColor="text1"/>
          <w:szCs w:val="24"/>
          <w:u w:val="single"/>
        </w:rPr>
        <w:t xml:space="preserve">sing </w:t>
      </w:r>
      <w:r w:rsidR="001F21A8">
        <w:rPr>
          <w:b/>
          <w:color w:val="000000" w:themeColor="text1"/>
          <w:szCs w:val="24"/>
          <w:u w:val="single"/>
        </w:rPr>
        <w:t>A</w:t>
      </w:r>
      <w:r w:rsidR="00574932">
        <w:rPr>
          <w:b/>
          <w:color w:val="000000" w:themeColor="text1"/>
          <w:szCs w:val="24"/>
          <w:u w:val="single"/>
        </w:rPr>
        <w:t xml:space="preserve">ppropriate </w:t>
      </w:r>
      <w:r w:rsidR="001F21A8">
        <w:rPr>
          <w:b/>
          <w:color w:val="000000" w:themeColor="text1"/>
          <w:szCs w:val="24"/>
          <w:u w:val="single"/>
        </w:rPr>
        <w:t>W</w:t>
      </w:r>
      <w:r w:rsidR="00574932">
        <w:rPr>
          <w:b/>
          <w:color w:val="000000" w:themeColor="text1"/>
          <w:szCs w:val="24"/>
          <w:u w:val="single"/>
        </w:rPr>
        <w:t xml:space="preserve">age </w:t>
      </w:r>
      <w:r w:rsidR="001F21A8">
        <w:rPr>
          <w:b/>
          <w:color w:val="000000" w:themeColor="text1"/>
          <w:szCs w:val="24"/>
          <w:u w:val="single"/>
        </w:rPr>
        <w:t>R</w:t>
      </w:r>
      <w:r w:rsidR="00574932">
        <w:rPr>
          <w:b/>
          <w:color w:val="000000" w:themeColor="text1"/>
          <w:szCs w:val="24"/>
          <w:u w:val="single"/>
        </w:rPr>
        <w:t xml:space="preserve">ate </w:t>
      </w:r>
      <w:r w:rsidR="001F21A8">
        <w:rPr>
          <w:b/>
          <w:color w:val="000000" w:themeColor="text1"/>
          <w:szCs w:val="24"/>
          <w:u w:val="single"/>
        </w:rPr>
        <w:t>C</w:t>
      </w:r>
      <w:r w:rsidR="00574932">
        <w:rPr>
          <w:b/>
          <w:color w:val="000000" w:themeColor="text1"/>
          <w:szCs w:val="24"/>
          <w:u w:val="single"/>
        </w:rPr>
        <w:t>ategories</w:t>
      </w:r>
    </w:p>
    <w:p w:rsidR="008E3B16" w:rsidRPr="008E0086" w14:paraId="670E273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2503254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Except for their time to complete the necessary application process, there is no annual cost burden to respondents for this inf</w:t>
      </w:r>
      <w:r w:rsidRPr="008E0086" w:rsidR="005C2CE9">
        <w:rPr>
          <w:color w:val="000000" w:themeColor="text1"/>
          <w:szCs w:val="24"/>
        </w:rPr>
        <w:t xml:space="preserve">ormation collection activity.  </w:t>
      </w:r>
      <w:r w:rsidRPr="008E0086">
        <w:rPr>
          <w:color w:val="000000" w:themeColor="text1"/>
          <w:szCs w:val="24"/>
        </w:rPr>
        <w:t>This information collection places no additional computer or record keeping requirements upon the respondents.  It will not require any capital equipment or create any start-up costs, and will not create additional costs associated with generating, maintaining, and disclosing or providing the information.</w:t>
      </w:r>
    </w:p>
    <w:p w:rsidR="008E3B16" w:rsidRPr="008E0086" w14:paraId="04BAB6E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774096" w14:paraId="0A0814D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Pr>
          <w:b/>
          <w:color w:val="000000" w:themeColor="text1"/>
          <w:szCs w:val="24"/>
        </w:rPr>
        <w:tab/>
      </w:r>
      <w:r w:rsidRPr="00774096">
        <w:rPr>
          <w:b/>
          <w:color w:val="000000" w:themeColor="text1"/>
          <w:szCs w:val="24"/>
        </w:rPr>
        <w:t>14.</w:t>
      </w:r>
      <w:r w:rsidRPr="00774096">
        <w:rPr>
          <w:b/>
          <w:color w:val="000000" w:themeColor="text1"/>
          <w:szCs w:val="24"/>
        </w:rPr>
        <w:tab/>
      </w:r>
      <w:r w:rsidRPr="00774096">
        <w:rPr>
          <w:b/>
          <w:color w:val="000000" w:themeColor="text1"/>
          <w:szCs w:val="24"/>
          <w:u w:val="single"/>
        </w:rPr>
        <w:t>Annualized Cost to Federal Government</w:t>
      </w:r>
    </w:p>
    <w:p w:rsidR="008E3B16" w:rsidRPr="00774096" w14:paraId="731429CF" w14:textId="77777777">
      <w:pPr>
        <w:widowControl w:val="0"/>
        <w:tabs>
          <w:tab w:val="center" w:pos="4680"/>
        </w:tabs>
        <w:rPr>
          <w:color w:val="000000" w:themeColor="text1"/>
          <w:szCs w:val="24"/>
        </w:rPr>
      </w:pPr>
      <w:r w:rsidRPr="00774096">
        <w:rPr>
          <w:color w:val="000000" w:themeColor="text1"/>
          <w:szCs w:val="24"/>
        </w:rPr>
        <w:tab/>
      </w:r>
    </w:p>
    <w:p w:rsidR="00F77647" w:rsidP="00D86B1A" w14:paraId="35932B80" w14:textId="42A50C53">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74096">
        <w:rPr>
          <w:color w:val="000000" w:themeColor="text1"/>
          <w:szCs w:val="24"/>
        </w:rPr>
        <w:t xml:space="preserve">The estimated annual cost to the Federal Government for this information collection activity </w:t>
      </w:r>
      <w:r w:rsidRPr="00774096">
        <w:rPr>
          <w:szCs w:val="24"/>
        </w:rPr>
        <w:t>is $</w:t>
      </w:r>
      <w:r w:rsidRPr="00DF0E43">
        <w:rPr>
          <w:szCs w:val="24"/>
        </w:rPr>
        <w:t>2.</w:t>
      </w:r>
      <w:r w:rsidR="00951E8C">
        <w:rPr>
          <w:szCs w:val="24"/>
        </w:rPr>
        <w:t>8</w:t>
      </w:r>
      <w:r w:rsidRPr="00DF0E43">
        <w:rPr>
          <w:szCs w:val="24"/>
        </w:rPr>
        <w:t xml:space="preserve"> million</w:t>
      </w:r>
      <w:r w:rsidR="00951E8C">
        <w:rPr>
          <w:szCs w:val="24"/>
        </w:rPr>
        <w:t xml:space="preserve"> based on </w:t>
      </w:r>
      <w:r w:rsidR="00B10DE3">
        <w:rPr>
          <w:szCs w:val="24"/>
        </w:rPr>
        <w:t xml:space="preserve">fiscal year </w:t>
      </w:r>
      <w:r w:rsidR="00951E8C">
        <w:rPr>
          <w:szCs w:val="24"/>
        </w:rPr>
        <w:t>2023</w:t>
      </w:r>
      <w:r w:rsidRPr="00774096">
        <w:rPr>
          <w:szCs w:val="24"/>
        </w:rPr>
        <w:t xml:space="preserve">.  </w:t>
      </w:r>
    </w:p>
    <w:p w:rsidR="00F77647" w:rsidP="00D86B1A" w14:paraId="01023FC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D86B1A" w:rsidP="00D86B1A" w14:paraId="047F4782" w14:textId="4A4E31D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D86B1A">
        <w:rPr>
          <w:color w:val="000000" w:themeColor="text1"/>
          <w:szCs w:val="24"/>
        </w:rPr>
        <w:t>The initial purchase and implementation of a Credentialing/Provisioning IT solution will be supported by No</w:t>
      </w:r>
      <w:r w:rsidR="00014802">
        <w:rPr>
          <w:color w:val="000000" w:themeColor="text1"/>
          <w:szCs w:val="24"/>
        </w:rPr>
        <w:t>n-</w:t>
      </w:r>
      <w:r w:rsidRPr="00D86B1A">
        <w:rPr>
          <w:color w:val="000000" w:themeColor="text1"/>
          <w:szCs w:val="24"/>
        </w:rPr>
        <w:t xml:space="preserve">Recurring </w:t>
      </w:r>
      <w:r w:rsidR="00014802">
        <w:rPr>
          <w:color w:val="000000" w:themeColor="text1"/>
          <w:szCs w:val="24"/>
        </w:rPr>
        <w:t xml:space="preserve">Emergency </w:t>
      </w:r>
      <w:r w:rsidRPr="00D86B1A">
        <w:rPr>
          <w:color w:val="000000" w:themeColor="text1"/>
          <w:szCs w:val="24"/>
        </w:rPr>
        <w:t xml:space="preserve">Funding (NEF). </w:t>
      </w:r>
      <w:r w:rsidR="00E107B2">
        <w:rPr>
          <w:color w:val="000000" w:themeColor="text1"/>
          <w:szCs w:val="24"/>
        </w:rPr>
        <w:t xml:space="preserve"> </w:t>
      </w:r>
      <w:r w:rsidRPr="00D86B1A">
        <w:rPr>
          <w:color w:val="000000" w:themeColor="text1"/>
          <w:szCs w:val="24"/>
        </w:rPr>
        <w:t>Funding is included for hardware, software, training, security, risk management, and Enterprise Performance Life Cycle (EPLC).</w:t>
      </w:r>
    </w:p>
    <w:p w:rsidR="00D86B1A" w:rsidRPr="00D86B1A" w:rsidP="00D86B1A" w14:paraId="0212027B" w14:textId="21E701D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  </w:t>
      </w:r>
    </w:p>
    <w:p w:rsidR="00D86B1A" w:rsidP="00D86B1A" w14:paraId="7ADE672A" w14:textId="564CE8A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The</w:t>
      </w:r>
      <w:r w:rsidRPr="00D86B1A">
        <w:rPr>
          <w:color w:val="000000" w:themeColor="text1"/>
          <w:szCs w:val="24"/>
        </w:rPr>
        <w:t xml:space="preserve"> cost are as follows:</w:t>
      </w:r>
    </w:p>
    <w:p w:rsidR="00D86B1A" w:rsidP="00D86B1A" w14:paraId="703D6C5C" w14:textId="7D61983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1260"/>
        <w:gridCol w:w="1260"/>
        <w:gridCol w:w="1260"/>
        <w:gridCol w:w="1260"/>
        <w:gridCol w:w="1255"/>
        <w:gridCol w:w="1350"/>
      </w:tblGrid>
      <w:tr w14:paraId="12510B0C" w14:textId="77777777" w:rsidTr="00054AB6">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2430" w:type="dxa"/>
            <w:shd w:val="clear" w:color="auto" w:fill="auto"/>
            <w:noWrap/>
            <w:vAlign w:val="bottom"/>
            <w:hideMark/>
          </w:tcPr>
          <w:p w:rsidR="00DF0E43" w:rsidRPr="00DF0E43" w:rsidP="00DF0E43" w14:paraId="6E6CB12A" w14:textId="77777777">
            <w:pPr>
              <w:rPr>
                <w:sz w:val="20"/>
                <w:szCs w:val="24"/>
              </w:rPr>
            </w:pPr>
          </w:p>
        </w:tc>
        <w:tc>
          <w:tcPr>
            <w:tcW w:w="1260" w:type="dxa"/>
            <w:shd w:val="clear" w:color="auto" w:fill="auto"/>
            <w:noWrap/>
            <w:vAlign w:val="bottom"/>
            <w:hideMark/>
          </w:tcPr>
          <w:p w:rsidR="00DF0E43" w:rsidRPr="00227A6E" w:rsidP="00DF0E43" w14:paraId="5AD596A9" w14:textId="2B8F704E">
            <w:pPr>
              <w:jc w:val="center"/>
              <w:rPr>
                <w:color w:val="000000"/>
                <w:sz w:val="22"/>
              </w:rPr>
            </w:pPr>
            <w:r w:rsidRPr="007913BF">
              <w:rPr>
                <w:color w:val="000000"/>
                <w:sz w:val="22"/>
                <w:szCs w:val="22"/>
              </w:rPr>
              <w:t>F</w:t>
            </w:r>
            <w:r w:rsidR="00E107B2">
              <w:rPr>
                <w:color w:val="000000"/>
                <w:sz w:val="22"/>
                <w:szCs w:val="22"/>
              </w:rPr>
              <w:t xml:space="preserve">iscal </w:t>
            </w:r>
            <w:r w:rsidRPr="007913BF">
              <w:rPr>
                <w:color w:val="000000"/>
                <w:sz w:val="22"/>
                <w:szCs w:val="22"/>
              </w:rPr>
              <w:t>Y</w:t>
            </w:r>
            <w:r w:rsidR="00E107B2">
              <w:rPr>
                <w:color w:val="000000"/>
                <w:sz w:val="22"/>
                <w:szCs w:val="22"/>
              </w:rPr>
              <w:t>ear</w:t>
            </w:r>
            <w:r w:rsidRPr="00227A6E">
              <w:rPr>
                <w:color w:val="000000"/>
                <w:sz w:val="22"/>
              </w:rPr>
              <w:t xml:space="preserve"> 2023</w:t>
            </w:r>
          </w:p>
        </w:tc>
        <w:tc>
          <w:tcPr>
            <w:tcW w:w="1260" w:type="dxa"/>
            <w:shd w:val="clear" w:color="auto" w:fill="auto"/>
            <w:noWrap/>
            <w:vAlign w:val="bottom"/>
            <w:hideMark/>
          </w:tcPr>
          <w:p w:rsidR="00DF0E43" w:rsidRPr="00227A6E" w:rsidP="00DF0E43" w14:paraId="4F01BBB8" w14:textId="38D43A53">
            <w:pPr>
              <w:jc w:val="center"/>
              <w:rPr>
                <w:color w:val="000000"/>
                <w:sz w:val="22"/>
              </w:rPr>
            </w:pPr>
            <w:r w:rsidRPr="007913BF">
              <w:rPr>
                <w:color w:val="000000"/>
                <w:sz w:val="22"/>
                <w:szCs w:val="22"/>
              </w:rPr>
              <w:t>F</w:t>
            </w:r>
            <w:r w:rsidR="00E107B2">
              <w:rPr>
                <w:color w:val="000000"/>
                <w:sz w:val="22"/>
                <w:szCs w:val="22"/>
              </w:rPr>
              <w:t xml:space="preserve">iscal </w:t>
            </w:r>
            <w:r w:rsidRPr="007913BF">
              <w:rPr>
                <w:color w:val="000000"/>
                <w:sz w:val="22"/>
                <w:szCs w:val="22"/>
              </w:rPr>
              <w:t>Y</w:t>
            </w:r>
            <w:r w:rsidR="00E107B2">
              <w:rPr>
                <w:color w:val="000000"/>
                <w:sz w:val="22"/>
                <w:szCs w:val="22"/>
              </w:rPr>
              <w:t>ear</w:t>
            </w:r>
            <w:r w:rsidRPr="00227A6E">
              <w:rPr>
                <w:color w:val="000000"/>
                <w:sz w:val="22"/>
              </w:rPr>
              <w:t xml:space="preserve"> 2024</w:t>
            </w:r>
          </w:p>
        </w:tc>
        <w:tc>
          <w:tcPr>
            <w:tcW w:w="1260" w:type="dxa"/>
            <w:shd w:val="clear" w:color="auto" w:fill="auto"/>
            <w:noWrap/>
            <w:vAlign w:val="bottom"/>
            <w:hideMark/>
          </w:tcPr>
          <w:p w:rsidR="00DF0E43" w:rsidRPr="00227A6E" w:rsidP="00DF0E43" w14:paraId="108B5205" w14:textId="40CE61C3">
            <w:pPr>
              <w:jc w:val="center"/>
              <w:rPr>
                <w:color w:val="000000"/>
                <w:sz w:val="22"/>
              </w:rPr>
            </w:pPr>
            <w:r w:rsidRPr="007913BF">
              <w:rPr>
                <w:color w:val="000000"/>
                <w:sz w:val="22"/>
                <w:szCs w:val="22"/>
              </w:rPr>
              <w:t>F</w:t>
            </w:r>
            <w:r w:rsidR="00E107B2">
              <w:rPr>
                <w:color w:val="000000"/>
                <w:sz w:val="22"/>
                <w:szCs w:val="22"/>
              </w:rPr>
              <w:t xml:space="preserve">iscal </w:t>
            </w:r>
            <w:r w:rsidRPr="007913BF">
              <w:rPr>
                <w:color w:val="000000"/>
                <w:sz w:val="22"/>
                <w:szCs w:val="22"/>
              </w:rPr>
              <w:t>Y</w:t>
            </w:r>
            <w:r w:rsidR="00E107B2">
              <w:rPr>
                <w:color w:val="000000"/>
                <w:sz w:val="22"/>
                <w:szCs w:val="22"/>
              </w:rPr>
              <w:t>ear</w:t>
            </w:r>
            <w:r w:rsidRPr="00227A6E">
              <w:rPr>
                <w:color w:val="000000"/>
                <w:sz w:val="22"/>
              </w:rPr>
              <w:t xml:space="preserve"> 2025</w:t>
            </w:r>
          </w:p>
        </w:tc>
        <w:tc>
          <w:tcPr>
            <w:tcW w:w="1260" w:type="dxa"/>
            <w:shd w:val="clear" w:color="auto" w:fill="auto"/>
            <w:noWrap/>
            <w:vAlign w:val="bottom"/>
            <w:hideMark/>
          </w:tcPr>
          <w:p w:rsidR="00DF0E43" w:rsidRPr="00227A6E" w:rsidP="00DF0E43" w14:paraId="4BD64AEE" w14:textId="488946FD">
            <w:pPr>
              <w:jc w:val="center"/>
              <w:rPr>
                <w:color w:val="000000"/>
                <w:sz w:val="22"/>
              </w:rPr>
            </w:pPr>
            <w:r w:rsidRPr="007913BF">
              <w:rPr>
                <w:color w:val="000000"/>
                <w:sz w:val="22"/>
                <w:szCs w:val="22"/>
              </w:rPr>
              <w:t>F</w:t>
            </w:r>
            <w:r w:rsidR="00E107B2">
              <w:rPr>
                <w:color w:val="000000"/>
                <w:sz w:val="22"/>
                <w:szCs w:val="22"/>
              </w:rPr>
              <w:t xml:space="preserve">iscal </w:t>
            </w:r>
            <w:r w:rsidRPr="007913BF">
              <w:rPr>
                <w:color w:val="000000"/>
                <w:sz w:val="22"/>
                <w:szCs w:val="22"/>
              </w:rPr>
              <w:t>Y</w:t>
            </w:r>
            <w:r w:rsidR="00E107B2">
              <w:rPr>
                <w:color w:val="000000"/>
                <w:sz w:val="22"/>
                <w:szCs w:val="22"/>
              </w:rPr>
              <w:t>ear</w:t>
            </w:r>
            <w:r w:rsidRPr="00227A6E">
              <w:rPr>
                <w:color w:val="000000"/>
                <w:sz w:val="22"/>
              </w:rPr>
              <w:t xml:space="preserve"> 2026</w:t>
            </w:r>
          </w:p>
        </w:tc>
        <w:tc>
          <w:tcPr>
            <w:tcW w:w="1255" w:type="dxa"/>
            <w:shd w:val="clear" w:color="auto" w:fill="auto"/>
            <w:noWrap/>
            <w:vAlign w:val="bottom"/>
            <w:hideMark/>
          </w:tcPr>
          <w:p w:rsidR="00DF0E43" w:rsidRPr="00227A6E" w:rsidP="00DF0E43" w14:paraId="77056061" w14:textId="557526E2">
            <w:pPr>
              <w:jc w:val="center"/>
              <w:rPr>
                <w:color w:val="000000"/>
                <w:sz w:val="22"/>
              </w:rPr>
            </w:pPr>
            <w:r w:rsidRPr="007913BF">
              <w:rPr>
                <w:color w:val="000000"/>
                <w:sz w:val="22"/>
                <w:szCs w:val="22"/>
              </w:rPr>
              <w:t>F</w:t>
            </w:r>
            <w:r w:rsidR="00E107B2">
              <w:rPr>
                <w:color w:val="000000"/>
                <w:sz w:val="22"/>
                <w:szCs w:val="22"/>
              </w:rPr>
              <w:t xml:space="preserve">iscal </w:t>
            </w:r>
            <w:r w:rsidRPr="007913BF">
              <w:rPr>
                <w:color w:val="000000"/>
                <w:sz w:val="22"/>
                <w:szCs w:val="22"/>
              </w:rPr>
              <w:t>Y</w:t>
            </w:r>
            <w:r w:rsidR="00E107B2">
              <w:rPr>
                <w:color w:val="000000"/>
                <w:sz w:val="22"/>
                <w:szCs w:val="22"/>
              </w:rPr>
              <w:t>ear</w:t>
            </w:r>
            <w:r w:rsidRPr="00227A6E">
              <w:rPr>
                <w:color w:val="000000"/>
                <w:sz w:val="22"/>
              </w:rPr>
              <w:t xml:space="preserve"> 2027</w:t>
            </w:r>
          </w:p>
        </w:tc>
        <w:tc>
          <w:tcPr>
            <w:tcW w:w="1350" w:type="dxa"/>
            <w:shd w:val="clear" w:color="auto" w:fill="auto"/>
            <w:noWrap/>
            <w:vAlign w:val="bottom"/>
            <w:hideMark/>
          </w:tcPr>
          <w:p w:rsidR="00DF0E43" w:rsidRPr="00227A6E" w:rsidP="00DF0E43" w14:paraId="244F53DD" w14:textId="77777777">
            <w:pPr>
              <w:jc w:val="center"/>
              <w:rPr>
                <w:color w:val="000000"/>
                <w:sz w:val="22"/>
              </w:rPr>
            </w:pPr>
            <w:r w:rsidRPr="00227A6E">
              <w:rPr>
                <w:color w:val="000000"/>
                <w:sz w:val="22"/>
              </w:rPr>
              <w:t>Total</w:t>
            </w:r>
          </w:p>
        </w:tc>
      </w:tr>
      <w:tr w14:paraId="0AB5F3FC" w14:textId="77777777" w:rsidTr="00054AB6">
        <w:tblPrEx>
          <w:tblW w:w="10075" w:type="dxa"/>
          <w:tblLayout w:type="fixed"/>
          <w:tblLook w:val="04A0"/>
        </w:tblPrEx>
        <w:trPr>
          <w:trHeight w:val="300"/>
        </w:trPr>
        <w:tc>
          <w:tcPr>
            <w:tcW w:w="2430" w:type="dxa"/>
            <w:shd w:val="clear" w:color="auto" w:fill="auto"/>
            <w:noWrap/>
            <w:vAlign w:val="bottom"/>
            <w:hideMark/>
          </w:tcPr>
          <w:p w:rsidR="00DF0E43" w:rsidRPr="00227A6E" w:rsidP="00DF0E43" w14:paraId="4A2182F5" w14:textId="77777777">
            <w:pPr>
              <w:rPr>
                <w:color w:val="000000"/>
                <w:sz w:val="22"/>
              </w:rPr>
            </w:pPr>
            <w:r w:rsidRPr="00227A6E">
              <w:rPr>
                <w:color w:val="000000"/>
                <w:sz w:val="22"/>
              </w:rPr>
              <w:t>Operations and Maintenance</w:t>
            </w:r>
          </w:p>
        </w:tc>
        <w:tc>
          <w:tcPr>
            <w:tcW w:w="1260" w:type="dxa"/>
            <w:shd w:val="clear" w:color="auto" w:fill="auto"/>
            <w:noWrap/>
            <w:vAlign w:val="bottom"/>
            <w:hideMark/>
          </w:tcPr>
          <w:p w:rsidR="00DF0E43" w:rsidRPr="00227A6E" w:rsidP="00DF0E43" w14:paraId="02A9C24E" w14:textId="77777777">
            <w:pPr>
              <w:jc w:val="right"/>
              <w:rPr>
                <w:color w:val="000000"/>
                <w:sz w:val="22"/>
              </w:rPr>
            </w:pPr>
            <w:r w:rsidRPr="00227A6E">
              <w:rPr>
                <w:color w:val="000000"/>
                <w:sz w:val="22"/>
              </w:rPr>
              <w:t>$1,097,715</w:t>
            </w:r>
          </w:p>
        </w:tc>
        <w:tc>
          <w:tcPr>
            <w:tcW w:w="1260" w:type="dxa"/>
            <w:shd w:val="clear" w:color="auto" w:fill="auto"/>
            <w:noWrap/>
            <w:vAlign w:val="bottom"/>
            <w:hideMark/>
          </w:tcPr>
          <w:p w:rsidR="00DF0E43" w:rsidRPr="00227A6E" w:rsidP="00DF0E43" w14:paraId="458FE0E2" w14:textId="77777777">
            <w:pPr>
              <w:jc w:val="right"/>
              <w:rPr>
                <w:color w:val="000000"/>
                <w:sz w:val="22"/>
              </w:rPr>
            </w:pPr>
            <w:r w:rsidRPr="00227A6E">
              <w:rPr>
                <w:color w:val="000000"/>
                <w:sz w:val="22"/>
              </w:rPr>
              <w:t>$1,103,371</w:t>
            </w:r>
          </w:p>
        </w:tc>
        <w:tc>
          <w:tcPr>
            <w:tcW w:w="1260" w:type="dxa"/>
            <w:shd w:val="clear" w:color="auto" w:fill="auto"/>
            <w:noWrap/>
            <w:vAlign w:val="bottom"/>
            <w:hideMark/>
          </w:tcPr>
          <w:p w:rsidR="00DF0E43" w:rsidRPr="00227A6E" w:rsidP="00DF0E43" w14:paraId="3BB320EF" w14:textId="77777777">
            <w:pPr>
              <w:jc w:val="right"/>
              <w:rPr>
                <w:color w:val="000000"/>
                <w:sz w:val="22"/>
              </w:rPr>
            </w:pPr>
            <w:r w:rsidRPr="00227A6E">
              <w:rPr>
                <w:color w:val="000000"/>
                <w:sz w:val="22"/>
              </w:rPr>
              <w:t>$1,176,174</w:t>
            </w:r>
          </w:p>
        </w:tc>
        <w:tc>
          <w:tcPr>
            <w:tcW w:w="1260" w:type="dxa"/>
            <w:shd w:val="clear" w:color="auto" w:fill="auto"/>
            <w:noWrap/>
            <w:vAlign w:val="bottom"/>
            <w:hideMark/>
          </w:tcPr>
          <w:p w:rsidR="00DF0E43" w:rsidRPr="00227A6E" w:rsidP="00DF0E43" w14:paraId="620351B4" w14:textId="77777777">
            <w:pPr>
              <w:jc w:val="right"/>
              <w:rPr>
                <w:color w:val="000000"/>
                <w:sz w:val="22"/>
              </w:rPr>
            </w:pPr>
            <w:r w:rsidRPr="00227A6E">
              <w:rPr>
                <w:color w:val="000000"/>
                <w:sz w:val="22"/>
              </w:rPr>
              <w:t>$1,254,871</w:t>
            </w:r>
          </w:p>
        </w:tc>
        <w:tc>
          <w:tcPr>
            <w:tcW w:w="1255" w:type="dxa"/>
            <w:shd w:val="clear" w:color="auto" w:fill="auto"/>
            <w:noWrap/>
            <w:vAlign w:val="bottom"/>
            <w:hideMark/>
          </w:tcPr>
          <w:p w:rsidR="00DF0E43" w:rsidRPr="00227A6E" w:rsidP="00DF0E43" w14:paraId="34626146" w14:textId="77777777">
            <w:pPr>
              <w:jc w:val="right"/>
              <w:rPr>
                <w:color w:val="000000"/>
                <w:sz w:val="22"/>
              </w:rPr>
            </w:pPr>
            <w:r w:rsidRPr="00227A6E">
              <w:rPr>
                <w:color w:val="000000"/>
                <w:sz w:val="22"/>
              </w:rPr>
              <w:t>$1,340,007</w:t>
            </w:r>
          </w:p>
        </w:tc>
        <w:tc>
          <w:tcPr>
            <w:tcW w:w="1350" w:type="dxa"/>
            <w:shd w:val="clear" w:color="auto" w:fill="auto"/>
            <w:noWrap/>
            <w:vAlign w:val="bottom"/>
            <w:hideMark/>
          </w:tcPr>
          <w:p w:rsidR="00DF0E43" w:rsidRPr="00227A6E" w:rsidP="00DF0E43" w14:paraId="3D3A9013" w14:textId="77777777">
            <w:pPr>
              <w:jc w:val="right"/>
              <w:rPr>
                <w:color w:val="000000"/>
                <w:sz w:val="22"/>
              </w:rPr>
            </w:pPr>
            <w:r w:rsidRPr="00227A6E">
              <w:rPr>
                <w:color w:val="000000"/>
                <w:sz w:val="22"/>
              </w:rPr>
              <w:t>$5,972,138</w:t>
            </w:r>
          </w:p>
        </w:tc>
      </w:tr>
      <w:tr w14:paraId="64011F0D" w14:textId="77777777" w:rsidTr="00054AB6">
        <w:tblPrEx>
          <w:tblW w:w="10075" w:type="dxa"/>
          <w:tblLayout w:type="fixed"/>
          <w:tblLook w:val="04A0"/>
        </w:tblPrEx>
        <w:trPr>
          <w:trHeight w:val="300"/>
        </w:trPr>
        <w:tc>
          <w:tcPr>
            <w:tcW w:w="2430" w:type="dxa"/>
            <w:shd w:val="clear" w:color="auto" w:fill="auto"/>
            <w:noWrap/>
            <w:vAlign w:val="bottom"/>
            <w:hideMark/>
          </w:tcPr>
          <w:p w:rsidR="00DF0E43" w:rsidRPr="00227A6E" w:rsidP="00DF0E43" w14:paraId="015DBE2D" w14:textId="77777777">
            <w:pPr>
              <w:rPr>
                <w:color w:val="000000"/>
                <w:sz w:val="22"/>
              </w:rPr>
            </w:pPr>
          </w:p>
          <w:p w:rsidR="00DF0E43" w:rsidRPr="00227A6E" w:rsidP="00DF0E43" w14:paraId="04557D99" w14:textId="77777777">
            <w:pPr>
              <w:rPr>
                <w:color w:val="000000"/>
                <w:sz w:val="22"/>
              </w:rPr>
            </w:pPr>
            <w:r w:rsidRPr="00227A6E">
              <w:rPr>
                <w:color w:val="000000"/>
                <w:sz w:val="22"/>
              </w:rPr>
              <w:t>Contract Cost (FEDRAMP, Contract, Contract Training)</w:t>
            </w:r>
          </w:p>
        </w:tc>
        <w:tc>
          <w:tcPr>
            <w:tcW w:w="1260" w:type="dxa"/>
            <w:shd w:val="clear" w:color="auto" w:fill="auto"/>
            <w:noWrap/>
            <w:vAlign w:val="bottom"/>
            <w:hideMark/>
          </w:tcPr>
          <w:p w:rsidR="00DF0E43" w:rsidRPr="00227A6E" w:rsidP="00DF0E43" w14:paraId="5EC0015E" w14:textId="77777777">
            <w:pPr>
              <w:jc w:val="right"/>
              <w:rPr>
                <w:color w:val="000000"/>
                <w:sz w:val="22"/>
              </w:rPr>
            </w:pPr>
            <w:r w:rsidRPr="00227A6E">
              <w:rPr>
                <w:color w:val="000000"/>
                <w:sz w:val="22"/>
              </w:rPr>
              <w:t>$1,705,705</w:t>
            </w:r>
          </w:p>
        </w:tc>
        <w:tc>
          <w:tcPr>
            <w:tcW w:w="1260" w:type="dxa"/>
            <w:shd w:val="clear" w:color="auto" w:fill="auto"/>
            <w:noWrap/>
            <w:vAlign w:val="bottom"/>
            <w:hideMark/>
          </w:tcPr>
          <w:p w:rsidR="00DF0E43" w:rsidRPr="00227A6E" w:rsidP="00DF0E43" w14:paraId="07014DA0" w14:textId="77777777">
            <w:pPr>
              <w:jc w:val="right"/>
              <w:rPr>
                <w:color w:val="000000"/>
                <w:sz w:val="22"/>
              </w:rPr>
            </w:pPr>
            <w:r w:rsidRPr="00227A6E">
              <w:rPr>
                <w:color w:val="000000"/>
                <w:sz w:val="22"/>
              </w:rPr>
              <w:t>$1,020,856</w:t>
            </w:r>
          </w:p>
        </w:tc>
        <w:tc>
          <w:tcPr>
            <w:tcW w:w="1260" w:type="dxa"/>
            <w:shd w:val="clear" w:color="auto" w:fill="auto"/>
            <w:noWrap/>
            <w:vAlign w:val="bottom"/>
            <w:hideMark/>
          </w:tcPr>
          <w:p w:rsidR="00DF0E43" w:rsidRPr="00227A6E" w:rsidP="00DF0E43" w14:paraId="580B9883" w14:textId="77777777">
            <w:pPr>
              <w:jc w:val="right"/>
              <w:rPr>
                <w:color w:val="000000"/>
                <w:sz w:val="22"/>
              </w:rPr>
            </w:pPr>
            <w:r w:rsidRPr="00227A6E">
              <w:rPr>
                <w:color w:val="000000"/>
                <w:sz w:val="22"/>
              </w:rPr>
              <w:t>$1,055,749</w:t>
            </w:r>
          </w:p>
        </w:tc>
        <w:tc>
          <w:tcPr>
            <w:tcW w:w="1260" w:type="dxa"/>
            <w:shd w:val="clear" w:color="auto" w:fill="auto"/>
            <w:noWrap/>
            <w:vAlign w:val="bottom"/>
            <w:hideMark/>
          </w:tcPr>
          <w:p w:rsidR="00DF0E43" w:rsidRPr="00227A6E" w:rsidP="00DF0E43" w14:paraId="4FE6CBEE" w14:textId="77777777">
            <w:pPr>
              <w:jc w:val="right"/>
              <w:rPr>
                <w:color w:val="000000"/>
                <w:sz w:val="22"/>
              </w:rPr>
            </w:pPr>
            <w:r w:rsidRPr="00227A6E">
              <w:rPr>
                <w:color w:val="000000"/>
                <w:sz w:val="22"/>
              </w:rPr>
              <w:t>$1,092,387</w:t>
            </w:r>
          </w:p>
        </w:tc>
        <w:tc>
          <w:tcPr>
            <w:tcW w:w="1255" w:type="dxa"/>
            <w:shd w:val="clear" w:color="auto" w:fill="auto"/>
            <w:noWrap/>
            <w:vAlign w:val="bottom"/>
            <w:hideMark/>
          </w:tcPr>
          <w:p w:rsidR="00DF0E43" w:rsidRPr="00227A6E" w:rsidP="00DF0E43" w14:paraId="642A4A57" w14:textId="77777777">
            <w:pPr>
              <w:jc w:val="right"/>
              <w:rPr>
                <w:color w:val="000000"/>
                <w:sz w:val="22"/>
              </w:rPr>
            </w:pPr>
            <w:r w:rsidRPr="00227A6E">
              <w:rPr>
                <w:color w:val="000000"/>
                <w:sz w:val="22"/>
              </w:rPr>
              <w:t>$1,130,856</w:t>
            </w:r>
          </w:p>
        </w:tc>
        <w:tc>
          <w:tcPr>
            <w:tcW w:w="1350" w:type="dxa"/>
            <w:shd w:val="clear" w:color="auto" w:fill="auto"/>
            <w:noWrap/>
            <w:vAlign w:val="bottom"/>
            <w:hideMark/>
          </w:tcPr>
          <w:p w:rsidR="00DF0E43" w:rsidRPr="00227A6E" w:rsidP="00DF0E43" w14:paraId="4572E67D" w14:textId="77777777">
            <w:pPr>
              <w:jc w:val="right"/>
              <w:rPr>
                <w:color w:val="000000"/>
                <w:sz w:val="22"/>
              </w:rPr>
            </w:pPr>
            <w:r w:rsidRPr="00227A6E">
              <w:rPr>
                <w:color w:val="000000"/>
                <w:sz w:val="22"/>
              </w:rPr>
              <w:t>$6,005,553</w:t>
            </w:r>
          </w:p>
        </w:tc>
      </w:tr>
      <w:tr w14:paraId="4B2E0A38" w14:textId="77777777" w:rsidTr="00054AB6">
        <w:tblPrEx>
          <w:tblW w:w="10075" w:type="dxa"/>
          <w:tblLayout w:type="fixed"/>
          <w:tblLook w:val="04A0"/>
        </w:tblPrEx>
        <w:trPr>
          <w:trHeight w:val="300"/>
        </w:trPr>
        <w:tc>
          <w:tcPr>
            <w:tcW w:w="2430" w:type="dxa"/>
            <w:shd w:val="clear" w:color="auto" w:fill="auto"/>
            <w:noWrap/>
            <w:vAlign w:val="bottom"/>
          </w:tcPr>
          <w:p w:rsidR="00F42AD8" w:rsidRPr="00054AB6" w:rsidP="00F42AD8" w14:paraId="1C0CD47B" w14:textId="77777777">
            <w:pPr>
              <w:rPr>
                <w:color w:val="000000"/>
                <w:sz w:val="22"/>
                <w:szCs w:val="22"/>
              </w:rPr>
            </w:pPr>
          </w:p>
        </w:tc>
        <w:tc>
          <w:tcPr>
            <w:tcW w:w="1260" w:type="dxa"/>
            <w:shd w:val="clear" w:color="auto" w:fill="auto"/>
            <w:noWrap/>
          </w:tcPr>
          <w:p w:rsidR="00F42AD8" w:rsidRPr="00054AB6" w:rsidP="00F42AD8" w14:paraId="33402244" w14:textId="2A9E5B0C">
            <w:pPr>
              <w:jc w:val="right"/>
              <w:rPr>
                <w:color w:val="000000"/>
                <w:sz w:val="22"/>
                <w:szCs w:val="22"/>
              </w:rPr>
            </w:pPr>
            <w:r w:rsidRPr="00054AB6">
              <w:rPr>
                <w:sz w:val="22"/>
                <w:szCs w:val="22"/>
              </w:rPr>
              <w:t xml:space="preserve">$2,803,420 </w:t>
            </w:r>
          </w:p>
        </w:tc>
        <w:tc>
          <w:tcPr>
            <w:tcW w:w="1260" w:type="dxa"/>
            <w:shd w:val="clear" w:color="auto" w:fill="auto"/>
            <w:noWrap/>
          </w:tcPr>
          <w:p w:rsidR="00F42AD8" w:rsidRPr="00054AB6" w:rsidP="00F42AD8" w14:paraId="3E6F4B4B" w14:textId="1817ACCF">
            <w:pPr>
              <w:jc w:val="right"/>
              <w:rPr>
                <w:color w:val="000000"/>
                <w:sz w:val="22"/>
                <w:szCs w:val="22"/>
              </w:rPr>
            </w:pPr>
            <w:r w:rsidRPr="00054AB6">
              <w:rPr>
                <w:sz w:val="22"/>
                <w:szCs w:val="22"/>
              </w:rPr>
              <w:t xml:space="preserve">$2,124,227 </w:t>
            </w:r>
          </w:p>
        </w:tc>
        <w:tc>
          <w:tcPr>
            <w:tcW w:w="1260" w:type="dxa"/>
            <w:shd w:val="clear" w:color="auto" w:fill="auto"/>
            <w:noWrap/>
          </w:tcPr>
          <w:p w:rsidR="00F42AD8" w:rsidRPr="00054AB6" w:rsidP="00F42AD8" w14:paraId="4EA845C0" w14:textId="5F4D45AF">
            <w:pPr>
              <w:jc w:val="right"/>
              <w:rPr>
                <w:color w:val="000000"/>
                <w:sz w:val="22"/>
                <w:szCs w:val="22"/>
              </w:rPr>
            </w:pPr>
            <w:r w:rsidRPr="00054AB6">
              <w:rPr>
                <w:sz w:val="22"/>
                <w:szCs w:val="22"/>
              </w:rPr>
              <w:t xml:space="preserve">$2,231,923 </w:t>
            </w:r>
          </w:p>
        </w:tc>
        <w:tc>
          <w:tcPr>
            <w:tcW w:w="1260" w:type="dxa"/>
            <w:shd w:val="clear" w:color="auto" w:fill="auto"/>
            <w:noWrap/>
          </w:tcPr>
          <w:p w:rsidR="00F42AD8" w:rsidRPr="00054AB6" w:rsidP="00F42AD8" w14:paraId="2888B7DC" w14:textId="3277252A">
            <w:pPr>
              <w:jc w:val="right"/>
              <w:rPr>
                <w:color w:val="000000"/>
                <w:sz w:val="22"/>
                <w:szCs w:val="22"/>
              </w:rPr>
            </w:pPr>
            <w:r w:rsidRPr="00054AB6">
              <w:rPr>
                <w:sz w:val="22"/>
                <w:szCs w:val="22"/>
              </w:rPr>
              <w:t xml:space="preserve">$2,347,258 </w:t>
            </w:r>
          </w:p>
        </w:tc>
        <w:tc>
          <w:tcPr>
            <w:tcW w:w="1255" w:type="dxa"/>
            <w:shd w:val="clear" w:color="auto" w:fill="auto"/>
            <w:noWrap/>
          </w:tcPr>
          <w:p w:rsidR="00F42AD8" w:rsidRPr="00054AB6" w:rsidP="00F42AD8" w14:paraId="200235FC" w14:textId="1FD986E4">
            <w:pPr>
              <w:jc w:val="right"/>
              <w:rPr>
                <w:color w:val="000000"/>
                <w:sz w:val="22"/>
                <w:szCs w:val="22"/>
              </w:rPr>
            </w:pPr>
            <w:r w:rsidRPr="00054AB6">
              <w:rPr>
                <w:sz w:val="22"/>
                <w:szCs w:val="22"/>
              </w:rPr>
              <w:t xml:space="preserve">$2,470,863 </w:t>
            </w:r>
          </w:p>
        </w:tc>
        <w:tc>
          <w:tcPr>
            <w:tcW w:w="1350" w:type="dxa"/>
            <w:shd w:val="clear" w:color="auto" w:fill="auto"/>
            <w:noWrap/>
            <w:vAlign w:val="bottom"/>
          </w:tcPr>
          <w:p w:rsidR="00F42AD8" w:rsidRPr="00054AB6" w:rsidP="00054AB6" w14:paraId="0FDDCDD4" w14:textId="72361F65">
            <w:pPr>
              <w:jc w:val="both"/>
              <w:rPr>
                <w:color w:val="000000"/>
                <w:sz w:val="22"/>
                <w:szCs w:val="22"/>
              </w:rPr>
            </w:pPr>
            <w:r w:rsidRPr="00054AB6">
              <w:rPr>
                <w:color w:val="000000"/>
                <w:sz w:val="22"/>
                <w:szCs w:val="22"/>
              </w:rPr>
              <w:t>$11,977,691</w:t>
            </w:r>
          </w:p>
        </w:tc>
      </w:tr>
    </w:tbl>
    <w:p w:rsidR="00DF0E43" w:rsidRPr="00D86B1A" w:rsidP="00D86B1A" w14:paraId="24195DD5"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D86B1A" w:rsidRPr="00BF6D81" w:rsidP="00D86B1A" w14:paraId="367F92D8" w14:textId="6677A83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Pr>
          <w:color w:val="000000" w:themeColor="text1"/>
          <w:szCs w:val="24"/>
        </w:rPr>
        <w:tab/>
      </w:r>
      <w:r w:rsidRPr="00BF6D81">
        <w:rPr>
          <w:color w:val="000000" w:themeColor="text1"/>
          <w:szCs w:val="24"/>
        </w:rPr>
        <w:t>The total lifecycle cost for the project</w:t>
      </w:r>
      <w:r w:rsidR="00DF0E43">
        <w:rPr>
          <w:color w:val="000000" w:themeColor="text1"/>
          <w:szCs w:val="24"/>
        </w:rPr>
        <w:t xml:space="preserve"> (</w:t>
      </w:r>
      <w:r w:rsidR="001C61CA">
        <w:rPr>
          <w:color w:val="000000" w:themeColor="text1"/>
          <w:szCs w:val="24"/>
        </w:rPr>
        <w:t xml:space="preserve">first 5 </w:t>
      </w:r>
      <w:r w:rsidR="00DF0E43">
        <w:rPr>
          <w:color w:val="000000" w:themeColor="text1"/>
          <w:szCs w:val="24"/>
        </w:rPr>
        <w:t>years)</w:t>
      </w:r>
      <w:r w:rsidRPr="00BF6D81">
        <w:rPr>
          <w:color w:val="000000" w:themeColor="text1"/>
          <w:szCs w:val="24"/>
        </w:rPr>
        <w:t xml:space="preserve"> is $1</w:t>
      </w:r>
      <w:r w:rsidR="00DF0E43">
        <w:rPr>
          <w:color w:val="000000" w:themeColor="text1"/>
          <w:szCs w:val="24"/>
        </w:rPr>
        <w:t>1</w:t>
      </w:r>
      <w:r w:rsidRPr="00BF6D81">
        <w:rPr>
          <w:color w:val="000000" w:themeColor="text1"/>
          <w:szCs w:val="24"/>
        </w:rPr>
        <w:t>.</w:t>
      </w:r>
      <w:r w:rsidR="00DF0E43">
        <w:rPr>
          <w:color w:val="000000" w:themeColor="text1"/>
          <w:szCs w:val="24"/>
        </w:rPr>
        <w:t>98</w:t>
      </w:r>
      <w:r w:rsidRPr="00BF6D81">
        <w:rPr>
          <w:color w:val="000000" w:themeColor="text1"/>
          <w:szCs w:val="24"/>
        </w:rPr>
        <w:t xml:space="preserve"> million and includes:</w:t>
      </w:r>
    </w:p>
    <w:p w:rsidR="00D86B1A" w:rsidRPr="00BF6D81" w:rsidP="00BF6D81" w14:paraId="57314A06" w14:textId="56CBDEA1">
      <w:pPr>
        <w:pStyle w:val="ListParagraph"/>
        <w:widowControl w:val="0"/>
        <w:numPr>
          <w:ilvl w:val="2"/>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Software maintenance and license renewals</w:t>
      </w:r>
      <w:r w:rsidR="009F3494">
        <w:rPr>
          <w:rFonts w:ascii="Times New Roman" w:hAnsi="Times New Roman" w:cs="Times New Roman"/>
          <w:color w:val="000000" w:themeColor="text1"/>
          <w:sz w:val="24"/>
          <w:szCs w:val="24"/>
        </w:rPr>
        <w:t>;</w:t>
      </w:r>
    </w:p>
    <w:p w:rsidR="00D86B1A" w:rsidRPr="00DF0E43" w:rsidP="00BF6D81" w14:paraId="18F1B50E" w14:textId="2DDAF37A">
      <w:pPr>
        <w:pStyle w:val="ListParagraph"/>
        <w:widowControl w:val="0"/>
        <w:numPr>
          <w:ilvl w:val="2"/>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Vendor technical support</w:t>
      </w:r>
      <w:r w:rsidR="009F3494">
        <w:rPr>
          <w:rFonts w:ascii="Times New Roman" w:hAnsi="Times New Roman" w:cs="Times New Roman"/>
          <w:color w:val="000000" w:themeColor="text1"/>
          <w:sz w:val="24"/>
          <w:szCs w:val="24"/>
        </w:rPr>
        <w:t>;</w:t>
      </w:r>
    </w:p>
    <w:p w:rsidR="00DF0E43" w:rsidRPr="00BF6D81" w:rsidP="00BF6D81" w14:paraId="43BB5C92" w14:textId="7C131B85">
      <w:pPr>
        <w:pStyle w:val="ListParagraph"/>
        <w:widowControl w:val="0"/>
        <w:numPr>
          <w:ilvl w:val="2"/>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Pr>
          <w:rFonts w:ascii="Times New Roman" w:hAnsi="Times New Roman" w:cs="Times New Roman"/>
          <w:color w:val="000000" w:themeColor="text1"/>
          <w:sz w:val="24"/>
          <w:szCs w:val="24"/>
        </w:rPr>
        <w:t>Guided FEDRAMP process</w:t>
      </w:r>
      <w:r w:rsidR="009F3494">
        <w:rPr>
          <w:rFonts w:ascii="Times New Roman" w:hAnsi="Times New Roman" w:cs="Times New Roman"/>
          <w:color w:val="000000" w:themeColor="text1"/>
          <w:sz w:val="24"/>
          <w:szCs w:val="24"/>
        </w:rPr>
        <w:t>;</w:t>
      </w:r>
    </w:p>
    <w:p w:rsidR="00D86B1A" w:rsidRPr="00BF6D81" w:rsidP="00BF6D81" w14:paraId="0BBB8AA5" w14:textId="2AF064DE">
      <w:pPr>
        <w:pStyle w:val="ListParagraph"/>
        <w:widowControl w:val="0"/>
        <w:numPr>
          <w:ilvl w:val="2"/>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 xml:space="preserve">Management of infrastructure within </w:t>
      </w:r>
      <w:r w:rsidR="009F3494">
        <w:rPr>
          <w:rFonts w:ascii="Times New Roman" w:hAnsi="Times New Roman" w:cs="Times New Roman"/>
          <w:color w:val="000000" w:themeColor="text1"/>
          <w:sz w:val="24"/>
          <w:szCs w:val="24"/>
        </w:rPr>
        <w:t xml:space="preserve">the </w:t>
      </w:r>
      <w:r w:rsidRPr="00BF6D81">
        <w:rPr>
          <w:rFonts w:ascii="Times New Roman" w:hAnsi="Times New Roman" w:cs="Times New Roman"/>
          <w:color w:val="000000" w:themeColor="text1"/>
          <w:sz w:val="24"/>
          <w:szCs w:val="24"/>
        </w:rPr>
        <w:t>IHS</w:t>
      </w:r>
      <w:r w:rsidR="009F3494">
        <w:rPr>
          <w:rFonts w:ascii="Times New Roman" w:hAnsi="Times New Roman" w:cs="Times New Roman"/>
          <w:color w:val="000000" w:themeColor="text1"/>
          <w:sz w:val="24"/>
          <w:szCs w:val="24"/>
        </w:rPr>
        <w:t>; and</w:t>
      </w:r>
    </w:p>
    <w:p w:rsidR="00D86B1A" w:rsidRPr="00BF6D81" w:rsidP="00BF6D81" w14:paraId="41D565CA" w14:textId="5EA25969">
      <w:pPr>
        <w:pStyle w:val="ListParagraph"/>
        <w:widowControl w:val="0"/>
        <w:numPr>
          <w:ilvl w:val="2"/>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Federal program oversight and management support</w:t>
      </w:r>
    </w:p>
    <w:p w:rsidR="008E3B16" w:rsidRPr="008E0086" w14:paraId="6794E2C2" w14:textId="0A61972D">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C</w:t>
      </w:r>
      <w:r w:rsidRPr="008E0086">
        <w:rPr>
          <w:color w:val="000000" w:themeColor="text1"/>
          <w:szCs w:val="24"/>
        </w:rPr>
        <w:t xml:space="preserve">linician </w:t>
      </w:r>
      <w:r w:rsidR="00B86A0E">
        <w:rPr>
          <w:color w:val="000000" w:themeColor="text1"/>
          <w:szCs w:val="24"/>
        </w:rPr>
        <w:t xml:space="preserve">leaders </w:t>
      </w:r>
      <w:r w:rsidRPr="008E0086">
        <w:rPr>
          <w:color w:val="000000" w:themeColor="text1"/>
          <w:szCs w:val="24"/>
        </w:rPr>
        <w:t>and support staff time</w:t>
      </w:r>
      <w:r>
        <w:rPr>
          <w:color w:val="000000" w:themeColor="text1"/>
          <w:szCs w:val="24"/>
        </w:rPr>
        <w:t xml:space="preserve">, which </w:t>
      </w:r>
      <w:r w:rsidRPr="008E0086">
        <w:rPr>
          <w:color w:val="000000" w:themeColor="text1"/>
          <w:szCs w:val="24"/>
        </w:rPr>
        <w:t>includes an estimate of credential committee person-hours</w:t>
      </w:r>
      <w:r w:rsidR="00DF0E43">
        <w:rPr>
          <w:color w:val="000000" w:themeColor="text1"/>
          <w:szCs w:val="24"/>
        </w:rPr>
        <w:t xml:space="preserve"> and which is included in </w:t>
      </w:r>
      <w:r w:rsidR="009F3494">
        <w:rPr>
          <w:color w:val="000000" w:themeColor="text1"/>
          <w:szCs w:val="24"/>
        </w:rPr>
        <w:t>operation and maintenance</w:t>
      </w:r>
      <w:r w:rsidR="00DF0E43">
        <w:rPr>
          <w:color w:val="000000" w:themeColor="text1"/>
          <w:szCs w:val="24"/>
        </w:rPr>
        <w:t xml:space="preserve"> costs,</w:t>
      </w:r>
      <w:r w:rsidRPr="008E0086">
        <w:rPr>
          <w:color w:val="000000" w:themeColor="text1"/>
          <w:szCs w:val="24"/>
        </w:rPr>
        <w:t xml:space="preserve"> is based on the following:</w:t>
      </w:r>
    </w:p>
    <w:p w:rsidR="008E3B16" w14:paraId="55CC105B" w14:textId="470F6B8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B86A0E" w:rsidRPr="00B86A0E" w:rsidP="00B86A0E" w14:paraId="69B11334" w14:textId="16BB5B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A</w:t>
      </w:r>
      <w:r w:rsidRPr="00B86A0E">
        <w:rPr>
          <w:color w:val="000000" w:themeColor="text1"/>
          <w:szCs w:val="24"/>
        </w:rPr>
        <w:t xml:space="preserve">.  Cost associated with </w:t>
      </w:r>
      <w:r w:rsidR="00B54772">
        <w:rPr>
          <w:color w:val="000000" w:themeColor="text1"/>
          <w:szCs w:val="24"/>
        </w:rPr>
        <w:t>pre-</w:t>
      </w:r>
      <w:r w:rsidRPr="00B86A0E" w:rsidR="00B54772">
        <w:rPr>
          <w:color w:val="000000" w:themeColor="text1"/>
          <w:szCs w:val="24"/>
        </w:rPr>
        <w:t xml:space="preserve"> </w:t>
      </w:r>
      <w:r w:rsidRPr="00B86A0E">
        <w:rPr>
          <w:color w:val="000000" w:themeColor="text1"/>
          <w:szCs w:val="24"/>
        </w:rPr>
        <w:t>applicants to the medical staff (non-employees):</w:t>
      </w:r>
    </w:p>
    <w:p w:rsidR="00B86A0E" w:rsidRPr="00B86A0E" w:rsidP="00B86A0E" w14:paraId="493AA0A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B86A0E" w:rsidRPr="00B86A0E" w:rsidP="00B86A0E" w14:paraId="69315285" w14:textId="7C40B965">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B86A0E">
        <w:rPr>
          <w:color w:val="000000" w:themeColor="text1"/>
          <w:szCs w:val="24"/>
        </w:rPr>
        <w:tab/>
        <w:t xml:space="preserve">Collect and analyze data*            </w:t>
      </w:r>
      <w:r w:rsidRPr="00B86A0E">
        <w:rPr>
          <w:color w:val="000000" w:themeColor="text1"/>
          <w:szCs w:val="24"/>
          <w:u w:val="single"/>
        </w:rPr>
        <w:t xml:space="preserve">  $     </w:t>
      </w:r>
      <w:r w:rsidR="00B54772">
        <w:rPr>
          <w:color w:val="000000" w:themeColor="text1"/>
          <w:szCs w:val="24"/>
          <w:u w:val="single"/>
        </w:rPr>
        <w:t>25,000</w:t>
      </w:r>
    </w:p>
    <w:p w:rsidR="00B86A0E" w:rsidRPr="00B86A0E" w:rsidP="00B86A0E" w14:paraId="2437B932" w14:textId="5A15583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B86A0E">
        <w:rPr>
          <w:color w:val="000000" w:themeColor="text1"/>
          <w:szCs w:val="24"/>
        </w:rPr>
        <w:tab/>
      </w:r>
      <w:r w:rsidRPr="00B86A0E">
        <w:rPr>
          <w:color w:val="000000" w:themeColor="text1"/>
          <w:szCs w:val="24"/>
        </w:rPr>
        <w:tab/>
      </w:r>
      <w:r w:rsidRPr="00B86A0E">
        <w:rPr>
          <w:color w:val="000000" w:themeColor="text1"/>
          <w:szCs w:val="24"/>
        </w:rPr>
        <w:tab/>
      </w:r>
      <w:r w:rsidRPr="00B86A0E">
        <w:rPr>
          <w:color w:val="000000" w:themeColor="text1"/>
          <w:szCs w:val="24"/>
        </w:rPr>
        <w:tab/>
        <w:t xml:space="preserve">Total                    $     </w:t>
      </w:r>
      <w:r w:rsidR="00B54772">
        <w:rPr>
          <w:color w:val="000000" w:themeColor="text1"/>
          <w:szCs w:val="24"/>
        </w:rPr>
        <w:t>25,000</w:t>
      </w:r>
      <w:r w:rsidRPr="00B86A0E">
        <w:rPr>
          <w:color w:val="000000" w:themeColor="text1"/>
          <w:szCs w:val="24"/>
        </w:rPr>
        <w:t xml:space="preserve"> for </w:t>
      </w:r>
      <w:r w:rsidR="00B54772">
        <w:rPr>
          <w:color w:val="000000" w:themeColor="text1"/>
          <w:szCs w:val="24"/>
        </w:rPr>
        <w:t>pre-</w:t>
      </w:r>
      <w:r w:rsidRPr="00B86A0E">
        <w:rPr>
          <w:color w:val="000000" w:themeColor="text1"/>
          <w:szCs w:val="24"/>
        </w:rPr>
        <w:t>applicants</w:t>
      </w:r>
    </w:p>
    <w:p w:rsidR="00B86A0E" w:rsidRPr="00B86A0E" w:rsidP="00B86A0E" w14:paraId="08C876D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B86A0E" w:rsidRPr="00B86A0E" w:rsidP="00B86A0E" w14:paraId="0D835752" w14:textId="0B9BF6D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B86A0E">
        <w:rPr>
          <w:color w:val="000000" w:themeColor="text1"/>
          <w:szCs w:val="24"/>
        </w:rPr>
        <w:t>*50.00/</w:t>
      </w:r>
      <w:r w:rsidRPr="00B86A0E">
        <w:rPr>
          <w:color w:val="000000" w:themeColor="text1"/>
          <w:szCs w:val="24"/>
        </w:rPr>
        <w:t>hr</w:t>
      </w:r>
      <w:r w:rsidRPr="00B86A0E">
        <w:rPr>
          <w:color w:val="000000" w:themeColor="text1"/>
          <w:szCs w:val="24"/>
        </w:rPr>
        <w:t xml:space="preserve"> x </w:t>
      </w:r>
      <w:r w:rsidR="00B54772">
        <w:rPr>
          <w:color w:val="000000" w:themeColor="text1"/>
          <w:szCs w:val="24"/>
        </w:rPr>
        <w:t>1</w:t>
      </w:r>
      <w:r w:rsidRPr="00B86A0E" w:rsidR="00B54772">
        <w:rPr>
          <w:color w:val="000000" w:themeColor="text1"/>
          <w:szCs w:val="24"/>
        </w:rPr>
        <w:t xml:space="preserve"> </w:t>
      </w:r>
      <w:r w:rsidRPr="00B86A0E">
        <w:rPr>
          <w:color w:val="000000" w:themeColor="text1"/>
          <w:szCs w:val="24"/>
        </w:rPr>
        <w:t xml:space="preserve">hours per applicant x </w:t>
      </w:r>
      <w:r w:rsidR="00B54772">
        <w:rPr>
          <w:color w:val="000000" w:themeColor="text1"/>
          <w:szCs w:val="24"/>
        </w:rPr>
        <w:t>500</w:t>
      </w:r>
      <w:r w:rsidRPr="00B86A0E" w:rsidR="00B54772">
        <w:rPr>
          <w:color w:val="000000" w:themeColor="text1"/>
          <w:szCs w:val="24"/>
        </w:rPr>
        <w:t xml:space="preserve"> </w:t>
      </w:r>
      <w:r w:rsidRPr="00B86A0E">
        <w:rPr>
          <w:color w:val="000000" w:themeColor="text1"/>
          <w:szCs w:val="24"/>
        </w:rPr>
        <w:t xml:space="preserve">new applicants: </w:t>
      </w:r>
      <w:r w:rsidR="001D4CAD">
        <w:rPr>
          <w:color w:val="000000" w:themeColor="text1"/>
          <w:szCs w:val="24"/>
        </w:rPr>
        <w:t xml:space="preserve"> </w:t>
      </w:r>
      <w:r w:rsidRPr="00B86A0E">
        <w:rPr>
          <w:color w:val="000000" w:themeColor="text1"/>
          <w:szCs w:val="24"/>
        </w:rPr>
        <w:t>$</w:t>
      </w:r>
      <w:r w:rsidR="00B54772">
        <w:rPr>
          <w:color w:val="000000" w:themeColor="text1"/>
          <w:szCs w:val="24"/>
        </w:rPr>
        <w:t>25,000</w:t>
      </w:r>
      <w:r w:rsidRPr="00B86A0E">
        <w:rPr>
          <w:color w:val="000000" w:themeColor="text1"/>
          <w:szCs w:val="24"/>
        </w:rPr>
        <w:t>.</w:t>
      </w:r>
    </w:p>
    <w:p w:rsidR="00B86A0E" w:rsidRPr="008E0086" w14:paraId="359D3AC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14:paraId="109C51C5" w14:textId="4306DD5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B</w:t>
      </w:r>
      <w:r w:rsidRPr="008E0086">
        <w:rPr>
          <w:color w:val="000000" w:themeColor="text1"/>
          <w:szCs w:val="24"/>
        </w:rPr>
        <w:t>.  Cost associated with new applicants to the medical staff (non-employees):</w:t>
      </w:r>
    </w:p>
    <w:p w:rsidR="008E3B16" w:rsidRPr="008E0086" w14:paraId="57F9BCD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22CD9E5B" w14:textId="2FC5703D">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 xml:space="preserve">Collect and analyze data*            </w:t>
      </w:r>
      <w:r w:rsidRPr="001E6BC5">
        <w:rPr>
          <w:color w:val="000000" w:themeColor="text1"/>
          <w:szCs w:val="24"/>
          <w:u w:val="single"/>
        </w:rPr>
        <w:t xml:space="preserve">  $     </w:t>
      </w:r>
      <w:r w:rsidR="00B86A0E">
        <w:rPr>
          <w:color w:val="000000" w:themeColor="text1"/>
          <w:szCs w:val="24"/>
          <w:u w:val="single"/>
        </w:rPr>
        <w:t>263,400</w:t>
      </w:r>
    </w:p>
    <w:p w:rsidR="008E3B16" w:rsidRPr="008E0086" w14:paraId="61764F74" w14:textId="7C7E56D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t xml:space="preserve">Total                    $     </w:t>
      </w:r>
      <w:r w:rsidR="00B86A0E">
        <w:rPr>
          <w:color w:val="000000" w:themeColor="text1"/>
          <w:szCs w:val="24"/>
        </w:rPr>
        <w:t>263,400</w:t>
      </w:r>
      <w:r w:rsidRPr="008E0086">
        <w:rPr>
          <w:color w:val="000000" w:themeColor="text1"/>
          <w:szCs w:val="24"/>
        </w:rPr>
        <w:t xml:space="preserve"> for new applicants</w:t>
      </w:r>
    </w:p>
    <w:p w:rsidR="008E3B16" w:rsidRPr="008E0086" w14:paraId="12D30AD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455434BF" w14:textId="6509EB7E">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w:t>
      </w:r>
      <w:r w:rsidR="004F1F24">
        <w:rPr>
          <w:color w:val="000000" w:themeColor="text1"/>
          <w:szCs w:val="24"/>
        </w:rPr>
        <w:t>5</w:t>
      </w:r>
      <w:r w:rsidR="00EC076E">
        <w:rPr>
          <w:color w:val="000000" w:themeColor="text1"/>
          <w:szCs w:val="24"/>
        </w:rPr>
        <w:t>0</w:t>
      </w:r>
      <w:r w:rsidR="004F1F24">
        <w:rPr>
          <w:color w:val="000000" w:themeColor="text1"/>
          <w:szCs w:val="24"/>
        </w:rPr>
        <w:t>.</w:t>
      </w:r>
      <w:r w:rsidR="00EC076E">
        <w:rPr>
          <w:color w:val="000000" w:themeColor="text1"/>
          <w:szCs w:val="24"/>
        </w:rPr>
        <w:t>00</w:t>
      </w:r>
      <w:r w:rsidRPr="008E0086">
        <w:rPr>
          <w:color w:val="000000" w:themeColor="text1"/>
          <w:szCs w:val="24"/>
        </w:rPr>
        <w:t>/</w:t>
      </w:r>
      <w:r w:rsidRPr="008E0086">
        <w:rPr>
          <w:color w:val="000000" w:themeColor="text1"/>
          <w:szCs w:val="24"/>
        </w:rPr>
        <w:t>hr</w:t>
      </w:r>
      <w:r w:rsidRPr="008E0086">
        <w:rPr>
          <w:color w:val="000000" w:themeColor="text1"/>
          <w:szCs w:val="24"/>
        </w:rPr>
        <w:t xml:space="preserve"> x </w:t>
      </w:r>
      <w:r w:rsidR="00B86A0E">
        <w:rPr>
          <w:color w:val="000000" w:themeColor="text1"/>
          <w:szCs w:val="24"/>
        </w:rPr>
        <w:t>6</w:t>
      </w:r>
      <w:r w:rsidRPr="008E0086" w:rsidR="00B86A0E">
        <w:rPr>
          <w:color w:val="000000" w:themeColor="text1"/>
          <w:szCs w:val="24"/>
        </w:rPr>
        <w:t xml:space="preserve"> </w:t>
      </w:r>
      <w:r w:rsidRPr="008E0086">
        <w:rPr>
          <w:color w:val="000000" w:themeColor="text1"/>
          <w:szCs w:val="24"/>
        </w:rPr>
        <w:t xml:space="preserve">hours per applicant x </w:t>
      </w:r>
      <w:r w:rsidR="007A2D78">
        <w:rPr>
          <w:color w:val="000000" w:themeColor="text1"/>
          <w:szCs w:val="24"/>
        </w:rPr>
        <w:t>878</w:t>
      </w:r>
      <w:r w:rsidRPr="008E0086">
        <w:rPr>
          <w:color w:val="000000" w:themeColor="text1"/>
          <w:szCs w:val="24"/>
        </w:rPr>
        <w:t xml:space="preserve"> new applicants: </w:t>
      </w:r>
      <w:r w:rsidR="001D4CAD">
        <w:rPr>
          <w:color w:val="000000" w:themeColor="text1"/>
          <w:szCs w:val="24"/>
        </w:rPr>
        <w:t xml:space="preserve"> </w:t>
      </w:r>
      <w:r w:rsidRPr="008E0086">
        <w:rPr>
          <w:color w:val="000000" w:themeColor="text1"/>
          <w:szCs w:val="24"/>
        </w:rPr>
        <w:t>$</w:t>
      </w:r>
      <w:r w:rsidR="00B86A0E">
        <w:rPr>
          <w:color w:val="000000" w:themeColor="text1"/>
          <w:szCs w:val="24"/>
        </w:rPr>
        <w:t>263,400</w:t>
      </w:r>
      <w:r w:rsidRPr="008E0086">
        <w:rPr>
          <w:color w:val="000000" w:themeColor="text1"/>
          <w:szCs w:val="24"/>
        </w:rPr>
        <w:t>.</w:t>
      </w:r>
    </w:p>
    <w:p w:rsidR="008E3B16" w:rsidRPr="008E0086" w:rsidP="0012431F" w14:paraId="4A785E4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P="00AC1078" w14:paraId="06C589EF" w14:textId="796627A5">
      <w:pPr>
        <w:widowControl w:val="0"/>
        <w:tabs>
          <w:tab w:val="left" w:pos="-1080"/>
          <w:tab w:val="left" w:pos="-72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C</w:t>
      </w:r>
      <w:r w:rsidRPr="008E0086">
        <w:rPr>
          <w:color w:val="000000" w:themeColor="text1"/>
          <w:szCs w:val="24"/>
        </w:rPr>
        <w:t>.  Cost associated with reappointments to the medical staff and requests for renewal of clinical privileges (most are employees)</w:t>
      </w:r>
    </w:p>
    <w:p w:rsidR="008E3B16" w:rsidRPr="008E0086" w:rsidP="0012431F" w14:paraId="63495BE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P="0012431F" w14:paraId="1056C093" w14:textId="6CFF6FA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 xml:space="preserve">Collect and analyze data*              </w:t>
      </w:r>
      <w:r w:rsidRPr="001E6BC5">
        <w:rPr>
          <w:color w:val="000000" w:themeColor="text1"/>
          <w:szCs w:val="24"/>
          <w:u w:val="single"/>
        </w:rPr>
        <w:t xml:space="preserve">$     </w:t>
      </w:r>
      <w:r w:rsidRPr="001E6BC5" w:rsidR="0035120D">
        <w:rPr>
          <w:color w:val="000000" w:themeColor="text1"/>
          <w:szCs w:val="24"/>
          <w:u w:val="single"/>
        </w:rPr>
        <w:t xml:space="preserve">  </w:t>
      </w:r>
      <w:r w:rsidR="00EC076E">
        <w:rPr>
          <w:color w:val="000000" w:themeColor="text1"/>
          <w:szCs w:val="24"/>
          <w:u w:val="single"/>
        </w:rPr>
        <w:t>348,900</w:t>
      </w:r>
    </w:p>
    <w:p w:rsidR="008E3B16" w:rsidRPr="008E0086" w:rsidP="0012431F" w14:paraId="40448464" w14:textId="7172A6A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t>To</w:t>
      </w:r>
      <w:r w:rsidRPr="008E0086" w:rsidR="0035120D">
        <w:rPr>
          <w:color w:val="000000" w:themeColor="text1"/>
          <w:szCs w:val="24"/>
        </w:rPr>
        <w:t xml:space="preserve">tal                    $       </w:t>
      </w:r>
      <w:r w:rsidR="00EC076E">
        <w:rPr>
          <w:color w:val="000000" w:themeColor="text1"/>
          <w:szCs w:val="24"/>
        </w:rPr>
        <w:t>348,900</w:t>
      </w:r>
      <w:r w:rsidRPr="008E0086">
        <w:rPr>
          <w:color w:val="000000" w:themeColor="text1"/>
          <w:szCs w:val="24"/>
        </w:rPr>
        <w:t xml:space="preserve"> for re-applicants/renewals</w:t>
      </w:r>
    </w:p>
    <w:p w:rsidR="008E3B16" w:rsidRPr="008E0086" w:rsidP="0012431F" w14:paraId="1F97C5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P="0012431F" w14:paraId="1C702E17" w14:textId="4B0297F5">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w:t>
      </w:r>
      <w:r w:rsidR="004F1F24">
        <w:rPr>
          <w:color w:val="000000" w:themeColor="text1"/>
          <w:szCs w:val="24"/>
        </w:rPr>
        <w:t>5</w:t>
      </w:r>
      <w:r w:rsidR="00EC076E">
        <w:rPr>
          <w:color w:val="000000" w:themeColor="text1"/>
          <w:szCs w:val="24"/>
        </w:rPr>
        <w:t>0.00</w:t>
      </w:r>
      <w:r w:rsidRPr="008E0086">
        <w:rPr>
          <w:color w:val="000000" w:themeColor="text1"/>
          <w:szCs w:val="24"/>
        </w:rPr>
        <w:t>/</w:t>
      </w:r>
      <w:r w:rsidRPr="008E0086">
        <w:rPr>
          <w:color w:val="000000" w:themeColor="text1"/>
          <w:szCs w:val="24"/>
        </w:rPr>
        <w:t>hr</w:t>
      </w:r>
      <w:r w:rsidRPr="008E0086">
        <w:rPr>
          <w:color w:val="000000" w:themeColor="text1"/>
          <w:szCs w:val="24"/>
        </w:rPr>
        <w:t xml:space="preserve"> x </w:t>
      </w:r>
      <w:r w:rsidR="004F1F24">
        <w:rPr>
          <w:color w:val="000000" w:themeColor="text1"/>
          <w:szCs w:val="24"/>
        </w:rPr>
        <w:t>3</w:t>
      </w:r>
      <w:r w:rsidRPr="008E0086">
        <w:rPr>
          <w:color w:val="000000" w:themeColor="text1"/>
          <w:szCs w:val="24"/>
        </w:rPr>
        <w:t xml:space="preserve"> hours per applicant x </w:t>
      </w:r>
      <w:r w:rsidR="002B5A35">
        <w:rPr>
          <w:color w:val="000000" w:themeColor="text1"/>
          <w:szCs w:val="24"/>
        </w:rPr>
        <w:t>2326</w:t>
      </w:r>
      <w:r w:rsidRPr="008E0086" w:rsidR="0035120D">
        <w:rPr>
          <w:color w:val="000000" w:themeColor="text1"/>
          <w:szCs w:val="24"/>
        </w:rPr>
        <w:t xml:space="preserve"> reappointments applicants: $</w:t>
      </w:r>
      <w:r w:rsidR="00EC076E">
        <w:rPr>
          <w:color w:val="000000" w:themeColor="text1"/>
          <w:szCs w:val="24"/>
        </w:rPr>
        <w:t>348,900</w:t>
      </w:r>
      <w:r w:rsidRPr="008E0086">
        <w:rPr>
          <w:color w:val="000000" w:themeColor="text1"/>
          <w:szCs w:val="24"/>
        </w:rPr>
        <w:t>.</w:t>
      </w:r>
    </w:p>
    <w:p w:rsidR="0067646E" w:rsidP="0012431F" w14:paraId="7140756E" w14:textId="0BC26CE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67646E" w:rsidRPr="0067646E" w:rsidP="0067646E" w14:paraId="5DD6177C" w14:textId="207C909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D. </w:t>
      </w:r>
      <w:r w:rsidRPr="0067646E">
        <w:rPr>
          <w:color w:val="000000" w:themeColor="text1"/>
          <w:szCs w:val="24"/>
        </w:rPr>
        <w:t xml:space="preserve">Cost associated with </w:t>
      </w:r>
      <w:r>
        <w:rPr>
          <w:color w:val="000000" w:themeColor="text1"/>
          <w:szCs w:val="24"/>
        </w:rPr>
        <w:t xml:space="preserve">CBP </w:t>
      </w:r>
      <w:r w:rsidRPr="0067646E">
        <w:rPr>
          <w:color w:val="000000" w:themeColor="text1"/>
          <w:szCs w:val="24"/>
        </w:rPr>
        <w:t>to the medical staff (non-employees):</w:t>
      </w:r>
    </w:p>
    <w:p w:rsidR="0067646E" w:rsidRPr="0067646E" w:rsidP="0067646E" w14:paraId="794FDB9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67646E" w:rsidRPr="0067646E" w:rsidP="0067646E" w14:paraId="07A73C9F" w14:textId="74CB98E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67646E">
        <w:rPr>
          <w:color w:val="000000" w:themeColor="text1"/>
          <w:szCs w:val="24"/>
        </w:rPr>
        <w:tab/>
        <w:t xml:space="preserve">Collect and analyze data*            </w:t>
      </w:r>
      <w:r w:rsidRPr="0067646E">
        <w:rPr>
          <w:color w:val="000000" w:themeColor="text1"/>
          <w:szCs w:val="24"/>
          <w:u w:val="single"/>
        </w:rPr>
        <w:t xml:space="preserve">  $     </w:t>
      </w:r>
      <w:r>
        <w:rPr>
          <w:color w:val="000000" w:themeColor="text1"/>
          <w:szCs w:val="24"/>
          <w:u w:val="single"/>
        </w:rPr>
        <w:t>187,5</w:t>
      </w:r>
      <w:r w:rsidRPr="0067646E">
        <w:rPr>
          <w:color w:val="000000" w:themeColor="text1"/>
          <w:szCs w:val="24"/>
          <w:u w:val="single"/>
        </w:rPr>
        <w:t>00</w:t>
      </w:r>
    </w:p>
    <w:p w:rsidR="0067646E" w:rsidRPr="0067646E" w:rsidP="0067646E" w14:paraId="35CD4574" w14:textId="41B613B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67646E">
        <w:rPr>
          <w:color w:val="000000" w:themeColor="text1"/>
          <w:szCs w:val="24"/>
        </w:rPr>
        <w:tab/>
      </w:r>
      <w:r w:rsidRPr="0067646E">
        <w:rPr>
          <w:color w:val="000000" w:themeColor="text1"/>
          <w:szCs w:val="24"/>
        </w:rPr>
        <w:tab/>
      </w:r>
      <w:r w:rsidRPr="0067646E">
        <w:rPr>
          <w:color w:val="000000" w:themeColor="text1"/>
          <w:szCs w:val="24"/>
        </w:rPr>
        <w:tab/>
      </w:r>
      <w:r w:rsidRPr="0067646E">
        <w:rPr>
          <w:color w:val="000000" w:themeColor="text1"/>
          <w:szCs w:val="24"/>
        </w:rPr>
        <w:tab/>
        <w:t xml:space="preserve">Total                    $     </w:t>
      </w:r>
      <w:r>
        <w:rPr>
          <w:color w:val="000000" w:themeColor="text1"/>
          <w:szCs w:val="24"/>
        </w:rPr>
        <w:t>187,5</w:t>
      </w:r>
      <w:r w:rsidRPr="0067646E">
        <w:rPr>
          <w:color w:val="000000" w:themeColor="text1"/>
          <w:szCs w:val="24"/>
        </w:rPr>
        <w:t xml:space="preserve">00 for </w:t>
      </w:r>
      <w:r>
        <w:rPr>
          <w:color w:val="000000" w:themeColor="text1"/>
          <w:szCs w:val="24"/>
        </w:rPr>
        <w:t>CBP</w:t>
      </w:r>
      <w:r w:rsidRPr="0067646E">
        <w:rPr>
          <w:color w:val="000000" w:themeColor="text1"/>
          <w:szCs w:val="24"/>
        </w:rPr>
        <w:t xml:space="preserve"> applicants</w:t>
      </w:r>
    </w:p>
    <w:p w:rsidR="0067646E" w:rsidRPr="0067646E" w:rsidP="0067646E" w14:paraId="1EEE34A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67646E" w:rsidRPr="008E0086" w:rsidP="0012431F" w14:paraId="3CD9056E" w14:textId="146A201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67646E">
        <w:rPr>
          <w:color w:val="000000" w:themeColor="text1"/>
          <w:szCs w:val="24"/>
        </w:rPr>
        <w:t>*50.00/</w:t>
      </w:r>
      <w:r w:rsidRPr="0067646E">
        <w:rPr>
          <w:color w:val="000000" w:themeColor="text1"/>
          <w:szCs w:val="24"/>
        </w:rPr>
        <w:t>hr</w:t>
      </w:r>
      <w:r w:rsidRPr="0067646E">
        <w:rPr>
          <w:color w:val="000000" w:themeColor="text1"/>
          <w:szCs w:val="24"/>
        </w:rPr>
        <w:t xml:space="preserve"> x </w:t>
      </w:r>
      <w:r>
        <w:rPr>
          <w:color w:val="000000" w:themeColor="text1"/>
          <w:szCs w:val="24"/>
        </w:rPr>
        <w:t>30 minutes</w:t>
      </w:r>
      <w:r w:rsidRPr="0067646E">
        <w:rPr>
          <w:color w:val="000000" w:themeColor="text1"/>
          <w:szCs w:val="24"/>
        </w:rPr>
        <w:t xml:space="preserve"> per applicant x </w:t>
      </w:r>
      <w:r>
        <w:rPr>
          <w:color w:val="000000" w:themeColor="text1"/>
          <w:szCs w:val="24"/>
        </w:rPr>
        <w:t>250</w:t>
      </w:r>
      <w:r w:rsidRPr="0067646E">
        <w:rPr>
          <w:color w:val="000000" w:themeColor="text1"/>
          <w:szCs w:val="24"/>
        </w:rPr>
        <w:t xml:space="preserve"> new applicants: </w:t>
      </w:r>
      <w:r w:rsidR="001D4CAD">
        <w:rPr>
          <w:color w:val="000000" w:themeColor="text1"/>
          <w:szCs w:val="24"/>
        </w:rPr>
        <w:t xml:space="preserve"> </w:t>
      </w:r>
      <w:r w:rsidRPr="0067646E">
        <w:rPr>
          <w:color w:val="000000" w:themeColor="text1"/>
          <w:szCs w:val="24"/>
        </w:rPr>
        <w:t>$</w:t>
      </w:r>
      <w:r>
        <w:rPr>
          <w:color w:val="000000" w:themeColor="text1"/>
          <w:szCs w:val="24"/>
        </w:rPr>
        <w:t>187</w:t>
      </w:r>
      <w:r w:rsidRPr="0067646E">
        <w:rPr>
          <w:color w:val="000000" w:themeColor="text1"/>
          <w:szCs w:val="24"/>
        </w:rPr>
        <w:t>,</w:t>
      </w:r>
      <w:r>
        <w:rPr>
          <w:color w:val="000000" w:themeColor="text1"/>
          <w:szCs w:val="24"/>
        </w:rPr>
        <w:t>5</w:t>
      </w:r>
      <w:r w:rsidRPr="0067646E">
        <w:rPr>
          <w:color w:val="000000" w:themeColor="text1"/>
          <w:szCs w:val="24"/>
        </w:rPr>
        <w:t>00.</w:t>
      </w:r>
    </w:p>
    <w:p w:rsidR="008E3B16" w:rsidP="0012431F" w14:paraId="16A4E7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p>
    <w:p w:rsidR="005C666A" w:rsidRPr="008E0086" w:rsidP="0012431F" w14:paraId="3453D1E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7E44AA" w14:paraId="4F4178A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Pr>
          <w:b/>
          <w:color w:val="000000" w:themeColor="text1"/>
          <w:szCs w:val="24"/>
        </w:rPr>
        <w:tab/>
      </w:r>
      <w:r w:rsidRPr="007E44AA">
        <w:rPr>
          <w:b/>
          <w:color w:val="000000" w:themeColor="text1"/>
          <w:szCs w:val="24"/>
        </w:rPr>
        <w:t>15.</w:t>
      </w:r>
      <w:r w:rsidRPr="007E44AA">
        <w:rPr>
          <w:b/>
          <w:color w:val="000000" w:themeColor="text1"/>
          <w:szCs w:val="24"/>
        </w:rPr>
        <w:tab/>
      </w:r>
      <w:r w:rsidRPr="007E44AA">
        <w:rPr>
          <w:b/>
          <w:color w:val="000000" w:themeColor="text1"/>
          <w:szCs w:val="24"/>
          <w:u w:val="single"/>
        </w:rPr>
        <w:t>Explanation for Program Changes or Adjustments</w:t>
      </w:r>
      <w:r w:rsidRPr="007E44AA">
        <w:rPr>
          <w:b/>
          <w:color w:val="000000" w:themeColor="text1"/>
          <w:szCs w:val="24"/>
        </w:rPr>
        <w:t xml:space="preserve"> </w:t>
      </w:r>
    </w:p>
    <w:p w:rsidR="008E3B16" w:rsidRPr="007E44AA" w14:paraId="1DBE73B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E76777" w:rsidP="00670110" w14:paraId="7A5B810D" w14:textId="540A5DB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The Agency will be adding </w:t>
      </w:r>
      <w:r w:rsidR="00B250A3">
        <w:rPr>
          <w:color w:val="000000" w:themeColor="text1"/>
          <w:szCs w:val="24"/>
        </w:rPr>
        <w:t>p</w:t>
      </w:r>
      <w:r>
        <w:rPr>
          <w:color w:val="000000" w:themeColor="text1"/>
          <w:szCs w:val="24"/>
        </w:rPr>
        <w:t xml:space="preserve">rivileges back into the collection and title change. </w:t>
      </w:r>
      <w:r w:rsidR="00506CE1">
        <w:rPr>
          <w:color w:val="000000" w:themeColor="text1"/>
          <w:szCs w:val="24"/>
        </w:rPr>
        <w:t xml:space="preserve"> </w:t>
      </w:r>
      <w:r>
        <w:rPr>
          <w:color w:val="000000" w:themeColor="text1"/>
          <w:szCs w:val="24"/>
        </w:rPr>
        <w:t>This update is to be consistent with the SORN and be inclusive that the health care providers are required to request.</w:t>
      </w:r>
    </w:p>
    <w:p w:rsidR="00E76777" w:rsidP="00670110" w14:paraId="662D35E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B250A3" w:rsidP="00670110" w14:paraId="13FC24B0" w14:textId="1EEA703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E44AA">
        <w:rPr>
          <w:color w:val="000000" w:themeColor="text1"/>
          <w:szCs w:val="24"/>
        </w:rPr>
        <w:t xml:space="preserve">The annual </w:t>
      </w:r>
      <w:r w:rsidR="00151B19">
        <w:rPr>
          <w:color w:val="000000" w:themeColor="text1"/>
          <w:szCs w:val="24"/>
        </w:rPr>
        <w:t xml:space="preserve">total </w:t>
      </w:r>
      <w:r w:rsidRPr="007E44AA">
        <w:rPr>
          <w:color w:val="000000" w:themeColor="text1"/>
          <w:szCs w:val="24"/>
        </w:rPr>
        <w:t xml:space="preserve">burden hours for this information collection request </w:t>
      </w:r>
      <w:r w:rsidR="00151B19">
        <w:rPr>
          <w:color w:val="000000" w:themeColor="text1"/>
          <w:szCs w:val="24"/>
        </w:rPr>
        <w:t>increased</w:t>
      </w:r>
      <w:r w:rsidRPr="007E44AA">
        <w:rPr>
          <w:color w:val="000000" w:themeColor="text1"/>
          <w:szCs w:val="24"/>
        </w:rPr>
        <w:t xml:space="preserve"> </w:t>
      </w:r>
      <w:r w:rsidR="00DC756D">
        <w:rPr>
          <w:color w:val="000000" w:themeColor="text1"/>
          <w:szCs w:val="24"/>
        </w:rPr>
        <w:t>4954</w:t>
      </w:r>
      <w:r w:rsidRPr="007E44AA">
        <w:rPr>
          <w:color w:val="000000" w:themeColor="text1"/>
          <w:szCs w:val="24"/>
        </w:rPr>
        <w:t xml:space="preserve"> hours from previous approved 1</w:t>
      </w:r>
      <w:r>
        <w:rPr>
          <w:color w:val="000000" w:themeColor="text1"/>
          <w:szCs w:val="24"/>
        </w:rPr>
        <w:t>,</w:t>
      </w:r>
      <w:r w:rsidR="00151B19">
        <w:rPr>
          <w:color w:val="000000" w:themeColor="text1"/>
          <w:szCs w:val="24"/>
        </w:rPr>
        <w:t xml:space="preserve">400 </w:t>
      </w:r>
      <w:r w:rsidRPr="007E44AA">
        <w:rPr>
          <w:color w:val="000000" w:themeColor="text1"/>
          <w:szCs w:val="24"/>
        </w:rPr>
        <w:t xml:space="preserve">hours to the current </w:t>
      </w:r>
      <w:r>
        <w:rPr>
          <w:color w:val="000000" w:themeColor="text1"/>
          <w:szCs w:val="24"/>
        </w:rPr>
        <w:t>6,</w:t>
      </w:r>
      <w:r w:rsidR="0067646E">
        <w:rPr>
          <w:color w:val="000000" w:themeColor="text1"/>
          <w:szCs w:val="24"/>
        </w:rPr>
        <w:t>354</w:t>
      </w:r>
      <w:r w:rsidRPr="007E44AA" w:rsidR="00DD1F46">
        <w:rPr>
          <w:color w:val="000000" w:themeColor="text1"/>
          <w:szCs w:val="24"/>
        </w:rPr>
        <w:t xml:space="preserve"> </w:t>
      </w:r>
      <w:r w:rsidRPr="007E44AA">
        <w:rPr>
          <w:color w:val="000000" w:themeColor="text1"/>
          <w:szCs w:val="24"/>
        </w:rPr>
        <w:t>hours</w:t>
      </w:r>
      <w:r w:rsidR="00D02080">
        <w:rPr>
          <w:color w:val="000000" w:themeColor="text1"/>
          <w:szCs w:val="24"/>
        </w:rPr>
        <w:t xml:space="preserve"> (</w:t>
      </w:r>
      <w:r w:rsidR="002461E4">
        <w:rPr>
          <w:color w:val="000000" w:themeColor="text1"/>
          <w:szCs w:val="24"/>
        </w:rPr>
        <w:t xml:space="preserve">354 </w:t>
      </w:r>
      <w:r w:rsidR="004973EF">
        <w:rPr>
          <w:color w:val="000000" w:themeColor="text1"/>
          <w:szCs w:val="24"/>
        </w:rPr>
        <w:t>percent</w:t>
      </w:r>
      <w:r w:rsidR="00D02080">
        <w:rPr>
          <w:color w:val="000000" w:themeColor="text1"/>
          <w:szCs w:val="24"/>
        </w:rPr>
        <w:t xml:space="preserve"> increase)</w:t>
      </w:r>
      <w:r w:rsidR="007D237A">
        <w:rPr>
          <w:color w:val="000000" w:themeColor="text1"/>
          <w:szCs w:val="24"/>
        </w:rPr>
        <w:t xml:space="preserve"> because</w:t>
      </w:r>
      <w:r>
        <w:rPr>
          <w:color w:val="000000" w:themeColor="text1"/>
          <w:szCs w:val="24"/>
        </w:rPr>
        <w:t xml:space="preserve"> a pre-application </w:t>
      </w:r>
      <w:r w:rsidR="002461E4">
        <w:rPr>
          <w:color w:val="000000" w:themeColor="text1"/>
          <w:szCs w:val="24"/>
        </w:rPr>
        <w:t>and a CBP Intake Form are</w:t>
      </w:r>
      <w:r>
        <w:rPr>
          <w:color w:val="000000" w:themeColor="text1"/>
          <w:szCs w:val="24"/>
        </w:rPr>
        <w:t xml:space="preserve"> being added and</w:t>
      </w:r>
      <w:r w:rsidR="007D237A">
        <w:rPr>
          <w:color w:val="000000" w:themeColor="text1"/>
          <w:szCs w:val="24"/>
        </w:rPr>
        <w:t xml:space="preserve"> four additional forms were included</w:t>
      </w:r>
      <w:r>
        <w:rPr>
          <w:color w:val="000000" w:themeColor="text1"/>
          <w:szCs w:val="24"/>
        </w:rPr>
        <w:t xml:space="preserve"> </w:t>
      </w:r>
      <w:r w:rsidR="007D237A">
        <w:rPr>
          <w:color w:val="000000" w:themeColor="text1"/>
          <w:szCs w:val="24"/>
        </w:rPr>
        <w:t>that were missed on the previous submission.</w:t>
      </w:r>
      <w:r w:rsidRPr="007E44AA">
        <w:rPr>
          <w:color w:val="000000" w:themeColor="text1"/>
          <w:szCs w:val="24"/>
        </w:rPr>
        <w:t xml:space="preserve"> </w:t>
      </w:r>
      <w:r w:rsidR="004973EF">
        <w:rPr>
          <w:color w:val="000000" w:themeColor="text1"/>
          <w:szCs w:val="24"/>
        </w:rPr>
        <w:t xml:space="preserve"> </w:t>
      </w:r>
      <w:r w:rsidRPr="007E44AA" w:rsidR="001135B6">
        <w:rPr>
          <w:color w:val="000000" w:themeColor="text1"/>
          <w:szCs w:val="24"/>
        </w:rPr>
        <w:t xml:space="preserve">The total </w:t>
      </w:r>
      <w:r w:rsidR="00151B19">
        <w:rPr>
          <w:color w:val="000000" w:themeColor="text1"/>
          <w:szCs w:val="24"/>
        </w:rPr>
        <w:t>estimated number of respondents for initial applications reduced from the previous</w:t>
      </w:r>
      <w:r w:rsidR="00790495">
        <w:rPr>
          <w:color w:val="000000" w:themeColor="text1"/>
          <w:szCs w:val="24"/>
        </w:rPr>
        <w:t xml:space="preserve"> 1200 to 878 </w:t>
      </w:r>
      <w:r w:rsidR="00151B19">
        <w:rPr>
          <w:color w:val="000000" w:themeColor="text1"/>
          <w:szCs w:val="24"/>
        </w:rPr>
        <w:t>(</w:t>
      </w:r>
      <w:r w:rsidR="00790495">
        <w:rPr>
          <w:color w:val="000000" w:themeColor="text1"/>
          <w:szCs w:val="24"/>
        </w:rPr>
        <w:t>322</w:t>
      </w:r>
      <w:r w:rsidR="00CB5C91">
        <w:rPr>
          <w:color w:val="000000" w:themeColor="text1"/>
          <w:szCs w:val="24"/>
        </w:rPr>
        <w:t> </w:t>
      </w:r>
      <w:r w:rsidR="004973EF">
        <w:rPr>
          <w:color w:val="000000" w:themeColor="text1"/>
          <w:szCs w:val="24"/>
        </w:rPr>
        <w:t>decrease,</w:t>
      </w:r>
      <w:r w:rsidR="00790495">
        <w:rPr>
          <w:color w:val="000000" w:themeColor="text1"/>
          <w:szCs w:val="24"/>
        </w:rPr>
        <w:t xml:space="preserve"> a </w:t>
      </w:r>
      <w:r w:rsidR="00151B19">
        <w:rPr>
          <w:color w:val="000000" w:themeColor="text1"/>
          <w:szCs w:val="24"/>
        </w:rPr>
        <w:t>2</w:t>
      </w:r>
      <w:r w:rsidR="00790495">
        <w:rPr>
          <w:color w:val="000000" w:themeColor="text1"/>
          <w:szCs w:val="24"/>
        </w:rPr>
        <w:t>6.8</w:t>
      </w:r>
      <w:r w:rsidR="004973EF">
        <w:rPr>
          <w:color w:val="000000" w:themeColor="text1"/>
          <w:szCs w:val="24"/>
        </w:rPr>
        <w:t xml:space="preserve"> percent</w:t>
      </w:r>
      <w:r w:rsidR="00151B19">
        <w:rPr>
          <w:color w:val="000000" w:themeColor="text1"/>
          <w:szCs w:val="24"/>
        </w:rPr>
        <w:t xml:space="preserve"> reduction)</w:t>
      </w:r>
      <w:r w:rsidR="007D237A">
        <w:rPr>
          <w:color w:val="000000" w:themeColor="text1"/>
          <w:szCs w:val="24"/>
        </w:rPr>
        <w:t xml:space="preserve"> and t</w:t>
      </w:r>
      <w:r w:rsidRPr="007E44AA" w:rsidR="00151B19">
        <w:rPr>
          <w:color w:val="000000" w:themeColor="text1"/>
          <w:szCs w:val="24"/>
        </w:rPr>
        <w:t xml:space="preserve">he total </w:t>
      </w:r>
      <w:r w:rsidR="00151B19">
        <w:rPr>
          <w:color w:val="000000" w:themeColor="text1"/>
          <w:szCs w:val="24"/>
        </w:rPr>
        <w:t xml:space="preserve">estimated number of respondents for reappointment applications increased from the previous </w:t>
      </w:r>
      <w:r w:rsidR="00790495">
        <w:rPr>
          <w:color w:val="000000" w:themeColor="text1"/>
          <w:szCs w:val="24"/>
        </w:rPr>
        <w:t xml:space="preserve">1,500 to 2,212 </w:t>
      </w:r>
      <w:r w:rsidR="00151B19">
        <w:rPr>
          <w:color w:val="000000" w:themeColor="text1"/>
          <w:szCs w:val="24"/>
        </w:rPr>
        <w:t>by 826 (</w:t>
      </w:r>
      <w:r w:rsidR="00790495">
        <w:rPr>
          <w:color w:val="000000" w:themeColor="text1"/>
          <w:szCs w:val="24"/>
        </w:rPr>
        <w:t>712</w:t>
      </w:r>
      <w:r w:rsidR="00CB5C91">
        <w:rPr>
          <w:color w:val="000000" w:themeColor="text1"/>
          <w:szCs w:val="24"/>
        </w:rPr>
        <w:t> </w:t>
      </w:r>
      <w:r w:rsidR="004973EF">
        <w:rPr>
          <w:color w:val="000000" w:themeColor="text1"/>
          <w:szCs w:val="24"/>
        </w:rPr>
        <w:t>increase,</w:t>
      </w:r>
      <w:r w:rsidR="00790495">
        <w:rPr>
          <w:color w:val="000000" w:themeColor="text1"/>
          <w:szCs w:val="24"/>
        </w:rPr>
        <w:t xml:space="preserve"> a 47.4</w:t>
      </w:r>
      <w:r w:rsidR="004973EF">
        <w:rPr>
          <w:color w:val="000000" w:themeColor="text1"/>
          <w:szCs w:val="24"/>
        </w:rPr>
        <w:t xml:space="preserve"> percent</w:t>
      </w:r>
      <w:r w:rsidR="00151B19">
        <w:rPr>
          <w:color w:val="000000" w:themeColor="text1"/>
          <w:szCs w:val="24"/>
        </w:rPr>
        <w:t xml:space="preserve"> increase)</w:t>
      </w:r>
      <w:r w:rsidR="007D237A">
        <w:rPr>
          <w:color w:val="000000" w:themeColor="text1"/>
          <w:szCs w:val="24"/>
        </w:rPr>
        <w:t xml:space="preserve">. </w:t>
      </w:r>
    </w:p>
    <w:p w:rsidR="00B250A3" w:rsidP="00670110" w14:paraId="1318CCD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F77647" w:rsidP="00670110" w14:paraId="729D6235" w14:textId="509C213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The differences reflected in the number of respondents for initial and reappointment is</w:t>
      </w:r>
      <w:r w:rsidR="00151B19">
        <w:rPr>
          <w:color w:val="000000" w:themeColor="text1"/>
          <w:szCs w:val="24"/>
        </w:rPr>
        <w:t xml:space="preserve"> </w:t>
      </w:r>
      <w:r w:rsidR="007A2D78">
        <w:rPr>
          <w:color w:val="000000" w:themeColor="text1"/>
          <w:szCs w:val="24"/>
        </w:rPr>
        <w:t>due to actual CY</w:t>
      </w:r>
      <w:r w:rsidR="00CB5C91">
        <w:rPr>
          <w:color w:val="000000" w:themeColor="text1"/>
          <w:szCs w:val="24"/>
        </w:rPr>
        <w:t xml:space="preserve"> 20</w:t>
      </w:r>
      <w:r w:rsidR="007A2D78">
        <w:rPr>
          <w:color w:val="000000" w:themeColor="text1"/>
          <w:szCs w:val="24"/>
        </w:rPr>
        <w:t xml:space="preserve">22 number or respondents being used and not estimating respondents. </w:t>
      </w:r>
      <w:r w:rsidR="00CB5C91">
        <w:rPr>
          <w:color w:val="000000" w:themeColor="text1"/>
          <w:szCs w:val="24"/>
        </w:rPr>
        <w:t xml:space="preserve"> </w:t>
      </w:r>
      <w:r w:rsidR="00083384">
        <w:rPr>
          <w:color w:val="000000" w:themeColor="text1"/>
          <w:szCs w:val="24"/>
        </w:rPr>
        <w:t xml:space="preserve">However, since the pre-application </w:t>
      </w:r>
      <w:r w:rsidR="002461E4">
        <w:rPr>
          <w:color w:val="000000" w:themeColor="text1"/>
          <w:szCs w:val="24"/>
        </w:rPr>
        <w:t>and the CBP Intake Form are</w:t>
      </w:r>
      <w:r w:rsidR="00083384">
        <w:rPr>
          <w:color w:val="000000" w:themeColor="text1"/>
          <w:szCs w:val="24"/>
        </w:rPr>
        <w:t xml:space="preserve"> new form</w:t>
      </w:r>
      <w:r w:rsidR="002461E4">
        <w:rPr>
          <w:color w:val="000000" w:themeColor="text1"/>
          <w:szCs w:val="24"/>
        </w:rPr>
        <w:t>s</w:t>
      </w:r>
      <w:r w:rsidR="00083384">
        <w:rPr>
          <w:color w:val="000000" w:themeColor="text1"/>
          <w:szCs w:val="24"/>
        </w:rPr>
        <w:t xml:space="preserve"> and process</w:t>
      </w:r>
      <w:r w:rsidR="002461E4">
        <w:rPr>
          <w:color w:val="000000" w:themeColor="text1"/>
          <w:szCs w:val="24"/>
        </w:rPr>
        <w:t>es</w:t>
      </w:r>
      <w:r w:rsidR="00083384">
        <w:rPr>
          <w:color w:val="000000" w:themeColor="text1"/>
          <w:szCs w:val="24"/>
        </w:rPr>
        <w:t xml:space="preserve"> </w:t>
      </w:r>
      <w:r w:rsidR="00083384">
        <w:rPr>
          <w:color w:val="000000" w:themeColor="text1"/>
          <w:szCs w:val="24"/>
        </w:rPr>
        <w:t xml:space="preserve">for IHS, estimates are being used for this statement, until actual use numbers can be identified. </w:t>
      </w:r>
      <w:r w:rsidR="00AC3AE7">
        <w:rPr>
          <w:color w:val="000000" w:themeColor="text1"/>
          <w:szCs w:val="24"/>
        </w:rPr>
        <w:t xml:space="preserve"> </w:t>
      </w:r>
      <w:r w:rsidR="007A2D78">
        <w:rPr>
          <w:color w:val="000000" w:themeColor="text1"/>
          <w:szCs w:val="24"/>
        </w:rPr>
        <w:t xml:space="preserve">The use of this </w:t>
      </w:r>
      <w:r w:rsidR="009B50A9">
        <w:rPr>
          <w:color w:val="000000" w:themeColor="text1"/>
          <w:szCs w:val="24"/>
        </w:rPr>
        <w:t xml:space="preserve">Commercial </w:t>
      </w:r>
      <w:r w:rsidR="00AE49EE">
        <w:rPr>
          <w:color w:val="000000" w:themeColor="text1"/>
          <w:szCs w:val="24"/>
        </w:rPr>
        <w:t>O</w:t>
      </w:r>
      <w:r w:rsidR="009B50A9">
        <w:rPr>
          <w:color w:val="000000" w:themeColor="text1"/>
          <w:szCs w:val="24"/>
        </w:rPr>
        <w:t xml:space="preserve">ff </w:t>
      </w:r>
      <w:r w:rsidR="00AE49EE">
        <w:rPr>
          <w:color w:val="000000" w:themeColor="text1"/>
          <w:szCs w:val="24"/>
        </w:rPr>
        <w:t>T</w:t>
      </w:r>
      <w:r w:rsidR="009B50A9">
        <w:rPr>
          <w:color w:val="000000" w:themeColor="text1"/>
          <w:szCs w:val="24"/>
        </w:rPr>
        <w:t>he</w:t>
      </w:r>
      <w:r w:rsidR="009B50A9">
        <w:rPr>
          <w:color w:val="000000" w:themeColor="text1"/>
          <w:szCs w:val="24"/>
        </w:rPr>
        <w:t xml:space="preserve"> Shelf</w:t>
      </w:r>
      <w:r w:rsidR="007A2D78">
        <w:rPr>
          <w:color w:val="000000" w:themeColor="text1"/>
          <w:szCs w:val="24"/>
        </w:rPr>
        <w:t xml:space="preserve"> system has greatly increased agency wide and </w:t>
      </w:r>
      <w:r>
        <w:rPr>
          <w:color w:val="000000" w:themeColor="text1"/>
          <w:szCs w:val="24"/>
        </w:rPr>
        <w:t xml:space="preserve">more accurate reports can </w:t>
      </w:r>
      <w:r w:rsidR="007A2D78">
        <w:rPr>
          <w:color w:val="000000" w:themeColor="text1"/>
          <w:szCs w:val="24"/>
        </w:rPr>
        <w:t xml:space="preserve">now </w:t>
      </w:r>
      <w:r>
        <w:rPr>
          <w:color w:val="000000" w:themeColor="text1"/>
          <w:szCs w:val="24"/>
        </w:rPr>
        <w:t xml:space="preserve">be generated. </w:t>
      </w:r>
      <w:r w:rsidR="00AC3AE7">
        <w:rPr>
          <w:color w:val="000000" w:themeColor="text1"/>
          <w:szCs w:val="24"/>
        </w:rPr>
        <w:t xml:space="preserve"> </w:t>
      </w:r>
      <w:r w:rsidR="00151B19">
        <w:rPr>
          <w:color w:val="000000" w:themeColor="text1"/>
          <w:szCs w:val="24"/>
        </w:rPr>
        <w:t xml:space="preserve">The total </w:t>
      </w:r>
      <w:r w:rsidRPr="007E44AA" w:rsidR="001135B6">
        <w:rPr>
          <w:color w:val="000000" w:themeColor="text1"/>
          <w:szCs w:val="24"/>
        </w:rPr>
        <w:t xml:space="preserve">annual cost burden for use of the system by applicants </w:t>
      </w:r>
      <w:r w:rsidR="00D02080">
        <w:rPr>
          <w:color w:val="000000" w:themeColor="text1"/>
          <w:szCs w:val="24"/>
        </w:rPr>
        <w:t>de</w:t>
      </w:r>
      <w:r w:rsidR="00151B19">
        <w:rPr>
          <w:color w:val="000000" w:themeColor="text1"/>
          <w:szCs w:val="24"/>
        </w:rPr>
        <w:t>creased</w:t>
      </w:r>
      <w:r w:rsidRPr="007E44AA" w:rsidR="001135B6">
        <w:rPr>
          <w:color w:val="000000" w:themeColor="text1"/>
          <w:szCs w:val="24"/>
        </w:rPr>
        <w:t xml:space="preserve"> from the previous methods by $79,425</w:t>
      </w:r>
      <w:r w:rsidR="00D02080">
        <w:rPr>
          <w:color w:val="000000" w:themeColor="text1"/>
          <w:szCs w:val="24"/>
        </w:rPr>
        <w:t xml:space="preserve"> to $0.00</w:t>
      </w:r>
      <w:r w:rsidRPr="007E44AA" w:rsidR="001135B6">
        <w:rPr>
          <w:color w:val="000000" w:themeColor="text1"/>
          <w:szCs w:val="24"/>
        </w:rPr>
        <w:t xml:space="preserve"> (</w:t>
      </w:r>
      <w:r w:rsidR="00D02080">
        <w:rPr>
          <w:color w:val="000000" w:themeColor="text1"/>
          <w:szCs w:val="24"/>
        </w:rPr>
        <w:t>100</w:t>
      </w:r>
      <w:r w:rsidR="00AC3AE7">
        <w:rPr>
          <w:color w:val="000000" w:themeColor="text1"/>
          <w:szCs w:val="24"/>
        </w:rPr>
        <w:t> </w:t>
      </w:r>
      <w:r w:rsidR="00AE345E">
        <w:rPr>
          <w:color w:val="000000" w:themeColor="text1"/>
          <w:szCs w:val="24"/>
        </w:rPr>
        <w:t>percent</w:t>
      </w:r>
      <w:r w:rsidRPr="007E44AA" w:rsidR="001135B6">
        <w:rPr>
          <w:color w:val="000000" w:themeColor="text1"/>
          <w:szCs w:val="24"/>
        </w:rPr>
        <w:t xml:space="preserve"> reduction)</w:t>
      </w:r>
      <w:r>
        <w:rPr>
          <w:color w:val="000000" w:themeColor="text1"/>
          <w:szCs w:val="24"/>
        </w:rPr>
        <w:t xml:space="preserve"> because t</w:t>
      </w:r>
      <w:r w:rsidRPr="007D237A">
        <w:rPr>
          <w:color w:val="000000" w:themeColor="text1"/>
          <w:szCs w:val="24"/>
        </w:rPr>
        <w:t xml:space="preserve">his information collection places no additional computer or record keeping requirements upon the </w:t>
      </w:r>
      <w:r>
        <w:rPr>
          <w:color w:val="000000" w:themeColor="text1"/>
          <w:szCs w:val="24"/>
        </w:rPr>
        <w:t xml:space="preserve">respondents. </w:t>
      </w:r>
    </w:p>
    <w:p w:rsidR="00951E8C" w:rsidP="00670110" w14:paraId="64A81F86" w14:textId="6367E74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51E8C" w:rsidRPr="007E44AA" w:rsidP="00670110" w14:paraId="24213770" w14:textId="10B1FF7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The annualized cost to Federal Government increased 1.69</w:t>
      </w:r>
      <w:r w:rsidR="00AE345E">
        <w:rPr>
          <w:color w:val="000000" w:themeColor="text1"/>
          <w:szCs w:val="24"/>
        </w:rPr>
        <w:t xml:space="preserve"> percent</w:t>
      </w:r>
      <w:r>
        <w:rPr>
          <w:color w:val="000000" w:themeColor="text1"/>
          <w:szCs w:val="24"/>
        </w:rPr>
        <w:t xml:space="preserve"> from </w:t>
      </w:r>
      <w:r w:rsidR="00083384">
        <w:rPr>
          <w:color w:val="000000" w:themeColor="text1"/>
          <w:szCs w:val="24"/>
        </w:rPr>
        <w:t>$</w:t>
      </w:r>
      <w:r>
        <w:rPr>
          <w:color w:val="000000" w:themeColor="text1"/>
          <w:szCs w:val="24"/>
        </w:rPr>
        <w:t xml:space="preserve">2.36 million to </w:t>
      </w:r>
      <w:r w:rsidR="00083384">
        <w:rPr>
          <w:color w:val="000000" w:themeColor="text1"/>
          <w:szCs w:val="24"/>
        </w:rPr>
        <w:t>$</w:t>
      </w:r>
      <w:r>
        <w:rPr>
          <w:color w:val="000000" w:themeColor="text1"/>
          <w:szCs w:val="24"/>
        </w:rPr>
        <w:t>2.4 million.</w:t>
      </w:r>
      <w:r w:rsidR="00EC076E">
        <w:rPr>
          <w:color w:val="000000" w:themeColor="text1"/>
          <w:szCs w:val="24"/>
        </w:rPr>
        <w:t xml:space="preserve"> </w:t>
      </w:r>
      <w:r w:rsidR="00AC3AE7">
        <w:rPr>
          <w:color w:val="000000" w:themeColor="text1"/>
          <w:szCs w:val="24"/>
        </w:rPr>
        <w:t xml:space="preserve"> </w:t>
      </w:r>
      <w:r w:rsidR="00EC076E">
        <w:rPr>
          <w:color w:val="000000" w:themeColor="text1"/>
          <w:szCs w:val="24"/>
        </w:rPr>
        <w:t xml:space="preserve">The </w:t>
      </w:r>
      <w:r w:rsidRPr="00EC076E" w:rsidR="00EC076E">
        <w:rPr>
          <w:color w:val="000000" w:themeColor="text1"/>
          <w:szCs w:val="24"/>
        </w:rPr>
        <w:t>Operations and Maintenance cost</w:t>
      </w:r>
      <w:r w:rsidR="00EC076E">
        <w:rPr>
          <w:color w:val="000000" w:themeColor="text1"/>
          <w:szCs w:val="24"/>
        </w:rPr>
        <w:t xml:space="preserve">, including the costs of contracts increased, as did the </w:t>
      </w:r>
      <w:r w:rsidRPr="00BF6D81" w:rsidR="00EC076E">
        <w:rPr>
          <w:color w:val="000000" w:themeColor="text1"/>
          <w:szCs w:val="24"/>
        </w:rPr>
        <w:t>total lifecycle cost for the project</w:t>
      </w:r>
      <w:r w:rsidR="00EC076E">
        <w:rPr>
          <w:color w:val="000000" w:themeColor="text1"/>
          <w:szCs w:val="24"/>
        </w:rPr>
        <w:t xml:space="preserve"> increased 18</w:t>
      </w:r>
      <w:r w:rsidR="00AE345E">
        <w:rPr>
          <w:color w:val="000000" w:themeColor="text1"/>
          <w:szCs w:val="24"/>
        </w:rPr>
        <w:t xml:space="preserve"> percent</w:t>
      </w:r>
      <w:r w:rsidR="00EC076E">
        <w:rPr>
          <w:color w:val="000000" w:themeColor="text1"/>
          <w:szCs w:val="24"/>
        </w:rPr>
        <w:t xml:space="preserve"> from </w:t>
      </w:r>
      <w:r w:rsidR="00083384">
        <w:rPr>
          <w:color w:val="000000" w:themeColor="text1"/>
          <w:szCs w:val="24"/>
        </w:rPr>
        <w:t>$</w:t>
      </w:r>
      <w:r w:rsidR="00EC076E">
        <w:rPr>
          <w:color w:val="000000" w:themeColor="text1"/>
          <w:szCs w:val="24"/>
        </w:rPr>
        <w:t>10.15</w:t>
      </w:r>
      <w:r w:rsidR="00AC3AE7">
        <w:rPr>
          <w:color w:val="000000" w:themeColor="text1"/>
          <w:szCs w:val="24"/>
        </w:rPr>
        <w:t> </w:t>
      </w:r>
      <w:r w:rsidR="00EC076E">
        <w:rPr>
          <w:color w:val="000000" w:themeColor="text1"/>
          <w:szCs w:val="24"/>
        </w:rPr>
        <w:t>million to</w:t>
      </w:r>
      <w:r w:rsidRPr="00BF6D81" w:rsidR="00EC076E">
        <w:rPr>
          <w:color w:val="000000" w:themeColor="text1"/>
          <w:szCs w:val="24"/>
        </w:rPr>
        <w:t xml:space="preserve"> $1</w:t>
      </w:r>
      <w:r w:rsidR="00EC076E">
        <w:rPr>
          <w:color w:val="000000" w:themeColor="text1"/>
          <w:szCs w:val="24"/>
        </w:rPr>
        <w:t>1</w:t>
      </w:r>
      <w:r w:rsidRPr="00BF6D81" w:rsidR="00EC076E">
        <w:rPr>
          <w:color w:val="000000" w:themeColor="text1"/>
          <w:szCs w:val="24"/>
        </w:rPr>
        <w:t>.</w:t>
      </w:r>
      <w:r w:rsidR="00EC076E">
        <w:rPr>
          <w:color w:val="000000" w:themeColor="text1"/>
          <w:szCs w:val="24"/>
        </w:rPr>
        <w:t>98</w:t>
      </w:r>
      <w:r w:rsidRPr="00BF6D81" w:rsidR="00EC076E">
        <w:rPr>
          <w:color w:val="000000" w:themeColor="text1"/>
          <w:szCs w:val="24"/>
        </w:rPr>
        <w:t xml:space="preserve"> million</w:t>
      </w:r>
      <w:r w:rsidR="00EC076E">
        <w:rPr>
          <w:color w:val="000000" w:themeColor="text1"/>
          <w:szCs w:val="24"/>
        </w:rPr>
        <w:t xml:space="preserve">. </w:t>
      </w:r>
      <w:r w:rsidR="00AC3AE7">
        <w:rPr>
          <w:color w:val="000000" w:themeColor="text1"/>
          <w:szCs w:val="24"/>
        </w:rPr>
        <w:t xml:space="preserve"> </w:t>
      </w:r>
      <w:r w:rsidR="00EC076E">
        <w:rPr>
          <w:color w:val="000000" w:themeColor="text1"/>
          <w:szCs w:val="24"/>
        </w:rPr>
        <w:t>All the annualized costs increases were due to having actual costs associated from Acquisitions and not estimating.</w:t>
      </w:r>
    </w:p>
    <w:p w:rsidR="00F77647" w:rsidP="00670110" w14:paraId="55FF4C34" w14:textId="0CCED07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C811BC" w:rsidP="00C811BC" w14:paraId="2DBD96A1" w14:textId="1B5D339B">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550A07">
        <w:rPr>
          <w:color w:val="000000" w:themeColor="text1"/>
          <w:szCs w:val="24"/>
        </w:rPr>
        <w:t>The total annual cost burden for use of the system by clinician/credentialing specialists for initial and reappointment application increased</w:t>
      </w:r>
      <w:r>
        <w:rPr>
          <w:color w:val="000000" w:themeColor="text1"/>
          <w:szCs w:val="24"/>
        </w:rPr>
        <w:t xml:space="preserve"> based on industry estimates of credentialing specialist time to work an initial and/or reappointment application. </w:t>
      </w:r>
      <w:r w:rsidR="00470D95">
        <w:rPr>
          <w:color w:val="000000" w:themeColor="text1"/>
          <w:szCs w:val="24"/>
        </w:rPr>
        <w:t xml:space="preserve"> </w:t>
      </w:r>
      <w:r>
        <w:rPr>
          <w:color w:val="000000" w:themeColor="text1"/>
          <w:szCs w:val="24"/>
        </w:rPr>
        <w:t>The cost per hour remained the same as we could not locate any industry estimates that combines the time of c</w:t>
      </w:r>
      <w:r w:rsidRPr="00550A07">
        <w:rPr>
          <w:color w:val="000000" w:themeColor="text1"/>
          <w:szCs w:val="24"/>
        </w:rPr>
        <w:t>linician</w:t>
      </w:r>
      <w:r>
        <w:rPr>
          <w:color w:val="000000" w:themeColor="text1"/>
          <w:szCs w:val="24"/>
        </w:rPr>
        <w:t>s (very high pay)</w:t>
      </w:r>
      <w:r w:rsidRPr="00550A07">
        <w:rPr>
          <w:color w:val="000000" w:themeColor="text1"/>
          <w:szCs w:val="24"/>
        </w:rPr>
        <w:t xml:space="preserve"> and support staff time</w:t>
      </w:r>
      <w:r>
        <w:rPr>
          <w:color w:val="000000" w:themeColor="text1"/>
          <w:szCs w:val="24"/>
        </w:rPr>
        <w:t xml:space="preserve"> (much lower pay)</w:t>
      </w:r>
      <w:r w:rsidRPr="00550A07">
        <w:rPr>
          <w:color w:val="000000" w:themeColor="text1"/>
          <w:szCs w:val="24"/>
        </w:rPr>
        <w:t>, includ</w:t>
      </w:r>
      <w:r>
        <w:rPr>
          <w:color w:val="000000" w:themeColor="text1"/>
          <w:szCs w:val="24"/>
        </w:rPr>
        <w:t>ing</w:t>
      </w:r>
      <w:r w:rsidRPr="00550A07">
        <w:rPr>
          <w:color w:val="000000" w:themeColor="text1"/>
          <w:szCs w:val="24"/>
        </w:rPr>
        <w:t xml:space="preserve"> an estimate of credential committee person-hours</w:t>
      </w:r>
      <w:r>
        <w:rPr>
          <w:color w:val="000000" w:themeColor="text1"/>
          <w:szCs w:val="24"/>
        </w:rPr>
        <w:t>.</w:t>
      </w:r>
      <w:r>
        <w:rPr>
          <w:color w:val="000000" w:themeColor="text1"/>
          <w:szCs w:val="24"/>
        </w:rPr>
        <w:t xml:space="preserve"> </w:t>
      </w:r>
      <w:r w:rsidR="00470D95">
        <w:rPr>
          <w:color w:val="000000" w:themeColor="text1"/>
          <w:szCs w:val="24"/>
        </w:rPr>
        <w:t xml:space="preserve"> </w:t>
      </w:r>
      <w:r>
        <w:rPr>
          <w:color w:val="000000" w:themeColor="text1"/>
          <w:szCs w:val="24"/>
        </w:rPr>
        <w:t>The number of initial and reappointments are based on actual CY</w:t>
      </w:r>
      <w:r w:rsidR="00470D95">
        <w:rPr>
          <w:color w:val="000000" w:themeColor="text1"/>
          <w:szCs w:val="24"/>
        </w:rPr>
        <w:t xml:space="preserve"> </w:t>
      </w:r>
      <w:r>
        <w:rPr>
          <w:color w:val="000000" w:themeColor="text1"/>
          <w:szCs w:val="24"/>
        </w:rPr>
        <w:t>2022 numbers, as previously mentioned.</w:t>
      </w:r>
    </w:p>
    <w:p w:rsidR="00EC076E" w:rsidP="00670110" w14:paraId="38F1C764" w14:textId="030770BE">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EC076E" w:rsidP="00670110" w14:paraId="791171C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D02080">
        <w:rPr>
          <w:color w:val="000000" w:themeColor="text1"/>
          <w:szCs w:val="24"/>
        </w:rPr>
        <w:t>The total annual cost burden for use of the system by applicants decreased from the prev</w:t>
      </w:r>
      <w:r>
        <w:rPr>
          <w:color w:val="000000" w:themeColor="text1"/>
          <w:szCs w:val="24"/>
        </w:rPr>
        <w:t xml:space="preserve">ious method, as it was </w:t>
      </w:r>
      <w:r w:rsidR="00550A07">
        <w:rPr>
          <w:color w:val="000000" w:themeColor="text1"/>
          <w:szCs w:val="24"/>
        </w:rPr>
        <w:t xml:space="preserve">erroneously </w:t>
      </w:r>
      <w:r>
        <w:rPr>
          <w:color w:val="000000" w:themeColor="text1"/>
          <w:szCs w:val="24"/>
        </w:rPr>
        <w:t xml:space="preserve">reported previously </w:t>
      </w:r>
      <w:r w:rsidR="00550A07">
        <w:rPr>
          <w:color w:val="000000" w:themeColor="text1"/>
          <w:szCs w:val="24"/>
        </w:rPr>
        <w:t xml:space="preserve">that respondents had an annual cost. </w:t>
      </w:r>
      <w:r w:rsidR="001741D5">
        <w:rPr>
          <w:color w:val="000000" w:themeColor="text1"/>
          <w:szCs w:val="24"/>
        </w:rPr>
        <w:t xml:space="preserve"> </w:t>
      </w:r>
      <w:r w:rsidR="00550A07">
        <w:rPr>
          <w:color w:val="000000" w:themeColor="text1"/>
          <w:szCs w:val="24"/>
        </w:rPr>
        <w:t>As noted in Items 12 and 13, there are no capital costs, operating costs</w:t>
      </w:r>
      <w:r w:rsidR="001741D5">
        <w:rPr>
          <w:color w:val="000000" w:themeColor="text1"/>
          <w:szCs w:val="24"/>
        </w:rPr>
        <w:t>,</w:t>
      </w:r>
      <w:r w:rsidR="00550A07">
        <w:rPr>
          <w:color w:val="000000" w:themeColor="text1"/>
          <w:szCs w:val="24"/>
        </w:rPr>
        <w:t xml:space="preserve"> and/or maintenance costs to respondents, except for their time to complete the necessary application process.</w:t>
      </w:r>
    </w:p>
    <w:p w:rsidR="00EC076E" w:rsidP="00670110" w14:paraId="3D20F44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D02080" w:rsidP="00670110" w14:paraId="726FD14F" w14:textId="1BA8294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The current credentialing system continues to be optimized, standardized</w:t>
      </w:r>
      <w:r w:rsidR="00BA3712">
        <w:rPr>
          <w:color w:val="000000" w:themeColor="text1"/>
          <w:szCs w:val="24"/>
        </w:rPr>
        <w:t>,</w:t>
      </w:r>
      <w:r>
        <w:rPr>
          <w:color w:val="000000" w:themeColor="text1"/>
          <w:szCs w:val="24"/>
        </w:rPr>
        <w:t xml:space="preserve"> and systemized across the agency to increase quality collection and use of medical staff credentialing information to assist in meeting </w:t>
      </w:r>
      <w:r w:rsidR="00BA3712">
        <w:rPr>
          <w:color w:val="000000" w:themeColor="text1"/>
          <w:szCs w:val="24"/>
        </w:rPr>
        <w:t>F</w:t>
      </w:r>
      <w:r>
        <w:rPr>
          <w:color w:val="000000" w:themeColor="text1"/>
          <w:szCs w:val="24"/>
        </w:rPr>
        <w:t xml:space="preserve">ederal laws and regulations, accrediting body standards, </w:t>
      </w:r>
      <w:r w:rsidR="00083384">
        <w:rPr>
          <w:color w:val="000000" w:themeColor="text1"/>
          <w:szCs w:val="24"/>
        </w:rPr>
        <w:t>facility governance documents</w:t>
      </w:r>
      <w:r w:rsidR="00BA3712">
        <w:rPr>
          <w:color w:val="000000" w:themeColor="text1"/>
          <w:szCs w:val="24"/>
        </w:rPr>
        <w:t>,</w:t>
      </w:r>
      <w:r w:rsidR="00083384">
        <w:rPr>
          <w:color w:val="000000" w:themeColor="text1"/>
          <w:szCs w:val="24"/>
        </w:rPr>
        <w:t xml:space="preserve"> </w:t>
      </w:r>
      <w:r>
        <w:rPr>
          <w:color w:val="000000" w:themeColor="text1"/>
          <w:szCs w:val="24"/>
        </w:rPr>
        <w:t>and agency policies; as well as support agency oversight, reports</w:t>
      </w:r>
      <w:r w:rsidR="00BA3712">
        <w:rPr>
          <w:color w:val="000000" w:themeColor="text1"/>
          <w:szCs w:val="24"/>
        </w:rPr>
        <w:t>,</w:t>
      </w:r>
      <w:r>
        <w:rPr>
          <w:color w:val="000000" w:themeColor="text1"/>
          <w:szCs w:val="24"/>
        </w:rPr>
        <w:t xml:space="preserve"> safe, </w:t>
      </w:r>
      <w:r w:rsidR="00BA3712">
        <w:rPr>
          <w:color w:val="000000" w:themeColor="text1"/>
          <w:szCs w:val="24"/>
        </w:rPr>
        <w:t xml:space="preserve">and </w:t>
      </w:r>
      <w:r>
        <w:rPr>
          <w:color w:val="000000" w:themeColor="text1"/>
          <w:szCs w:val="24"/>
        </w:rPr>
        <w:t>quality patient care.</w:t>
      </w:r>
    </w:p>
    <w:p w:rsidR="00D02080" w:rsidP="00670110" w14:paraId="29C8B83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670110" w:rsidRPr="008E0086" w:rsidP="00670110" w14:paraId="30BCABF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14:paraId="511D192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Cs w:val="24"/>
        </w:rPr>
      </w:pPr>
      <w:r>
        <w:rPr>
          <w:b/>
          <w:color w:val="000000" w:themeColor="text1"/>
          <w:szCs w:val="24"/>
        </w:rPr>
        <w:tab/>
      </w:r>
      <w:r w:rsidRPr="00BB11F7">
        <w:rPr>
          <w:b/>
          <w:color w:val="000000" w:themeColor="text1"/>
          <w:szCs w:val="24"/>
        </w:rPr>
        <w:t>16.</w:t>
      </w:r>
      <w:r w:rsidRPr="00BB11F7">
        <w:rPr>
          <w:b/>
          <w:color w:val="000000" w:themeColor="text1"/>
          <w:szCs w:val="24"/>
        </w:rPr>
        <w:tab/>
      </w:r>
      <w:r w:rsidRPr="00BB11F7">
        <w:rPr>
          <w:b/>
          <w:color w:val="000000" w:themeColor="text1"/>
          <w:szCs w:val="24"/>
          <w:u w:val="single"/>
        </w:rPr>
        <w:t>Plans for Tabulation and Publication and Project Time Schedule</w:t>
      </w:r>
    </w:p>
    <w:p w:rsidR="008E3B16" w:rsidRPr="008E0086" w14:paraId="645B273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17FC435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results of the proposed collection of information will not be published for statistical use.</w:t>
      </w:r>
    </w:p>
    <w:p w:rsidR="008E3B16" w:rsidRPr="008E0086" w14:paraId="43B0630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60D4F2F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Pr>
          <w:b/>
          <w:color w:val="000000" w:themeColor="text1"/>
          <w:szCs w:val="24"/>
        </w:rPr>
        <w:tab/>
      </w:r>
      <w:r w:rsidRPr="008E0086">
        <w:rPr>
          <w:b/>
          <w:color w:val="000000" w:themeColor="text1"/>
          <w:szCs w:val="24"/>
        </w:rPr>
        <w:t>17.</w:t>
      </w:r>
      <w:r w:rsidRPr="008E0086">
        <w:rPr>
          <w:b/>
          <w:color w:val="000000" w:themeColor="text1"/>
          <w:szCs w:val="24"/>
        </w:rPr>
        <w:tab/>
      </w:r>
      <w:r w:rsidRPr="008E0086">
        <w:rPr>
          <w:b/>
          <w:color w:val="000000" w:themeColor="text1"/>
          <w:szCs w:val="24"/>
          <w:u w:val="single"/>
        </w:rPr>
        <w:t>Reason(s) Display of OMB Expiration Date is Inappropriate</w:t>
      </w:r>
    </w:p>
    <w:p w:rsidR="008E3B16" w:rsidRPr="008E0086" w14:paraId="647ACB1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55CF3DBA" w14:textId="6FC16DB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OMB approval number and expiration date will be appropriately displayed</w:t>
      </w:r>
      <w:r w:rsidR="001E6BC5">
        <w:rPr>
          <w:color w:val="000000" w:themeColor="text1"/>
          <w:szCs w:val="24"/>
        </w:rPr>
        <w:t xml:space="preserve"> in the new system and</w:t>
      </w:r>
      <w:r w:rsidRPr="008E0086">
        <w:rPr>
          <w:color w:val="000000" w:themeColor="text1"/>
          <w:szCs w:val="24"/>
        </w:rPr>
        <w:t xml:space="preserve"> on</w:t>
      </w:r>
      <w:r w:rsidR="001E6BC5">
        <w:rPr>
          <w:color w:val="000000" w:themeColor="text1"/>
          <w:szCs w:val="24"/>
        </w:rPr>
        <w:t xml:space="preserve"> all</w:t>
      </w:r>
      <w:r w:rsidRPr="008E0086">
        <w:rPr>
          <w:color w:val="000000" w:themeColor="text1"/>
          <w:szCs w:val="24"/>
        </w:rPr>
        <w:t xml:space="preserve"> the information collection form</w:t>
      </w:r>
      <w:r w:rsidR="001E6BC5">
        <w:rPr>
          <w:color w:val="000000" w:themeColor="text1"/>
          <w:szCs w:val="24"/>
        </w:rPr>
        <w:t>s</w:t>
      </w:r>
      <w:r w:rsidRPr="008E0086">
        <w:rPr>
          <w:color w:val="000000" w:themeColor="text1"/>
          <w:szCs w:val="24"/>
        </w:rPr>
        <w:t xml:space="preserve">. </w:t>
      </w:r>
    </w:p>
    <w:p w:rsidR="008E3B16" w:rsidRPr="008E0086" w14:paraId="0A7FDDC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666B6FD5"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Pr>
          <w:b/>
          <w:color w:val="000000" w:themeColor="text1"/>
          <w:szCs w:val="24"/>
        </w:rPr>
        <w:tab/>
      </w:r>
      <w:r w:rsidRPr="008E0086">
        <w:rPr>
          <w:b/>
          <w:color w:val="000000" w:themeColor="text1"/>
          <w:szCs w:val="24"/>
        </w:rPr>
        <w:t>18.</w:t>
      </w:r>
      <w:r w:rsidRPr="008E0086">
        <w:rPr>
          <w:b/>
          <w:color w:val="000000" w:themeColor="text1"/>
          <w:szCs w:val="24"/>
        </w:rPr>
        <w:tab/>
      </w:r>
      <w:r w:rsidRPr="008E0086">
        <w:rPr>
          <w:b/>
          <w:color w:val="000000" w:themeColor="text1"/>
          <w:szCs w:val="24"/>
          <w:u w:val="single"/>
        </w:rPr>
        <w:t>Exceptions to Certification for Paperwork Reduction Act Submissions</w:t>
      </w:r>
    </w:p>
    <w:p w:rsidR="008E3B16" w:rsidRPr="008E0086" w14:paraId="42AE3118"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14:paraId="2F9E4315" w14:textId="3084654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No exceptions are being requested.</w:t>
      </w:r>
    </w:p>
    <w:p w:rsidR="008E3B16" w:rsidRPr="008E0086" w14:paraId="65803C8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14:paraId="039F780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themeColor="text1"/>
          <w:szCs w:val="24"/>
        </w:rPr>
      </w:pPr>
      <w:r w:rsidRPr="008E0086">
        <w:rPr>
          <w:b/>
          <w:color w:val="000000" w:themeColor="text1"/>
          <w:szCs w:val="24"/>
        </w:rPr>
        <w:t>B.</w:t>
      </w:r>
      <w:r w:rsidRPr="008E0086">
        <w:rPr>
          <w:b/>
          <w:color w:val="000000" w:themeColor="text1"/>
          <w:szCs w:val="24"/>
        </w:rPr>
        <w:tab/>
      </w:r>
      <w:r w:rsidRPr="008E0086">
        <w:rPr>
          <w:b/>
          <w:color w:val="000000" w:themeColor="text1"/>
          <w:szCs w:val="24"/>
          <w:u w:val="single"/>
        </w:rPr>
        <w:t>Collection of Information Employing Statistical Methods</w:t>
      </w:r>
    </w:p>
    <w:p w:rsidR="008E3B16" w:rsidRPr="008E0086" w14:paraId="17CBEAE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49162B" w:rsidP="00563F3F" w14:paraId="050045C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color w:val="000000" w:themeColor="text1"/>
          <w:szCs w:val="24"/>
        </w:rPr>
      </w:pPr>
      <w:r w:rsidRPr="008E0086">
        <w:rPr>
          <w:color w:val="000000" w:themeColor="text1"/>
          <w:szCs w:val="24"/>
        </w:rPr>
        <w:t>This information collection will not employ statistical methods.</w:t>
      </w:r>
    </w:p>
    <w:sectPr w:rsidSect="009C2A1B">
      <w:footerReference w:type="even" r:id="rId6"/>
      <w:footerReference w:type="default" r:id="rId7"/>
      <w:footnotePr>
        <w:numFmt w:val="lowerLetter"/>
      </w:footnotePr>
      <w:endnotePr>
        <w:numFmt w:val="lowerLetter"/>
      </w:endnotePr>
      <w:pgSz w:w="12240" w:h="15840"/>
      <w:pgMar w:top="1440" w:right="1440" w:bottom="1440" w:left="1440" w:header="1440" w:footer="144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3B16" w:rsidP="009C2A1B" w14:paraId="00E24FB7" w14:textId="1CF11B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0957">
      <w:rPr>
        <w:rStyle w:val="PageNumber"/>
        <w:noProof/>
      </w:rPr>
      <w:t>12</w:t>
    </w:r>
    <w:r>
      <w:rPr>
        <w:rStyle w:val="PageNumber"/>
      </w:rPr>
      <w:fldChar w:fldCharType="end"/>
    </w:r>
  </w:p>
  <w:p w:rsidR="008E3B16" w:rsidP="009C2A1B" w14:paraId="0518D2A9"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3B16" w:rsidP="009C2A1B" w14:paraId="1EC2742C" w14:textId="58AEBA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0957">
      <w:rPr>
        <w:rStyle w:val="PageNumber"/>
        <w:noProof/>
      </w:rPr>
      <w:t>11</w:t>
    </w:r>
    <w:r>
      <w:rPr>
        <w:rStyle w:val="PageNumber"/>
      </w:rPr>
      <w:fldChar w:fldCharType="end"/>
    </w:r>
  </w:p>
  <w:p w:rsidR="008E3B16" w:rsidP="009C2A1B" w14:paraId="24EF8FB8" w14:textId="77777777">
    <w:pPr>
      <w:pStyle w:val="Footer"/>
      <w:ind w:right="360" w:firstLine="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A00C65"/>
    <w:multiLevelType w:val="hybridMultilevel"/>
    <w:tmpl w:val="AEE069E4"/>
    <w:lvl w:ilvl="0">
      <w:start w:val="0"/>
      <w:numFmt w:val="bullet"/>
      <w:lvlText w:val="•"/>
      <w:lvlJc w:val="left"/>
      <w:pPr>
        <w:ind w:left="900" w:hanging="360"/>
      </w:pPr>
      <w:rPr>
        <w:rFonts w:ascii="Times New Roman" w:eastAsia="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
    <w:nsid w:val="33C66BAD"/>
    <w:multiLevelType w:val="hybridMultilevel"/>
    <w:tmpl w:val="521A3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CF199E"/>
    <w:multiLevelType w:val="hybridMultilevel"/>
    <w:tmpl w:val="FEB03EE6"/>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
    <w:nsid w:val="41EF23E9"/>
    <w:multiLevelType w:val="hybridMultilevel"/>
    <w:tmpl w:val="404E71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166200"/>
    <w:multiLevelType w:val="hybridMultilevel"/>
    <w:tmpl w:val="368883A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62536E"/>
    <w:multiLevelType w:val="hybridMultilevel"/>
    <w:tmpl w:val="23E8E3F6"/>
    <w:lvl w:ilvl="0">
      <w:start w:val="11"/>
      <w:numFmt w:val="decimal"/>
      <w:lvlText w:val="%1."/>
      <w:lvlJc w:val="left"/>
      <w:pPr>
        <w:tabs>
          <w:tab w:val="num" w:pos="990"/>
        </w:tabs>
        <w:ind w:left="990" w:hanging="540"/>
      </w:pPr>
      <w:rPr>
        <w:rFonts w:cs="Times New Roman" w:hint="default"/>
        <w:b/>
        <w:u w:val="none"/>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6">
    <w:nsid w:val="59DC1FD4"/>
    <w:multiLevelType w:val="multilevel"/>
    <w:tmpl w:val="6E16A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6024A5"/>
    <w:multiLevelType w:val="multilevel"/>
    <w:tmpl w:val="462684FA"/>
    <w:lvl w:ilvl="0">
      <w:start w:val="1"/>
      <w:numFmt w:val="upperLetter"/>
      <w:lvlText w:val="%1."/>
      <w:legacy w:legacy="1" w:legacySpace="0" w:legacyIndent="0"/>
      <w:lvlJc w:val="left"/>
      <w:pPr>
        <w:ind w:left="540" w:firstLine="0"/>
      </w:pPr>
    </w:lvl>
    <w:lvl w:ilvl="1">
      <w:start w:val="1"/>
      <w:numFmt w:val="decimal"/>
      <w:lvlText w:val="(%2)"/>
      <w:legacy w:legacy="1" w:legacySpace="0" w:legacyIndent="0"/>
      <w:lvlJc w:val="left"/>
      <w:pPr>
        <w:ind w:left="540" w:firstLine="0"/>
      </w:pPr>
    </w:lvl>
    <w:lvl w:ilvl="2">
      <w:start w:val="1"/>
      <w:numFmt w:val="lowerLetter"/>
      <w:lvlText w:val="%3."/>
      <w:legacy w:legacy="1" w:legacySpace="0" w:legacyIndent="0"/>
      <w:lvlJc w:val="left"/>
      <w:pPr>
        <w:ind w:left="540" w:firstLine="0"/>
      </w:pPr>
    </w:lvl>
    <w:lvl w:ilvl="3">
      <w:start w:val="1"/>
      <w:numFmt w:val="lowerRoman"/>
      <w:lvlText w:val="(%4)"/>
      <w:legacy w:legacy="1" w:legacySpace="0" w:legacyIndent="0"/>
      <w:lvlJc w:val="left"/>
      <w:pPr>
        <w:ind w:left="540" w:firstLine="0"/>
      </w:pPr>
    </w:lvl>
    <w:lvl w:ilvl="4">
      <w:start w:val="1"/>
      <w:numFmt w:val="lowerLetter"/>
      <w:lvlText w:val="(%5)"/>
      <w:legacy w:legacy="1" w:legacySpace="0" w:legacyIndent="0"/>
      <w:lvlJc w:val="left"/>
      <w:pPr>
        <w:ind w:left="540" w:firstLine="0"/>
      </w:pPr>
    </w:lvl>
    <w:lvl w:ilvl="5">
      <w:start w:val="1"/>
      <w:numFmt w:val="lowerRoman"/>
      <w:lvlText w:val="(%6)"/>
      <w:legacy w:legacy="1" w:legacySpace="0" w:legacyIndent="0"/>
      <w:lvlJc w:val="left"/>
      <w:pPr>
        <w:ind w:left="540" w:firstLine="0"/>
      </w:pPr>
    </w:lvl>
    <w:lvl w:ilvl="6">
      <w:start w:val="1"/>
      <w:numFmt w:val="decimal"/>
      <w:lvlText w:val="%7)"/>
      <w:legacy w:legacy="1" w:legacySpace="0" w:legacyIndent="0"/>
      <w:lvlJc w:val="left"/>
      <w:pPr>
        <w:ind w:left="540" w:firstLine="0"/>
      </w:pPr>
    </w:lvl>
    <w:lvl w:ilvl="7">
      <w:start w:val="1"/>
      <w:numFmt w:val="lowerLetter"/>
      <w:lvlText w:val="%8)"/>
      <w:legacy w:legacy="1" w:legacySpace="0" w:legacyIndent="0"/>
      <w:lvlJc w:val="left"/>
      <w:pPr>
        <w:ind w:left="540" w:firstLine="0"/>
      </w:pPr>
    </w:lvl>
    <w:lvl w:ilvl="8">
      <w:start w:val="1"/>
      <w:numFmt w:val="lowerRoman"/>
      <w:lvlText w:val="%9)"/>
      <w:legacy w:legacy="1" w:legacySpace="0" w:legacyIndent="0"/>
      <w:lvlJc w:val="left"/>
      <w:pPr>
        <w:ind w:left="540" w:firstLine="0"/>
      </w:pPr>
    </w:lvl>
  </w:abstractNum>
  <w:num w:numId="1">
    <w:abstractNumId w:val="5"/>
  </w:num>
  <w:num w:numId="2">
    <w:abstractNumId w:val="3"/>
  </w:num>
  <w:num w:numId="3">
    <w:abstractNumId w:val="2"/>
  </w:num>
  <w:num w:numId="4">
    <w:abstractNumId w:val="0"/>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39"/>
    <w:rsid w:val="0000208C"/>
    <w:rsid w:val="00004533"/>
    <w:rsid w:val="00006C3C"/>
    <w:rsid w:val="00006DAB"/>
    <w:rsid w:val="0001344A"/>
    <w:rsid w:val="00014802"/>
    <w:rsid w:val="00015B42"/>
    <w:rsid w:val="000228C0"/>
    <w:rsid w:val="000436BE"/>
    <w:rsid w:val="00054AB6"/>
    <w:rsid w:val="00056E3B"/>
    <w:rsid w:val="00057004"/>
    <w:rsid w:val="00066D62"/>
    <w:rsid w:val="00083384"/>
    <w:rsid w:val="00084A8D"/>
    <w:rsid w:val="00086EAC"/>
    <w:rsid w:val="00087037"/>
    <w:rsid w:val="00091512"/>
    <w:rsid w:val="00094604"/>
    <w:rsid w:val="00096AD8"/>
    <w:rsid w:val="000A2005"/>
    <w:rsid w:val="000B269B"/>
    <w:rsid w:val="000B4140"/>
    <w:rsid w:val="000B7DE0"/>
    <w:rsid w:val="000C0219"/>
    <w:rsid w:val="000D6D58"/>
    <w:rsid w:val="000E2136"/>
    <w:rsid w:val="000F1F42"/>
    <w:rsid w:val="00100F09"/>
    <w:rsid w:val="00101720"/>
    <w:rsid w:val="0010476D"/>
    <w:rsid w:val="00107826"/>
    <w:rsid w:val="001135B6"/>
    <w:rsid w:val="0012431F"/>
    <w:rsid w:val="00130D48"/>
    <w:rsid w:val="0013468C"/>
    <w:rsid w:val="00135FC3"/>
    <w:rsid w:val="00144E76"/>
    <w:rsid w:val="00145156"/>
    <w:rsid w:val="001477B4"/>
    <w:rsid w:val="00151B19"/>
    <w:rsid w:val="00152360"/>
    <w:rsid w:val="001572AD"/>
    <w:rsid w:val="0016254E"/>
    <w:rsid w:val="00170CB7"/>
    <w:rsid w:val="00170FFD"/>
    <w:rsid w:val="001713B9"/>
    <w:rsid w:val="001741D5"/>
    <w:rsid w:val="00180820"/>
    <w:rsid w:val="00180E6A"/>
    <w:rsid w:val="00181591"/>
    <w:rsid w:val="001824C4"/>
    <w:rsid w:val="00183474"/>
    <w:rsid w:val="00186983"/>
    <w:rsid w:val="0019639E"/>
    <w:rsid w:val="00196802"/>
    <w:rsid w:val="001B2025"/>
    <w:rsid w:val="001B2987"/>
    <w:rsid w:val="001B3B61"/>
    <w:rsid w:val="001B5B4C"/>
    <w:rsid w:val="001B6ABF"/>
    <w:rsid w:val="001B7718"/>
    <w:rsid w:val="001C534D"/>
    <w:rsid w:val="001C61CA"/>
    <w:rsid w:val="001D1167"/>
    <w:rsid w:val="001D4CAD"/>
    <w:rsid w:val="001D5803"/>
    <w:rsid w:val="001D6888"/>
    <w:rsid w:val="001E1404"/>
    <w:rsid w:val="001E4448"/>
    <w:rsid w:val="001E49A4"/>
    <w:rsid w:val="001E6195"/>
    <w:rsid w:val="001E69CC"/>
    <w:rsid w:val="001E6BC5"/>
    <w:rsid w:val="001E7083"/>
    <w:rsid w:val="001F0957"/>
    <w:rsid w:val="001F175C"/>
    <w:rsid w:val="001F21A8"/>
    <w:rsid w:val="001F6973"/>
    <w:rsid w:val="00203586"/>
    <w:rsid w:val="002055DF"/>
    <w:rsid w:val="00210633"/>
    <w:rsid w:val="002234C8"/>
    <w:rsid w:val="00227A6E"/>
    <w:rsid w:val="0023597B"/>
    <w:rsid w:val="00236F88"/>
    <w:rsid w:val="0024195F"/>
    <w:rsid w:val="00245BCD"/>
    <w:rsid w:val="002461E4"/>
    <w:rsid w:val="00246725"/>
    <w:rsid w:val="00254613"/>
    <w:rsid w:val="00260868"/>
    <w:rsid w:val="00282DB8"/>
    <w:rsid w:val="002A2FFE"/>
    <w:rsid w:val="002A76B8"/>
    <w:rsid w:val="002B3223"/>
    <w:rsid w:val="002B5A35"/>
    <w:rsid w:val="002C0BA6"/>
    <w:rsid w:val="002C1C00"/>
    <w:rsid w:val="002C6061"/>
    <w:rsid w:val="002D2134"/>
    <w:rsid w:val="002E5E34"/>
    <w:rsid w:val="002F3566"/>
    <w:rsid w:val="002F57C5"/>
    <w:rsid w:val="00302A40"/>
    <w:rsid w:val="00304484"/>
    <w:rsid w:val="0030573E"/>
    <w:rsid w:val="00311B3D"/>
    <w:rsid w:val="00313E4E"/>
    <w:rsid w:val="003173C0"/>
    <w:rsid w:val="00321CBC"/>
    <w:rsid w:val="00324831"/>
    <w:rsid w:val="003259EC"/>
    <w:rsid w:val="00330D89"/>
    <w:rsid w:val="003335D9"/>
    <w:rsid w:val="003363FA"/>
    <w:rsid w:val="003418D4"/>
    <w:rsid w:val="0035120D"/>
    <w:rsid w:val="003605D2"/>
    <w:rsid w:val="003611DB"/>
    <w:rsid w:val="00372C66"/>
    <w:rsid w:val="00373C6D"/>
    <w:rsid w:val="00374285"/>
    <w:rsid w:val="003767A9"/>
    <w:rsid w:val="00381F7B"/>
    <w:rsid w:val="003833D4"/>
    <w:rsid w:val="00385397"/>
    <w:rsid w:val="00392D85"/>
    <w:rsid w:val="00394FD4"/>
    <w:rsid w:val="003A129D"/>
    <w:rsid w:val="003A2ABA"/>
    <w:rsid w:val="003A3BAE"/>
    <w:rsid w:val="003A459B"/>
    <w:rsid w:val="003A5709"/>
    <w:rsid w:val="003A6900"/>
    <w:rsid w:val="003B4CD7"/>
    <w:rsid w:val="003C3430"/>
    <w:rsid w:val="003C7B49"/>
    <w:rsid w:val="003D1842"/>
    <w:rsid w:val="003D1F4F"/>
    <w:rsid w:val="003D2523"/>
    <w:rsid w:val="003D3EE4"/>
    <w:rsid w:val="003E25C1"/>
    <w:rsid w:val="003E32C7"/>
    <w:rsid w:val="003E377D"/>
    <w:rsid w:val="003E5AF1"/>
    <w:rsid w:val="003E7CEF"/>
    <w:rsid w:val="003F0248"/>
    <w:rsid w:val="003F6513"/>
    <w:rsid w:val="004001B5"/>
    <w:rsid w:val="004043B1"/>
    <w:rsid w:val="00406ECD"/>
    <w:rsid w:val="00414D4C"/>
    <w:rsid w:val="00414F3C"/>
    <w:rsid w:val="00424554"/>
    <w:rsid w:val="0042687C"/>
    <w:rsid w:val="00430525"/>
    <w:rsid w:val="004321D3"/>
    <w:rsid w:val="00451801"/>
    <w:rsid w:val="004543F2"/>
    <w:rsid w:val="004609CF"/>
    <w:rsid w:val="004654D6"/>
    <w:rsid w:val="00466051"/>
    <w:rsid w:val="004702B8"/>
    <w:rsid w:val="00470D95"/>
    <w:rsid w:val="00475C08"/>
    <w:rsid w:val="00484937"/>
    <w:rsid w:val="00485848"/>
    <w:rsid w:val="00487298"/>
    <w:rsid w:val="00487587"/>
    <w:rsid w:val="0049162B"/>
    <w:rsid w:val="0049591D"/>
    <w:rsid w:val="004972DF"/>
    <w:rsid w:val="004973EF"/>
    <w:rsid w:val="004A4411"/>
    <w:rsid w:val="004A7336"/>
    <w:rsid w:val="004B0332"/>
    <w:rsid w:val="004B3294"/>
    <w:rsid w:val="004B4279"/>
    <w:rsid w:val="004C1CBD"/>
    <w:rsid w:val="004D32C6"/>
    <w:rsid w:val="004E1B54"/>
    <w:rsid w:val="004E2E89"/>
    <w:rsid w:val="004E39F6"/>
    <w:rsid w:val="004E4C96"/>
    <w:rsid w:val="004E67EF"/>
    <w:rsid w:val="004F1F24"/>
    <w:rsid w:val="005008DF"/>
    <w:rsid w:val="00501C19"/>
    <w:rsid w:val="00506CE1"/>
    <w:rsid w:val="00507693"/>
    <w:rsid w:val="00513DA2"/>
    <w:rsid w:val="005229B8"/>
    <w:rsid w:val="005371F9"/>
    <w:rsid w:val="005407A0"/>
    <w:rsid w:val="005434E4"/>
    <w:rsid w:val="00544F48"/>
    <w:rsid w:val="00550A07"/>
    <w:rsid w:val="00556F6C"/>
    <w:rsid w:val="00563F3F"/>
    <w:rsid w:val="00574932"/>
    <w:rsid w:val="00576401"/>
    <w:rsid w:val="005810E7"/>
    <w:rsid w:val="00590614"/>
    <w:rsid w:val="00591863"/>
    <w:rsid w:val="00591948"/>
    <w:rsid w:val="00591CB1"/>
    <w:rsid w:val="00591E92"/>
    <w:rsid w:val="00592CFF"/>
    <w:rsid w:val="005948DF"/>
    <w:rsid w:val="00596C33"/>
    <w:rsid w:val="005A2EB6"/>
    <w:rsid w:val="005A688C"/>
    <w:rsid w:val="005B2983"/>
    <w:rsid w:val="005B45AA"/>
    <w:rsid w:val="005B7B9E"/>
    <w:rsid w:val="005C0D12"/>
    <w:rsid w:val="005C2CE9"/>
    <w:rsid w:val="005C666A"/>
    <w:rsid w:val="005E0820"/>
    <w:rsid w:val="005E214F"/>
    <w:rsid w:val="005E3815"/>
    <w:rsid w:val="005E7B41"/>
    <w:rsid w:val="005F2DA1"/>
    <w:rsid w:val="00601491"/>
    <w:rsid w:val="00602896"/>
    <w:rsid w:val="00603D85"/>
    <w:rsid w:val="00610100"/>
    <w:rsid w:val="00613914"/>
    <w:rsid w:val="00622A2A"/>
    <w:rsid w:val="00622B64"/>
    <w:rsid w:val="006250E9"/>
    <w:rsid w:val="00627810"/>
    <w:rsid w:val="00630543"/>
    <w:rsid w:val="00643A81"/>
    <w:rsid w:val="00644342"/>
    <w:rsid w:val="0064618B"/>
    <w:rsid w:val="006602E8"/>
    <w:rsid w:val="0066353A"/>
    <w:rsid w:val="00670110"/>
    <w:rsid w:val="0067646E"/>
    <w:rsid w:val="006831B7"/>
    <w:rsid w:val="006840EA"/>
    <w:rsid w:val="00691E68"/>
    <w:rsid w:val="00695BFF"/>
    <w:rsid w:val="00695E44"/>
    <w:rsid w:val="006962F6"/>
    <w:rsid w:val="006A2496"/>
    <w:rsid w:val="006A2716"/>
    <w:rsid w:val="006B1EB8"/>
    <w:rsid w:val="006C455C"/>
    <w:rsid w:val="006C6254"/>
    <w:rsid w:val="006E57C0"/>
    <w:rsid w:val="006E59BF"/>
    <w:rsid w:val="006E622C"/>
    <w:rsid w:val="006F1DB2"/>
    <w:rsid w:val="006F2012"/>
    <w:rsid w:val="006F7C9A"/>
    <w:rsid w:val="007039D2"/>
    <w:rsid w:val="0070539C"/>
    <w:rsid w:val="0070706F"/>
    <w:rsid w:val="00711BDF"/>
    <w:rsid w:val="00712844"/>
    <w:rsid w:val="00716B93"/>
    <w:rsid w:val="0072043D"/>
    <w:rsid w:val="007215EC"/>
    <w:rsid w:val="00734316"/>
    <w:rsid w:val="00742C61"/>
    <w:rsid w:val="00751B03"/>
    <w:rsid w:val="0075269F"/>
    <w:rsid w:val="00764CDC"/>
    <w:rsid w:val="00764E95"/>
    <w:rsid w:val="00765635"/>
    <w:rsid w:val="007722DC"/>
    <w:rsid w:val="00774096"/>
    <w:rsid w:val="00777F39"/>
    <w:rsid w:val="0078289F"/>
    <w:rsid w:val="007852F3"/>
    <w:rsid w:val="00790495"/>
    <w:rsid w:val="00790D4B"/>
    <w:rsid w:val="007913BF"/>
    <w:rsid w:val="00793487"/>
    <w:rsid w:val="007A2D78"/>
    <w:rsid w:val="007B1CA8"/>
    <w:rsid w:val="007B23D3"/>
    <w:rsid w:val="007B6D65"/>
    <w:rsid w:val="007C01D1"/>
    <w:rsid w:val="007C21C5"/>
    <w:rsid w:val="007D0059"/>
    <w:rsid w:val="007D237A"/>
    <w:rsid w:val="007D2DF9"/>
    <w:rsid w:val="007D3B22"/>
    <w:rsid w:val="007D3C95"/>
    <w:rsid w:val="007E2BB9"/>
    <w:rsid w:val="007E44AA"/>
    <w:rsid w:val="007E4DE5"/>
    <w:rsid w:val="007E58E1"/>
    <w:rsid w:val="0080174F"/>
    <w:rsid w:val="00815821"/>
    <w:rsid w:val="00816C2A"/>
    <w:rsid w:val="0082503C"/>
    <w:rsid w:val="00826449"/>
    <w:rsid w:val="00830CCD"/>
    <w:rsid w:val="008333AB"/>
    <w:rsid w:val="008472A7"/>
    <w:rsid w:val="00852FB6"/>
    <w:rsid w:val="00853918"/>
    <w:rsid w:val="00863C8D"/>
    <w:rsid w:val="00865652"/>
    <w:rsid w:val="0087299C"/>
    <w:rsid w:val="00872DE7"/>
    <w:rsid w:val="0087384D"/>
    <w:rsid w:val="008B485E"/>
    <w:rsid w:val="008B5C67"/>
    <w:rsid w:val="008B659E"/>
    <w:rsid w:val="008C4A5F"/>
    <w:rsid w:val="008E0086"/>
    <w:rsid w:val="008E3B16"/>
    <w:rsid w:val="008E6601"/>
    <w:rsid w:val="008F19E9"/>
    <w:rsid w:val="008F200F"/>
    <w:rsid w:val="00900694"/>
    <w:rsid w:val="00905802"/>
    <w:rsid w:val="0091251D"/>
    <w:rsid w:val="009145F1"/>
    <w:rsid w:val="009176C6"/>
    <w:rsid w:val="00932B63"/>
    <w:rsid w:val="00935297"/>
    <w:rsid w:val="0093551C"/>
    <w:rsid w:val="009370A5"/>
    <w:rsid w:val="00942721"/>
    <w:rsid w:val="009450FB"/>
    <w:rsid w:val="00945495"/>
    <w:rsid w:val="00947FDB"/>
    <w:rsid w:val="00951E8C"/>
    <w:rsid w:val="009543CB"/>
    <w:rsid w:val="009574EA"/>
    <w:rsid w:val="00961CB9"/>
    <w:rsid w:val="009627B7"/>
    <w:rsid w:val="0096346B"/>
    <w:rsid w:val="009703A3"/>
    <w:rsid w:val="00971CE6"/>
    <w:rsid w:val="00975319"/>
    <w:rsid w:val="00975751"/>
    <w:rsid w:val="009867CA"/>
    <w:rsid w:val="00986E3E"/>
    <w:rsid w:val="00996796"/>
    <w:rsid w:val="009A20F5"/>
    <w:rsid w:val="009A5140"/>
    <w:rsid w:val="009B2FA4"/>
    <w:rsid w:val="009B50A9"/>
    <w:rsid w:val="009C2A1B"/>
    <w:rsid w:val="009C5441"/>
    <w:rsid w:val="009D2E18"/>
    <w:rsid w:val="009D3D5D"/>
    <w:rsid w:val="009D481D"/>
    <w:rsid w:val="009E37B0"/>
    <w:rsid w:val="009E4B9A"/>
    <w:rsid w:val="009E5363"/>
    <w:rsid w:val="009E55CB"/>
    <w:rsid w:val="009E5CCF"/>
    <w:rsid w:val="009F3494"/>
    <w:rsid w:val="009F6160"/>
    <w:rsid w:val="00A00880"/>
    <w:rsid w:val="00A01A69"/>
    <w:rsid w:val="00A0256F"/>
    <w:rsid w:val="00A05E2E"/>
    <w:rsid w:val="00A20B29"/>
    <w:rsid w:val="00A215EA"/>
    <w:rsid w:val="00A25321"/>
    <w:rsid w:val="00A31C95"/>
    <w:rsid w:val="00A32EA6"/>
    <w:rsid w:val="00A43381"/>
    <w:rsid w:val="00A51677"/>
    <w:rsid w:val="00A53B56"/>
    <w:rsid w:val="00A54022"/>
    <w:rsid w:val="00A70C6A"/>
    <w:rsid w:val="00A8108C"/>
    <w:rsid w:val="00A82397"/>
    <w:rsid w:val="00A82DA3"/>
    <w:rsid w:val="00A832A5"/>
    <w:rsid w:val="00A84545"/>
    <w:rsid w:val="00A86320"/>
    <w:rsid w:val="00A92EEB"/>
    <w:rsid w:val="00A953A7"/>
    <w:rsid w:val="00A97661"/>
    <w:rsid w:val="00AA5835"/>
    <w:rsid w:val="00AB0DDF"/>
    <w:rsid w:val="00AB5CD7"/>
    <w:rsid w:val="00AC1078"/>
    <w:rsid w:val="00AC3AE7"/>
    <w:rsid w:val="00AC4F68"/>
    <w:rsid w:val="00AC604A"/>
    <w:rsid w:val="00AC7E9D"/>
    <w:rsid w:val="00AD07FF"/>
    <w:rsid w:val="00AD141C"/>
    <w:rsid w:val="00AD2CBD"/>
    <w:rsid w:val="00AD724C"/>
    <w:rsid w:val="00AE0425"/>
    <w:rsid w:val="00AE345E"/>
    <w:rsid w:val="00AE49EE"/>
    <w:rsid w:val="00AE5C0F"/>
    <w:rsid w:val="00AF5678"/>
    <w:rsid w:val="00AF59A6"/>
    <w:rsid w:val="00B0293F"/>
    <w:rsid w:val="00B0529F"/>
    <w:rsid w:val="00B06DC4"/>
    <w:rsid w:val="00B07829"/>
    <w:rsid w:val="00B10DE3"/>
    <w:rsid w:val="00B1251C"/>
    <w:rsid w:val="00B136AF"/>
    <w:rsid w:val="00B250A3"/>
    <w:rsid w:val="00B37D5F"/>
    <w:rsid w:val="00B459F2"/>
    <w:rsid w:val="00B54102"/>
    <w:rsid w:val="00B54772"/>
    <w:rsid w:val="00B6544B"/>
    <w:rsid w:val="00B65A61"/>
    <w:rsid w:val="00B65B34"/>
    <w:rsid w:val="00B65F91"/>
    <w:rsid w:val="00B66513"/>
    <w:rsid w:val="00B85296"/>
    <w:rsid w:val="00B85DFB"/>
    <w:rsid w:val="00B86A0E"/>
    <w:rsid w:val="00B93741"/>
    <w:rsid w:val="00B94718"/>
    <w:rsid w:val="00B9724E"/>
    <w:rsid w:val="00BA3712"/>
    <w:rsid w:val="00BB11F7"/>
    <w:rsid w:val="00BB4F06"/>
    <w:rsid w:val="00BC71FA"/>
    <w:rsid w:val="00BD1950"/>
    <w:rsid w:val="00BD7254"/>
    <w:rsid w:val="00BE7FED"/>
    <w:rsid w:val="00BF6D81"/>
    <w:rsid w:val="00BF7984"/>
    <w:rsid w:val="00C028F5"/>
    <w:rsid w:val="00C0305F"/>
    <w:rsid w:val="00C04E03"/>
    <w:rsid w:val="00C11BB4"/>
    <w:rsid w:val="00C179E4"/>
    <w:rsid w:val="00C17C07"/>
    <w:rsid w:val="00C2120E"/>
    <w:rsid w:val="00C22423"/>
    <w:rsid w:val="00C2448B"/>
    <w:rsid w:val="00C355F2"/>
    <w:rsid w:val="00C3717D"/>
    <w:rsid w:val="00C446C9"/>
    <w:rsid w:val="00C46706"/>
    <w:rsid w:val="00C50C65"/>
    <w:rsid w:val="00C52141"/>
    <w:rsid w:val="00C54B41"/>
    <w:rsid w:val="00C62C08"/>
    <w:rsid w:val="00C73D72"/>
    <w:rsid w:val="00C811BC"/>
    <w:rsid w:val="00C86463"/>
    <w:rsid w:val="00CA106D"/>
    <w:rsid w:val="00CA50B3"/>
    <w:rsid w:val="00CB015C"/>
    <w:rsid w:val="00CB5C91"/>
    <w:rsid w:val="00CB617A"/>
    <w:rsid w:val="00CB6879"/>
    <w:rsid w:val="00CB7D0B"/>
    <w:rsid w:val="00CC0853"/>
    <w:rsid w:val="00CC58F2"/>
    <w:rsid w:val="00CD1C16"/>
    <w:rsid w:val="00CD5EE9"/>
    <w:rsid w:val="00CF51DF"/>
    <w:rsid w:val="00CF5D59"/>
    <w:rsid w:val="00D02080"/>
    <w:rsid w:val="00D03ED4"/>
    <w:rsid w:val="00D048FC"/>
    <w:rsid w:val="00D1468F"/>
    <w:rsid w:val="00D1596D"/>
    <w:rsid w:val="00D2069E"/>
    <w:rsid w:val="00D2188C"/>
    <w:rsid w:val="00D35C6C"/>
    <w:rsid w:val="00D41F75"/>
    <w:rsid w:val="00D471AA"/>
    <w:rsid w:val="00D54C55"/>
    <w:rsid w:val="00D568A7"/>
    <w:rsid w:val="00D64719"/>
    <w:rsid w:val="00D65D06"/>
    <w:rsid w:val="00D674F5"/>
    <w:rsid w:val="00D72466"/>
    <w:rsid w:val="00D75B2D"/>
    <w:rsid w:val="00D77DC3"/>
    <w:rsid w:val="00D82BC8"/>
    <w:rsid w:val="00D845ED"/>
    <w:rsid w:val="00D86B1A"/>
    <w:rsid w:val="00D914DB"/>
    <w:rsid w:val="00DA4044"/>
    <w:rsid w:val="00DA5FB6"/>
    <w:rsid w:val="00DB30D3"/>
    <w:rsid w:val="00DB6ABE"/>
    <w:rsid w:val="00DB6D08"/>
    <w:rsid w:val="00DB71EF"/>
    <w:rsid w:val="00DC0A83"/>
    <w:rsid w:val="00DC0B67"/>
    <w:rsid w:val="00DC40E8"/>
    <w:rsid w:val="00DC6765"/>
    <w:rsid w:val="00DC756D"/>
    <w:rsid w:val="00DD1F46"/>
    <w:rsid w:val="00DD4E73"/>
    <w:rsid w:val="00DE0513"/>
    <w:rsid w:val="00DE1AA2"/>
    <w:rsid w:val="00DE5C1D"/>
    <w:rsid w:val="00DF0E43"/>
    <w:rsid w:val="00DF32B0"/>
    <w:rsid w:val="00DF52B2"/>
    <w:rsid w:val="00E00BC7"/>
    <w:rsid w:val="00E0239C"/>
    <w:rsid w:val="00E03C81"/>
    <w:rsid w:val="00E0438D"/>
    <w:rsid w:val="00E05E74"/>
    <w:rsid w:val="00E06B2C"/>
    <w:rsid w:val="00E107B2"/>
    <w:rsid w:val="00E16DDF"/>
    <w:rsid w:val="00E219B8"/>
    <w:rsid w:val="00E223BB"/>
    <w:rsid w:val="00E26644"/>
    <w:rsid w:val="00E31FE5"/>
    <w:rsid w:val="00E3693F"/>
    <w:rsid w:val="00E37294"/>
    <w:rsid w:val="00E412C4"/>
    <w:rsid w:val="00E41724"/>
    <w:rsid w:val="00E45A63"/>
    <w:rsid w:val="00E578FC"/>
    <w:rsid w:val="00E62024"/>
    <w:rsid w:val="00E712DB"/>
    <w:rsid w:val="00E72227"/>
    <w:rsid w:val="00E73412"/>
    <w:rsid w:val="00E74DA7"/>
    <w:rsid w:val="00E76777"/>
    <w:rsid w:val="00E809C7"/>
    <w:rsid w:val="00E80E64"/>
    <w:rsid w:val="00E91CB9"/>
    <w:rsid w:val="00E92DEC"/>
    <w:rsid w:val="00EB316B"/>
    <w:rsid w:val="00EB3368"/>
    <w:rsid w:val="00EB35F1"/>
    <w:rsid w:val="00EB5FA1"/>
    <w:rsid w:val="00EC076E"/>
    <w:rsid w:val="00EC2D87"/>
    <w:rsid w:val="00EC4B90"/>
    <w:rsid w:val="00EC5583"/>
    <w:rsid w:val="00EC595E"/>
    <w:rsid w:val="00EC7933"/>
    <w:rsid w:val="00EE456E"/>
    <w:rsid w:val="00EF0069"/>
    <w:rsid w:val="00EF50E7"/>
    <w:rsid w:val="00EF7AE5"/>
    <w:rsid w:val="00F020F8"/>
    <w:rsid w:val="00F10926"/>
    <w:rsid w:val="00F16FD2"/>
    <w:rsid w:val="00F25B0C"/>
    <w:rsid w:val="00F33717"/>
    <w:rsid w:val="00F338A6"/>
    <w:rsid w:val="00F418A2"/>
    <w:rsid w:val="00F42AD8"/>
    <w:rsid w:val="00F43030"/>
    <w:rsid w:val="00F52846"/>
    <w:rsid w:val="00F61F27"/>
    <w:rsid w:val="00F63039"/>
    <w:rsid w:val="00F65F7B"/>
    <w:rsid w:val="00F767FA"/>
    <w:rsid w:val="00F77647"/>
    <w:rsid w:val="00F80B6A"/>
    <w:rsid w:val="00F83881"/>
    <w:rsid w:val="00F86222"/>
    <w:rsid w:val="00F974BF"/>
    <w:rsid w:val="00F97528"/>
    <w:rsid w:val="00FA0603"/>
    <w:rsid w:val="00FA419B"/>
    <w:rsid w:val="00FB723E"/>
    <w:rsid w:val="00FC2036"/>
    <w:rsid w:val="00FC356C"/>
    <w:rsid w:val="00FC5FFA"/>
    <w:rsid w:val="00FD10F7"/>
    <w:rsid w:val="00FD3B42"/>
    <w:rsid w:val="00FD6756"/>
    <w:rsid w:val="00FD7DB6"/>
    <w:rsid w:val="00FF097A"/>
    <w:rsid w:val="00FF7E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C767D7A"/>
  <w15:docId w15:val="{F6DF4A58-D0B6-485E-BB0D-AD2AF7A4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554"/>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777F3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B5B4C"/>
    <w:rPr>
      <w:rFonts w:cs="Times New Roman"/>
      <w:sz w:val="2"/>
    </w:rPr>
  </w:style>
  <w:style w:type="paragraph" w:customStyle="1" w:styleId="Level1">
    <w:name w:val="Level 1"/>
    <w:basedOn w:val="Normal"/>
    <w:uiPriority w:val="99"/>
    <w:rsid w:val="00424554"/>
    <w:pPr>
      <w:widowControl w:val="0"/>
    </w:pPr>
  </w:style>
  <w:style w:type="paragraph" w:styleId="HTMLPreformatted">
    <w:name w:val="HTML Preformatted"/>
    <w:basedOn w:val="Normal"/>
    <w:link w:val="HTMLPreformattedChar"/>
    <w:rsid w:val="0000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locked/>
    <w:rsid w:val="001B3B61"/>
    <w:rPr>
      <w:rFonts w:ascii="Courier New" w:hAnsi="Courier New" w:cs="Courier New"/>
      <w:sz w:val="20"/>
      <w:szCs w:val="20"/>
    </w:rPr>
  </w:style>
  <w:style w:type="table" w:styleId="TableGrid">
    <w:name w:val="Table Grid"/>
    <w:basedOn w:val="TableNormal"/>
    <w:uiPriority w:val="99"/>
    <w:locked/>
    <w:rsid w:val="009E37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C2A1B"/>
    <w:pPr>
      <w:tabs>
        <w:tab w:val="center" w:pos="4320"/>
        <w:tab w:val="right" w:pos="8640"/>
      </w:tabs>
    </w:pPr>
  </w:style>
  <w:style w:type="character" w:customStyle="1" w:styleId="FooterChar">
    <w:name w:val="Footer Char"/>
    <w:basedOn w:val="DefaultParagraphFont"/>
    <w:link w:val="Footer"/>
    <w:uiPriority w:val="99"/>
    <w:semiHidden/>
    <w:locked/>
    <w:rsid w:val="00056E3B"/>
    <w:rPr>
      <w:rFonts w:cs="Times New Roman"/>
      <w:sz w:val="20"/>
      <w:szCs w:val="20"/>
    </w:rPr>
  </w:style>
  <w:style w:type="character" w:styleId="PageNumber">
    <w:name w:val="page number"/>
    <w:basedOn w:val="DefaultParagraphFont"/>
    <w:uiPriority w:val="99"/>
    <w:rsid w:val="009C2A1B"/>
    <w:rPr>
      <w:rFonts w:cs="Times New Roman"/>
    </w:rPr>
  </w:style>
  <w:style w:type="paragraph" w:styleId="BalloonText">
    <w:name w:val="Balloon Text"/>
    <w:basedOn w:val="Normal"/>
    <w:link w:val="BalloonTextChar"/>
    <w:uiPriority w:val="99"/>
    <w:semiHidden/>
    <w:rsid w:val="007828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B3D"/>
    <w:rPr>
      <w:rFonts w:cs="Times New Roman"/>
      <w:sz w:val="2"/>
    </w:rPr>
  </w:style>
  <w:style w:type="paragraph" w:styleId="ListParagraph">
    <w:name w:val="List Paragraph"/>
    <w:basedOn w:val="Normal"/>
    <w:uiPriority w:val="34"/>
    <w:qFormat/>
    <w:rsid w:val="005008DF"/>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1E6195"/>
    <w:rPr>
      <w:sz w:val="16"/>
      <w:szCs w:val="16"/>
    </w:rPr>
  </w:style>
  <w:style w:type="paragraph" w:styleId="CommentText">
    <w:name w:val="annotation text"/>
    <w:basedOn w:val="Normal"/>
    <w:link w:val="CommentTextChar"/>
    <w:uiPriority w:val="99"/>
    <w:semiHidden/>
    <w:unhideWhenUsed/>
    <w:rsid w:val="001E6195"/>
    <w:rPr>
      <w:sz w:val="20"/>
    </w:rPr>
  </w:style>
  <w:style w:type="character" w:customStyle="1" w:styleId="CommentTextChar">
    <w:name w:val="Comment Text Char"/>
    <w:basedOn w:val="DefaultParagraphFont"/>
    <w:link w:val="CommentText"/>
    <w:uiPriority w:val="99"/>
    <w:semiHidden/>
    <w:rsid w:val="001E6195"/>
    <w:rPr>
      <w:sz w:val="20"/>
      <w:szCs w:val="20"/>
    </w:rPr>
  </w:style>
  <w:style w:type="paragraph" w:styleId="CommentSubject">
    <w:name w:val="annotation subject"/>
    <w:basedOn w:val="CommentText"/>
    <w:next w:val="CommentText"/>
    <w:link w:val="CommentSubjectChar"/>
    <w:uiPriority w:val="99"/>
    <w:semiHidden/>
    <w:unhideWhenUsed/>
    <w:rsid w:val="001E6195"/>
    <w:rPr>
      <w:b/>
      <w:bCs/>
    </w:rPr>
  </w:style>
  <w:style w:type="character" w:customStyle="1" w:styleId="CommentSubjectChar">
    <w:name w:val="Comment Subject Char"/>
    <w:basedOn w:val="CommentTextChar"/>
    <w:link w:val="CommentSubject"/>
    <w:uiPriority w:val="99"/>
    <w:semiHidden/>
    <w:rsid w:val="001E6195"/>
    <w:rPr>
      <w:b/>
      <w:bCs/>
      <w:sz w:val="20"/>
      <w:szCs w:val="20"/>
    </w:rPr>
  </w:style>
  <w:style w:type="character" w:styleId="Hyperlink">
    <w:name w:val="Hyperlink"/>
    <w:basedOn w:val="DefaultParagraphFont"/>
    <w:uiPriority w:val="99"/>
    <w:unhideWhenUsed/>
    <w:rsid w:val="007722DC"/>
    <w:rPr>
      <w:color w:val="0000FF" w:themeColor="hyperlink"/>
      <w:u w:val="single"/>
    </w:rPr>
  </w:style>
  <w:style w:type="character" w:styleId="FollowedHyperlink">
    <w:name w:val="FollowedHyperlink"/>
    <w:basedOn w:val="DefaultParagraphFont"/>
    <w:uiPriority w:val="99"/>
    <w:semiHidden/>
    <w:unhideWhenUsed/>
    <w:rsid w:val="00DF32B0"/>
    <w:rPr>
      <w:color w:val="800080" w:themeColor="followedHyperlink"/>
      <w:u w:val="single"/>
    </w:rPr>
  </w:style>
  <w:style w:type="paragraph" w:styleId="Header">
    <w:name w:val="header"/>
    <w:basedOn w:val="Normal"/>
    <w:link w:val="HeaderChar"/>
    <w:uiPriority w:val="99"/>
    <w:unhideWhenUsed/>
    <w:rsid w:val="00466051"/>
    <w:pPr>
      <w:tabs>
        <w:tab w:val="center" w:pos="4680"/>
        <w:tab w:val="right" w:pos="9360"/>
      </w:tabs>
    </w:pPr>
  </w:style>
  <w:style w:type="character" w:customStyle="1" w:styleId="HeaderChar">
    <w:name w:val="Header Char"/>
    <w:basedOn w:val="DefaultParagraphFont"/>
    <w:link w:val="Header"/>
    <w:uiPriority w:val="99"/>
    <w:rsid w:val="00466051"/>
    <w:rPr>
      <w:sz w:val="24"/>
      <w:szCs w:val="20"/>
    </w:rPr>
  </w:style>
  <w:style w:type="paragraph" w:styleId="Revision">
    <w:name w:val="Revision"/>
    <w:hidden/>
    <w:uiPriority w:val="99"/>
    <w:semiHidden/>
    <w:rsid w:val="003833D4"/>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cholar.harvard.edu/cutler/publications/reducing-administrative-costs-and-improving-health-care-syste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6A59-9ED8-428B-83E8-80075D1C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3682</Words>
  <Characters>22226</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Hodahkwen</dc:creator>
  <cp:lastModifiedBy>Bennett, Evonne (IHS/HQ)</cp:lastModifiedBy>
  <cp:revision>6</cp:revision>
  <cp:lastPrinted>2019-12-04T17:15:00Z</cp:lastPrinted>
  <dcterms:created xsi:type="dcterms:W3CDTF">2023-07-31T18:57:00Z</dcterms:created>
  <dcterms:modified xsi:type="dcterms:W3CDTF">2023-07-31T21:15:00Z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