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C46" w:rsidP="00880E46" w:rsidRDefault="007B3C46">
      <w:pPr>
        <w:jc w:val="center"/>
        <w:rPr>
          <w:b/>
          <w:sz w:val="24"/>
          <w:szCs w:val="24"/>
        </w:rPr>
      </w:pPr>
      <w:bookmarkStart w:name="_GoBack" w:id="0"/>
      <w:bookmarkEnd w:id="0"/>
      <w:r>
        <w:rPr>
          <w:b/>
          <w:sz w:val="24"/>
          <w:szCs w:val="24"/>
        </w:rPr>
        <w:t>Attachment 10</w:t>
      </w:r>
    </w:p>
    <w:p w:rsidR="00880E46" w:rsidP="00880E46" w:rsidRDefault="00880E46">
      <w:pPr>
        <w:jc w:val="center"/>
        <w:rPr>
          <w:b/>
          <w:sz w:val="24"/>
          <w:szCs w:val="24"/>
        </w:rPr>
      </w:pPr>
      <w:r w:rsidRPr="00880E46">
        <w:rPr>
          <w:b/>
          <w:sz w:val="24"/>
          <w:szCs w:val="24"/>
        </w:rPr>
        <w:t>OMB-approved Incentives</w:t>
      </w:r>
    </w:p>
    <w:p w:rsidR="00880E46" w:rsidRDefault="00880E46">
      <w:pPr>
        <w:rPr>
          <w:b/>
          <w:sz w:val="24"/>
          <w:szCs w:val="24"/>
        </w:rPr>
      </w:pPr>
      <w:r>
        <w:rPr>
          <w:b/>
          <w:sz w:val="24"/>
          <w:szCs w:val="24"/>
        </w:rPr>
        <w:br w:type="page"/>
      </w:r>
    </w:p>
    <w:p w:rsidR="007B3C46" w:rsidP="007B3C46" w:rsidRDefault="007B3C46">
      <w:pPr>
        <w:jc w:val="center"/>
        <w:rPr>
          <w:rFonts w:ascii="Calibri" w:hAnsi="Calibri" w:cs="Calibri"/>
          <w:b/>
          <w:sz w:val="24"/>
          <w:szCs w:val="24"/>
        </w:rPr>
      </w:pPr>
      <w:bookmarkStart w:name="_Toc15911784" w:id="1"/>
      <w:r>
        <w:rPr>
          <w:rFonts w:ascii="Calibri" w:hAnsi="Calibri" w:cs="Calibri"/>
          <w:b/>
          <w:sz w:val="24"/>
          <w:szCs w:val="24"/>
        </w:rPr>
        <w:lastRenderedPageBreak/>
        <w:t>Aerosols from cyanobacterial blooms: exposures and health effects in highly exposed populations</w:t>
      </w:r>
    </w:p>
    <w:p w:rsidR="007B3C46" w:rsidP="007B3C46" w:rsidRDefault="007B3C46">
      <w:pPr>
        <w:jc w:val="center"/>
        <w:rPr>
          <w:rFonts w:ascii="Calibri" w:hAnsi="Calibri" w:cs="Calibri"/>
          <w:b/>
          <w:sz w:val="24"/>
          <w:szCs w:val="24"/>
        </w:rPr>
      </w:pPr>
      <w:r>
        <w:rPr>
          <w:rFonts w:ascii="Calibri" w:hAnsi="Calibri" w:cs="Calibri"/>
          <w:b/>
          <w:sz w:val="24"/>
          <w:szCs w:val="24"/>
        </w:rPr>
        <w:t>OMB-approved Incentives</w:t>
      </w:r>
    </w:p>
    <w:p w:rsidR="00880E46" w:rsidP="00880E46" w:rsidRDefault="00880E46">
      <w:pPr>
        <w:pStyle w:val="Heading2"/>
        <w:spacing w:before="0" w:after="0" w:line="240" w:lineRule="auto"/>
        <w:contextualSpacing/>
        <w:rPr>
          <w:rFonts w:asciiTheme="minorHAnsi" w:hAnsiTheme="minorHAnsi" w:cstheme="minorHAnsi"/>
          <w:szCs w:val="24"/>
        </w:rPr>
      </w:pPr>
      <w:r>
        <w:rPr>
          <w:rFonts w:eastAsia="Calibri" w:asciiTheme="minorHAnsi" w:hAnsiTheme="minorHAnsi" w:cstheme="minorHAnsi"/>
        </w:rPr>
        <w:t>Table 1</w:t>
      </w:r>
      <w:r w:rsidRPr="00A01F0A">
        <w:rPr>
          <w:rFonts w:asciiTheme="minorHAnsi" w:hAnsiTheme="minorHAnsi" w:cstheme="minorHAnsi"/>
          <w:szCs w:val="24"/>
        </w:rPr>
        <w:t>.  Burden, Incentive, and Response Rates in Federal Studies with Multiple Data Collection Formats (Compiled by Laura Wiese, MPH, University of Georgia).</w:t>
      </w:r>
      <w:bookmarkEnd w:id="1"/>
    </w:p>
    <w:p w:rsidRPr="00A01F0A" w:rsidR="00880E46" w:rsidP="00880E46" w:rsidRDefault="00880E46">
      <w:pPr>
        <w:pStyle w:val="BodyText"/>
        <w:spacing w:before="0" w:after="0" w:line="240" w:lineRule="auto"/>
      </w:pPr>
    </w:p>
    <w:tbl>
      <w:tblPr>
        <w:tblW w:w="10237"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5"/>
        <w:gridCol w:w="822"/>
        <w:gridCol w:w="3083"/>
        <w:gridCol w:w="1890"/>
        <w:gridCol w:w="1260"/>
        <w:gridCol w:w="1417"/>
      </w:tblGrid>
      <w:tr w:rsidRPr="00A01F0A" w:rsidR="00880E46" w:rsidTr="00C83642">
        <w:tc>
          <w:tcPr>
            <w:tcW w:w="1765"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after="0" w:line="240" w:lineRule="auto"/>
              <w:rPr>
                <w:rFonts w:cstheme="minorHAnsi"/>
                <w:bCs/>
              </w:rPr>
            </w:pPr>
            <w:r w:rsidRPr="00A01F0A">
              <w:rPr>
                <w:rFonts w:cstheme="minorHAnsi"/>
                <w:bCs/>
              </w:rPr>
              <w:t>Study Name/Agency</w:t>
            </w:r>
          </w:p>
        </w:tc>
        <w:tc>
          <w:tcPr>
            <w:tcW w:w="822"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after="0" w:line="240" w:lineRule="auto"/>
              <w:rPr>
                <w:rFonts w:cstheme="minorHAnsi"/>
                <w:bCs/>
              </w:rPr>
            </w:pPr>
            <w:r w:rsidRPr="00A01F0A">
              <w:rPr>
                <w:rFonts w:cstheme="minorHAnsi"/>
                <w:bCs/>
              </w:rPr>
              <w:t>Year</w:t>
            </w:r>
          </w:p>
        </w:tc>
        <w:tc>
          <w:tcPr>
            <w:tcW w:w="3083"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after="0" w:line="240" w:lineRule="auto"/>
              <w:rPr>
                <w:rFonts w:cstheme="minorHAnsi"/>
                <w:bCs/>
              </w:rPr>
            </w:pPr>
            <w:r w:rsidRPr="00A01F0A">
              <w:rPr>
                <w:rFonts w:cstheme="minorHAnsi"/>
                <w:bCs/>
              </w:rPr>
              <w:t>Study description</w:t>
            </w:r>
          </w:p>
        </w:tc>
        <w:tc>
          <w:tcPr>
            <w:tcW w:w="189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after="0" w:line="240" w:lineRule="auto"/>
              <w:rPr>
                <w:rFonts w:cstheme="minorHAnsi"/>
                <w:bCs/>
              </w:rPr>
            </w:pPr>
            <w:r w:rsidRPr="00A01F0A">
              <w:rPr>
                <w:rFonts w:cstheme="minorHAnsi"/>
                <w:bCs/>
              </w:rPr>
              <w:t>Respondent burden</w:t>
            </w:r>
          </w:p>
        </w:tc>
        <w:tc>
          <w:tcPr>
            <w:tcW w:w="126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after="0" w:line="240" w:lineRule="auto"/>
              <w:rPr>
                <w:rFonts w:cstheme="minorHAnsi"/>
                <w:bCs/>
              </w:rPr>
            </w:pPr>
            <w:r w:rsidRPr="00A01F0A">
              <w:rPr>
                <w:rFonts w:cstheme="minorHAnsi"/>
                <w:bCs/>
              </w:rPr>
              <w:t>Incentive</w:t>
            </w:r>
          </w:p>
        </w:tc>
        <w:tc>
          <w:tcPr>
            <w:tcW w:w="1417"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after="0" w:line="240" w:lineRule="auto"/>
              <w:rPr>
                <w:rFonts w:cstheme="minorHAnsi"/>
              </w:rPr>
            </w:pPr>
            <w:r w:rsidRPr="00A01F0A">
              <w:rPr>
                <w:rFonts w:cstheme="minorHAnsi"/>
              </w:rPr>
              <w:t>Response rate</w:t>
            </w:r>
          </w:p>
        </w:tc>
      </w:tr>
      <w:tr w:rsidRPr="00A01F0A" w:rsidR="00880E46" w:rsidTr="00C83642">
        <w:tc>
          <w:tcPr>
            <w:tcW w:w="1765"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rPr>
                <w:rFonts w:cstheme="minorHAnsi"/>
              </w:rPr>
            </w:pPr>
            <w:r w:rsidRPr="00A01F0A">
              <w:rPr>
                <w:rFonts w:cstheme="minorHAnsi"/>
              </w:rPr>
              <w:t>Third National Health and Nutrition Examination Survey</w:t>
            </w:r>
          </w:p>
          <w:p w:rsidRPr="00A01F0A" w:rsidR="00880E46" w:rsidP="00C83642" w:rsidRDefault="00880E46">
            <w:pPr>
              <w:rPr>
                <w:rFonts w:cstheme="minorHAnsi"/>
              </w:rPr>
            </w:pPr>
            <w:r w:rsidRPr="00A01F0A">
              <w:rPr>
                <w:rFonts w:cstheme="minorHAnsi"/>
              </w:rPr>
              <w:t>(NHANES III)/ CDC/NCHS</w:t>
            </w:r>
          </w:p>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http://www.cdc.gov/nchs/nhanes.htm</w:t>
            </w:r>
          </w:p>
        </w:tc>
        <w:tc>
          <w:tcPr>
            <w:tcW w:w="822"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1988-1994</w:t>
            </w:r>
          </w:p>
        </w:tc>
        <w:tc>
          <w:tcPr>
            <w:tcW w:w="3083"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 xml:space="preserve">NHANES was designed to collect information about the health and diet of people in the United States to provide current statistical data on the amount, distribution, and effects of illness and disability in the United States. </w:t>
            </w:r>
          </w:p>
        </w:tc>
        <w:tc>
          <w:tcPr>
            <w:tcW w:w="189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In-person interview, medical examination</w:t>
            </w:r>
          </w:p>
        </w:tc>
        <w:tc>
          <w:tcPr>
            <w:tcW w:w="126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rPr>
                <w:rFonts w:cstheme="minorHAnsi"/>
                <w:bCs/>
              </w:rPr>
            </w:pPr>
            <w:r w:rsidRPr="00A01F0A">
              <w:rPr>
                <w:rFonts w:cstheme="minorHAnsi"/>
                <w:bCs/>
              </w:rPr>
              <w:t xml:space="preserve">$230 </w:t>
            </w:r>
          </w:p>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bCs/>
              </w:rPr>
            </w:pPr>
            <w:r w:rsidRPr="00A01F0A">
              <w:rPr>
                <w:rFonts w:cstheme="minorHAnsi"/>
                <w:bCs/>
              </w:rPr>
              <w:t>(plus exam results)</w:t>
            </w:r>
          </w:p>
        </w:tc>
        <w:tc>
          <w:tcPr>
            <w:tcW w:w="1417"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rPr>
                <w:rFonts w:cstheme="minorHAnsi"/>
              </w:rPr>
            </w:pPr>
            <w:r w:rsidRPr="00A01F0A">
              <w:rPr>
                <w:rFonts w:cstheme="minorHAnsi"/>
              </w:rPr>
              <w:t>Interview=</w:t>
            </w:r>
            <w:r>
              <w:rPr>
                <w:rFonts w:cstheme="minorHAnsi"/>
              </w:rPr>
              <w:t xml:space="preserve"> </w:t>
            </w:r>
            <w:r w:rsidRPr="00A01F0A">
              <w:rPr>
                <w:rFonts w:cstheme="minorHAnsi"/>
              </w:rPr>
              <w:t xml:space="preserve">82% </w:t>
            </w:r>
          </w:p>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 xml:space="preserve">Exam=73% </w:t>
            </w:r>
          </w:p>
        </w:tc>
      </w:tr>
      <w:tr w:rsidRPr="00A01F0A" w:rsidR="00880E46" w:rsidTr="00C83642">
        <w:tc>
          <w:tcPr>
            <w:tcW w:w="1765"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rPr>
                <w:rFonts w:cstheme="minorHAnsi"/>
              </w:rPr>
            </w:pPr>
            <w:r w:rsidRPr="00A01F0A">
              <w:rPr>
                <w:rFonts w:cstheme="minorHAnsi"/>
              </w:rPr>
              <w:t>National Human Exposure Assessment Survey (NHEXAS)</w:t>
            </w:r>
          </w:p>
          <w:p w:rsidRPr="00A01F0A" w:rsidR="00880E46" w:rsidP="00C83642" w:rsidRDefault="00880E46">
            <w:pPr>
              <w:rPr>
                <w:rFonts w:cstheme="minorHAnsi"/>
              </w:rPr>
            </w:pPr>
            <w:r w:rsidRPr="00A01F0A">
              <w:rPr>
                <w:rFonts w:cstheme="minorHAnsi"/>
              </w:rPr>
              <w:t>Region 5/ EPA</w:t>
            </w:r>
          </w:p>
          <w:p w:rsidRPr="00A01F0A" w:rsidR="00880E46" w:rsidP="00C83642" w:rsidRDefault="00B67D61">
            <w:pPr>
              <w:overflowPunct w:val="0"/>
              <w:autoSpaceDE w:val="0"/>
              <w:autoSpaceDN w:val="0"/>
              <w:adjustRightInd w:val="0"/>
              <w:spacing w:before="100" w:beforeAutospacing="1" w:after="100" w:afterAutospacing="1"/>
              <w:rPr>
                <w:rFonts w:cstheme="minorHAnsi"/>
              </w:rPr>
            </w:pPr>
            <w:hyperlink w:history="1" r:id="rId4">
              <w:r w:rsidRPr="00A01F0A" w:rsidR="00880E46">
                <w:rPr>
                  <w:rStyle w:val="Hyperlink"/>
                  <w:rFonts w:cstheme="minorHAnsi"/>
                </w:rPr>
                <w:t>http://cfpub.epa.gov/ordpubs/nerlpubs/recordisplay.cfm?deid=64969</w:t>
              </w:r>
            </w:hyperlink>
          </w:p>
        </w:tc>
        <w:tc>
          <w:tcPr>
            <w:tcW w:w="822"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1995-1997</w:t>
            </w:r>
          </w:p>
        </w:tc>
        <w:tc>
          <w:tcPr>
            <w:tcW w:w="3083"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A population-based pilot study of the exposure to metals, pesticides, volatile organic compounds, and other toxic chemicals of ~500 people in 3 US regions.</w:t>
            </w:r>
          </w:p>
        </w:tc>
        <w:tc>
          <w:tcPr>
            <w:tcW w:w="189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Questionnaires, video-taped observations, duplicate diet samples, collection of blood and urine, measurements of air quality and soil and dust in and around the home</w:t>
            </w:r>
          </w:p>
        </w:tc>
        <w:tc>
          <w:tcPr>
            <w:tcW w:w="126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bCs/>
              </w:rPr>
            </w:pPr>
            <w:r w:rsidRPr="00A01F0A">
              <w:rPr>
                <w:rFonts w:cstheme="minorHAnsi"/>
                <w:bCs/>
              </w:rPr>
              <w:t xml:space="preserve">$195 </w:t>
            </w:r>
          </w:p>
        </w:tc>
        <w:tc>
          <w:tcPr>
            <w:tcW w:w="1417"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rPr>
                <w:rFonts w:cstheme="minorHAnsi"/>
              </w:rPr>
            </w:pPr>
            <w:r w:rsidRPr="00A01F0A">
              <w:rPr>
                <w:rFonts w:cstheme="minorHAnsi"/>
              </w:rPr>
              <w:t>Questionnaire = 71.5%</w:t>
            </w:r>
          </w:p>
          <w:p w:rsidRPr="00A01F0A" w:rsidR="00880E46" w:rsidP="00C83642" w:rsidRDefault="00880E46">
            <w:pPr>
              <w:keepNext/>
              <w:keepLines/>
              <w:rPr>
                <w:rFonts w:cstheme="minorHAnsi"/>
              </w:rPr>
            </w:pPr>
            <w:r w:rsidRPr="00A01F0A">
              <w:rPr>
                <w:rFonts w:cstheme="minorHAnsi"/>
              </w:rPr>
              <w:t xml:space="preserve">Visit 1 = 80% </w:t>
            </w:r>
          </w:p>
          <w:p w:rsidRPr="00A01F0A" w:rsidR="00880E46" w:rsidP="00C83642" w:rsidRDefault="00880E46">
            <w:pPr>
              <w:keepNext/>
              <w:keepLines/>
              <w:rPr>
                <w:rFonts w:cstheme="minorHAnsi"/>
              </w:rPr>
            </w:pPr>
            <w:r w:rsidRPr="00A01F0A">
              <w:rPr>
                <w:rFonts w:cstheme="minorHAnsi"/>
              </w:rPr>
              <w:t xml:space="preserve">Visit 2 = 56.8% </w:t>
            </w:r>
          </w:p>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 xml:space="preserve">Visit 3 = 47.8% </w:t>
            </w:r>
          </w:p>
        </w:tc>
      </w:tr>
      <w:tr w:rsidRPr="00A01F0A" w:rsidR="00880E46" w:rsidTr="00C83642">
        <w:tc>
          <w:tcPr>
            <w:tcW w:w="1765"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rPr>
                <w:rFonts w:cstheme="minorHAnsi"/>
              </w:rPr>
            </w:pPr>
            <w:r w:rsidRPr="00A01F0A">
              <w:rPr>
                <w:rFonts w:cstheme="minorHAnsi"/>
              </w:rPr>
              <w:t>Minnesota Children's Pesticide Exposure Study</w:t>
            </w:r>
          </w:p>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(MNCPES)/ EPA</w:t>
            </w:r>
          </w:p>
          <w:p w:rsidRPr="00A01F0A" w:rsidR="00880E46" w:rsidP="00C83642" w:rsidRDefault="00B67D61">
            <w:pPr>
              <w:overflowPunct w:val="0"/>
              <w:autoSpaceDE w:val="0"/>
              <w:autoSpaceDN w:val="0"/>
              <w:adjustRightInd w:val="0"/>
              <w:spacing w:before="100" w:beforeAutospacing="1" w:after="100" w:afterAutospacing="1"/>
              <w:rPr>
                <w:rFonts w:cstheme="minorHAnsi"/>
              </w:rPr>
            </w:pPr>
            <w:hyperlink w:history="1" r:id="rId5">
              <w:r w:rsidRPr="00A01F0A" w:rsidR="00880E46">
                <w:rPr>
                  <w:rStyle w:val="Hyperlink"/>
                  <w:rFonts w:cstheme="minorHAnsi"/>
                </w:rPr>
                <w:t>http://www.ncbi.nlm.nih.gov/pubmed/10791596</w:t>
              </w:r>
            </w:hyperlink>
          </w:p>
        </w:tc>
        <w:tc>
          <w:tcPr>
            <w:tcW w:w="822"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1997</w:t>
            </w:r>
          </w:p>
        </w:tc>
        <w:tc>
          <w:tcPr>
            <w:tcW w:w="3083"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Study of multi-pathway and multi-pesticide exposures in children.  The primary objective was to characterize children's exposure to selected pesticides through a combination of questionnaires, personal exposure measurements and monitoring of biological samples, environmental samples, and children's activity patterns.</w:t>
            </w:r>
          </w:p>
        </w:tc>
        <w:tc>
          <w:tcPr>
            <w:tcW w:w="189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4-day duplicate diet samples, 6-days of personal air monitoring, keeping time and activity diaries, blood, urine and hair collections, videotaping.</w:t>
            </w:r>
          </w:p>
        </w:tc>
        <w:tc>
          <w:tcPr>
            <w:tcW w:w="126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rPr>
                <w:rFonts w:cstheme="minorHAnsi"/>
              </w:rPr>
            </w:pPr>
            <w:r w:rsidRPr="00A01F0A">
              <w:rPr>
                <w:rFonts w:cstheme="minorHAnsi"/>
                <w:bCs/>
              </w:rPr>
              <w:t>$195</w:t>
            </w:r>
          </w:p>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(children given age-appropriate gifts and parents offered videotapes of their children)</w:t>
            </w:r>
          </w:p>
        </w:tc>
        <w:tc>
          <w:tcPr>
            <w:tcW w:w="1417"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Telephone Screening = 67.5%</w:t>
            </w:r>
          </w:p>
        </w:tc>
      </w:tr>
      <w:tr w:rsidRPr="00A01F0A" w:rsidR="00880E46" w:rsidTr="00C83642">
        <w:tc>
          <w:tcPr>
            <w:tcW w:w="1765"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rPr>
                <w:rFonts w:cstheme="minorHAnsi"/>
              </w:rPr>
            </w:pPr>
            <w:r w:rsidRPr="00A01F0A">
              <w:rPr>
                <w:rFonts w:cstheme="minorHAnsi"/>
              </w:rPr>
              <w:lastRenderedPageBreak/>
              <w:t>School Health Initiative:  Environment, Learning, Disease Study</w:t>
            </w:r>
          </w:p>
          <w:p w:rsidRPr="00A01F0A" w:rsidR="00880E46" w:rsidP="00C83642" w:rsidRDefault="00880E46">
            <w:pPr>
              <w:rPr>
                <w:rFonts w:cstheme="minorHAnsi"/>
              </w:rPr>
            </w:pPr>
          </w:p>
          <w:p w:rsidRPr="00A01F0A" w:rsidR="00880E46" w:rsidP="00C83642" w:rsidRDefault="00880E46">
            <w:pPr>
              <w:rPr>
                <w:rFonts w:cstheme="minorHAnsi"/>
              </w:rPr>
            </w:pPr>
            <w:r w:rsidRPr="00A01F0A">
              <w:rPr>
                <w:rFonts w:cstheme="minorHAnsi"/>
              </w:rPr>
              <w:t>(SHIELD)/ EPA</w:t>
            </w:r>
          </w:p>
          <w:p w:rsidRPr="00A01F0A" w:rsidR="00880E46" w:rsidP="00C83642" w:rsidRDefault="00880E46">
            <w:pPr>
              <w:rPr>
                <w:rFonts w:cstheme="minorHAnsi"/>
              </w:rPr>
            </w:pPr>
          </w:p>
          <w:p w:rsidRPr="00A01F0A" w:rsidR="00880E46" w:rsidP="00C83642" w:rsidRDefault="00880E46">
            <w:pPr>
              <w:rPr>
                <w:rFonts w:cstheme="minorHAnsi"/>
              </w:rPr>
            </w:pPr>
            <w:r w:rsidRPr="00A01F0A">
              <w:rPr>
                <w:rFonts w:cstheme="minorHAnsi"/>
              </w:rPr>
              <w:t>No website available</w:t>
            </w:r>
          </w:p>
        </w:tc>
        <w:tc>
          <w:tcPr>
            <w:tcW w:w="822"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1999</w:t>
            </w:r>
          </w:p>
        </w:tc>
        <w:tc>
          <w:tcPr>
            <w:tcW w:w="3083"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School-based investigation of children's environmental health in economically disadvantaged urban neighborhoods of Minneapolis.</w:t>
            </w:r>
          </w:p>
        </w:tc>
        <w:tc>
          <w:tcPr>
            <w:tcW w:w="189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Health questionnaires, 48-hour VOC sampling, blood draw, vacuum sampling in home, urine collections, school records review</w:t>
            </w:r>
          </w:p>
        </w:tc>
        <w:tc>
          <w:tcPr>
            <w:tcW w:w="126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rPr>
                <w:rFonts w:cstheme="minorHAnsi"/>
              </w:rPr>
            </w:pPr>
            <w:r w:rsidRPr="00A01F0A">
              <w:rPr>
                <w:rFonts w:cstheme="minorHAnsi"/>
                <w:bCs/>
              </w:rPr>
              <w:t>$140</w:t>
            </w:r>
          </w:p>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(children given age-appropriate gifts)</w:t>
            </w:r>
          </w:p>
        </w:tc>
        <w:tc>
          <w:tcPr>
            <w:tcW w:w="1417"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rPr>
                <w:rFonts w:cstheme="minorHAnsi"/>
              </w:rPr>
            </w:pPr>
            <w:r w:rsidRPr="00A01F0A">
              <w:rPr>
                <w:rFonts w:cstheme="minorHAnsi"/>
              </w:rPr>
              <w:t>Recruitment= 56.7%</w:t>
            </w:r>
          </w:p>
          <w:p w:rsidRPr="00A01F0A" w:rsidR="00880E46" w:rsidP="00C83642" w:rsidRDefault="00880E46">
            <w:pPr>
              <w:keepNext/>
              <w:keepLines/>
              <w:overflowPunct w:val="0"/>
              <w:autoSpaceDE w:val="0"/>
              <w:autoSpaceDN w:val="0"/>
              <w:adjustRightInd w:val="0"/>
              <w:spacing w:before="100" w:beforeAutospacing="1" w:after="100" w:afterAutospacing="1"/>
              <w:rPr>
                <w:rFonts w:cstheme="minorHAnsi"/>
              </w:rPr>
            </w:pPr>
            <w:r w:rsidRPr="00A01F0A">
              <w:rPr>
                <w:rFonts w:cstheme="minorHAnsi"/>
              </w:rPr>
              <w:t>(interviews/data collections ranged from 76-88%)</w:t>
            </w:r>
          </w:p>
        </w:tc>
      </w:tr>
      <w:tr w:rsidRPr="00A01F0A" w:rsidR="00880E46" w:rsidTr="00C83642">
        <w:tc>
          <w:tcPr>
            <w:tcW w:w="1765"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Biologic Specimen-based Study of Dietary Measurement Error/ NCI</w:t>
            </w:r>
          </w:p>
          <w:p w:rsidRPr="00A01F0A" w:rsidR="00880E46" w:rsidP="00C83642" w:rsidRDefault="00880E46">
            <w:pPr>
              <w:overflowPunct w:val="0"/>
              <w:autoSpaceDE w:val="0"/>
              <w:autoSpaceDN w:val="0"/>
              <w:adjustRightInd w:val="0"/>
              <w:spacing w:before="100" w:beforeAutospacing="1" w:after="100" w:afterAutospacing="1"/>
              <w:rPr>
                <w:rFonts w:cstheme="minorHAnsi"/>
              </w:rPr>
            </w:pPr>
          </w:p>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 xml:space="preserve">No website available </w:t>
            </w:r>
          </w:p>
        </w:tc>
        <w:tc>
          <w:tcPr>
            <w:tcW w:w="822"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1999</w:t>
            </w:r>
          </w:p>
        </w:tc>
        <w:tc>
          <w:tcPr>
            <w:tcW w:w="3083"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This study assessed dietary measurement error by comparing energy and protein intakes from two self-reported dietary data collection instruments (the NCI Diet History Questionnaire and the in-person 24-hour dietary recall interview) with two biomarkers (doubly labeled water and urinary nitrogen excretion)</w:t>
            </w:r>
          </w:p>
        </w:tc>
        <w:tc>
          <w:tcPr>
            <w:tcW w:w="189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rPr>
                <w:rFonts w:cstheme="minorHAnsi"/>
              </w:rPr>
            </w:pPr>
            <w:r w:rsidRPr="00A01F0A">
              <w:rPr>
                <w:rFonts w:cstheme="minorHAnsi"/>
              </w:rPr>
              <w:t>Three clinic visits. Dietary History Questionnaire, 24-hour dietary recall, height/weight measurements, physical activity questionnaires, urine collection, Doubly-labeled water dose, 24-hour urine collection</w:t>
            </w:r>
          </w:p>
        </w:tc>
        <w:tc>
          <w:tcPr>
            <w:tcW w:w="126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$200</w:t>
            </w:r>
          </w:p>
        </w:tc>
        <w:tc>
          <w:tcPr>
            <w:tcW w:w="1417"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keepNext/>
              <w:keepLines/>
              <w:rPr>
                <w:rFonts w:cstheme="minorHAnsi"/>
              </w:rPr>
            </w:pPr>
            <w:r w:rsidRPr="00A01F0A">
              <w:rPr>
                <w:rFonts w:cstheme="minorHAnsi"/>
              </w:rPr>
              <w:t>Telephone recruitment=79%</w:t>
            </w:r>
          </w:p>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Visit=100% (5 and 2 hours)</w:t>
            </w:r>
          </w:p>
        </w:tc>
      </w:tr>
    </w:tbl>
    <w:p w:rsidRPr="00C35EC8" w:rsidR="00880E46" w:rsidP="00880E46" w:rsidRDefault="00880E46">
      <w:pPr>
        <w:pStyle w:val="ListParagraph"/>
        <w:autoSpaceDE w:val="0"/>
        <w:autoSpaceDN w:val="0"/>
        <w:adjustRightInd w:val="0"/>
        <w:spacing w:after="0" w:line="240" w:lineRule="auto"/>
        <w:ind w:left="0"/>
        <w:rPr>
          <w:rFonts w:eastAsia="Calibri" w:asciiTheme="minorHAnsi" w:hAnsiTheme="minorHAnsi" w:cstheme="minorHAnsi"/>
        </w:rPr>
      </w:pPr>
    </w:p>
    <w:p w:rsidR="00880E46" w:rsidP="00880E46" w:rsidRDefault="00880E46">
      <w:pPr>
        <w:pStyle w:val="Heading2"/>
        <w:spacing w:before="0" w:after="0" w:line="240" w:lineRule="auto"/>
        <w:contextualSpacing/>
        <w:rPr>
          <w:rFonts w:asciiTheme="minorHAnsi" w:hAnsiTheme="minorHAnsi" w:cstheme="minorHAnsi"/>
          <w:szCs w:val="24"/>
        </w:rPr>
      </w:pPr>
      <w:bookmarkStart w:name="_Toc15911785" w:id="2"/>
      <w:r w:rsidRPr="00A01F0A">
        <w:rPr>
          <w:rFonts w:asciiTheme="minorHAnsi" w:hAnsiTheme="minorHAnsi" w:cstheme="minorHAnsi"/>
        </w:rPr>
        <w:t>T</w:t>
      </w:r>
      <w:r w:rsidRPr="00A01F0A">
        <w:rPr>
          <w:rFonts w:asciiTheme="minorHAnsi" w:hAnsiTheme="minorHAnsi" w:cstheme="minorHAnsi"/>
          <w:szCs w:val="24"/>
        </w:rPr>
        <w:t>able 2.  Burden and incentives for studies approved by OMB and conducted by EHHE.</w:t>
      </w:r>
      <w:bookmarkEnd w:id="2"/>
    </w:p>
    <w:p w:rsidRPr="00A01F0A" w:rsidR="00880E46" w:rsidP="00880E46" w:rsidRDefault="00880E46">
      <w:pPr>
        <w:pStyle w:val="BodyText"/>
        <w:spacing w:before="0" w:after="0" w:line="240" w:lineRule="auto"/>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60"/>
        <w:gridCol w:w="1980"/>
        <w:gridCol w:w="1350"/>
        <w:gridCol w:w="2880"/>
        <w:gridCol w:w="990"/>
        <w:gridCol w:w="1080"/>
      </w:tblGrid>
      <w:tr w:rsidRPr="00A01F0A" w:rsidR="00880E46" w:rsidTr="00C83642">
        <w:tc>
          <w:tcPr>
            <w:tcW w:w="216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after="0" w:line="240" w:lineRule="auto"/>
              <w:jc w:val="center"/>
              <w:rPr>
                <w:rFonts w:cstheme="minorHAnsi"/>
              </w:rPr>
            </w:pPr>
            <w:r w:rsidRPr="00A01F0A">
              <w:rPr>
                <w:rFonts w:cstheme="minorHAnsi"/>
              </w:rPr>
              <w:t>Study name</w:t>
            </w:r>
          </w:p>
          <w:p w:rsidRPr="00A01F0A" w:rsidR="00880E46" w:rsidP="00C83642" w:rsidRDefault="00880E46">
            <w:pPr>
              <w:overflowPunct w:val="0"/>
              <w:autoSpaceDE w:val="0"/>
              <w:autoSpaceDN w:val="0"/>
              <w:adjustRightInd w:val="0"/>
              <w:spacing w:after="0" w:line="240" w:lineRule="auto"/>
              <w:jc w:val="center"/>
              <w:rPr>
                <w:rFonts w:cstheme="minorHAnsi"/>
              </w:rPr>
            </w:pPr>
            <w:r w:rsidRPr="00A01F0A">
              <w:rPr>
                <w:rFonts w:cstheme="minorHAnsi"/>
              </w:rPr>
              <w:t>OMB Number</w:t>
            </w:r>
          </w:p>
        </w:tc>
        <w:tc>
          <w:tcPr>
            <w:tcW w:w="19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after="0" w:line="240" w:lineRule="auto"/>
              <w:jc w:val="center"/>
              <w:rPr>
                <w:rFonts w:cstheme="minorHAnsi"/>
              </w:rPr>
            </w:pPr>
            <w:r w:rsidRPr="00A01F0A">
              <w:rPr>
                <w:rFonts w:cstheme="minorHAnsi"/>
              </w:rPr>
              <w:t>Type of activity</w:t>
            </w:r>
          </w:p>
        </w:tc>
        <w:tc>
          <w:tcPr>
            <w:tcW w:w="135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after="0" w:line="240" w:lineRule="auto"/>
              <w:jc w:val="center"/>
              <w:rPr>
                <w:rFonts w:cstheme="minorHAnsi"/>
              </w:rPr>
            </w:pPr>
            <w:r w:rsidRPr="00A01F0A">
              <w:rPr>
                <w:rFonts w:cstheme="minorHAnsi"/>
              </w:rPr>
              <w:t>Time point</w:t>
            </w:r>
          </w:p>
        </w:tc>
        <w:tc>
          <w:tcPr>
            <w:tcW w:w="28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after="0" w:line="240" w:lineRule="auto"/>
              <w:jc w:val="center"/>
              <w:rPr>
                <w:rFonts w:cstheme="minorHAnsi"/>
              </w:rPr>
            </w:pPr>
            <w:r w:rsidRPr="00A01F0A">
              <w:rPr>
                <w:rFonts w:cstheme="minorHAnsi"/>
              </w:rPr>
              <w:t>Description of activities/ information/samples collected</w:t>
            </w:r>
          </w:p>
        </w:tc>
        <w:tc>
          <w:tcPr>
            <w:tcW w:w="99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after="0" w:line="240" w:lineRule="auto"/>
              <w:jc w:val="center"/>
              <w:rPr>
                <w:rFonts w:cstheme="minorHAnsi"/>
              </w:rPr>
            </w:pPr>
            <w:r w:rsidRPr="00A01F0A">
              <w:rPr>
                <w:rFonts w:cstheme="minorHAnsi"/>
              </w:rPr>
              <w:t>Time</w:t>
            </w:r>
          </w:p>
        </w:tc>
        <w:tc>
          <w:tcPr>
            <w:tcW w:w="10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after="0" w:line="240" w:lineRule="auto"/>
              <w:jc w:val="center"/>
              <w:rPr>
                <w:rFonts w:cstheme="minorHAnsi"/>
              </w:rPr>
            </w:pPr>
            <w:r w:rsidRPr="00A01F0A">
              <w:rPr>
                <w:rFonts w:cstheme="minorHAnsi"/>
              </w:rPr>
              <w:t>Amount of money</w:t>
            </w:r>
          </w:p>
        </w:tc>
      </w:tr>
      <w:tr w:rsidRPr="00A01F0A" w:rsidR="00880E46" w:rsidTr="00C83642">
        <w:tc>
          <w:tcPr>
            <w:tcW w:w="2160" w:type="dxa"/>
            <w:vMerge w:val="restart"/>
            <w:tcBorders>
              <w:top w:val="single" w:color="auto" w:sz="4" w:space="0"/>
              <w:left w:val="single" w:color="auto" w:sz="4" w:space="0"/>
              <w:right w:val="single" w:color="auto" w:sz="4" w:space="0"/>
            </w:tcBorders>
          </w:tcPr>
          <w:p w:rsidRPr="00A01F0A" w:rsidR="00880E46" w:rsidP="00C83642" w:rsidRDefault="00880E46">
            <w:pPr>
              <w:rPr>
                <w:rFonts w:cstheme="minorHAnsi"/>
              </w:rPr>
            </w:pPr>
            <w:r w:rsidRPr="00A01F0A">
              <w:rPr>
                <w:rFonts w:cstheme="minorHAnsi"/>
              </w:rPr>
              <w:t>The Green Housing Study</w:t>
            </w:r>
          </w:p>
          <w:p w:rsidRPr="00A01F0A" w:rsidR="00880E46" w:rsidP="00C83642" w:rsidRDefault="00880E46">
            <w:pPr>
              <w:rPr>
                <w:rFonts w:cstheme="minorHAnsi"/>
              </w:rPr>
            </w:pPr>
          </w:p>
          <w:p w:rsidRPr="00A01F0A" w:rsidR="00880E46" w:rsidP="00C83642" w:rsidRDefault="00880E46">
            <w:pPr>
              <w:rPr>
                <w:rFonts w:cstheme="minorHAnsi"/>
              </w:rPr>
            </w:pPr>
            <w:r w:rsidRPr="00A01F0A">
              <w:rPr>
                <w:rFonts w:cstheme="minorHAnsi"/>
              </w:rPr>
              <w:t>0920-0906</w:t>
            </w:r>
          </w:p>
        </w:tc>
        <w:tc>
          <w:tcPr>
            <w:tcW w:w="1980" w:type="dxa"/>
            <w:vMerge w:val="restart"/>
            <w:tcBorders>
              <w:top w:val="single" w:color="auto" w:sz="4" w:space="0"/>
              <w:left w:val="single" w:color="auto" w:sz="4" w:space="0"/>
              <w:bottom w:val="single" w:color="auto" w:sz="4" w:space="0"/>
              <w:right w:val="single" w:color="auto" w:sz="4" w:space="0"/>
            </w:tcBorders>
          </w:tcPr>
          <w:p w:rsidRPr="00A01F0A" w:rsidR="00880E46" w:rsidP="00C83642" w:rsidRDefault="00880E46">
            <w:pPr>
              <w:rPr>
                <w:rFonts w:cstheme="minorHAnsi"/>
              </w:rPr>
            </w:pPr>
            <w:r w:rsidRPr="00A01F0A">
              <w:rPr>
                <w:rFonts w:cstheme="minorHAnsi"/>
              </w:rPr>
              <w:t>Home visit</w:t>
            </w:r>
          </w:p>
          <w:p w:rsidRPr="00A01F0A" w:rsidR="00880E46" w:rsidP="00C83642" w:rsidRDefault="00880E46">
            <w:pPr>
              <w:overflowPunct w:val="0"/>
              <w:autoSpaceDE w:val="0"/>
              <w:autoSpaceDN w:val="0"/>
              <w:adjustRightInd w:val="0"/>
              <w:spacing w:before="100" w:beforeAutospacing="1" w:after="100" w:afterAutospacing="1"/>
              <w:rPr>
                <w:rFonts w:cstheme="minorHAnsi"/>
              </w:rPr>
            </w:pPr>
          </w:p>
        </w:tc>
        <w:tc>
          <w:tcPr>
            <w:tcW w:w="135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rPr>
                <w:rFonts w:cstheme="minorHAnsi"/>
              </w:rPr>
            </w:pPr>
            <w:r w:rsidRPr="00A01F0A">
              <w:rPr>
                <w:rFonts w:cstheme="minorHAnsi"/>
              </w:rPr>
              <w:t>Baseline</w:t>
            </w:r>
          </w:p>
          <w:p w:rsidRPr="00A01F0A" w:rsidR="00880E46" w:rsidP="00C83642" w:rsidRDefault="00880E46">
            <w:pPr>
              <w:overflowPunct w:val="0"/>
              <w:autoSpaceDE w:val="0"/>
              <w:autoSpaceDN w:val="0"/>
              <w:adjustRightInd w:val="0"/>
              <w:spacing w:before="100" w:beforeAutospacing="1" w:after="100" w:afterAutospacing="1"/>
              <w:rPr>
                <w:rFonts w:cstheme="minorHAnsi"/>
              </w:rPr>
            </w:pPr>
          </w:p>
        </w:tc>
        <w:tc>
          <w:tcPr>
            <w:tcW w:w="28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Explanation of the study (includes informed consent process), blood sample, urine sample, lung function test, lung inflammation test, questionnaire, and environmental sampling  in home*</w:t>
            </w:r>
          </w:p>
        </w:tc>
        <w:tc>
          <w:tcPr>
            <w:tcW w:w="99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60 min</w:t>
            </w:r>
          </w:p>
        </w:tc>
        <w:tc>
          <w:tcPr>
            <w:tcW w:w="10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jc w:val="center"/>
              <w:rPr>
                <w:rFonts w:cstheme="minorHAnsi"/>
              </w:rPr>
            </w:pPr>
            <w:r w:rsidRPr="00A01F0A">
              <w:rPr>
                <w:rFonts w:cstheme="minorHAnsi"/>
              </w:rPr>
              <w:t>$50</w:t>
            </w:r>
          </w:p>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p>
        </w:tc>
      </w:tr>
      <w:tr w:rsidRPr="00A01F0A" w:rsidR="00880E46" w:rsidTr="00C83642">
        <w:tc>
          <w:tcPr>
            <w:tcW w:w="2160" w:type="dxa"/>
            <w:vMerge/>
            <w:tcBorders>
              <w:left w:val="single" w:color="auto" w:sz="4" w:space="0"/>
              <w:right w:val="single" w:color="auto" w:sz="4" w:space="0"/>
            </w:tcBorders>
          </w:tcPr>
          <w:p w:rsidRPr="00A01F0A" w:rsidR="00880E46" w:rsidP="00C83642" w:rsidRDefault="00880E46">
            <w:pPr>
              <w:rPr>
                <w:rFonts w:cstheme="minorHAnsi"/>
              </w:rPr>
            </w:pPr>
          </w:p>
        </w:tc>
        <w:tc>
          <w:tcPr>
            <w:tcW w:w="1980" w:type="dxa"/>
            <w:vMerge/>
            <w:tcBorders>
              <w:top w:val="single" w:color="auto" w:sz="4" w:space="0"/>
              <w:left w:val="single" w:color="auto" w:sz="4" w:space="0"/>
              <w:bottom w:val="single" w:color="auto" w:sz="4" w:space="0"/>
              <w:right w:val="single" w:color="auto" w:sz="4" w:space="0"/>
            </w:tcBorders>
            <w:vAlign w:val="center"/>
            <w:hideMark/>
          </w:tcPr>
          <w:p w:rsidRPr="00A01F0A" w:rsidR="00880E46" w:rsidP="00C83642" w:rsidRDefault="00880E46">
            <w:pPr>
              <w:rPr>
                <w:rFonts w:cstheme="minorHAnsi"/>
              </w:rPr>
            </w:pPr>
          </w:p>
        </w:tc>
        <w:tc>
          <w:tcPr>
            <w:tcW w:w="135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Baseline part 2</w:t>
            </w:r>
          </w:p>
        </w:tc>
        <w:tc>
          <w:tcPr>
            <w:tcW w:w="28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 xml:space="preserve">urine sample, lung function test, lung inflammation test, questionnaire, and </w:t>
            </w:r>
            <w:r w:rsidRPr="00A01F0A">
              <w:rPr>
                <w:rFonts w:cstheme="minorHAnsi"/>
              </w:rPr>
              <w:lastRenderedPageBreak/>
              <w:t>environmental sampling  in home*</w:t>
            </w:r>
          </w:p>
        </w:tc>
        <w:tc>
          <w:tcPr>
            <w:tcW w:w="99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lastRenderedPageBreak/>
              <w:t>55 min</w:t>
            </w:r>
          </w:p>
        </w:tc>
        <w:tc>
          <w:tcPr>
            <w:tcW w:w="10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jc w:val="center"/>
              <w:rPr>
                <w:rFonts w:cstheme="minorHAnsi"/>
              </w:rPr>
            </w:pPr>
            <w:r w:rsidRPr="00A01F0A">
              <w:rPr>
                <w:rFonts w:cstheme="minorHAnsi"/>
              </w:rPr>
              <w:t>$50</w:t>
            </w:r>
          </w:p>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p>
        </w:tc>
      </w:tr>
      <w:tr w:rsidRPr="00A01F0A" w:rsidR="00880E46" w:rsidTr="00C83642">
        <w:tc>
          <w:tcPr>
            <w:tcW w:w="2160" w:type="dxa"/>
            <w:vMerge/>
            <w:tcBorders>
              <w:left w:val="single" w:color="auto" w:sz="4" w:space="0"/>
              <w:right w:val="single" w:color="auto" w:sz="4" w:space="0"/>
            </w:tcBorders>
          </w:tcPr>
          <w:p w:rsidRPr="00A01F0A" w:rsidR="00880E46" w:rsidP="00C83642" w:rsidRDefault="00880E46">
            <w:pPr>
              <w:rPr>
                <w:rFonts w:cstheme="minorHAnsi"/>
              </w:rPr>
            </w:pPr>
          </w:p>
        </w:tc>
        <w:tc>
          <w:tcPr>
            <w:tcW w:w="1980" w:type="dxa"/>
            <w:vMerge/>
            <w:tcBorders>
              <w:top w:val="single" w:color="auto" w:sz="4" w:space="0"/>
              <w:left w:val="single" w:color="auto" w:sz="4" w:space="0"/>
              <w:bottom w:val="single" w:color="auto" w:sz="4" w:space="0"/>
              <w:right w:val="single" w:color="auto" w:sz="4" w:space="0"/>
            </w:tcBorders>
            <w:vAlign w:val="center"/>
            <w:hideMark/>
          </w:tcPr>
          <w:p w:rsidRPr="00A01F0A" w:rsidR="00880E46" w:rsidP="00C83642" w:rsidRDefault="00880E46">
            <w:pPr>
              <w:rPr>
                <w:rFonts w:cstheme="minorHAnsi"/>
              </w:rPr>
            </w:pPr>
          </w:p>
        </w:tc>
        <w:tc>
          <w:tcPr>
            <w:tcW w:w="135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 xml:space="preserve"> 6 month follow-up</w:t>
            </w:r>
          </w:p>
        </w:tc>
        <w:tc>
          <w:tcPr>
            <w:tcW w:w="28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urine sample, lung function test, lung inflammation test, questionnaire, and environmental sampling  in home*</w:t>
            </w:r>
          </w:p>
        </w:tc>
        <w:tc>
          <w:tcPr>
            <w:tcW w:w="99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55 min</w:t>
            </w:r>
          </w:p>
        </w:tc>
        <w:tc>
          <w:tcPr>
            <w:tcW w:w="10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$50</w:t>
            </w:r>
          </w:p>
        </w:tc>
      </w:tr>
      <w:tr w:rsidRPr="00A01F0A" w:rsidR="00880E46" w:rsidTr="00C83642">
        <w:tc>
          <w:tcPr>
            <w:tcW w:w="2160" w:type="dxa"/>
            <w:vMerge/>
            <w:tcBorders>
              <w:left w:val="single" w:color="auto" w:sz="4" w:space="0"/>
              <w:right w:val="single" w:color="auto" w:sz="4" w:space="0"/>
            </w:tcBorders>
          </w:tcPr>
          <w:p w:rsidRPr="00A01F0A" w:rsidR="00880E46" w:rsidP="00C83642" w:rsidRDefault="00880E46">
            <w:pPr>
              <w:rPr>
                <w:rFonts w:cstheme="minorHAnsi"/>
              </w:rPr>
            </w:pPr>
          </w:p>
        </w:tc>
        <w:tc>
          <w:tcPr>
            <w:tcW w:w="1980" w:type="dxa"/>
            <w:vMerge/>
            <w:tcBorders>
              <w:top w:val="single" w:color="auto" w:sz="4" w:space="0"/>
              <w:left w:val="single" w:color="auto" w:sz="4" w:space="0"/>
              <w:bottom w:val="single" w:color="auto" w:sz="4" w:space="0"/>
              <w:right w:val="single" w:color="auto" w:sz="4" w:space="0"/>
            </w:tcBorders>
            <w:vAlign w:val="center"/>
            <w:hideMark/>
          </w:tcPr>
          <w:p w:rsidRPr="00A01F0A" w:rsidR="00880E46" w:rsidP="00C83642" w:rsidRDefault="00880E46">
            <w:pPr>
              <w:rPr>
                <w:rFonts w:cstheme="minorHAnsi"/>
              </w:rPr>
            </w:pPr>
          </w:p>
        </w:tc>
        <w:tc>
          <w:tcPr>
            <w:tcW w:w="135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12 month follow-up</w:t>
            </w:r>
          </w:p>
        </w:tc>
        <w:tc>
          <w:tcPr>
            <w:tcW w:w="28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urine sample, lung function test, lung inflammation test, questionnaire, and environmental sampling  in home*</w:t>
            </w:r>
          </w:p>
        </w:tc>
        <w:tc>
          <w:tcPr>
            <w:tcW w:w="99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55 min</w:t>
            </w:r>
          </w:p>
        </w:tc>
        <w:tc>
          <w:tcPr>
            <w:tcW w:w="10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$50</w:t>
            </w:r>
          </w:p>
        </w:tc>
      </w:tr>
      <w:tr w:rsidRPr="00A01F0A" w:rsidR="00880E46" w:rsidTr="00C83642">
        <w:tc>
          <w:tcPr>
            <w:tcW w:w="2160" w:type="dxa"/>
            <w:vMerge/>
            <w:tcBorders>
              <w:left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p>
        </w:tc>
        <w:tc>
          <w:tcPr>
            <w:tcW w:w="19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Phone calls</w:t>
            </w:r>
          </w:p>
        </w:tc>
        <w:tc>
          <w:tcPr>
            <w:tcW w:w="135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rPr>
                <w:rFonts w:cstheme="minorHAnsi"/>
              </w:rPr>
            </w:pPr>
            <w:r w:rsidRPr="00A01F0A">
              <w:rPr>
                <w:rFonts w:cstheme="minorHAnsi"/>
              </w:rPr>
              <w:t xml:space="preserve"> 3 months</w:t>
            </w:r>
          </w:p>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 xml:space="preserve"> 9 months</w:t>
            </w:r>
          </w:p>
        </w:tc>
        <w:tc>
          <w:tcPr>
            <w:tcW w:w="28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questionnaire</w:t>
            </w:r>
          </w:p>
        </w:tc>
        <w:tc>
          <w:tcPr>
            <w:tcW w:w="99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jc w:val="center"/>
              <w:rPr>
                <w:rFonts w:cstheme="minorHAnsi"/>
              </w:rPr>
            </w:pPr>
            <w:r w:rsidRPr="00A01F0A">
              <w:rPr>
                <w:rFonts w:cstheme="minorHAnsi"/>
              </w:rPr>
              <w:t>5 min</w:t>
            </w:r>
          </w:p>
          <w:p w:rsidRPr="00A01F0A" w:rsidR="00880E46" w:rsidP="00C83642" w:rsidRDefault="00880E46">
            <w:pPr>
              <w:jc w:val="center"/>
              <w:rPr>
                <w:rFonts w:cstheme="minorHAnsi"/>
              </w:rPr>
            </w:pPr>
          </w:p>
          <w:p w:rsidRPr="00A01F0A" w:rsidR="00880E46" w:rsidP="00C83642" w:rsidRDefault="00880E46">
            <w:pPr>
              <w:jc w:val="center"/>
              <w:rPr>
                <w:rFonts w:cstheme="minorHAnsi"/>
              </w:rPr>
            </w:pPr>
            <w:r w:rsidRPr="00A01F0A">
              <w:rPr>
                <w:rFonts w:cstheme="minorHAnsi"/>
              </w:rPr>
              <w:t>5 min</w:t>
            </w:r>
          </w:p>
        </w:tc>
        <w:tc>
          <w:tcPr>
            <w:tcW w:w="10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jc w:val="center"/>
              <w:rPr>
                <w:rFonts w:cstheme="minorHAnsi"/>
              </w:rPr>
            </w:pPr>
            <w:r w:rsidRPr="00A01F0A">
              <w:rPr>
                <w:rFonts w:cstheme="minorHAnsi"/>
              </w:rPr>
              <w:t>$2</w:t>
            </w:r>
          </w:p>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$2</w:t>
            </w:r>
          </w:p>
        </w:tc>
      </w:tr>
      <w:tr w:rsidRPr="00A01F0A" w:rsidR="00880E46" w:rsidTr="00C83642">
        <w:tc>
          <w:tcPr>
            <w:tcW w:w="2160" w:type="dxa"/>
            <w:vMerge/>
            <w:tcBorders>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p>
        </w:tc>
        <w:tc>
          <w:tcPr>
            <w:tcW w:w="19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Text messages</w:t>
            </w:r>
          </w:p>
        </w:tc>
        <w:tc>
          <w:tcPr>
            <w:tcW w:w="135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 xml:space="preserve"> 1, 2, 4, 5, 7, 8, 10, and 11 months</w:t>
            </w:r>
          </w:p>
        </w:tc>
        <w:tc>
          <w:tcPr>
            <w:tcW w:w="28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Questionnaire.  Each month, a series of 3 1-sentence texts will be sent to obtain this information, and the respondents will reply with 3 separate texts.</w:t>
            </w:r>
          </w:p>
        </w:tc>
        <w:tc>
          <w:tcPr>
            <w:tcW w:w="99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1 min for each month</w:t>
            </w:r>
          </w:p>
        </w:tc>
        <w:tc>
          <w:tcPr>
            <w:tcW w:w="1080" w:type="dxa"/>
            <w:tcBorders>
              <w:top w:val="single" w:color="auto" w:sz="4" w:space="0"/>
              <w:left w:val="single" w:color="auto" w:sz="4" w:space="0"/>
              <w:bottom w:val="single" w:color="auto" w:sz="4" w:space="0"/>
              <w:right w:val="single" w:color="auto" w:sz="4" w:space="0"/>
            </w:tcBorders>
            <w:hideMark/>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$2 each time (maximum = $16)</w:t>
            </w:r>
          </w:p>
        </w:tc>
      </w:tr>
      <w:tr w:rsidRPr="00A01F0A" w:rsidR="00880E46" w:rsidTr="00C83642">
        <w:tc>
          <w:tcPr>
            <w:tcW w:w="2160" w:type="dxa"/>
            <w:vMerge w:val="restart"/>
            <w:tcBorders>
              <w:top w:val="single" w:color="auto" w:sz="4" w:space="0"/>
              <w:left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Exogenous and endogenous determinants of blood trihalomethane levels after showering</w:t>
            </w:r>
          </w:p>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0920-0605</w:t>
            </w:r>
          </w:p>
        </w:tc>
        <w:tc>
          <w:tcPr>
            <w:tcW w:w="19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Give blood sample, get information about study</w:t>
            </w:r>
          </w:p>
        </w:tc>
        <w:tc>
          <w:tcPr>
            <w:tcW w:w="135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Information  Appointment</w:t>
            </w:r>
          </w:p>
        </w:tc>
        <w:tc>
          <w:tcPr>
            <w:tcW w:w="288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rPr>
                <w:rFonts w:cstheme="minorHAnsi"/>
              </w:rPr>
            </w:pPr>
            <w:r w:rsidRPr="00A01F0A">
              <w:rPr>
                <w:rFonts w:cstheme="minorHAnsi"/>
              </w:rPr>
              <w:t>1</w:t>
            </w:r>
          </w:p>
        </w:tc>
        <w:tc>
          <w:tcPr>
            <w:tcW w:w="99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60 min</w:t>
            </w:r>
          </w:p>
        </w:tc>
        <w:tc>
          <w:tcPr>
            <w:tcW w:w="10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$15</w:t>
            </w:r>
          </w:p>
        </w:tc>
      </w:tr>
      <w:tr w:rsidRPr="00A01F0A" w:rsidR="00880E46" w:rsidTr="00C83642">
        <w:tc>
          <w:tcPr>
            <w:tcW w:w="2160" w:type="dxa"/>
            <w:vMerge/>
            <w:tcBorders>
              <w:left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p>
        </w:tc>
        <w:tc>
          <w:tcPr>
            <w:tcW w:w="19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Give blood samples</w:t>
            </w:r>
          </w:p>
        </w:tc>
        <w:tc>
          <w:tcPr>
            <w:tcW w:w="135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Day of study</w:t>
            </w:r>
          </w:p>
        </w:tc>
        <w:tc>
          <w:tcPr>
            <w:tcW w:w="288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rPr>
                <w:rFonts w:cstheme="minorHAnsi"/>
              </w:rPr>
            </w:pPr>
            <w:r w:rsidRPr="00A01F0A">
              <w:rPr>
                <w:rFonts w:cstheme="minorHAnsi"/>
              </w:rPr>
              <w:t>6</w:t>
            </w:r>
          </w:p>
        </w:tc>
        <w:tc>
          <w:tcPr>
            <w:tcW w:w="99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120 min</w:t>
            </w:r>
          </w:p>
        </w:tc>
        <w:tc>
          <w:tcPr>
            <w:tcW w:w="10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$90</w:t>
            </w:r>
          </w:p>
        </w:tc>
      </w:tr>
      <w:tr w:rsidRPr="00A01F0A" w:rsidR="00880E46" w:rsidTr="00C83642">
        <w:tc>
          <w:tcPr>
            <w:tcW w:w="2160" w:type="dxa"/>
            <w:vMerge/>
            <w:tcBorders>
              <w:left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p>
        </w:tc>
        <w:tc>
          <w:tcPr>
            <w:tcW w:w="19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Give urine sample</w:t>
            </w:r>
          </w:p>
        </w:tc>
        <w:tc>
          <w:tcPr>
            <w:tcW w:w="135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Day of study</w:t>
            </w:r>
          </w:p>
        </w:tc>
        <w:tc>
          <w:tcPr>
            <w:tcW w:w="288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rPr>
                <w:rFonts w:cstheme="minorHAnsi"/>
              </w:rPr>
            </w:pPr>
            <w:r w:rsidRPr="00A01F0A">
              <w:rPr>
                <w:rFonts w:cstheme="minorHAnsi"/>
              </w:rPr>
              <w:t>2</w:t>
            </w:r>
          </w:p>
        </w:tc>
        <w:tc>
          <w:tcPr>
            <w:tcW w:w="99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20 min</w:t>
            </w:r>
          </w:p>
        </w:tc>
        <w:tc>
          <w:tcPr>
            <w:tcW w:w="10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$10</w:t>
            </w:r>
          </w:p>
        </w:tc>
      </w:tr>
      <w:tr w:rsidRPr="00A01F0A" w:rsidR="00880E46" w:rsidTr="00C83642">
        <w:trPr>
          <w:trHeight w:val="638"/>
        </w:trPr>
        <w:tc>
          <w:tcPr>
            <w:tcW w:w="2160" w:type="dxa"/>
            <w:vMerge/>
            <w:tcBorders>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p>
        </w:tc>
        <w:tc>
          <w:tcPr>
            <w:tcW w:w="19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Pr>
                <w:rFonts w:cstheme="minorHAnsi"/>
              </w:rPr>
              <w:t xml:space="preserve">Do study activities: </w:t>
            </w:r>
            <w:r w:rsidRPr="00A01F0A">
              <w:rPr>
                <w:rFonts w:cstheme="minorHAnsi"/>
              </w:rPr>
              <w:t>take a shower in controlled bathroom</w:t>
            </w:r>
          </w:p>
        </w:tc>
        <w:tc>
          <w:tcPr>
            <w:tcW w:w="135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Day of study</w:t>
            </w:r>
          </w:p>
        </w:tc>
        <w:tc>
          <w:tcPr>
            <w:tcW w:w="288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rPr>
                <w:rFonts w:cstheme="minorHAnsi"/>
              </w:rPr>
            </w:pPr>
            <w:r w:rsidRPr="00A01F0A">
              <w:rPr>
                <w:rFonts w:cstheme="minorHAnsi"/>
              </w:rPr>
              <w:t>1</w:t>
            </w:r>
          </w:p>
        </w:tc>
        <w:tc>
          <w:tcPr>
            <w:tcW w:w="99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60 min</w:t>
            </w:r>
          </w:p>
        </w:tc>
        <w:tc>
          <w:tcPr>
            <w:tcW w:w="10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$15</w:t>
            </w:r>
          </w:p>
        </w:tc>
      </w:tr>
      <w:tr w:rsidRPr="00A01F0A" w:rsidR="00880E46" w:rsidTr="00C83642">
        <w:tc>
          <w:tcPr>
            <w:tcW w:w="216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 xml:space="preserve">Occupational exposure to aerosolized </w:t>
            </w:r>
            <w:proofErr w:type="spellStart"/>
            <w:r w:rsidRPr="00A01F0A">
              <w:rPr>
                <w:rFonts w:cstheme="minorHAnsi"/>
              </w:rPr>
              <w:t>brevetoxins</w:t>
            </w:r>
            <w:proofErr w:type="spellEnd"/>
            <w:r w:rsidRPr="00A01F0A">
              <w:rPr>
                <w:rFonts w:cstheme="minorHAnsi"/>
              </w:rPr>
              <w:t xml:space="preserve"> during Florida red tide events:  effects on a healthy worker population</w:t>
            </w:r>
          </w:p>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0920-0494</w:t>
            </w:r>
          </w:p>
        </w:tc>
        <w:tc>
          <w:tcPr>
            <w:tcW w:w="19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Do study activities both before and after work shift: respond to survey, do spirometry test, provide urine specimen</w:t>
            </w:r>
          </w:p>
        </w:tc>
        <w:tc>
          <w:tcPr>
            <w:tcW w:w="135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overflowPunct w:val="0"/>
              <w:autoSpaceDE w:val="0"/>
              <w:autoSpaceDN w:val="0"/>
              <w:adjustRightInd w:val="0"/>
              <w:spacing w:before="100" w:beforeAutospacing="1" w:after="100" w:afterAutospacing="1"/>
              <w:rPr>
                <w:rFonts w:cstheme="minorHAnsi"/>
              </w:rPr>
            </w:pPr>
            <w:r w:rsidRPr="00A01F0A">
              <w:rPr>
                <w:rFonts w:cstheme="minorHAnsi"/>
              </w:rPr>
              <w:t>Day of study</w:t>
            </w:r>
          </w:p>
        </w:tc>
        <w:tc>
          <w:tcPr>
            <w:tcW w:w="2880" w:type="dxa"/>
            <w:tcBorders>
              <w:top w:val="single" w:color="auto" w:sz="4" w:space="0"/>
              <w:left w:val="single" w:color="auto" w:sz="4" w:space="0"/>
              <w:bottom w:val="single" w:color="auto" w:sz="4" w:space="0"/>
              <w:right w:val="single" w:color="auto" w:sz="4" w:space="0"/>
            </w:tcBorders>
          </w:tcPr>
          <w:p w:rsidRPr="00A01F0A" w:rsidR="00880E46" w:rsidDel="00F75091" w:rsidP="00C83642" w:rsidRDefault="00880E46">
            <w:pPr>
              <w:rPr>
                <w:rFonts w:cstheme="minorHAnsi"/>
              </w:rPr>
            </w:pPr>
            <w:r w:rsidRPr="00A01F0A">
              <w:rPr>
                <w:rFonts w:cstheme="minorHAnsi"/>
              </w:rPr>
              <w:t>Total of 6 pre-shift and 6 post shift</w:t>
            </w:r>
          </w:p>
        </w:tc>
        <w:tc>
          <w:tcPr>
            <w:tcW w:w="99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150 min</w:t>
            </w:r>
          </w:p>
        </w:tc>
        <w:tc>
          <w:tcPr>
            <w:tcW w:w="1080" w:type="dxa"/>
            <w:tcBorders>
              <w:top w:val="single" w:color="auto" w:sz="4" w:space="0"/>
              <w:left w:val="single" w:color="auto" w:sz="4" w:space="0"/>
              <w:bottom w:val="single" w:color="auto" w:sz="4" w:space="0"/>
              <w:right w:val="single" w:color="auto" w:sz="4" w:space="0"/>
            </w:tcBorders>
          </w:tcPr>
          <w:p w:rsidRPr="00A01F0A" w:rsidR="00880E46" w:rsidP="00C83642" w:rsidRDefault="00880E46">
            <w:pPr>
              <w:overflowPunct w:val="0"/>
              <w:autoSpaceDE w:val="0"/>
              <w:autoSpaceDN w:val="0"/>
              <w:adjustRightInd w:val="0"/>
              <w:spacing w:before="100" w:beforeAutospacing="1" w:after="100" w:afterAutospacing="1"/>
              <w:jc w:val="center"/>
              <w:rPr>
                <w:rFonts w:cstheme="minorHAnsi"/>
              </w:rPr>
            </w:pPr>
            <w:r w:rsidRPr="00A01F0A">
              <w:rPr>
                <w:rFonts w:cstheme="minorHAnsi"/>
              </w:rPr>
              <w:t>$150</w:t>
            </w:r>
          </w:p>
        </w:tc>
      </w:tr>
    </w:tbl>
    <w:p w:rsidRPr="00442872" w:rsidR="00880E46" w:rsidP="00880E46" w:rsidRDefault="00880E46">
      <w:pPr>
        <w:spacing w:after="0" w:line="240" w:lineRule="auto"/>
        <w:rPr>
          <w:rFonts w:cstheme="minorHAnsi"/>
        </w:rPr>
      </w:pPr>
      <w:r w:rsidRPr="00A01F0A">
        <w:rPr>
          <w:rFonts w:cstheme="minorHAnsi"/>
        </w:rPr>
        <w:lastRenderedPageBreak/>
        <w:t xml:space="preserve">* </w:t>
      </w:r>
      <w:r w:rsidRPr="002C09C6">
        <w:rPr>
          <w:rFonts w:cstheme="minorHAnsi"/>
          <w:sz w:val="20"/>
          <w:szCs w:val="20"/>
        </w:rPr>
        <w:t xml:space="preserve">This time indicates the amount of time required for setting up the environmental sampling equipment.  Some environmental sampling equipment was left in home for 5 </w:t>
      </w:r>
      <w:proofErr w:type="gramStart"/>
      <w:r w:rsidRPr="002C09C6">
        <w:rPr>
          <w:rFonts w:cstheme="minorHAnsi"/>
          <w:sz w:val="20"/>
          <w:szCs w:val="20"/>
        </w:rPr>
        <w:t>days, but</w:t>
      </w:r>
      <w:proofErr w:type="gramEnd"/>
      <w:r w:rsidRPr="002C09C6">
        <w:rPr>
          <w:rFonts w:cstheme="minorHAnsi"/>
          <w:sz w:val="20"/>
          <w:szCs w:val="20"/>
        </w:rPr>
        <w:t xml:space="preserve"> did not require any supervision.</w:t>
      </w:r>
      <w:r w:rsidRPr="00442872">
        <w:rPr>
          <w:rFonts w:cstheme="minorHAnsi"/>
        </w:rPr>
        <w:t xml:space="preserve">   </w:t>
      </w:r>
    </w:p>
    <w:p w:rsidRPr="00442872" w:rsidR="00880E46" w:rsidP="00880E46" w:rsidRDefault="00880E46">
      <w:pPr>
        <w:pStyle w:val="ListParagraph"/>
        <w:autoSpaceDE w:val="0"/>
        <w:autoSpaceDN w:val="0"/>
        <w:adjustRightInd w:val="0"/>
        <w:spacing w:after="0" w:line="240" w:lineRule="auto"/>
        <w:ind w:left="0"/>
        <w:rPr>
          <w:rFonts w:eastAsia="Calibri" w:asciiTheme="minorHAnsi" w:hAnsiTheme="minorHAnsi" w:cstheme="minorHAnsi"/>
          <w:sz w:val="24"/>
          <w:szCs w:val="24"/>
        </w:rPr>
      </w:pPr>
    </w:p>
    <w:p w:rsidRPr="00880E46" w:rsidR="00FB7442" w:rsidP="00880E46" w:rsidRDefault="00FB7442">
      <w:pPr>
        <w:jc w:val="center"/>
        <w:rPr>
          <w:b/>
          <w:sz w:val="24"/>
          <w:szCs w:val="24"/>
        </w:rPr>
      </w:pPr>
    </w:p>
    <w:sectPr w:rsidRPr="00880E46" w:rsidR="00FB7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46"/>
    <w:rsid w:val="005629E5"/>
    <w:rsid w:val="00732107"/>
    <w:rsid w:val="007B3C46"/>
    <w:rsid w:val="00880E46"/>
    <w:rsid w:val="00B67D61"/>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E97D1-325C-4068-A2D4-9E502E52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BodyText"/>
    <w:link w:val="Heading2Char"/>
    <w:qFormat/>
    <w:rsid w:val="00880E46"/>
    <w:pPr>
      <w:keepLines w:val="0"/>
      <w:spacing w:before="120" w:after="120" w:line="276" w:lineRule="auto"/>
      <w:outlineLvl w:val="1"/>
    </w:pPr>
    <w:rPr>
      <w:rFonts w:ascii="Times New Roman" w:eastAsia="Times New Roman" w:hAnsi="Times New Roman" w:cs="Arial"/>
      <w:b/>
      <w:iCs/>
      <w:color w:val="auto"/>
      <w:kern w:val="3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0E46"/>
    <w:rPr>
      <w:rFonts w:ascii="Times New Roman" w:eastAsia="Times New Roman" w:hAnsi="Times New Roman" w:cs="Arial"/>
      <w:b/>
      <w:iCs/>
      <w:kern w:val="32"/>
      <w:sz w:val="24"/>
      <w:szCs w:val="28"/>
    </w:rPr>
  </w:style>
  <w:style w:type="paragraph" w:styleId="BodyText">
    <w:name w:val="Body Text"/>
    <w:link w:val="BodyTextChar"/>
    <w:rsid w:val="00880E46"/>
    <w:pPr>
      <w:keepNext/>
      <w:spacing w:before="120" w:after="120" w:line="276" w:lineRule="auto"/>
    </w:pPr>
    <w:rPr>
      <w:rFonts w:ascii="Times New Roman" w:eastAsia="Times New Roman" w:hAnsi="Times New Roman" w:cs="Times New Roman"/>
      <w:sz w:val="24"/>
      <w:szCs w:val="18"/>
    </w:rPr>
  </w:style>
  <w:style w:type="character" w:customStyle="1" w:styleId="BodyTextChar">
    <w:name w:val="Body Text Char"/>
    <w:basedOn w:val="DefaultParagraphFont"/>
    <w:link w:val="BodyText"/>
    <w:rsid w:val="00880E46"/>
    <w:rPr>
      <w:rFonts w:ascii="Times New Roman" w:eastAsia="Times New Roman" w:hAnsi="Times New Roman" w:cs="Times New Roman"/>
      <w:sz w:val="24"/>
      <w:szCs w:val="18"/>
    </w:rPr>
  </w:style>
  <w:style w:type="character" w:styleId="Hyperlink">
    <w:name w:val="Hyperlink"/>
    <w:uiPriority w:val="99"/>
    <w:rsid w:val="00880E46"/>
    <w:rPr>
      <w:color w:val="0000FF"/>
      <w:u w:val="single"/>
    </w:rPr>
  </w:style>
  <w:style w:type="paragraph" w:styleId="ListParagraph">
    <w:name w:val="List Paragraph"/>
    <w:basedOn w:val="Normal"/>
    <w:uiPriority w:val="34"/>
    <w:qFormat/>
    <w:rsid w:val="00880E46"/>
    <w:pPr>
      <w:spacing w:after="200" w:line="276" w:lineRule="auto"/>
      <w:ind w:left="720"/>
    </w:pPr>
    <w:rPr>
      <w:rFonts w:ascii="Calibri" w:eastAsia="Times New Roman" w:hAnsi="Calibri" w:cs="Times New Roman"/>
    </w:rPr>
  </w:style>
  <w:style w:type="character" w:customStyle="1" w:styleId="Heading1Char">
    <w:name w:val="Heading 1 Char"/>
    <w:basedOn w:val="DefaultParagraphFont"/>
    <w:link w:val="Heading1"/>
    <w:uiPriority w:val="9"/>
    <w:rsid w:val="00880E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2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10791596" TargetMode="External"/><Relationship Id="rId4" Type="http://schemas.openxmlformats.org/officeDocument/2006/relationships/hyperlink" Target="http://cfpub.epa.gov/ordpubs/nerlpubs/recordisplay.cfm?deid=64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816</Words>
  <Characters>4656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Lorraine (CDC/DDNID/NCEH/DEHSP)</dc:creator>
  <cp:keywords/>
  <dc:description/>
  <cp:lastModifiedBy>Backer, Lorraine (CDC/DDNID/NCEH/DEHSP)</cp:lastModifiedBy>
  <cp:revision>2</cp:revision>
  <dcterms:created xsi:type="dcterms:W3CDTF">2020-01-28T20:38:00Z</dcterms:created>
  <dcterms:modified xsi:type="dcterms:W3CDTF">2020-01-28T20:38:00Z</dcterms:modified>
</cp:coreProperties>
</file>