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521C6" w:rsidR="00D97383" w:rsidP="00D97383" w:rsidRDefault="000702A5">
      <w:pPr>
        <w:jc w:val="center"/>
        <w:rPr>
          <w:rFonts w:cstheme="minorHAnsi"/>
          <w:b/>
          <w:sz w:val="24"/>
          <w:szCs w:val="24"/>
        </w:rPr>
      </w:pPr>
      <w:bookmarkStart w:name="_GoBack" w:id="0"/>
      <w:bookmarkEnd w:id="0"/>
      <w:r w:rsidRPr="009521C6">
        <w:rPr>
          <w:rFonts w:cstheme="minorHAnsi"/>
          <w:b/>
          <w:sz w:val="24"/>
          <w:szCs w:val="24"/>
        </w:rPr>
        <w:t>Attachment 1</w:t>
      </w:r>
    </w:p>
    <w:p w:rsidRPr="009521C6" w:rsidR="009521C6" w:rsidP="00D97383" w:rsidRDefault="009521C6">
      <w:pPr>
        <w:jc w:val="center"/>
        <w:rPr>
          <w:rFonts w:cstheme="minorHAnsi"/>
          <w:b/>
          <w:sz w:val="24"/>
          <w:szCs w:val="24"/>
        </w:rPr>
      </w:pPr>
      <w:r w:rsidRPr="009521C6">
        <w:rPr>
          <w:rFonts w:cstheme="minorHAnsi"/>
          <w:b/>
          <w:sz w:val="24"/>
          <w:szCs w:val="24"/>
        </w:rPr>
        <w:t>Authority</w:t>
      </w:r>
    </w:p>
    <w:p w:rsidR="009521C6" w:rsidRDefault="009521C6">
      <w:pPr>
        <w:rPr>
          <w:rFonts w:ascii="Times New Roman" w:hAnsi="Times New Roman" w:cs="Times New Roman"/>
          <w:b/>
          <w:sz w:val="24"/>
          <w:szCs w:val="24"/>
        </w:rPr>
      </w:pPr>
      <w:r>
        <w:rPr>
          <w:rFonts w:ascii="Times New Roman" w:hAnsi="Times New Roman" w:cs="Times New Roman"/>
          <w:b/>
          <w:sz w:val="24"/>
          <w:szCs w:val="24"/>
        </w:rPr>
        <w:br w:type="page"/>
      </w:r>
    </w:p>
    <w:p w:rsidR="009521C6" w:rsidP="009521C6" w:rsidRDefault="009521C6">
      <w:pPr>
        <w:jc w:val="center"/>
        <w:rPr>
          <w:rFonts w:ascii="Calibri" w:hAnsi="Calibri" w:cs="Calibri"/>
          <w:b/>
          <w:sz w:val="24"/>
          <w:szCs w:val="24"/>
        </w:rPr>
      </w:pPr>
      <w:r>
        <w:rPr>
          <w:rFonts w:ascii="Calibri" w:hAnsi="Calibri" w:cs="Calibri"/>
          <w:b/>
          <w:sz w:val="24"/>
          <w:szCs w:val="24"/>
        </w:rPr>
        <w:lastRenderedPageBreak/>
        <w:t>Aerosols from cyanobacterial blooms: exposures and health effects in highly exposed populations</w:t>
      </w:r>
    </w:p>
    <w:p w:rsidRPr="00D97383" w:rsidR="00B341F7" w:rsidP="00D97383" w:rsidRDefault="00B341F7">
      <w:pPr>
        <w:jc w:val="center"/>
        <w:rPr>
          <w:rFonts w:ascii="Times New Roman" w:hAnsi="Times New Roman" w:cs="Times New Roman"/>
          <w:b/>
          <w:sz w:val="24"/>
          <w:szCs w:val="24"/>
        </w:rPr>
      </w:pPr>
      <w:r w:rsidRPr="00D97383">
        <w:rPr>
          <w:rFonts w:ascii="Times New Roman" w:hAnsi="Times New Roman" w:cs="Times New Roman"/>
          <w:b/>
          <w:sz w:val="24"/>
          <w:szCs w:val="24"/>
        </w:rPr>
        <w:t>Public Health Service Act Section 301 [241]</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PART A.  RESEARCH AND INVESTIGATION</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IN GENERAL</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SEC. 301 [241] (a)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(1) collect and make available through publications and other appropriate means, information as to, and the practical application of, such research and other activities;</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(2) make available research facilities of the Service to appropriate public authorities, and to health officials and scientists engaged in special study;</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(4) secure from time to time and for such periods as he deems advisable, the assistance and advice of experts, scholars, and consultants from the United States or abroad;</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(5) for purposes of study, admit and treat at institutions, hospitals, and stations of the Service, persons not otherwise eligible for such treatment;</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(6) make available, to health officials, scientists, and appropriate public and other nonprofit institutions and organizations, technical advice and assistance on the application of statistical methods to experiments, studies, and surveys in health and medical fields;</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 xml:space="preserve">(7)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lastRenderedPageBreak/>
        <w:tab/>
        <w:t xml:space="preserve">(8)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 xml:space="preserve">(b)(1)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Education, and Welfare, engaged in comparable activities.  The Secretary, upon request of such an entity and under appropriate arrangements for the payment of expenses, may conduct for such entity studies and testing of substances for </w:t>
      </w:r>
      <w:proofErr w:type="gramStart"/>
      <w:r w:rsidRPr="00B341F7">
        <w:rPr>
          <w:rFonts w:ascii="Times New Roman" w:hAnsi="Times New Roman" w:cs="Times New Roman"/>
          <w:sz w:val="24"/>
          <w:szCs w:val="24"/>
        </w:rPr>
        <w:t>carcinogenicity,  teratogenicity</w:t>
      </w:r>
      <w:proofErr w:type="gramEnd"/>
      <w:r w:rsidRPr="00B341F7">
        <w:rPr>
          <w:rFonts w:ascii="Times New Roman" w:hAnsi="Times New Roman" w:cs="Times New Roman"/>
          <w:sz w:val="24"/>
          <w:szCs w:val="24"/>
        </w:rPr>
        <w:t xml:space="preserve">, mutagenicity, and other harmful biological effects. </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(2)(a)  The Secretary shall establish a comprehensive program of research into the biological effects of low-level ionizing radiation under which program the Secretary shall conduct such research and may support such research by others through grants and contracts.</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 xml:space="preserve"> (B) The Secretary shall conduct a comprehensive review of Federal programs of research on the biological effects of ionizing radiation.</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 xml:space="preserve">(4) The Secretary shall publish a biennial report which contains - </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t>(A) a list of all substances (i) which either are known to be carcinogens or may reasonably be anticipated to be carcinogens and (ii) to which a significant number of persons residing in the United States are exposed;</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lastRenderedPageBreak/>
        <w:tab/>
      </w:r>
      <w:r w:rsidRPr="00B341F7">
        <w:rPr>
          <w:rFonts w:ascii="Times New Roman" w:hAnsi="Times New Roman" w:cs="Times New Roman"/>
          <w:sz w:val="24"/>
          <w:szCs w:val="24"/>
        </w:rPr>
        <w:tab/>
        <w:t>(B) information concerning the nature of such exposure and the estimated number of persons exposed to such substances;</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t>(C) a statement identifying (i)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t xml:space="preserve">(D) a description of (i) each request received during the year involved - </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r>
      <w:r w:rsidRPr="00B341F7">
        <w:rPr>
          <w:rFonts w:ascii="Times New Roman" w:hAnsi="Times New Roman" w:cs="Times New Roman"/>
          <w:sz w:val="24"/>
          <w:szCs w:val="24"/>
        </w:rPr>
        <w:tab/>
        <w:t>(I) from a Federal agency outside the Department of Health and Human Services for the Secretary, or</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r>
      <w:r w:rsidRPr="00B341F7">
        <w:rPr>
          <w:rFonts w:ascii="Times New Roman" w:hAnsi="Times New Roman" w:cs="Times New Roman"/>
          <w:sz w:val="24"/>
          <w:szCs w:val="24"/>
        </w:rPr>
        <w:tab/>
        <w:t>(II) 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(c) The Secretary may conduct biomedical research, directly or through grants or contracts, for the identification, control, treatment, and prevention of diseases (including tropical diseases) which do not occur to a significant extent in the United States.</w:t>
      </w:r>
    </w:p>
    <w:p w:rsidRPr="00B341F7" w:rsidR="00B341F7" w:rsidP="00B341F7" w:rsidRDefault="00B341F7">
      <w:pPr>
        <w:rPr>
          <w:rFonts w:ascii="Times New Roman" w:hAnsi="Times New Roman" w:cs="Times New Roman"/>
          <w:sz w:val="24"/>
          <w:szCs w:val="24"/>
        </w:rPr>
      </w:pPr>
      <w:r w:rsidRPr="00B341F7">
        <w:rPr>
          <w:rFonts w:ascii="Times New Roman" w:hAnsi="Times New Roman" w:cs="Times New Roman"/>
          <w:sz w:val="24"/>
          <w:szCs w:val="24"/>
        </w:rPr>
        <w:tab/>
        <w:t>(d) 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Pr="00B341F7" w:rsidR="00B341F7" w:rsidP="00B341F7" w:rsidRDefault="00B341F7">
      <w:pPr>
        <w:rPr>
          <w:rFonts w:ascii="Times New Roman" w:hAnsi="Times New Roman" w:cs="Times New Roman"/>
          <w:sz w:val="24"/>
          <w:szCs w:val="24"/>
        </w:rPr>
      </w:pPr>
    </w:p>
    <w:p w:rsidRPr="00B341F7" w:rsidR="00B341F7" w:rsidP="00B341F7" w:rsidRDefault="00B341F7">
      <w:pPr>
        <w:rPr>
          <w:rFonts w:ascii="Times New Roman" w:hAnsi="Times New Roman" w:cs="Times New Roman"/>
          <w:sz w:val="24"/>
          <w:szCs w:val="24"/>
        </w:rPr>
      </w:pPr>
    </w:p>
    <w:p w:rsidRPr="00B341F7" w:rsidR="00B4189C" w:rsidRDefault="00B4189C">
      <w:pPr>
        <w:rPr>
          <w:rFonts w:ascii="Times New Roman" w:hAnsi="Times New Roman" w:cs="Times New Roman"/>
          <w:sz w:val="24"/>
          <w:szCs w:val="24"/>
        </w:rPr>
      </w:pPr>
    </w:p>
    <w:sectPr w:rsidRPr="00B341F7" w:rsidR="00B41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F7"/>
    <w:rsid w:val="000702A5"/>
    <w:rsid w:val="00143AA1"/>
    <w:rsid w:val="002C2F3A"/>
    <w:rsid w:val="006E7E63"/>
    <w:rsid w:val="009521C6"/>
    <w:rsid w:val="00B341F7"/>
    <w:rsid w:val="00B4189C"/>
    <w:rsid w:val="00D9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ABA4D-6C77-4967-BD48-E731333C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97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6730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 X</dc:creator>
  <cp:lastModifiedBy>Backer, Lorraine (CDC/DDNID/NCEH/DEHSP)</cp:lastModifiedBy>
  <cp:revision>2</cp:revision>
  <dcterms:created xsi:type="dcterms:W3CDTF">2020-01-28T20:14:00Z</dcterms:created>
  <dcterms:modified xsi:type="dcterms:W3CDTF">2020-01-28T20:14:00Z</dcterms:modified>
</cp:coreProperties>
</file>