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14:paraId="6C7B81E7" w14:textId="77777777">
      <w:pPr>
        <w:rPr>
          <w:rFonts w:ascii="Arial" w:hAnsi="Arial" w:cs="Arial"/>
        </w:rPr>
      </w:pPr>
      <w:bookmarkStart w:id="0" w:name="_Toc337198071"/>
      <w:bookmarkStart w:id="1" w:name="_Toc423335421"/>
    </w:p>
    <w:p w:rsidR="00BA2DBE" w:rsidRPr="00D20211" w14:paraId="59337D84" w14:textId="77777777">
      <w:pPr>
        <w:rPr>
          <w:rFonts w:ascii="Arial" w:hAnsi="Arial" w:cs="Arial"/>
        </w:rPr>
      </w:pPr>
    </w:p>
    <w:p w:rsidR="00BA2DBE" w:rsidRPr="00D20211" w14:paraId="276321DF" w14:textId="77777777">
      <w:pPr>
        <w:rPr>
          <w:rFonts w:ascii="Arial" w:hAnsi="Arial" w:cs="Arial"/>
        </w:rPr>
      </w:pPr>
    </w:p>
    <w:p w:rsidR="00BA2DBE" w:rsidRPr="00D20211" w14:paraId="21173796" w14:textId="77777777">
      <w:pPr>
        <w:rPr>
          <w:rFonts w:ascii="Arial" w:hAnsi="Arial" w:cs="Arial"/>
        </w:rPr>
      </w:pPr>
    </w:p>
    <w:p w:rsidR="00BA2DBE" w:rsidRPr="00D20211" w14:paraId="12BC4B96" w14:textId="77777777">
      <w:pPr>
        <w:rPr>
          <w:rFonts w:ascii="Arial" w:hAnsi="Arial" w:cs="Arial"/>
        </w:rPr>
      </w:pPr>
    </w:p>
    <w:p w:rsidR="000B4BB9" w:rsidP="001626E8" w14:paraId="6487980C" w14:textId="77777777">
      <w:pPr>
        <w:pStyle w:val="Subtitle"/>
        <w:rPr>
          <w:color w:val="auto"/>
          <w:spacing w:val="-7"/>
          <w:sz w:val="48"/>
          <w:szCs w:val="48"/>
        </w:rPr>
      </w:pPr>
      <w:bookmarkStart w:id="2" w:name="_Toc523130873"/>
      <w:r>
        <w:rPr>
          <w:color w:val="auto"/>
          <w:spacing w:val="-7"/>
          <w:sz w:val="48"/>
          <w:szCs w:val="48"/>
        </w:rPr>
        <w:t>“</w:t>
      </w:r>
      <w:r w:rsidRPr="00D4304A" w:rsidR="00D4304A">
        <w:rPr>
          <w:color w:val="auto"/>
          <w:spacing w:val="-7"/>
          <w:sz w:val="48"/>
          <w:szCs w:val="48"/>
        </w:rPr>
        <w:t>Environmental Health and Land Reuse Certificat</w:t>
      </w:r>
      <w:bookmarkEnd w:id="2"/>
      <w:r w:rsidR="000E7B8B">
        <w:rPr>
          <w:color w:val="auto"/>
          <w:spacing w:val="-7"/>
          <w:sz w:val="48"/>
          <w:szCs w:val="48"/>
        </w:rPr>
        <w:t>e</w:t>
      </w:r>
      <w:r w:rsidRPr="00D4304A" w:rsidR="00D4304A">
        <w:rPr>
          <w:color w:val="auto"/>
          <w:spacing w:val="-7"/>
          <w:sz w:val="48"/>
          <w:szCs w:val="48"/>
        </w:rPr>
        <w:t xml:space="preserve"> Training</w:t>
      </w:r>
      <w:r>
        <w:rPr>
          <w:color w:val="auto"/>
          <w:spacing w:val="-7"/>
          <w:sz w:val="48"/>
          <w:szCs w:val="48"/>
        </w:rPr>
        <w:t>”</w:t>
      </w:r>
      <w:r w:rsidR="000E7B8B">
        <w:rPr>
          <w:color w:val="auto"/>
          <w:spacing w:val="-7"/>
          <w:sz w:val="48"/>
          <w:szCs w:val="48"/>
        </w:rPr>
        <w:t xml:space="preserve"> </w:t>
      </w:r>
    </w:p>
    <w:p w:rsidR="00D4304A" w:rsidP="001626E8" w14:paraId="0B972712" w14:textId="0C1EE5A6">
      <w:pPr>
        <w:pStyle w:val="Subtitle"/>
        <w:rPr>
          <w:color w:val="auto"/>
          <w:spacing w:val="-7"/>
          <w:sz w:val="48"/>
          <w:szCs w:val="48"/>
        </w:rPr>
      </w:pPr>
      <w:r>
        <w:rPr>
          <w:color w:val="auto"/>
          <w:spacing w:val="-7"/>
          <w:sz w:val="48"/>
          <w:szCs w:val="48"/>
        </w:rPr>
        <w:t>(</w:t>
      </w:r>
      <w:r w:rsidR="00A05B28">
        <w:rPr>
          <w:color w:val="auto"/>
          <w:spacing w:val="-7"/>
          <w:sz w:val="48"/>
          <w:szCs w:val="48"/>
        </w:rPr>
        <w:t>f</w:t>
      </w:r>
      <w:r>
        <w:rPr>
          <w:color w:val="auto"/>
          <w:spacing w:val="-7"/>
          <w:sz w:val="48"/>
          <w:szCs w:val="48"/>
        </w:rPr>
        <w:t xml:space="preserve">ormerly </w:t>
      </w:r>
      <w:r w:rsidR="00AF20C2">
        <w:rPr>
          <w:color w:val="auto"/>
          <w:spacing w:val="-7"/>
          <w:sz w:val="48"/>
          <w:szCs w:val="48"/>
        </w:rPr>
        <w:t>“Assessment of Environmental Health and Land Reuse Certification Training</w:t>
      </w:r>
      <w:r w:rsidR="00A05B28">
        <w:rPr>
          <w:color w:val="auto"/>
          <w:spacing w:val="-7"/>
          <w:sz w:val="48"/>
          <w:szCs w:val="48"/>
        </w:rPr>
        <w:t>”</w:t>
      </w:r>
      <w:r w:rsidR="00AF20C2">
        <w:rPr>
          <w:color w:val="auto"/>
          <w:spacing w:val="-7"/>
          <w:sz w:val="48"/>
          <w:szCs w:val="48"/>
        </w:rPr>
        <w:t>)</w:t>
      </w:r>
      <w:r w:rsidRPr="00D4304A">
        <w:rPr>
          <w:color w:val="auto"/>
          <w:spacing w:val="-7"/>
          <w:sz w:val="48"/>
          <w:szCs w:val="48"/>
        </w:rPr>
        <w:t xml:space="preserve"> </w:t>
      </w:r>
    </w:p>
    <w:p w:rsidR="00BA2DBE" w:rsidRPr="00D20211" w:rsidP="001626E8" w14:paraId="61EAE914" w14:textId="4C518E41">
      <w:pPr>
        <w:pStyle w:val="Subtitle"/>
        <w:rPr>
          <w:color w:val="auto"/>
        </w:rPr>
      </w:pPr>
      <w:r w:rsidRPr="00D20211">
        <w:rPr>
          <w:color w:val="auto"/>
        </w:rPr>
        <w:t>OMB Control N</w:t>
      </w:r>
      <w:r w:rsidRPr="00D20211" w:rsidR="00EA55C0">
        <w:rPr>
          <w:color w:val="auto"/>
        </w:rPr>
        <w:t>o</w:t>
      </w:r>
      <w:r w:rsidRPr="00247B8F" w:rsidR="00EA55C0">
        <w:rPr>
          <w:color w:val="auto"/>
        </w:rPr>
        <w:t xml:space="preserve">. </w:t>
      </w:r>
      <w:r w:rsidRPr="00247B8F" w:rsidR="00852ED7">
        <w:rPr>
          <w:color w:val="auto"/>
        </w:rPr>
        <w:t xml:space="preserve">0923-0060, </w:t>
      </w:r>
      <w:r w:rsidR="002C4C1F">
        <w:rPr>
          <w:color w:val="auto"/>
        </w:rPr>
        <w:t>discontinued</w:t>
      </w:r>
      <w:r w:rsidRPr="00247B8F" w:rsidR="00852ED7">
        <w:rPr>
          <w:color w:val="auto"/>
        </w:rPr>
        <w:t xml:space="preserve"> 08/31/2022</w:t>
      </w:r>
    </w:p>
    <w:p w:rsidR="001626E8" w:rsidRPr="00D20211" w14:paraId="0BFC8620" w14:textId="6039D135">
      <w:pPr>
        <w:spacing w:after="200" w:line="276" w:lineRule="auto"/>
        <w:rPr>
          <w:rFonts w:asciiTheme="majorHAnsi" w:hAnsiTheme="majorHAnsi" w:cs="Arial"/>
          <w:sz w:val="36"/>
          <w:szCs w:val="36"/>
        </w:rPr>
      </w:pPr>
      <w:r>
        <w:rPr>
          <w:rFonts w:asciiTheme="majorHAnsi" w:hAnsiTheme="majorHAnsi" w:cs="Arial"/>
          <w:sz w:val="36"/>
          <w:szCs w:val="36"/>
        </w:rPr>
        <w:t>Reinstatement with Change</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w:t>
      </w:r>
      <w:r w:rsidRPr="00D20211">
        <w:rPr>
          <w:color w:val="auto"/>
        </w:rPr>
        <w:t>Part</w:t>
      </w:r>
      <w:r w:rsidRPr="00D20211">
        <w:rPr>
          <w:color w:val="auto"/>
        </w:rPr>
        <w:t xml:space="preserve"> A </w:t>
      </w:r>
      <w:r w:rsidRPr="00D20211" w:rsidR="00BB0E8E">
        <w:rPr>
          <w:color w:val="auto"/>
        </w:rPr>
        <w:t>–</w:t>
      </w:r>
      <w:r w:rsidRPr="00D20211">
        <w:rPr>
          <w:color w:val="auto"/>
        </w:rPr>
        <w:t xml:space="preserve"> </w:t>
      </w:r>
    </w:p>
    <w:p w:rsidR="00BA2DBE" w:rsidP="001626E8" w14:paraId="71B235A4" w14:textId="5E9748D8">
      <w:pPr>
        <w:pStyle w:val="Subtitle"/>
        <w:rPr>
          <w:color w:val="auto"/>
        </w:rPr>
      </w:pPr>
      <w:r w:rsidRPr="00D20211">
        <w:rPr>
          <w:color w:val="auto"/>
        </w:rPr>
        <w:t>Justification</w:t>
      </w:r>
    </w:p>
    <w:p w:rsidR="00794830" w:rsidP="00794830" w14:paraId="39FE5D79" w14:textId="6E54C551"/>
    <w:p w:rsidR="00794830" w:rsidRPr="00794830" w:rsidP="00794830" w14:paraId="4522B6E0" w14:textId="77777777"/>
    <w:p w:rsidR="005E043E" w:rsidP="008E47E6" w14:paraId="0AEFB33A" w14:textId="77777777">
      <w:pPr>
        <w:pStyle w:val="Subtitle"/>
        <w:spacing w:after="0"/>
        <w:rPr>
          <w:color w:val="auto"/>
        </w:rPr>
      </w:pPr>
    </w:p>
    <w:p w:rsidR="00BA2DBE" w:rsidRPr="00D20211" w:rsidP="008E47E6" w14:paraId="77A49968" w14:textId="130D93E7">
      <w:pPr>
        <w:pStyle w:val="Subtitle"/>
        <w:spacing w:after="0"/>
        <w:rPr>
          <w:color w:val="auto"/>
        </w:rPr>
      </w:pPr>
      <w:r w:rsidRPr="00D20211">
        <w:rPr>
          <w:color w:val="auto"/>
        </w:rPr>
        <w:t xml:space="preserve">Program Official/Project Officer: </w:t>
      </w:r>
      <w:r w:rsidR="00852ED7">
        <w:rPr>
          <w:color w:val="auto"/>
        </w:rPr>
        <w:t>Laurel Berman</w:t>
      </w:r>
    </w:p>
    <w:p w:rsidR="00BA2DBE" w:rsidRPr="00D20211" w:rsidP="008E47E6" w14:paraId="009E2166" w14:textId="127E4D5E">
      <w:pPr>
        <w:pStyle w:val="Subtitle"/>
        <w:spacing w:after="0"/>
        <w:rPr>
          <w:color w:val="auto"/>
        </w:rPr>
      </w:pPr>
      <w:r w:rsidRPr="00D20211">
        <w:rPr>
          <w:color w:val="auto"/>
        </w:rPr>
        <w:t>Title:</w:t>
      </w:r>
      <w:r w:rsidR="00852ED7">
        <w:rPr>
          <w:color w:val="auto"/>
        </w:rPr>
        <w:t xml:space="preserve"> National Brownfields Coordinator, Environmental Health Scientist</w:t>
      </w:r>
    </w:p>
    <w:p w:rsidR="00BA2DBE" w:rsidRPr="00D20211" w:rsidP="008E47E6" w14:paraId="4D73E7D9" w14:textId="321DDA25">
      <w:pPr>
        <w:pStyle w:val="Subtitle"/>
        <w:spacing w:after="0"/>
        <w:rPr>
          <w:color w:val="auto"/>
        </w:rPr>
      </w:pPr>
      <w:r w:rsidRPr="00D20211">
        <w:rPr>
          <w:color w:val="auto"/>
        </w:rPr>
        <w:t>Phone</w:t>
      </w:r>
      <w:r w:rsidRPr="00D20211" w:rsidR="00480FC6">
        <w:rPr>
          <w:color w:val="auto"/>
        </w:rPr>
        <w:t>:</w:t>
      </w:r>
      <w:r w:rsidR="00852ED7">
        <w:rPr>
          <w:color w:val="auto"/>
        </w:rPr>
        <w:t xml:space="preserve"> 312-315-7011</w:t>
      </w:r>
    </w:p>
    <w:p w:rsidR="00BA2DBE" w:rsidRPr="00D20211" w:rsidP="00EA0849" w14:paraId="72924699" w14:textId="622E4B9F">
      <w:pPr>
        <w:pStyle w:val="Subtitle"/>
        <w:spacing w:after="0"/>
        <w:rPr>
          <w:color w:val="auto"/>
        </w:rPr>
      </w:pPr>
      <w:r w:rsidRPr="00D20211">
        <w:rPr>
          <w:color w:val="auto"/>
        </w:rPr>
        <w:t>Email</w:t>
      </w:r>
      <w:r w:rsidRPr="00D20211" w:rsidR="00480FC6">
        <w:rPr>
          <w:color w:val="auto"/>
        </w:rPr>
        <w:t xml:space="preserve">: </w:t>
      </w:r>
      <w:r w:rsidR="00852ED7">
        <w:rPr>
          <w:color w:val="auto"/>
        </w:rPr>
        <w:t>fjq0@cdc.gov</w:t>
      </w:r>
    </w:p>
    <w:p w:rsidR="00BA2DBE" w:rsidRPr="00D20211" w:rsidP="008E47E6" w14:paraId="70AB4DEC" w14:textId="584FBF42">
      <w:pPr>
        <w:pStyle w:val="Subtitle"/>
        <w:spacing w:after="0"/>
        <w:rPr>
          <w:color w:val="auto"/>
        </w:rPr>
      </w:pPr>
      <w:r w:rsidRPr="00D20211">
        <w:rPr>
          <w:color w:val="auto"/>
        </w:rPr>
        <w:t>Fax</w:t>
      </w:r>
      <w:r w:rsidRPr="00D20211" w:rsidR="00480FC6">
        <w:rPr>
          <w:color w:val="auto"/>
        </w:rPr>
        <w:t>:</w:t>
      </w:r>
      <w:r w:rsidR="00386F68">
        <w:rPr>
          <w:color w:val="auto"/>
        </w:rPr>
        <w:t xml:space="preserve"> </w:t>
      </w:r>
      <w:r w:rsidRPr="00386F68" w:rsidR="00386F68">
        <w:rPr>
          <w:color w:val="auto"/>
        </w:rPr>
        <w:t>312-886-6066</w:t>
      </w:r>
    </w:p>
    <w:p w:rsidR="00EA0849" w:rsidRPr="00D20211" w:rsidP="008E47E6" w14:paraId="14F78241" w14:textId="77777777">
      <w:pPr>
        <w:pStyle w:val="Subtitle"/>
        <w:spacing w:after="0"/>
        <w:rPr>
          <w:color w:val="auto"/>
        </w:rPr>
      </w:pPr>
    </w:p>
    <w:p w:rsidR="00965C2A" w:rsidRPr="00D20211" w:rsidP="78D3267D" w14:paraId="76D937C3" w14:textId="61522F38">
      <w:pPr>
        <w:pStyle w:val="Subtitle"/>
        <w:spacing w:after="0"/>
        <w:rPr>
          <w:rFonts w:ascii="Arial" w:hAnsi="Arial"/>
          <w:color w:val="auto"/>
        </w:rPr>
      </w:pPr>
      <w:r w:rsidRPr="78D3267D">
        <w:rPr>
          <w:color w:val="auto"/>
        </w:rPr>
        <w:t>Date:</w:t>
      </w:r>
      <w:r w:rsidRPr="78D3267D" w:rsidR="38560489">
        <w:rPr>
          <w:color w:val="auto"/>
        </w:rPr>
        <w:t xml:space="preserve"> </w:t>
      </w:r>
      <w:r w:rsidR="00725CF1">
        <w:rPr>
          <w:color w:val="auto"/>
        </w:rPr>
        <w:t>0</w:t>
      </w:r>
      <w:r w:rsidR="00725CF1">
        <w:rPr>
          <w:color w:val="auto"/>
        </w:rPr>
        <w:t>7</w:t>
      </w:r>
      <w:r w:rsidR="001E1022">
        <w:rPr>
          <w:color w:val="auto"/>
        </w:rPr>
        <w:t>/</w:t>
      </w:r>
      <w:r w:rsidR="00725CF1">
        <w:rPr>
          <w:color w:val="auto"/>
        </w:rPr>
        <w:t>19</w:t>
      </w:r>
      <w:r w:rsidR="001E1022">
        <w:rPr>
          <w:color w:val="auto"/>
        </w:rPr>
        <w:t>/202</w:t>
      </w:r>
      <w:r w:rsidR="002C4C1F">
        <w:rPr>
          <w:color w:val="auto"/>
        </w:rPr>
        <w:t>3</w:t>
      </w:r>
      <w:r w:rsidRPr="78D3267D" w:rsidR="00480FC6">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3F26C6" w:rsidP="00ED66F1" w14:paraId="103B56B6" w14:textId="10AC15D0">
          <w:pPr>
            <w:pStyle w:val="TOC1"/>
            <w:rPr>
              <w:noProof/>
              <w:sz w:val="22"/>
              <w:szCs w:val="22"/>
            </w:rPr>
          </w:pPr>
          <w:r w:rsidRPr="00D20211">
            <w:fldChar w:fldCharType="begin"/>
          </w:r>
          <w:r w:rsidRPr="00D20211">
            <w:instrText xml:space="preserve"> TOC \o "1-3" \h \z \u </w:instrText>
          </w:r>
          <w:r w:rsidRPr="00D20211">
            <w:fldChar w:fldCharType="separate"/>
          </w:r>
          <w:hyperlink w:anchor="_Toc126589442" w:history="1">
            <w:r w:rsidRPr="00917E65">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_Toc126589442 \h </w:instrText>
            </w:r>
            <w:r>
              <w:rPr>
                <w:noProof/>
                <w:webHidden/>
              </w:rPr>
              <w:fldChar w:fldCharType="separate"/>
            </w:r>
            <w:r w:rsidR="00ED66F1">
              <w:rPr>
                <w:noProof/>
                <w:webHidden/>
              </w:rPr>
              <w:t>3</w:t>
            </w:r>
            <w:r>
              <w:rPr>
                <w:noProof/>
                <w:webHidden/>
              </w:rPr>
              <w:fldChar w:fldCharType="end"/>
            </w:r>
          </w:hyperlink>
        </w:p>
        <w:p w:rsidR="003F26C6" w:rsidP="00ED66F1" w14:paraId="4F7A4933" w14:textId="737D5754">
          <w:pPr>
            <w:pStyle w:val="TOC1"/>
            <w:rPr>
              <w:noProof/>
              <w:sz w:val="22"/>
              <w:szCs w:val="22"/>
            </w:rPr>
          </w:pPr>
          <w:hyperlink w:anchor="_Toc126589443" w:history="1">
            <w:r w:rsidRPr="00917E65">
              <w:rPr>
                <w:rStyle w:val="Hyperlink"/>
                <w:noProof/>
              </w:rPr>
              <w:t>A.2.  Purpose and Use of the Information Collection</w:t>
            </w:r>
            <w:r>
              <w:rPr>
                <w:noProof/>
                <w:webHidden/>
              </w:rPr>
              <w:tab/>
            </w:r>
            <w:r>
              <w:rPr>
                <w:noProof/>
                <w:webHidden/>
              </w:rPr>
              <w:fldChar w:fldCharType="begin"/>
            </w:r>
            <w:r>
              <w:rPr>
                <w:noProof/>
                <w:webHidden/>
              </w:rPr>
              <w:instrText xml:space="preserve"> PAGEREF _Toc126589443 \h </w:instrText>
            </w:r>
            <w:r>
              <w:rPr>
                <w:noProof/>
                <w:webHidden/>
              </w:rPr>
              <w:fldChar w:fldCharType="separate"/>
            </w:r>
            <w:r w:rsidR="00ED66F1">
              <w:rPr>
                <w:noProof/>
                <w:webHidden/>
              </w:rPr>
              <w:t>4</w:t>
            </w:r>
            <w:r>
              <w:rPr>
                <w:noProof/>
                <w:webHidden/>
              </w:rPr>
              <w:fldChar w:fldCharType="end"/>
            </w:r>
          </w:hyperlink>
        </w:p>
        <w:p w:rsidR="003F26C6" w:rsidP="00ED66F1" w14:paraId="21571580" w14:textId="4BB25C35">
          <w:pPr>
            <w:pStyle w:val="TOC1"/>
            <w:rPr>
              <w:noProof/>
              <w:sz w:val="22"/>
              <w:szCs w:val="22"/>
            </w:rPr>
          </w:pPr>
          <w:hyperlink w:anchor="_Toc126589444" w:history="1">
            <w:r w:rsidRPr="00917E65">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_Toc126589444 \h </w:instrText>
            </w:r>
            <w:r>
              <w:rPr>
                <w:noProof/>
                <w:webHidden/>
              </w:rPr>
              <w:fldChar w:fldCharType="separate"/>
            </w:r>
            <w:r w:rsidR="00ED66F1">
              <w:rPr>
                <w:noProof/>
                <w:webHidden/>
              </w:rPr>
              <w:t>7</w:t>
            </w:r>
            <w:r>
              <w:rPr>
                <w:noProof/>
                <w:webHidden/>
              </w:rPr>
              <w:fldChar w:fldCharType="end"/>
            </w:r>
          </w:hyperlink>
        </w:p>
        <w:p w:rsidR="003F26C6" w:rsidP="00ED66F1" w14:paraId="24E09F87" w14:textId="0C387FB2">
          <w:pPr>
            <w:pStyle w:val="TOC1"/>
            <w:rPr>
              <w:noProof/>
              <w:sz w:val="22"/>
              <w:szCs w:val="22"/>
            </w:rPr>
          </w:pPr>
          <w:hyperlink w:anchor="_Toc126589445" w:history="1">
            <w:r w:rsidRPr="00917E65">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_Toc126589445 \h </w:instrText>
            </w:r>
            <w:r>
              <w:rPr>
                <w:noProof/>
                <w:webHidden/>
              </w:rPr>
              <w:fldChar w:fldCharType="separate"/>
            </w:r>
            <w:r w:rsidR="00ED66F1">
              <w:rPr>
                <w:noProof/>
                <w:webHidden/>
              </w:rPr>
              <w:t>8</w:t>
            </w:r>
            <w:r>
              <w:rPr>
                <w:noProof/>
                <w:webHidden/>
              </w:rPr>
              <w:fldChar w:fldCharType="end"/>
            </w:r>
          </w:hyperlink>
        </w:p>
        <w:p w:rsidR="003F26C6" w:rsidP="00ED66F1" w14:paraId="5854B138" w14:textId="27BE1005">
          <w:pPr>
            <w:pStyle w:val="TOC1"/>
            <w:rPr>
              <w:noProof/>
              <w:sz w:val="22"/>
              <w:szCs w:val="22"/>
            </w:rPr>
          </w:pPr>
          <w:hyperlink w:anchor="_Toc126589446" w:history="1">
            <w:r w:rsidRPr="00917E65">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_Toc126589446 \h </w:instrText>
            </w:r>
            <w:r>
              <w:rPr>
                <w:noProof/>
                <w:webHidden/>
              </w:rPr>
              <w:fldChar w:fldCharType="separate"/>
            </w:r>
            <w:r w:rsidR="00ED66F1">
              <w:rPr>
                <w:noProof/>
                <w:webHidden/>
              </w:rPr>
              <w:t>9</w:t>
            </w:r>
            <w:r>
              <w:rPr>
                <w:noProof/>
                <w:webHidden/>
              </w:rPr>
              <w:fldChar w:fldCharType="end"/>
            </w:r>
          </w:hyperlink>
        </w:p>
        <w:p w:rsidR="003F26C6" w:rsidP="00ED66F1" w14:paraId="441F8D81" w14:textId="67FA2B8A">
          <w:pPr>
            <w:pStyle w:val="TOC1"/>
            <w:rPr>
              <w:noProof/>
              <w:sz w:val="22"/>
              <w:szCs w:val="22"/>
            </w:rPr>
          </w:pPr>
          <w:hyperlink w:anchor="_Toc126589447" w:history="1">
            <w:r w:rsidRPr="00917E65">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_Toc126589447 \h </w:instrText>
            </w:r>
            <w:r>
              <w:rPr>
                <w:noProof/>
                <w:webHidden/>
              </w:rPr>
              <w:fldChar w:fldCharType="separate"/>
            </w:r>
            <w:r w:rsidR="00ED66F1">
              <w:rPr>
                <w:noProof/>
                <w:webHidden/>
              </w:rPr>
              <w:t>9</w:t>
            </w:r>
            <w:r>
              <w:rPr>
                <w:noProof/>
                <w:webHidden/>
              </w:rPr>
              <w:fldChar w:fldCharType="end"/>
            </w:r>
          </w:hyperlink>
        </w:p>
        <w:p w:rsidR="003F26C6" w:rsidP="00ED66F1" w14:paraId="098477BE" w14:textId="082D972F">
          <w:pPr>
            <w:pStyle w:val="TOC1"/>
            <w:rPr>
              <w:noProof/>
              <w:sz w:val="22"/>
              <w:szCs w:val="22"/>
            </w:rPr>
          </w:pPr>
          <w:hyperlink w:anchor="_Toc126589448" w:history="1">
            <w:r w:rsidRPr="00917E65">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_Toc126589448 \h </w:instrText>
            </w:r>
            <w:r>
              <w:rPr>
                <w:noProof/>
                <w:webHidden/>
              </w:rPr>
              <w:fldChar w:fldCharType="separate"/>
            </w:r>
            <w:r w:rsidR="00ED66F1">
              <w:rPr>
                <w:noProof/>
                <w:webHidden/>
              </w:rPr>
              <w:t>9</w:t>
            </w:r>
            <w:r>
              <w:rPr>
                <w:noProof/>
                <w:webHidden/>
              </w:rPr>
              <w:fldChar w:fldCharType="end"/>
            </w:r>
          </w:hyperlink>
        </w:p>
        <w:p w:rsidR="003F26C6" w:rsidP="00ED66F1" w14:paraId="39F25A63" w14:textId="5E303B6F">
          <w:pPr>
            <w:pStyle w:val="TOC1"/>
            <w:rPr>
              <w:noProof/>
              <w:sz w:val="22"/>
              <w:szCs w:val="22"/>
            </w:rPr>
          </w:pPr>
          <w:hyperlink w:anchor="_Toc126589449" w:history="1">
            <w:r w:rsidRPr="00917E65">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_Toc126589449 \h </w:instrText>
            </w:r>
            <w:r>
              <w:rPr>
                <w:noProof/>
                <w:webHidden/>
              </w:rPr>
              <w:fldChar w:fldCharType="separate"/>
            </w:r>
            <w:r w:rsidR="00ED66F1">
              <w:rPr>
                <w:noProof/>
                <w:webHidden/>
              </w:rPr>
              <w:t>9</w:t>
            </w:r>
            <w:r>
              <w:rPr>
                <w:noProof/>
                <w:webHidden/>
              </w:rPr>
              <w:fldChar w:fldCharType="end"/>
            </w:r>
          </w:hyperlink>
        </w:p>
        <w:p w:rsidR="003F26C6" w:rsidP="00ED66F1" w14:paraId="218261CE" w14:textId="07A0C342">
          <w:pPr>
            <w:pStyle w:val="TOC1"/>
            <w:rPr>
              <w:noProof/>
              <w:sz w:val="22"/>
              <w:szCs w:val="22"/>
            </w:rPr>
          </w:pPr>
          <w:hyperlink w:anchor="_Toc126589450" w:history="1">
            <w:r w:rsidRPr="00917E65">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_Toc126589450 \h </w:instrText>
            </w:r>
            <w:r>
              <w:rPr>
                <w:noProof/>
                <w:webHidden/>
              </w:rPr>
              <w:fldChar w:fldCharType="separate"/>
            </w:r>
            <w:r w:rsidR="00ED66F1">
              <w:rPr>
                <w:noProof/>
                <w:webHidden/>
              </w:rPr>
              <w:t>10</w:t>
            </w:r>
            <w:r>
              <w:rPr>
                <w:noProof/>
                <w:webHidden/>
              </w:rPr>
              <w:fldChar w:fldCharType="end"/>
            </w:r>
          </w:hyperlink>
        </w:p>
        <w:p w:rsidR="003F26C6" w:rsidP="00ED66F1" w14:paraId="21EEED83" w14:textId="656D2FB6">
          <w:pPr>
            <w:pStyle w:val="TOC1"/>
            <w:rPr>
              <w:noProof/>
              <w:sz w:val="22"/>
              <w:szCs w:val="22"/>
            </w:rPr>
          </w:pPr>
          <w:hyperlink w:anchor="_Toc126589451" w:history="1">
            <w:r w:rsidRPr="00917E65">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_Toc126589451 \h </w:instrText>
            </w:r>
            <w:r>
              <w:rPr>
                <w:noProof/>
                <w:webHidden/>
              </w:rPr>
              <w:fldChar w:fldCharType="separate"/>
            </w:r>
            <w:r w:rsidR="00ED66F1">
              <w:rPr>
                <w:noProof/>
                <w:webHidden/>
              </w:rPr>
              <w:t>10</w:t>
            </w:r>
            <w:r>
              <w:rPr>
                <w:noProof/>
                <w:webHidden/>
              </w:rPr>
              <w:fldChar w:fldCharType="end"/>
            </w:r>
          </w:hyperlink>
        </w:p>
        <w:p w:rsidR="003F26C6" w:rsidP="00ED66F1" w14:paraId="661A6D9D" w14:textId="679F89D4">
          <w:pPr>
            <w:pStyle w:val="TOC1"/>
            <w:rPr>
              <w:noProof/>
              <w:sz w:val="22"/>
              <w:szCs w:val="22"/>
            </w:rPr>
          </w:pPr>
          <w:hyperlink w:anchor="_Toc126589452" w:history="1">
            <w:r w:rsidRPr="00917E65">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_Toc126589452 \h </w:instrText>
            </w:r>
            <w:r>
              <w:rPr>
                <w:noProof/>
                <w:webHidden/>
              </w:rPr>
              <w:fldChar w:fldCharType="separate"/>
            </w:r>
            <w:r w:rsidR="00ED66F1">
              <w:rPr>
                <w:noProof/>
                <w:webHidden/>
              </w:rPr>
              <w:t>12</w:t>
            </w:r>
            <w:r>
              <w:rPr>
                <w:noProof/>
                <w:webHidden/>
              </w:rPr>
              <w:fldChar w:fldCharType="end"/>
            </w:r>
          </w:hyperlink>
        </w:p>
        <w:p w:rsidR="003F26C6" w:rsidP="00ED66F1" w14:paraId="1EEC14A0" w14:textId="2822CDD7">
          <w:pPr>
            <w:pStyle w:val="TOC1"/>
            <w:rPr>
              <w:noProof/>
              <w:sz w:val="22"/>
              <w:szCs w:val="22"/>
            </w:rPr>
          </w:pPr>
          <w:hyperlink w:anchor="_Toc126589453" w:history="1">
            <w:r w:rsidRPr="00917E65">
              <w:rPr>
                <w:rStyle w:val="Hyperlink"/>
                <w:noProof/>
              </w:rPr>
              <w:t>A.12.  Estimates of Annualized Burden Hours and Costs</w:t>
            </w:r>
            <w:r>
              <w:rPr>
                <w:noProof/>
                <w:webHidden/>
              </w:rPr>
              <w:tab/>
            </w:r>
            <w:r>
              <w:rPr>
                <w:noProof/>
                <w:webHidden/>
              </w:rPr>
              <w:fldChar w:fldCharType="begin"/>
            </w:r>
            <w:r>
              <w:rPr>
                <w:noProof/>
                <w:webHidden/>
              </w:rPr>
              <w:instrText xml:space="preserve"> PAGEREF _Toc126589453 \h </w:instrText>
            </w:r>
            <w:r>
              <w:rPr>
                <w:noProof/>
                <w:webHidden/>
              </w:rPr>
              <w:fldChar w:fldCharType="separate"/>
            </w:r>
            <w:r w:rsidR="00ED66F1">
              <w:rPr>
                <w:noProof/>
                <w:webHidden/>
              </w:rPr>
              <w:t>12</w:t>
            </w:r>
            <w:r>
              <w:rPr>
                <w:noProof/>
                <w:webHidden/>
              </w:rPr>
              <w:fldChar w:fldCharType="end"/>
            </w:r>
          </w:hyperlink>
        </w:p>
        <w:p w:rsidR="003F26C6" w:rsidP="00ED66F1" w14:paraId="61E009E0" w14:textId="6E866D62">
          <w:pPr>
            <w:pStyle w:val="TOC1"/>
            <w:rPr>
              <w:noProof/>
              <w:sz w:val="22"/>
              <w:szCs w:val="22"/>
            </w:rPr>
          </w:pPr>
          <w:hyperlink w:anchor="_Toc126589454" w:history="1">
            <w:r w:rsidRPr="00917E65">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_Toc126589454 \h </w:instrText>
            </w:r>
            <w:r>
              <w:rPr>
                <w:noProof/>
                <w:webHidden/>
              </w:rPr>
              <w:fldChar w:fldCharType="separate"/>
            </w:r>
            <w:r w:rsidR="00ED66F1">
              <w:rPr>
                <w:noProof/>
                <w:webHidden/>
              </w:rPr>
              <w:t>16</w:t>
            </w:r>
            <w:r>
              <w:rPr>
                <w:noProof/>
                <w:webHidden/>
              </w:rPr>
              <w:fldChar w:fldCharType="end"/>
            </w:r>
          </w:hyperlink>
        </w:p>
        <w:p w:rsidR="003F26C6" w:rsidP="00ED66F1" w14:paraId="6AE7C8B7" w14:textId="361F449C">
          <w:pPr>
            <w:pStyle w:val="TOC1"/>
            <w:rPr>
              <w:noProof/>
              <w:sz w:val="22"/>
              <w:szCs w:val="22"/>
            </w:rPr>
          </w:pPr>
          <w:hyperlink w:anchor="_Toc126589455" w:history="1">
            <w:r w:rsidRPr="00917E65">
              <w:rPr>
                <w:rStyle w:val="Hyperlink"/>
                <w:noProof/>
              </w:rPr>
              <w:t>A.14.  Annualized Cost to the Federal Government</w:t>
            </w:r>
            <w:r>
              <w:rPr>
                <w:noProof/>
                <w:webHidden/>
              </w:rPr>
              <w:tab/>
            </w:r>
            <w:r>
              <w:rPr>
                <w:noProof/>
                <w:webHidden/>
              </w:rPr>
              <w:fldChar w:fldCharType="begin"/>
            </w:r>
            <w:r>
              <w:rPr>
                <w:noProof/>
                <w:webHidden/>
              </w:rPr>
              <w:instrText xml:space="preserve"> PAGEREF _Toc126589455 \h </w:instrText>
            </w:r>
            <w:r>
              <w:rPr>
                <w:noProof/>
                <w:webHidden/>
              </w:rPr>
              <w:fldChar w:fldCharType="separate"/>
            </w:r>
            <w:r w:rsidR="00ED66F1">
              <w:rPr>
                <w:noProof/>
                <w:webHidden/>
              </w:rPr>
              <w:t>16</w:t>
            </w:r>
            <w:r>
              <w:rPr>
                <w:noProof/>
                <w:webHidden/>
              </w:rPr>
              <w:fldChar w:fldCharType="end"/>
            </w:r>
          </w:hyperlink>
        </w:p>
        <w:p w:rsidR="003F26C6" w:rsidP="00ED66F1" w14:paraId="590BF55D" w14:textId="237A6DA7">
          <w:pPr>
            <w:pStyle w:val="TOC1"/>
            <w:rPr>
              <w:noProof/>
              <w:sz w:val="22"/>
              <w:szCs w:val="22"/>
            </w:rPr>
          </w:pPr>
          <w:hyperlink w:anchor="_Toc126589456" w:history="1">
            <w:r w:rsidRPr="00917E65">
              <w:rPr>
                <w:rStyle w:val="Hyperlink"/>
                <w:noProof/>
              </w:rPr>
              <w:t>A.15.  Explanation for Program Changes or Adjustments</w:t>
            </w:r>
            <w:r>
              <w:rPr>
                <w:noProof/>
                <w:webHidden/>
              </w:rPr>
              <w:tab/>
            </w:r>
            <w:r>
              <w:rPr>
                <w:noProof/>
                <w:webHidden/>
              </w:rPr>
              <w:fldChar w:fldCharType="begin"/>
            </w:r>
            <w:r>
              <w:rPr>
                <w:noProof/>
                <w:webHidden/>
              </w:rPr>
              <w:instrText xml:space="preserve"> PAGEREF _Toc126589456 \h </w:instrText>
            </w:r>
            <w:r>
              <w:rPr>
                <w:noProof/>
                <w:webHidden/>
              </w:rPr>
              <w:fldChar w:fldCharType="separate"/>
            </w:r>
            <w:r w:rsidR="00ED66F1">
              <w:rPr>
                <w:noProof/>
                <w:webHidden/>
              </w:rPr>
              <w:t>17</w:t>
            </w:r>
            <w:r>
              <w:rPr>
                <w:noProof/>
                <w:webHidden/>
              </w:rPr>
              <w:fldChar w:fldCharType="end"/>
            </w:r>
          </w:hyperlink>
        </w:p>
        <w:p w:rsidR="003F26C6" w:rsidP="00ED66F1" w14:paraId="3AD0C561" w14:textId="6897DFD3">
          <w:pPr>
            <w:pStyle w:val="TOC1"/>
            <w:rPr>
              <w:noProof/>
              <w:sz w:val="22"/>
              <w:szCs w:val="22"/>
            </w:rPr>
          </w:pPr>
          <w:hyperlink w:anchor="_Toc126589457" w:history="1">
            <w:r w:rsidRPr="00917E65">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_Toc126589457 \h </w:instrText>
            </w:r>
            <w:r>
              <w:rPr>
                <w:noProof/>
                <w:webHidden/>
              </w:rPr>
              <w:fldChar w:fldCharType="separate"/>
            </w:r>
            <w:r w:rsidR="00ED66F1">
              <w:rPr>
                <w:noProof/>
                <w:webHidden/>
              </w:rPr>
              <w:t>19</w:t>
            </w:r>
            <w:r>
              <w:rPr>
                <w:noProof/>
                <w:webHidden/>
              </w:rPr>
              <w:fldChar w:fldCharType="end"/>
            </w:r>
          </w:hyperlink>
        </w:p>
        <w:p w:rsidR="003F26C6" w:rsidP="00ED66F1" w14:paraId="7630F6D9" w14:textId="558168A6">
          <w:pPr>
            <w:pStyle w:val="TOC1"/>
            <w:rPr>
              <w:noProof/>
              <w:sz w:val="22"/>
              <w:szCs w:val="22"/>
            </w:rPr>
          </w:pPr>
          <w:hyperlink w:anchor="_Toc126589458" w:history="1">
            <w:r w:rsidRPr="00917E65">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_Toc126589458 \h </w:instrText>
            </w:r>
            <w:r>
              <w:rPr>
                <w:noProof/>
                <w:webHidden/>
              </w:rPr>
              <w:fldChar w:fldCharType="separate"/>
            </w:r>
            <w:r w:rsidR="00ED66F1">
              <w:rPr>
                <w:noProof/>
                <w:webHidden/>
              </w:rPr>
              <w:t>19</w:t>
            </w:r>
            <w:r>
              <w:rPr>
                <w:noProof/>
                <w:webHidden/>
              </w:rPr>
              <w:fldChar w:fldCharType="end"/>
            </w:r>
          </w:hyperlink>
        </w:p>
        <w:p w:rsidR="003F26C6" w:rsidP="00ED66F1" w14:paraId="4F7AD027" w14:textId="025E575F">
          <w:pPr>
            <w:pStyle w:val="TOC1"/>
            <w:rPr>
              <w:noProof/>
              <w:sz w:val="22"/>
              <w:szCs w:val="22"/>
            </w:rPr>
          </w:pPr>
          <w:hyperlink w:anchor="_Toc126589459" w:history="1">
            <w:r w:rsidRPr="00917E65">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_Toc126589459 \h </w:instrText>
            </w:r>
            <w:r>
              <w:rPr>
                <w:noProof/>
                <w:webHidden/>
              </w:rPr>
              <w:fldChar w:fldCharType="separate"/>
            </w:r>
            <w:r w:rsidR="00ED66F1">
              <w:rPr>
                <w:noProof/>
                <w:webHidden/>
              </w:rPr>
              <w:t>19</w:t>
            </w:r>
            <w:r>
              <w:rPr>
                <w:noProof/>
                <w:webHidden/>
              </w:rPr>
              <w:fldChar w:fldCharType="end"/>
            </w:r>
          </w:hyperlink>
        </w:p>
        <w:p w:rsidR="003F26C6" w:rsidP="00ED66F1" w14:paraId="3590429B" w14:textId="2572829D">
          <w:pPr>
            <w:pStyle w:val="TOC1"/>
            <w:rPr>
              <w:noProof/>
              <w:sz w:val="22"/>
              <w:szCs w:val="22"/>
            </w:rPr>
          </w:pPr>
          <w:hyperlink w:anchor="_Toc126589460" w:history="1">
            <w:r w:rsidRPr="00917E65">
              <w:rPr>
                <w:rStyle w:val="Hyperlink"/>
                <w:rFonts w:ascii="Cambria" w:hAnsi="Cambria"/>
                <w:noProof/>
              </w:rPr>
              <w:t>References</w:t>
            </w:r>
            <w:r>
              <w:rPr>
                <w:noProof/>
                <w:webHidden/>
              </w:rPr>
              <w:tab/>
            </w:r>
            <w:r>
              <w:rPr>
                <w:noProof/>
                <w:webHidden/>
              </w:rPr>
              <w:fldChar w:fldCharType="begin"/>
            </w:r>
            <w:r>
              <w:rPr>
                <w:noProof/>
                <w:webHidden/>
              </w:rPr>
              <w:instrText xml:space="preserve"> PAGEREF _Toc126589460 \h </w:instrText>
            </w:r>
            <w:r>
              <w:rPr>
                <w:noProof/>
                <w:webHidden/>
              </w:rPr>
              <w:fldChar w:fldCharType="separate"/>
            </w:r>
            <w:r w:rsidR="00ED66F1">
              <w:rPr>
                <w:noProof/>
                <w:webHidden/>
              </w:rPr>
              <w:t>20</w:t>
            </w:r>
            <w:r>
              <w:rPr>
                <w:noProof/>
                <w:webHidden/>
              </w:rPr>
              <w:fldChar w:fldCharType="end"/>
            </w:r>
          </w:hyperlink>
        </w:p>
        <w:p w:rsidR="009B765E" w:rsidRPr="00D20211" w14:paraId="032A377A" w14:textId="34B0A034">
          <w:r w:rsidRPr="00D20211">
            <w:rPr>
              <w:b/>
              <w:bCs/>
              <w:noProof/>
            </w:rPr>
            <w:fldChar w:fldCharType="end"/>
          </w:r>
        </w:p>
      </w:sdtContent>
    </w:sdt>
    <w:p w:rsidR="00BA2DBE" w:rsidRPr="00D20211" w14:paraId="031BBD7F" w14:textId="77777777">
      <w:pPr>
        <w:spacing w:after="200" w:line="276" w:lineRule="auto"/>
        <w:rPr>
          <w:rFonts w:eastAsiaTheme="majorEastAsia" w:cs="Arial"/>
          <w:b/>
          <w:bCs/>
          <w:sz w:val="26"/>
          <w:szCs w:val="26"/>
        </w:rPr>
      </w:pPr>
    </w:p>
    <w:bookmarkEnd w:id="0"/>
    <w:bookmarkEnd w:id="1"/>
    <w:p w:rsidR="00480FC6" w:rsidRPr="00D20211" w14:paraId="5A416702" w14:textId="77777777">
      <w:r w:rsidRPr="00D20211">
        <w:br w:type="page"/>
      </w:r>
    </w:p>
    <w:p w:rsidR="00BE4AAD" w:rsidP="00725CF1" w14:paraId="3441CD13" w14:textId="7DF06484">
      <w:pPr>
        <w:pBdr>
          <w:bottom w:val="single" w:sz="4" w:space="1" w:color="auto"/>
        </w:pBdr>
      </w:pPr>
      <w:r>
        <w:rPr>
          <w:noProof/>
          <w:szCs w:val="2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666750</wp:posOffset>
                </wp:positionV>
                <wp:extent cx="5924550" cy="4591050"/>
                <wp:effectExtent l="0" t="0" r="19050" b="19050"/>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4591050"/>
                        </a:xfrm>
                        <a:prstGeom prst="rect">
                          <a:avLst/>
                        </a:prstGeom>
                        <a:solidFill>
                          <a:srgbClr val="FFFFFF"/>
                        </a:solidFill>
                        <a:ln w="9525">
                          <a:solidFill>
                            <a:srgbClr val="000000"/>
                          </a:solidFill>
                          <a:miter lim="800000"/>
                          <a:headEnd/>
                          <a:tailEnd/>
                        </a:ln>
                      </wps:spPr>
                      <wps:txbx>
                        <w:txbxContent>
                          <w:p w:rsidR="00AB528C" w:rsidRPr="00A051FA" w:rsidP="00AB528C" w14:textId="77777777">
                            <w:pPr>
                              <w:pStyle w:val="Style1"/>
                              <w:spacing w:line="240" w:lineRule="auto"/>
                              <w:rPr>
                                <w:rFonts w:asciiTheme="minorHAnsi" w:hAnsiTheme="minorHAnsi" w:cstheme="minorHAnsi"/>
                                <w:b/>
                                <w:sz w:val="24"/>
                                <w:szCs w:val="24"/>
                              </w:rPr>
                            </w:pPr>
                            <w:r w:rsidRPr="00A051FA">
                              <w:rPr>
                                <w:rFonts w:asciiTheme="minorHAnsi" w:hAnsiTheme="minorHAnsi" w:cstheme="minorHAnsi"/>
                                <w:b/>
                                <w:sz w:val="24"/>
                                <w:szCs w:val="24"/>
                              </w:rPr>
                              <w:t>Goal</w:t>
                            </w:r>
                            <w:r>
                              <w:rPr>
                                <w:rFonts w:asciiTheme="minorHAnsi" w:hAnsiTheme="minorHAnsi" w:cstheme="minorHAnsi"/>
                                <w:b/>
                                <w:sz w:val="24"/>
                                <w:szCs w:val="24"/>
                              </w:rPr>
                              <w:t xml:space="preserve"> of study</w:t>
                            </w:r>
                            <w:r w:rsidRPr="00A051FA">
                              <w:rPr>
                                <w:rFonts w:asciiTheme="minorHAnsi" w:hAnsiTheme="minorHAnsi" w:cstheme="minorHAnsi"/>
                                <w:b/>
                                <w:sz w:val="24"/>
                                <w:szCs w:val="24"/>
                              </w:rPr>
                              <w:t>:</w:t>
                            </w:r>
                            <w:r w:rsidRPr="00A051FA">
                              <w:rPr>
                                <w:rFonts w:asciiTheme="minorHAnsi" w:hAnsiTheme="minorHAnsi" w:cstheme="minorHAnsi"/>
                                <w:sz w:val="24"/>
                                <w:szCs w:val="24"/>
                              </w:rPr>
                              <w:t xml:space="preserve"> </w:t>
                            </w:r>
                            <w:r>
                              <w:rPr>
                                <w:rFonts w:asciiTheme="minorHAnsi" w:hAnsiTheme="minorHAnsi" w:cstheme="minorHAnsi"/>
                                <w:sz w:val="24"/>
                                <w:szCs w:val="24"/>
                              </w:rPr>
                              <w:t xml:space="preserve">The goal of the information collection </w:t>
                            </w:r>
                            <w:bookmarkStart w:id="3" w:name="_Hlk140657179"/>
                            <w:r>
                              <w:rPr>
                                <w:rFonts w:asciiTheme="minorHAnsi" w:hAnsiTheme="minorHAnsi" w:cstheme="minorHAnsi"/>
                                <w:sz w:val="24"/>
                                <w:szCs w:val="24"/>
                              </w:rPr>
                              <w:t xml:space="preserve">is to collect participant training information, such as classroom and conference registration and self-assessment related to environmental health and land reuse course content develop by ATSDR. </w:t>
                            </w:r>
                            <w:bookmarkEnd w:id="3"/>
                          </w:p>
                          <w:p w:rsidR="00AB528C" w:rsidRPr="00A051FA" w:rsidP="00AB528C" w14:textId="77777777">
                            <w:pPr>
                              <w:pStyle w:val="Style1"/>
                              <w:spacing w:line="240" w:lineRule="auto"/>
                              <w:rPr>
                                <w:rFonts w:asciiTheme="minorHAnsi" w:hAnsiTheme="minorHAnsi" w:cstheme="minorHAnsi"/>
                                <w:b/>
                                <w:sz w:val="24"/>
                                <w:szCs w:val="24"/>
                              </w:rPr>
                            </w:pPr>
                            <w:r>
                              <w:rPr>
                                <w:rFonts w:asciiTheme="minorHAnsi" w:hAnsiTheme="minorHAnsi" w:cstheme="minorHAnsi"/>
                                <w:b/>
                                <w:sz w:val="24"/>
                                <w:szCs w:val="24"/>
                              </w:rPr>
                              <w:t>Intended use of resulting data:</w:t>
                            </w:r>
                            <w:r w:rsidRPr="00A051FA">
                              <w:rPr>
                                <w:rFonts w:asciiTheme="minorHAnsi" w:hAnsiTheme="minorHAnsi" w:cstheme="minorHAnsi"/>
                                <w:sz w:val="24"/>
                                <w:szCs w:val="24"/>
                              </w:rPr>
                              <w:t xml:space="preserve"> </w:t>
                            </w:r>
                            <w:r>
                              <w:rPr>
                                <w:rFonts w:asciiTheme="minorHAnsi" w:hAnsiTheme="minorHAnsi" w:cstheme="minorHAnsi"/>
                                <w:sz w:val="24"/>
                                <w:szCs w:val="24"/>
                              </w:rPr>
                              <w:t xml:space="preserve">ATSDR will use data from this information collection to assess the impact of participation in the certificate courses, such as increased capacity to perform work. Ultimately, ATSDR is interested in long-term benefits of the certificate courses, such as state health partners engaging more frequently in land reuse and redevelopments projects. </w:t>
                            </w:r>
                          </w:p>
                          <w:p w:rsidR="00AB528C" w:rsidP="00AB528C" w14:textId="77777777">
                            <w:pPr>
                              <w:pStyle w:val="Style1"/>
                              <w:spacing w:line="240" w:lineRule="auto"/>
                              <w:rPr>
                                <w:rFonts w:asciiTheme="minorHAnsi" w:hAnsiTheme="minorHAnsi" w:cstheme="minorHAnsi"/>
                                <w:sz w:val="24"/>
                                <w:szCs w:val="24"/>
                              </w:rPr>
                            </w:pPr>
                            <w:r>
                              <w:rPr>
                                <w:rFonts w:asciiTheme="minorHAnsi" w:hAnsiTheme="minorHAnsi" w:cstheme="minorHAnsi"/>
                                <w:b/>
                                <w:sz w:val="24"/>
                                <w:szCs w:val="24"/>
                              </w:rPr>
                              <w:t>Methods to be used to co</w:t>
                            </w:r>
                            <w:r w:rsidRPr="00A051FA">
                              <w:rPr>
                                <w:rFonts w:asciiTheme="minorHAnsi" w:hAnsiTheme="minorHAnsi" w:cstheme="minorHAnsi"/>
                                <w:b/>
                                <w:sz w:val="24"/>
                                <w:szCs w:val="24"/>
                              </w:rPr>
                              <w:t>llect data:</w:t>
                            </w:r>
                            <w:r w:rsidRPr="00A051FA">
                              <w:rPr>
                                <w:rFonts w:asciiTheme="minorHAnsi" w:hAnsiTheme="minorHAnsi" w:cstheme="minorHAnsi"/>
                                <w:sz w:val="24"/>
                                <w:szCs w:val="24"/>
                              </w:rPr>
                              <w:t xml:space="preserve"> </w:t>
                            </w:r>
                            <w:r>
                              <w:rPr>
                                <w:rFonts w:asciiTheme="minorHAnsi" w:hAnsiTheme="minorHAnsi" w:cstheme="minorHAnsi"/>
                                <w:sz w:val="24"/>
                                <w:szCs w:val="24"/>
                              </w:rPr>
                              <w:t>ATSDR will use an online secure web application, Research Electronic Data Capture (REDCap), to collect standardized data such as self-assessments after each course module. For classroom course registration, ATSDR will provide a REDCap link on an ATSDR website or through email. Otherwise, participants will register for training sessions using conference portals. Privacy Act opt-out forms will be administered hardcopy and in-person at trainings by the ATSDR course director.</w:t>
                            </w:r>
                          </w:p>
                          <w:p w:rsidR="00AB528C" w:rsidRPr="00A051FA" w:rsidP="00AB528C" w14:textId="77777777">
                            <w:pPr>
                              <w:pStyle w:val="Style1"/>
                              <w:spacing w:line="240" w:lineRule="auto"/>
                              <w:rPr>
                                <w:rFonts w:asciiTheme="minorHAnsi" w:hAnsiTheme="minorHAnsi" w:cstheme="minorHAnsi"/>
                                <w:sz w:val="24"/>
                                <w:szCs w:val="24"/>
                              </w:rPr>
                            </w:pPr>
                            <w:r>
                              <w:rPr>
                                <w:rFonts w:asciiTheme="minorHAnsi" w:hAnsiTheme="minorHAnsi" w:cstheme="minorHAnsi"/>
                                <w:b/>
                                <w:sz w:val="24"/>
                                <w:szCs w:val="24"/>
                              </w:rPr>
                              <w:t>S</w:t>
                            </w:r>
                            <w:r w:rsidRPr="00A051FA">
                              <w:rPr>
                                <w:rFonts w:asciiTheme="minorHAnsi" w:hAnsiTheme="minorHAnsi" w:cstheme="minorHAnsi"/>
                                <w:b/>
                                <w:sz w:val="24"/>
                                <w:szCs w:val="24"/>
                              </w:rPr>
                              <w:t>ubpopulation to be studied:</w:t>
                            </w:r>
                            <w:r w:rsidRPr="00A051FA">
                              <w:rPr>
                                <w:rFonts w:asciiTheme="minorHAnsi" w:hAnsiTheme="minorHAnsi" w:cstheme="minorHAnsi"/>
                                <w:sz w:val="24"/>
                                <w:szCs w:val="24"/>
                              </w:rPr>
                              <w:t xml:space="preserve"> </w:t>
                            </w:r>
                            <w:r>
                              <w:rPr>
                                <w:rFonts w:asciiTheme="minorHAnsi" w:hAnsiTheme="minorHAnsi" w:cstheme="minorHAnsi"/>
                                <w:sz w:val="24"/>
                                <w:szCs w:val="24"/>
                              </w:rPr>
                              <w:t xml:space="preserve">Environmental professionals; students of environmental science, public health, or planning; and local or state health agency professionals. </w:t>
                            </w:r>
                          </w:p>
                          <w:p w:rsidR="00AB528C" w:rsidRPr="00A051FA" w:rsidP="00AB528C" w14:textId="77777777">
                            <w:pPr>
                              <w:pStyle w:val="Style1"/>
                              <w:spacing w:line="240" w:lineRule="auto"/>
                              <w:rPr>
                                <w:rFonts w:asciiTheme="minorHAnsi" w:hAnsiTheme="minorHAnsi" w:cstheme="minorHAnsi"/>
                                <w:sz w:val="24"/>
                                <w:szCs w:val="24"/>
                              </w:rPr>
                            </w:pPr>
                            <w:r>
                              <w:rPr>
                                <w:rFonts w:asciiTheme="minorHAnsi" w:hAnsiTheme="minorHAnsi" w:cstheme="minorHAnsi"/>
                                <w:b/>
                                <w:sz w:val="24"/>
                                <w:szCs w:val="24"/>
                              </w:rPr>
                              <w:t>How data will be analyzed</w:t>
                            </w:r>
                            <w:r w:rsidRPr="00A051FA">
                              <w:rPr>
                                <w:rFonts w:asciiTheme="minorHAnsi" w:hAnsiTheme="minorHAnsi" w:cstheme="minorHAnsi"/>
                                <w:b/>
                                <w:sz w:val="24"/>
                                <w:szCs w:val="24"/>
                              </w:rPr>
                              <w:t xml:space="preserve">: </w:t>
                            </w:r>
                            <w:r>
                              <w:rPr>
                                <w:rFonts w:asciiTheme="minorHAnsi" w:hAnsiTheme="minorHAnsi" w:cstheme="minorHAnsi"/>
                                <w:b/>
                                <w:sz w:val="24"/>
                                <w:szCs w:val="24"/>
                              </w:rPr>
                              <w:t xml:space="preserve"> </w:t>
                            </w:r>
                            <w:r>
                              <w:rPr>
                                <w:rFonts w:asciiTheme="minorHAnsi" w:hAnsiTheme="minorHAnsi" w:cstheme="minorHAnsi"/>
                                <w:bCs/>
                                <w:sz w:val="24"/>
                                <w:szCs w:val="24"/>
                              </w:rPr>
                              <w:t xml:space="preserve">ATSDR ma use Excel or other spreadsheet software to characterize certificate course participants (e.g., by job title) and to summarize their feedback on the course content and effectiveness. </w:t>
                            </w:r>
                          </w:p>
                          <w:p w:rsidR="00AB528C" w:rsidRPr="00A051FA" w:rsidP="00AB528C" w14:textId="77777777">
                            <w:pPr>
                              <w:pStyle w:val="Style1"/>
                              <w:spacing w:line="240" w:lineRule="auto"/>
                              <w:rPr>
                                <w:rFonts w:asciiTheme="minorHAnsi" w:hAnsiTheme="minorHAnsi" w:cstheme="minorHAnsi"/>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5pt;height:361.5pt;margin-top:52.5pt;margin-left:-2.25pt;mso-height-percent:0;mso-height-relative:margin;mso-width-percent:0;mso-width-relative:margin;mso-wrap-distance-bottom:0;mso-wrap-distance-left:9pt;mso-wrap-distance-right:9pt;mso-wrap-distance-top:0;mso-wrap-style:square;position:absolute;visibility:visible;v-text-anchor:top;z-index:251661312">
                <v:textbox>
                  <w:txbxContent>
                    <w:p w:rsidR="00AB528C" w:rsidRPr="00A051FA" w:rsidP="00AB528C" w14:paraId="334F898D" w14:textId="77777777">
                      <w:pPr>
                        <w:pStyle w:val="Style1"/>
                        <w:spacing w:line="240" w:lineRule="auto"/>
                        <w:rPr>
                          <w:rFonts w:asciiTheme="minorHAnsi" w:hAnsiTheme="minorHAnsi" w:cstheme="minorHAnsi"/>
                          <w:b/>
                          <w:sz w:val="24"/>
                          <w:szCs w:val="24"/>
                        </w:rPr>
                      </w:pPr>
                      <w:r w:rsidRPr="00A051FA">
                        <w:rPr>
                          <w:rFonts w:asciiTheme="minorHAnsi" w:hAnsiTheme="minorHAnsi" w:cstheme="minorHAnsi"/>
                          <w:b/>
                          <w:sz w:val="24"/>
                          <w:szCs w:val="24"/>
                        </w:rPr>
                        <w:t>Goal</w:t>
                      </w:r>
                      <w:r>
                        <w:rPr>
                          <w:rFonts w:asciiTheme="minorHAnsi" w:hAnsiTheme="minorHAnsi" w:cstheme="minorHAnsi"/>
                          <w:b/>
                          <w:sz w:val="24"/>
                          <w:szCs w:val="24"/>
                        </w:rPr>
                        <w:t xml:space="preserve"> of study</w:t>
                      </w:r>
                      <w:r w:rsidRPr="00A051FA">
                        <w:rPr>
                          <w:rFonts w:asciiTheme="minorHAnsi" w:hAnsiTheme="minorHAnsi" w:cstheme="minorHAnsi"/>
                          <w:b/>
                          <w:sz w:val="24"/>
                          <w:szCs w:val="24"/>
                        </w:rPr>
                        <w:t>:</w:t>
                      </w:r>
                      <w:r w:rsidRPr="00A051FA">
                        <w:rPr>
                          <w:rFonts w:asciiTheme="minorHAnsi" w:hAnsiTheme="minorHAnsi" w:cstheme="minorHAnsi"/>
                          <w:sz w:val="24"/>
                          <w:szCs w:val="24"/>
                        </w:rPr>
                        <w:t xml:space="preserve"> </w:t>
                      </w:r>
                      <w:r>
                        <w:rPr>
                          <w:rFonts w:asciiTheme="minorHAnsi" w:hAnsiTheme="minorHAnsi" w:cstheme="minorHAnsi"/>
                          <w:sz w:val="24"/>
                          <w:szCs w:val="24"/>
                        </w:rPr>
                        <w:t xml:space="preserve">The goal of the information collection </w:t>
                      </w:r>
                      <w:bookmarkStart w:id="3" w:name="_Hlk140657179"/>
                      <w:r>
                        <w:rPr>
                          <w:rFonts w:asciiTheme="minorHAnsi" w:hAnsiTheme="minorHAnsi" w:cstheme="minorHAnsi"/>
                          <w:sz w:val="24"/>
                          <w:szCs w:val="24"/>
                        </w:rPr>
                        <w:t xml:space="preserve">is to collect participant training information, such as classroom and conference registration and self-assessment related to environmental health and land reuse course content develop by ATSDR. </w:t>
                      </w:r>
                      <w:bookmarkEnd w:id="3"/>
                    </w:p>
                    <w:p w:rsidR="00AB528C" w:rsidRPr="00A051FA" w:rsidP="00AB528C" w14:paraId="0D5CB341" w14:textId="77777777">
                      <w:pPr>
                        <w:pStyle w:val="Style1"/>
                        <w:spacing w:line="240" w:lineRule="auto"/>
                        <w:rPr>
                          <w:rFonts w:asciiTheme="minorHAnsi" w:hAnsiTheme="minorHAnsi" w:cstheme="minorHAnsi"/>
                          <w:b/>
                          <w:sz w:val="24"/>
                          <w:szCs w:val="24"/>
                        </w:rPr>
                      </w:pPr>
                      <w:r>
                        <w:rPr>
                          <w:rFonts w:asciiTheme="minorHAnsi" w:hAnsiTheme="minorHAnsi" w:cstheme="minorHAnsi"/>
                          <w:b/>
                          <w:sz w:val="24"/>
                          <w:szCs w:val="24"/>
                        </w:rPr>
                        <w:t>Intended use of resulting data:</w:t>
                      </w:r>
                      <w:r w:rsidRPr="00A051FA">
                        <w:rPr>
                          <w:rFonts w:asciiTheme="minorHAnsi" w:hAnsiTheme="minorHAnsi" w:cstheme="minorHAnsi"/>
                          <w:sz w:val="24"/>
                          <w:szCs w:val="24"/>
                        </w:rPr>
                        <w:t xml:space="preserve"> </w:t>
                      </w:r>
                      <w:r>
                        <w:rPr>
                          <w:rFonts w:asciiTheme="minorHAnsi" w:hAnsiTheme="minorHAnsi" w:cstheme="minorHAnsi"/>
                          <w:sz w:val="24"/>
                          <w:szCs w:val="24"/>
                        </w:rPr>
                        <w:t xml:space="preserve">ATSDR will use data from this information collection to assess the impact of participation in the certificate courses, such as increased capacity to perform work. Ultimately, ATSDR is interested in long-term benefits of the certificate courses, such as state health partners engaging more frequently in land reuse and redevelopments projects. </w:t>
                      </w:r>
                    </w:p>
                    <w:p w:rsidR="00AB528C" w:rsidP="00AB528C" w14:paraId="38556D9A" w14:textId="77777777">
                      <w:pPr>
                        <w:pStyle w:val="Style1"/>
                        <w:spacing w:line="240" w:lineRule="auto"/>
                        <w:rPr>
                          <w:rFonts w:asciiTheme="minorHAnsi" w:hAnsiTheme="minorHAnsi" w:cstheme="minorHAnsi"/>
                          <w:sz w:val="24"/>
                          <w:szCs w:val="24"/>
                        </w:rPr>
                      </w:pPr>
                      <w:r>
                        <w:rPr>
                          <w:rFonts w:asciiTheme="minorHAnsi" w:hAnsiTheme="minorHAnsi" w:cstheme="minorHAnsi"/>
                          <w:b/>
                          <w:sz w:val="24"/>
                          <w:szCs w:val="24"/>
                        </w:rPr>
                        <w:t>Methods to be used to co</w:t>
                      </w:r>
                      <w:r w:rsidRPr="00A051FA">
                        <w:rPr>
                          <w:rFonts w:asciiTheme="minorHAnsi" w:hAnsiTheme="minorHAnsi" w:cstheme="minorHAnsi"/>
                          <w:b/>
                          <w:sz w:val="24"/>
                          <w:szCs w:val="24"/>
                        </w:rPr>
                        <w:t>llect data:</w:t>
                      </w:r>
                      <w:r w:rsidRPr="00A051FA">
                        <w:rPr>
                          <w:rFonts w:asciiTheme="minorHAnsi" w:hAnsiTheme="minorHAnsi" w:cstheme="minorHAnsi"/>
                          <w:sz w:val="24"/>
                          <w:szCs w:val="24"/>
                        </w:rPr>
                        <w:t xml:space="preserve"> </w:t>
                      </w:r>
                      <w:r>
                        <w:rPr>
                          <w:rFonts w:asciiTheme="minorHAnsi" w:hAnsiTheme="minorHAnsi" w:cstheme="minorHAnsi"/>
                          <w:sz w:val="24"/>
                          <w:szCs w:val="24"/>
                        </w:rPr>
                        <w:t>ATSDR will use an online secure web application, Research Electronic Data Capture (REDCap), to collect standardized data such as self-assessments after each course module. For classroom course registration, ATSDR will provide a REDCap link on an ATSDR website or through email. Otherwise, participants will register for training sessions using conference portals. Privacy Act opt-out forms will be administered hardcopy and in-person at trainings by the ATSDR course director.</w:t>
                      </w:r>
                    </w:p>
                    <w:p w:rsidR="00AB528C" w:rsidRPr="00A051FA" w:rsidP="00AB528C" w14:paraId="405A6E22" w14:textId="77777777">
                      <w:pPr>
                        <w:pStyle w:val="Style1"/>
                        <w:spacing w:line="240" w:lineRule="auto"/>
                        <w:rPr>
                          <w:rFonts w:asciiTheme="minorHAnsi" w:hAnsiTheme="minorHAnsi" w:cstheme="minorHAnsi"/>
                          <w:sz w:val="24"/>
                          <w:szCs w:val="24"/>
                        </w:rPr>
                      </w:pPr>
                      <w:r>
                        <w:rPr>
                          <w:rFonts w:asciiTheme="minorHAnsi" w:hAnsiTheme="minorHAnsi" w:cstheme="minorHAnsi"/>
                          <w:b/>
                          <w:sz w:val="24"/>
                          <w:szCs w:val="24"/>
                        </w:rPr>
                        <w:t>S</w:t>
                      </w:r>
                      <w:r w:rsidRPr="00A051FA">
                        <w:rPr>
                          <w:rFonts w:asciiTheme="minorHAnsi" w:hAnsiTheme="minorHAnsi" w:cstheme="minorHAnsi"/>
                          <w:b/>
                          <w:sz w:val="24"/>
                          <w:szCs w:val="24"/>
                        </w:rPr>
                        <w:t>ubpopulation to be studied:</w:t>
                      </w:r>
                      <w:r w:rsidRPr="00A051FA">
                        <w:rPr>
                          <w:rFonts w:asciiTheme="minorHAnsi" w:hAnsiTheme="minorHAnsi" w:cstheme="minorHAnsi"/>
                          <w:sz w:val="24"/>
                          <w:szCs w:val="24"/>
                        </w:rPr>
                        <w:t xml:space="preserve"> </w:t>
                      </w:r>
                      <w:r>
                        <w:rPr>
                          <w:rFonts w:asciiTheme="minorHAnsi" w:hAnsiTheme="minorHAnsi" w:cstheme="minorHAnsi"/>
                          <w:sz w:val="24"/>
                          <w:szCs w:val="24"/>
                        </w:rPr>
                        <w:t xml:space="preserve">Environmental professionals; students of environmental science, public health, or planning; and local or state health agency professionals. </w:t>
                      </w:r>
                    </w:p>
                    <w:p w:rsidR="00AB528C" w:rsidRPr="00A051FA" w:rsidP="00AB528C" w14:paraId="683FE93D" w14:textId="77777777">
                      <w:pPr>
                        <w:pStyle w:val="Style1"/>
                        <w:spacing w:line="240" w:lineRule="auto"/>
                        <w:rPr>
                          <w:rFonts w:asciiTheme="minorHAnsi" w:hAnsiTheme="minorHAnsi" w:cstheme="minorHAnsi"/>
                          <w:sz w:val="24"/>
                          <w:szCs w:val="24"/>
                        </w:rPr>
                      </w:pPr>
                      <w:r>
                        <w:rPr>
                          <w:rFonts w:asciiTheme="minorHAnsi" w:hAnsiTheme="minorHAnsi" w:cstheme="minorHAnsi"/>
                          <w:b/>
                          <w:sz w:val="24"/>
                          <w:szCs w:val="24"/>
                        </w:rPr>
                        <w:t>How data will be analyzed</w:t>
                      </w:r>
                      <w:r w:rsidRPr="00A051FA">
                        <w:rPr>
                          <w:rFonts w:asciiTheme="minorHAnsi" w:hAnsiTheme="minorHAnsi" w:cstheme="minorHAnsi"/>
                          <w:b/>
                          <w:sz w:val="24"/>
                          <w:szCs w:val="24"/>
                        </w:rPr>
                        <w:t xml:space="preserve">: </w:t>
                      </w:r>
                      <w:r>
                        <w:rPr>
                          <w:rFonts w:asciiTheme="minorHAnsi" w:hAnsiTheme="minorHAnsi" w:cstheme="minorHAnsi"/>
                          <w:b/>
                          <w:sz w:val="24"/>
                          <w:szCs w:val="24"/>
                        </w:rPr>
                        <w:t xml:space="preserve"> </w:t>
                      </w:r>
                      <w:r>
                        <w:rPr>
                          <w:rFonts w:asciiTheme="minorHAnsi" w:hAnsiTheme="minorHAnsi" w:cstheme="minorHAnsi"/>
                          <w:bCs/>
                          <w:sz w:val="24"/>
                          <w:szCs w:val="24"/>
                        </w:rPr>
                        <w:t xml:space="preserve">ATSDR ma use Excel or other spreadsheet software to characterize certificate course participants (e.g., by job title) and to summarize their feedback on the course content and effectiveness. </w:t>
                      </w:r>
                    </w:p>
                    <w:p w:rsidR="00AB528C" w:rsidRPr="00A051FA" w:rsidP="00AB528C" w14:paraId="76E3AFA9" w14:textId="77777777">
                      <w:pPr>
                        <w:pStyle w:val="Style1"/>
                        <w:spacing w:line="240" w:lineRule="auto"/>
                        <w:rPr>
                          <w:rFonts w:asciiTheme="minorHAnsi" w:hAnsiTheme="minorHAnsi" w:cstheme="minorHAnsi"/>
                          <w:sz w:val="24"/>
                          <w:szCs w:val="24"/>
                        </w:rPr>
                      </w:pPr>
                    </w:p>
                  </w:txbxContent>
                </v:textbox>
                <w10:wrap type="topAndBottom"/>
              </v:shape>
            </w:pict>
          </mc:Fallback>
        </mc:AlternateContent>
      </w:r>
      <w:r w:rsidRPr="00D20211" w:rsidR="0024399D">
        <w:rPr>
          <w:rFonts w:asciiTheme="majorHAnsi" w:hAnsiTheme="majorHAnsi"/>
          <w:sz w:val="36"/>
          <w:szCs w:val="36"/>
        </w:rPr>
        <w:t>Part A. Justification</w:t>
      </w:r>
      <w:bookmarkStart w:id="4" w:name="_Toc1420970226"/>
      <w:bookmarkStart w:id="5" w:name="_Toc1950296447"/>
      <w:bookmarkStart w:id="6" w:name="_Toc126589442"/>
    </w:p>
    <w:p w:rsidR="00F74EAF" w:rsidP="78D3267D" w14:paraId="15E4DFC0" w14:textId="618D9761">
      <w:pPr>
        <w:pStyle w:val="Heading1"/>
        <w:pBdr>
          <w:bottom w:val="none" w:sz="0" w:space="0" w:color="auto"/>
        </w:pBdr>
        <w:rPr>
          <w:color w:val="auto"/>
        </w:rPr>
      </w:pPr>
    </w:p>
    <w:p w:rsidR="00B45002" w:rsidRPr="00D20211" w:rsidP="78D3267D" w14:paraId="6564C8A5" w14:textId="6F6BCEAE">
      <w:pPr>
        <w:pStyle w:val="Heading1"/>
        <w:pBdr>
          <w:bottom w:val="none" w:sz="0" w:space="0" w:color="auto"/>
        </w:pBdr>
        <w:rPr>
          <w:color w:val="auto"/>
        </w:rPr>
      </w:pPr>
      <w:r w:rsidRPr="78D3267D">
        <w:rPr>
          <w:color w:val="auto"/>
        </w:rPr>
        <w:t>A</w:t>
      </w:r>
      <w:r w:rsidRPr="78D3267D" w:rsidR="4BBA620F">
        <w:rPr>
          <w:color w:val="auto"/>
        </w:rPr>
        <w:t>.</w:t>
      </w:r>
      <w:r w:rsidRPr="78D3267D" w:rsidR="714C3602">
        <w:rPr>
          <w:color w:val="auto"/>
        </w:rPr>
        <w:t xml:space="preserve">1.  </w:t>
      </w:r>
      <w:r w:rsidRPr="78D3267D" w:rsidR="014C2D95">
        <w:rPr>
          <w:color w:val="auto"/>
        </w:rPr>
        <w:t>Circumstances Making the Collection of Information Necessary</w:t>
      </w:r>
      <w:bookmarkEnd w:id="4"/>
      <w:bookmarkEnd w:id="5"/>
      <w:bookmarkEnd w:id="6"/>
    </w:p>
    <w:p w:rsidR="002E694D" w:rsidP="00D57BC5" w14:paraId="5B33503F" w14:textId="2B777641">
      <w:pPr>
        <w:rPr>
          <w:sz w:val="24"/>
          <w:szCs w:val="24"/>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ge">
                  <wp:posOffset>14960600</wp:posOffset>
                </wp:positionV>
                <wp:extent cx="5930900" cy="4565650"/>
                <wp:effectExtent l="0" t="0" r="12700" b="254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4565650"/>
                        </a:xfrm>
                        <a:prstGeom prst="rect">
                          <a:avLst/>
                        </a:prstGeom>
                        <a:solidFill>
                          <a:srgbClr val="FFFFFF"/>
                        </a:solidFill>
                        <a:ln w="9525">
                          <a:solidFill>
                            <a:srgbClr val="000000"/>
                          </a:solidFill>
                          <a:miter lim="800000"/>
                          <a:headEnd/>
                          <a:tailEnd/>
                        </a:ln>
                      </wps:spPr>
                      <wps:txbx>
                        <w:txbxContent>
                          <w:p w:rsidR="005E043E" w:rsidRPr="005E043E" w:rsidP="005E043E" w14:textId="772527D1">
                            <w:pPr>
                              <w:spacing w:before="240" w:line="240" w:lineRule="auto"/>
                              <w:rPr>
                                <w:bCs/>
                                <w:sz w:val="24"/>
                                <w:szCs w:val="24"/>
                              </w:rPr>
                            </w:pPr>
                            <w:r w:rsidRPr="005E043E">
                              <w:rPr>
                                <w:b/>
                                <w:sz w:val="24"/>
                                <w:szCs w:val="24"/>
                              </w:rPr>
                              <w:t xml:space="preserve">Goal of the study: </w:t>
                            </w:r>
                            <w:r w:rsidRPr="005E043E">
                              <w:rPr>
                                <w:bCs/>
                                <w:sz w:val="24"/>
                                <w:szCs w:val="24"/>
                              </w:rPr>
                              <w:t xml:space="preserve">The goal of the information collection is to collect participant training </w:t>
                            </w:r>
                            <w:r w:rsidR="00A514F4">
                              <w:rPr>
                                <w:bCs/>
                                <w:sz w:val="24"/>
                                <w:szCs w:val="24"/>
                              </w:rPr>
                              <w:t>information</w:t>
                            </w:r>
                            <w:r w:rsidRPr="005E043E">
                              <w:rPr>
                                <w:bCs/>
                                <w:sz w:val="24"/>
                                <w:szCs w:val="24"/>
                              </w:rPr>
                              <w:t xml:space="preserve">, such as </w:t>
                            </w:r>
                            <w:r w:rsidR="00B34B62">
                              <w:rPr>
                                <w:bCs/>
                                <w:sz w:val="24"/>
                                <w:szCs w:val="24"/>
                              </w:rPr>
                              <w:t xml:space="preserve">classroom and </w:t>
                            </w:r>
                            <w:r w:rsidRPr="005E043E">
                              <w:rPr>
                                <w:bCs/>
                                <w:sz w:val="24"/>
                                <w:szCs w:val="24"/>
                              </w:rPr>
                              <w:t xml:space="preserve">conference registrations </w:t>
                            </w:r>
                            <w:r w:rsidR="00A514F4">
                              <w:rPr>
                                <w:bCs/>
                                <w:sz w:val="24"/>
                                <w:szCs w:val="24"/>
                              </w:rPr>
                              <w:t xml:space="preserve">and </w:t>
                            </w:r>
                            <w:r w:rsidRPr="005E043E">
                              <w:rPr>
                                <w:bCs/>
                                <w:sz w:val="24"/>
                                <w:szCs w:val="24"/>
                              </w:rPr>
                              <w:t>self-assessments related to environmental health and land reuse course content developed by ATSDR.</w:t>
                            </w:r>
                          </w:p>
                          <w:p w:rsidR="005E043E" w:rsidRPr="005E043E" w:rsidP="005E043E" w14:textId="36A0625E">
                            <w:pPr>
                              <w:spacing w:before="240" w:line="240" w:lineRule="auto"/>
                              <w:rPr>
                                <w:bCs/>
                                <w:sz w:val="24"/>
                                <w:szCs w:val="24"/>
                              </w:rPr>
                            </w:pPr>
                            <w:r w:rsidRPr="005E043E">
                              <w:rPr>
                                <w:b/>
                                <w:sz w:val="24"/>
                                <w:szCs w:val="24"/>
                              </w:rPr>
                              <w:t xml:space="preserve">Intended use of the resulting data: </w:t>
                            </w:r>
                            <w:r w:rsidRPr="005E043E">
                              <w:rPr>
                                <w:bCs/>
                                <w:sz w:val="24"/>
                                <w:szCs w:val="24"/>
                              </w:rPr>
                              <w:t>ATSDR will use data from this information collection to assess the impact of participating in the certificate course</w:t>
                            </w:r>
                            <w:r w:rsidR="001D284D">
                              <w:rPr>
                                <w:bCs/>
                                <w:sz w:val="24"/>
                                <w:szCs w:val="24"/>
                              </w:rPr>
                              <w:t>s</w:t>
                            </w:r>
                            <w:r w:rsidRPr="005E043E">
                              <w:rPr>
                                <w:bCs/>
                                <w:sz w:val="24"/>
                                <w:szCs w:val="24"/>
                              </w:rPr>
                              <w:t>, such as increased capacity to perform work. Ultimately, ATSDR is interested in long</w:t>
                            </w:r>
                            <w:r w:rsidR="00A514F4">
                              <w:rPr>
                                <w:bCs/>
                                <w:sz w:val="24"/>
                                <w:szCs w:val="24"/>
                              </w:rPr>
                              <w:t>-</w:t>
                            </w:r>
                            <w:r w:rsidRPr="005E043E">
                              <w:rPr>
                                <w:bCs/>
                                <w:sz w:val="24"/>
                                <w:szCs w:val="24"/>
                              </w:rPr>
                              <w:t>term benefits of the certificate course</w:t>
                            </w:r>
                            <w:r w:rsidR="008435B3">
                              <w:rPr>
                                <w:bCs/>
                                <w:sz w:val="24"/>
                                <w:szCs w:val="24"/>
                              </w:rPr>
                              <w:t>s</w:t>
                            </w:r>
                            <w:r w:rsidRPr="005E043E">
                              <w:rPr>
                                <w:bCs/>
                                <w:sz w:val="24"/>
                                <w:szCs w:val="24"/>
                              </w:rPr>
                              <w:t xml:space="preserve">, such as state health partners engaging more frequently in land reuse and redevelopment projects. </w:t>
                            </w:r>
                          </w:p>
                          <w:p w:rsidR="005E043E" w:rsidRPr="005E043E" w:rsidP="005E043E" w14:textId="1EB2C719">
                            <w:pPr>
                              <w:spacing w:before="240" w:line="240" w:lineRule="auto"/>
                              <w:rPr>
                                <w:bCs/>
                                <w:sz w:val="24"/>
                                <w:szCs w:val="24"/>
                              </w:rPr>
                            </w:pPr>
                            <w:r w:rsidRPr="005E043E">
                              <w:rPr>
                                <w:b/>
                                <w:sz w:val="24"/>
                                <w:szCs w:val="24"/>
                              </w:rPr>
                              <w:t xml:space="preserve">Methods to be used to collect: </w:t>
                            </w:r>
                            <w:r w:rsidRPr="008E24FE" w:rsidR="00C22FAF">
                              <w:rPr>
                                <w:bCs/>
                                <w:sz w:val="24"/>
                                <w:szCs w:val="24"/>
                              </w:rPr>
                              <w:t xml:space="preserve">ATSDR will use </w:t>
                            </w:r>
                            <w:r w:rsidR="00C40E87">
                              <w:rPr>
                                <w:bCs/>
                                <w:sz w:val="24"/>
                                <w:szCs w:val="24"/>
                              </w:rPr>
                              <w:t>an</w:t>
                            </w:r>
                            <w:r w:rsidR="00BB082D">
                              <w:rPr>
                                <w:bCs/>
                                <w:sz w:val="24"/>
                                <w:szCs w:val="24"/>
                              </w:rPr>
                              <w:t xml:space="preserve"> </w:t>
                            </w:r>
                            <w:r w:rsidRPr="008E24FE" w:rsidR="00CB069D">
                              <w:rPr>
                                <w:bCs/>
                                <w:sz w:val="24"/>
                                <w:szCs w:val="24"/>
                              </w:rPr>
                              <w:t>o</w:t>
                            </w:r>
                            <w:r w:rsidRPr="008E24FE">
                              <w:rPr>
                                <w:bCs/>
                                <w:sz w:val="24"/>
                                <w:szCs w:val="24"/>
                              </w:rPr>
                              <w:t>nline secure web application</w:t>
                            </w:r>
                            <w:r w:rsidR="00C40E87">
                              <w:rPr>
                                <w:bCs/>
                                <w:sz w:val="24"/>
                                <w:szCs w:val="24"/>
                              </w:rPr>
                              <w:t>,</w:t>
                            </w:r>
                            <w:r w:rsidR="000D4A57">
                              <w:rPr>
                                <w:bCs/>
                                <w:sz w:val="24"/>
                                <w:szCs w:val="24"/>
                              </w:rPr>
                              <w:t xml:space="preserve"> </w:t>
                            </w:r>
                            <w:r w:rsidRPr="78D3267D" w:rsidR="000D4A57">
                              <w:rPr>
                                <w:color w:val="000000" w:themeColor="text1"/>
                                <w:sz w:val="24"/>
                                <w:szCs w:val="24"/>
                              </w:rPr>
                              <w:t>Research Electronic Data Capture</w:t>
                            </w:r>
                            <w:r w:rsidR="00BB082D">
                              <w:rPr>
                                <w:bCs/>
                                <w:sz w:val="24"/>
                                <w:szCs w:val="24"/>
                              </w:rPr>
                              <w:t xml:space="preserve"> </w:t>
                            </w:r>
                            <w:r w:rsidR="007C6A3B">
                              <w:rPr>
                                <w:bCs/>
                                <w:sz w:val="24"/>
                                <w:szCs w:val="24"/>
                              </w:rPr>
                              <w:t>(</w:t>
                            </w:r>
                            <w:r w:rsidR="00BB082D">
                              <w:rPr>
                                <w:bCs/>
                                <w:sz w:val="24"/>
                                <w:szCs w:val="24"/>
                              </w:rPr>
                              <w:t>REDCap</w:t>
                            </w:r>
                            <w:r w:rsidR="007C6A3B">
                              <w:rPr>
                                <w:bCs/>
                                <w:sz w:val="24"/>
                                <w:szCs w:val="24"/>
                              </w:rPr>
                              <w:t>)</w:t>
                            </w:r>
                            <w:r w:rsidR="00C40E87">
                              <w:rPr>
                                <w:bCs/>
                                <w:sz w:val="24"/>
                                <w:szCs w:val="24"/>
                              </w:rPr>
                              <w:t>,</w:t>
                            </w:r>
                            <w:r w:rsidR="00BB082D">
                              <w:rPr>
                                <w:bCs/>
                                <w:sz w:val="24"/>
                                <w:szCs w:val="24"/>
                              </w:rPr>
                              <w:t xml:space="preserve"> </w:t>
                            </w:r>
                            <w:r w:rsidRPr="008E24FE">
                              <w:rPr>
                                <w:bCs/>
                                <w:sz w:val="24"/>
                                <w:szCs w:val="24"/>
                              </w:rPr>
                              <w:t>to collect standardized data</w:t>
                            </w:r>
                            <w:r w:rsidR="00C40E87">
                              <w:rPr>
                                <w:bCs/>
                                <w:sz w:val="24"/>
                                <w:szCs w:val="24"/>
                              </w:rPr>
                              <w:t xml:space="preserve"> such as </w:t>
                            </w:r>
                            <w:r w:rsidR="00CC2403">
                              <w:rPr>
                                <w:bCs/>
                                <w:sz w:val="24"/>
                                <w:szCs w:val="24"/>
                              </w:rPr>
                              <w:t>self-assessment</w:t>
                            </w:r>
                            <w:r w:rsidR="00C40E87">
                              <w:rPr>
                                <w:bCs/>
                                <w:sz w:val="24"/>
                                <w:szCs w:val="24"/>
                              </w:rPr>
                              <w:t>s</w:t>
                            </w:r>
                            <w:r w:rsidRPr="008E24FE">
                              <w:rPr>
                                <w:bCs/>
                                <w:sz w:val="24"/>
                                <w:szCs w:val="24"/>
                              </w:rPr>
                              <w:t xml:space="preserve"> </w:t>
                            </w:r>
                            <w:r w:rsidR="00C40E87">
                              <w:rPr>
                                <w:bCs/>
                                <w:sz w:val="24"/>
                                <w:szCs w:val="24"/>
                              </w:rPr>
                              <w:t>after</w:t>
                            </w:r>
                            <w:r w:rsidRPr="008E24FE">
                              <w:rPr>
                                <w:bCs/>
                                <w:sz w:val="24"/>
                                <w:szCs w:val="24"/>
                              </w:rPr>
                              <w:t xml:space="preserve"> </w:t>
                            </w:r>
                            <w:r w:rsidR="00C40E87">
                              <w:rPr>
                                <w:bCs/>
                                <w:sz w:val="24"/>
                                <w:szCs w:val="24"/>
                              </w:rPr>
                              <w:t>each</w:t>
                            </w:r>
                            <w:r w:rsidRPr="008E24FE">
                              <w:rPr>
                                <w:bCs/>
                                <w:sz w:val="24"/>
                                <w:szCs w:val="24"/>
                              </w:rPr>
                              <w:t xml:space="preserve"> course </w:t>
                            </w:r>
                            <w:r w:rsidR="00C40E87">
                              <w:rPr>
                                <w:bCs/>
                                <w:sz w:val="24"/>
                                <w:szCs w:val="24"/>
                              </w:rPr>
                              <w:t>module</w:t>
                            </w:r>
                            <w:r w:rsidRPr="008E24FE">
                              <w:rPr>
                                <w:bCs/>
                                <w:sz w:val="24"/>
                                <w:szCs w:val="24"/>
                              </w:rPr>
                              <w:t>.</w:t>
                            </w:r>
                            <w:r w:rsidRPr="008E24FE" w:rsidR="00963BC0">
                              <w:rPr>
                                <w:bCs/>
                                <w:sz w:val="24"/>
                                <w:szCs w:val="24"/>
                              </w:rPr>
                              <w:t xml:space="preserve"> </w:t>
                            </w:r>
                            <w:r w:rsidR="003D311D">
                              <w:rPr>
                                <w:bCs/>
                                <w:sz w:val="24"/>
                                <w:szCs w:val="24"/>
                              </w:rPr>
                              <w:t xml:space="preserve">For </w:t>
                            </w:r>
                            <w:r w:rsidR="00C40E87">
                              <w:rPr>
                                <w:bCs/>
                                <w:sz w:val="24"/>
                                <w:szCs w:val="24"/>
                              </w:rPr>
                              <w:t xml:space="preserve">classroom course </w:t>
                            </w:r>
                            <w:r w:rsidR="003D311D">
                              <w:rPr>
                                <w:bCs/>
                                <w:sz w:val="24"/>
                                <w:szCs w:val="24"/>
                              </w:rPr>
                              <w:t>registration</w:t>
                            </w:r>
                            <w:r w:rsidR="00C40E87">
                              <w:rPr>
                                <w:bCs/>
                                <w:sz w:val="24"/>
                                <w:szCs w:val="24"/>
                              </w:rPr>
                              <w:t xml:space="preserve">, </w:t>
                            </w:r>
                            <w:r w:rsidR="00A20DF4">
                              <w:rPr>
                                <w:bCs/>
                                <w:sz w:val="24"/>
                                <w:szCs w:val="24"/>
                              </w:rPr>
                              <w:t>ATSDR</w:t>
                            </w:r>
                            <w:r w:rsidR="00C40E87">
                              <w:rPr>
                                <w:bCs/>
                                <w:sz w:val="24"/>
                                <w:szCs w:val="24"/>
                              </w:rPr>
                              <w:t xml:space="preserve"> will provide</w:t>
                            </w:r>
                            <w:r w:rsidR="00A20DF4">
                              <w:rPr>
                                <w:bCs/>
                                <w:sz w:val="24"/>
                                <w:szCs w:val="24"/>
                              </w:rPr>
                              <w:t xml:space="preserve"> </w:t>
                            </w:r>
                            <w:r w:rsidR="00C40E87">
                              <w:rPr>
                                <w:bCs/>
                                <w:sz w:val="24"/>
                                <w:szCs w:val="24"/>
                              </w:rPr>
                              <w:t>a</w:t>
                            </w:r>
                            <w:r w:rsidR="00A20DF4">
                              <w:rPr>
                                <w:bCs/>
                                <w:sz w:val="24"/>
                                <w:szCs w:val="24"/>
                              </w:rPr>
                              <w:t xml:space="preserve"> REDCap link on an ATSDR website or </w:t>
                            </w:r>
                            <w:r w:rsidR="00C40E87">
                              <w:rPr>
                                <w:bCs/>
                                <w:sz w:val="24"/>
                                <w:szCs w:val="24"/>
                              </w:rPr>
                              <w:t xml:space="preserve">through </w:t>
                            </w:r>
                            <w:r w:rsidR="00A20DF4">
                              <w:rPr>
                                <w:bCs/>
                                <w:sz w:val="24"/>
                                <w:szCs w:val="24"/>
                              </w:rPr>
                              <w:t>email</w:t>
                            </w:r>
                            <w:r w:rsidR="00DA16BA">
                              <w:rPr>
                                <w:bCs/>
                                <w:sz w:val="24"/>
                                <w:szCs w:val="24"/>
                              </w:rPr>
                              <w:t xml:space="preserve">. </w:t>
                            </w:r>
                            <w:r w:rsidR="00C40E87">
                              <w:rPr>
                                <w:bCs/>
                                <w:sz w:val="24"/>
                                <w:szCs w:val="24"/>
                              </w:rPr>
                              <w:t>Otherwise, participants will register for training sessions using conference portals.</w:t>
                            </w:r>
                            <w:r w:rsidR="00F400DB">
                              <w:rPr>
                                <w:bCs/>
                                <w:sz w:val="24"/>
                                <w:szCs w:val="24"/>
                              </w:rPr>
                              <w:t xml:space="preserve"> </w:t>
                            </w:r>
                            <w:r w:rsidR="00C40E87">
                              <w:rPr>
                                <w:bCs/>
                                <w:sz w:val="24"/>
                                <w:szCs w:val="24"/>
                              </w:rPr>
                              <w:t xml:space="preserve">Privacy Act opt-out forms will be administered hardcopy </w:t>
                            </w:r>
                            <w:r w:rsidR="006B76C3">
                              <w:rPr>
                                <w:bCs/>
                                <w:sz w:val="24"/>
                                <w:szCs w:val="24"/>
                              </w:rPr>
                              <w:t xml:space="preserve">and </w:t>
                            </w:r>
                            <w:r w:rsidR="00C40E87">
                              <w:rPr>
                                <w:bCs/>
                                <w:sz w:val="24"/>
                                <w:szCs w:val="24"/>
                              </w:rPr>
                              <w:t>in-person at trainings by the ATSDR course director.</w:t>
                            </w:r>
                          </w:p>
                          <w:p w:rsidR="005E043E" w:rsidRPr="005E043E" w:rsidP="005E043E" w14:textId="5E664161">
                            <w:pPr>
                              <w:spacing w:before="240" w:line="240" w:lineRule="auto"/>
                              <w:rPr>
                                <w:b/>
                                <w:sz w:val="24"/>
                                <w:szCs w:val="24"/>
                              </w:rPr>
                            </w:pPr>
                            <w:r w:rsidRPr="005E043E">
                              <w:rPr>
                                <w:b/>
                                <w:sz w:val="24"/>
                                <w:szCs w:val="24"/>
                              </w:rPr>
                              <w:t xml:space="preserve">Subpopulation to be studied: </w:t>
                            </w:r>
                            <w:r w:rsidRPr="005E043E">
                              <w:rPr>
                                <w:bCs/>
                                <w:sz w:val="24"/>
                                <w:szCs w:val="24"/>
                              </w:rPr>
                              <w:t>Environmental professionals; students of environmental science, public health, or planning; and local or state health agency professionals</w:t>
                            </w:r>
                            <w:r w:rsidR="00764212">
                              <w:rPr>
                                <w:bCs/>
                                <w:sz w:val="24"/>
                                <w:szCs w:val="24"/>
                              </w:rPr>
                              <w:t>.</w:t>
                            </w:r>
                          </w:p>
                          <w:p w:rsidR="00F71763" w:rsidRPr="002B28DC" w:rsidP="008C46E9" w14:textId="5F9DA325">
                            <w:pPr>
                              <w:spacing w:before="240" w:line="240" w:lineRule="auto"/>
                              <w:rPr>
                                <w:bCs/>
                                <w:sz w:val="24"/>
                                <w:szCs w:val="24"/>
                              </w:rPr>
                            </w:pPr>
                            <w:r w:rsidRPr="005E043E">
                              <w:rPr>
                                <w:b/>
                                <w:sz w:val="24"/>
                                <w:szCs w:val="24"/>
                              </w:rPr>
                              <w:t xml:space="preserve">How data will be analyzed: </w:t>
                            </w:r>
                            <w:r w:rsidRPr="005E043E">
                              <w:rPr>
                                <w:bCs/>
                                <w:sz w:val="24"/>
                                <w:szCs w:val="24"/>
                              </w:rPr>
                              <w:t>ATSDR may use Excel or other spreadsheet software to characterize certificate course participants (e.g., by job title) and to summarize their feedback on the course content and effectiveness.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7pt;height:359.5pt;margin-top:1178pt;margin-left:0;mso-height-percent:0;mso-height-relative:margin;mso-position-horizontal:left;mso-position-horizontal-relative:margin;mso-position-vertical-relative:page;mso-width-percent:0;mso-width-relative:margin;mso-wrap-distance-bottom:3.6pt;mso-wrap-distance-left:9pt;mso-wrap-distance-right:9pt;mso-wrap-distance-top:3.6pt;mso-wrap-style:square;position:absolute;visibility:visible;v-text-anchor:top;z-index:251659264">
                <v:textbox>
                  <w:txbxContent>
                    <w:p w:rsidR="005E043E" w:rsidRPr="005E043E" w:rsidP="005E043E" w14:paraId="71E7E411" w14:textId="772527D1">
                      <w:pPr>
                        <w:spacing w:before="240" w:line="240" w:lineRule="auto"/>
                        <w:rPr>
                          <w:bCs/>
                          <w:sz w:val="24"/>
                          <w:szCs w:val="24"/>
                        </w:rPr>
                      </w:pPr>
                      <w:r w:rsidRPr="005E043E">
                        <w:rPr>
                          <w:b/>
                          <w:sz w:val="24"/>
                          <w:szCs w:val="24"/>
                        </w:rPr>
                        <w:t xml:space="preserve">Goal of the study: </w:t>
                      </w:r>
                      <w:r w:rsidRPr="005E043E">
                        <w:rPr>
                          <w:bCs/>
                          <w:sz w:val="24"/>
                          <w:szCs w:val="24"/>
                        </w:rPr>
                        <w:t xml:space="preserve">The goal of the information collection is to collect participant training </w:t>
                      </w:r>
                      <w:r w:rsidR="00A514F4">
                        <w:rPr>
                          <w:bCs/>
                          <w:sz w:val="24"/>
                          <w:szCs w:val="24"/>
                        </w:rPr>
                        <w:t>information</w:t>
                      </w:r>
                      <w:r w:rsidRPr="005E043E">
                        <w:rPr>
                          <w:bCs/>
                          <w:sz w:val="24"/>
                          <w:szCs w:val="24"/>
                        </w:rPr>
                        <w:t xml:space="preserve">, such as </w:t>
                      </w:r>
                      <w:r w:rsidR="00B34B62">
                        <w:rPr>
                          <w:bCs/>
                          <w:sz w:val="24"/>
                          <w:szCs w:val="24"/>
                        </w:rPr>
                        <w:t xml:space="preserve">classroom and </w:t>
                      </w:r>
                      <w:r w:rsidRPr="005E043E">
                        <w:rPr>
                          <w:bCs/>
                          <w:sz w:val="24"/>
                          <w:szCs w:val="24"/>
                        </w:rPr>
                        <w:t xml:space="preserve">conference registrations </w:t>
                      </w:r>
                      <w:r w:rsidR="00A514F4">
                        <w:rPr>
                          <w:bCs/>
                          <w:sz w:val="24"/>
                          <w:szCs w:val="24"/>
                        </w:rPr>
                        <w:t xml:space="preserve">and </w:t>
                      </w:r>
                      <w:r w:rsidRPr="005E043E">
                        <w:rPr>
                          <w:bCs/>
                          <w:sz w:val="24"/>
                          <w:szCs w:val="24"/>
                        </w:rPr>
                        <w:t>self-assessments related to environmental health and land reuse course content developed by ATSDR.</w:t>
                      </w:r>
                    </w:p>
                    <w:p w:rsidR="005E043E" w:rsidRPr="005E043E" w:rsidP="005E043E" w14:paraId="68255450" w14:textId="36A0625E">
                      <w:pPr>
                        <w:spacing w:before="240" w:line="240" w:lineRule="auto"/>
                        <w:rPr>
                          <w:bCs/>
                          <w:sz w:val="24"/>
                          <w:szCs w:val="24"/>
                        </w:rPr>
                      </w:pPr>
                      <w:r w:rsidRPr="005E043E">
                        <w:rPr>
                          <w:b/>
                          <w:sz w:val="24"/>
                          <w:szCs w:val="24"/>
                        </w:rPr>
                        <w:t xml:space="preserve">Intended use of the resulting data: </w:t>
                      </w:r>
                      <w:r w:rsidRPr="005E043E">
                        <w:rPr>
                          <w:bCs/>
                          <w:sz w:val="24"/>
                          <w:szCs w:val="24"/>
                        </w:rPr>
                        <w:t>ATSDR will use data from this information collection to assess the impact of participating in the certificate course</w:t>
                      </w:r>
                      <w:r w:rsidR="001D284D">
                        <w:rPr>
                          <w:bCs/>
                          <w:sz w:val="24"/>
                          <w:szCs w:val="24"/>
                        </w:rPr>
                        <w:t>s</w:t>
                      </w:r>
                      <w:r w:rsidRPr="005E043E">
                        <w:rPr>
                          <w:bCs/>
                          <w:sz w:val="24"/>
                          <w:szCs w:val="24"/>
                        </w:rPr>
                        <w:t>, such as increased capacity to perform work. Ultimately, ATSDR is interested in long</w:t>
                      </w:r>
                      <w:r w:rsidR="00A514F4">
                        <w:rPr>
                          <w:bCs/>
                          <w:sz w:val="24"/>
                          <w:szCs w:val="24"/>
                        </w:rPr>
                        <w:t>-</w:t>
                      </w:r>
                      <w:r w:rsidRPr="005E043E">
                        <w:rPr>
                          <w:bCs/>
                          <w:sz w:val="24"/>
                          <w:szCs w:val="24"/>
                        </w:rPr>
                        <w:t>term benefits of the certificate course</w:t>
                      </w:r>
                      <w:r w:rsidR="008435B3">
                        <w:rPr>
                          <w:bCs/>
                          <w:sz w:val="24"/>
                          <w:szCs w:val="24"/>
                        </w:rPr>
                        <w:t>s</w:t>
                      </w:r>
                      <w:r w:rsidRPr="005E043E">
                        <w:rPr>
                          <w:bCs/>
                          <w:sz w:val="24"/>
                          <w:szCs w:val="24"/>
                        </w:rPr>
                        <w:t xml:space="preserve">, such as state health partners engaging more frequently in land reuse and redevelopment projects. </w:t>
                      </w:r>
                    </w:p>
                    <w:p w:rsidR="005E043E" w:rsidRPr="005E043E" w:rsidP="005E043E" w14:paraId="7B206FE1" w14:textId="1EB2C719">
                      <w:pPr>
                        <w:spacing w:before="240" w:line="240" w:lineRule="auto"/>
                        <w:rPr>
                          <w:bCs/>
                          <w:sz w:val="24"/>
                          <w:szCs w:val="24"/>
                        </w:rPr>
                      </w:pPr>
                      <w:r w:rsidRPr="005E043E">
                        <w:rPr>
                          <w:b/>
                          <w:sz w:val="24"/>
                          <w:szCs w:val="24"/>
                        </w:rPr>
                        <w:t xml:space="preserve">Methods to be used to collect: </w:t>
                      </w:r>
                      <w:r w:rsidRPr="008E24FE" w:rsidR="00C22FAF">
                        <w:rPr>
                          <w:bCs/>
                          <w:sz w:val="24"/>
                          <w:szCs w:val="24"/>
                        </w:rPr>
                        <w:t xml:space="preserve">ATSDR will use </w:t>
                      </w:r>
                      <w:r w:rsidR="00C40E87">
                        <w:rPr>
                          <w:bCs/>
                          <w:sz w:val="24"/>
                          <w:szCs w:val="24"/>
                        </w:rPr>
                        <w:t>an</w:t>
                      </w:r>
                      <w:r w:rsidR="00BB082D">
                        <w:rPr>
                          <w:bCs/>
                          <w:sz w:val="24"/>
                          <w:szCs w:val="24"/>
                        </w:rPr>
                        <w:t xml:space="preserve"> </w:t>
                      </w:r>
                      <w:r w:rsidRPr="008E24FE" w:rsidR="00CB069D">
                        <w:rPr>
                          <w:bCs/>
                          <w:sz w:val="24"/>
                          <w:szCs w:val="24"/>
                        </w:rPr>
                        <w:t>o</w:t>
                      </w:r>
                      <w:r w:rsidRPr="008E24FE">
                        <w:rPr>
                          <w:bCs/>
                          <w:sz w:val="24"/>
                          <w:szCs w:val="24"/>
                        </w:rPr>
                        <w:t>nline secure web application</w:t>
                      </w:r>
                      <w:r w:rsidR="00C40E87">
                        <w:rPr>
                          <w:bCs/>
                          <w:sz w:val="24"/>
                          <w:szCs w:val="24"/>
                        </w:rPr>
                        <w:t>,</w:t>
                      </w:r>
                      <w:r w:rsidR="000D4A57">
                        <w:rPr>
                          <w:bCs/>
                          <w:sz w:val="24"/>
                          <w:szCs w:val="24"/>
                        </w:rPr>
                        <w:t xml:space="preserve"> </w:t>
                      </w:r>
                      <w:r w:rsidRPr="78D3267D" w:rsidR="000D4A57">
                        <w:rPr>
                          <w:color w:val="000000" w:themeColor="text1"/>
                          <w:sz w:val="24"/>
                          <w:szCs w:val="24"/>
                        </w:rPr>
                        <w:t>Research Electronic Data Capture</w:t>
                      </w:r>
                      <w:r w:rsidR="00BB082D">
                        <w:rPr>
                          <w:bCs/>
                          <w:sz w:val="24"/>
                          <w:szCs w:val="24"/>
                        </w:rPr>
                        <w:t xml:space="preserve"> </w:t>
                      </w:r>
                      <w:r w:rsidR="007C6A3B">
                        <w:rPr>
                          <w:bCs/>
                          <w:sz w:val="24"/>
                          <w:szCs w:val="24"/>
                        </w:rPr>
                        <w:t>(</w:t>
                      </w:r>
                      <w:r w:rsidR="00BB082D">
                        <w:rPr>
                          <w:bCs/>
                          <w:sz w:val="24"/>
                          <w:szCs w:val="24"/>
                        </w:rPr>
                        <w:t>REDCap</w:t>
                      </w:r>
                      <w:r w:rsidR="007C6A3B">
                        <w:rPr>
                          <w:bCs/>
                          <w:sz w:val="24"/>
                          <w:szCs w:val="24"/>
                        </w:rPr>
                        <w:t>)</w:t>
                      </w:r>
                      <w:r w:rsidR="00C40E87">
                        <w:rPr>
                          <w:bCs/>
                          <w:sz w:val="24"/>
                          <w:szCs w:val="24"/>
                        </w:rPr>
                        <w:t>,</w:t>
                      </w:r>
                      <w:r w:rsidR="00BB082D">
                        <w:rPr>
                          <w:bCs/>
                          <w:sz w:val="24"/>
                          <w:szCs w:val="24"/>
                        </w:rPr>
                        <w:t xml:space="preserve"> </w:t>
                      </w:r>
                      <w:r w:rsidRPr="008E24FE">
                        <w:rPr>
                          <w:bCs/>
                          <w:sz w:val="24"/>
                          <w:szCs w:val="24"/>
                        </w:rPr>
                        <w:t>to collect standardized data</w:t>
                      </w:r>
                      <w:r w:rsidR="00C40E87">
                        <w:rPr>
                          <w:bCs/>
                          <w:sz w:val="24"/>
                          <w:szCs w:val="24"/>
                        </w:rPr>
                        <w:t xml:space="preserve"> such as </w:t>
                      </w:r>
                      <w:r w:rsidR="00CC2403">
                        <w:rPr>
                          <w:bCs/>
                          <w:sz w:val="24"/>
                          <w:szCs w:val="24"/>
                        </w:rPr>
                        <w:t>self-assessment</w:t>
                      </w:r>
                      <w:r w:rsidR="00C40E87">
                        <w:rPr>
                          <w:bCs/>
                          <w:sz w:val="24"/>
                          <w:szCs w:val="24"/>
                        </w:rPr>
                        <w:t>s</w:t>
                      </w:r>
                      <w:r w:rsidRPr="008E24FE">
                        <w:rPr>
                          <w:bCs/>
                          <w:sz w:val="24"/>
                          <w:szCs w:val="24"/>
                        </w:rPr>
                        <w:t xml:space="preserve"> </w:t>
                      </w:r>
                      <w:r w:rsidR="00C40E87">
                        <w:rPr>
                          <w:bCs/>
                          <w:sz w:val="24"/>
                          <w:szCs w:val="24"/>
                        </w:rPr>
                        <w:t>after</w:t>
                      </w:r>
                      <w:r w:rsidRPr="008E24FE">
                        <w:rPr>
                          <w:bCs/>
                          <w:sz w:val="24"/>
                          <w:szCs w:val="24"/>
                        </w:rPr>
                        <w:t xml:space="preserve"> </w:t>
                      </w:r>
                      <w:r w:rsidR="00C40E87">
                        <w:rPr>
                          <w:bCs/>
                          <w:sz w:val="24"/>
                          <w:szCs w:val="24"/>
                        </w:rPr>
                        <w:t>each</w:t>
                      </w:r>
                      <w:r w:rsidRPr="008E24FE">
                        <w:rPr>
                          <w:bCs/>
                          <w:sz w:val="24"/>
                          <w:szCs w:val="24"/>
                        </w:rPr>
                        <w:t xml:space="preserve"> course </w:t>
                      </w:r>
                      <w:r w:rsidR="00C40E87">
                        <w:rPr>
                          <w:bCs/>
                          <w:sz w:val="24"/>
                          <w:szCs w:val="24"/>
                        </w:rPr>
                        <w:t>module</w:t>
                      </w:r>
                      <w:r w:rsidRPr="008E24FE">
                        <w:rPr>
                          <w:bCs/>
                          <w:sz w:val="24"/>
                          <w:szCs w:val="24"/>
                        </w:rPr>
                        <w:t>.</w:t>
                      </w:r>
                      <w:r w:rsidRPr="008E24FE" w:rsidR="00963BC0">
                        <w:rPr>
                          <w:bCs/>
                          <w:sz w:val="24"/>
                          <w:szCs w:val="24"/>
                        </w:rPr>
                        <w:t xml:space="preserve"> </w:t>
                      </w:r>
                      <w:r w:rsidR="003D311D">
                        <w:rPr>
                          <w:bCs/>
                          <w:sz w:val="24"/>
                          <w:szCs w:val="24"/>
                        </w:rPr>
                        <w:t xml:space="preserve">For </w:t>
                      </w:r>
                      <w:r w:rsidR="00C40E87">
                        <w:rPr>
                          <w:bCs/>
                          <w:sz w:val="24"/>
                          <w:szCs w:val="24"/>
                        </w:rPr>
                        <w:t xml:space="preserve">classroom course </w:t>
                      </w:r>
                      <w:r w:rsidR="003D311D">
                        <w:rPr>
                          <w:bCs/>
                          <w:sz w:val="24"/>
                          <w:szCs w:val="24"/>
                        </w:rPr>
                        <w:t>registration</w:t>
                      </w:r>
                      <w:r w:rsidR="00C40E87">
                        <w:rPr>
                          <w:bCs/>
                          <w:sz w:val="24"/>
                          <w:szCs w:val="24"/>
                        </w:rPr>
                        <w:t xml:space="preserve">, </w:t>
                      </w:r>
                      <w:r w:rsidR="00A20DF4">
                        <w:rPr>
                          <w:bCs/>
                          <w:sz w:val="24"/>
                          <w:szCs w:val="24"/>
                        </w:rPr>
                        <w:t>ATSDR</w:t>
                      </w:r>
                      <w:r w:rsidR="00C40E87">
                        <w:rPr>
                          <w:bCs/>
                          <w:sz w:val="24"/>
                          <w:szCs w:val="24"/>
                        </w:rPr>
                        <w:t xml:space="preserve"> will provide</w:t>
                      </w:r>
                      <w:r w:rsidR="00A20DF4">
                        <w:rPr>
                          <w:bCs/>
                          <w:sz w:val="24"/>
                          <w:szCs w:val="24"/>
                        </w:rPr>
                        <w:t xml:space="preserve"> </w:t>
                      </w:r>
                      <w:r w:rsidR="00C40E87">
                        <w:rPr>
                          <w:bCs/>
                          <w:sz w:val="24"/>
                          <w:szCs w:val="24"/>
                        </w:rPr>
                        <w:t>a</w:t>
                      </w:r>
                      <w:r w:rsidR="00A20DF4">
                        <w:rPr>
                          <w:bCs/>
                          <w:sz w:val="24"/>
                          <w:szCs w:val="24"/>
                        </w:rPr>
                        <w:t xml:space="preserve"> REDCap link on an ATSDR website or </w:t>
                      </w:r>
                      <w:r w:rsidR="00C40E87">
                        <w:rPr>
                          <w:bCs/>
                          <w:sz w:val="24"/>
                          <w:szCs w:val="24"/>
                        </w:rPr>
                        <w:t xml:space="preserve">through </w:t>
                      </w:r>
                      <w:r w:rsidR="00A20DF4">
                        <w:rPr>
                          <w:bCs/>
                          <w:sz w:val="24"/>
                          <w:szCs w:val="24"/>
                        </w:rPr>
                        <w:t>email</w:t>
                      </w:r>
                      <w:r w:rsidR="00DA16BA">
                        <w:rPr>
                          <w:bCs/>
                          <w:sz w:val="24"/>
                          <w:szCs w:val="24"/>
                        </w:rPr>
                        <w:t xml:space="preserve">. </w:t>
                      </w:r>
                      <w:r w:rsidR="00C40E87">
                        <w:rPr>
                          <w:bCs/>
                          <w:sz w:val="24"/>
                          <w:szCs w:val="24"/>
                        </w:rPr>
                        <w:t>Otherwise, participants will register for training sessions using conference portals.</w:t>
                      </w:r>
                      <w:r w:rsidR="00F400DB">
                        <w:rPr>
                          <w:bCs/>
                          <w:sz w:val="24"/>
                          <w:szCs w:val="24"/>
                        </w:rPr>
                        <w:t xml:space="preserve"> </w:t>
                      </w:r>
                      <w:r w:rsidR="00C40E87">
                        <w:rPr>
                          <w:bCs/>
                          <w:sz w:val="24"/>
                          <w:szCs w:val="24"/>
                        </w:rPr>
                        <w:t xml:space="preserve">Privacy Act opt-out forms will be administered hardcopy </w:t>
                      </w:r>
                      <w:r w:rsidR="006B76C3">
                        <w:rPr>
                          <w:bCs/>
                          <w:sz w:val="24"/>
                          <w:szCs w:val="24"/>
                        </w:rPr>
                        <w:t xml:space="preserve">and </w:t>
                      </w:r>
                      <w:r w:rsidR="00C40E87">
                        <w:rPr>
                          <w:bCs/>
                          <w:sz w:val="24"/>
                          <w:szCs w:val="24"/>
                        </w:rPr>
                        <w:t>in-person at trainings by the ATSDR course director.</w:t>
                      </w:r>
                    </w:p>
                    <w:p w:rsidR="005E043E" w:rsidRPr="005E043E" w:rsidP="005E043E" w14:paraId="2670FD61" w14:textId="5E664161">
                      <w:pPr>
                        <w:spacing w:before="240" w:line="240" w:lineRule="auto"/>
                        <w:rPr>
                          <w:b/>
                          <w:sz w:val="24"/>
                          <w:szCs w:val="24"/>
                        </w:rPr>
                      </w:pPr>
                      <w:r w:rsidRPr="005E043E">
                        <w:rPr>
                          <w:b/>
                          <w:sz w:val="24"/>
                          <w:szCs w:val="24"/>
                        </w:rPr>
                        <w:t xml:space="preserve">Subpopulation to be studied: </w:t>
                      </w:r>
                      <w:r w:rsidRPr="005E043E">
                        <w:rPr>
                          <w:bCs/>
                          <w:sz w:val="24"/>
                          <w:szCs w:val="24"/>
                        </w:rPr>
                        <w:t>Environmental professionals; students of environmental science, public health, or planning; and local or state health agency professionals</w:t>
                      </w:r>
                      <w:r w:rsidR="00764212">
                        <w:rPr>
                          <w:bCs/>
                          <w:sz w:val="24"/>
                          <w:szCs w:val="24"/>
                        </w:rPr>
                        <w:t>.</w:t>
                      </w:r>
                    </w:p>
                    <w:p w:rsidR="00F71763" w:rsidRPr="002B28DC" w:rsidP="008C46E9" w14:paraId="01B10897" w14:textId="5F9DA325">
                      <w:pPr>
                        <w:spacing w:before="240" w:line="240" w:lineRule="auto"/>
                        <w:rPr>
                          <w:bCs/>
                          <w:sz w:val="24"/>
                          <w:szCs w:val="24"/>
                        </w:rPr>
                      </w:pPr>
                      <w:r w:rsidRPr="005E043E">
                        <w:rPr>
                          <w:b/>
                          <w:sz w:val="24"/>
                          <w:szCs w:val="24"/>
                        </w:rPr>
                        <w:t xml:space="preserve">How data will be analyzed: </w:t>
                      </w:r>
                      <w:r w:rsidRPr="005E043E">
                        <w:rPr>
                          <w:bCs/>
                          <w:sz w:val="24"/>
                          <w:szCs w:val="24"/>
                        </w:rPr>
                        <w:t>ATSDR may use Excel or other spreadsheet software to characterize certificate course participants (e.g., by job title) and to summarize their feedback on the course content and effectiveness.</w:t>
                      </w:r>
                    </w:p>
                  </w:txbxContent>
                </v:textbox>
                <w10:wrap type="square"/>
              </v:shape>
            </w:pict>
          </mc:Fallback>
        </mc:AlternateContent>
      </w:r>
    </w:p>
    <w:p w:rsidR="00A13D53" w:rsidP="00D57BC5" w14:paraId="177E9366" w14:textId="4714011A">
      <w:pPr>
        <w:rPr>
          <w:sz w:val="24"/>
          <w:szCs w:val="24"/>
        </w:rPr>
      </w:pPr>
      <w:r w:rsidRPr="78D3267D">
        <w:rPr>
          <w:sz w:val="24"/>
          <w:szCs w:val="24"/>
        </w:rPr>
        <w:t xml:space="preserve">ATSDR is requesting a three-year Paperwork Reduction Act (PRA) clearance for a </w:t>
      </w:r>
      <w:r w:rsidR="006B76C3">
        <w:rPr>
          <w:sz w:val="24"/>
          <w:szCs w:val="24"/>
        </w:rPr>
        <w:t>reinstatement with change</w:t>
      </w:r>
      <w:r w:rsidRPr="78D3267D">
        <w:rPr>
          <w:sz w:val="24"/>
          <w:szCs w:val="24"/>
        </w:rPr>
        <w:t xml:space="preserve"> information collection request (ICR) entitled “Environmental Health and Land Reuse Certificat</w:t>
      </w:r>
      <w:r>
        <w:rPr>
          <w:sz w:val="24"/>
          <w:szCs w:val="24"/>
        </w:rPr>
        <w:t>e</w:t>
      </w:r>
      <w:r w:rsidRPr="78D3267D">
        <w:rPr>
          <w:sz w:val="24"/>
          <w:szCs w:val="24"/>
        </w:rPr>
        <w:t xml:space="preserve"> Training” </w:t>
      </w:r>
      <w:r>
        <w:rPr>
          <w:sz w:val="24"/>
          <w:szCs w:val="24"/>
        </w:rPr>
        <w:t>(formerly “Assessment of Environmental Health and Land Reuse Certification Training”)</w:t>
      </w:r>
      <w:r w:rsidR="006B76C3">
        <w:rPr>
          <w:sz w:val="24"/>
          <w:szCs w:val="24"/>
        </w:rPr>
        <w:t>,</w:t>
      </w:r>
      <w:r>
        <w:rPr>
          <w:sz w:val="24"/>
          <w:szCs w:val="24"/>
        </w:rPr>
        <w:t xml:space="preserve"> </w:t>
      </w:r>
      <w:r w:rsidRPr="78D3267D">
        <w:rPr>
          <w:sz w:val="24"/>
          <w:szCs w:val="24"/>
        </w:rPr>
        <w:t>also referred to as an EHLR certificate course</w:t>
      </w:r>
      <w:r w:rsidR="006B76C3">
        <w:rPr>
          <w:sz w:val="24"/>
          <w:szCs w:val="24"/>
        </w:rPr>
        <w:t xml:space="preserve"> or </w:t>
      </w:r>
      <w:r>
        <w:rPr>
          <w:sz w:val="24"/>
          <w:szCs w:val="24"/>
        </w:rPr>
        <w:t>certificate training</w:t>
      </w:r>
      <w:r w:rsidRPr="78D3267D">
        <w:rPr>
          <w:sz w:val="24"/>
          <w:szCs w:val="24"/>
        </w:rPr>
        <w:t>. ATSDR is continuing to provide the classroom-based “EHLR Basic Course” and will add the new conference-based “</w:t>
      </w:r>
      <w:r>
        <w:rPr>
          <w:sz w:val="24"/>
          <w:szCs w:val="24"/>
        </w:rPr>
        <w:t>Immersion</w:t>
      </w:r>
      <w:r w:rsidRPr="78D3267D">
        <w:rPr>
          <w:sz w:val="24"/>
          <w:szCs w:val="24"/>
        </w:rPr>
        <w:t xml:space="preserve"> Training.” </w:t>
      </w:r>
    </w:p>
    <w:p w:rsidR="008F2D57" w:rsidP="00D57BC5" w14:paraId="7BDE7131" w14:textId="600AC042">
      <w:pPr>
        <w:rPr>
          <w:sz w:val="24"/>
          <w:szCs w:val="24"/>
        </w:rPr>
      </w:pPr>
      <w:r>
        <w:rPr>
          <w:sz w:val="24"/>
          <w:szCs w:val="24"/>
        </w:rPr>
        <w:t xml:space="preserve">A 2016 </w:t>
      </w:r>
      <w:r w:rsidR="00003B32">
        <w:rPr>
          <w:sz w:val="24"/>
          <w:szCs w:val="24"/>
        </w:rPr>
        <w:t>National Environmental Health Association (</w:t>
      </w:r>
      <w:r>
        <w:rPr>
          <w:sz w:val="24"/>
          <w:szCs w:val="24"/>
        </w:rPr>
        <w:t>NEHA</w:t>
      </w:r>
      <w:r w:rsidR="00003B32">
        <w:rPr>
          <w:sz w:val="24"/>
          <w:szCs w:val="24"/>
        </w:rPr>
        <w:t>)</w:t>
      </w:r>
      <w:r>
        <w:rPr>
          <w:sz w:val="24"/>
          <w:szCs w:val="24"/>
        </w:rPr>
        <w:t xml:space="preserve"> study identified significant gaps in environmental health education related to potentially contaminated sites such as brownfields. </w:t>
      </w:r>
      <w:r w:rsidR="001857FD">
        <w:rPr>
          <w:sz w:val="24"/>
          <w:szCs w:val="24"/>
        </w:rPr>
        <w:t>D</w:t>
      </w:r>
      <w:r w:rsidRPr="78D3267D" w:rsidR="65515749">
        <w:rPr>
          <w:sz w:val="24"/>
          <w:szCs w:val="24"/>
        </w:rPr>
        <w:t xml:space="preserve">ue to the prevalence of </w:t>
      </w:r>
      <w:r>
        <w:rPr>
          <w:sz w:val="24"/>
          <w:szCs w:val="24"/>
        </w:rPr>
        <w:t>such</w:t>
      </w:r>
      <w:r w:rsidRPr="78D3267D" w:rsidR="65515749">
        <w:rPr>
          <w:sz w:val="24"/>
          <w:szCs w:val="24"/>
        </w:rPr>
        <w:t xml:space="preserve"> sites, ATSDR partner</w:t>
      </w:r>
      <w:r>
        <w:rPr>
          <w:sz w:val="24"/>
          <w:szCs w:val="24"/>
        </w:rPr>
        <w:t>s</w:t>
      </w:r>
      <w:r w:rsidRPr="78D3267D" w:rsidR="65515749">
        <w:rPr>
          <w:sz w:val="24"/>
          <w:szCs w:val="24"/>
        </w:rPr>
        <w:t xml:space="preserve"> with NEHA to build capacity among environmental professionals through the certificate course</w:t>
      </w:r>
      <w:r w:rsidR="00FC1E86">
        <w:rPr>
          <w:sz w:val="24"/>
          <w:szCs w:val="24"/>
        </w:rPr>
        <w:t xml:space="preserve"> trainings</w:t>
      </w:r>
      <w:r w:rsidRPr="78D3267D" w:rsidR="65515749">
        <w:rPr>
          <w:sz w:val="24"/>
          <w:szCs w:val="24"/>
        </w:rPr>
        <w:t>.</w:t>
      </w:r>
      <w:r w:rsidRPr="78D3267D" w:rsidR="75B71104">
        <w:rPr>
          <w:sz w:val="24"/>
          <w:szCs w:val="24"/>
        </w:rPr>
        <w:t xml:space="preserve"> </w:t>
      </w:r>
      <w:r w:rsidRPr="78D3267D" w:rsidR="00311E18">
        <w:rPr>
          <w:sz w:val="24"/>
          <w:szCs w:val="24"/>
        </w:rPr>
        <w:t>The certification is geared toward NEHA members and ATSDR stakeholders who are environmental professionals; local and state health agency employees; planners</w:t>
      </w:r>
      <w:r w:rsidR="00311E18">
        <w:rPr>
          <w:sz w:val="24"/>
          <w:szCs w:val="24"/>
        </w:rPr>
        <w:t>;</w:t>
      </w:r>
      <w:r w:rsidRPr="78D3267D" w:rsidR="00311E18">
        <w:rPr>
          <w:sz w:val="24"/>
          <w:szCs w:val="24"/>
        </w:rPr>
        <w:t xml:space="preserve"> environmental consultants</w:t>
      </w:r>
      <w:r w:rsidR="00311E18">
        <w:rPr>
          <w:sz w:val="24"/>
          <w:szCs w:val="24"/>
        </w:rPr>
        <w:t>;</w:t>
      </w:r>
      <w:r w:rsidRPr="78D3267D" w:rsidR="00311E18">
        <w:rPr>
          <w:sz w:val="24"/>
          <w:szCs w:val="24"/>
        </w:rPr>
        <w:t xml:space="preserve"> environmental non-profits</w:t>
      </w:r>
      <w:r w:rsidR="00311E18">
        <w:rPr>
          <w:sz w:val="24"/>
          <w:szCs w:val="24"/>
        </w:rPr>
        <w:t>;</w:t>
      </w:r>
      <w:r w:rsidRPr="78D3267D" w:rsidR="00311E18">
        <w:rPr>
          <w:sz w:val="24"/>
          <w:szCs w:val="24"/>
        </w:rPr>
        <w:t xml:space="preserve"> and students in environmental science, environmental/public health, and planning.</w:t>
      </w:r>
    </w:p>
    <w:p w:rsidR="00312582" w:rsidP="00D57BC5" w14:paraId="7F7B1F7C" w14:textId="30E0B80D">
      <w:pPr>
        <w:rPr>
          <w:sz w:val="24"/>
          <w:szCs w:val="24"/>
        </w:rPr>
      </w:pPr>
      <w:r w:rsidRPr="005748A5">
        <w:rPr>
          <w:rFonts w:cstheme="minorHAnsi"/>
          <w:sz w:val="24"/>
          <w:szCs w:val="24"/>
        </w:rPr>
        <w:t>Th</w:t>
      </w:r>
      <w:r w:rsidR="00F91A5C">
        <w:rPr>
          <w:rFonts w:cstheme="minorHAnsi"/>
          <w:sz w:val="24"/>
          <w:szCs w:val="24"/>
        </w:rPr>
        <w:t xml:space="preserve">e </w:t>
      </w:r>
      <w:r w:rsidRPr="005748A5">
        <w:rPr>
          <w:rFonts w:cstheme="minorHAnsi"/>
          <w:sz w:val="24"/>
          <w:szCs w:val="24"/>
        </w:rPr>
        <w:t>certificat</w:t>
      </w:r>
      <w:r w:rsidR="00F91A5C">
        <w:rPr>
          <w:rFonts w:cstheme="minorHAnsi"/>
          <w:sz w:val="24"/>
          <w:szCs w:val="24"/>
        </w:rPr>
        <w:t>e</w:t>
      </w:r>
      <w:r w:rsidRPr="005748A5">
        <w:rPr>
          <w:rFonts w:cstheme="minorHAnsi"/>
          <w:sz w:val="24"/>
          <w:szCs w:val="24"/>
        </w:rPr>
        <w:t xml:space="preserve"> began</w:t>
      </w:r>
      <w:r w:rsidRPr="00737A12">
        <w:rPr>
          <w:rFonts w:cstheme="minorHAnsi"/>
          <w:sz w:val="24"/>
          <w:szCs w:val="24"/>
        </w:rPr>
        <w:t xml:space="preserve"> </w:t>
      </w:r>
      <w:r w:rsidR="00345A4D">
        <w:rPr>
          <w:rFonts w:cstheme="minorHAnsi"/>
          <w:sz w:val="24"/>
          <w:szCs w:val="24"/>
        </w:rPr>
        <w:t xml:space="preserve">as </w:t>
      </w:r>
      <w:r w:rsidRPr="00737A12">
        <w:rPr>
          <w:rFonts w:cstheme="minorHAnsi"/>
          <w:sz w:val="24"/>
          <w:szCs w:val="24"/>
        </w:rPr>
        <w:t>a collaboration between ATSDR and NEHA under a cooperative agreement (funded through July 202</w:t>
      </w:r>
      <w:r w:rsidR="00712BA7">
        <w:rPr>
          <w:rFonts w:cstheme="minorHAnsi"/>
          <w:sz w:val="24"/>
          <w:szCs w:val="24"/>
        </w:rPr>
        <w:t>3</w:t>
      </w:r>
      <w:r w:rsidRPr="00737A12">
        <w:rPr>
          <w:rFonts w:cstheme="minorHAnsi"/>
          <w:sz w:val="24"/>
          <w:szCs w:val="24"/>
        </w:rPr>
        <w:t>) as well as their long-standing (unfunded) partnership.</w:t>
      </w:r>
      <w:r>
        <w:rPr>
          <w:sz w:val="24"/>
          <w:szCs w:val="24"/>
        </w:rPr>
        <w:t xml:space="preserve"> </w:t>
      </w:r>
      <w:r w:rsidRPr="78D3267D" w:rsidR="1E2C8570">
        <w:rPr>
          <w:sz w:val="24"/>
          <w:szCs w:val="24"/>
        </w:rPr>
        <w:t>ATSDR created the content for the “Environmental Health and Land Reuse” (EHLR) training. ATSDR maintains and supports 10-hour classroom EHLR trainings</w:t>
      </w:r>
      <w:r w:rsidR="00FC1E86">
        <w:rPr>
          <w:sz w:val="24"/>
          <w:szCs w:val="24"/>
        </w:rPr>
        <w:t>,</w:t>
      </w:r>
      <w:r w:rsidR="00FE0891">
        <w:rPr>
          <w:sz w:val="24"/>
          <w:szCs w:val="24"/>
        </w:rPr>
        <w:t xml:space="preserve"> referred to as </w:t>
      </w:r>
      <w:r w:rsidR="000F40C4">
        <w:rPr>
          <w:sz w:val="24"/>
          <w:szCs w:val="24"/>
        </w:rPr>
        <w:t>the “</w:t>
      </w:r>
      <w:r w:rsidR="00FE0891">
        <w:rPr>
          <w:sz w:val="24"/>
          <w:szCs w:val="24"/>
        </w:rPr>
        <w:t>EHLR Basic</w:t>
      </w:r>
      <w:r w:rsidR="000F40C4">
        <w:rPr>
          <w:sz w:val="24"/>
          <w:szCs w:val="24"/>
        </w:rPr>
        <w:t xml:space="preserve"> Course” </w:t>
      </w:r>
      <w:r w:rsidRPr="78D3267D" w:rsidR="000F40C4">
        <w:rPr>
          <w:sz w:val="24"/>
          <w:szCs w:val="24"/>
        </w:rPr>
        <w:t>and will add the new conference-based “</w:t>
      </w:r>
      <w:r w:rsidR="00D344D2">
        <w:rPr>
          <w:sz w:val="24"/>
          <w:szCs w:val="24"/>
        </w:rPr>
        <w:t xml:space="preserve">EHLR </w:t>
      </w:r>
      <w:r w:rsidR="00291DE5">
        <w:rPr>
          <w:sz w:val="24"/>
          <w:szCs w:val="24"/>
        </w:rPr>
        <w:t>Immersion</w:t>
      </w:r>
      <w:r w:rsidRPr="78D3267D" w:rsidR="000F40C4">
        <w:rPr>
          <w:sz w:val="24"/>
          <w:szCs w:val="24"/>
        </w:rPr>
        <w:t xml:space="preserve"> Training</w:t>
      </w:r>
      <w:r w:rsidR="00C46843">
        <w:rPr>
          <w:sz w:val="24"/>
          <w:szCs w:val="24"/>
        </w:rPr>
        <w:t>.</w:t>
      </w:r>
      <w:r w:rsidRPr="78D3267D" w:rsidR="000F40C4">
        <w:rPr>
          <w:sz w:val="24"/>
          <w:szCs w:val="24"/>
        </w:rPr>
        <w:t>”</w:t>
      </w:r>
      <w:r w:rsidR="002F2997">
        <w:rPr>
          <w:sz w:val="24"/>
          <w:szCs w:val="24"/>
        </w:rPr>
        <w:t xml:space="preserve"> </w:t>
      </w:r>
      <w:r>
        <w:rPr>
          <w:rStyle w:val="FootnoteReference"/>
          <w:rFonts w:cstheme="minorHAnsi"/>
          <w:sz w:val="24"/>
          <w:szCs w:val="24"/>
        </w:rPr>
        <w:footnoteReference w:id="2"/>
      </w:r>
      <w:r w:rsidR="002F2997">
        <w:rPr>
          <w:sz w:val="24"/>
          <w:szCs w:val="24"/>
        </w:rPr>
        <w:t xml:space="preserve"> </w:t>
      </w:r>
      <w:r w:rsidRPr="78D3267D" w:rsidR="137B5486">
        <w:rPr>
          <w:sz w:val="24"/>
          <w:szCs w:val="24"/>
        </w:rPr>
        <w:t>NEHA continue</w:t>
      </w:r>
      <w:r w:rsidR="002F2997">
        <w:rPr>
          <w:sz w:val="24"/>
          <w:szCs w:val="24"/>
        </w:rPr>
        <w:t>s</w:t>
      </w:r>
      <w:r w:rsidRPr="78D3267D" w:rsidR="137B5486">
        <w:rPr>
          <w:sz w:val="24"/>
          <w:szCs w:val="24"/>
        </w:rPr>
        <w:t xml:space="preserve"> to support ATSDR with course credentialing and certification for ATSDR’s </w:t>
      </w:r>
      <w:r w:rsidR="002F2997">
        <w:rPr>
          <w:sz w:val="24"/>
          <w:szCs w:val="24"/>
        </w:rPr>
        <w:t>EHLR trainings.</w:t>
      </w:r>
      <w:r w:rsidRPr="78D3267D" w:rsidR="1BD2F42A">
        <w:rPr>
          <w:sz w:val="24"/>
          <w:szCs w:val="24"/>
        </w:rPr>
        <w:t xml:space="preserve"> </w:t>
      </w:r>
    </w:p>
    <w:p w:rsidR="0041642A" w:rsidRPr="0041642A" w:rsidP="78D3267D" w14:paraId="0A9F6D70" w14:textId="3B6ECE9E">
      <w:pPr>
        <w:rPr>
          <w:sz w:val="24"/>
          <w:szCs w:val="24"/>
        </w:rPr>
      </w:pPr>
      <w:r>
        <w:rPr>
          <w:sz w:val="24"/>
          <w:szCs w:val="24"/>
        </w:rPr>
        <w:t>Modifications in the ICR</w:t>
      </w:r>
      <w:r w:rsidRPr="78D3267D">
        <w:rPr>
          <w:sz w:val="24"/>
          <w:szCs w:val="24"/>
        </w:rPr>
        <w:t xml:space="preserve"> reflect a change in the training administration. </w:t>
      </w:r>
      <w:r>
        <w:rPr>
          <w:sz w:val="24"/>
          <w:szCs w:val="24"/>
        </w:rPr>
        <w:t>Previously</w:t>
      </w:r>
      <w:r w:rsidRPr="78D3267D">
        <w:rPr>
          <w:sz w:val="24"/>
          <w:szCs w:val="24"/>
        </w:rPr>
        <w:t xml:space="preserve">, the training was to be administered under the CDC </w:t>
      </w:r>
      <w:hyperlink r:id="rId10" w:history="1">
        <w:r w:rsidRPr="78D3267D">
          <w:rPr>
            <w:rStyle w:val="Hyperlink"/>
            <w:sz w:val="24"/>
            <w:szCs w:val="24"/>
          </w:rPr>
          <w:t>Training and Continuing Education Online (TCEO) system</w:t>
        </w:r>
      </w:hyperlink>
      <w:r w:rsidRPr="78D3267D">
        <w:rPr>
          <w:sz w:val="24"/>
          <w:szCs w:val="24"/>
        </w:rPr>
        <w:t xml:space="preserve"> (see “Application for Training” [OMB Control No. 0920-0017; expiration date 0</w:t>
      </w:r>
      <w:r>
        <w:rPr>
          <w:sz w:val="24"/>
          <w:szCs w:val="24"/>
        </w:rPr>
        <w:t>9</w:t>
      </w:r>
      <w:r w:rsidRPr="78D3267D">
        <w:rPr>
          <w:sz w:val="24"/>
          <w:szCs w:val="24"/>
        </w:rPr>
        <w:t>/30/202</w:t>
      </w:r>
      <w:r>
        <w:rPr>
          <w:sz w:val="24"/>
          <w:szCs w:val="24"/>
        </w:rPr>
        <w:t>5</w:t>
      </w:r>
      <w:r w:rsidRPr="78D3267D">
        <w:rPr>
          <w:sz w:val="24"/>
          <w:szCs w:val="24"/>
        </w:rPr>
        <w:t xml:space="preserve">]). ATSDR </w:t>
      </w:r>
      <w:r>
        <w:rPr>
          <w:sz w:val="24"/>
          <w:szCs w:val="24"/>
        </w:rPr>
        <w:t xml:space="preserve">has </w:t>
      </w:r>
      <w:r w:rsidRPr="78D3267D">
        <w:rPr>
          <w:sz w:val="24"/>
          <w:szCs w:val="24"/>
        </w:rPr>
        <w:t xml:space="preserve">decided to move away from TCEO, to focus on </w:t>
      </w:r>
      <w:r>
        <w:rPr>
          <w:sz w:val="24"/>
          <w:szCs w:val="24"/>
        </w:rPr>
        <w:t xml:space="preserve">its own </w:t>
      </w:r>
      <w:r w:rsidRPr="78D3267D">
        <w:rPr>
          <w:sz w:val="24"/>
          <w:szCs w:val="24"/>
        </w:rPr>
        <w:t>classroom training</w:t>
      </w:r>
      <w:r>
        <w:rPr>
          <w:sz w:val="24"/>
          <w:szCs w:val="24"/>
        </w:rPr>
        <w:t xml:space="preserve"> and to collect its own course </w:t>
      </w:r>
      <w:r w:rsidRPr="78D3267D">
        <w:rPr>
          <w:sz w:val="24"/>
          <w:szCs w:val="24"/>
        </w:rPr>
        <w:t>registratio</w:t>
      </w:r>
      <w:r>
        <w:rPr>
          <w:sz w:val="24"/>
          <w:szCs w:val="24"/>
        </w:rPr>
        <w:t xml:space="preserve">n and </w:t>
      </w:r>
      <w:r w:rsidR="006B76C3">
        <w:rPr>
          <w:sz w:val="24"/>
          <w:szCs w:val="24"/>
        </w:rPr>
        <w:t>participant self-assessment</w:t>
      </w:r>
      <w:r>
        <w:rPr>
          <w:sz w:val="24"/>
          <w:szCs w:val="24"/>
        </w:rPr>
        <w:t xml:space="preserve"> information</w:t>
      </w:r>
      <w:r w:rsidRPr="78D3267D">
        <w:rPr>
          <w:sz w:val="24"/>
          <w:szCs w:val="24"/>
        </w:rPr>
        <w:t xml:space="preserve">. </w:t>
      </w:r>
      <w:r>
        <w:rPr>
          <w:sz w:val="24"/>
          <w:szCs w:val="24"/>
        </w:rPr>
        <w:t xml:space="preserve">Therefore, </w:t>
      </w:r>
      <w:r w:rsidRPr="78D3267D" w:rsidR="36EAADD0">
        <w:rPr>
          <w:sz w:val="24"/>
          <w:szCs w:val="24"/>
        </w:rPr>
        <w:t>ATSDR plans an annual enrollment of 225 respondents in the suite of EHLR trainings (</w:t>
      </w:r>
      <w:r w:rsidRPr="78D3267D" w:rsidR="0D1E400B">
        <w:rPr>
          <w:sz w:val="24"/>
          <w:szCs w:val="24"/>
        </w:rPr>
        <w:t xml:space="preserve">the </w:t>
      </w:r>
      <w:r w:rsidRPr="78D3267D" w:rsidR="36EAADD0">
        <w:rPr>
          <w:sz w:val="24"/>
          <w:szCs w:val="24"/>
        </w:rPr>
        <w:t xml:space="preserve">10-hour </w:t>
      </w:r>
      <w:r w:rsidR="00245406">
        <w:rPr>
          <w:sz w:val="24"/>
          <w:szCs w:val="24"/>
        </w:rPr>
        <w:t xml:space="preserve">classroom-based </w:t>
      </w:r>
      <w:r w:rsidRPr="78D3267D" w:rsidR="0D1E400B">
        <w:rPr>
          <w:sz w:val="24"/>
          <w:szCs w:val="24"/>
        </w:rPr>
        <w:t>“</w:t>
      </w:r>
      <w:r w:rsidRPr="78D3267D" w:rsidR="36EAADD0">
        <w:rPr>
          <w:sz w:val="24"/>
          <w:szCs w:val="24"/>
        </w:rPr>
        <w:t>EHLR Basic Course</w:t>
      </w:r>
      <w:r w:rsidRPr="78D3267D" w:rsidR="0D1E400B">
        <w:rPr>
          <w:sz w:val="24"/>
          <w:szCs w:val="24"/>
        </w:rPr>
        <w:t>”</w:t>
      </w:r>
      <w:r w:rsidR="00BD5353">
        <w:rPr>
          <w:sz w:val="24"/>
          <w:szCs w:val="24"/>
        </w:rPr>
        <w:t xml:space="preserve"> </w:t>
      </w:r>
      <w:r w:rsidR="00245406">
        <w:rPr>
          <w:sz w:val="24"/>
          <w:szCs w:val="24"/>
        </w:rPr>
        <w:t>a</w:t>
      </w:r>
      <w:r w:rsidRPr="78D3267D" w:rsidR="36EAADD0">
        <w:rPr>
          <w:sz w:val="24"/>
          <w:szCs w:val="24"/>
        </w:rPr>
        <w:t>nd the</w:t>
      </w:r>
      <w:r w:rsidR="004C0DCC">
        <w:rPr>
          <w:sz w:val="24"/>
          <w:szCs w:val="24"/>
        </w:rPr>
        <w:t xml:space="preserve"> 20-hour</w:t>
      </w:r>
      <w:r w:rsidRPr="78D3267D" w:rsidR="36EAADD0">
        <w:rPr>
          <w:sz w:val="24"/>
          <w:szCs w:val="24"/>
        </w:rPr>
        <w:t xml:space="preserve"> </w:t>
      </w:r>
      <w:r w:rsidR="00245406">
        <w:rPr>
          <w:sz w:val="24"/>
          <w:szCs w:val="24"/>
        </w:rPr>
        <w:t>virtual or live conference-</w:t>
      </w:r>
      <w:r w:rsidR="00194A8D">
        <w:rPr>
          <w:sz w:val="24"/>
          <w:szCs w:val="24"/>
        </w:rPr>
        <w:t xml:space="preserve">based </w:t>
      </w:r>
      <w:r w:rsidRPr="78D3267D" w:rsidR="36EAADD0">
        <w:rPr>
          <w:sz w:val="24"/>
          <w:szCs w:val="24"/>
        </w:rPr>
        <w:t>“</w:t>
      </w:r>
      <w:r w:rsidR="00291DE5">
        <w:rPr>
          <w:sz w:val="24"/>
          <w:szCs w:val="24"/>
        </w:rPr>
        <w:t>Immersion</w:t>
      </w:r>
      <w:r w:rsidRPr="78D3267D" w:rsidR="36EAADD0">
        <w:rPr>
          <w:sz w:val="24"/>
          <w:szCs w:val="24"/>
        </w:rPr>
        <w:t xml:space="preserve"> Training”</w:t>
      </w:r>
      <w:r w:rsidR="001E6B53">
        <w:rPr>
          <w:sz w:val="24"/>
          <w:szCs w:val="24"/>
        </w:rPr>
        <w:t>)</w:t>
      </w:r>
      <w:r w:rsidRPr="78D3267D" w:rsidR="36EAADD0">
        <w:rPr>
          <w:sz w:val="24"/>
          <w:szCs w:val="24"/>
        </w:rPr>
        <w:t xml:space="preserve">, which is </w:t>
      </w:r>
      <w:r w:rsidRPr="78D3267D" w:rsidR="5CD99544">
        <w:rPr>
          <w:sz w:val="24"/>
          <w:szCs w:val="24"/>
        </w:rPr>
        <w:t xml:space="preserve">an increase of </w:t>
      </w:r>
      <w:r w:rsidRPr="78D3267D" w:rsidR="36EAADD0">
        <w:rPr>
          <w:sz w:val="24"/>
          <w:szCs w:val="24"/>
        </w:rPr>
        <w:t xml:space="preserve">25 </w:t>
      </w:r>
      <w:r w:rsidRPr="78D3267D" w:rsidR="5CD99544">
        <w:rPr>
          <w:sz w:val="24"/>
          <w:szCs w:val="24"/>
        </w:rPr>
        <w:t xml:space="preserve">respondents </w:t>
      </w:r>
      <w:r w:rsidRPr="78D3267D" w:rsidR="36EAADD0">
        <w:rPr>
          <w:sz w:val="24"/>
          <w:szCs w:val="24"/>
        </w:rPr>
        <w:t xml:space="preserve">over the previously approved 200 respondents per year. The addition of registration and </w:t>
      </w:r>
      <w:r w:rsidR="006B76C3">
        <w:rPr>
          <w:sz w:val="24"/>
          <w:szCs w:val="24"/>
        </w:rPr>
        <w:t>self-assessment</w:t>
      </w:r>
      <w:r w:rsidRPr="78D3267D" w:rsidR="006B76C3">
        <w:rPr>
          <w:sz w:val="24"/>
          <w:szCs w:val="24"/>
        </w:rPr>
        <w:t xml:space="preserve"> </w:t>
      </w:r>
      <w:r w:rsidRPr="78D3267D" w:rsidR="36EAADD0">
        <w:rPr>
          <w:sz w:val="24"/>
          <w:szCs w:val="24"/>
        </w:rPr>
        <w:t xml:space="preserve">forms and the </w:t>
      </w:r>
      <w:r w:rsidRPr="78D3267D" w:rsidR="0D1E400B">
        <w:rPr>
          <w:sz w:val="24"/>
          <w:szCs w:val="24"/>
        </w:rPr>
        <w:t xml:space="preserve">completion and </w:t>
      </w:r>
      <w:r w:rsidRPr="78D3267D" w:rsidR="3A84F8CD">
        <w:rPr>
          <w:sz w:val="24"/>
          <w:szCs w:val="24"/>
        </w:rPr>
        <w:t>discontinuation</w:t>
      </w:r>
      <w:r w:rsidRPr="78D3267D" w:rsidR="36EAADD0">
        <w:rPr>
          <w:sz w:val="24"/>
          <w:szCs w:val="24"/>
        </w:rPr>
        <w:t xml:space="preserve"> of the follow-up survey</w:t>
      </w:r>
      <w:r w:rsidR="004201B3">
        <w:rPr>
          <w:sz w:val="24"/>
          <w:szCs w:val="24"/>
        </w:rPr>
        <w:t xml:space="preserve"> </w:t>
      </w:r>
      <w:r>
        <w:rPr>
          <w:sz w:val="24"/>
          <w:szCs w:val="24"/>
        </w:rPr>
        <w:t>under</w:t>
      </w:r>
      <w:r w:rsidR="004201B3">
        <w:rPr>
          <w:sz w:val="24"/>
          <w:szCs w:val="24"/>
        </w:rPr>
        <w:t xml:space="preserve"> the </w:t>
      </w:r>
      <w:r>
        <w:rPr>
          <w:sz w:val="24"/>
          <w:szCs w:val="24"/>
        </w:rPr>
        <w:t>previous</w:t>
      </w:r>
      <w:r w:rsidR="004201B3">
        <w:rPr>
          <w:sz w:val="24"/>
          <w:szCs w:val="24"/>
        </w:rPr>
        <w:t xml:space="preserve"> ICR, </w:t>
      </w:r>
      <w:r w:rsidRPr="78D3267D" w:rsidR="36EAADD0">
        <w:rPr>
          <w:sz w:val="24"/>
          <w:szCs w:val="24"/>
        </w:rPr>
        <w:t xml:space="preserve">will result in 1,600 annual responses, which is an increase of 1,400 over the previously approved 200 responses for the follow-up survey. The total time burden is estimated to be </w:t>
      </w:r>
      <w:r w:rsidR="0030501D">
        <w:rPr>
          <w:sz w:val="24"/>
          <w:szCs w:val="24"/>
        </w:rPr>
        <w:t>14</w:t>
      </w:r>
      <w:r w:rsidR="00A1649A">
        <w:rPr>
          <w:sz w:val="24"/>
          <w:szCs w:val="24"/>
        </w:rPr>
        <w:t>5</w:t>
      </w:r>
      <w:r w:rsidRPr="00942840" w:rsidR="36EAADD0">
        <w:rPr>
          <w:sz w:val="24"/>
          <w:szCs w:val="24"/>
        </w:rPr>
        <w:t xml:space="preserve"> hours, which is an increase of </w:t>
      </w:r>
      <w:r w:rsidR="0030501D">
        <w:rPr>
          <w:sz w:val="24"/>
          <w:szCs w:val="24"/>
        </w:rPr>
        <w:t>7</w:t>
      </w:r>
      <w:r w:rsidR="00A1649A">
        <w:rPr>
          <w:sz w:val="24"/>
          <w:szCs w:val="24"/>
        </w:rPr>
        <w:t>8</w:t>
      </w:r>
      <w:r w:rsidRPr="00942840" w:rsidR="00942840">
        <w:rPr>
          <w:sz w:val="24"/>
          <w:szCs w:val="24"/>
        </w:rPr>
        <w:t xml:space="preserve"> hours</w:t>
      </w:r>
      <w:r w:rsidRPr="00942840" w:rsidR="36EAADD0">
        <w:rPr>
          <w:sz w:val="24"/>
          <w:szCs w:val="24"/>
        </w:rPr>
        <w:t xml:space="preserve"> over</w:t>
      </w:r>
      <w:r w:rsidRPr="78D3267D" w:rsidR="36EAADD0">
        <w:rPr>
          <w:sz w:val="24"/>
          <w:szCs w:val="24"/>
        </w:rPr>
        <w:t xml:space="preserve"> the previously approved 67 hours. </w:t>
      </w:r>
      <w:r w:rsidRPr="78D3267D" w:rsidR="3A84F8CD">
        <w:rPr>
          <w:sz w:val="24"/>
          <w:szCs w:val="24"/>
        </w:rPr>
        <w:t xml:space="preserve">More details about the requested </w:t>
      </w:r>
      <w:r w:rsidR="00740728">
        <w:rPr>
          <w:sz w:val="24"/>
          <w:szCs w:val="24"/>
        </w:rPr>
        <w:t>ICR change</w:t>
      </w:r>
      <w:r w:rsidRPr="78D3267D" w:rsidR="3A84F8CD">
        <w:rPr>
          <w:sz w:val="24"/>
          <w:szCs w:val="24"/>
        </w:rPr>
        <w:t>s are provided in Section A.15.</w:t>
      </w:r>
    </w:p>
    <w:p w:rsidR="0016730F" w:rsidRPr="0041642A" w:rsidP="00312582" w14:paraId="60744196" w14:textId="0479F489">
      <w:pPr>
        <w:rPr>
          <w:sz w:val="24"/>
          <w:szCs w:val="24"/>
        </w:rPr>
      </w:pPr>
      <w:r w:rsidRPr="78D3267D">
        <w:rPr>
          <w:sz w:val="24"/>
          <w:szCs w:val="24"/>
        </w:rPr>
        <w:t xml:space="preserve">ATSDR is </w:t>
      </w:r>
      <w:r>
        <w:rPr>
          <w:sz w:val="24"/>
          <w:szCs w:val="24"/>
        </w:rPr>
        <w:t>authorized to conduct this EHLR training under the</w:t>
      </w:r>
      <w:r w:rsidRPr="78D3267D">
        <w:rPr>
          <w:sz w:val="24"/>
          <w:szCs w:val="24"/>
        </w:rPr>
        <w:t xml:space="preserve"> Comprehensive Environmental Response, Compensation, and Liability Act of 1980 (CERCLA) and the Superfund Amendments and Reauthorization Act of 1986 (SARA)</w:t>
      </w:r>
      <w:r w:rsidRPr="78D3267D">
        <w:rPr>
          <w:sz w:val="24"/>
          <w:szCs w:val="24"/>
        </w:rPr>
        <w:t xml:space="preserve"> (Attachment 1).</w:t>
      </w:r>
    </w:p>
    <w:p w:rsidR="00857E11" w:rsidP="009930AB" w14:paraId="0A5EFC96" w14:textId="76A7E44E">
      <w:pPr>
        <w:rPr>
          <w:sz w:val="24"/>
          <w:szCs w:val="24"/>
        </w:rPr>
      </w:pPr>
      <w:r w:rsidRPr="0041642A">
        <w:rPr>
          <w:rFonts w:cstheme="minorHAnsi"/>
          <w:sz w:val="24"/>
          <w:szCs w:val="24"/>
        </w:rPr>
        <w:t xml:space="preserve">The 60-day Federal Register Notice (Attachment 2) was published on </w:t>
      </w:r>
      <w:r w:rsidR="00101F90">
        <w:rPr>
          <w:rFonts w:cstheme="minorHAnsi"/>
          <w:sz w:val="24"/>
          <w:szCs w:val="24"/>
        </w:rPr>
        <w:t xml:space="preserve">04/07/2023 </w:t>
      </w:r>
      <w:r w:rsidRPr="0041642A">
        <w:rPr>
          <w:rFonts w:cstheme="minorHAnsi"/>
          <w:sz w:val="24"/>
          <w:szCs w:val="24"/>
        </w:rPr>
        <w:t>and is further discussed in Section A.8.</w:t>
      </w:r>
    </w:p>
    <w:p w:rsidR="00B45002" w:rsidRPr="00D20211" w:rsidP="78D3267D" w14:paraId="66725973" w14:textId="05136897">
      <w:pPr>
        <w:pStyle w:val="Heading1"/>
        <w:pBdr>
          <w:bottom w:val="none" w:sz="0" w:space="0" w:color="auto"/>
        </w:pBdr>
        <w:rPr>
          <w:color w:val="auto"/>
        </w:rPr>
      </w:pPr>
      <w:bookmarkStart w:id="8" w:name="_Toc596078659"/>
      <w:bookmarkStart w:id="9" w:name="_Toc2022239563"/>
      <w:bookmarkStart w:id="10" w:name="_Toc126589443"/>
      <w:r w:rsidRPr="78D3267D">
        <w:rPr>
          <w:color w:val="auto"/>
        </w:rPr>
        <w:t>A.</w:t>
      </w:r>
      <w:r w:rsidRPr="78D3267D" w:rsidR="714C3602">
        <w:rPr>
          <w:color w:val="auto"/>
        </w:rPr>
        <w:t xml:space="preserve">2.  </w:t>
      </w:r>
      <w:r w:rsidRPr="78D3267D" w:rsidR="014C2D95">
        <w:rPr>
          <w:color w:val="auto"/>
        </w:rPr>
        <w:t>Purpose and Use of the Information Collection</w:t>
      </w:r>
      <w:bookmarkEnd w:id="8"/>
      <w:bookmarkEnd w:id="9"/>
      <w:bookmarkEnd w:id="10"/>
    </w:p>
    <w:p w:rsidR="00822288" w:rsidP="00885FED" w14:paraId="3AFC00DC" w14:textId="77777777">
      <w:pPr>
        <w:rPr>
          <w:sz w:val="24"/>
          <w:szCs w:val="24"/>
        </w:rPr>
      </w:pPr>
    </w:p>
    <w:p w:rsidR="00885FED" w:rsidRPr="004E13AE" w:rsidP="00885FED" w14:paraId="45800C3D" w14:textId="51263175">
      <w:pPr>
        <w:rPr>
          <w:sz w:val="24"/>
          <w:szCs w:val="24"/>
        </w:rPr>
      </w:pPr>
      <w:r w:rsidRPr="78D3267D">
        <w:rPr>
          <w:sz w:val="24"/>
          <w:szCs w:val="24"/>
        </w:rPr>
        <w:t xml:space="preserve">The </w:t>
      </w:r>
      <w:r w:rsidR="00CD4AEB">
        <w:rPr>
          <w:sz w:val="24"/>
          <w:szCs w:val="24"/>
        </w:rPr>
        <w:t xml:space="preserve">ATSDR’s </w:t>
      </w:r>
      <w:r w:rsidRPr="78D3267D">
        <w:rPr>
          <w:sz w:val="24"/>
          <w:szCs w:val="24"/>
        </w:rPr>
        <w:t xml:space="preserve">EHLR suite of certificate programs consist </w:t>
      </w:r>
      <w:r w:rsidR="00CD4AEB">
        <w:rPr>
          <w:sz w:val="24"/>
          <w:szCs w:val="24"/>
        </w:rPr>
        <w:t xml:space="preserve">of </w:t>
      </w:r>
      <w:r w:rsidRPr="78D3267D">
        <w:rPr>
          <w:sz w:val="24"/>
          <w:szCs w:val="24"/>
        </w:rPr>
        <w:t xml:space="preserve">a classroom 10-hour EHLR </w:t>
      </w:r>
      <w:r>
        <w:rPr>
          <w:sz w:val="24"/>
          <w:szCs w:val="24"/>
        </w:rPr>
        <w:t xml:space="preserve">Basic </w:t>
      </w:r>
      <w:r w:rsidRPr="78D3267D">
        <w:rPr>
          <w:sz w:val="24"/>
          <w:szCs w:val="24"/>
        </w:rPr>
        <w:t xml:space="preserve">course hosted on ATSDR’s Land Reuse website, plus </w:t>
      </w:r>
      <w:r w:rsidR="006B76C3">
        <w:rPr>
          <w:sz w:val="24"/>
          <w:szCs w:val="24"/>
        </w:rPr>
        <w:t xml:space="preserve">a </w:t>
      </w:r>
      <w:r w:rsidRPr="78D3267D">
        <w:rPr>
          <w:sz w:val="24"/>
          <w:szCs w:val="24"/>
        </w:rPr>
        <w:t xml:space="preserve">virtual or live </w:t>
      </w:r>
      <w:r w:rsidR="00017438">
        <w:rPr>
          <w:sz w:val="24"/>
          <w:szCs w:val="24"/>
        </w:rPr>
        <w:t xml:space="preserve">EHLR </w:t>
      </w:r>
      <w:r w:rsidR="00291DE5">
        <w:rPr>
          <w:sz w:val="24"/>
          <w:szCs w:val="24"/>
        </w:rPr>
        <w:t>Immersion</w:t>
      </w:r>
      <w:r w:rsidRPr="78D3267D">
        <w:rPr>
          <w:sz w:val="24"/>
          <w:szCs w:val="24"/>
        </w:rPr>
        <w:t xml:space="preserve"> conference training held </w:t>
      </w:r>
      <w:r w:rsidR="008048D8">
        <w:rPr>
          <w:sz w:val="24"/>
          <w:szCs w:val="24"/>
        </w:rPr>
        <w:t>two to four</w:t>
      </w:r>
      <w:r w:rsidRPr="78D3267D">
        <w:rPr>
          <w:sz w:val="24"/>
          <w:szCs w:val="24"/>
        </w:rPr>
        <w:t xml:space="preserve"> times per year. This </w:t>
      </w:r>
      <w:r>
        <w:rPr>
          <w:sz w:val="24"/>
          <w:szCs w:val="24"/>
        </w:rPr>
        <w:t>reinstatement with change</w:t>
      </w:r>
      <w:r w:rsidRPr="78D3267D">
        <w:rPr>
          <w:sz w:val="24"/>
          <w:szCs w:val="24"/>
        </w:rPr>
        <w:t xml:space="preserve"> ICR cover</w:t>
      </w:r>
      <w:r w:rsidR="001626CB">
        <w:rPr>
          <w:sz w:val="24"/>
          <w:szCs w:val="24"/>
        </w:rPr>
        <w:t>s</w:t>
      </w:r>
      <w:r w:rsidRPr="78D3267D">
        <w:rPr>
          <w:sz w:val="24"/>
          <w:szCs w:val="24"/>
        </w:rPr>
        <w:t xml:space="preserve"> the ATSDR classroom </w:t>
      </w:r>
      <w:r w:rsidR="001626CB">
        <w:rPr>
          <w:sz w:val="24"/>
          <w:szCs w:val="24"/>
        </w:rPr>
        <w:t xml:space="preserve">“EHLR Basic Course” </w:t>
      </w:r>
      <w:r w:rsidRPr="78D3267D" w:rsidR="001626CB">
        <w:rPr>
          <w:sz w:val="24"/>
          <w:szCs w:val="24"/>
        </w:rPr>
        <w:t xml:space="preserve">and the new </w:t>
      </w:r>
      <w:r w:rsidRPr="78D3267D" w:rsidR="00B2180D">
        <w:rPr>
          <w:sz w:val="24"/>
          <w:szCs w:val="24"/>
        </w:rPr>
        <w:t>conference based</w:t>
      </w:r>
      <w:r w:rsidRPr="78D3267D" w:rsidR="001626CB">
        <w:rPr>
          <w:sz w:val="24"/>
          <w:szCs w:val="24"/>
        </w:rPr>
        <w:t xml:space="preserve"> “</w:t>
      </w:r>
      <w:r w:rsidR="001626CB">
        <w:rPr>
          <w:sz w:val="24"/>
          <w:szCs w:val="24"/>
        </w:rPr>
        <w:t xml:space="preserve">EHLR </w:t>
      </w:r>
      <w:r w:rsidR="00291DE5">
        <w:rPr>
          <w:sz w:val="24"/>
          <w:szCs w:val="24"/>
        </w:rPr>
        <w:t>Immersion</w:t>
      </w:r>
      <w:r w:rsidRPr="78D3267D" w:rsidR="001626CB">
        <w:rPr>
          <w:sz w:val="24"/>
          <w:szCs w:val="24"/>
        </w:rPr>
        <w:t xml:space="preserve"> Training.”</w:t>
      </w:r>
    </w:p>
    <w:p w:rsidR="008F6744" w:rsidP="004E13AE" w14:paraId="3A087029" w14:textId="1C0919D7">
      <w:pPr>
        <w:rPr>
          <w:rFonts w:cstheme="minorHAnsi"/>
          <w:sz w:val="24"/>
          <w:szCs w:val="24"/>
        </w:rPr>
      </w:pPr>
      <w:r w:rsidRPr="004E13AE">
        <w:rPr>
          <w:rFonts w:cstheme="minorHAnsi"/>
          <w:sz w:val="24"/>
          <w:szCs w:val="24"/>
        </w:rPr>
        <w:t>The purpose of the information collection is to</w:t>
      </w:r>
      <w:r>
        <w:rPr>
          <w:rFonts w:cstheme="minorHAnsi"/>
          <w:sz w:val="24"/>
          <w:szCs w:val="24"/>
        </w:rPr>
        <w:t xml:space="preserve"> evaluate the job titles of participants (e.g., environmental health scientist, student in environmental health, environmental professional, other)</w:t>
      </w:r>
      <w:r w:rsidR="00345A4D">
        <w:rPr>
          <w:rFonts w:cstheme="minorHAnsi"/>
          <w:sz w:val="24"/>
          <w:szCs w:val="24"/>
        </w:rPr>
        <w:t xml:space="preserve"> </w:t>
      </w:r>
      <w:r w:rsidR="00B2180D">
        <w:rPr>
          <w:rFonts w:cstheme="minorHAnsi"/>
          <w:sz w:val="24"/>
          <w:szCs w:val="24"/>
        </w:rPr>
        <w:t>collect</w:t>
      </w:r>
      <w:r w:rsidR="00345A4D">
        <w:rPr>
          <w:rFonts w:cstheme="minorHAnsi"/>
          <w:sz w:val="24"/>
          <w:szCs w:val="24"/>
        </w:rPr>
        <w:t>ed via registration</w:t>
      </w:r>
      <w:r w:rsidR="006355FF">
        <w:rPr>
          <w:rFonts w:cstheme="minorHAnsi"/>
          <w:sz w:val="24"/>
          <w:szCs w:val="24"/>
        </w:rPr>
        <w:t xml:space="preserve"> </w:t>
      </w:r>
      <w:r w:rsidR="00666CB1">
        <w:rPr>
          <w:rFonts w:cstheme="minorHAnsi"/>
          <w:sz w:val="24"/>
          <w:szCs w:val="24"/>
        </w:rPr>
        <w:t xml:space="preserve">and </w:t>
      </w:r>
      <w:r w:rsidR="006130B7">
        <w:rPr>
          <w:rFonts w:cstheme="minorHAnsi"/>
          <w:sz w:val="24"/>
          <w:szCs w:val="24"/>
        </w:rPr>
        <w:t xml:space="preserve">to evaluate </w:t>
      </w:r>
      <w:r w:rsidR="00666CB1">
        <w:rPr>
          <w:rFonts w:cstheme="minorHAnsi"/>
          <w:sz w:val="24"/>
          <w:szCs w:val="24"/>
        </w:rPr>
        <w:t>course</w:t>
      </w:r>
      <w:r w:rsidR="005F2C95">
        <w:rPr>
          <w:rFonts w:cstheme="minorHAnsi"/>
          <w:sz w:val="24"/>
          <w:szCs w:val="24"/>
        </w:rPr>
        <w:t xml:space="preserve"> component </w:t>
      </w:r>
      <w:r w:rsidRPr="004E13AE">
        <w:rPr>
          <w:rFonts w:cstheme="minorHAnsi"/>
          <w:sz w:val="24"/>
          <w:szCs w:val="24"/>
        </w:rPr>
        <w:t>data</w:t>
      </w:r>
      <w:r w:rsidR="00B87D88">
        <w:rPr>
          <w:rFonts w:cstheme="minorHAnsi"/>
          <w:sz w:val="24"/>
          <w:szCs w:val="24"/>
        </w:rPr>
        <w:t xml:space="preserve"> to assess </w:t>
      </w:r>
      <w:r w:rsidRPr="004E13AE">
        <w:rPr>
          <w:rFonts w:cstheme="minorHAnsi"/>
          <w:sz w:val="24"/>
          <w:szCs w:val="24"/>
        </w:rPr>
        <w:t xml:space="preserve">the </w:t>
      </w:r>
      <w:r w:rsidR="00B87D88">
        <w:rPr>
          <w:rFonts w:cstheme="minorHAnsi"/>
          <w:sz w:val="24"/>
          <w:szCs w:val="24"/>
        </w:rPr>
        <w:t>effectiveness</w:t>
      </w:r>
      <w:r w:rsidRPr="004E13AE">
        <w:rPr>
          <w:rFonts w:cstheme="minorHAnsi"/>
          <w:sz w:val="24"/>
          <w:szCs w:val="24"/>
        </w:rPr>
        <w:t xml:space="preserve"> of the certification</w:t>
      </w:r>
      <w:r w:rsidR="00352FE9">
        <w:rPr>
          <w:rFonts w:cstheme="minorHAnsi"/>
          <w:sz w:val="24"/>
          <w:szCs w:val="24"/>
        </w:rPr>
        <w:t>.</w:t>
      </w:r>
    </w:p>
    <w:p w:rsidR="004E13AE" w:rsidRPr="004E13AE" w:rsidP="004E13AE" w14:paraId="4F251AF6" w14:textId="120BC1A2">
      <w:pPr>
        <w:rPr>
          <w:rFonts w:cstheme="minorHAnsi"/>
          <w:sz w:val="24"/>
          <w:szCs w:val="24"/>
        </w:rPr>
      </w:pPr>
      <w:r>
        <w:rPr>
          <w:sz w:val="24"/>
          <w:szCs w:val="24"/>
        </w:rPr>
        <w:t>T</w:t>
      </w:r>
      <w:r w:rsidRPr="2A99278D">
        <w:rPr>
          <w:sz w:val="24"/>
          <w:szCs w:val="24"/>
        </w:rPr>
        <w:t>he EHLR training content focuses on increasing skills in land reuse and redevelopment through the integration of epidemiology, risk assessment, risk communication, and toxicology concepts and resources.</w:t>
      </w:r>
      <w:r>
        <w:rPr>
          <w:sz w:val="24"/>
          <w:szCs w:val="24"/>
        </w:rPr>
        <w:t xml:space="preserve"> </w:t>
      </w:r>
      <w:r w:rsidRPr="00D57BC5">
        <w:rPr>
          <w:sz w:val="24"/>
          <w:szCs w:val="24"/>
        </w:rPr>
        <w:t>The certification goals and course objectives are</w:t>
      </w:r>
      <w:r w:rsidRPr="004E13AE">
        <w:rPr>
          <w:rFonts w:cstheme="minorHAnsi"/>
          <w:sz w:val="24"/>
          <w:szCs w:val="24"/>
        </w:rPr>
        <w:t>:</w:t>
      </w:r>
    </w:p>
    <w:p w:rsidR="004E13AE" w:rsidRPr="004E13AE" w:rsidP="007F0C72" w14:paraId="5D883BDD" w14:textId="254A5DFD">
      <w:pPr>
        <w:pStyle w:val="ListParagraph"/>
        <w:numPr>
          <w:ilvl w:val="0"/>
          <w:numId w:val="3"/>
        </w:numPr>
        <w:spacing w:line="240" w:lineRule="auto"/>
        <w:rPr>
          <w:rFonts w:cstheme="minorHAnsi"/>
          <w:sz w:val="24"/>
          <w:szCs w:val="24"/>
        </w:rPr>
      </w:pPr>
      <w:r w:rsidRPr="004E13AE">
        <w:rPr>
          <w:rFonts w:cstheme="minorHAnsi"/>
          <w:sz w:val="24"/>
          <w:szCs w:val="24"/>
        </w:rPr>
        <w:t xml:space="preserve">Increase participant awareness and knowledge of environmental health and land </w:t>
      </w:r>
      <w:r w:rsidRPr="004E13AE">
        <w:rPr>
          <w:rFonts w:cstheme="minorHAnsi"/>
          <w:sz w:val="24"/>
          <w:szCs w:val="24"/>
        </w:rPr>
        <w:t>reuse;</w:t>
      </w:r>
    </w:p>
    <w:p w:rsidR="004E13AE" w:rsidRPr="004E13AE" w:rsidP="007F0C72" w14:paraId="4E6D67B9" w14:textId="4421DC22">
      <w:pPr>
        <w:pStyle w:val="ListParagraph"/>
        <w:numPr>
          <w:ilvl w:val="0"/>
          <w:numId w:val="3"/>
        </w:numPr>
        <w:spacing w:line="240" w:lineRule="auto"/>
        <w:rPr>
          <w:rFonts w:cstheme="minorHAnsi"/>
          <w:sz w:val="24"/>
          <w:szCs w:val="24"/>
        </w:rPr>
      </w:pPr>
      <w:r w:rsidRPr="004E13AE">
        <w:rPr>
          <w:rFonts w:cstheme="minorHAnsi"/>
          <w:sz w:val="24"/>
          <w:szCs w:val="24"/>
        </w:rPr>
        <w:t xml:space="preserve">Increase skills and capacity of participants to engage in </w:t>
      </w:r>
      <w:r w:rsidR="000D4DE3">
        <w:rPr>
          <w:rFonts w:cstheme="minorHAnsi"/>
          <w:sz w:val="24"/>
          <w:szCs w:val="24"/>
        </w:rPr>
        <w:t>EHLR work</w:t>
      </w:r>
      <w:r w:rsidRPr="004E13AE">
        <w:rPr>
          <w:rFonts w:cstheme="minorHAnsi"/>
          <w:sz w:val="24"/>
          <w:szCs w:val="24"/>
        </w:rPr>
        <w:t>; and</w:t>
      </w:r>
    </w:p>
    <w:p w:rsidR="004E13AE" w:rsidP="007F0C72" w14:paraId="56310743" w14:textId="0B12844A">
      <w:pPr>
        <w:pStyle w:val="ListParagraph"/>
        <w:numPr>
          <w:ilvl w:val="0"/>
          <w:numId w:val="3"/>
        </w:numPr>
        <w:spacing w:line="240" w:lineRule="auto"/>
        <w:rPr>
          <w:rFonts w:cstheme="minorHAnsi"/>
          <w:sz w:val="24"/>
          <w:szCs w:val="24"/>
        </w:rPr>
      </w:pPr>
      <w:r w:rsidRPr="004E13AE">
        <w:rPr>
          <w:rFonts w:cstheme="minorHAnsi"/>
          <w:sz w:val="24"/>
          <w:szCs w:val="24"/>
        </w:rPr>
        <w:t>Assess participant feedback and evaluate their increased awareness, skills, and knowledge in environmental health and land reuse.</w:t>
      </w:r>
    </w:p>
    <w:p w:rsidR="00647D95" w:rsidRPr="007F0C72" w:rsidP="007F0C72" w14:paraId="2521ED58" w14:textId="2614FCFA">
      <w:pPr>
        <w:spacing w:before="360"/>
        <w:rPr>
          <w:rFonts w:cstheme="minorHAnsi"/>
          <w:i/>
          <w:iCs/>
          <w:sz w:val="24"/>
          <w:szCs w:val="24"/>
        </w:rPr>
      </w:pPr>
      <w:r>
        <w:rPr>
          <w:rFonts w:cstheme="minorHAnsi"/>
          <w:i/>
          <w:iCs/>
          <w:sz w:val="24"/>
          <w:szCs w:val="24"/>
        </w:rPr>
        <w:t>EHLR Accomplishments</w:t>
      </w:r>
    </w:p>
    <w:p w:rsidR="004E13AE" w:rsidP="004E13AE" w14:paraId="31F07420" w14:textId="194E0BB1">
      <w:pPr>
        <w:rPr>
          <w:rFonts w:cstheme="minorHAnsi"/>
          <w:sz w:val="24"/>
          <w:szCs w:val="24"/>
        </w:rPr>
      </w:pPr>
      <w:r>
        <w:rPr>
          <w:rFonts w:cstheme="minorHAnsi"/>
          <w:sz w:val="24"/>
          <w:szCs w:val="24"/>
        </w:rPr>
        <w:t xml:space="preserve">Based on </w:t>
      </w:r>
      <w:r w:rsidR="00AA29A6">
        <w:rPr>
          <w:rFonts w:cstheme="minorHAnsi"/>
          <w:sz w:val="24"/>
          <w:szCs w:val="24"/>
        </w:rPr>
        <w:t>EHLR</w:t>
      </w:r>
      <w:r>
        <w:rPr>
          <w:rFonts w:cstheme="minorHAnsi"/>
          <w:sz w:val="24"/>
          <w:szCs w:val="24"/>
        </w:rPr>
        <w:t xml:space="preserve"> trainings</w:t>
      </w:r>
      <w:r w:rsidR="00106950">
        <w:rPr>
          <w:rFonts w:cstheme="minorHAnsi"/>
          <w:sz w:val="24"/>
          <w:szCs w:val="24"/>
        </w:rPr>
        <w:t xml:space="preserve"> from 2019 to </w:t>
      </w:r>
      <w:r w:rsidR="00D6022C">
        <w:rPr>
          <w:rFonts w:cstheme="minorHAnsi"/>
          <w:sz w:val="24"/>
          <w:szCs w:val="24"/>
        </w:rPr>
        <w:t>2022</w:t>
      </w:r>
      <w:r w:rsidR="00106950">
        <w:rPr>
          <w:rFonts w:cstheme="minorHAnsi"/>
          <w:sz w:val="24"/>
          <w:szCs w:val="24"/>
        </w:rPr>
        <w:t xml:space="preserve">, the training </w:t>
      </w:r>
      <w:r w:rsidR="007E7AC9">
        <w:rPr>
          <w:rFonts w:cstheme="minorHAnsi"/>
          <w:sz w:val="24"/>
          <w:szCs w:val="24"/>
        </w:rPr>
        <w:t xml:space="preserve">is </w:t>
      </w:r>
      <w:r w:rsidR="00BA3CEE">
        <w:rPr>
          <w:rFonts w:cstheme="minorHAnsi"/>
          <w:sz w:val="24"/>
          <w:szCs w:val="24"/>
        </w:rPr>
        <w:t xml:space="preserve">shown to </w:t>
      </w:r>
      <w:r w:rsidR="007E7AC9">
        <w:rPr>
          <w:rFonts w:cstheme="minorHAnsi"/>
          <w:sz w:val="24"/>
          <w:szCs w:val="24"/>
        </w:rPr>
        <w:t>increas</w:t>
      </w:r>
      <w:r w:rsidR="00BA3CEE">
        <w:rPr>
          <w:rFonts w:cstheme="minorHAnsi"/>
          <w:sz w:val="24"/>
          <w:szCs w:val="24"/>
        </w:rPr>
        <w:t>e</w:t>
      </w:r>
      <w:r w:rsidR="007E7AC9">
        <w:rPr>
          <w:rFonts w:cstheme="minorHAnsi"/>
          <w:sz w:val="24"/>
          <w:szCs w:val="24"/>
        </w:rPr>
        <w:t xml:space="preserve"> participants’ capacity and skills to engage in environmental health </w:t>
      </w:r>
      <w:r w:rsidR="000D4DE3">
        <w:rPr>
          <w:rFonts w:cstheme="minorHAnsi"/>
          <w:sz w:val="24"/>
          <w:szCs w:val="24"/>
        </w:rPr>
        <w:t xml:space="preserve">work </w:t>
      </w:r>
      <w:r w:rsidR="007E7AC9">
        <w:rPr>
          <w:rFonts w:cstheme="minorHAnsi"/>
          <w:sz w:val="24"/>
          <w:szCs w:val="24"/>
        </w:rPr>
        <w:t>related to land reuse. An initial evaluation of participant pre- and post-</w:t>
      </w:r>
      <w:r w:rsidR="00C27FEB">
        <w:rPr>
          <w:rFonts w:cstheme="minorHAnsi"/>
          <w:sz w:val="24"/>
          <w:szCs w:val="24"/>
        </w:rPr>
        <w:t xml:space="preserve">test </w:t>
      </w:r>
      <w:r w:rsidR="007E7AC9">
        <w:rPr>
          <w:rFonts w:cstheme="minorHAnsi"/>
          <w:sz w:val="24"/>
          <w:szCs w:val="24"/>
        </w:rPr>
        <w:t>competencies</w:t>
      </w:r>
      <w:r w:rsidR="00EA02CD">
        <w:rPr>
          <w:rFonts w:cstheme="minorHAnsi"/>
          <w:sz w:val="24"/>
          <w:szCs w:val="24"/>
        </w:rPr>
        <w:t xml:space="preserve"> (these are no longer included in the </w:t>
      </w:r>
      <w:r w:rsidR="00464C3C">
        <w:rPr>
          <w:rFonts w:cstheme="minorHAnsi"/>
          <w:sz w:val="24"/>
          <w:szCs w:val="24"/>
        </w:rPr>
        <w:t xml:space="preserve">Basic </w:t>
      </w:r>
      <w:r w:rsidR="00EA02CD">
        <w:rPr>
          <w:rFonts w:cstheme="minorHAnsi"/>
          <w:sz w:val="24"/>
          <w:szCs w:val="24"/>
        </w:rPr>
        <w:t>training)</w:t>
      </w:r>
      <w:r w:rsidR="00161EE5">
        <w:rPr>
          <w:rFonts w:cstheme="minorHAnsi"/>
          <w:sz w:val="24"/>
          <w:szCs w:val="24"/>
        </w:rPr>
        <w:t xml:space="preserve"> indicates large improvements from pre- to post-training</w:t>
      </w:r>
      <w:r w:rsidR="00AA29A6">
        <w:rPr>
          <w:rFonts w:cstheme="minorHAnsi"/>
          <w:sz w:val="24"/>
          <w:szCs w:val="24"/>
        </w:rPr>
        <w:t xml:space="preserve">, regardless of training modality (e.g., </w:t>
      </w:r>
      <w:r w:rsidR="00AB28B7">
        <w:rPr>
          <w:rFonts w:cstheme="minorHAnsi"/>
          <w:sz w:val="24"/>
          <w:szCs w:val="24"/>
        </w:rPr>
        <w:t xml:space="preserve">ATSDR </w:t>
      </w:r>
      <w:r w:rsidR="00AA29A6">
        <w:rPr>
          <w:rFonts w:cstheme="minorHAnsi"/>
          <w:sz w:val="24"/>
          <w:szCs w:val="24"/>
        </w:rPr>
        <w:t xml:space="preserve">classroom vs. </w:t>
      </w:r>
      <w:r w:rsidR="00AB28B7">
        <w:rPr>
          <w:rFonts w:cstheme="minorHAnsi"/>
          <w:sz w:val="24"/>
          <w:szCs w:val="24"/>
        </w:rPr>
        <w:t xml:space="preserve">NEHA </w:t>
      </w:r>
      <w:r w:rsidR="00AA29A6">
        <w:rPr>
          <w:rFonts w:cstheme="minorHAnsi"/>
          <w:sz w:val="24"/>
          <w:szCs w:val="24"/>
        </w:rPr>
        <w:t>online asynchronous)</w:t>
      </w:r>
      <w:r w:rsidR="00161EE5">
        <w:rPr>
          <w:rFonts w:cstheme="minorHAnsi"/>
          <w:sz w:val="24"/>
          <w:szCs w:val="24"/>
        </w:rPr>
        <w:t xml:space="preserve">. Voluntary self-assessments (knowledge assessments) completed by many of the participants indicate that the training in general increases their skills and understanding of environmental health and land reuse and motivates them to learn more about land reuse. </w:t>
      </w:r>
    </w:p>
    <w:p w:rsidR="00DD6470" w:rsidP="00DD6470" w14:paraId="761F9B7F" w14:textId="1F904754">
      <w:pPr>
        <w:rPr>
          <w:color w:val="000000" w:themeColor="text1"/>
          <w:sz w:val="24"/>
          <w:szCs w:val="24"/>
        </w:rPr>
      </w:pPr>
      <w:bookmarkStart w:id="11" w:name="_Hlk124508471"/>
      <w:r w:rsidRPr="007F0C72">
        <w:rPr>
          <w:color w:val="000000" w:themeColor="text1"/>
          <w:sz w:val="24"/>
          <w:szCs w:val="24"/>
        </w:rPr>
        <w:t xml:space="preserve">Under the previous PRA clearance, ATSDR conducted the one-time follow up of the 10-hour </w:t>
      </w:r>
      <w:r>
        <w:rPr>
          <w:sz w:val="24"/>
          <w:szCs w:val="24"/>
        </w:rPr>
        <w:t>“EHLR Basic Course”</w:t>
      </w:r>
      <w:r w:rsidRPr="007F0C72">
        <w:rPr>
          <w:color w:val="000000" w:themeColor="text1"/>
          <w:sz w:val="24"/>
          <w:szCs w:val="24"/>
        </w:rPr>
        <w:t xml:space="preserve"> in May and June of 2022. The follow up was conducted within 12 months post-training for a subset of training participants. </w:t>
      </w:r>
      <w:r w:rsidRPr="78D3267D">
        <w:rPr>
          <w:sz w:val="24"/>
          <w:szCs w:val="24"/>
        </w:rPr>
        <w:t>The evaluation data and feedback information help</w:t>
      </w:r>
      <w:r w:rsidR="00345A4D">
        <w:rPr>
          <w:sz w:val="24"/>
          <w:szCs w:val="24"/>
        </w:rPr>
        <w:t>ed</w:t>
      </w:r>
      <w:r w:rsidRPr="78D3267D">
        <w:rPr>
          <w:sz w:val="24"/>
          <w:szCs w:val="24"/>
        </w:rPr>
        <w:t xml:space="preserve"> ATSDR determine impacts of the </w:t>
      </w:r>
      <w:r>
        <w:rPr>
          <w:sz w:val="24"/>
          <w:szCs w:val="24"/>
        </w:rPr>
        <w:t xml:space="preserve">EHLR </w:t>
      </w:r>
      <w:r w:rsidR="00EE5780">
        <w:rPr>
          <w:sz w:val="24"/>
          <w:szCs w:val="24"/>
        </w:rPr>
        <w:t xml:space="preserve">Basic </w:t>
      </w:r>
      <w:r w:rsidRPr="78D3267D">
        <w:rPr>
          <w:sz w:val="24"/>
          <w:szCs w:val="24"/>
        </w:rPr>
        <w:t>certificat</w:t>
      </w:r>
      <w:r w:rsidR="00EE5780">
        <w:rPr>
          <w:sz w:val="24"/>
          <w:szCs w:val="24"/>
        </w:rPr>
        <w:t>e</w:t>
      </w:r>
      <w:r w:rsidRPr="78D3267D">
        <w:rPr>
          <w:sz w:val="24"/>
          <w:szCs w:val="24"/>
        </w:rPr>
        <w:t xml:space="preserve"> course in building capacity and skills among environmental professionals in environmental health and land reuse. In addition, ATSDR use</w:t>
      </w:r>
      <w:r w:rsidR="00B2180D">
        <w:rPr>
          <w:sz w:val="24"/>
          <w:szCs w:val="24"/>
        </w:rPr>
        <w:t>d</w:t>
      </w:r>
      <w:r w:rsidR="00345A4D">
        <w:rPr>
          <w:sz w:val="24"/>
          <w:szCs w:val="24"/>
        </w:rPr>
        <w:t xml:space="preserve"> th</w:t>
      </w:r>
      <w:r w:rsidR="00954852">
        <w:rPr>
          <w:sz w:val="24"/>
          <w:szCs w:val="24"/>
        </w:rPr>
        <w:t>e</w:t>
      </w:r>
      <w:r w:rsidRPr="78D3267D">
        <w:rPr>
          <w:sz w:val="24"/>
          <w:szCs w:val="24"/>
        </w:rPr>
        <w:t xml:space="preserve"> feedback from course participants to enhance existing course materials or create new materials. </w:t>
      </w:r>
      <w:r w:rsidRPr="78D3267D">
        <w:rPr>
          <w:color w:val="000000" w:themeColor="text1"/>
          <w:sz w:val="24"/>
          <w:szCs w:val="24"/>
        </w:rPr>
        <w:t>ATSDR and NEHA may publish the results of the evaluation or use the information to inform the development of additional individual or collaborative environmental health and land reuse resources.</w:t>
      </w:r>
    </w:p>
    <w:bookmarkEnd w:id="11"/>
    <w:p w:rsidR="00C80CC7" w:rsidRPr="007F0C72" w:rsidP="007F0C72" w14:paraId="04FE38BA" w14:textId="195320E9">
      <w:pPr>
        <w:spacing w:before="360"/>
        <w:rPr>
          <w:rFonts w:cstheme="minorHAnsi"/>
          <w:i/>
          <w:iCs/>
          <w:sz w:val="24"/>
          <w:szCs w:val="24"/>
        </w:rPr>
      </w:pPr>
      <w:r>
        <w:rPr>
          <w:rFonts w:cstheme="minorHAnsi"/>
          <w:i/>
          <w:iCs/>
          <w:sz w:val="24"/>
          <w:szCs w:val="24"/>
        </w:rPr>
        <w:t xml:space="preserve">Registration for </w:t>
      </w:r>
      <w:r w:rsidRPr="008F6744">
        <w:rPr>
          <w:i/>
          <w:iCs/>
          <w:sz w:val="24"/>
          <w:szCs w:val="24"/>
        </w:rPr>
        <w:t>“EHLR Basic Course”</w:t>
      </w:r>
      <w:r>
        <w:rPr>
          <w:i/>
          <w:iCs/>
          <w:sz w:val="24"/>
          <w:szCs w:val="24"/>
        </w:rPr>
        <w:t xml:space="preserve"> and</w:t>
      </w:r>
      <w:r w:rsidRPr="008F6744">
        <w:rPr>
          <w:rFonts w:cstheme="minorHAnsi"/>
          <w:i/>
          <w:iCs/>
          <w:sz w:val="24"/>
          <w:szCs w:val="24"/>
        </w:rPr>
        <w:t xml:space="preserve"> </w:t>
      </w:r>
      <w:r w:rsidRPr="008F6744">
        <w:rPr>
          <w:i/>
          <w:iCs/>
          <w:sz w:val="24"/>
          <w:szCs w:val="24"/>
        </w:rPr>
        <w:t>“</w:t>
      </w:r>
      <w:r>
        <w:rPr>
          <w:i/>
          <w:iCs/>
          <w:sz w:val="24"/>
          <w:szCs w:val="24"/>
        </w:rPr>
        <w:t xml:space="preserve">EHLR </w:t>
      </w:r>
      <w:r w:rsidR="00291DE5">
        <w:rPr>
          <w:i/>
          <w:iCs/>
          <w:sz w:val="24"/>
          <w:szCs w:val="24"/>
        </w:rPr>
        <w:t>Immersion</w:t>
      </w:r>
      <w:r w:rsidRPr="008F6744">
        <w:rPr>
          <w:i/>
          <w:iCs/>
          <w:sz w:val="24"/>
          <w:szCs w:val="24"/>
        </w:rPr>
        <w:t xml:space="preserve"> Training”</w:t>
      </w:r>
    </w:p>
    <w:p w:rsidR="00DE1100" w:rsidP="00C80CC7" w14:paraId="2065E2FE" w14:textId="314813CF">
      <w:pPr>
        <w:rPr>
          <w:sz w:val="24"/>
          <w:szCs w:val="24"/>
        </w:rPr>
      </w:pPr>
      <w:r>
        <w:rPr>
          <w:sz w:val="24"/>
          <w:szCs w:val="24"/>
        </w:rPr>
        <w:t xml:space="preserve">ATSDR has developed a general online registration form for both the “EHLR Basic Course” and the “EHLR </w:t>
      </w:r>
      <w:r w:rsidR="00291DE5">
        <w:rPr>
          <w:sz w:val="24"/>
          <w:szCs w:val="24"/>
        </w:rPr>
        <w:t>Immersion</w:t>
      </w:r>
      <w:r>
        <w:rPr>
          <w:sz w:val="24"/>
          <w:szCs w:val="24"/>
        </w:rPr>
        <w:t xml:space="preserve"> Training” in the REDCap (Research Electronic Data Capture) system (Attachment 3).</w:t>
      </w:r>
    </w:p>
    <w:p w:rsidR="00C80CC7" w:rsidRPr="007F0C72" w:rsidP="007F0C72" w14:paraId="2731AD1A" w14:textId="3E43BD71">
      <w:pPr>
        <w:pStyle w:val="ListParagraph"/>
        <w:numPr>
          <w:ilvl w:val="0"/>
          <w:numId w:val="10"/>
        </w:numPr>
        <w:rPr>
          <w:sz w:val="24"/>
          <w:szCs w:val="24"/>
        </w:rPr>
      </w:pPr>
      <w:r w:rsidRPr="007F0C72">
        <w:rPr>
          <w:sz w:val="24"/>
          <w:szCs w:val="24"/>
        </w:rPr>
        <w:t>For the “EHLR Basic Course,” ATSDR’s Land Reuse Program will post the link to online registration</w:t>
      </w:r>
      <w:r w:rsidRPr="007F0C72" w:rsidR="00DE1100">
        <w:rPr>
          <w:sz w:val="24"/>
          <w:szCs w:val="24"/>
        </w:rPr>
        <w:t xml:space="preserve"> (Attachment 3)</w:t>
      </w:r>
      <w:r w:rsidRPr="007F0C72">
        <w:rPr>
          <w:sz w:val="24"/>
          <w:szCs w:val="24"/>
        </w:rPr>
        <w:t xml:space="preserve"> on their EHLR training website, or the Land Reuse Team Lead can email the link to participants who request it. </w:t>
      </w:r>
      <w:r w:rsidR="00E7186E">
        <w:rPr>
          <w:sz w:val="24"/>
          <w:szCs w:val="24"/>
        </w:rPr>
        <w:t xml:space="preserve">ATSDR estimates that registration for the EHLR Basic Course to be </w:t>
      </w:r>
      <w:r w:rsidR="00C01675">
        <w:rPr>
          <w:sz w:val="24"/>
          <w:szCs w:val="24"/>
        </w:rPr>
        <w:t xml:space="preserve">3 minutes per response. </w:t>
      </w:r>
      <w:r w:rsidRPr="007F0C72">
        <w:rPr>
          <w:sz w:val="24"/>
          <w:szCs w:val="24"/>
        </w:rPr>
        <w:t>In rare circumstances where online registration is not available, a hard copy (paper and pen) form may be filled out by participants.</w:t>
      </w:r>
    </w:p>
    <w:p w:rsidR="00C80CC7" w:rsidRPr="007F0C72" w:rsidP="007F0C72" w14:paraId="34A86FDA" w14:textId="6AC757F3">
      <w:pPr>
        <w:pStyle w:val="ListParagraph"/>
        <w:numPr>
          <w:ilvl w:val="0"/>
          <w:numId w:val="10"/>
        </w:numPr>
        <w:rPr>
          <w:sz w:val="24"/>
          <w:szCs w:val="24"/>
        </w:rPr>
      </w:pPr>
      <w:r w:rsidRPr="007F0C72">
        <w:rPr>
          <w:sz w:val="24"/>
          <w:szCs w:val="24"/>
        </w:rPr>
        <w:t xml:space="preserve">For the “EHLR </w:t>
      </w:r>
      <w:r w:rsidR="00291DE5">
        <w:rPr>
          <w:sz w:val="24"/>
          <w:szCs w:val="24"/>
        </w:rPr>
        <w:t>Immersion</w:t>
      </w:r>
      <w:r w:rsidRPr="007F0C72">
        <w:rPr>
          <w:sz w:val="24"/>
          <w:szCs w:val="24"/>
        </w:rPr>
        <w:t xml:space="preserve"> Training,” the registration may be external to ATSDR as part of conference events at which ATSDR will provide the training</w:t>
      </w:r>
      <w:r w:rsidR="00B168CE">
        <w:rPr>
          <w:sz w:val="24"/>
          <w:szCs w:val="24"/>
        </w:rPr>
        <w:t xml:space="preserve"> (Attachment 3a)</w:t>
      </w:r>
      <w:r w:rsidRPr="007F0C72" w:rsidR="00B2180D">
        <w:rPr>
          <w:sz w:val="24"/>
          <w:szCs w:val="24"/>
        </w:rPr>
        <w:t>,</w:t>
      </w:r>
      <w:r w:rsidRPr="007F0C72">
        <w:rPr>
          <w:sz w:val="24"/>
          <w:szCs w:val="24"/>
        </w:rPr>
        <w:t xml:space="preserve"> or through ATSDR</w:t>
      </w:r>
      <w:r w:rsidR="00B168CE">
        <w:rPr>
          <w:sz w:val="24"/>
          <w:szCs w:val="24"/>
        </w:rPr>
        <w:t xml:space="preserve"> (</w:t>
      </w:r>
      <w:r w:rsidRPr="007F0C72" w:rsidR="00DE1100">
        <w:rPr>
          <w:sz w:val="24"/>
          <w:szCs w:val="24"/>
        </w:rPr>
        <w:t>Attachment 3</w:t>
      </w:r>
      <w:r w:rsidR="00B168CE">
        <w:rPr>
          <w:sz w:val="24"/>
          <w:szCs w:val="24"/>
        </w:rPr>
        <w:t>)</w:t>
      </w:r>
      <w:r w:rsidRPr="007F0C72">
        <w:rPr>
          <w:sz w:val="24"/>
          <w:szCs w:val="24"/>
        </w:rPr>
        <w:t>.</w:t>
      </w:r>
      <w:r w:rsidR="00DE1100">
        <w:rPr>
          <w:sz w:val="24"/>
          <w:szCs w:val="24"/>
        </w:rPr>
        <w:t xml:space="preserve"> ATSDR estimates that registration for the “EHLR </w:t>
      </w:r>
      <w:r w:rsidR="00291DE5">
        <w:rPr>
          <w:sz w:val="24"/>
          <w:szCs w:val="24"/>
        </w:rPr>
        <w:t>Immersion</w:t>
      </w:r>
      <w:r w:rsidR="00DE1100">
        <w:rPr>
          <w:sz w:val="24"/>
          <w:szCs w:val="24"/>
        </w:rPr>
        <w:t xml:space="preserve"> Training” session using conference platforms will require the same time burden (3 minutes per response). </w:t>
      </w:r>
      <w:r w:rsidR="00B168CE">
        <w:rPr>
          <w:sz w:val="24"/>
          <w:szCs w:val="24"/>
        </w:rPr>
        <w:t xml:space="preserve">We provide </w:t>
      </w:r>
      <w:r w:rsidR="00DE1100">
        <w:rPr>
          <w:sz w:val="24"/>
          <w:szCs w:val="24"/>
        </w:rPr>
        <w:t>sample conference registration websites</w:t>
      </w:r>
      <w:r w:rsidR="00B168CE">
        <w:rPr>
          <w:sz w:val="24"/>
          <w:szCs w:val="24"/>
        </w:rPr>
        <w:t xml:space="preserve"> in Attachment </w:t>
      </w:r>
      <w:r w:rsidR="007C05DC">
        <w:rPr>
          <w:sz w:val="24"/>
          <w:szCs w:val="24"/>
        </w:rPr>
        <w:t>3a but</w:t>
      </w:r>
      <w:r w:rsidR="00F75D45">
        <w:rPr>
          <w:sz w:val="24"/>
          <w:szCs w:val="24"/>
        </w:rPr>
        <w:t xml:space="preserve"> will use Attachment 3 to represent this </w:t>
      </w:r>
      <w:r w:rsidR="0089125B">
        <w:rPr>
          <w:sz w:val="24"/>
          <w:szCs w:val="24"/>
        </w:rPr>
        <w:t xml:space="preserve">online registration </w:t>
      </w:r>
      <w:r w:rsidR="00F75D45">
        <w:rPr>
          <w:sz w:val="24"/>
          <w:szCs w:val="24"/>
        </w:rPr>
        <w:t>time burden</w:t>
      </w:r>
      <w:r w:rsidR="00DE1100">
        <w:rPr>
          <w:sz w:val="24"/>
          <w:szCs w:val="24"/>
        </w:rPr>
        <w:t>.</w:t>
      </w:r>
    </w:p>
    <w:p w:rsidR="008F6744" w:rsidRPr="008F6744" w:rsidP="007F0C72" w14:paraId="04E84F37" w14:textId="3131E404">
      <w:pPr>
        <w:spacing w:before="360"/>
        <w:rPr>
          <w:rFonts w:cstheme="minorHAnsi"/>
          <w:i/>
          <w:iCs/>
          <w:sz w:val="24"/>
          <w:szCs w:val="24"/>
        </w:rPr>
      </w:pPr>
      <w:r w:rsidRPr="008F6744">
        <w:rPr>
          <w:rFonts w:cstheme="minorHAnsi"/>
          <w:i/>
          <w:iCs/>
          <w:sz w:val="24"/>
          <w:szCs w:val="24"/>
        </w:rPr>
        <w:t>10-hour classroom-</w:t>
      </w:r>
      <w:r w:rsidRPr="008F6744" w:rsidR="007C05DC">
        <w:rPr>
          <w:rFonts w:cstheme="minorHAnsi"/>
          <w:i/>
          <w:iCs/>
          <w:sz w:val="24"/>
          <w:szCs w:val="24"/>
        </w:rPr>
        <w:t xml:space="preserve">based </w:t>
      </w:r>
      <w:r w:rsidRPr="008F6744" w:rsidR="007C05DC">
        <w:rPr>
          <w:i/>
          <w:iCs/>
          <w:sz w:val="24"/>
          <w:szCs w:val="24"/>
        </w:rPr>
        <w:t>“</w:t>
      </w:r>
      <w:r w:rsidRPr="008F6744">
        <w:rPr>
          <w:i/>
          <w:iCs/>
          <w:sz w:val="24"/>
          <w:szCs w:val="24"/>
        </w:rPr>
        <w:t>EHLR Basic Course”</w:t>
      </w:r>
    </w:p>
    <w:p w:rsidR="005F777E" w:rsidRPr="005F777E" w:rsidP="00EF7BA5" w14:paraId="0B5CBA38" w14:textId="5CF98419">
      <w:pPr>
        <w:rPr>
          <w:sz w:val="24"/>
          <w:szCs w:val="24"/>
        </w:rPr>
      </w:pPr>
      <w:r w:rsidRPr="78D3267D">
        <w:rPr>
          <w:color w:val="000000" w:themeColor="text1"/>
          <w:sz w:val="24"/>
          <w:szCs w:val="24"/>
        </w:rPr>
        <w:t xml:space="preserve">The classroom version of the certificate program will be publicly available and maintained on ATSDR’s Land Reuse Program website. </w:t>
      </w:r>
      <w:r w:rsidRPr="78D3267D" w:rsidR="770B7CB2">
        <w:rPr>
          <w:rFonts w:cs="ITCFranklinGothicStd-Book"/>
          <w:sz w:val="24"/>
          <w:szCs w:val="24"/>
        </w:rPr>
        <w:t xml:space="preserve">As part of equity and inclusion practices, ATSDR </w:t>
      </w:r>
      <w:r w:rsidRPr="78D3267D" w:rsidR="5A48AD7D">
        <w:rPr>
          <w:rFonts w:cs="ITCFranklinGothicStd-Book"/>
          <w:sz w:val="24"/>
          <w:szCs w:val="24"/>
        </w:rPr>
        <w:t xml:space="preserve">initially </w:t>
      </w:r>
      <w:r w:rsidRPr="78D3267D" w:rsidR="7DF05D64">
        <w:rPr>
          <w:sz w:val="24"/>
          <w:szCs w:val="24"/>
        </w:rPr>
        <w:t xml:space="preserve">determined that a classroom version of the training </w:t>
      </w:r>
      <w:r w:rsidRPr="78D3267D" w:rsidR="179F7CCA">
        <w:rPr>
          <w:sz w:val="24"/>
          <w:szCs w:val="24"/>
        </w:rPr>
        <w:t xml:space="preserve">could be useful for populations with limited broadband or who preferred live training. </w:t>
      </w:r>
      <w:r w:rsidRPr="78D3267D" w:rsidR="46C1EA80">
        <w:rPr>
          <w:sz w:val="24"/>
          <w:szCs w:val="24"/>
        </w:rPr>
        <w:t>Three years later</w:t>
      </w:r>
      <w:r w:rsidRPr="78D3267D" w:rsidR="2C703609">
        <w:rPr>
          <w:sz w:val="24"/>
          <w:szCs w:val="24"/>
        </w:rPr>
        <w:t xml:space="preserve">, </w:t>
      </w:r>
      <w:r w:rsidRPr="78D3267D" w:rsidR="1197DDDB">
        <w:rPr>
          <w:sz w:val="24"/>
          <w:szCs w:val="24"/>
        </w:rPr>
        <w:t xml:space="preserve">ATSDR </w:t>
      </w:r>
      <w:r w:rsidRPr="78D3267D" w:rsidR="0EF901B9">
        <w:rPr>
          <w:sz w:val="24"/>
          <w:szCs w:val="24"/>
        </w:rPr>
        <w:t>continues to receive</w:t>
      </w:r>
      <w:r w:rsidRPr="78D3267D" w:rsidR="1197DDDB">
        <w:rPr>
          <w:sz w:val="24"/>
          <w:szCs w:val="24"/>
        </w:rPr>
        <w:t xml:space="preserve"> requests for the classroom training, such as for a</w:t>
      </w:r>
      <w:r w:rsidRPr="78D3267D" w:rsidR="77BEA2FC">
        <w:rPr>
          <w:sz w:val="24"/>
          <w:szCs w:val="24"/>
        </w:rPr>
        <w:t>n annual</w:t>
      </w:r>
      <w:r w:rsidRPr="78D3267D" w:rsidR="1197DDDB">
        <w:rPr>
          <w:sz w:val="24"/>
          <w:szCs w:val="24"/>
        </w:rPr>
        <w:t xml:space="preserve"> summer internship program at Din</w:t>
      </w:r>
      <w:r w:rsidR="008E3DAE">
        <w:rPr>
          <w:rFonts w:cstheme="minorHAnsi"/>
          <w:sz w:val="24"/>
          <w:szCs w:val="24"/>
        </w:rPr>
        <w:t>é</w:t>
      </w:r>
      <w:r w:rsidR="00E24034">
        <w:rPr>
          <w:sz w:val="24"/>
          <w:szCs w:val="24"/>
        </w:rPr>
        <w:t xml:space="preserve"> </w:t>
      </w:r>
      <w:r w:rsidRPr="78D3267D" w:rsidR="1197DDDB">
        <w:rPr>
          <w:sz w:val="24"/>
          <w:szCs w:val="24"/>
        </w:rPr>
        <w:t>College in Navajo Nation, for the Institute for Tribal Environmental Professionals</w:t>
      </w:r>
      <w:r w:rsidRPr="78D3267D" w:rsidR="0EF901B9">
        <w:rPr>
          <w:sz w:val="24"/>
          <w:szCs w:val="24"/>
        </w:rPr>
        <w:t xml:space="preserve"> at the </w:t>
      </w:r>
      <w:r w:rsidRPr="78D3267D" w:rsidR="77BEA2FC">
        <w:rPr>
          <w:sz w:val="24"/>
          <w:szCs w:val="24"/>
        </w:rPr>
        <w:t xml:space="preserve">annual </w:t>
      </w:r>
      <w:r w:rsidRPr="78D3267D" w:rsidR="0EF901B9">
        <w:rPr>
          <w:sz w:val="24"/>
          <w:szCs w:val="24"/>
        </w:rPr>
        <w:t xml:space="preserve">Tribal Lands and Environment Forum, and for the Annual Navajo Economic Summit. </w:t>
      </w:r>
      <w:r w:rsidRPr="78D3267D" w:rsidR="730A09E3">
        <w:rPr>
          <w:sz w:val="24"/>
          <w:szCs w:val="24"/>
        </w:rPr>
        <w:t xml:space="preserve"> </w:t>
      </w:r>
    </w:p>
    <w:p w:rsidR="008F6744" w:rsidRPr="007F0C72" w:rsidP="007F0C72" w14:paraId="64ED2DD4" w14:textId="3933A6FF">
      <w:pPr>
        <w:rPr>
          <w:sz w:val="24"/>
          <w:szCs w:val="24"/>
        </w:rPr>
      </w:pPr>
      <w:r w:rsidRPr="78D3267D">
        <w:rPr>
          <w:sz w:val="24"/>
          <w:szCs w:val="24"/>
        </w:rPr>
        <w:t xml:space="preserve">This </w:t>
      </w:r>
      <w:r w:rsidR="00740728">
        <w:rPr>
          <w:sz w:val="24"/>
          <w:szCs w:val="24"/>
        </w:rPr>
        <w:t>reinstatement with change</w:t>
      </w:r>
      <w:r w:rsidRPr="78D3267D">
        <w:rPr>
          <w:sz w:val="24"/>
          <w:szCs w:val="24"/>
        </w:rPr>
        <w:t xml:space="preserve"> ICR will add the following information collections</w:t>
      </w:r>
      <w:r w:rsidRPr="78D3267D" w:rsidR="77BEA2FC">
        <w:rPr>
          <w:sz w:val="24"/>
          <w:szCs w:val="24"/>
        </w:rPr>
        <w:t xml:space="preserve"> specifically for ATSDR’s classroom EHLR trainings</w:t>
      </w:r>
      <w:r w:rsidR="00B2180D">
        <w:rPr>
          <w:sz w:val="24"/>
          <w:szCs w:val="24"/>
        </w:rPr>
        <w:t>.</w:t>
      </w:r>
      <w:r w:rsidRPr="78D3267D">
        <w:rPr>
          <w:sz w:val="24"/>
          <w:szCs w:val="24"/>
        </w:rPr>
        <w:t xml:space="preserve"> </w:t>
      </w:r>
    </w:p>
    <w:p w:rsidR="00F86165" w:rsidRPr="007F0C72" w:rsidP="007F0C72" w14:paraId="480D135F" w14:textId="6233059D">
      <w:pPr>
        <w:spacing w:line="240" w:lineRule="auto"/>
        <w:rPr>
          <w:sz w:val="24"/>
          <w:szCs w:val="24"/>
        </w:rPr>
      </w:pPr>
      <w:r w:rsidRPr="007F0C72">
        <w:rPr>
          <w:sz w:val="24"/>
          <w:szCs w:val="24"/>
        </w:rPr>
        <w:t>S</w:t>
      </w:r>
      <w:r w:rsidRPr="007F0C72" w:rsidR="6776FAED">
        <w:rPr>
          <w:sz w:val="24"/>
          <w:szCs w:val="24"/>
        </w:rPr>
        <w:t xml:space="preserve">elf-assessments for each of the five </w:t>
      </w:r>
      <w:r w:rsidRPr="007F0C72" w:rsidR="30C684DB">
        <w:rPr>
          <w:sz w:val="24"/>
          <w:szCs w:val="24"/>
        </w:rPr>
        <w:t xml:space="preserve">training </w:t>
      </w:r>
      <w:r w:rsidRPr="007F0C72" w:rsidR="6776FAED">
        <w:rPr>
          <w:sz w:val="24"/>
          <w:szCs w:val="24"/>
        </w:rPr>
        <w:t>modules</w:t>
      </w:r>
      <w:r w:rsidRPr="007F0C72" w:rsidR="00B63093">
        <w:rPr>
          <w:sz w:val="24"/>
          <w:szCs w:val="24"/>
        </w:rPr>
        <w:t xml:space="preserve"> (link provided within training slides)</w:t>
      </w:r>
      <w:r w:rsidR="00B2180D">
        <w:rPr>
          <w:sz w:val="24"/>
          <w:szCs w:val="24"/>
        </w:rPr>
        <w:t xml:space="preserve"> will be offered</w:t>
      </w:r>
      <w:r w:rsidR="00B168CE">
        <w:rPr>
          <w:sz w:val="24"/>
          <w:szCs w:val="24"/>
        </w:rPr>
        <w:t xml:space="preserve"> (Attachments </w:t>
      </w:r>
      <w:r w:rsidR="0073534D">
        <w:rPr>
          <w:sz w:val="24"/>
          <w:szCs w:val="24"/>
        </w:rPr>
        <w:t>4a-4e)</w:t>
      </w:r>
      <w:r w:rsidRPr="007F0C72">
        <w:rPr>
          <w:sz w:val="24"/>
          <w:szCs w:val="24"/>
        </w:rPr>
        <w:t xml:space="preserve">. </w:t>
      </w:r>
      <w:r w:rsidRPr="007F0C72" w:rsidR="008F6744">
        <w:rPr>
          <w:sz w:val="24"/>
          <w:szCs w:val="24"/>
        </w:rPr>
        <w:t xml:space="preserve">The five training modules are: </w:t>
      </w:r>
    </w:p>
    <w:p w:rsidR="00F86165" w:rsidP="007F0C72" w14:paraId="3BA9B5EA" w14:textId="117A002B">
      <w:pPr>
        <w:pStyle w:val="ListParagraph"/>
        <w:numPr>
          <w:ilvl w:val="0"/>
          <w:numId w:val="8"/>
        </w:numPr>
        <w:tabs>
          <w:tab w:val="left" w:pos="720"/>
        </w:tabs>
        <w:spacing w:line="240" w:lineRule="auto"/>
        <w:ind w:left="720"/>
        <w:rPr>
          <w:sz w:val="24"/>
          <w:szCs w:val="24"/>
        </w:rPr>
      </w:pPr>
      <w:r w:rsidRPr="007F0C72">
        <w:rPr>
          <w:sz w:val="24"/>
          <w:szCs w:val="24"/>
        </w:rPr>
        <w:t>Engaging with Your Community</w:t>
      </w:r>
      <w:r w:rsidR="00647D95">
        <w:rPr>
          <w:sz w:val="24"/>
          <w:szCs w:val="24"/>
        </w:rPr>
        <w:t xml:space="preserve"> (2 hours)</w:t>
      </w:r>
    </w:p>
    <w:p w:rsidR="00F86165" w:rsidP="007F0C72" w14:paraId="44ECA41E" w14:textId="68BA9AA4">
      <w:pPr>
        <w:pStyle w:val="ListParagraph"/>
        <w:numPr>
          <w:ilvl w:val="0"/>
          <w:numId w:val="8"/>
        </w:numPr>
        <w:tabs>
          <w:tab w:val="left" w:pos="1080"/>
        </w:tabs>
        <w:spacing w:line="240" w:lineRule="auto"/>
        <w:ind w:left="720"/>
        <w:rPr>
          <w:sz w:val="24"/>
          <w:szCs w:val="24"/>
        </w:rPr>
      </w:pPr>
      <w:r w:rsidRPr="007F0C72">
        <w:rPr>
          <w:sz w:val="24"/>
          <w:szCs w:val="24"/>
        </w:rPr>
        <w:t>Evaluating Environmental and Health Risks</w:t>
      </w:r>
      <w:r w:rsidR="00647D95">
        <w:rPr>
          <w:sz w:val="24"/>
          <w:szCs w:val="24"/>
        </w:rPr>
        <w:t xml:space="preserve"> (2 hours)</w:t>
      </w:r>
    </w:p>
    <w:p w:rsidR="00F86165" w:rsidP="007F0C72" w14:paraId="55C52BCD" w14:textId="59CB852E">
      <w:pPr>
        <w:pStyle w:val="ListParagraph"/>
        <w:numPr>
          <w:ilvl w:val="0"/>
          <w:numId w:val="8"/>
        </w:numPr>
        <w:tabs>
          <w:tab w:val="left" w:pos="1080"/>
        </w:tabs>
        <w:spacing w:line="240" w:lineRule="auto"/>
        <w:ind w:left="720"/>
        <w:rPr>
          <w:sz w:val="24"/>
          <w:szCs w:val="24"/>
        </w:rPr>
      </w:pPr>
      <w:r w:rsidRPr="007F0C72">
        <w:rPr>
          <w:sz w:val="24"/>
          <w:szCs w:val="24"/>
        </w:rPr>
        <w:t>Communicating Environmental and Health Risks to the Community</w:t>
      </w:r>
      <w:r w:rsidR="00647D95">
        <w:rPr>
          <w:sz w:val="24"/>
          <w:szCs w:val="24"/>
        </w:rPr>
        <w:t xml:space="preserve"> (2 hours)</w:t>
      </w:r>
    </w:p>
    <w:p w:rsidR="00F86165" w:rsidP="007F0C72" w14:paraId="717C80D5" w14:textId="5E69EFC7">
      <w:pPr>
        <w:pStyle w:val="ListParagraph"/>
        <w:numPr>
          <w:ilvl w:val="0"/>
          <w:numId w:val="8"/>
        </w:numPr>
        <w:tabs>
          <w:tab w:val="left" w:pos="1080"/>
        </w:tabs>
        <w:spacing w:line="240" w:lineRule="auto"/>
        <w:ind w:left="720"/>
        <w:rPr>
          <w:sz w:val="24"/>
          <w:szCs w:val="24"/>
        </w:rPr>
      </w:pPr>
      <w:r w:rsidRPr="007F0C72">
        <w:rPr>
          <w:sz w:val="24"/>
          <w:szCs w:val="24"/>
        </w:rPr>
        <w:t xml:space="preserve">Redesigning with Health in Mind </w:t>
      </w:r>
      <w:r w:rsidR="00647D95">
        <w:rPr>
          <w:sz w:val="24"/>
          <w:szCs w:val="24"/>
        </w:rPr>
        <w:t>(2 hours)</w:t>
      </w:r>
    </w:p>
    <w:p w:rsidR="008F6744" w:rsidRPr="007F0C72" w:rsidP="007F0C72" w14:paraId="6B121AE9" w14:textId="212096F6">
      <w:pPr>
        <w:pStyle w:val="ListParagraph"/>
        <w:numPr>
          <w:ilvl w:val="0"/>
          <w:numId w:val="8"/>
        </w:numPr>
        <w:tabs>
          <w:tab w:val="left" w:pos="1080"/>
        </w:tabs>
        <w:ind w:left="720"/>
        <w:rPr>
          <w:sz w:val="24"/>
          <w:szCs w:val="24"/>
        </w:rPr>
      </w:pPr>
      <w:r w:rsidRPr="007F0C72">
        <w:rPr>
          <w:sz w:val="24"/>
          <w:szCs w:val="24"/>
        </w:rPr>
        <w:t>Measuring Success</w:t>
      </w:r>
      <w:r w:rsidR="00647D95">
        <w:rPr>
          <w:sz w:val="24"/>
          <w:szCs w:val="24"/>
        </w:rPr>
        <w:t xml:space="preserve"> (2 hours)</w:t>
      </w:r>
    </w:p>
    <w:p w:rsidR="008F6744" w:rsidRPr="007F0C72" w:rsidP="007F0C72" w14:paraId="4DB097F3" w14:textId="3AE3A492">
      <w:pPr>
        <w:spacing w:before="360"/>
        <w:rPr>
          <w:rFonts w:cstheme="minorHAnsi"/>
          <w:i/>
          <w:iCs/>
          <w:sz w:val="24"/>
          <w:szCs w:val="24"/>
        </w:rPr>
      </w:pPr>
      <w:r>
        <w:rPr>
          <w:rFonts w:cstheme="minorHAnsi"/>
          <w:i/>
          <w:iCs/>
          <w:sz w:val="24"/>
          <w:szCs w:val="24"/>
        </w:rPr>
        <w:t>2</w:t>
      </w:r>
      <w:r w:rsidRPr="008F6744">
        <w:rPr>
          <w:rFonts w:cstheme="minorHAnsi"/>
          <w:i/>
          <w:iCs/>
          <w:sz w:val="24"/>
          <w:szCs w:val="24"/>
        </w:rPr>
        <w:t>0-hour c</w:t>
      </w:r>
      <w:r>
        <w:rPr>
          <w:rFonts w:cstheme="minorHAnsi"/>
          <w:i/>
          <w:iCs/>
          <w:sz w:val="24"/>
          <w:szCs w:val="24"/>
        </w:rPr>
        <w:t>onference</w:t>
      </w:r>
      <w:r w:rsidRPr="008F6744">
        <w:rPr>
          <w:rFonts w:cstheme="minorHAnsi"/>
          <w:i/>
          <w:iCs/>
          <w:sz w:val="24"/>
          <w:szCs w:val="24"/>
        </w:rPr>
        <w:t xml:space="preserve">-based </w:t>
      </w:r>
      <w:r w:rsidRPr="008F6744">
        <w:rPr>
          <w:i/>
          <w:iCs/>
          <w:sz w:val="24"/>
          <w:szCs w:val="24"/>
        </w:rPr>
        <w:t>“</w:t>
      </w:r>
      <w:r w:rsidR="00D344D2">
        <w:rPr>
          <w:i/>
          <w:iCs/>
          <w:sz w:val="24"/>
          <w:szCs w:val="24"/>
        </w:rPr>
        <w:t xml:space="preserve">EHLR </w:t>
      </w:r>
      <w:r w:rsidR="00291DE5">
        <w:rPr>
          <w:i/>
          <w:iCs/>
          <w:sz w:val="24"/>
          <w:szCs w:val="24"/>
        </w:rPr>
        <w:t>Immersion</w:t>
      </w:r>
      <w:r w:rsidRPr="008F6744">
        <w:rPr>
          <w:i/>
          <w:iCs/>
          <w:sz w:val="24"/>
          <w:szCs w:val="24"/>
        </w:rPr>
        <w:t xml:space="preserve"> Training”</w:t>
      </w:r>
    </w:p>
    <w:p w:rsidR="00B2180D" w:rsidP="78D3267D" w14:paraId="378E019C" w14:textId="479F5AC1">
      <w:pPr>
        <w:rPr>
          <w:sz w:val="24"/>
          <w:szCs w:val="24"/>
        </w:rPr>
      </w:pPr>
      <w:r w:rsidRPr="78D3267D">
        <w:rPr>
          <w:sz w:val="24"/>
          <w:szCs w:val="24"/>
        </w:rPr>
        <w:t xml:space="preserve">ATSDR </w:t>
      </w:r>
      <w:r w:rsidRPr="78D3267D" w:rsidR="6C03E8D4">
        <w:rPr>
          <w:sz w:val="24"/>
          <w:szCs w:val="24"/>
        </w:rPr>
        <w:t>is</w:t>
      </w:r>
      <w:r w:rsidRPr="78D3267D">
        <w:rPr>
          <w:sz w:val="24"/>
          <w:szCs w:val="24"/>
        </w:rPr>
        <w:t xml:space="preserve"> also planning a </w:t>
      </w:r>
      <w:r w:rsidR="00D344D2">
        <w:rPr>
          <w:sz w:val="24"/>
          <w:szCs w:val="24"/>
        </w:rPr>
        <w:t>second</w:t>
      </w:r>
      <w:r w:rsidRPr="78D3267D">
        <w:rPr>
          <w:sz w:val="24"/>
          <w:szCs w:val="24"/>
        </w:rPr>
        <w:t xml:space="preserve"> mode of instruction for supplemental “EHLR </w:t>
      </w:r>
      <w:r w:rsidR="00291DE5">
        <w:rPr>
          <w:sz w:val="24"/>
          <w:szCs w:val="24"/>
        </w:rPr>
        <w:t>Immersion</w:t>
      </w:r>
      <w:r w:rsidRPr="78D3267D">
        <w:rPr>
          <w:sz w:val="24"/>
          <w:szCs w:val="24"/>
        </w:rPr>
        <w:t xml:space="preserve"> Training</w:t>
      </w:r>
      <w:r>
        <w:rPr>
          <w:sz w:val="24"/>
          <w:szCs w:val="24"/>
        </w:rPr>
        <w:t>.</w:t>
      </w:r>
      <w:r w:rsidRPr="78D3267D">
        <w:rPr>
          <w:sz w:val="24"/>
          <w:szCs w:val="24"/>
        </w:rPr>
        <w:t>”</w:t>
      </w:r>
      <w:r>
        <w:rPr>
          <w:sz w:val="24"/>
          <w:szCs w:val="24"/>
        </w:rPr>
        <w:t xml:space="preserve"> </w:t>
      </w:r>
    </w:p>
    <w:p w:rsidR="00246A78" w:rsidRPr="00443115" w:rsidP="78D3267D" w14:paraId="7B1CBEF3" w14:textId="6F6BBC35">
      <w:pPr>
        <w:rPr>
          <w:sz w:val="24"/>
          <w:szCs w:val="24"/>
        </w:rPr>
      </w:pPr>
      <w:r w:rsidRPr="00026728">
        <w:rPr>
          <w:sz w:val="24"/>
          <w:szCs w:val="24"/>
        </w:rPr>
        <w:t>Self-assessments for each of the three training modules will be offered</w:t>
      </w:r>
      <w:r w:rsidRPr="00026728" w:rsidR="0073534D">
        <w:rPr>
          <w:sz w:val="24"/>
          <w:szCs w:val="24"/>
        </w:rPr>
        <w:t xml:space="preserve"> (Attachments 5a-5c)</w:t>
      </w:r>
      <w:r w:rsidRPr="00026728">
        <w:rPr>
          <w:sz w:val="24"/>
          <w:szCs w:val="24"/>
        </w:rPr>
        <w:t>. The three training modules are</w:t>
      </w:r>
      <w:r w:rsidRPr="00026728" w:rsidR="6776FAED">
        <w:rPr>
          <w:sz w:val="24"/>
          <w:szCs w:val="24"/>
        </w:rPr>
        <w:t>:</w:t>
      </w:r>
      <w:r w:rsidRPr="78D3267D" w:rsidR="6776FAED">
        <w:rPr>
          <w:sz w:val="24"/>
          <w:szCs w:val="24"/>
        </w:rPr>
        <w:t xml:space="preserve"> </w:t>
      </w:r>
    </w:p>
    <w:p w:rsidR="00065BF0" w:rsidRPr="00443115" w:rsidP="007F0C72" w14:paraId="75C7E3BF" w14:textId="6DCF1F09">
      <w:pPr>
        <w:pStyle w:val="ListParagraph"/>
        <w:numPr>
          <w:ilvl w:val="0"/>
          <w:numId w:val="5"/>
        </w:numPr>
        <w:spacing w:line="240" w:lineRule="auto"/>
        <w:rPr>
          <w:sz w:val="24"/>
          <w:szCs w:val="24"/>
        </w:rPr>
      </w:pPr>
      <w:r w:rsidRPr="78D3267D">
        <w:rPr>
          <w:sz w:val="24"/>
          <w:szCs w:val="24"/>
        </w:rPr>
        <w:t>Community Engagement</w:t>
      </w:r>
      <w:r w:rsidR="006E1B1C">
        <w:rPr>
          <w:sz w:val="24"/>
          <w:szCs w:val="24"/>
        </w:rPr>
        <w:t xml:space="preserve"> (8 hours)</w:t>
      </w:r>
      <w:r w:rsidRPr="78D3267D">
        <w:rPr>
          <w:sz w:val="24"/>
          <w:szCs w:val="24"/>
        </w:rPr>
        <w:t xml:space="preserve">, </w:t>
      </w:r>
    </w:p>
    <w:p w:rsidR="00065BF0" w:rsidRPr="00443115" w:rsidP="007F0C72" w14:paraId="0EE901AD" w14:textId="2F978554">
      <w:pPr>
        <w:pStyle w:val="ListParagraph"/>
        <w:numPr>
          <w:ilvl w:val="0"/>
          <w:numId w:val="5"/>
        </w:numPr>
        <w:spacing w:line="240" w:lineRule="auto"/>
        <w:rPr>
          <w:sz w:val="24"/>
          <w:szCs w:val="24"/>
        </w:rPr>
      </w:pPr>
      <w:r w:rsidRPr="78D3267D">
        <w:rPr>
          <w:sz w:val="24"/>
          <w:szCs w:val="24"/>
        </w:rPr>
        <w:t>Evaluating Environmental and Health Risks</w:t>
      </w:r>
      <w:r w:rsidR="006E1B1C">
        <w:rPr>
          <w:sz w:val="24"/>
          <w:szCs w:val="24"/>
        </w:rPr>
        <w:t xml:space="preserve"> (8 hours)</w:t>
      </w:r>
      <w:r w:rsidRPr="78D3267D">
        <w:rPr>
          <w:sz w:val="24"/>
          <w:szCs w:val="24"/>
        </w:rPr>
        <w:t xml:space="preserve">, </w:t>
      </w:r>
      <w:r w:rsidRPr="78D3267D" w:rsidR="63EDA45D">
        <w:rPr>
          <w:sz w:val="24"/>
          <w:szCs w:val="24"/>
        </w:rPr>
        <w:t>and</w:t>
      </w:r>
    </w:p>
    <w:p w:rsidR="00065BF0" w:rsidRPr="00443115" w:rsidP="007F0C72" w14:paraId="0C271B83" w14:textId="3696BE5C">
      <w:pPr>
        <w:pStyle w:val="ListParagraph"/>
        <w:numPr>
          <w:ilvl w:val="0"/>
          <w:numId w:val="5"/>
        </w:numPr>
        <w:spacing w:line="240" w:lineRule="auto"/>
        <w:rPr>
          <w:sz w:val="24"/>
          <w:szCs w:val="24"/>
        </w:rPr>
      </w:pPr>
      <w:r w:rsidRPr="78D3267D">
        <w:rPr>
          <w:sz w:val="24"/>
          <w:szCs w:val="24"/>
        </w:rPr>
        <w:t xml:space="preserve">Communicating Environmental and Health </w:t>
      </w:r>
      <w:r w:rsidRPr="78D3267D" w:rsidR="00145F9B">
        <w:rPr>
          <w:sz w:val="24"/>
          <w:szCs w:val="24"/>
        </w:rPr>
        <w:t>Risk</w:t>
      </w:r>
      <w:r w:rsidR="00145F9B">
        <w:rPr>
          <w:sz w:val="24"/>
          <w:szCs w:val="24"/>
        </w:rPr>
        <w:t>s (</w:t>
      </w:r>
      <w:r w:rsidR="006E1B1C">
        <w:rPr>
          <w:sz w:val="24"/>
          <w:szCs w:val="24"/>
        </w:rPr>
        <w:t>4 hours)</w:t>
      </w:r>
      <w:r w:rsidRPr="78D3267D">
        <w:rPr>
          <w:sz w:val="24"/>
          <w:szCs w:val="24"/>
        </w:rPr>
        <w:t xml:space="preserve">. </w:t>
      </w:r>
    </w:p>
    <w:p w:rsidR="00885FED" w:rsidP="78D3267D" w14:paraId="35107249" w14:textId="622332EE">
      <w:pPr>
        <w:rPr>
          <w:color w:val="000000" w:themeColor="text1"/>
          <w:sz w:val="24"/>
          <w:szCs w:val="24"/>
        </w:rPr>
      </w:pPr>
      <w:r w:rsidRPr="78D3267D">
        <w:rPr>
          <w:color w:val="000000" w:themeColor="text1"/>
          <w:sz w:val="24"/>
          <w:szCs w:val="24"/>
        </w:rPr>
        <w:t xml:space="preserve">ATSDR and NEHA intend to collaboratively offer the proposed </w:t>
      </w:r>
      <w:r>
        <w:rPr>
          <w:color w:val="000000" w:themeColor="text1"/>
          <w:sz w:val="24"/>
          <w:szCs w:val="24"/>
        </w:rPr>
        <w:t>“</w:t>
      </w:r>
      <w:r w:rsidRPr="78D3267D">
        <w:rPr>
          <w:color w:val="000000" w:themeColor="text1"/>
          <w:sz w:val="24"/>
          <w:szCs w:val="24"/>
        </w:rPr>
        <w:t xml:space="preserve">EHLR </w:t>
      </w:r>
      <w:r w:rsidR="00291DE5">
        <w:rPr>
          <w:color w:val="000000" w:themeColor="text1"/>
          <w:sz w:val="24"/>
          <w:szCs w:val="24"/>
        </w:rPr>
        <w:t>Immersion</w:t>
      </w:r>
      <w:r w:rsidRPr="78D3267D">
        <w:rPr>
          <w:color w:val="000000" w:themeColor="text1"/>
          <w:sz w:val="24"/>
          <w:szCs w:val="24"/>
        </w:rPr>
        <w:t xml:space="preserve"> Training</w:t>
      </w:r>
      <w:r>
        <w:rPr>
          <w:color w:val="000000" w:themeColor="text1"/>
          <w:sz w:val="24"/>
          <w:szCs w:val="24"/>
        </w:rPr>
        <w:t>”</w:t>
      </w:r>
      <w:r w:rsidRPr="78D3267D">
        <w:rPr>
          <w:color w:val="000000" w:themeColor="text1"/>
          <w:sz w:val="24"/>
          <w:szCs w:val="24"/>
        </w:rPr>
        <w:t xml:space="preserve"> </w:t>
      </w:r>
      <w:r>
        <w:rPr>
          <w:color w:val="000000" w:themeColor="text1"/>
          <w:sz w:val="24"/>
          <w:szCs w:val="24"/>
        </w:rPr>
        <w:t>two to four times</w:t>
      </w:r>
      <w:r w:rsidRPr="78D3267D">
        <w:rPr>
          <w:color w:val="000000" w:themeColor="text1"/>
          <w:sz w:val="24"/>
          <w:szCs w:val="24"/>
        </w:rPr>
        <w:t xml:space="preserve"> per year. </w:t>
      </w:r>
      <w:r w:rsidRPr="5444210A" w:rsidR="6776FAED">
        <w:rPr>
          <w:sz w:val="24"/>
          <w:szCs w:val="24"/>
        </w:rPr>
        <w:t>Th</w:t>
      </w:r>
      <w:r w:rsidRPr="5444210A" w:rsidR="63EDA45D">
        <w:rPr>
          <w:sz w:val="24"/>
          <w:szCs w:val="24"/>
        </w:rPr>
        <w:t xml:space="preserve">e </w:t>
      </w:r>
      <w:r>
        <w:rPr>
          <w:sz w:val="24"/>
          <w:szCs w:val="24"/>
        </w:rPr>
        <w:t xml:space="preserve">training </w:t>
      </w:r>
      <w:r w:rsidRPr="5444210A" w:rsidR="6776FAED">
        <w:rPr>
          <w:sz w:val="24"/>
          <w:szCs w:val="24"/>
        </w:rPr>
        <w:t>will be offered as a face-to-face</w:t>
      </w:r>
      <w:r w:rsidR="00D344D2">
        <w:rPr>
          <w:sz w:val="24"/>
          <w:szCs w:val="24"/>
        </w:rPr>
        <w:t xml:space="preserve"> session</w:t>
      </w:r>
      <w:r w:rsidRPr="5444210A" w:rsidR="6776FAED">
        <w:rPr>
          <w:sz w:val="24"/>
          <w:szCs w:val="24"/>
        </w:rPr>
        <w:t xml:space="preserve"> at environmental conferences to those who have </w:t>
      </w:r>
      <w:r w:rsidR="00643B4B">
        <w:rPr>
          <w:sz w:val="24"/>
          <w:szCs w:val="24"/>
        </w:rPr>
        <w:t xml:space="preserve">successfully </w:t>
      </w:r>
      <w:r w:rsidRPr="5444210A" w:rsidR="6776FAED">
        <w:rPr>
          <w:sz w:val="24"/>
          <w:szCs w:val="24"/>
        </w:rPr>
        <w:t>completed the</w:t>
      </w:r>
      <w:r w:rsidR="00B12832">
        <w:rPr>
          <w:sz w:val="24"/>
          <w:szCs w:val="24"/>
        </w:rPr>
        <w:t xml:space="preserve"> corresponding</w:t>
      </w:r>
      <w:r w:rsidRPr="5444210A" w:rsidR="6776FAED">
        <w:rPr>
          <w:sz w:val="24"/>
          <w:szCs w:val="24"/>
        </w:rPr>
        <w:t xml:space="preserve"> prerequisite </w:t>
      </w:r>
      <w:r w:rsidR="00AA5FF8">
        <w:rPr>
          <w:sz w:val="24"/>
          <w:szCs w:val="24"/>
        </w:rPr>
        <w:t>Module 1, 2, or 3</w:t>
      </w:r>
      <w:r w:rsidR="00B6320D">
        <w:rPr>
          <w:sz w:val="24"/>
          <w:szCs w:val="24"/>
        </w:rPr>
        <w:t xml:space="preserve"> </w:t>
      </w:r>
      <w:r w:rsidRPr="5444210A" w:rsidR="05FF49AC">
        <w:rPr>
          <w:sz w:val="24"/>
          <w:szCs w:val="24"/>
        </w:rPr>
        <w:t xml:space="preserve">of the </w:t>
      </w:r>
      <w:r w:rsidR="00F86165">
        <w:rPr>
          <w:sz w:val="24"/>
          <w:szCs w:val="24"/>
        </w:rPr>
        <w:t>“</w:t>
      </w:r>
      <w:r w:rsidR="00D344D2">
        <w:rPr>
          <w:sz w:val="24"/>
          <w:szCs w:val="24"/>
        </w:rPr>
        <w:t xml:space="preserve">EHLR </w:t>
      </w:r>
      <w:r w:rsidR="00F86165">
        <w:rPr>
          <w:sz w:val="24"/>
          <w:szCs w:val="24"/>
        </w:rPr>
        <w:t>B</w:t>
      </w:r>
      <w:r w:rsidRPr="5444210A" w:rsidR="78479F6F">
        <w:rPr>
          <w:sz w:val="24"/>
          <w:szCs w:val="24"/>
        </w:rPr>
        <w:t xml:space="preserve">asic </w:t>
      </w:r>
      <w:r w:rsidR="00F86165">
        <w:rPr>
          <w:sz w:val="24"/>
          <w:szCs w:val="24"/>
        </w:rPr>
        <w:t>Course”</w:t>
      </w:r>
      <w:r w:rsidR="008F0460">
        <w:rPr>
          <w:sz w:val="24"/>
          <w:szCs w:val="24"/>
        </w:rPr>
        <w:t>.</w:t>
      </w:r>
      <w:r w:rsidRPr="5444210A" w:rsidR="6776FAED">
        <w:rPr>
          <w:sz w:val="24"/>
          <w:szCs w:val="24"/>
        </w:rPr>
        <w:t xml:space="preserve"> </w:t>
      </w:r>
      <w:r w:rsidR="006E1B1C">
        <w:rPr>
          <w:sz w:val="24"/>
          <w:szCs w:val="24"/>
        </w:rPr>
        <w:t xml:space="preserve"> </w:t>
      </w:r>
      <w:r w:rsidR="00291DE5">
        <w:rPr>
          <w:sz w:val="24"/>
          <w:szCs w:val="24"/>
        </w:rPr>
        <w:t>Immersion</w:t>
      </w:r>
      <w:r w:rsidR="006E1B1C">
        <w:rPr>
          <w:sz w:val="24"/>
          <w:szCs w:val="24"/>
        </w:rPr>
        <w:t xml:space="preserve"> trainings can be offered </w:t>
      </w:r>
      <w:r w:rsidR="00E477BC">
        <w:rPr>
          <w:sz w:val="24"/>
          <w:szCs w:val="24"/>
        </w:rPr>
        <w:t>for one, two, or all three modules.</w:t>
      </w:r>
      <w:r w:rsidRPr="5444210A" w:rsidR="6776FAED">
        <w:rPr>
          <w:sz w:val="24"/>
          <w:szCs w:val="24"/>
        </w:rPr>
        <w:t xml:space="preserve"> </w:t>
      </w:r>
      <w:r w:rsidRPr="5444210A" w:rsidR="0819CC0F">
        <w:rPr>
          <w:sz w:val="24"/>
          <w:szCs w:val="24"/>
        </w:rPr>
        <w:t>The assessment</w:t>
      </w:r>
      <w:r w:rsidR="006D3A09">
        <w:rPr>
          <w:sz w:val="24"/>
          <w:szCs w:val="24"/>
        </w:rPr>
        <w:t>s</w:t>
      </w:r>
      <w:r w:rsidRPr="5444210A" w:rsidR="747EA21E">
        <w:rPr>
          <w:sz w:val="24"/>
          <w:szCs w:val="24"/>
        </w:rPr>
        <w:t xml:space="preserve"> will be offered electronically</w:t>
      </w:r>
      <w:r w:rsidR="00E477BC">
        <w:rPr>
          <w:sz w:val="24"/>
          <w:szCs w:val="24"/>
        </w:rPr>
        <w:t xml:space="preserve"> as a link in the course materials or slides</w:t>
      </w:r>
      <w:r w:rsidRPr="5444210A" w:rsidR="747EA21E">
        <w:rPr>
          <w:sz w:val="24"/>
          <w:szCs w:val="24"/>
        </w:rPr>
        <w:t xml:space="preserve">, or in rare cases where </w:t>
      </w:r>
      <w:r w:rsidRPr="5444210A" w:rsidR="005D647A">
        <w:rPr>
          <w:sz w:val="24"/>
          <w:szCs w:val="24"/>
        </w:rPr>
        <w:t>Wi-Fi</w:t>
      </w:r>
      <w:r w:rsidRPr="5444210A" w:rsidR="747EA21E">
        <w:rPr>
          <w:sz w:val="24"/>
          <w:szCs w:val="24"/>
        </w:rPr>
        <w:t xml:space="preserve"> may not be available, by paper and pen format. </w:t>
      </w:r>
    </w:p>
    <w:p w:rsidR="00885FED" w:rsidRPr="00FF45A9" w:rsidP="00885FED" w14:paraId="52FD279F" w14:textId="77777777">
      <w:pPr>
        <w:spacing w:before="240"/>
        <w:rPr>
          <w:rFonts w:cstheme="minorHAnsi"/>
          <w:i/>
          <w:iCs/>
          <w:sz w:val="24"/>
          <w:szCs w:val="24"/>
        </w:rPr>
      </w:pPr>
      <w:r>
        <w:rPr>
          <w:rFonts w:cstheme="minorHAnsi"/>
          <w:i/>
          <w:iCs/>
          <w:sz w:val="24"/>
          <w:szCs w:val="24"/>
        </w:rPr>
        <w:t>Course Completion and Credentialing</w:t>
      </w:r>
    </w:p>
    <w:p w:rsidR="004E13AE" w:rsidP="78D3267D" w14:paraId="552A1AC6" w14:textId="0A4EFB41">
      <w:pPr>
        <w:rPr>
          <w:color w:val="000000" w:themeColor="text1"/>
          <w:sz w:val="24"/>
          <w:szCs w:val="24"/>
        </w:rPr>
      </w:pPr>
      <w:r>
        <w:rPr>
          <w:color w:val="000000" w:themeColor="text1"/>
          <w:sz w:val="24"/>
          <w:szCs w:val="24"/>
        </w:rPr>
        <w:t>ATSDR c</w:t>
      </w:r>
      <w:r w:rsidRPr="78D3267D" w:rsidR="3CF1C3BD">
        <w:rPr>
          <w:color w:val="000000" w:themeColor="text1"/>
          <w:sz w:val="24"/>
          <w:szCs w:val="24"/>
        </w:rPr>
        <w:t xml:space="preserve">ontinuing education credits will be issued by </w:t>
      </w:r>
      <w:r w:rsidRPr="78D3267D" w:rsidR="3A5F4D81">
        <w:rPr>
          <w:color w:val="000000" w:themeColor="text1"/>
          <w:sz w:val="24"/>
          <w:szCs w:val="24"/>
        </w:rPr>
        <w:t>NEHA</w:t>
      </w:r>
      <w:r w:rsidRPr="78D3267D" w:rsidR="3CF1C3BD">
        <w:rPr>
          <w:color w:val="000000" w:themeColor="text1"/>
          <w:sz w:val="24"/>
          <w:szCs w:val="24"/>
        </w:rPr>
        <w:t xml:space="preserve"> for participants who complete</w:t>
      </w:r>
      <w:r w:rsidRPr="78D3267D" w:rsidR="77BEA2FC">
        <w:rPr>
          <w:color w:val="000000" w:themeColor="text1"/>
          <w:sz w:val="24"/>
          <w:szCs w:val="24"/>
        </w:rPr>
        <w:t xml:space="preserve"> </w:t>
      </w:r>
      <w:r w:rsidR="009A0BED">
        <w:rPr>
          <w:sz w:val="24"/>
          <w:szCs w:val="24"/>
        </w:rPr>
        <w:t xml:space="preserve">the “EHLR Basic Course” </w:t>
      </w:r>
      <w:r w:rsidRPr="78D3267D" w:rsidR="009A0BED">
        <w:rPr>
          <w:sz w:val="24"/>
          <w:szCs w:val="24"/>
        </w:rPr>
        <w:t>a</w:t>
      </w:r>
      <w:r w:rsidR="009A0BED">
        <w:rPr>
          <w:sz w:val="24"/>
          <w:szCs w:val="24"/>
        </w:rPr>
        <w:t>nd</w:t>
      </w:r>
      <w:r w:rsidRPr="78D3267D" w:rsidR="009A0BED">
        <w:rPr>
          <w:sz w:val="24"/>
          <w:szCs w:val="24"/>
        </w:rPr>
        <w:t xml:space="preserve"> the new </w:t>
      </w:r>
      <w:r w:rsidRPr="78D3267D" w:rsidR="009D69FA">
        <w:rPr>
          <w:sz w:val="24"/>
          <w:szCs w:val="24"/>
        </w:rPr>
        <w:t>conference based</w:t>
      </w:r>
      <w:r w:rsidRPr="78D3267D" w:rsidR="009A0BED">
        <w:rPr>
          <w:sz w:val="24"/>
          <w:szCs w:val="24"/>
        </w:rPr>
        <w:t xml:space="preserve"> “</w:t>
      </w:r>
      <w:r w:rsidR="009A0BED">
        <w:rPr>
          <w:sz w:val="24"/>
          <w:szCs w:val="24"/>
        </w:rPr>
        <w:t xml:space="preserve">EHLR </w:t>
      </w:r>
      <w:r w:rsidR="00291DE5">
        <w:rPr>
          <w:sz w:val="24"/>
          <w:szCs w:val="24"/>
        </w:rPr>
        <w:t>Immersion</w:t>
      </w:r>
      <w:r w:rsidRPr="78D3267D" w:rsidR="009A0BED">
        <w:rPr>
          <w:sz w:val="24"/>
          <w:szCs w:val="24"/>
        </w:rPr>
        <w:t xml:space="preserve"> Training</w:t>
      </w:r>
      <w:r w:rsidR="00674655">
        <w:rPr>
          <w:color w:val="000000" w:themeColor="text1"/>
          <w:sz w:val="24"/>
          <w:szCs w:val="24"/>
        </w:rPr>
        <w:t>.</w:t>
      </w:r>
      <w:r w:rsidR="009A0BED">
        <w:rPr>
          <w:color w:val="000000" w:themeColor="text1"/>
          <w:sz w:val="24"/>
          <w:szCs w:val="24"/>
        </w:rPr>
        <w:t>”</w:t>
      </w:r>
      <w:r w:rsidR="00674655">
        <w:rPr>
          <w:color w:val="000000" w:themeColor="text1"/>
          <w:sz w:val="24"/>
          <w:szCs w:val="24"/>
        </w:rPr>
        <w:t xml:space="preserve"> </w:t>
      </w:r>
      <w:r w:rsidRPr="78D3267D" w:rsidR="3CF1C3BD">
        <w:rPr>
          <w:color w:val="000000" w:themeColor="text1"/>
          <w:sz w:val="24"/>
          <w:szCs w:val="24"/>
        </w:rPr>
        <w:t>NEHA is offering Certificate</w:t>
      </w:r>
      <w:r w:rsidR="00647D95">
        <w:rPr>
          <w:color w:val="000000" w:themeColor="text1"/>
          <w:sz w:val="24"/>
          <w:szCs w:val="24"/>
        </w:rPr>
        <w:t>s</w:t>
      </w:r>
      <w:r w:rsidRPr="78D3267D" w:rsidR="3CF1C3BD">
        <w:rPr>
          <w:color w:val="000000" w:themeColor="text1"/>
          <w:sz w:val="24"/>
          <w:szCs w:val="24"/>
        </w:rPr>
        <w:t xml:space="preserve"> of Completion </w:t>
      </w:r>
      <w:r w:rsidR="0073534D">
        <w:rPr>
          <w:color w:val="000000" w:themeColor="text1"/>
          <w:sz w:val="24"/>
          <w:szCs w:val="24"/>
        </w:rPr>
        <w:t xml:space="preserve">for ATSDR </w:t>
      </w:r>
      <w:r w:rsidRPr="78D3267D" w:rsidR="1ACE5852">
        <w:rPr>
          <w:color w:val="000000" w:themeColor="text1"/>
          <w:sz w:val="24"/>
          <w:szCs w:val="24"/>
        </w:rPr>
        <w:t>because they are the</w:t>
      </w:r>
      <w:r w:rsidRPr="78D3267D" w:rsidR="20FCC3A1">
        <w:rPr>
          <w:color w:val="000000" w:themeColor="text1"/>
          <w:sz w:val="24"/>
          <w:szCs w:val="24"/>
        </w:rPr>
        <w:t xml:space="preserve"> recognized</w:t>
      </w:r>
      <w:r w:rsidRPr="78D3267D" w:rsidR="3CF1C3BD">
        <w:rPr>
          <w:color w:val="000000" w:themeColor="text1"/>
          <w:sz w:val="24"/>
          <w:szCs w:val="24"/>
        </w:rPr>
        <w:t xml:space="preserve"> credentialing</w:t>
      </w:r>
      <w:r w:rsidRPr="78D3267D" w:rsidR="5A48AD7D">
        <w:rPr>
          <w:color w:val="000000" w:themeColor="text1"/>
          <w:sz w:val="24"/>
          <w:szCs w:val="24"/>
        </w:rPr>
        <w:t xml:space="preserve"> </w:t>
      </w:r>
      <w:r w:rsidRPr="78D3267D" w:rsidR="3CF1C3BD">
        <w:rPr>
          <w:color w:val="000000" w:themeColor="text1"/>
          <w:sz w:val="24"/>
          <w:szCs w:val="24"/>
        </w:rPr>
        <w:t>entity for many environmental professionals</w:t>
      </w:r>
      <w:r w:rsidRPr="78D3267D" w:rsidR="1ACE5852">
        <w:rPr>
          <w:color w:val="000000" w:themeColor="text1"/>
          <w:sz w:val="24"/>
          <w:szCs w:val="24"/>
        </w:rPr>
        <w:t xml:space="preserve"> among the training target audience</w:t>
      </w:r>
      <w:r w:rsidRPr="78D3267D" w:rsidR="3CF1C3BD">
        <w:rPr>
          <w:color w:val="000000" w:themeColor="text1"/>
          <w:sz w:val="24"/>
          <w:szCs w:val="24"/>
        </w:rPr>
        <w:t xml:space="preserve">. For example, they offer a Registered Sanitarian </w:t>
      </w:r>
      <w:r w:rsidRPr="78D3267D" w:rsidR="1ACE5852">
        <w:rPr>
          <w:color w:val="000000" w:themeColor="text1"/>
          <w:sz w:val="24"/>
          <w:szCs w:val="24"/>
        </w:rPr>
        <w:t>C</w:t>
      </w:r>
      <w:r w:rsidRPr="78D3267D" w:rsidR="3CF1C3BD">
        <w:rPr>
          <w:color w:val="000000" w:themeColor="text1"/>
          <w:sz w:val="24"/>
          <w:szCs w:val="24"/>
        </w:rPr>
        <w:t xml:space="preserve">ertification and </w:t>
      </w:r>
      <w:r w:rsidR="005D647A">
        <w:rPr>
          <w:color w:val="000000" w:themeColor="text1"/>
          <w:sz w:val="24"/>
          <w:szCs w:val="24"/>
        </w:rPr>
        <w:t>F</w:t>
      </w:r>
      <w:r w:rsidRPr="78D3267D" w:rsidR="005D647A">
        <w:rPr>
          <w:color w:val="000000" w:themeColor="text1"/>
          <w:sz w:val="24"/>
          <w:szCs w:val="24"/>
        </w:rPr>
        <w:t xml:space="preserve">ood </w:t>
      </w:r>
      <w:r w:rsidR="005D647A">
        <w:rPr>
          <w:color w:val="000000" w:themeColor="text1"/>
          <w:sz w:val="24"/>
          <w:szCs w:val="24"/>
        </w:rPr>
        <w:t>S</w:t>
      </w:r>
      <w:r w:rsidRPr="78D3267D" w:rsidR="005D647A">
        <w:rPr>
          <w:color w:val="000000" w:themeColor="text1"/>
          <w:sz w:val="24"/>
          <w:szCs w:val="24"/>
        </w:rPr>
        <w:t>afety</w:t>
      </w:r>
      <w:r w:rsidRPr="78D3267D" w:rsidR="3CF1C3BD">
        <w:rPr>
          <w:color w:val="000000" w:themeColor="text1"/>
          <w:sz w:val="24"/>
          <w:szCs w:val="24"/>
        </w:rPr>
        <w:t>/</w:t>
      </w:r>
      <w:r w:rsidR="005D647A">
        <w:rPr>
          <w:color w:val="000000" w:themeColor="text1"/>
          <w:sz w:val="24"/>
          <w:szCs w:val="24"/>
        </w:rPr>
        <w:t>F</w:t>
      </w:r>
      <w:r w:rsidRPr="78D3267D" w:rsidR="005D647A">
        <w:rPr>
          <w:color w:val="000000" w:themeColor="text1"/>
          <w:sz w:val="24"/>
          <w:szCs w:val="24"/>
        </w:rPr>
        <w:t xml:space="preserve">ood </w:t>
      </w:r>
      <w:r w:rsidR="005D647A">
        <w:rPr>
          <w:color w:val="000000" w:themeColor="text1"/>
          <w:sz w:val="24"/>
          <w:szCs w:val="24"/>
        </w:rPr>
        <w:t>H</w:t>
      </w:r>
      <w:r w:rsidRPr="78D3267D" w:rsidR="005D647A">
        <w:rPr>
          <w:color w:val="000000" w:themeColor="text1"/>
          <w:sz w:val="24"/>
          <w:szCs w:val="24"/>
        </w:rPr>
        <w:t xml:space="preserve">andling </w:t>
      </w:r>
      <w:r w:rsidRPr="78D3267D" w:rsidR="3CF1C3BD">
        <w:rPr>
          <w:color w:val="000000" w:themeColor="text1"/>
          <w:sz w:val="24"/>
          <w:szCs w:val="24"/>
        </w:rPr>
        <w:t xml:space="preserve">courses that issue a certificate. </w:t>
      </w:r>
    </w:p>
    <w:p w:rsidR="00647D95" w:rsidP="78D3267D" w14:paraId="289B8EAD" w14:textId="75C207D5">
      <w:pPr>
        <w:rPr>
          <w:color w:val="000000" w:themeColor="text1"/>
          <w:sz w:val="24"/>
          <w:szCs w:val="24"/>
        </w:rPr>
      </w:pPr>
      <w:r>
        <w:rPr>
          <w:color w:val="000000" w:themeColor="text1"/>
          <w:sz w:val="24"/>
          <w:szCs w:val="24"/>
        </w:rPr>
        <w:t xml:space="preserve">For the </w:t>
      </w:r>
      <w:r w:rsidR="00032C96">
        <w:rPr>
          <w:color w:val="000000" w:themeColor="text1"/>
          <w:sz w:val="24"/>
          <w:szCs w:val="24"/>
        </w:rPr>
        <w:t xml:space="preserve">full 5-module </w:t>
      </w:r>
      <w:r>
        <w:rPr>
          <w:color w:val="000000" w:themeColor="text1"/>
          <w:sz w:val="24"/>
          <w:szCs w:val="24"/>
        </w:rPr>
        <w:t>“EHLR Basic Course”</w:t>
      </w:r>
      <w:r w:rsidR="005D647A">
        <w:rPr>
          <w:color w:val="000000" w:themeColor="text1"/>
          <w:sz w:val="24"/>
          <w:szCs w:val="24"/>
        </w:rPr>
        <w:t xml:space="preserve">, </w:t>
      </w:r>
      <w:r>
        <w:rPr>
          <w:color w:val="000000" w:themeColor="text1"/>
          <w:sz w:val="24"/>
          <w:szCs w:val="24"/>
        </w:rPr>
        <w:t>u</w:t>
      </w:r>
      <w:r w:rsidRPr="78D3267D">
        <w:rPr>
          <w:color w:val="000000" w:themeColor="text1"/>
          <w:sz w:val="24"/>
          <w:szCs w:val="24"/>
        </w:rPr>
        <w:t xml:space="preserve">pon verification of eligibility by the ATSDR course director, NEHA will issue </w:t>
      </w:r>
      <w:r>
        <w:rPr>
          <w:color w:val="000000" w:themeColor="text1"/>
          <w:sz w:val="24"/>
          <w:szCs w:val="24"/>
        </w:rPr>
        <w:t>1</w:t>
      </w:r>
      <w:r w:rsidRPr="78D3267D">
        <w:rPr>
          <w:color w:val="000000" w:themeColor="text1"/>
          <w:sz w:val="24"/>
          <w:szCs w:val="24"/>
        </w:rPr>
        <w:t>0 CEUs total</w:t>
      </w:r>
      <w:r w:rsidR="001C7269">
        <w:rPr>
          <w:color w:val="000000" w:themeColor="text1"/>
          <w:sz w:val="24"/>
          <w:szCs w:val="24"/>
        </w:rPr>
        <w:t xml:space="preserve"> and one </w:t>
      </w:r>
      <w:r w:rsidR="00D621D2">
        <w:rPr>
          <w:color w:val="000000" w:themeColor="text1"/>
          <w:sz w:val="24"/>
          <w:szCs w:val="24"/>
        </w:rPr>
        <w:t>C</w:t>
      </w:r>
      <w:r w:rsidR="00081BBD">
        <w:rPr>
          <w:color w:val="000000" w:themeColor="text1"/>
          <w:sz w:val="24"/>
          <w:szCs w:val="24"/>
        </w:rPr>
        <w:t xml:space="preserve">ertificate of </w:t>
      </w:r>
      <w:r w:rsidR="00D621D2">
        <w:rPr>
          <w:color w:val="000000" w:themeColor="text1"/>
          <w:sz w:val="24"/>
          <w:szCs w:val="24"/>
        </w:rPr>
        <w:t>C</w:t>
      </w:r>
      <w:r w:rsidR="00081BBD">
        <w:rPr>
          <w:color w:val="000000" w:themeColor="text1"/>
          <w:sz w:val="24"/>
          <w:szCs w:val="24"/>
        </w:rPr>
        <w:t xml:space="preserve">ompletion in </w:t>
      </w:r>
      <w:r w:rsidR="00D621D2">
        <w:rPr>
          <w:color w:val="000000" w:themeColor="text1"/>
          <w:sz w:val="24"/>
          <w:szCs w:val="24"/>
        </w:rPr>
        <w:t>E</w:t>
      </w:r>
      <w:r w:rsidR="00081BBD">
        <w:rPr>
          <w:color w:val="000000" w:themeColor="text1"/>
          <w:sz w:val="24"/>
          <w:szCs w:val="24"/>
        </w:rPr>
        <w:t xml:space="preserve">nvironmental </w:t>
      </w:r>
      <w:r w:rsidR="00D621D2">
        <w:rPr>
          <w:color w:val="000000" w:themeColor="text1"/>
          <w:sz w:val="24"/>
          <w:szCs w:val="24"/>
        </w:rPr>
        <w:t>H</w:t>
      </w:r>
      <w:r w:rsidR="00081BBD">
        <w:rPr>
          <w:color w:val="000000" w:themeColor="text1"/>
          <w:sz w:val="24"/>
          <w:szCs w:val="24"/>
        </w:rPr>
        <w:t xml:space="preserve">ealth and </w:t>
      </w:r>
      <w:r w:rsidR="00D621D2">
        <w:rPr>
          <w:color w:val="000000" w:themeColor="text1"/>
          <w:sz w:val="24"/>
          <w:szCs w:val="24"/>
        </w:rPr>
        <w:t>L</w:t>
      </w:r>
      <w:r w:rsidR="00081BBD">
        <w:rPr>
          <w:color w:val="000000" w:themeColor="text1"/>
          <w:sz w:val="24"/>
          <w:szCs w:val="24"/>
        </w:rPr>
        <w:t xml:space="preserve">and </w:t>
      </w:r>
      <w:r w:rsidR="00D621D2">
        <w:rPr>
          <w:color w:val="000000" w:themeColor="text1"/>
          <w:sz w:val="24"/>
          <w:szCs w:val="24"/>
        </w:rPr>
        <w:t>R</w:t>
      </w:r>
      <w:r w:rsidR="00081BBD">
        <w:rPr>
          <w:color w:val="000000" w:themeColor="text1"/>
          <w:sz w:val="24"/>
          <w:szCs w:val="24"/>
        </w:rPr>
        <w:t>euse</w:t>
      </w:r>
      <w:r w:rsidR="00CD296E">
        <w:rPr>
          <w:color w:val="000000" w:themeColor="text1"/>
          <w:sz w:val="24"/>
          <w:szCs w:val="24"/>
        </w:rPr>
        <w:t xml:space="preserve">. For </w:t>
      </w:r>
      <w:r w:rsidR="00AD436F">
        <w:rPr>
          <w:color w:val="000000" w:themeColor="text1"/>
          <w:sz w:val="24"/>
          <w:szCs w:val="24"/>
        </w:rPr>
        <w:t xml:space="preserve">participants who </w:t>
      </w:r>
      <w:r w:rsidR="00CD296E">
        <w:rPr>
          <w:color w:val="000000" w:themeColor="text1"/>
          <w:sz w:val="24"/>
          <w:szCs w:val="24"/>
        </w:rPr>
        <w:t>complet</w:t>
      </w:r>
      <w:r w:rsidR="00AD436F">
        <w:rPr>
          <w:color w:val="000000" w:themeColor="text1"/>
          <w:sz w:val="24"/>
          <w:szCs w:val="24"/>
        </w:rPr>
        <w:t>e</w:t>
      </w:r>
      <w:r w:rsidR="00CD296E">
        <w:rPr>
          <w:color w:val="000000" w:themeColor="text1"/>
          <w:sz w:val="24"/>
          <w:szCs w:val="24"/>
        </w:rPr>
        <w:t xml:space="preserve"> </w:t>
      </w:r>
      <w:r w:rsidR="00AD436F">
        <w:rPr>
          <w:color w:val="000000" w:themeColor="text1"/>
          <w:sz w:val="24"/>
          <w:szCs w:val="24"/>
        </w:rPr>
        <w:t>only</w:t>
      </w:r>
      <w:r w:rsidR="00CD296E">
        <w:rPr>
          <w:color w:val="000000" w:themeColor="text1"/>
          <w:sz w:val="24"/>
          <w:szCs w:val="24"/>
        </w:rPr>
        <w:t xml:space="preserve"> individual modules</w:t>
      </w:r>
      <w:r w:rsidR="004E05BF">
        <w:rPr>
          <w:color w:val="000000" w:themeColor="text1"/>
          <w:sz w:val="24"/>
          <w:szCs w:val="24"/>
        </w:rPr>
        <w:t xml:space="preserve">, NEHA will issue individual </w:t>
      </w:r>
      <w:r w:rsidR="00081BBD">
        <w:rPr>
          <w:color w:val="000000" w:themeColor="text1"/>
          <w:sz w:val="24"/>
          <w:szCs w:val="24"/>
        </w:rPr>
        <w:t>C</w:t>
      </w:r>
      <w:r w:rsidR="004E05BF">
        <w:rPr>
          <w:color w:val="000000" w:themeColor="text1"/>
          <w:sz w:val="24"/>
          <w:szCs w:val="24"/>
        </w:rPr>
        <w:t xml:space="preserve">ertificates of </w:t>
      </w:r>
      <w:r w:rsidR="00081BBD">
        <w:rPr>
          <w:color w:val="000000" w:themeColor="text1"/>
          <w:sz w:val="24"/>
          <w:szCs w:val="24"/>
        </w:rPr>
        <w:t>C</w:t>
      </w:r>
      <w:r w:rsidR="004E05BF">
        <w:rPr>
          <w:color w:val="000000" w:themeColor="text1"/>
          <w:sz w:val="24"/>
          <w:szCs w:val="24"/>
        </w:rPr>
        <w:t>ompletion per modul</w:t>
      </w:r>
      <w:r w:rsidR="00AF4E3C">
        <w:rPr>
          <w:color w:val="000000" w:themeColor="text1"/>
          <w:sz w:val="24"/>
          <w:szCs w:val="24"/>
        </w:rPr>
        <w:t>e</w:t>
      </w:r>
      <w:r w:rsidR="008120E8">
        <w:rPr>
          <w:color w:val="000000" w:themeColor="text1"/>
          <w:sz w:val="24"/>
          <w:szCs w:val="24"/>
        </w:rPr>
        <w:t xml:space="preserve">, </w:t>
      </w:r>
      <w:r w:rsidR="00AD436F">
        <w:rPr>
          <w:color w:val="000000" w:themeColor="text1"/>
          <w:sz w:val="24"/>
          <w:szCs w:val="24"/>
        </w:rPr>
        <w:t>designated by name and time, as</w:t>
      </w:r>
      <w:r>
        <w:rPr>
          <w:color w:val="000000" w:themeColor="text1"/>
          <w:sz w:val="24"/>
          <w:szCs w:val="24"/>
        </w:rPr>
        <w:t xml:space="preserve">: </w:t>
      </w:r>
      <w:r w:rsidRPr="007F0C72">
        <w:rPr>
          <w:sz w:val="24"/>
          <w:szCs w:val="24"/>
        </w:rPr>
        <w:t>Engaging with Your Community (</w:t>
      </w:r>
      <w:r w:rsidR="002135ED">
        <w:rPr>
          <w:sz w:val="24"/>
          <w:szCs w:val="24"/>
        </w:rPr>
        <w:t>2</w:t>
      </w:r>
      <w:r w:rsidRPr="007F0C72">
        <w:rPr>
          <w:sz w:val="24"/>
          <w:szCs w:val="24"/>
        </w:rPr>
        <w:t xml:space="preserve"> hours)</w:t>
      </w:r>
      <w:r>
        <w:rPr>
          <w:color w:val="000000" w:themeColor="text1"/>
          <w:sz w:val="24"/>
          <w:szCs w:val="24"/>
        </w:rPr>
        <w:t xml:space="preserve">, </w:t>
      </w:r>
      <w:r w:rsidRPr="007F0C72">
        <w:rPr>
          <w:sz w:val="24"/>
          <w:szCs w:val="24"/>
        </w:rPr>
        <w:t>Evaluating Environmental and Health Risks (2 hours)</w:t>
      </w:r>
      <w:r>
        <w:rPr>
          <w:color w:val="000000" w:themeColor="text1"/>
          <w:sz w:val="24"/>
          <w:szCs w:val="24"/>
        </w:rPr>
        <w:t xml:space="preserve">, </w:t>
      </w:r>
      <w:r w:rsidRPr="007F0C72">
        <w:rPr>
          <w:sz w:val="24"/>
          <w:szCs w:val="24"/>
        </w:rPr>
        <w:t>Communicating Environmental and Health Risks to the Community (</w:t>
      </w:r>
      <w:r w:rsidR="002135ED">
        <w:rPr>
          <w:sz w:val="24"/>
          <w:szCs w:val="24"/>
        </w:rPr>
        <w:t>2</w:t>
      </w:r>
      <w:r w:rsidRPr="007F0C72">
        <w:rPr>
          <w:sz w:val="24"/>
          <w:szCs w:val="24"/>
        </w:rPr>
        <w:t xml:space="preserve"> hours)</w:t>
      </w:r>
      <w:r>
        <w:rPr>
          <w:color w:val="000000" w:themeColor="text1"/>
          <w:sz w:val="24"/>
          <w:szCs w:val="24"/>
        </w:rPr>
        <w:t xml:space="preserve">, </w:t>
      </w:r>
      <w:r w:rsidRPr="007F0C72">
        <w:rPr>
          <w:sz w:val="24"/>
          <w:szCs w:val="24"/>
        </w:rPr>
        <w:t>Redesigning with Health in Mind (</w:t>
      </w:r>
      <w:r w:rsidR="002135ED">
        <w:rPr>
          <w:sz w:val="24"/>
          <w:szCs w:val="24"/>
        </w:rPr>
        <w:t>2</w:t>
      </w:r>
      <w:r w:rsidRPr="007F0C72">
        <w:rPr>
          <w:sz w:val="24"/>
          <w:szCs w:val="24"/>
        </w:rPr>
        <w:t xml:space="preserve"> hours)</w:t>
      </w:r>
      <w:r>
        <w:rPr>
          <w:color w:val="000000" w:themeColor="text1"/>
          <w:sz w:val="24"/>
          <w:szCs w:val="24"/>
        </w:rPr>
        <w:t xml:space="preserve">, and </w:t>
      </w:r>
      <w:r w:rsidRPr="007F0C72">
        <w:rPr>
          <w:sz w:val="24"/>
          <w:szCs w:val="24"/>
        </w:rPr>
        <w:t>Measuring Success (</w:t>
      </w:r>
      <w:r w:rsidR="002135ED">
        <w:rPr>
          <w:sz w:val="24"/>
          <w:szCs w:val="24"/>
        </w:rPr>
        <w:t>2</w:t>
      </w:r>
      <w:r w:rsidRPr="007F0C72">
        <w:rPr>
          <w:sz w:val="24"/>
          <w:szCs w:val="24"/>
        </w:rPr>
        <w:t xml:space="preserve"> hours)</w:t>
      </w:r>
      <w:r w:rsidR="00EB7C82">
        <w:rPr>
          <w:sz w:val="24"/>
          <w:szCs w:val="24"/>
        </w:rPr>
        <w:t xml:space="preserve">. </w:t>
      </w:r>
      <w:r w:rsidR="002E3DCB">
        <w:rPr>
          <w:sz w:val="24"/>
          <w:szCs w:val="24"/>
        </w:rPr>
        <w:t xml:space="preserve"> </w:t>
      </w:r>
    </w:p>
    <w:p w:rsidR="00885FED" w:rsidRPr="00740EDF" w:rsidP="00742BE7" w14:paraId="141A5CE2" w14:textId="3ADA8F30">
      <w:pPr>
        <w:rPr>
          <w:rFonts w:cs="ITCFranklinGothicStd-Book"/>
          <w:sz w:val="24"/>
          <w:szCs w:val="24"/>
        </w:rPr>
      </w:pPr>
      <w:r>
        <w:rPr>
          <w:color w:val="000000" w:themeColor="text1"/>
          <w:sz w:val="24"/>
          <w:szCs w:val="24"/>
        </w:rPr>
        <w:t xml:space="preserve">For the </w:t>
      </w:r>
      <w:r w:rsidRPr="78D3267D">
        <w:rPr>
          <w:sz w:val="24"/>
          <w:szCs w:val="24"/>
        </w:rPr>
        <w:t>“</w:t>
      </w:r>
      <w:r>
        <w:rPr>
          <w:sz w:val="24"/>
          <w:szCs w:val="24"/>
        </w:rPr>
        <w:t xml:space="preserve">EHLR </w:t>
      </w:r>
      <w:r w:rsidR="00291DE5">
        <w:rPr>
          <w:sz w:val="24"/>
          <w:szCs w:val="24"/>
        </w:rPr>
        <w:t>Immersion</w:t>
      </w:r>
      <w:r w:rsidRPr="78D3267D">
        <w:rPr>
          <w:sz w:val="24"/>
          <w:szCs w:val="24"/>
        </w:rPr>
        <w:t xml:space="preserve"> Training</w:t>
      </w:r>
      <w:r w:rsidR="00AA25DA">
        <w:rPr>
          <w:color w:val="000000" w:themeColor="text1"/>
          <w:sz w:val="24"/>
          <w:szCs w:val="24"/>
        </w:rPr>
        <w:t>,</w:t>
      </w:r>
      <w:r>
        <w:rPr>
          <w:color w:val="000000" w:themeColor="text1"/>
          <w:sz w:val="24"/>
          <w:szCs w:val="24"/>
        </w:rPr>
        <w:t>” u</w:t>
      </w:r>
      <w:r w:rsidRPr="78D3267D" w:rsidR="4C535D70">
        <w:rPr>
          <w:color w:val="000000" w:themeColor="text1"/>
          <w:sz w:val="24"/>
          <w:szCs w:val="24"/>
        </w:rPr>
        <w:t xml:space="preserve">pon verification of eligibility by the ATSDR course director, </w:t>
      </w:r>
      <w:r w:rsidRPr="78D3267D" w:rsidR="54BFC935">
        <w:rPr>
          <w:color w:val="000000" w:themeColor="text1"/>
          <w:sz w:val="24"/>
          <w:szCs w:val="24"/>
        </w:rPr>
        <w:t xml:space="preserve">NEHA will </w:t>
      </w:r>
      <w:r w:rsidRPr="78D3267D" w:rsidR="4C535D70">
        <w:rPr>
          <w:color w:val="000000" w:themeColor="text1"/>
          <w:sz w:val="24"/>
          <w:szCs w:val="24"/>
        </w:rPr>
        <w:t>iss</w:t>
      </w:r>
      <w:r w:rsidRPr="78D3267D" w:rsidR="43F1833B">
        <w:rPr>
          <w:color w:val="000000" w:themeColor="text1"/>
          <w:sz w:val="24"/>
          <w:szCs w:val="24"/>
        </w:rPr>
        <w:t>u</w:t>
      </w:r>
      <w:r w:rsidRPr="78D3267D" w:rsidR="4C535D70">
        <w:rPr>
          <w:color w:val="000000" w:themeColor="text1"/>
          <w:sz w:val="24"/>
          <w:szCs w:val="24"/>
        </w:rPr>
        <w:t>e</w:t>
      </w:r>
      <w:r w:rsidRPr="78D3267D" w:rsidR="54BFC935">
        <w:rPr>
          <w:color w:val="000000" w:themeColor="text1"/>
          <w:sz w:val="24"/>
          <w:szCs w:val="24"/>
        </w:rPr>
        <w:t xml:space="preserve"> </w:t>
      </w:r>
      <w:r w:rsidR="0073534D">
        <w:rPr>
          <w:color w:val="000000" w:themeColor="text1"/>
          <w:sz w:val="24"/>
          <w:szCs w:val="24"/>
        </w:rPr>
        <w:t xml:space="preserve">as many as </w:t>
      </w:r>
      <w:r w:rsidRPr="78D3267D" w:rsidR="54BFC935">
        <w:rPr>
          <w:color w:val="000000" w:themeColor="text1"/>
          <w:sz w:val="24"/>
          <w:szCs w:val="24"/>
        </w:rPr>
        <w:t xml:space="preserve">20 CEUs total, broken into three individual </w:t>
      </w:r>
      <w:r w:rsidRPr="78D3267D" w:rsidR="6576459F">
        <w:rPr>
          <w:color w:val="000000" w:themeColor="text1"/>
          <w:sz w:val="24"/>
          <w:szCs w:val="24"/>
        </w:rPr>
        <w:t>module</w:t>
      </w:r>
      <w:r w:rsidRPr="78D3267D" w:rsidR="54BFC935">
        <w:rPr>
          <w:color w:val="000000" w:themeColor="text1"/>
          <w:sz w:val="24"/>
          <w:szCs w:val="24"/>
        </w:rPr>
        <w:t>s</w:t>
      </w:r>
      <w:r w:rsidRPr="78D3267D" w:rsidR="6576459F">
        <w:rPr>
          <w:color w:val="000000" w:themeColor="text1"/>
          <w:sz w:val="24"/>
          <w:szCs w:val="24"/>
        </w:rPr>
        <w:t xml:space="preserve"> with three individual Certificates of Completion in</w:t>
      </w:r>
      <w:r w:rsidRPr="78D3267D" w:rsidR="54BFC935">
        <w:rPr>
          <w:color w:val="000000" w:themeColor="text1"/>
          <w:sz w:val="24"/>
          <w:szCs w:val="24"/>
        </w:rPr>
        <w:t xml:space="preserve">: Community Engagement (8 hours), Evaluation of Environmental and Health Risks (8 hours), and </w:t>
      </w:r>
      <w:r w:rsidRPr="78D3267D" w:rsidR="00FA2EDA">
        <w:rPr>
          <w:sz w:val="24"/>
          <w:szCs w:val="24"/>
        </w:rPr>
        <w:t>Communicating Environmental and Health Risks</w:t>
      </w:r>
      <w:r w:rsidRPr="78D3267D" w:rsidR="54BFC935">
        <w:rPr>
          <w:color w:val="000000" w:themeColor="text1"/>
          <w:sz w:val="24"/>
          <w:szCs w:val="24"/>
        </w:rPr>
        <w:t xml:space="preserve"> (4 hours)</w:t>
      </w:r>
      <w:r w:rsidRPr="78D3267D" w:rsidR="6576459F">
        <w:rPr>
          <w:color w:val="000000" w:themeColor="text1"/>
          <w:sz w:val="24"/>
          <w:szCs w:val="24"/>
        </w:rPr>
        <w:t>.</w:t>
      </w:r>
    </w:p>
    <w:p w:rsidR="00C13959" w:rsidRPr="00D20211" w:rsidP="78D3267D" w14:paraId="28BB1B60" w14:textId="6054D69E">
      <w:pPr>
        <w:pStyle w:val="Heading1"/>
        <w:pBdr>
          <w:bottom w:val="none" w:sz="0" w:space="0" w:color="auto"/>
        </w:pBdr>
        <w:rPr>
          <w:color w:val="auto"/>
        </w:rPr>
      </w:pPr>
      <w:bookmarkStart w:id="12" w:name="_Toc717597152"/>
      <w:bookmarkStart w:id="13" w:name="_Toc914381604"/>
      <w:bookmarkStart w:id="14" w:name="_Toc126589444"/>
      <w:r w:rsidRPr="78D3267D">
        <w:rPr>
          <w:color w:val="auto"/>
        </w:rPr>
        <w:t>A.</w:t>
      </w:r>
      <w:r w:rsidRPr="78D3267D" w:rsidR="714C3602">
        <w:rPr>
          <w:color w:val="auto"/>
        </w:rPr>
        <w:t xml:space="preserve">3.  </w:t>
      </w:r>
      <w:r w:rsidRPr="78D3267D" w:rsidR="014C2D95">
        <w:rPr>
          <w:color w:val="auto"/>
        </w:rPr>
        <w:t>Use of Improved Information Technology and Burden Reduction</w:t>
      </w:r>
      <w:bookmarkEnd w:id="12"/>
      <w:bookmarkEnd w:id="13"/>
      <w:bookmarkEnd w:id="14"/>
    </w:p>
    <w:p w:rsidR="00A16D72" w:rsidP="005A19E7" w14:paraId="39FAF9B5" w14:textId="77777777">
      <w:pPr>
        <w:autoSpaceDE w:val="0"/>
        <w:autoSpaceDN w:val="0"/>
        <w:adjustRightInd w:val="0"/>
        <w:spacing w:line="240" w:lineRule="auto"/>
        <w:rPr>
          <w:rFonts w:cs="ITCFranklinGothicStd-Book"/>
          <w:sz w:val="24"/>
          <w:szCs w:val="24"/>
        </w:rPr>
      </w:pPr>
    </w:p>
    <w:p w:rsidR="00E30768" w:rsidRPr="009A2162" w14:paraId="7FD7A259" w14:textId="7151A3B2">
      <w:pPr>
        <w:autoSpaceDE w:val="0"/>
        <w:autoSpaceDN w:val="0"/>
        <w:adjustRightInd w:val="0"/>
        <w:rPr>
          <w:rFonts w:cs="ITCFranklinGothicStd-Book"/>
          <w:sz w:val="24"/>
          <w:szCs w:val="24"/>
        </w:rPr>
      </w:pPr>
      <w:r>
        <w:rPr>
          <w:sz w:val="24"/>
          <w:szCs w:val="24"/>
        </w:rPr>
        <w:t xml:space="preserve">Participants in the “EHLR Basic Course” and in the “EHLR </w:t>
      </w:r>
      <w:r w:rsidR="00291DE5">
        <w:rPr>
          <w:sz w:val="24"/>
          <w:szCs w:val="24"/>
        </w:rPr>
        <w:t>Immersion</w:t>
      </w:r>
      <w:r>
        <w:rPr>
          <w:sz w:val="24"/>
          <w:szCs w:val="24"/>
        </w:rPr>
        <w:t xml:space="preserve"> Training” will complete registration online (Attachment 3 – online; Attachment 3a – sample). </w:t>
      </w:r>
      <w:r w:rsidR="00D14594">
        <w:rPr>
          <w:rFonts w:cs="ITCFranklinGothicStd-Book"/>
          <w:sz w:val="24"/>
          <w:szCs w:val="24"/>
        </w:rPr>
        <w:t>The time per response</w:t>
      </w:r>
      <w:r w:rsidRPr="003547D2" w:rsidR="0073534D">
        <w:rPr>
          <w:rFonts w:cs="ITCFranklinGothicStd-Book"/>
          <w:sz w:val="24"/>
          <w:szCs w:val="24"/>
        </w:rPr>
        <w:t xml:space="preserve"> </w:t>
      </w:r>
      <w:r w:rsidR="008713E5">
        <w:rPr>
          <w:rFonts w:cs="ITCFranklinGothicStd-Book"/>
          <w:sz w:val="24"/>
          <w:szCs w:val="24"/>
        </w:rPr>
        <w:t xml:space="preserve">for EHLR training </w:t>
      </w:r>
      <w:r w:rsidRPr="003547D2" w:rsidR="0073534D">
        <w:rPr>
          <w:rFonts w:cs="ITCFranklinGothicStd-Book"/>
          <w:sz w:val="24"/>
          <w:szCs w:val="24"/>
        </w:rPr>
        <w:t>takes less than 3 minutes</w:t>
      </w:r>
      <w:r w:rsidR="0073534D">
        <w:rPr>
          <w:rFonts w:cs="ITCFranklinGothicStd-Book"/>
          <w:sz w:val="24"/>
          <w:szCs w:val="24"/>
        </w:rPr>
        <w:t xml:space="preserve">. </w:t>
      </w:r>
    </w:p>
    <w:p w:rsidR="00356C3B" w:rsidP="2BE97B72" w14:paraId="550077D3" w14:textId="0EA2C250">
      <w:pPr>
        <w:rPr>
          <w:sz w:val="24"/>
          <w:szCs w:val="24"/>
        </w:rPr>
      </w:pPr>
      <w:r>
        <w:rPr>
          <w:sz w:val="24"/>
          <w:szCs w:val="24"/>
        </w:rPr>
        <w:t>Sel</w:t>
      </w:r>
      <w:r w:rsidR="007B76BB">
        <w:rPr>
          <w:sz w:val="24"/>
          <w:szCs w:val="24"/>
        </w:rPr>
        <w:t xml:space="preserve">f-assessments </w:t>
      </w:r>
      <w:r w:rsidR="009A2162">
        <w:rPr>
          <w:sz w:val="24"/>
          <w:szCs w:val="24"/>
        </w:rPr>
        <w:t xml:space="preserve">for the “EHLR Basic Course” and in the “EHLR </w:t>
      </w:r>
      <w:r w:rsidR="00291DE5">
        <w:rPr>
          <w:sz w:val="24"/>
          <w:szCs w:val="24"/>
        </w:rPr>
        <w:t>Immersion</w:t>
      </w:r>
      <w:r w:rsidR="009A2162">
        <w:rPr>
          <w:sz w:val="24"/>
          <w:szCs w:val="24"/>
        </w:rPr>
        <w:t xml:space="preserve"> Training”</w:t>
      </w:r>
      <w:r>
        <w:rPr>
          <w:sz w:val="24"/>
          <w:szCs w:val="24"/>
        </w:rPr>
        <w:t xml:space="preserve"> </w:t>
      </w:r>
      <w:r w:rsidRPr="5444210A" w:rsidR="00665BF0">
        <w:rPr>
          <w:sz w:val="24"/>
          <w:szCs w:val="24"/>
        </w:rPr>
        <w:t xml:space="preserve">will be </w:t>
      </w:r>
      <w:r w:rsidR="007B76BB">
        <w:rPr>
          <w:sz w:val="24"/>
          <w:szCs w:val="24"/>
        </w:rPr>
        <w:t>completed</w:t>
      </w:r>
      <w:r w:rsidRPr="5444210A" w:rsidR="00665BF0">
        <w:rPr>
          <w:sz w:val="24"/>
          <w:szCs w:val="24"/>
        </w:rPr>
        <w:t xml:space="preserve"> online</w:t>
      </w:r>
      <w:r>
        <w:rPr>
          <w:sz w:val="24"/>
          <w:szCs w:val="24"/>
        </w:rPr>
        <w:t xml:space="preserve"> via a link posted in the course materials or slides</w:t>
      </w:r>
      <w:r w:rsidR="00BF6F9E">
        <w:rPr>
          <w:sz w:val="24"/>
          <w:szCs w:val="24"/>
        </w:rPr>
        <w:t xml:space="preserve"> (Attachment</w:t>
      </w:r>
      <w:r w:rsidR="001D623F">
        <w:rPr>
          <w:sz w:val="24"/>
          <w:szCs w:val="24"/>
        </w:rPr>
        <w:t>s</w:t>
      </w:r>
      <w:r w:rsidR="00BF6F9E">
        <w:rPr>
          <w:sz w:val="24"/>
          <w:szCs w:val="24"/>
        </w:rPr>
        <w:t xml:space="preserve"> 4</w:t>
      </w:r>
      <w:r w:rsidR="001D623F">
        <w:rPr>
          <w:sz w:val="24"/>
          <w:szCs w:val="24"/>
        </w:rPr>
        <w:t>a-4e</w:t>
      </w:r>
      <w:r>
        <w:rPr>
          <w:sz w:val="24"/>
          <w:szCs w:val="24"/>
        </w:rPr>
        <w:t xml:space="preserve"> [online]</w:t>
      </w:r>
      <w:r w:rsidR="00BC5A9D">
        <w:rPr>
          <w:sz w:val="24"/>
          <w:szCs w:val="24"/>
        </w:rPr>
        <w:t xml:space="preserve"> and Attachment</w:t>
      </w:r>
      <w:r w:rsidR="001D623F">
        <w:rPr>
          <w:sz w:val="24"/>
          <w:szCs w:val="24"/>
        </w:rPr>
        <w:t>s</w:t>
      </w:r>
      <w:r w:rsidR="00BC5A9D">
        <w:rPr>
          <w:sz w:val="24"/>
          <w:szCs w:val="24"/>
        </w:rPr>
        <w:t xml:space="preserve"> 5</w:t>
      </w:r>
      <w:r w:rsidR="001D623F">
        <w:rPr>
          <w:sz w:val="24"/>
          <w:szCs w:val="24"/>
        </w:rPr>
        <w:t>a-5c</w:t>
      </w:r>
      <w:r>
        <w:rPr>
          <w:sz w:val="24"/>
          <w:szCs w:val="24"/>
        </w:rPr>
        <w:t xml:space="preserve"> [online]</w:t>
      </w:r>
      <w:r w:rsidR="00BF6F9E">
        <w:rPr>
          <w:sz w:val="24"/>
          <w:szCs w:val="24"/>
        </w:rPr>
        <w:t>)</w:t>
      </w:r>
      <w:r w:rsidRPr="5444210A" w:rsidR="00665BF0">
        <w:rPr>
          <w:sz w:val="24"/>
          <w:szCs w:val="24"/>
        </w:rPr>
        <w:t xml:space="preserve">. </w:t>
      </w:r>
    </w:p>
    <w:p w:rsidR="00E609ED" w:rsidP="2BE97B72" w14:paraId="3183222C" w14:textId="6FB4EFBB">
      <w:pPr>
        <w:rPr>
          <w:sz w:val="24"/>
          <w:szCs w:val="24"/>
        </w:rPr>
      </w:pPr>
      <w:r>
        <w:rPr>
          <w:sz w:val="24"/>
          <w:szCs w:val="24"/>
        </w:rPr>
        <w:t>In the rare</w:t>
      </w:r>
      <w:r w:rsidR="00061974">
        <w:rPr>
          <w:sz w:val="24"/>
          <w:szCs w:val="24"/>
        </w:rPr>
        <w:t xml:space="preserve"> and unusual</w:t>
      </w:r>
      <w:r>
        <w:rPr>
          <w:sz w:val="24"/>
          <w:szCs w:val="24"/>
        </w:rPr>
        <w:t xml:space="preserve"> circumstance that online connectivity is not possible, ATSDR will provide hard copies of the ATSDR </w:t>
      </w:r>
      <w:r w:rsidR="00356C3B">
        <w:rPr>
          <w:sz w:val="24"/>
          <w:szCs w:val="24"/>
        </w:rPr>
        <w:t xml:space="preserve">registration forms and </w:t>
      </w:r>
      <w:r>
        <w:rPr>
          <w:sz w:val="24"/>
          <w:szCs w:val="24"/>
        </w:rPr>
        <w:t>self-assessments</w:t>
      </w:r>
      <w:r w:rsidR="0074243A">
        <w:rPr>
          <w:sz w:val="24"/>
          <w:szCs w:val="24"/>
        </w:rPr>
        <w:t xml:space="preserve"> as a backup,</w:t>
      </w:r>
      <w:r w:rsidR="00892A25">
        <w:rPr>
          <w:sz w:val="24"/>
          <w:szCs w:val="24"/>
        </w:rPr>
        <w:t xml:space="preserve"> to be filled in by participants (i.e., pen and paper)</w:t>
      </w:r>
      <w:r w:rsidR="0074243A">
        <w:rPr>
          <w:sz w:val="24"/>
          <w:szCs w:val="24"/>
        </w:rPr>
        <w:t>.</w:t>
      </w:r>
    </w:p>
    <w:p w:rsidR="00B45002" w:rsidRPr="00D20211" w:rsidP="78D3267D" w14:paraId="32CBF19C" w14:textId="6C24B85E">
      <w:pPr>
        <w:pStyle w:val="Heading1"/>
        <w:pBdr>
          <w:bottom w:val="none" w:sz="0" w:space="0" w:color="auto"/>
        </w:pBdr>
        <w:rPr>
          <w:color w:val="auto"/>
        </w:rPr>
      </w:pPr>
      <w:bookmarkStart w:id="15" w:name="_Toc1118498758"/>
      <w:bookmarkStart w:id="16" w:name="_Toc819549443"/>
      <w:bookmarkStart w:id="17" w:name="_Toc126589445"/>
      <w:r w:rsidRPr="78D3267D">
        <w:rPr>
          <w:color w:val="auto"/>
        </w:rPr>
        <w:t>A.</w:t>
      </w:r>
      <w:r w:rsidRPr="78D3267D" w:rsidR="714C3602">
        <w:rPr>
          <w:color w:val="auto"/>
        </w:rPr>
        <w:t xml:space="preserve">4.  </w:t>
      </w:r>
      <w:r w:rsidRPr="78D3267D" w:rsidR="014C2D95">
        <w:rPr>
          <w:color w:val="auto"/>
        </w:rPr>
        <w:t>Efforts to Identify Duplication and Use of Similar Information</w:t>
      </w:r>
      <w:bookmarkEnd w:id="15"/>
      <w:bookmarkEnd w:id="16"/>
      <w:bookmarkEnd w:id="17"/>
    </w:p>
    <w:p w:rsidR="00A477D6" w:rsidP="008A519E" w14:paraId="75DCA180" w14:textId="77777777">
      <w:pPr>
        <w:rPr>
          <w:sz w:val="24"/>
          <w:szCs w:val="24"/>
        </w:rPr>
      </w:pPr>
    </w:p>
    <w:p w:rsidR="008A519E" w:rsidRPr="008A519E" w:rsidP="008A519E" w14:paraId="2E720289" w14:textId="109B1732">
      <w:pPr>
        <w:rPr>
          <w:sz w:val="24"/>
          <w:szCs w:val="24"/>
        </w:rPr>
      </w:pPr>
      <w:r w:rsidRPr="008A519E">
        <w:rPr>
          <w:sz w:val="24"/>
          <w:szCs w:val="24"/>
        </w:rPr>
        <w:t xml:space="preserve">Searches in the scientific literature identified only a few specific examples of health agency roles in land reuse or environmental health activities. Most studies more broadly addressed capacity of local health agency professionals to perform or build capacity in areas such as evidence-based decision-making (Jacobs, Duggan, Erwin, </w:t>
      </w:r>
      <w:r w:rsidRPr="008A519E">
        <w:rPr>
          <w:sz w:val="24"/>
          <w:szCs w:val="24"/>
        </w:rPr>
        <w:t>Borawski</w:t>
      </w:r>
      <w:r w:rsidRPr="008A519E">
        <w:rPr>
          <w:sz w:val="24"/>
          <w:szCs w:val="24"/>
        </w:rPr>
        <w:t xml:space="preserve">, &amp; Compton, 2014), assessing competencies to engage in community based public health (Parker, Margolis, &amp; </w:t>
      </w:r>
      <w:r w:rsidRPr="008A519E">
        <w:rPr>
          <w:sz w:val="24"/>
          <w:szCs w:val="24"/>
        </w:rPr>
        <w:t>Henrizuez</w:t>
      </w:r>
      <w:r w:rsidRPr="008A519E">
        <w:rPr>
          <w:sz w:val="24"/>
          <w:szCs w:val="24"/>
        </w:rPr>
        <w:t xml:space="preserve">-Roldan, 2003), or population health improvement (Rodriguez, McCullough, &amp; </w:t>
      </w:r>
      <w:r w:rsidRPr="008A519E">
        <w:rPr>
          <w:sz w:val="24"/>
          <w:szCs w:val="24"/>
        </w:rPr>
        <w:t>Hsuan</w:t>
      </w:r>
      <w:r w:rsidRPr="008A519E">
        <w:rPr>
          <w:sz w:val="24"/>
          <w:szCs w:val="24"/>
        </w:rPr>
        <w:t xml:space="preserve">, 2014). From May to June 2016, NEHA evaluated their membership to identify a baseline capacity of </w:t>
      </w:r>
      <w:r>
        <w:rPr>
          <w:sz w:val="24"/>
          <w:szCs w:val="24"/>
        </w:rPr>
        <w:t xml:space="preserve">local health department </w:t>
      </w:r>
      <w:r w:rsidR="00915762">
        <w:rPr>
          <w:sz w:val="24"/>
          <w:szCs w:val="24"/>
        </w:rPr>
        <w:t xml:space="preserve">(LHD) </w:t>
      </w:r>
      <w:r>
        <w:rPr>
          <w:sz w:val="24"/>
          <w:szCs w:val="24"/>
        </w:rPr>
        <w:t xml:space="preserve">staff </w:t>
      </w:r>
      <w:r w:rsidRPr="008A519E">
        <w:rPr>
          <w:sz w:val="24"/>
          <w:szCs w:val="24"/>
        </w:rPr>
        <w:t xml:space="preserve">and environmental health professionals to address environmental health and land reuse issues. There were 109 respondents, of which 93 (85%) indicated they were LHD professionals. At any time 5-75% of LHD employees reported performing tasks in any of these five environmental health areas: Risk Communication, Risk Assessment, Epidemiology, Toxicology, and Land Reuse and Redevelopment. </w:t>
      </w:r>
      <w:r w:rsidRPr="008A519E">
        <w:rPr>
          <w:sz w:val="24"/>
          <w:szCs w:val="24"/>
        </w:rPr>
        <w:t>The majority of</w:t>
      </w:r>
      <w:r w:rsidRPr="008A519E">
        <w:rPr>
          <w:sz w:val="24"/>
          <w:szCs w:val="24"/>
        </w:rPr>
        <w:t xml:space="preserve"> respondents</w:t>
      </w:r>
      <w:r w:rsidR="00915762">
        <w:rPr>
          <w:sz w:val="24"/>
          <w:szCs w:val="24"/>
        </w:rPr>
        <w:t xml:space="preserve"> </w:t>
      </w:r>
      <w:r w:rsidRPr="008A519E">
        <w:rPr>
          <w:sz w:val="24"/>
          <w:szCs w:val="24"/>
        </w:rPr>
        <w:t>reported “no” to only some formal education in these topics</w:t>
      </w:r>
      <w:sdt>
        <w:sdtPr>
          <w:rPr>
            <w:sz w:val="24"/>
            <w:szCs w:val="24"/>
          </w:rPr>
          <w:id w:val="-577138225"/>
          <w:citation/>
        </w:sdtPr>
        <w:sdtContent>
          <w:r w:rsidR="0048401D">
            <w:rPr>
              <w:sz w:val="24"/>
              <w:szCs w:val="24"/>
            </w:rPr>
            <w:fldChar w:fldCharType="begin"/>
          </w:r>
          <w:r w:rsidR="0048401D">
            <w:rPr>
              <w:sz w:val="24"/>
              <w:szCs w:val="24"/>
            </w:rPr>
            <w:instrText xml:space="preserve">CITATION Nat162 \l 1033 </w:instrText>
          </w:r>
          <w:r w:rsidR="0048401D">
            <w:rPr>
              <w:sz w:val="24"/>
              <w:szCs w:val="24"/>
            </w:rPr>
            <w:fldChar w:fldCharType="separate"/>
          </w:r>
          <w:r w:rsidR="008C6AFE">
            <w:rPr>
              <w:noProof/>
              <w:sz w:val="24"/>
              <w:szCs w:val="24"/>
            </w:rPr>
            <w:t xml:space="preserve"> </w:t>
          </w:r>
          <w:r w:rsidRPr="008C6AFE" w:rsidR="008C6AFE">
            <w:rPr>
              <w:noProof/>
              <w:sz w:val="24"/>
              <w:szCs w:val="24"/>
            </w:rPr>
            <w:t>(Berman, DeFlorio-Barker, &amp; Whitehead, S., 2019)</w:t>
          </w:r>
          <w:r w:rsidR="0048401D">
            <w:rPr>
              <w:sz w:val="24"/>
              <w:szCs w:val="24"/>
            </w:rPr>
            <w:fldChar w:fldCharType="end"/>
          </w:r>
        </w:sdtContent>
      </w:sdt>
      <w:r w:rsidRPr="008A519E">
        <w:rPr>
          <w:sz w:val="24"/>
          <w:szCs w:val="24"/>
        </w:rPr>
        <w:t xml:space="preserve">. While their roles are not well documented in the scientific literature, state and local public health agencies are involved in these arenas through programs such as ATSDR funding or technical assistance and </w:t>
      </w:r>
      <w:r w:rsidR="006040C5">
        <w:rPr>
          <w:sz w:val="24"/>
          <w:szCs w:val="24"/>
        </w:rPr>
        <w:t xml:space="preserve">the </w:t>
      </w:r>
      <w:r w:rsidRPr="008A519E">
        <w:rPr>
          <w:sz w:val="24"/>
          <w:szCs w:val="24"/>
        </w:rPr>
        <w:t>Environmental Protection Agency</w:t>
      </w:r>
      <w:r w:rsidR="00934E74">
        <w:rPr>
          <w:sz w:val="24"/>
          <w:szCs w:val="24"/>
        </w:rPr>
        <w:t>’s</w:t>
      </w:r>
      <w:r w:rsidRPr="008A519E">
        <w:rPr>
          <w:sz w:val="24"/>
          <w:szCs w:val="24"/>
        </w:rPr>
        <w:t xml:space="preserve"> (EPA) promotion of engagement with health agencies in their brownfields funding process. Through </w:t>
      </w:r>
      <w:r w:rsidR="00915762">
        <w:rPr>
          <w:sz w:val="24"/>
          <w:szCs w:val="24"/>
        </w:rPr>
        <w:t xml:space="preserve">past </w:t>
      </w:r>
      <w:r w:rsidRPr="008A519E">
        <w:rPr>
          <w:sz w:val="24"/>
          <w:szCs w:val="24"/>
        </w:rPr>
        <w:t>ATSDR grant funding, several LHDs across the U.S. were involved in brownfields redevelopment and community health projects</w:t>
      </w:r>
      <w:r w:rsidR="00E12D78">
        <w:rPr>
          <w:sz w:val="24"/>
          <w:szCs w:val="24"/>
        </w:rPr>
        <w:t xml:space="preserve">. </w:t>
      </w:r>
      <w:r w:rsidRPr="008A519E">
        <w:rPr>
          <w:sz w:val="24"/>
          <w:szCs w:val="24"/>
        </w:rPr>
        <w:t>Their projects ranged from programs to reduce exposures, communication of risks of exposures, transforming vacant land into agriculture projects, and health promotion and education about land reuse. Other LHDs provided free technical assistance to communities with land reuse issues.</w:t>
      </w:r>
    </w:p>
    <w:p w:rsidR="002771F5" w:rsidRPr="008A519E" w:rsidP="008A519E" w14:paraId="2B328F08" w14:textId="0906854F">
      <w:pPr>
        <w:rPr>
          <w:sz w:val="24"/>
          <w:szCs w:val="24"/>
        </w:rPr>
      </w:pPr>
      <w:r w:rsidRPr="008A519E">
        <w:rPr>
          <w:sz w:val="24"/>
          <w:szCs w:val="24"/>
        </w:rPr>
        <w:t>The ATSDR Environmental Health and Land Reuse</w:t>
      </w:r>
      <w:r w:rsidR="00915762">
        <w:rPr>
          <w:sz w:val="24"/>
          <w:szCs w:val="24"/>
        </w:rPr>
        <w:t xml:space="preserve"> (EHLR)</w:t>
      </w:r>
      <w:r w:rsidRPr="008A519E">
        <w:rPr>
          <w:sz w:val="24"/>
          <w:szCs w:val="24"/>
        </w:rPr>
        <w:t xml:space="preserve"> Certificate Program is specifically designed to increase capacity of environmental professionals (e.g.</w:t>
      </w:r>
      <w:r w:rsidR="00915762">
        <w:rPr>
          <w:sz w:val="24"/>
          <w:szCs w:val="24"/>
        </w:rPr>
        <w:t>,</w:t>
      </w:r>
      <w:r w:rsidRPr="008A519E">
        <w:rPr>
          <w:sz w:val="24"/>
          <w:szCs w:val="24"/>
        </w:rPr>
        <w:t xml:space="preserve"> </w:t>
      </w:r>
      <w:r w:rsidR="00915762">
        <w:rPr>
          <w:sz w:val="24"/>
          <w:szCs w:val="24"/>
        </w:rPr>
        <w:t xml:space="preserve">state or </w:t>
      </w:r>
      <w:r w:rsidRPr="008A519E">
        <w:rPr>
          <w:sz w:val="24"/>
          <w:szCs w:val="24"/>
        </w:rPr>
        <w:t xml:space="preserve">LHD professionals) </w:t>
      </w:r>
      <w:r w:rsidRPr="008A519E">
        <w:rPr>
          <w:sz w:val="24"/>
          <w:szCs w:val="24"/>
        </w:rPr>
        <w:t xml:space="preserve">to engage in health-focused land reuse activities. The ATSDR </w:t>
      </w:r>
      <w:r w:rsidR="00915762">
        <w:rPr>
          <w:sz w:val="24"/>
          <w:szCs w:val="24"/>
        </w:rPr>
        <w:t>Land Reuse</w:t>
      </w:r>
      <w:r w:rsidRPr="008A519E">
        <w:rPr>
          <w:sz w:val="24"/>
          <w:szCs w:val="24"/>
        </w:rPr>
        <w:t xml:space="preserve"> Program has not hosted a training like this </w:t>
      </w:r>
      <w:r w:rsidR="00F43ABA">
        <w:rPr>
          <w:sz w:val="24"/>
          <w:szCs w:val="24"/>
        </w:rPr>
        <w:t xml:space="preserve">prior to </w:t>
      </w:r>
      <w:r w:rsidR="00CB21A3">
        <w:rPr>
          <w:sz w:val="24"/>
          <w:szCs w:val="24"/>
        </w:rPr>
        <w:t xml:space="preserve">an initial EHLR pilot in </w:t>
      </w:r>
      <w:r w:rsidR="006B7B17">
        <w:rPr>
          <w:sz w:val="24"/>
          <w:szCs w:val="24"/>
        </w:rPr>
        <w:t xml:space="preserve">August </w:t>
      </w:r>
      <w:r w:rsidR="00CB21A3">
        <w:rPr>
          <w:sz w:val="24"/>
          <w:szCs w:val="24"/>
        </w:rPr>
        <w:t>2019</w:t>
      </w:r>
      <w:r w:rsidRPr="008A519E">
        <w:rPr>
          <w:sz w:val="24"/>
          <w:szCs w:val="24"/>
        </w:rPr>
        <w:t xml:space="preserve">.  </w:t>
      </w:r>
      <w:r w:rsidR="00E056DC">
        <w:rPr>
          <w:sz w:val="24"/>
          <w:szCs w:val="24"/>
        </w:rPr>
        <w:t xml:space="preserve">If requested by colleagues, </w:t>
      </w:r>
      <w:r w:rsidRPr="008A519E">
        <w:rPr>
          <w:sz w:val="24"/>
          <w:szCs w:val="24"/>
        </w:rPr>
        <w:t xml:space="preserve">ATSDR </w:t>
      </w:r>
      <w:r w:rsidR="00E056DC">
        <w:rPr>
          <w:sz w:val="24"/>
          <w:szCs w:val="24"/>
        </w:rPr>
        <w:t xml:space="preserve">will </w:t>
      </w:r>
      <w:r w:rsidRPr="008A519E">
        <w:rPr>
          <w:sz w:val="24"/>
          <w:szCs w:val="24"/>
        </w:rPr>
        <w:t>coordinat</w:t>
      </w:r>
      <w:r w:rsidR="00E056DC">
        <w:rPr>
          <w:sz w:val="24"/>
          <w:szCs w:val="24"/>
        </w:rPr>
        <w:t>e</w:t>
      </w:r>
      <w:r w:rsidRPr="008A519E">
        <w:rPr>
          <w:sz w:val="24"/>
          <w:szCs w:val="24"/>
        </w:rPr>
        <w:t xml:space="preserve"> efforts</w:t>
      </w:r>
      <w:r w:rsidR="00E056DC">
        <w:rPr>
          <w:sz w:val="24"/>
          <w:szCs w:val="24"/>
        </w:rPr>
        <w:t xml:space="preserve"> </w:t>
      </w:r>
      <w:r w:rsidRPr="008A519E">
        <w:rPr>
          <w:sz w:val="24"/>
          <w:szCs w:val="24"/>
        </w:rPr>
        <w:t>with other colleagues who may also work with NEHA on similar efforts</w:t>
      </w:r>
      <w:r w:rsidR="00E056DC">
        <w:rPr>
          <w:sz w:val="24"/>
          <w:szCs w:val="24"/>
        </w:rPr>
        <w:t xml:space="preserve">. For example, </w:t>
      </w:r>
      <w:r w:rsidRPr="008A519E">
        <w:rPr>
          <w:sz w:val="24"/>
          <w:szCs w:val="24"/>
        </w:rPr>
        <w:t xml:space="preserve">ATSDR will </w:t>
      </w:r>
      <w:r w:rsidR="006927C5">
        <w:rPr>
          <w:sz w:val="24"/>
          <w:szCs w:val="24"/>
        </w:rPr>
        <w:t xml:space="preserve">offer to </w:t>
      </w:r>
      <w:r w:rsidRPr="008A519E">
        <w:rPr>
          <w:sz w:val="24"/>
          <w:szCs w:val="24"/>
        </w:rPr>
        <w:t>assist colleagues should they have similar information collection needs.</w:t>
      </w:r>
    </w:p>
    <w:p w:rsidR="00B45002" w:rsidRPr="00D20211" w:rsidP="78D3267D" w14:paraId="5500B6CD" w14:textId="7CFCF279">
      <w:pPr>
        <w:pStyle w:val="Heading1"/>
        <w:pBdr>
          <w:bottom w:val="none" w:sz="0" w:space="0" w:color="auto"/>
        </w:pBdr>
        <w:rPr>
          <w:color w:val="auto"/>
        </w:rPr>
      </w:pPr>
      <w:bookmarkStart w:id="18" w:name="_Toc1682007970"/>
      <w:bookmarkStart w:id="19" w:name="_Toc468200304"/>
      <w:bookmarkStart w:id="20" w:name="_Toc126589446"/>
      <w:r w:rsidRPr="78D3267D">
        <w:rPr>
          <w:color w:val="auto"/>
        </w:rPr>
        <w:t>A.</w:t>
      </w:r>
      <w:r w:rsidRPr="78D3267D" w:rsidR="714C3602">
        <w:rPr>
          <w:color w:val="auto"/>
        </w:rPr>
        <w:t xml:space="preserve">5.  </w:t>
      </w:r>
      <w:r w:rsidRPr="78D3267D" w:rsidR="014C2D95">
        <w:rPr>
          <w:color w:val="auto"/>
        </w:rPr>
        <w:t>Impact on Small Businesses or Other Small Entities</w:t>
      </w:r>
      <w:bookmarkEnd w:id="18"/>
      <w:bookmarkEnd w:id="19"/>
      <w:bookmarkEnd w:id="20"/>
    </w:p>
    <w:p w:rsidR="00F16DA0" w:rsidRPr="00D20211" w:rsidP="00F16DA0" w14:paraId="0CCAAA5D" w14:textId="77777777">
      <w:pPr>
        <w:autoSpaceDE w:val="0"/>
        <w:autoSpaceDN w:val="0"/>
        <w:adjustRightInd w:val="0"/>
        <w:spacing w:after="0" w:line="240" w:lineRule="auto"/>
        <w:rPr>
          <w:rFonts w:cs="ITCFranklinGothicStd-Book"/>
          <w:sz w:val="24"/>
          <w:szCs w:val="24"/>
        </w:rPr>
      </w:pPr>
    </w:p>
    <w:p w:rsidR="37AF144F" w:rsidP="007F0C72" w14:paraId="3CF9FBE2" w14:textId="3BF04761">
      <w:pPr>
        <w:rPr>
          <w:rFonts w:cs="ITCFranklinGothicStd-Book"/>
          <w:sz w:val="24"/>
          <w:szCs w:val="24"/>
        </w:rPr>
      </w:pPr>
      <w:r w:rsidRPr="5444210A">
        <w:rPr>
          <w:rFonts w:ascii="Calibri" w:eastAsia="Calibri" w:hAnsi="Calibri" w:cs="Calibri"/>
          <w:sz w:val="24"/>
          <w:szCs w:val="24"/>
        </w:rPr>
        <w:t>Participants in the certification course will be individuals, primarily from state, tribal, local, and territorial government agencies. There will be no impact or burden on small businesses.</w:t>
      </w:r>
    </w:p>
    <w:p w:rsidR="00B45002" w:rsidRPr="00D20211" w:rsidP="78D3267D" w14:paraId="1771BB1B" w14:textId="4B0CAC9F">
      <w:pPr>
        <w:pStyle w:val="Heading1"/>
        <w:pBdr>
          <w:bottom w:val="none" w:sz="0" w:space="0" w:color="auto"/>
        </w:pBdr>
        <w:rPr>
          <w:color w:val="auto"/>
        </w:rPr>
      </w:pPr>
      <w:bookmarkStart w:id="21" w:name="_Toc1464000039"/>
      <w:bookmarkStart w:id="22" w:name="_Toc1043063162"/>
      <w:bookmarkStart w:id="23" w:name="_Toc126589447"/>
      <w:r w:rsidRPr="78D3267D">
        <w:rPr>
          <w:color w:val="auto"/>
        </w:rPr>
        <w:t>A.</w:t>
      </w:r>
      <w:r w:rsidRPr="78D3267D" w:rsidR="714C3602">
        <w:rPr>
          <w:color w:val="auto"/>
        </w:rPr>
        <w:t xml:space="preserve">6.  </w:t>
      </w:r>
      <w:r w:rsidRPr="78D3267D" w:rsidR="014C2D95">
        <w:rPr>
          <w:color w:val="auto"/>
        </w:rPr>
        <w:t>Consequences of Collecting the Information Less Frequently</w:t>
      </w:r>
      <w:bookmarkEnd w:id="21"/>
      <w:bookmarkEnd w:id="22"/>
      <w:bookmarkEnd w:id="23"/>
    </w:p>
    <w:p w:rsidR="00F82AF2" w:rsidRPr="00D20211" w:rsidP="002930EC" w14:paraId="4B9CAA11" w14:textId="77777777">
      <w:pPr>
        <w:spacing w:after="0" w:line="240" w:lineRule="auto"/>
        <w:rPr>
          <w:sz w:val="24"/>
          <w:szCs w:val="24"/>
        </w:rPr>
      </w:pPr>
    </w:p>
    <w:p w:rsidR="00671644" w:rsidP="00393662" w14:paraId="56AE4A16" w14:textId="2FEE3F84">
      <w:pPr>
        <w:autoSpaceDE w:val="0"/>
        <w:autoSpaceDN w:val="0"/>
        <w:adjustRightInd w:val="0"/>
        <w:spacing w:line="240" w:lineRule="auto"/>
        <w:rPr>
          <w:rFonts w:cs="ITCFranklinGothicStd-Book"/>
          <w:sz w:val="24"/>
          <w:szCs w:val="24"/>
        </w:rPr>
      </w:pPr>
      <w:r>
        <w:rPr>
          <w:rFonts w:cs="ITCFranklinGothicStd-Book"/>
          <w:sz w:val="24"/>
          <w:szCs w:val="24"/>
        </w:rPr>
        <w:t xml:space="preserve">The information collection will </w:t>
      </w:r>
      <w:r w:rsidR="00CB21A3">
        <w:rPr>
          <w:rFonts w:cs="ITCFranklinGothicStd-Book"/>
          <w:sz w:val="24"/>
          <w:szCs w:val="24"/>
        </w:rPr>
        <w:t>begin</w:t>
      </w:r>
      <w:r>
        <w:rPr>
          <w:rFonts w:cs="ITCFranklinGothicStd-Book"/>
          <w:sz w:val="24"/>
          <w:szCs w:val="24"/>
        </w:rPr>
        <w:t xml:space="preserve"> at the time of </w:t>
      </w:r>
      <w:r w:rsidR="003A2B05">
        <w:rPr>
          <w:rFonts w:cs="ITCFranklinGothicStd-Book"/>
          <w:sz w:val="24"/>
          <w:szCs w:val="24"/>
        </w:rPr>
        <w:t xml:space="preserve">participant </w:t>
      </w:r>
      <w:r>
        <w:rPr>
          <w:rFonts w:cs="ITCFranklinGothicStd-Book"/>
          <w:sz w:val="24"/>
          <w:szCs w:val="24"/>
        </w:rPr>
        <w:t>registration for an EHLR training</w:t>
      </w:r>
      <w:r w:rsidR="000673AB">
        <w:rPr>
          <w:rFonts w:cs="ITCFranklinGothicStd-Book"/>
          <w:sz w:val="24"/>
          <w:szCs w:val="24"/>
        </w:rPr>
        <w:t xml:space="preserve"> </w:t>
      </w:r>
      <w:r>
        <w:rPr>
          <w:rFonts w:cs="ITCFranklinGothicStd-Book"/>
          <w:sz w:val="24"/>
          <w:szCs w:val="24"/>
        </w:rPr>
        <w:t xml:space="preserve">and upon completion of the training through a voluntary self-assessment. </w:t>
      </w:r>
    </w:p>
    <w:p w:rsidR="00393662" w:rsidRPr="00393662" w:rsidP="00393662" w14:paraId="2964239E" w14:textId="39E5BF90">
      <w:pPr>
        <w:autoSpaceDE w:val="0"/>
        <w:autoSpaceDN w:val="0"/>
        <w:adjustRightInd w:val="0"/>
        <w:spacing w:line="240" w:lineRule="auto"/>
        <w:rPr>
          <w:rFonts w:cs="ITCFranklinGothicStd-Book"/>
          <w:sz w:val="24"/>
          <w:szCs w:val="24"/>
        </w:rPr>
      </w:pPr>
      <w:r w:rsidRPr="00393662">
        <w:rPr>
          <w:rFonts w:cs="ITCFranklinGothicStd-Book"/>
          <w:sz w:val="24"/>
          <w:szCs w:val="24"/>
        </w:rPr>
        <w:t xml:space="preserve">If the </w:t>
      </w:r>
      <w:r w:rsidR="00671644">
        <w:rPr>
          <w:rFonts w:cs="ITCFranklinGothicStd-Book"/>
          <w:sz w:val="24"/>
          <w:szCs w:val="24"/>
        </w:rPr>
        <w:t xml:space="preserve">information </w:t>
      </w:r>
      <w:r w:rsidRPr="00393662">
        <w:rPr>
          <w:rFonts w:cs="ITCFranklinGothicStd-Book"/>
          <w:sz w:val="24"/>
          <w:szCs w:val="24"/>
        </w:rPr>
        <w:t xml:space="preserve">collection is not conducted, ATSDR will not be able to assess the impacts of the certification to increase the capacity of participants to perform environmental health and land reuse activities. </w:t>
      </w:r>
    </w:p>
    <w:p w:rsidR="0023326C" w:rsidRPr="00D20211" w:rsidP="00CF766A" w14:paraId="54B22A99" w14:textId="0F757F4B">
      <w:pPr>
        <w:autoSpaceDE w:val="0"/>
        <w:autoSpaceDN w:val="0"/>
        <w:adjustRightInd w:val="0"/>
        <w:spacing w:line="240" w:lineRule="auto"/>
        <w:rPr>
          <w:rFonts w:cs="ITCFranklinGothicStd-Book"/>
          <w:sz w:val="24"/>
          <w:szCs w:val="24"/>
        </w:rPr>
      </w:pPr>
      <w:r w:rsidRPr="00393662">
        <w:rPr>
          <w:rFonts w:cs="ITCFranklinGothicStd-Book"/>
          <w:sz w:val="24"/>
          <w:szCs w:val="24"/>
        </w:rPr>
        <w:t>There are no technical or legal obstacles to reducing burden.</w:t>
      </w:r>
    </w:p>
    <w:p w:rsidR="00B45002" w:rsidRPr="00D20211" w:rsidP="78D3267D" w14:paraId="0123AC1E" w14:textId="25EB32E8">
      <w:pPr>
        <w:pStyle w:val="Heading1"/>
        <w:pBdr>
          <w:bottom w:val="none" w:sz="0" w:space="0" w:color="auto"/>
        </w:pBdr>
        <w:rPr>
          <w:color w:val="auto"/>
        </w:rPr>
      </w:pPr>
      <w:bookmarkStart w:id="24" w:name="_Toc1127963795"/>
      <w:bookmarkStart w:id="25" w:name="_Toc88510388"/>
      <w:bookmarkStart w:id="26" w:name="_Toc126589448"/>
      <w:r w:rsidRPr="78D3267D">
        <w:rPr>
          <w:color w:val="auto"/>
        </w:rPr>
        <w:t>A.</w:t>
      </w:r>
      <w:r w:rsidRPr="78D3267D" w:rsidR="014C2D95">
        <w:rPr>
          <w:color w:val="auto"/>
        </w:rPr>
        <w:t>7.</w:t>
      </w:r>
      <w:r w:rsidRPr="78D3267D" w:rsidR="714C3602">
        <w:rPr>
          <w:color w:val="auto"/>
        </w:rPr>
        <w:t xml:space="preserve">  </w:t>
      </w:r>
      <w:r w:rsidRPr="78D3267D" w:rsidR="014C2D95">
        <w:rPr>
          <w:color w:val="auto"/>
        </w:rPr>
        <w:t>Special Circumstances Relating to the Guidelines of 5 CFR 1320.5</w:t>
      </w:r>
      <w:bookmarkEnd w:id="24"/>
      <w:bookmarkEnd w:id="25"/>
      <w:bookmarkEnd w:id="26"/>
    </w:p>
    <w:p w:rsidR="0014151A" w:rsidRPr="00D20211" w:rsidP="00FB3333" w14:paraId="2A9759C6" w14:textId="77777777">
      <w:pPr>
        <w:autoSpaceDE w:val="0"/>
        <w:autoSpaceDN w:val="0"/>
        <w:adjustRightInd w:val="0"/>
        <w:spacing w:line="240" w:lineRule="auto"/>
        <w:rPr>
          <w:sz w:val="24"/>
          <w:szCs w:val="24"/>
        </w:rPr>
      </w:pPr>
    </w:p>
    <w:p w:rsidR="00F611DB" w:rsidRPr="00D20211" w:rsidP="00BA60FD" w14:paraId="79D71DF3" w14:textId="240EE98F">
      <w:pPr>
        <w:autoSpaceDE w:val="0"/>
        <w:autoSpaceDN w:val="0"/>
        <w:adjustRightInd w:val="0"/>
        <w:spacing w:line="240" w:lineRule="auto"/>
        <w:rPr>
          <w:rFonts w:cs="ITCFranklinGothicStd-Book"/>
          <w:sz w:val="24"/>
          <w:szCs w:val="24"/>
        </w:rPr>
      </w:pPr>
      <w:r w:rsidRPr="00F611DB">
        <w:rPr>
          <w:rFonts w:cs="ITCFranklinGothicStd-Book"/>
          <w:sz w:val="24"/>
          <w:szCs w:val="24"/>
        </w:rPr>
        <w:t>There are no special circumstances of the ICR. This request fully complies with the regulation 5 CFR 1320.5.</w:t>
      </w:r>
    </w:p>
    <w:p w:rsidR="00B45002" w:rsidRPr="00D20211" w:rsidP="78D3267D" w14:paraId="508E9BF1" w14:textId="345B196D">
      <w:pPr>
        <w:pStyle w:val="Heading1"/>
        <w:pBdr>
          <w:bottom w:val="none" w:sz="0" w:space="0" w:color="auto"/>
        </w:pBdr>
        <w:rPr>
          <w:color w:val="auto"/>
        </w:rPr>
      </w:pPr>
      <w:bookmarkStart w:id="27" w:name="_Toc1110144645"/>
      <w:bookmarkStart w:id="28" w:name="_Toc448563540"/>
      <w:bookmarkStart w:id="29" w:name="_Toc126589449"/>
      <w:r w:rsidRPr="78D3267D">
        <w:rPr>
          <w:color w:val="auto"/>
        </w:rPr>
        <w:t>A.</w:t>
      </w:r>
      <w:r w:rsidRPr="78D3267D" w:rsidR="714C3602">
        <w:rPr>
          <w:color w:val="auto"/>
        </w:rPr>
        <w:t xml:space="preserve">8.  </w:t>
      </w:r>
      <w:r w:rsidRPr="78D3267D" w:rsidR="014C2D95">
        <w:rPr>
          <w:color w:val="auto"/>
        </w:rPr>
        <w:t>Comments in Response to the Federal Register Notice and Efforts to Consult Outside the Agency</w:t>
      </w:r>
      <w:bookmarkEnd w:id="27"/>
      <w:bookmarkEnd w:id="28"/>
      <w:bookmarkEnd w:id="29"/>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077A0C" w:rsidRPr="00A70BA9" w:rsidP="007F0C72" w14:paraId="6E066C3E" w14:textId="4DF86252">
      <w:pPr>
        <w:pStyle w:val="ListParagraph"/>
        <w:numPr>
          <w:ilvl w:val="0"/>
          <w:numId w:val="6"/>
        </w:numPr>
        <w:autoSpaceDE w:val="0"/>
        <w:autoSpaceDN w:val="0"/>
        <w:adjustRightInd w:val="0"/>
        <w:rPr>
          <w:rFonts w:cs="ITCFranklinGothicStd-Book"/>
          <w:sz w:val="24"/>
          <w:szCs w:val="24"/>
        </w:rPr>
      </w:pPr>
      <w:r w:rsidRPr="00A70BA9">
        <w:rPr>
          <w:rFonts w:cs="ITCFranklinGothicStd-Book"/>
          <w:sz w:val="24"/>
          <w:szCs w:val="24"/>
        </w:rPr>
        <w:t xml:space="preserve">A 60-day Federal Register Notice was published in the </w:t>
      </w:r>
      <w:r w:rsidRPr="00A70BA9">
        <w:rPr>
          <w:rFonts w:cs="ITCFranklinGothicStd-BookIt"/>
          <w:i/>
          <w:iCs/>
          <w:sz w:val="24"/>
          <w:szCs w:val="24"/>
        </w:rPr>
        <w:t xml:space="preserve">Federal Register </w:t>
      </w:r>
      <w:r w:rsidRPr="00A70BA9">
        <w:rPr>
          <w:rFonts w:cs="ITCFranklinGothicStd-Book"/>
          <w:sz w:val="24"/>
          <w:szCs w:val="24"/>
        </w:rPr>
        <w:t>on</w:t>
      </w:r>
      <w:r w:rsidR="00F94663">
        <w:rPr>
          <w:rFonts w:cs="ITCFranklinGothicStd-Book"/>
          <w:sz w:val="24"/>
          <w:szCs w:val="24"/>
        </w:rPr>
        <w:t xml:space="preserve"> </w:t>
      </w:r>
      <w:r w:rsidR="00677162">
        <w:rPr>
          <w:rFonts w:cs="ITCFranklinGothicStd-Book"/>
          <w:sz w:val="24"/>
          <w:szCs w:val="24"/>
        </w:rPr>
        <w:t>April 7</w:t>
      </w:r>
      <w:r w:rsidR="00F94663">
        <w:rPr>
          <w:rFonts w:cs="ITCFranklinGothicStd-Book"/>
          <w:sz w:val="24"/>
          <w:szCs w:val="24"/>
        </w:rPr>
        <w:t>, 2023</w:t>
      </w:r>
      <w:r w:rsidR="00E53A45">
        <w:rPr>
          <w:rFonts w:cs="ITCFranklinGothicStd-Book"/>
          <w:sz w:val="24"/>
          <w:szCs w:val="24"/>
        </w:rPr>
        <w:t xml:space="preserve">, </w:t>
      </w:r>
      <w:r w:rsidRPr="00E53A45" w:rsidR="00E53A45">
        <w:rPr>
          <w:rFonts w:cs="ITCFranklinGothicStd-Book"/>
          <w:sz w:val="24"/>
          <w:szCs w:val="24"/>
        </w:rPr>
        <w:t xml:space="preserve">Vol. </w:t>
      </w:r>
      <w:r w:rsidR="00B51C2A">
        <w:rPr>
          <w:rFonts w:cs="ITCFranklinGothicStd-Book"/>
          <w:sz w:val="24"/>
          <w:szCs w:val="24"/>
        </w:rPr>
        <w:t>88</w:t>
      </w:r>
      <w:r w:rsidRPr="00E53A45" w:rsidR="00E53A45">
        <w:rPr>
          <w:rFonts w:cs="ITCFranklinGothicStd-Book"/>
          <w:sz w:val="24"/>
          <w:szCs w:val="24"/>
        </w:rPr>
        <w:t xml:space="preserve">, No. </w:t>
      </w:r>
      <w:r w:rsidR="000B7497">
        <w:rPr>
          <w:rFonts w:cs="ITCFranklinGothicStd-Book"/>
          <w:sz w:val="24"/>
          <w:szCs w:val="24"/>
        </w:rPr>
        <w:t>67</w:t>
      </w:r>
      <w:r w:rsidRPr="00A70BA9" w:rsidR="00A6012F">
        <w:rPr>
          <w:rFonts w:cs="ITCFranklinGothicStd-Book"/>
          <w:sz w:val="24"/>
          <w:szCs w:val="24"/>
        </w:rPr>
        <w:t xml:space="preserve">, pp. </w:t>
      </w:r>
      <w:r w:rsidR="000B7497">
        <w:rPr>
          <w:rFonts w:cs="ITCFranklinGothicStd-Book"/>
          <w:sz w:val="24"/>
          <w:szCs w:val="24"/>
        </w:rPr>
        <w:t>20890-</w:t>
      </w:r>
      <w:r w:rsidR="00584D13">
        <w:rPr>
          <w:rFonts w:cs="ITCFranklinGothicStd-Book"/>
          <w:sz w:val="24"/>
          <w:szCs w:val="24"/>
        </w:rPr>
        <w:t>92</w:t>
      </w:r>
      <w:r w:rsidR="00BF14A5">
        <w:rPr>
          <w:rFonts w:cs="ITCFranklinGothicStd-Book"/>
          <w:sz w:val="24"/>
          <w:szCs w:val="24"/>
        </w:rPr>
        <w:t xml:space="preserve"> </w:t>
      </w:r>
      <w:r w:rsidRPr="00A70BA9" w:rsidR="00A6012F">
        <w:rPr>
          <w:rFonts w:cs="ITCFranklinGothicStd-Book"/>
          <w:sz w:val="24"/>
          <w:szCs w:val="24"/>
        </w:rPr>
        <w:t>(</w:t>
      </w:r>
      <w:r w:rsidRPr="00BF14A5">
        <w:rPr>
          <w:rFonts w:cs="ITCFranklinGothicStd-Book"/>
          <w:bCs/>
          <w:sz w:val="24"/>
          <w:szCs w:val="24"/>
        </w:rPr>
        <w:t>Att</w:t>
      </w:r>
      <w:r w:rsidRPr="00BF14A5" w:rsidR="00A6012F">
        <w:rPr>
          <w:rFonts w:cs="ITCFranklinGothicStd-Book"/>
          <w:bCs/>
          <w:sz w:val="24"/>
          <w:szCs w:val="24"/>
        </w:rPr>
        <w:t>achment 2</w:t>
      </w:r>
      <w:r w:rsidRPr="00A70BA9">
        <w:rPr>
          <w:rFonts w:cs="ITCFranklinGothicStd-Book"/>
          <w:sz w:val="24"/>
          <w:szCs w:val="24"/>
        </w:rPr>
        <w:t xml:space="preserve">). </w:t>
      </w:r>
      <w:r w:rsidR="00BF14A5">
        <w:rPr>
          <w:rFonts w:cs="ITCFranklinGothicStd-Book"/>
          <w:sz w:val="24"/>
          <w:szCs w:val="24"/>
        </w:rPr>
        <w:t xml:space="preserve"> </w:t>
      </w:r>
    </w:p>
    <w:p w:rsidR="00D62EE3" w:rsidRPr="00D20211" w:rsidP="007F0C72" w14:paraId="7CE9E660" w14:textId="3E0AF5F7">
      <w:pPr>
        <w:autoSpaceDE w:val="0"/>
        <w:autoSpaceDN w:val="0"/>
        <w:adjustRightInd w:val="0"/>
        <w:ind w:firstLine="720"/>
        <w:rPr>
          <w:rFonts w:cs="ITCFranklinGothicStd-Demi"/>
          <w:sz w:val="24"/>
          <w:szCs w:val="24"/>
        </w:rPr>
      </w:pPr>
      <w:r w:rsidRPr="78D3267D">
        <w:rPr>
          <w:rFonts w:cs="ITCFranklinGothicStd-Book"/>
          <w:sz w:val="24"/>
          <w:szCs w:val="24"/>
        </w:rPr>
        <w:t>ATSDR</w:t>
      </w:r>
      <w:r w:rsidRPr="78D3267D" w:rsidR="18B70DEE">
        <w:rPr>
          <w:rFonts w:cs="ITCFranklinGothicStd-Book"/>
          <w:sz w:val="24"/>
          <w:szCs w:val="24"/>
        </w:rPr>
        <w:t xml:space="preserve"> did not receive</w:t>
      </w:r>
      <w:r w:rsidR="00677162">
        <w:rPr>
          <w:rFonts w:cs="ITCFranklinGothicStd-Book"/>
          <w:sz w:val="24"/>
          <w:szCs w:val="24"/>
        </w:rPr>
        <w:t xml:space="preserve"> </w:t>
      </w:r>
      <w:r w:rsidRPr="78D3267D" w:rsidR="18B70DEE">
        <w:rPr>
          <w:rFonts w:cs="ITCFranklinGothicStd-Book"/>
          <w:sz w:val="24"/>
          <w:szCs w:val="24"/>
        </w:rPr>
        <w:t>public comments related to this notice</w:t>
      </w:r>
      <w:r w:rsidRPr="78D3267D" w:rsidR="597F86A4">
        <w:rPr>
          <w:rFonts w:cs="ITCFranklinGothicStd-Book"/>
          <w:sz w:val="24"/>
          <w:szCs w:val="24"/>
        </w:rPr>
        <w:t>.</w:t>
      </w:r>
    </w:p>
    <w:p w:rsidR="00AB492A" w:rsidP="007F0C72" w14:paraId="5020E5C7" w14:textId="77777777">
      <w:pPr>
        <w:pStyle w:val="ListParagraph"/>
        <w:numPr>
          <w:ilvl w:val="0"/>
          <w:numId w:val="6"/>
        </w:numPr>
        <w:autoSpaceDE w:val="0"/>
        <w:autoSpaceDN w:val="0"/>
        <w:adjustRightInd w:val="0"/>
        <w:rPr>
          <w:rFonts w:cs="ITCFranklinGothicStd-Book"/>
          <w:sz w:val="24"/>
          <w:szCs w:val="24"/>
        </w:rPr>
      </w:pPr>
      <w:r>
        <w:rPr>
          <w:rFonts w:cs="ITCFranklinGothicStd-Book"/>
          <w:sz w:val="24"/>
          <w:szCs w:val="24"/>
        </w:rPr>
        <w:t>A</w:t>
      </w:r>
      <w:r w:rsidRPr="00CC098E" w:rsidR="00CC098E">
        <w:rPr>
          <w:rFonts w:cs="ITCFranklinGothicStd-Book"/>
          <w:sz w:val="24"/>
          <w:szCs w:val="24"/>
        </w:rPr>
        <w:t xml:space="preserve">TSDR did not consult with persons outside of the agency to obtain their views on the availability of data, frequency of collection, the clarity of instructions and record </w:t>
      </w:r>
      <w:r w:rsidRPr="00CC098E" w:rsidR="00CC098E">
        <w:rPr>
          <w:rFonts w:cs="ITCFranklinGothicStd-Book"/>
          <w:sz w:val="24"/>
          <w:szCs w:val="24"/>
        </w:rPr>
        <w:t xml:space="preserve">keeping, disclosure, or reporting format (if any), and on the data elements to be recorded, disclosed, or reported. This is a </w:t>
      </w:r>
      <w:r w:rsidR="00740728">
        <w:rPr>
          <w:rFonts w:cs="ITCFranklinGothicStd-Book"/>
          <w:sz w:val="24"/>
          <w:szCs w:val="24"/>
        </w:rPr>
        <w:t>reinstatement with change</w:t>
      </w:r>
      <w:r w:rsidRPr="00CC098E" w:rsidR="00CC098E">
        <w:rPr>
          <w:rFonts w:cs="ITCFranklinGothicStd-Book"/>
          <w:sz w:val="24"/>
          <w:szCs w:val="24"/>
        </w:rPr>
        <w:t xml:space="preserve"> ICR that will collect information that typically has not been collected in the ATSDR Land Reuse Program activities.</w:t>
      </w:r>
      <w:r w:rsidR="00B72E74">
        <w:rPr>
          <w:rFonts w:cs="ITCFranklinGothicStd-Book"/>
          <w:sz w:val="24"/>
          <w:szCs w:val="24"/>
        </w:rPr>
        <w:t xml:space="preserve"> </w:t>
      </w:r>
    </w:p>
    <w:p w:rsidR="00AB492A" w:rsidP="00AB492A" w14:paraId="5C331C34" w14:textId="77777777">
      <w:pPr>
        <w:pStyle w:val="ListParagraph"/>
        <w:autoSpaceDE w:val="0"/>
        <w:autoSpaceDN w:val="0"/>
        <w:adjustRightInd w:val="0"/>
        <w:rPr>
          <w:rFonts w:cs="ITCFranklinGothicStd-Book"/>
          <w:sz w:val="24"/>
          <w:szCs w:val="24"/>
        </w:rPr>
      </w:pPr>
    </w:p>
    <w:p w:rsidR="00CC098E" w:rsidRPr="007F0C72" w:rsidP="00AB492A" w14:paraId="65C720CB" w14:textId="0FD5EE3F">
      <w:pPr>
        <w:pStyle w:val="ListParagraph"/>
        <w:autoSpaceDE w:val="0"/>
        <w:autoSpaceDN w:val="0"/>
        <w:adjustRightInd w:val="0"/>
        <w:rPr>
          <w:rFonts w:cs="ITCFranklinGothicStd-Book"/>
          <w:sz w:val="24"/>
          <w:szCs w:val="24"/>
        </w:rPr>
      </w:pPr>
      <w:r>
        <w:rPr>
          <w:rFonts w:cs="ITCFranklinGothicStd-Book"/>
          <w:sz w:val="24"/>
          <w:szCs w:val="24"/>
        </w:rPr>
        <w:t xml:space="preserve">ATSDR may </w:t>
      </w:r>
      <w:r w:rsidR="00C010DA">
        <w:rPr>
          <w:rFonts w:cs="ITCFranklinGothicStd-Book"/>
          <w:sz w:val="24"/>
          <w:szCs w:val="24"/>
        </w:rPr>
        <w:t>summarize de-identified data to discuss and share with partners</w:t>
      </w:r>
      <w:r w:rsidR="00DB4343">
        <w:rPr>
          <w:rFonts w:cs="ITCFranklinGothicStd-Book"/>
          <w:sz w:val="24"/>
          <w:szCs w:val="24"/>
        </w:rPr>
        <w:t xml:space="preserve"> from National Environmental Health Association</w:t>
      </w:r>
      <w:r w:rsidR="00A35D8F">
        <w:rPr>
          <w:rFonts w:cs="ITCFranklinGothicStd-Book"/>
          <w:sz w:val="24"/>
          <w:szCs w:val="24"/>
        </w:rPr>
        <w:t xml:space="preserve"> (NEHA)</w:t>
      </w:r>
      <w:r w:rsidR="00DB4343">
        <w:rPr>
          <w:rFonts w:cs="ITCFranklinGothicStd-Book"/>
          <w:sz w:val="24"/>
          <w:szCs w:val="24"/>
        </w:rPr>
        <w:t xml:space="preserve"> and one academic stakeholder. The partners include </w:t>
      </w:r>
      <w:r w:rsidR="003C5A17">
        <w:rPr>
          <w:rFonts w:cs="ITCFranklinGothicStd-Book"/>
          <w:sz w:val="24"/>
          <w:szCs w:val="24"/>
        </w:rPr>
        <w:t>S</w:t>
      </w:r>
      <w:r w:rsidRPr="71EB0B64" w:rsidR="003C5A17">
        <w:rPr>
          <w:rFonts w:cs="ITCFranklinGothicStd-Book"/>
          <w:sz w:val="24"/>
          <w:szCs w:val="24"/>
        </w:rPr>
        <w:t xml:space="preserve">haron </w:t>
      </w:r>
      <w:r w:rsidRPr="71EB0B64" w:rsidR="003C5A17">
        <w:rPr>
          <w:rFonts w:cs="ITCFranklinGothicStd-Book"/>
          <w:sz w:val="24"/>
          <w:szCs w:val="24"/>
        </w:rPr>
        <w:t>Unkart</w:t>
      </w:r>
      <w:r w:rsidRPr="71EB0B64" w:rsidR="003C5A17">
        <w:rPr>
          <w:rFonts w:cs="ITCFranklinGothicStd-Book"/>
          <w:sz w:val="24"/>
          <w:szCs w:val="24"/>
        </w:rPr>
        <w:t xml:space="preserve">, Instructional Designer, NEHA; Becky </w:t>
      </w:r>
      <w:r w:rsidRPr="71EB0B64" w:rsidR="003C5A17">
        <w:rPr>
          <w:rFonts w:cs="ITCFranklinGothicStd-Book"/>
          <w:sz w:val="24"/>
          <w:szCs w:val="24"/>
        </w:rPr>
        <w:t>Labbo</w:t>
      </w:r>
      <w:r w:rsidRPr="71EB0B64" w:rsidR="003C5A17">
        <w:rPr>
          <w:rFonts w:cs="ITCFranklinGothicStd-Book"/>
          <w:sz w:val="24"/>
          <w:szCs w:val="24"/>
        </w:rPr>
        <w:t xml:space="preserve">, Program Evaluator, NEHA; and </w:t>
      </w:r>
      <w:r w:rsidRPr="71EB0B64" w:rsidR="003C5A17">
        <w:rPr>
          <w:rFonts w:cs="ITCFranklinGothicStd-Book"/>
          <w:sz w:val="24"/>
          <w:szCs w:val="24"/>
        </w:rPr>
        <w:t>Serap</w:t>
      </w:r>
      <w:r w:rsidRPr="71EB0B64" w:rsidR="003C5A17">
        <w:rPr>
          <w:rFonts w:cs="ITCFranklinGothicStd-Book"/>
          <w:sz w:val="24"/>
          <w:szCs w:val="24"/>
        </w:rPr>
        <w:t xml:space="preserve"> </w:t>
      </w:r>
      <w:r w:rsidRPr="71EB0B64" w:rsidR="003C5A17">
        <w:rPr>
          <w:rFonts w:cs="ITCFranklinGothicStd-Book"/>
          <w:sz w:val="24"/>
          <w:szCs w:val="24"/>
        </w:rPr>
        <w:t>Erdal</w:t>
      </w:r>
      <w:r w:rsidR="00584D13">
        <w:rPr>
          <w:rFonts w:cs="ITCFranklinGothicStd-Book"/>
          <w:sz w:val="24"/>
          <w:szCs w:val="24"/>
        </w:rPr>
        <w:t>,</w:t>
      </w:r>
      <w:r w:rsidR="00026728">
        <w:rPr>
          <w:rFonts w:cs="ITCFranklinGothicStd-Book"/>
          <w:sz w:val="24"/>
          <w:szCs w:val="24"/>
        </w:rPr>
        <w:t xml:space="preserve"> </w:t>
      </w:r>
      <w:r w:rsidRPr="71EB0B64" w:rsidR="003C5A17">
        <w:rPr>
          <w:rFonts w:cs="ITCFranklinGothicStd-Book"/>
          <w:sz w:val="24"/>
          <w:szCs w:val="24"/>
        </w:rPr>
        <w:t>University of Illinois</w:t>
      </w:r>
      <w:r w:rsidR="003C5A17">
        <w:rPr>
          <w:rFonts w:cs="ITCFranklinGothicStd-Book"/>
          <w:sz w:val="24"/>
          <w:szCs w:val="24"/>
        </w:rPr>
        <w:t xml:space="preserve"> Chicago</w:t>
      </w:r>
      <w:r w:rsidRPr="71EB0B64" w:rsidR="003C5A17">
        <w:rPr>
          <w:rFonts w:cs="ITCFranklinGothicStd-Book"/>
          <w:sz w:val="24"/>
          <w:szCs w:val="24"/>
        </w:rPr>
        <w:t>. ATSDR intermittently informs these partners about aspects of the data collection and will share preliminary results to facilitate collaborative development of manuscripts and presentations.</w:t>
      </w:r>
    </w:p>
    <w:p w:rsidR="00B45002" w:rsidRPr="00D20211" w:rsidP="78D3267D" w14:paraId="0A014A5E" w14:textId="1E22B3DE">
      <w:pPr>
        <w:pStyle w:val="Heading1"/>
        <w:pBdr>
          <w:bottom w:val="none" w:sz="0" w:space="0" w:color="auto"/>
        </w:pBdr>
        <w:rPr>
          <w:color w:val="auto"/>
        </w:rPr>
      </w:pPr>
      <w:bookmarkStart w:id="30" w:name="_Toc672850420"/>
      <w:bookmarkStart w:id="31" w:name="_Toc1559066253"/>
      <w:bookmarkStart w:id="32" w:name="_Toc126589450"/>
      <w:r w:rsidRPr="78D3267D">
        <w:rPr>
          <w:color w:val="auto"/>
        </w:rPr>
        <w:t>A.</w:t>
      </w:r>
      <w:r w:rsidRPr="78D3267D" w:rsidR="714C3602">
        <w:rPr>
          <w:color w:val="auto"/>
        </w:rPr>
        <w:t xml:space="preserve">9.  </w:t>
      </w:r>
      <w:r w:rsidRPr="78D3267D" w:rsidR="014C2D95">
        <w:rPr>
          <w:color w:val="auto"/>
        </w:rPr>
        <w:t>Explanation of Any Payment or Gift to Respondents</w:t>
      </w:r>
      <w:bookmarkEnd w:id="30"/>
      <w:bookmarkEnd w:id="31"/>
      <w:bookmarkEnd w:id="32"/>
    </w:p>
    <w:p w:rsidR="00100D0E" w:rsidRPr="00D20211" w:rsidP="00524D01" w14:paraId="043F830F" w14:textId="77777777">
      <w:pPr>
        <w:autoSpaceDE w:val="0"/>
        <w:autoSpaceDN w:val="0"/>
        <w:adjustRightInd w:val="0"/>
        <w:spacing w:after="0" w:line="240" w:lineRule="auto"/>
        <w:rPr>
          <w:sz w:val="24"/>
          <w:szCs w:val="24"/>
        </w:rPr>
      </w:pPr>
    </w:p>
    <w:p w:rsidR="00D6249A" w:rsidRPr="00D6249A" w:rsidP="007F0C72" w14:paraId="547BCBF4" w14:textId="471A816B">
      <w:pPr>
        <w:autoSpaceDE w:val="0"/>
        <w:autoSpaceDN w:val="0"/>
        <w:adjustRightInd w:val="0"/>
        <w:rPr>
          <w:rFonts w:cs="ITCFranklinGothicStd-Book"/>
          <w:sz w:val="24"/>
          <w:szCs w:val="24"/>
        </w:rPr>
      </w:pPr>
      <w:r w:rsidRPr="009B4E97">
        <w:rPr>
          <w:rFonts w:cs="ITCFranklinGothicStd-Book"/>
          <w:sz w:val="24"/>
          <w:szCs w:val="24"/>
        </w:rPr>
        <w:t>ATSDR is not providing any incentive</w:t>
      </w:r>
      <w:r w:rsidR="00AA25DA">
        <w:rPr>
          <w:rFonts w:cs="ITCFranklinGothicStd-Book"/>
          <w:sz w:val="24"/>
          <w:szCs w:val="24"/>
        </w:rPr>
        <w:t>s</w:t>
      </w:r>
      <w:r w:rsidRPr="009B4E97">
        <w:rPr>
          <w:rFonts w:cs="ITCFranklinGothicStd-Book"/>
          <w:sz w:val="24"/>
          <w:szCs w:val="24"/>
        </w:rPr>
        <w:t xml:space="preserve"> to certification course participants to </w:t>
      </w:r>
      <w:r w:rsidR="00D56BAF">
        <w:rPr>
          <w:rFonts w:cs="ITCFranklinGothicStd-Book"/>
          <w:sz w:val="24"/>
          <w:szCs w:val="24"/>
        </w:rPr>
        <w:t>register for EHLR training</w:t>
      </w:r>
      <w:r w:rsidR="00AA25DA">
        <w:rPr>
          <w:rFonts w:cs="ITCFranklinGothicStd-Book"/>
          <w:sz w:val="24"/>
          <w:szCs w:val="24"/>
        </w:rPr>
        <w:t xml:space="preserve"> </w:t>
      </w:r>
      <w:r w:rsidRPr="00AA25DA" w:rsidR="00D56BAF">
        <w:rPr>
          <w:rFonts w:cs="ITCFranklinGothicStd-Book"/>
          <w:sz w:val="24"/>
          <w:szCs w:val="24"/>
        </w:rPr>
        <w:t>or</w:t>
      </w:r>
      <w:r w:rsidR="00D56BAF">
        <w:rPr>
          <w:rFonts w:cs="ITCFranklinGothicStd-Book"/>
          <w:sz w:val="24"/>
          <w:szCs w:val="24"/>
        </w:rPr>
        <w:t xml:space="preserve"> </w:t>
      </w:r>
      <w:r w:rsidR="003407AB">
        <w:rPr>
          <w:rFonts w:cs="ITCFranklinGothicStd-Book"/>
          <w:sz w:val="24"/>
          <w:szCs w:val="24"/>
        </w:rPr>
        <w:t>to complete</w:t>
      </w:r>
      <w:r w:rsidR="00D56BAF">
        <w:rPr>
          <w:rFonts w:cs="ITCFranklinGothicStd-Book"/>
          <w:sz w:val="24"/>
          <w:szCs w:val="24"/>
        </w:rPr>
        <w:t xml:space="preserve"> the voluntary self-assessment</w:t>
      </w:r>
      <w:r w:rsidRPr="009B4E97">
        <w:rPr>
          <w:rFonts w:cs="ITCFranklinGothicStd-Book"/>
          <w:sz w:val="24"/>
          <w:szCs w:val="24"/>
        </w:rPr>
        <w:t>. Participants who complete the certificat</w:t>
      </w:r>
      <w:r w:rsidR="00371CD8">
        <w:rPr>
          <w:rFonts w:cs="ITCFranklinGothicStd-Book"/>
          <w:sz w:val="24"/>
          <w:szCs w:val="24"/>
        </w:rPr>
        <w:t>e training</w:t>
      </w:r>
      <w:r w:rsidRPr="009B4E97">
        <w:rPr>
          <w:rFonts w:cs="ITCFranklinGothicStd-Book"/>
          <w:sz w:val="24"/>
          <w:szCs w:val="24"/>
        </w:rPr>
        <w:t xml:space="preserve"> will earn credit (e.g., continuing education hours)</w:t>
      </w:r>
      <w:r w:rsidR="00D56BAF">
        <w:rPr>
          <w:rFonts w:cs="ITCFranklinGothicStd-Book"/>
          <w:sz w:val="24"/>
          <w:szCs w:val="24"/>
        </w:rPr>
        <w:t xml:space="preserve"> and a Certificate of Completion</w:t>
      </w:r>
      <w:r w:rsidRPr="009B4E97">
        <w:rPr>
          <w:rFonts w:cs="ITCFranklinGothicStd-Book"/>
          <w:sz w:val="24"/>
          <w:szCs w:val="24"/>
        </w:rPr>
        <w:t xml:space="preserve">.  </w:t>
      </w:r>
      <w:r w:rsidR="00D56BAF">
        <w:rPr>
          <w:rFonts w:cs="ITCFranklinGothicStd-Book"/>
          <w:sz w:val="24"/>
          <w:szCs w:val="24"/>
        </w:rPr>
        <w:t xml:space="preserve"> </w:t>
      </w:r>
    </w:p>
    <w:p w:rsidR="00B45002" w:rsidRPr="00D20211" w:rsidP="78D3267D" w14:paraId="6E8EA09B" w14:textId="11C3C329">
      <w:pPr>
        <w:pStyle w:val="Heading1"/>
        <w:pBdr>
          <w:bottom w:val="none" w:sz="0" w:space="0" w:color="auto"/>
        </w:pBdr>
        <w:rPr>
          <w:color w:val="auto"/>
        </w:rPr>
      </w:pPr>
      <w:bookmarkStart w:id="33" w:name="_Toc1160338054"/>
      <w:bookmarkStart w:id="34" w:name="_Toc1664764333"/>
      <w:bookmarkStart w:id="35" w:name="_Toc126589451"/>
      <w:r w:rsidRPr="78D3267D">
        <w:rPr>
          <w:color w:val="auto"/>
        </w:rPr>
        <w:t>A.</w:t>
      </w:r>
      <w:r w:rsidRPr="78D3267D" w:rsidR="714C3602">
        <w:rPr>
          <w:color w:val="auto"/>
        </w:rPr>
        <w:t xml:space="preserve">10.  </w:t>
      </w:r>
      <w:r w:rsidRPr="78D3267D" w:rsidR="014C2D95">
        <w:rPr>
          <w:color w:val="auto"/>
        </w:rPr>
        <w:t>Protection of the Privacy and Confidentiality of Information Provided by Respondents</w:t>
      </w:r>
      <w:bookmarkEnd w:id="33"/>
      <w:bookmarkEnd w:id="34"/>
      <w:bookmarkEnd w:id="35"/>
    </w:p>
    <w:p w:rsidR="00CF7455" w:rsidRPr="00D20211" w:rsidP="00CF7455" w14:paraId="24BF9EC4" w14:textId="2A0266CD">
      <w:pPr>
        <w:autoSpaceDE w:val="0"/>
        <w:autoSpaceDN w:val="0"/>
        <w:adjustRightInd w:val="0"/>
        <w:spacing w:line="240" w:lineRule="auto"/>
        <w:rPr>
          <w:rFonts w:cs="ITCFranklinGothicStd-Book"/>
          <w:sz w:val="24"/>
          <w:szCs w:val="24"/>
          <w:u w:val="single"/>
        </w:rPr>
      </w:pPr>
    </w:p>
    <w:p w:rsidR="007B52A3" w:rsidRPr="003F6554" w:rsidP="007F0C72" w14:paraId="12A76A1E" w14:textId="594BBB29">
      <w:pPr>
        <w:spacing w:line="22" w:lineRule="atLeast"/>
        <w:rPr>
          <w:rFonts w:cstheme="minorHAnsi"/>
          <w:sz w:val="24"/>
          <w:szCs w:val="24"/>
        </w:rPr>
      </w:pPr>
      <w:r w:rsidRPr="003F6554">
        <w:rPr>
          <w:rFonts w:cstheme="minorHAnsi"/>
          <w:sz w:val="24"/>
          <w:szCs w:val="24"/>
        </w:rPr>
        <w:t xml:space="preserve">On </w:t>
      </w:r>
      <w:r w:rsidRPr="007076FD" w:rsidR="00371CD8">
        <w:rPr>
          <w:rFonts w:cstheme="minorHAnsi"/>
          <w:sz w:val="24"/>
          <w:szCs w:val="24"/>
        </w:rPr>
        <w:t>03</w:t>
      </w:r>
      <w:r w:rsidRPr="007076FD">
        <w:rPr>
          <w:rFonts w:cstheme="minorHAnsi"/>
          <w:sz w:val="24"/>
          <w:szCs w:val="24"/>
        </w:rPr>
        <w:t>/</w:t>
      </w:r>
      <w:r w:rsidRPr="007076FD" w:rsidR="00371CD8">
        <w:rPr>
          <w:rFonts w:cstheme="minorHAnsi"/>
          <w:sz w:val="24"/>
          <w:szCs w:val="24"/>
        </w:rPr>
        <w:t>21</w:t>
      </w:r>
      <w:r w:rsidRPr="007076FD">
        <w:rPr>
          <w:rFonts w:cstheme="minorHAnsi"/>
          <w:sz w:val="24"/>
          <w:szCs w:val="24"/>
        </w:rPr>
        <w:t>/202</w:t>
      </w:r>
      <w:r w:rsidRPr="007076FD" w:rsidR="00052FB9">
        <w:rPr>
          <w:rFonts w:cstheme="minorHAnsi"/>
          <w:sz w:val="24"/>
          <w:szCs w:val="24"/>
        </w:rPr>
        <w:t>3</w:t>
      </w:r>
      <w:r w:rsidRPr="007076FD">
        <w:rPr>
          <w:rFonts w:cstheme="minorHAnsi"/>
          <w:sz w:val="24"/>
          <w:szCs w:val="24"/>
        </w:rPr>
        <w:t xml:space="preserve">, the </w:t>
      </w:r>
      <w:r w:rsidR="00F94663">
        <w:rPr>
          <w:rFonts w:cstheme="minorHAnsi"/>
          <w:sz w:val="24"/>
          <w:szCs w:val="24"/>
        </w:rPr>
        <w:t xml:space="preserve">CDC </w:t>
      </w:r>
      <w:r w:rsidR="00F5083E">
        <w:rPr>
          <w:rFonts w:cstheme="minorHAnsi"/>
          <w:sz w:val="24"/>
          <w:szCs w:val="24"/>
        </w:rPr>
        <w:t xml:space="preserve">Senior Official for </w:t>
      </w:r>
      <w:r w:rsidRPr="007076FD">
        <w:rPr>
          <w:rFonts w:cstheme="minorHAnsi"/>
          <w:sz w:val="24"/>
          <w:szCs w:val="24"/>
        </w:rPr>
        <w:t>Privacy reviewed this submission and determined that the Privacy Act does apply</w:t>
      </w:r>
      <w:r w:rsidRPr="00BF1562">
        <w:rPr>
          <w:rFonts w:cstheme="minorHAnsi"/>
          <w:sz w:val="24"/>
          <w:szCs w:val="24"/>
        </w:rPr>
        <w:t>.</w:t>
      </w:r>
      <w:r w:rsidRPr="003F6554">
        <w:rPr>
          <w:rFonts w:cstheme="minorHAnsi"/>
          <w:sz w:val="24"/>
          <w:szCs w:val="24"/>
        </w:rPr>
        <w:t xml:space="preserve"> A Privacy Impact Assessment </w:t>
      </w:r>
      <w:r w:rsidRPr="00BF1562">
        <w:rPr>
          <w:rFonts w:cstheme="minorHAnsi"/>
          <w:sz w:val="24"/>
          <w:szCs w:val="24"/>
        </w:rPr>
        <w:t>(</w:t>
      </w:r>
      <w:r w:rsidRPr="00F93214">
        <w:rPr>
          <w:rFonts w:cstheme="minorHAnsi"/>
          <w:sz w:val="24"/>
          <w:szCs w:val="24"/>
        </w:rPr>
        <w:t>PIA</w:t>
      </w:r>
      <w:r w:rsidRPr="00BF1562">
        <w:rPr>
          <w:rFonts w:cstheme="minorHAnsi"/>
          <w:sz w:val="24"/>
          <w:szCs w:val="24"/>
        </w:rPr>
        <w:t>)</w:t>
      </w:r>
      <w:r w:rsidRPr="003F6554">
        <w:rPr>
          <w:rFonts w:cstheme="minorHAnsi"/>
          <w:sz w:val="24"/>
          <w:szCs w:val="24"/>
        </w:rPr>
        <w:t xml:space="preserve"> was obtained (</w:t>
      </w:r>
      <w:r w:rsidRPr="00D70913">
        <w:rPr>
          <w:rFonts w:cstheme="minorHAnsi"/>
          <w:sz w:val="24"/>
          <w:szCs w:val="24"/>
        </w:rPr>
        <w:t xml:space="preserve">Attachment </w:t>
      </w:r>
      <w:r w:rsidR="00004AED">
        <w:rPr>
          <w:rFonts w:cstheme="minorHAnsi"/>
          <w:sz w:val="24"/>
          <w:szCs w:val="24"/>
        </w:rPr>
        <w:t>6</w:t>
      </w:r>
      <w:r w:rsidRPr="003F6554">
        <w:rPr>
          <w:rFonts w:cstheme="minorHAnsi"/>
          <w:sz w:val="24"/>
          <w:szCs w:val="24"/>
        </w:rPr>
        <w:t>).</w:t>
      </w:r>
      <w:r w:rsidRPr="003F6554" w:rsidR="00BF1562">
        <w:rPr>
          <w:rFonts w:cstheme="minorHAnsi"/>
          <w:sz w:val="24"/>
          <w:szCs w:val="24"/>
        </w:rPr>
        <w:t xml:space="preserve"> </w:t>
      </w:r>
    </w:p>
    <w:p w:rsidR="000B04FA" w:rsidRPr="002F1DBC" w14:paraId="38F2B1B7" w14:textId="506DA34A">
      <w:pPr>
        <w:spacing w:line="22" w:lineRule="atLeast"/>
        <w:rPr>
          <w:rFonts w:cstheme="minorHAnsi"/>
          <w:color w:val="000000"/>
          <w:sz w:val="24"/>
          <w:szCs w:val="24"/>
          <w:shd w:val="clear" w:color="auto" w:fill="FFFFFF"/>
        </w:rPr>
      </w:pPr>
      <w:r w:rsidRPr="002F1DBC">
        <w:rPr>
          <w:rFonts w:cstheme="minorHAnsi"/>
          <w:sz w:val="24"/>
          <w:szCs w:val="24"/>
        </w:rPr>
        <w:t xml:space="preserve">The applicable System of Records Notice is </w:t>
      </w:r>
      <w:hyperlink r:id="rId11" w:history="1">
        <w:r w:rsidRPr="002F1DBC" w:rsidR="003F6554">
          <w:rPr>
            <w:rStyle w:val="Hyperlink"/>
            <w:rFonts w:cstheme="minorHAnsi"/>
            <w:sz w:val="24"/>
            <w:szCs w:val="24"/>
          </w:rPr>
          <w:t>SORN 09-20-0161 (Records of Health Professionals in Disease Prevention and Control Training Programs, HHS/CDC/NCPS)</w:t>
        </w:r>
      </w:hyperlink>
      <w:r w:rsidRPr="002F1DBC" w:rsidR="003F6554">
        <w:rPr>
          <w:rFonts w:cstheme="minorHAnsi"/>
          <w:sz w:val="24"/>
          <w:szCs w:val="24"/>
        </w:rPr>
        <w:t xml:space="preserve">. </w:t>
      </w:r>
      <w:r w:rsidRPr="002F1DBC" w:rsidR="003F6554">
        <w:rPr>
          <w:rFonts w:cstheme="minorHAnsi"/>
          <w:color w:val="000000"/>
          <w:sz w:val="24"/>
          <w:szCs w:val="24"/>
          <w:shd w:val="clear" w:color="auto" w:fill="FFFFFF"/>
        </w:rPr>
        <w:t>Name of individual respondent, identification number, and type of training received are some of the indices used to retrieve records from this system.</w:t>
      </w:r>
    </w:p>
    <w:p w:rsidR="002F1DBC" w:rsidRPr="007F0C72" w:rsidP="007F0C72" w14:paraId="7ECE246C" w14:textId="00B396B7">
      <w:pPr>
        <w:shd w:val="clear" w:color="auto" w:fill="FFFFFF"/>
        <w:spacing w:line="240" w:lineRule="auto"/>
        <w:rPr>
          <w:rFonts w:eastAsia="Times New Roman" w:cstheme="minorHAnsi"/>
          <w:color w:val="000000"/>
          <w:sz w:val="24"/>
          <w:szCs w:val="24"/>
        </w:rPr>
      </w:pPr>
      <w:r w:rsidRPr="007F0C72">
        <w:rPr>
          <w:rFonts w:cstheme="minorHAnsi"/>
          <w:color w:val="000000"/>
          <w:sz w:val="24"/>
          <w:szCs w:val="24"/>
        </w:rPr>
        <w:t>SORN history: 51 FR 42449 (11/24/86); updated 54 FR 47904 (11/17/89), 56 FR 66733 (12/24/91), 57 FR 62811 (12/31/92), 58 FR 69048 (12/29/93), 59 FR 67080 12/28/94, 76 FR 4478 (1/25/11), *</w:t>
      </w:r>
      <w:hyperlink r:id="rId12" w:history="1">
        <w:r w:rsidRPr="007F0C72">
          <w:rPr>
            <w:rStyle w:val="Hyperlink"/>
            <w:rFonts w:cstheme="minorHAnsi"/>
            <w:color w:val="0053CC"/>
            <w:sz w:val="24"/>
            <w:szCs w:val="24"/>
          </w:rPr>
          <w:t>83 FR 6591</w:t>
        </w:r>
      </w:hyperlink>
      <w:r w:rsidRPr="007F0C72">
        <w:rPr>
          <w:rFonts w:cstheme="minorHAnsi"/>
          <w:color w:val="000000"/>
          <w:sz w:val="24"/>
          <w:szCs w:val="24"/>
        </w:rPr>
        <w:t> (2/14/18)</w:t>
      </w:r>
    </w:p>
    <w:p w:rsidR="000E1B65" w:rsidRPr="002F1DBC" w:rsidP="007F0C72" w14:paraId="7F0F4F25" w14:textId="51A64E1C">
      <w:pPr>
        <w:spacing w:line="22" w:lineRule="atLeast"/>
        <w:rPr>
          <w:rFonts w:cstheme="minorHAnsi"/>
          <w:sz w:val="24"/>
          <w:szCs w:val="24"/>
        </w:rPr>
      </w:pPr>
      <w:r w:rsidRPr="002F1DBC">
        <w:rPr>
          <w:rFonts w:cstheme="minorHAnsi"/>
          <w:sz w:val="24"/>
          <w:szCs w:val="24"/>
        </w:rPr>
        <w:t>Activities do involve the collection of individually identifiable information</w:t>
      </w:r>
      <w:r w:rsidRPr="002F1DBC" w:rsidR="0DCDD44E">
        <w:rPr>
          <w:rFonts w:cstheme="minorHAnsi"/>
          <w:sz w:val="24"/>
          <w:szCs w:val="24"/>
        </w:rPr>
        <w:t xml:space="preserve"> (IIF)</w:t>
      </w:r>
      <w:r w:rsidRPr="002F1DBC" w:rsidR="69E95BD7">
        <w:rPr>
          <w:rFonts w:cstheme="minorHAnsi"/>
          <w:sz w:val="24"/>
          <w:szCs w:val="24"/>
        </w:rPr>
        <w:t xml:space="preserve"> for classroom registration (Attachment 3) and for conference registration (Attachment </w:t>
      </w:r>
      <w:r w:rsidRPr="002F1DBC" w:rsidR="00A54F54">
        <w:rPr>
          <w:rFonts w:cstheme="minorHAnsi"/>
          <w:sz w:val="24"/>
          <w:szCs w:val="24"/>
        </w:rPr>
        <w:t>3a</w:t>
      </w:r>
      <w:r w:rsidRPr="002F1DBC" w:rsidR="69E95BD7">
        <w:rPr>
          <w:rFonts w:cstheme="minorHAnsi"/>
          <w:sz w:val="24"/>
          <w:szCs w:val="24"/>
        </w:rPr>
        <w:t xml:space="preserve">). The following IIF Categories apply to this information collection: </w:t>
      </w:r>
    </w:p>
    <w:p w:rsidR="000E1B65" w:rsidRPr="001C7F4E" w:rsidP="007F0C72" w14:paraId="095C2DDD" w14:textId="77777777">
      <w:pPr>
        <w:spacing w:line="22" w:lineRule="atLeast"/>
        <w:ind w:firstLine="360"/>
        <w:contextualSpacing/>
        <w:rPr>
          <w:rFonts w:cstheme="minorHAnsi"/>
          <w:sz w:val="24"/>
          <w:szCs w:val="24"/>
        </w:rPr>
      </w:pPr>
      <w:r w:rsidRPr="001C7F4E">
        <w:rPr>
          <w:rFonts w:ascii="Segoe UI Symbol" w:hAnsi="Segoe UI Symbol" w:cs="Segoe UI Symbol"/>
          <w:sz w:val="24"/>
          <w:szCs w:val="24"/>
        </w:rPr>
        <w:t>❑</w:t>
      </w:r>
      <w:r w:rsidRPr="001C7F4E">
        <w:rPr>
          <w:rFonts w:cstheme="minorHAnsi"/>
          <w:sz w:val="24"/>
          <w:szCs w:val="24"/>
        </w:rPr>
        <w:t xml:space="preserve"> Name</w:t>
      </w:r>
    </w:p>
    <w:p w:rsidR="000E1B65" w:rsidRPr="001C7F4E" w:rsidP="007F0C72" w14:paraId="30582EA9" w14:textId="740F7663">
      <w:pPr>
        <w:spacing w:line="22" w:lineRule="atLeast"/>
        <w:ind w:firstLine="360"/>
        <w:contextualSpacing/>
        <w:rPr>
          <w:rFonts w:cstheme="minorHAnsi"/>
          <w:sz w:val="24"/>
          <w:szCs w:val="24"/>
        </w:rPr>
      </w:pPr>
      <w:r w:rsidRPr="001C7F4E">
        <w:rPr>
          <w:rFonts w:ascii="Segoe UI Symbol" w:hAnsi="Segoe UI Symbol" w:cs="Segoe UI Symbol"/>
          <w:sz w:val="24"/>
          <w:szCs w:val="24"/>
        </w:rPr>
        <w:t>❑</w:t>
      </w:r>
      <w:r w:rsidRPr="001C7F4E">
        <w:rPr>
          <w:rFonts w:cstheme="minorHAnsi"/>
          <w:sz w:val="24"/>
          <w:szCs w:val="24"/>
        </w:rPr>
        <w:t xml:space="preserve"> Mailing Address</w:t>
      </w:r>
      <w:r w:rsidR="008A2C35">
        <w:rPr>
          <w:rFonts w:cstheme="minorHAnsi"/>
          <w:sz w:val="24"/>
          <w:szCs w:val="24"/>
        </w:rPr>
        <w:t xml:space="preserve"> (e.g., by </w:t>
      </w:r>
      <w:r w:rsidR="003E05AE">
        <w:rPr>
          <w:rFonts w:cstheme="minorHAnsi"/>
          <w:sz w:val="24"/>
          <w:szCs w:val="24"/>
        </w:rPr>
        <w:t>classroom</w:t>
      </w:r>
      <w:r w:rsidR="008A2C35">
        <w:rPr>
          <w:rFonts w:cstheme="minorHAnsi"/>
          <w:sz w:val="24"/>
          <w:szCs w:val="24"/>
        </w:rPr>
        <w:t>/conference host websites)</w:t>
      </w:r>
    </w:p>
    <w:p w:rsidR="000E1B65" w:rsidRPr="001C7F4E" w:rsidP="007F0C72" w14:paraId="4202C5C9" w14:textId="103DBB97">
      <w:pPr>
        <w:spacing w:line="22" w:lineRule="atLeast"/>
        <w:ind w:firstLine="360"/>
        <w:contextualSpacing/>
        <w:rPr>
          <w:rFonts w:cstheme="minorHAnsi"/>
          <w:sz w:val="24"/>
          <w:szCs w:val="24"/>
        </w:rPr>
      </w:pPr>
      <w:r w:rsidRPr="001C7F4E">
        <w:rPr>
          <w:rFonts w:ascii="Segoe UI Symbol" w:hAnsi="Segoe UI Symbol" w:cs="Segoe UI Symbol"/>
          <w:sz w:val="24"/>
          <w:szCs w:val="24"/>
        </w:rPr>
        <w:t>❑</w:t>
      </w:r>
      <w:r w:rsidRPr="001C7F4E">
        <w:rPr>
          <w:rFonts w:cstheme="minorHAnsi"/>
          <w:sz w:val="24"/>
          <w:szCs w:val="24"/>
        </w:rPr>
        <w:t xml:space="preserve"> Phone Numbers</w:t>
      </w:r>
      <w:r w:rsidR="008A2C35">
        <w:rPr>
          <w:rFonts w:cstheme="minorHAnsi"/>
          <w:sz w:val="24"/>
          <w:szCs w:val="24"/>
        </w:rPr>
        <w:t xml:space="preserve"> (e.g., by </w:t>
      </w:r>
      <w:r w:rsidR="003E05AE">
        <w:rPr>
          <w:rFonts w:cstheme="minorHAnsi"/>
          <w:sz w:val="24"/>
          <w:szCs w:val="24"/>
        </w:rPr>
        <w:t>classroom</w:t>
      </w:r>
      <w:r w:rsidR="008A2C35">
        <w:rPr>
          <w:rFonts w:cstheme="minorHAnsi"/>
          <w:sz w:val="24"/>
          <w:szCs w:val="24"/>
        </w:rPr>
        <w:t>/conference host websites)</w:t>
      </w:r>
    </w:p>
    <w:p w:rsidR="000E1B65" w:rsidRPr="001C7F4E" w:rsidP="007F0C72" w14:paraId="7F6A994A" w14:textId="77777777">
      <w:pPr>
        <w:spacing w:line="22" w:lineRule="atLeast"/>
        <w:ind w:firstLine="360"/>
        <w:contextualSpacing/>
        <w:rPr>
          <w:rFonts w:cstheme="minorHAnsi"/>
          <w:sz w:val="24"/>
          <w:szCs w:val="24"/>
        </w:rPr>
      </w:pPr>
      <w:r w:rsidRPr="001C7F4E">
        <w:rPr>
          <w:rFonts w:ascii="Segoe UI Symbol" w:hAnsi="Segoe UI Symbol" w:cs="Segoe UI Symbol"/>
          <w:sz w:val="24"/>
          <w:szCs w:val="24"/>
        </w:rPr>
        <w:t>❑</w:t>
      </w:r>
      <w:r w:rsidRPr="001C7F4E">
        <w:rPr>
          <w:rFonts w:cstheme="minorHAnsi"/>
          <w:sz w:val="24"/>
          <w:szCs w:val="24"/>
        </w:rPr>
        <w:t xml:space="preserve"> Email Address</w:t>
      </w:r>
    </w:p>
    <w:p w:rsidR="00110D29" w:rsidRPr="001C7F4E" w:rsidP="007F0C72" w14:paraId="510F0340" w14:textId="22517A39">
      <w:pPr>
        <w:spacing w:line="22" w:lineRule="atLeast"/>
        <w:ind w:firstLine="360"/>
        <w:contextualSpacing/>
        <w:rPr>
          <w:rFonts w:cstheme="minorHAnsi"/>
          <w:sz w:val="24"/>
          <w:szCs w:val="24"/>
        </w:rPr>
      </w:pPr>
      <w:r w:rsidRPr="001C7F4E">
        <w:rPr>
          <w:rFonts w:ascii="Segoe UI Symbol" w:hAnsi="Segoe UI Symbol" w:cs="Segoe UI Symbol"/>
          <w:sz w:val="24"/>
          <w:szCs w:val="24"/>
        </w:rPr>
        <w:t>❑</w:t>
      </w:r>
      <w:r w:rsidRPr="001C7F4E">
        <w:rPr>
          <w:rFonts w:cstheme="minorHAnsi"/>
          <w:sz w:val="24"/>
          <w:szCs w:val="24"/>
        </w:rPr>
        <w:t xml:space="preserve"> Employment Status (</w:t>
      </w:r>
      <w:r w:rsidRPr="001C7F4E" w:rsidR="597F86A4">
        <w:rPr>
          <w:rFonts w:cstheme="minorHAnsi"/>
          <w:sz w:val="24"/>
          <w:szCs w:val="24"/>
        </w:rPr>
        <w:t xml:space="preserve">i.e., </w:t>
      </w:r>
      <w:r w:rsidRPr="001C7F4E">
        <w:rPr>
          <w:rFonts w:cstheme="minorHAnsi"/>
          <w:sz w:val="24"/>
          <w:szCs w:val="24"/>
        </w:rPr>
        <w:t>place of employment</w:t>
      </w:r>
      <w:r w:rsidR="008A2C35">
        <w:rPr>
          <w:rFonts w:cstheme="minorHAnsi"/>
          <w:sz w:val="24"/>
          <w:szCs w:val="24"/>
        </w:rPr>
        <w:t xml:space="preserve"> or job title</w:t>
      </w:r>
      <w:r w:rsidRPr="001C7F4E">
        <w:rPr>
          <w:rFonts w:cstheme="minorHAnsi"/>
          <w:sz w:val="24"/>
          <w:szCs w:val="24"/>
        </w:rPr>
        <w:t>)</w:t>
      </w:r>
    </w:p>
    <w:p w:rsidR="00DB211C" w:rsidP="00E962B4" w14:paraId="325B7D91" w14:textId="77777777">
      <w:pPr>
        <w:spacing w:line="22" w:lineRule="atLeast"/>
        <w:rPr>
          <w:rFonts w:cstheme="minorHAnsi"/>
          <w:sz w:val="24"/>
          <w:szCs w:val="24"/>
        </w:rPr>
      </w:pPr>
    </w:p>
    <w:p w:rsidR="00F94663" w:rsidP="00E962B4" w14:paraId="020B6154" w14:textId="77777777">
      <w:pPr>
        <w:spacing w:line="22" w:lineRule="atLeast"/>
        <w:rPr>
          <w:rFonts w:cstheme="minorHAnsi"/>
          <w:sz w:val="24"/>
          <w:szCs w:val="24"/>
        </w:rPr>
      </w:pPr>
      <w:r>
        <w:rPr>
          <w:rFonts w:cstheme="minorHAnsi"/>
          <w:sz w:val="24"/>
          <w:szCs w:val="24"/>
        </w:rPr>
        <w:t xml:space="preserve">IIF </w:t>
      </w:r>
      <w:r w:rsidR="00CB2A3C">
        <w:rPr>
          <w:rFonts w:cstheme="minorHAnsi"/>
          <w:sz w:val="24"/>
          <w:szCs w:val="24"/>
        </w:rPr>
        <w:t xml:space="preserve">(name and email address) </w:t>
      </w:r>
      <w:r>
        <w:rPr>
          <w:rFonts w:cstheme="minorHAnsi"/>
          <w:sz w:val="24"/>
          <w:szCs w:val="24"/>
        </w:rPr>
        <w:t xml:space="preserve">will be shared with NEHA to issue Certificates of Completion and continuing education </w:t>
      </w:r>
      <w:r w:rsidR="004005BB">
        <w:rPr>
          <w:rFonts w:cstheme="minorHAnsi"/>
          <w:sz w:val="24"/>
          <w:szCs w:val="24"/>
        </w:rPr>
        <w:t>units (CEUs)</w:t>
      </w:r>
      <w:r>
        <w:rPr>
          <w:rFonts w:cstheme="minorHAnsi"/>
          <w:sz w:val="24"/>
          <w:szCs w:val="24"/>
        </w:rPr>
        <w:t xml:space="preserve"> upon verification by the ATSDR course director.</w:t>
      </w:r>
      <w:r w:rsidR="00696BC6">
        <w:rPr>
          <w:rFonts w:cstheme="minorHAnsi"/>
          <w:sz w:val="24"/>
          <w:szCs w:val="24"/>
        </w:rPr>
        <w:t xml:space="preserve"> </w:t>
      </w:r>
      <w:r w:rsidR="00FF1266">
        <w:rPr>
          <w:rFonts w:cstheme="minorHAnsi"/>
          <w:sz w:val="24"/>
          <w:szCs w:val="24"/>
        </w:rPr>
        <w:t xml:space="preserve">Once the ATSDR course director confirms that the certificates were received, NEHA will destroy </w:t>
      </w:r>
      <w:r w:rsidR="005C0A20">
        <w:rPr>
          <w:rFonts w:cstheme="minorHAnsi"/>
          <w:sz w:val="24"/>
          <w:szCs w:val="24"/>
        </w:rPr>
        <w:t xml:space="preserve">the </w:t>
      </w:r>
      <w:r w:rsidR="00FF1266">
        <w:rPr>
          <w:rFonts w:cstheme="minorHAnsi"/>
          <w:sz w:val="24"/>
          <w:szCs w:val="24"/>
        </w:rPr>
        <w:t xml:space="preserve">records </w:t>
      </w:r>
      <w:r w:rsidR="005C0A20">
        <w:rPr>
          <w:rFonts w:cstheme="minorHAnsi"/>
          <w:sz w:val="24"/>
          <w:szCs w:val="24"/>
        </w:rPr>
        <w:t xml:space="preserve">(e.g., emails and certificates). </w:t>
      </w:r>
    </w:p>
    <w:p w:rsidR="003407AB" w:rsidP="00E962B4" w14:paraId="0380E812" w14:textId="50673304">
      <w:pPr>
        <w:spacing w:line="22" w:lineRule="atLeast"/>
        <w:rPr>
          <w:rFonts w:cstheme="minorHAnsi"/>
          <w:sz w:val="24"/>
          <w:szCs w:val="24"/>
        </w:rPr>
      </w:pPr>
      <w:r>
        <w:rPr>
          <w:rFonts w:cstheme="minorHAnsi"/>
          <w:sz w:val="24"/>
          <w:szCs w:val="24"/>
        </w:rPr>
        <w:t xml:space="preserve">The ATSDR Course Director will inform participants that they may </w:t>
      </w:r>
      <w:r w:rsidR="004005BB">
        <w:rPr>
          <w:rFonts w:cstheme="minorHAnsi"/>
          <w:sz w:val="24"/>
          <w:szCs w:val="24"/>
        </w:rPr>
        <w:t xml:space="preserve">take the training but still </w:t>
      </w:r>
      <w:r>
        <w:rPr>
          <w:rFonts w:cstheme="minorHAnsi"/>
          <w:sz w:val="24"/>
          <w:szCs w:val="24"/>
        </w:rPr>
        <w:t>opt out of sharing their</w:t>
      </w:r>
      <w:r w:rsidR="004005BB">
        <w:rPr>
          <w:rFonts w:cstheme="minorHAnsi"/>
          <w:sz w:val="24"/>
          <w:szCs w:val="24"/>
        </w:rPr>
        <w:t xml:space="preserve"> IIF with NEHA and thus not receive Certificates of Completion and CEUs.</w:t>
      </w:r>
      <w:r w:rsidR="009F7FB8">
        <w:rPr>
          <w:rFonts w:cstheme="minorHAnsi"/>
          <w:sz w:val="24"/>
          <w:szCs w:val="24"/>
        </w:rPr>
        <w:t xml:space="preserve"> Should any participants choose to opt out of sharing IIF, they can complete Attachment 3b by hard copy (pen and paper). The ATSDR course director will then scan the opt out forms, shred the paper copies, and manage the scanned forms following the records control procedures described in Safeguard </w:t>
      </w:r>
      <w:r w:rsidR="00F94663">
        <w:rPr>
          <w:rFonts w:cstheme="minorHAnsi"/>
          <w:sz w:val="24"/>
          <w:szCs w:val="24"/>
        </w:rPr>
        <w:t>N</w:t>
      </w:r>
      <w:r w:rsidR="009F7FB8">
        <w:rPr>
          <w:rFonts w:cstheme="minorHAnsi"/>
          <w:sz w:val="24"/>
          <w:szCs w:val="24"/>
        </w:rPr>
        <w:t xml:space="preserve">umber 4, below. </w:t>
      </w:r>
    </w:p>
    <w:p w:rsidR="00DB211C" w:rsidP="007F0C72" w14:paraId="5D05D66B" w14:textId="77777777">
      <w:pPr>
        <w:spacing w:line="22" w:lineRule="atLeast"/>
        <w:rPr>
          <w:rFonts w:cstheme="minorHAnsi"/>
          <w:sz w:val="24"/>
          <w:szCs w:val="24"/>
        </w:rPr>
      </w:pPr>
    </w:p>
    <w:p w:rsidR="003407AB" w:rsidP="007F0C72" w14:paraId="5A270197" w14:textId="02A4304D">
      <w:pPr>
        <w:spacing w:line="22" w:lineRule="atLeast"/>
        <w:rPr>
          <w:rFonts w:eastAsia="Times New Roman" w:cstheme="minorHAnsi"/>
          <w:b/>
          <w:bCs/>
          <w:color w:val="000000"/>
          <w:sz w:val="24"/>
          <w:szCs w:val="24"/>
        </w:rPr>
      </w:pPr>
      <w:r w:rsidRPr="003F6554">
        <w:rPr>
          <w:rFonts w:cstheme="minorHAnsi"/>
          <w:sz w:val="24"/>
          <w:szCs w:val="24"/>
        </w:rPr>
        <w:t>The following security measur</w:t>
      </w:r>
      <w:r w:rsidRPr="003F6554" w:rsidR="00DD775A">
        <w:rPr>
          <w:rFonts w:cstheme="minorHAnsi"/>
          <w:sz w:val="24"/>
          <w:szCs w:val="24"/>
        </w:rPr>
        <w:t>es</w:t>
      </w:r>
      <w:r w:rsidRPr="003F6554">
        <w:rPr>
          <w:rFonts w:cstheme="minorHAnsi"/>
          <w:sz w:val="24"/>
          <w:szCs w:val="24"/>
        </w:rPr>
        <w:t xml:space="preserve"> are in place:</w:t>
      </w:r>
    </w:p>
    <w:p w:rsidR="003F6554" w:rsidRPr="00F93214" w:rsidP="007F0C72" w14:paraId="7AADC5A2" w14:textId="0649D96E">
      <w:pPr>
        <w:shd w:val="clear" w:color="auto" w:fill="FFFFFF"/>
        <w:spacing w:after="300" w:line="22" w:lineRule="atLeast"/>
        <w:rPr>
          <w:rFonts w:eastAsia="Times New Roman" w:cstheme="minorHAnsi"/>
          <w:color w:val="000000"/>
          <w:sz w:val="24"/>
          <w:szCs w:val="24"/>
        </w:rPr>
      </w:pPr>
      <w:r w:rsidRPr="00F93214">
        <w:rPr>
          <w:rFonts w:eastAsia="Times New Roman" w:cstheme="minorHAnsi"/>
          <w:b/>
          <w:bCs/>
          <w:color w:val="000000"/>
          <w:sz w:val="24"/>
          <w:szCs w:val="24"/>
        </w:rPr>
        <w:t>Safeguards:</w:t>
      </w:r>
    </w:p>
    <w:p w:rsidR="003F6554" w:rsidRPr="00F93214" w:rsidP="007F0C72" w14:paraId="7783D414" w14:textId="08013209">
      <w:pPr>
        <w:shd w:val="clear" w:color="auto" w:fill="FFFFFF"/>
        <w:spacing w:after="300" w:line="22" w:lineRule="atLeast"/>
        <w:rPr>
          <w:rFonts w:eastAsia="Times New Roman" w:cstheme="minorHAnsi"/>
          <w:color w:val="000000"/>
          <w:sz w:val="24"/>
          <w:szCs w:val="24"/>
        </w:rPr>
      </w:pPr>
      <w:r w:rsidRPr="00F93214">
        <w:rPr>
          <w:rFonts w:eastAsia="Times New Roman" w:cstheme="minorHAnsi"/>
          <w:color w:val="000000"/>
          <w:sz w:val="24"/>
          <w:szCs w:val="24"/>
        </w:rPr>
        <w:t>1. Authorized users: Access is granted to only a limited number of personnel, i.e., CDC</w:t>
      </w:r>
      <w:r w:rsidR="00EA5149">
        <w:rPr>
          <w:rFonts w:eastAsia="Times New Roman" w:cstheme="minorHAnsi"/>
          <w:color w:val="000000"/>
          <w:sz w:val="24"/>
          <w:szCs w:val="24"/>
        </w:rPr>
        <w:t xml:space="preserve"> (ATSDR)</w:t>
      </w:r>
      <w:r w:rsidRPr="00F93214">
        <w:rPr>
          <w:rFonts w:eastAsia="Times New Roman" w:cstheme="minorHAnsi"/>
          <w:color w:val="000000"/>
          <w:sz w:val="24"/>
          <w:szCs w:val="24"/>
        </w:rPr>
        <w:t xml:space="preserve"> Project Officer, </w:t>
      </w:r>
      <w:r w:rsidRPr="00F93214" w:rsidR="00E47FBE">
        <w:rPr>
          <w:rFonts w:eastAsia="Times New Roman" w:cstheme="minorHAnsi"/>
          <w:color w:val="000000"/>
          <w:sz w:val="24"/>
          <w:szCs w:val="24"/>
        </w:rPr>
        <w:t>interviewers,</w:t>
      </w:r>
      <w:r w:rsidRPr="00F93214">
        <w:rPr>
          <w:rFonts w:eastAsia="Times New Roman" w:cstheme="minorHAnsi"/>
          <w:color w:val="000000"/>
          <w:sz w:val="24"/>
          <w:szCs w:val="24"/>
        </w:rPr>
        <w:t xml:space="preserve"> and designated support staff of CDC</w:t>
      </w:r>
      <w:r w:rsidR="00EB0E64">
        <w:rPr>
          <w:rFonts w:eastAsia="Times New Roman" w:cstheme="minorHAnsi"/>
          <w:color w:val="000000"/>
          <w:sz w:val="24"/>
          <w:szCs w:val="24"/>
        </w:rPr>
        <w:t xml:space="preserve"> (ATSDR)</w:t>
      </w:r>
      <w:r w:rsidRPr="00F93214">
        <w:rPr>
          <w:rFonts w:eastAsia="Times New Roman" w:cstheme="minorHAnsi"/>
          <w:color w:val="000000"/>
          <w:sz w:val="24"/>
          <w:szCs w:val="24"/>
        </w:rPr>
        <w:t xml:space="preserve"> or its contractors, as authorized by the system manager to accomplish the stated purposes for which the data in this system have been collected.</w:t>
      </w:r>
    </w:p>
    <w:p w:rsidR="003F6554" w:rsidRPr="00F93214" w:rsidP="007F0C72" w14:paraId="176C09C4" w14:textId="77777777">
      <w:pPr>
        <w:shd w:val="clear" w:color="auto" w:fill="FFFFFF"/>
        <w:spacing w:after="300" w:line="22" w:lineRule="atLeast"/>
        <w:rPr>
          <w:rFonts w:eastAsia="Times New Roman" w:cstheme="minorHAnsi"/>
          <w:color w:val="000000"/>
          <w:sz w:val="24"/>
          <w:szCs w:val="24"/>
        </w:rPr>
      </w:pPr>
      <w:r w:rsidRPr="00F93214">
        <w:rPr>
          <w:rFonts w:eastAsia="Times New Roman" w:cstheme="minorHAnsi"/>
          <w:color w:val="000000"/>
          <w:sz w:val="24"/>
          <w:szCs w:val="24"/>
        </w:rPr>
        <w:t>2. Physical safeguards: Locked cabinets in locked rooms, 24-hour guard service in buildings, personnel screening of visitors, electronic anti-intrusion devices in operation at the Federal Records Center, fire extinguishers, overhead sprinkler system and card-access control equipment in the computer room, computer terminals and automated records located in secured areas.</w:t>
      </w:r>
    </w:p>
    <w:p w:rsidR="003F6554" w:rsidRPr="00F93214" w:rsidP="007F0C72" w14:paraId="26BF597B" w14:textId="77777777">
      <w:pPr>
        <w:shd w:val="clear" w:color="auto" w:fill="FFFFFF"/>
        <w:spacing w:after="300" w:line="22" w:lineRule="atLeast"/>
        <w:rPr>
          <w:rFonts w:eastAsia="Times New Roman" w:cstheme="minorHAnsi"/>
          <w:color w:val="000000"/>
          <w:sz w:val="24"/>
          <w:szCs w:val="24"/>
        </w:rPr>
      </w:pPr>
      <w:r w:rsidRPr="00F93214">
        <w:rPr>
          <w:rFonts w:eastAsia="Times New Roman" w:cstheme="minorHAnsi"/>
          <w:color w:val="000000"/>
          <w:sz w:val="24"/>
          <w:szCs w:val="24"/>
        </w:rPr>
        <w:t>3. Procedural safeguards: Protection for computerized records includes programmed verification of valid user identification code, account code and password prior to acceptance of a terminal session or job submission, frequently changed passwords, and Vault Management System. Knowledge of individual tape passwords is required to access tapes, and access to systems is limited to users obtaining prior supervisory approval. When Privacy Act tapes are scratched, a special "certified" process is performed in which tapes are completely written over to avoid inadvertent data disclosure. Additional safeguards may be built into the program by the system analyst as warranted by the sensitivity of the data.</w:t>
      </w:r>
    </w:p>
    <w:p w:rsidR="003F6554" w:rsidRPr="00F93214" w:rsidP="007F0C72" w14:paraId="15D87CC8" w14:textId="77777777">
      <w:pPr>
        <w:shd w:val="clear" w:color="auto" w:fill="FFFFFF"/>
        <w:spacing w:after="300" w:line="22" w:lineRule="atLeast"/>
        <w:rPr>
          <w:rFonts w:eastAsia="Times New Roman" w:cstheme="minorHAnsi"/>
          <w:color w:val="000000"/>
          <w:sz w:val="24"/>
          <w:szCs w:val="24"/>
        </w:rPr>
      </w:pPr>
      <w:r w:rsidRPr="00F93214">
        <w:rPr>
          <w:rFonts w:eastAsia="Times New Roman" w:cstheme="minorHAnsi"/>
          <w:color w:val="000000"/>
          <w:sz w:val="24"/>
          <w:szCs w:val="24"/>
        </w:rPr>
        <w:t xml:space="preserve">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 compliance with these requirements. Upon </w:t>
      </w:r>
      <w:r w:rsidRPr="00F93214">
        <w:rPr>
          <w:rFonts w:eastAsia="Times New Roman" w:cstheme="minorHAnsi"/>
          <w:color w:val="000000"/>
          <w:sz w:val="24"/>
          <w:szCs w:val="24"/>
        </w:rPr>
        <w:t>completion of the contract, all data will be either returned to CDC or destroyed, as specified by the contract.</w:t>
      </w:r>
    </w:p>
    <w:p w:rsidR="003F6554" w:rsidRPr="00F93214" w:rsidP="007F0C72" w14:paraId="2D37C7DE" w14:textId="77777777">
      <w:pPr>
        <w:shd w:val="clear" w:color="auto" w:fill="FFFFFF"/>
        <w:spacing w:before="240" w:after="300" w:line="22" w:lineRule="atLeast"/>
        <w:rPr>
          <w:rFonts w:eastAsia="Times New Roman" w:cstheme="minorHAnsi"/>
          <w:color w:val="000000"/>
          <w:sz w:val="24"/>
          <w:szCs w:val="24"/>
        </w:rPr>
      </w:pPr>
      <w:r w:rsidRPr="00F93214">
        <w:rPr>
          <w:rFonts w:eastAsia="Times New Roman" w:cstheme="minorHAnsi"/>
          <w:color w:val="000000"/>
          <w:sz w:val="24"/>
          <w:szCs w:val="24"/>
        </w:rPr>
        <w:t xml:space="preserve">4. Implementation guidelines: The safeguards outlined above are developed in accordance with Chapter 45-13, "Safeguarding Records Contained in Systems of Records," of the HHS General Administration Manual, supplementary Chapter </w:t>
      </w:r>
      <w:r w:rsidRPr="00F93214">
        <w:rPr>
          <w:rFonts w:eastAsia="Times New Roman" w:cstheme="minorHAnsi"/>
          <w:color w:val="000000"/>
          <w:sz w:val="24"/>
          <w:szCs w:val="24"/>
        </w:rPr>
        <w:t>PHS.hf</w:t>
      </w:r>
      <w:r w:rsidRPr="00F93214">
        <w:rPr>
          <w:rFonts w:eastAsia="Times New Roman" w:cstheme="minorHAnsi"/>
          <w:color w:val="000000"/>
          <w:sz w:val="24"/>
          <w:szCs w:val="24"/>
        </w:rPr>
        <w:t xml:space="preserve">: 45-13; Part 6, "Automated Information System Security," of the HHS Information Resources Management Manual; the National Bureau of Standards Federal Information Processing Standards (FIPS Pub. 41 and FIPS Pub. 31). FRC safeguards </w:t>
      </w:r>
      <w:r w:rsidRPr="00F93214">
        <w:rPr>
          <w:rFonts w:eastAsia="Times New Roman" w:cstheme="minorHAnsi"/>
          <w:color w:val="000000"/>
          <w:sz w:val="24"/>
          <w:szCs w:val="24"/>
        </w:rPr>
        <w:t>are in compliance with</w:t>
      </w:r>
      <w:r w:rsidRPr="00F93214">
        <w:rPr>
          <w:rFonts w:eastAsia="Times New Roman" w:cstheme="minorHAnsi"/>
          <w:color w:val="000000"/>
          <w:sz w:val="24"/>
          <w:szCs w:val="24"/>
        </w:rPr>
        <w:t xml:space="preserve"> GSA Federal Property Management Regulations, Subchapter B--Archives and Records.</w:t>
      </w:r>
    </w:p>
    <w:p w:rsidR="00EF074B" w:rsidRPr="00F301F8" w:rsidP="007F0C72" w14:paraId="019A5EC7" w14:textId="65B8D481">
      <w:pPr>
        <w:spacing w:line="22" w:lineRule="atLeast"/>
        <w:rPr>
          <w:color w:val="303030"/>
          <w:sz w:val="24"/>
          <w:szCs w:val="24"/>
          <w:u w:val="single" w:color="303030"/>
        </w:rPr>
      </w:pPr>
      <w:r w:rsidRPr="00542A68">
        <w:rPr>
          <w:b/>
          <w:bCs/>
          <w:sz w:val="24"/>
          <w:szCs w:val="24"/>
        </w:rPr>
        <w:t xml:space="preserve">CDC/ATSDR </w:t>
      </w:r>
      <w:r w:rsidRPr="00F93214">
        <w:rPr>
          <w:b/>
          <w:bCs/>
          <w:sz w:val="24"/>
          <w:szCs w:val="24"/>
        </w:rPr>
        <w:t>Records Control Schedule</w:t>
      </w:r>
      <w:r w:rsidRPr="00542A68">
        <w:rPr>
          <w:b/>
          <w:bCs/>
          <w:sz w:val="24"/>
          <w:szCs w:val="24"/>
        </w:rPr>
        <w:t xml:space="preserve"> </w:t>
      </w:r>
      <w:r w:rsidRPr="00F93214">
        <w:rPr>
          <w:sz w:val="24"/>
          <w:szCs w:val="24"/>
        </w:rPr>
        <w:t xml:space="preserve">(see </w:t>
      </w:r>
      <w:hyperlink r:id="rId13" w:history="1">
        <w:r w:rsidRPr="00026728" w:rsidR="00026728">
          <w:rPr>
            <w:rStyle w:val="Hyperlink"/>
            <w:rFonts w:cstheme="minorHAnsi"/>
            <w:b/>
            <w:bCs/>
            <w:sz w:val="24"/>
            <w:szCs w:val="24"/>
          </w:rPr>
          <w:t>https://intranet.cdc.gov/ocoo/docs/services/ATSDR-retention-schedules.docx</w:t>
        </w:r>
      </w:hyperlink>
      <w:r w:rsidRPr="00F93214" w:rsidR="00C30F1B">
        <w:rPr>
          <w:sz w:val="24"/>
          <w:szCs w:val="24"/>
        </w:rPr>
        <w:t>)</w:t>
      </w:r>
      <w:r w:rsidRPr="00F93214">
        <w:rPr>
          <w:sz w:val="24"/>
          <w:szCs w:val="24"/>
        </w:rPr>
        <w:t>:</w:t>
      </w:r>
      <w:r w:rsidRPr="00F93214">
        <w:rPr>
          <w:color w:val="303030"/>
          <w:sz w:val="24"/>
          <w:szCs w:val="24"/>
          <w:u w:val="single" w:color="303030"/>
        </w:rPr>
        <w:t xml:space="preserve"> </w:t>
      </w:r>
    </w:p>
    <w:p w:rsidR="00BC6F04" w:rsidP="007F0C72" w14:paraId="41BA1522" w14:textId="4BD5FE71">
      <w:pPr>
        <w:spacing w:line="22" w:lineRule="atLeast"/>
        <w:rPr>
          <w:sz w:val="24"/>
          <w:szCs w:val="24"/>
        </w:rPr>
      </w:pPr>
      <w:r w:rsidRPr="00F93214">
        <w:rPr>
          <w:rFonts w:eastAsia="Times New Roman"/>
          <w:color w:val="242424"/>
          <w:sz w:val="24"/>
          <w:szCs w:val="24"/>
        </w:rPr>
        <w:t xml:space="preserve">Retention and destruction of PII will follow CDC/ATSDR Records Control Schedule </w:t>
      </w:r>
      <w:r w:rsidRPr="00F93214" w:rsidR="00BF1562">
        <w:rPr>
          <w:color w:val="303030"/>
          <w:sz w:val="24"/>
          <w:szCs w:val="24"/>
        </w:rPr>
        <w:t>Part 3-1: Trainee Records (NC1-90-78-1, Item</w:t>
      </w:r>
      <w:r w:rsidRPr="00F93214" w:rsidR="00BF1562">
        <w:rPr>
          <w:color w:val="303030"/>
          <w:spacing w:val="-16"/>
          <w:sz w:val="24"/>
          <w:szCs w:val="24"/>
        </w:rPr>
        <w:t xml:space="preserve"> </w:t>
      </w:r>
      <w:r w:rsidRPr="00F93214" w:rsidR="00BF1562">
        <w:rPr>
          <w:color w:val="303030"/>
          <w:sz w:val="24"/>
          <w:szCs w:val="24"/>
        </w:rPr>
        <w:t>116)</w:t>
      </w:r>
      <w:r w:rsidRPr="00F301F8" w:rsidR="00BF1562">
        <w:rPr>
          <w:color w:val="303030"/>
          <w:sz w:val="24"/>
          <w:szCs w:val="24"/>
        </w:rPr>
        <w:t xml:space="preserve"> </w:t>
      </w:r>
      <w:r w:rsidRPr="00F93214">
        <w:rPr>
          <w:rFonts w:eastAsia="Times New Roman"/>
          <w:color w:val="242424"/>
          <w:sz w:val="24"/>
          <w:szCs w:val="24"/>
        </w:rPr>
        <w:t>which states that</w:t>
      </w:r>
      <w:r w:rsidRPr="00F93214" w:rsidR="00BF1562">
        <w:rPr>
          <w:rFonts w:eastAsia="Times New Roman"/>
          <w:color w:val="242424"/>
          <w:sz w:val="24"/>
          <w:szCs w:val="24"/>
        </w:rPr>
        <w:t xml:space="preserve"> t</w:t>
      </w:r>
      <w:r w:rsidRPr="00F93214">
        <w:rPr>
          <w:rFonts w:eastAsia="Times New Roman"/>
          <w:color w:val="242424"/>
          <w:sz w:val="24"/>
          <w:szCs w:val="24"/>
        </w:rPr>
        <w:t xml:space="preserve">he authorized disposition is to </w:t>
      </w:r>
      <w:r w:rsidRPr="00542A68" w:rsidR="00BF1562">
        <w:rPr>
          <w:color w:val="303030"/>
          <w:sz w:val="24"/>
          <w:szCs w:val="24"/>
        </w:rPr>
        <w:t>t</w:t>
      </w:r>
      <w:r w:rsidRPr="00F301F8" w:rsidR="00BF1562">
        <w:rPr>
          <w:color w:val="303030"/>
          <w:sz w:val="24"/>
          <w:szCs w:val="24"/>
        </w:rPr>
        <w:t xml:space="preserve">ransfer to the </w:t>
      </w:r>
      <w:r w:rsidRPr="00542A68" w:rsidR="00BF1562">
        <w:rPr>
          <w:color w:val="303030"/>
          <w:sz w:val="24"/>
          <w:szCs w:val="24"/>
        </w:rPr>
        <w:t>Federal Records Center</w:t>
      </w:r>
      <w:r w:rsidRPr="00F301F8" w:rsidR="00BF1562">
        <w:rPr>
          <w:color w:val="303030"/>
          <w:sz w:val="24"/>
          <w:szCs w:val="24"/>
        </w:rPr>
        <w:t xml:space="preserve"> </w:t>
      </w:r>
      <w:r w:rsidR="001B42BE">
        <w:rPr>
          <w:color w:val="303030"/>
          <w:sz w:val="24"/>
          <w:szCs w:val="24"/>
        </w:rPr>
        <w:t>three</w:t>
      </w:r>
      <w:r w:rsidRPr="00F301F8" w:rsidR="00BF1562">
        <w:rPr>
          <w:color w:val="303030"/>
          <w:sz w:val="24"/>
          <w:szCs w:val="24"/>
        </w:rPr>
        <w:t xml:space="preserve"> years after last contact with trainee</w:t>
      </w:r>
      <w:r w:rsidRPr="00542A68" w:rsidR="00BF1562">
        <w:rPr>
          <w:color w:val="303030"/>
          <w:sz w:val="24"/>
          <w:szCs w:val="24"/>
        </w:rPr>
        <w:t>; d</w:t>
      </w:r>
      <w:r w:rsidRPr="00F301F8" w:rsidR="00BF1562">
        <w:rPr>
          <w:color w:val="303030"/>
          <w:sz w:val="24"/>
          <w:szCs w:val="24"/>
        </w:rPr>
        <w:t xml:space="preserve">estroy when </w:t>
      </w:r>
      <w:r w:rsidR="001B42BE">
        <w:rPr>
          <w:color w:val="303030"/>
          <w:sz w:val="24"/>
          <w:szCs w:val="24"/>
        </w:rPr>
        <w:t>seven</w:t>
      </w:r>
      <w:r w:rsidRPr="00F301F8" w:rsidR="00BF1562">
        <w:rPr>
          <w:color w:val="303030"/>
          <w:sz w:val="24"/>
          <w:szCs w:val="24"/>
        </w:rPr>
        <w:t xml:space="preserve"> years old.</w:t>
      </w:r>
      <w:r w:rsidRPr="00542A68" w:rsidR="00BF1562">
        <w:rPr>
          <w:color w:val="303030"/>
          <w:sz w:val="24"/>
          <w:szCs w:val="24"/>
        </w:rPr>
        <w:t xml:space="preserve"> Trainee records include </w:t>
      </w:r>
      <w:r w:rsidRPr="00F301F8" w:rsidR="00BF1562">
        <w:rPr>
          <w:color w:val="303030"/>
          <w:sz w:val="24"/>
          <w:szCs w:val="24"/>
        </w:rPr>
        <w:t xml:space="preserve">individual trainee records, including applications, qualifications, course title, evaluations, test scores, </w:t>
      </w:r>
      <w:r w:rsidR="009F7FB8">
        <w:rPr>
          <w:color w:val="303030"/>
          <w:sz w:val="24"/>
          <w:szCs w:val="24"/>
        </w:rPr>
        <w:t xml:space="preserve">opt out forms, </w:t>
      </w:r>
      <w:r w:rsidRPr="00F301F8" w:rsidR="00BF1562">
        <w:rPr>
          <w:color w:val="303030"/>
          <w:sz w:val="24"/>
          <w:szCs w:val="24"/>
        </w:rPr>
        <w:t>and related materials.</w:t>
      </w:r>
      <w:r w:rsidRPr="00F301F8" w:rsidR="00BF1562">
        <w:rPr>
          <w:sz w:val="24"/>
          <w:szCs w:val="24"/>
        </w:rPr>
        <w:t xml:space="preserve"> </w:t>
      </w:r>
    </w:p>
    <w:p w:rsidR="002D4842" w:rsidRPr="00F93214" w:rsidP="007F0C72" w14:paraId="64612683" w14:textId="3E9DAB1C">
      <w:pPr>
        <w:spacing w:line="22" w:lineRule="atLeast"/>
        <w:rPr>
          <w:sz w:val="24"/>
          <w:szCs w:val="24"/>
        </w:rPr>
      </w:pPr>
      <w:r w:rsidRPr="00F93214">
        <w:rPr>
          <w:iCs/>
          <w:sz w:val="24"/>
          <w:szCs w:val="24"/>
        </w:rPr>
        <w:t>All incidents involving a suspected or confirmed breach of Personally Identifiable Information (PII) must be reported to OCISO according to the policy titled “OCISO/CDC Standard for Responding to Breaches of Personally Identifiable Information (PII).</w:t>
      </w:r>
      <w:r w:rsidRPr="00F93214">
        <w:rPr>
          <w:sz w:val="24"/>
          <w:szCs w:val="24"/>
        </w:rPr>
        <w:t xml:space="preserve"> </w:t>
      </w:r>
    </w:p>
    <w:p w:rsidR="002D4842" w:rsidRPr="00D20211" w:rsidP="002D4842" w14:paraId="26F13412" w14:textId="10BAABE5">
      <w:pPr>
        <w:pStyle w:val="Heading1"/>
        <w:pBdr>
          <w:bottom w:val="none" w:sz="0" w:space="0" w:color="auto"/>
        </w:pBdr>
        <w:rPr>
          <w:color w:val="auto"/>
        </w:rPr>
      </w:pPr>
      <w:bookmarkStart w:id="36" w:name="_Toc126589452"/>
      <w:r w:rsidRPr="78D3267D">
        <w:rPr>
          <w:color w:val="auto"/>
        </w:rPr>
        <w:t>A.11.  Institutional Review Board (IRB) and Justification for Sensitive Questions</w:t>
      </w:r>
      <w:bookmarkEnd w:id="36"/>
    </w:p>
    <w:p w:rsidR="002D4842" w:rsidRPr="00D20211" w:rsidP="002D4842" w14:paraId="0E676751" w14:textId="77777777">
      <w:pPr>
        <w:spacing w:line="240" w:lineRule="auto"/>
      </w:pPr>
    </w:p>
    <w:p w:rsidR="002D4842" w:rsidRPr="00AF5110" w:rsidP="007F0C72" w14:paraId="2FF33A8F" w14:textId="05C2C887">
      <w:pPr>
        <w:autoSpaceDE w:val="0"/>
        <w:autoSpaceDN w:val="0"/>
        <w:adjustRightInd w:val="0"/>
        <w:rPr>
          <w:rFonts w:cs="ITCFranklinGothicStd-Book"/>
          <w:sz w:val="24"/>
          <w:szCs w:val="24"/>
        </w:rPr>
      </w:pPr>
      <w:r w:rsidRPr="5444210A">
        <w:rPr>
          <w:rFonts w:cs="ITCFranklinGothicStd-Book"/>
          <w:sz w:val="24"/>
          <w:szCs w:val="24"/>
        </w:rPr>
        <w:t xml:space="preserve">Initially, the project, entitled “Assessment of Environmental Health and Land Reuse </w:t>
      </w:r>
      <w:r w:rsidR="0028476F">
        <w:rPr>
          <w:rFonts w:cs="ITCFranklinGothicStd-Book"/>
          <w:sz w:val="24"/>
          <w:szCs w:val="24"/>
        </w:rPr>
        <w:t xml:space="preserve">Certification </w:t>
      </w:r>
      <w:r w:rsidRPr="5444210A">
        <w:rPr>
          <w:rFonts w:cs="ITCFranklinGothicStd-Book"/>
          <w:sz w:val="24"/>
          <w:szCs w:val="24"/>
        </w:rPr>
        <w:t>Training”</w:t>
      </w:r>
      <w:r w:rsidR="001B2E23">
        <w:rPr>
          <w:rFonts w:cs="ITCFranklinGothicStd-Book"/>
          <w:sz w:val="24"/>
          <w:szCs w:val="24"/>
        </w:rPr>
        <w:t xml:space="preserve"> (currently titled “Environmental Health and Land Reuse Certificate </w:t>
      </w:r>
      <w:r w:rsidR="00F20388">
        <w:rPr>
          <w:rFonts w:cs="ITCFranklinGothicStd-Book"/>
          <w:sz w:val="24"/>
          <w:szCs w:val="24"/>
        </w:rPr>
        <w:t>Training</w:t>
      </w:r>
      <w:r w:rsidR="001B2E23">
        <w:rPr>
          <w:rFonts w:cs="ITCFranklinGothicStd-Book"/>
          <w:sz w:val="24"/>
          <w:szCs w:val="24"/>
        </w:rPr>
        <w:t>”)</w:t>
      </w:r>
      <w:r w:rsidRPr="5444210A">
        <w:rPr>
          <w:rFonts w:cs="ITCFranklinGothicStd-Book"/>
          <w:sz w:val="24"/>
          <w:szCs w:val="24"/>
        </w:rPr>
        <w:t xml:space="preserve"> was classified as human subjects research in which CDC was engaged </w:t>
      </w:r>
      <w:r w:rsidR="006E477B">
        <w:rPr>
          <w:rFonts w:cs="ITCFranklinGothicStd-Book"/>
          <w:sz w:val="24"/>
          <w:szCs w:val="24"/>
        </w:rPr>
        <w:t>(</w:t>
      </w:r>
      <w:r w:rsidRPr="5444210A">
        <w:rPr>
          <w:rFonts w:cs="ITCFranklinGothicStd-Book"/>
          <w:sz w:val="24"/>
          <w:szCs w:val="24"/>
        </w:rPr>
        <w:t>CDC IRB Protocol No. 7175</w:t>
      </w:r>
      <w:r w:rsidR="006E477B">
        <w:rPr>
          <w:rFonts w:cs="ITCFranklinGothicStd-Book"/>
          <w:sz w:val="24"/>
          <w:szCs w:val="24"/>
        </w:rPr>
        <w:t>)</w:t>
      </w:r>
      <w:r w:rsidRPr="5444210A">
        <w:rPr>
          <w:rFonts w:cs="ITCFranklinGothicStd-Book"/>
          <w:sz w:val="24"/>
          <w:szCs w:val="24"/>
        </w:rPr>
        <w:t xml:space="preserve">. Recently, the NCEH/ATSDR Human Subjects Contact issued a revised determination that this activity is non-research on March 2, 2022. The Land Reuse Program Lead subsequently requested a closure of the protocol from IRB review. The closure was approved on May 10, 2022. </w:t>
      </w:r>
      <w:r w:rsidR="000C54E0">
        <w:rPr>
          <w:rFonts w:cs="ITCFranklinGothicStd-Book"/>
          <w:sz w:val="24"/>
          <w:szCs w:val="24"/>
        </w:rPr>
        <w:t>T</w:t>
      </w:r>
      <w:r w:rsidRPr="5444210A">
        <w:rPr>
          <w:rFonts w:cs="ITCFranklinGothicStd-Book"/>
          <w:sz w:val="24"/>
          <w:szCs w:val="24"/>
        </w:rPr>
        <w:t>his project has a project determination (STARS), provided along with the closure approval (</w:t>
      </w:r>
      <w:r w:rsidRPr="00B607C6">
        <w:rPr>
          <w:rFonts w:cs="ITCFranklinGothicStd-Book"/>
          <w:sz w:val="24"/>
          <w:szCs w:val="24"/>
        </w:rPr>
        <w:t xml:space="preserve">Attachment </w:t>
      </w:r>
      <w:r w:rsidR="00B607C6">
        <w:rPr>
          <w:rFonts w:cs="ITCFranklinGothicStd-Book"/>
          <w:sz w:val="24"/>
          <w:szCs w:val="24"/>
        </w:rPr>
        <w:t>7</w:t>
      </w:r>
      <w:r w:rsidRPr="5444210A">
        <w:rPr>
          <w:rFonts w:cs="ITCFranklinGothicStd-Book"/>
          <w:sz w:val="24"/>
          <w:szCs w:val="24"/>
        </w:rPr>
        <w:t xml:space="preserve">). </w:t>
      </w:r>
    </w:p>
    <w:p w:rsidR="002D4842" w:rsidP="007F0C72" w14:paraId="6894B02F" w14:textId="7E56338B">
      <w:pPr>
        <w:autoSpaceDE w:val="0"/>
        <w:autoSpaceDN w:val="0"/>
        <w:adjustRightInd w:val="0"/>
        <w:rPr>
          <w:sz w:val="24"/>
          <w:szCs w:val="24"/>
        </w:rPr>
      </w:pPr>
      <w:r w:rsidRPr="78D3267D">
        <w:rPr>
          <w:rFonts w:cs="ITCFranklinGothicStd-Book"/>
          <w:sz w:val="24"/>
          <w:szCs w:val="24"/>
        </w:rPr>
        <w:t xml:space="preserve">No information that is sensitive, such as sexual identification, orientation, preferences, or behaviors; social security numbers; medical conditions; or any other information that may be regarded as personal or sensitive is asked or obtained.  </w:t>
      </w:r>
    </w:p>
    <w:p w:rsidR="002D4842" w:rsidRPr="00D20211" w:rsidP="002D4842" w14:paraId="2B37EC11" w14:textId="77777777">
      <w:pPr>
        <w:pStyle w:val="Heading1"/>
        <w:pBdr>
          <w:bottom w:val="none" w:sz="0" w:space="0" w:color="auto"/>
        </w:pBdr>
        <w:rPr>
          <w:color w:val="auto"/>
        </w:rPr>
      </w:pPr>
      <w:bookmarkStart w:id="37" w:name="_Toc126589453"/>
      <w:r w:rsidRPr="78D3267D">
        <w:rPr>
          <w:color w:val="auto"/>
        </w:rPr>
        <w:t>A.12.  Estimates of Annualized Burden Hours and Costs</w:t>
      </w:r>
      <w:bookmarkEnd w:id="37"/>
    </w:p>
    <w:p w:rsidR="002D4842" w:rsidRPr="00D20211" w:rsidP="002D4842" w14:paraId="1B681EB8" w14:textId="77777777">
      <w:pPr>
        <w:spacing w:line="240" w:lineRule="auto"/>
        <w:rPr>
          <w:sz w:val="24"/>
          <w:szCs w:val="24"/>
        </w:rPr>
      </w:pPr>
    </w:p>
    <w:p w:rsidR="00E75692" w:rsidRPr="002A69E8" w:rsidP="007F0C72" w14:paraId="5C2BB6EF" w14:textId="0625D1D1">
      <w:pPr>
        <w:autoSpaceDE w:val="0"/>
        <w:autoSpaceDN w:val="0"/>
        <w:adjustRightInd w:val="0"/>
        <w:rPr>
          <w:rFonts w:cs="ITCFranklinGothicStd-Book"/>
          <w:sz w:val="24"/>
          <w:szCs w:val="24"/>
        </w:rPr>
      </w:pPr>
      <w:r w:rsidRPr="007F0C72">
        <w:rPr>
          <w:sz w:val="24"/>
          <w:szCs w:val="24"/>
        </w:rPr>
        <w:t xml:space="preserve">ATSDR estimates that a total of 225 participants will register for either the </w:t>
      </w:r>
      <w:r w:rsidRPr="007F0C72" w:rsidR="0030501D">
        <w:rPr>
          <w:sz w:val="24"/>
          <w:szCs w:val="24"/>
        </w:rPr>
        <w:t xml:space="preserve">“EHLR Basic Course” (n=100) or the “EHLR </w:t>
      </w:r>
      <w:r w:rsidR="00291DE5">
        <w:rPr>
          <w:sz w:val="24"/>
          <w:szCs w:val="24"/>
        </w:rPr>
        <w:t>Immersion</w:t>
      </w:r>
      <w:r w:rsidRPr="007F0C72" w:rsidR="0030501D">
        <w:rPr>
          <w:sz w:val="24"/>
          <w:szCs w:val="24"/>
        </w:rPr>
        <w:t xml:space="preserve"> Training” (n=125). </w:t>
      </w:r>
      <w:r w:rsidRPr="0016538A" w:rsidR="00E30768">
        <w:rPr>
          <w:rFonts w:cs="ITCFranklinGothicStd-Book"/>
          <w:sz w:val="24"/>
          <w:szCs w:val="24"/>
        </w:rPr>
        <w:t>Overall conference registration</w:t>
      </w:r>
      <w:r w:rsidR="00555A33">
        <w:rPr>
          <w:rFonts w:cs="ITCFranklinGothicStd-Book"/>
          <w:sz w:val="24"/>
          <w:szCs w:val="24"/>
        </w:rPr>
        <w:t xml:space="preserve"> for </w:t>
      </w:r>
      <w:r w:rsidR="009A2DE9">
        <w:rPr>
          <w:rFonts w:cs="ITCFranklinGothicStd-Book"/>
          <w:sz w:val="24"/>
          <w:szCs w:val="24"/>
        </w:rPr>
        <w:t>trainings</w:t>
      </w:r>
      <w:r w:rsidRPr="0016538A" w:rsidR="00E30768">
        <w:rPr>
          <w:rFonts w:cs="ITCFranklinGothicStd-Book"/>
          <w:sz w:val="24"/>
          <w:szCs w:val="24"/>
        </w:rPr>
        <w:t xml:space="preserve"> is estimated to take about </w:t>
      </w:r>
      <w:r w:rsidR="00AE27BB">
        <w:rPr>
          <w:rFonts w:cs="ITCFranklinGothicStd-Book"/>
          <w:sz w:val="24"/>
          <w:szCs w:val="24"/>
        </w:rPr>
        <w:t>10</w:t>
      </w:r>
      <w:r w:rsidRPr="0016538A" w:rsidR="00E30768">
        <w:rPr>
          <w:rFonts w:cs="ITCFranklinGothicStd-Book"/>
          <w:sz w:val="24"/>
          <w:szCs w:val="24"/>
        </w:rPr>
        <w:t xml:space="preserve"> minutes to complete</w:t>
      </w:r>
      <w:r w:rsidR="009A2DE9">
        <w:rPr>
          <w:rFonts w:cs="ITCFranklinGothicStd-Book"/>
          <w:sz w:val="24"/>
          <w:szCs w:val="24"/>
        </w:rPr>
        <w:t xml:space="preserve"> </w:t>
      </w:r>
      <w:r w:rsidRPr="0016538A" w:rsidR="00E30768">
        <w:rPr>
          <w:rFonts w:cs="ITCFranklinGothicStd-Book"/>
          <w:sz w:val="24"/>
          <w:szCs w:val="24"/>
        </w:rPr>
        <w:t>(Attachment 3a – sample)</w:t>
      </w:r>
      <w:r w:rsidR="00A1298A">
        <w:rPr>
          <w:rFonts w:cs="ITCFranklinGothicStd-Book"/>
          <w:sz w:val="24"/>
          <w:szCs w:val="24"/>
        </w:rPr>
        <w:t xml:space="preserve">; however, </w:t>
      </w:r>
      <w:r w:rsidRPr="0016538A" w:rsidR="00E47FBE">
        <w:rPr>
          <w:rFonts w:cs="ITCFranklinGothicStd-Book"/>
          <w:sz w:val="24"/>
          <w:szCs w:val="24"/>
        </w:rPr>
        <w:t>registration</w:t>
      </w:r>
      <w:r w:rsidRPr="0016538A" w:rsidR="00E30768">
        <w:rPr>
          <w:rFonts w:cs="ITCFranklinGothicStd-Book"/>
          <w:sz w:val="24"/>
          <w:szCs w:val="24"/>
        </w:rPr>
        <w:t xml:space="preserve"> for the “EHLR </w:t>
      </w:r>
      <w:r w:rsidR="00291DE5">
        <w:rPr>
          <w:rFonts w:cs="ITCFranklinGothicStd-Book"/>
          <w:sz w:val="24"/>
          <w:szCs w:val="24"/>
        </w:rPr>
        <w:t>Immersion</w:t>
      </w:r>
      <w:r w:rsidRPr="0016538A" w:rsidR="00E30768">
        <w:rPr>
          <w:rFonts w:cs="ITCFranklinGothicStd-Book"/>
          <w:sz w:val="24"/>
          <w:szCs w:val="24"/>
        </w:rPr>
        <w:t xml:space="preserve"> Training” conference session itself is </w:t>
      </w:r>
      <w:r w:rsidR="00227206">
        <w:rPr>
          <w:rFonts w:cs="ITCFranklinGothicStd-Book"/>
          <w:sz w:val="24"/>
          <w:szCs w:val="24"/>
        </w:rPr>
        <w:t>still</w:t>
      </w:r>
      <w:r w:rsidRPr="0016538A" w:rsidR="00E30768">
        <w:rPr>
          <w:rFonts w:cs="ITCFranklinGothicStd-Book"/>
          <w:sz w:val="24"/>
          <w:szCs w:val="24"/>
        </w:rPr>
        <w:t xml:space="preserve"> estimated to be 3 minutes. For this reas</w:t>
      </w:r>
      <w:r w:rsidR="00E30768">
        <w:rPr>
          <w:rFonts w:cs="ITCFranklinGothicStd-Book"/>
          <w:sz w:val="24"/>
          <w:szCs w:val="24"/>
        </w:rPr>
        <w:t>on, we are estimating</w:t>
      </w:r>
      <w:r w:rsidR="003808CC">
        <w:rPr>
          <w:rFonts w:cs="ITCFranklinGothicStd-Book"/>
          <w:sz w:val="24"/>
          <w:szCs w:val="24"/>
        </w:rPr>
        <w:t xml:space="preserve"> the time burden per response for</w:t>
      </w:r>
      <w:r w:rsidR="00E30768">
        <w:rPr>
          <w:rFonts w:cs="ITCFranklinGothicStd-Book"/>
          <w:sz w:val="24"/>
          <w:szCs w:val="24"/>
        </w:rPr>
        <w:t xml:space="preserve"> </w:t>
      </w:r>
      <w:r w:rsidR="00227206">
        <w:rPr>
          <w:rFonts w:cs="ITCFranklinGothicStd-Book"/>
          <w:sz w:val="24"/>
          <w:szCs w:val="24"/>
        </w:rPr>
        <w:t xml:space="preserve">EHLR </w:t>
      </w:r>
      <w:r w:rsidR="00E30768">
        <w:rPr>
          <w:rFonts w:cs="ITCFranklinGothicStd-Book"/>
          <w:sz w:val="24"/>
          <w:szCs w:val="24"/>
        </w:rPr>
        <w:t xml:space="preserve">course </w:t>
      </w:r>
      <w:r w:rsidR="00D26201">
        <w:rPr>
          <w:rFonts w:cs="ITCFranklinGothicStd-Book"/>
          <w:sz w:val="24"/>
          <w:szCs w:val="24"/>
        </w:rPr>
        <w:t>registration</w:t>
      </w:r>
      <w:r w:rsidR="003808CC">
        <w:rPr>
          <w:rFonts w:cs="ITCFranklinGothicStd-Book"/>
          <w:sz w:val="24"/>
          <w:szCs w:val="24"/>
        </w:rPr>
        <w:t xml:space="preserve"> across both courses are the same and are represented</w:t>
      </w:r>
      <w:r w:rsidR="00E30768">
        <w:rPr>
          <w:rFonts w:cs="ITCFranklinGothicStd-Book"/>
          <w:sz w:val="24"/>
          <w:szCs w:val="24"/>
        </w:rPr>
        <w:t xml:space="preserve"> in a single </w:t>
      </w:r>
      <w:r w:rsidR="003808CC">
        <w:rPr>
          <w:rFonts w:cs="ITCFranklinGothicStd-Book"/>
          <w:sz w:val="24"/>
          <w:szCs w:val="24"/>
        </w:rPr>
        <w:t xml:space="preserve">combined </w:t>
      </w:r>
      <w:r w:rsidR="00E30768">
        <w:rPr>
          <w:rFonts w:cs="ITCFranklinGothicStd-Book"/>
          <w:sz w:val="24"/>
          <w:szCs w:val="24"/>
        </w:rPr>
        <w:t>row in the burden table.</w:t>
      </w:r>
    </w:p>
    <w:p w:rsidR="002D4842" w:rsidP="002D4842" w14:paraId="40171677" w14:textId="49833C84">
      <w:pPr>
        <w:rPr>
          <w:sz w:val="24"/>
          <w:szCs w:val="24"/>
        </w:rPr>
      </w:pPr>
      <w:r w:rsidRPr="5444210A">
        <w:rPr>
          <w:sz w:val="24"/>
          <w:szCs w:val="24"/>
        </w:rPr>
        <w:t xml:space="preserve">For burden hour estimation, ATSDR assumes that all </w:t>
      </w:r>
      <w:r w:rsidR="00EB6C71">
        <w:rPr>
          <w:sz w:val="24"/>
          <w:szCs w:val="24"/>
        </w:rPr>
        <w:t xml:space="preserve">100 </w:t>
      </w:r>
      <w:r w:rsidRPr="5444210A">
        <w:rPr>
          <w:sz w:val="24"/>
          <w:szCs w:val="24"/>
        </w:rPr>
        <w:t xml:space="preserve">registered students in the “EHLR Basic Course” have completed </w:t>
      </w:r>
      <w:r w:rsidR="000278D4">
        <w:rPr>
          <w:sz w:val="24"/>
          <w:szCs w:val="24"/>
        </w:rPr>
        <w:t>all five modules</w:t>
      </w:r>
      <w:r w:rsidRPr="5444210A">
        <w:rPr>
          <w:sz w:val="24"/>
          <w:szCs w:val="24"/>
        </w:rPr>
        <w:t xml:space="preserve"> and are ready to complete their </w:t>
      </w:r>
      <w:r w:rsidR="00054DD6">
        <w:rPr>
          <w:sz w:val="24"/>
          <w:szCs w:val="24"/>
        </w:rPr>
        <w:t>voluntary</w:t>
      </w:r>
      <w:r w:rsidRPr="5444210A">
        <w:rPr>
          <w:sz w:val="24"/>
          <w:szCs w:val="24"/>
        </w:rPr>
        <w:t xml:space="preserve"> self-assessments. </w:t>
      </w:r>
      <w:r w:rsidRPr="5444210A" w:rsidR="00026728">
        <w:rPr>
          <w:sz w:val="24"/>
          <w:szCs w:val="24"/>
        </w:rPr>
        <w:t>Participants</w:t>
      </w:r>
      <w:r w:rsidRPr="5444210A">
        <w:rPr>
          <w:sz w:val="24"/>
          <w:szCs w:val="24"/>
        </w:rPr>
        <w:t xml:space="preserve"> who download the EHLR Basic Course and teach it (e.g., in a college or workplace class) or complete it themselves, may complete these modules </w:t>
      </w:r>
      <w:r w:rsidR="000278D4">
        <w:rPr>
          <w:sz w:val="24"/>
          <w:szCs w:val="24"/>
        </w:rPr>
        <w:t xml:space="preserve">individually or </w:t>
      </w:r>
      <w:r w:rsidR="000B0720">
        <w:rPr>
          <w:sz w:val="24"/>
          <w:szCs w:val="24"/>
        </w:rPr>
        <w:t xml:space="preserve">in full, </w:t>
      </w:r>
      <w:r w:rsidRPr="5444210A">
        <w:rPr>
          <w:sz w:val="24"/>
          <w:szCs w:val="24"/>
        </w:rPr>
        <w:t xml:space="preserve">on a schedule spread over several months or even more than one </w:t>
      </w:r>
      <w:r w:rsidRPr="5444210A" w:rsidR="00A7596E">
        <w:rPr>
          <w:sz w:val="24"/>
          <w:szCs w:val="24"/>
        </w:rPr>
        <w:t>year</w:t>
      </w:r>
      <w:r w:rsidR="00A7596E">
        <w:rPr>
          <w:sz w:val="24"/>
          <w:szCs w:val="24"/>
        </w:rPr>
        <w:t>.</w:t>
      </w:r>
    </w:p>
    <w:p w:rsidR="00BA2F53" w14:paraId="3DE11991" w14:textId="418C70F5">
      <w:pPr>
        <w:rPr>
          <w:sz w:val="24"/>
          <w:szCs w:val="24"/>
        </w:rPr>
      </w:pPr>
      <w:r>
        <w:rPr>
          <w:sz w:val="24"/>
          <w:szCs w:val="24"/>
        </w:rPr>
        <w:t>F</w:t>
      </w:r>
      <w:r w:rsidRPr="000F4921" w:rsidR="002D4842">
        <w:rPr>
          <w:sz w:val="24"/>
          <w:szCs w:val="24"/>
        </w:rPr>
        <w:t xml:space="preserve">or </w:t>
      </w:r>
      <w:r>
        <w:rPr>
          <w:sz w:val="24"/>
          <w:szCs w:val="24"/>
        </w:rPr>
        <w:t xml:space="preserve">the </w:t>
      </w:r>
      <w:r w:rsidRPr="000F4921" w:rsidR="002D4842">
        <w:rPr>
          <w:sz w:val="24"/>
          <w:szCs w:val="24"/>
        </w:rPr>
        <w:t xml:space="preserve">supplemental “EHLR </w:t>
      </w:r>
      <w:r w:rsidR="00291DE5">
        <w:rPr>
          <w:sz w:val="24"/>
          <w:szCs w:val="24"/>
        </w:rPr>
        <w:t>Immersion</w:t>
      </w:r>
      <w:r w:rsidRPr="000F4921" w:rsidR="002D4842">
        <w:rPr>
          <w:sz w:val="24"/>
          <w:szCs w:val="24"/>
        </w:rPr>
        <w:t xml:space="preserve"> Training</w:t>
      </w:r>
      <w:r w:rsidR="00A7596E">
        <w:rPr>
          <w:sz w:val="24"/>
          <w:szCs w:val="24"/>
        </w:rPr>
        <w:t>,</w:t>
      </w:r>
      <w:r w:rsidRPr="000F4921" w:rsidR="00A7596E">
        <w:rPr>
          <w:sz w:val="24"/>
          <w:szCs w:val="24"/>
        </w:rPr>
        <w:t>”</w:t>
      </w:r>
      <w:r w:rsidR="00A7596E">
        <w:rPr>
          <w:sz w:val="24"/>
          <w:szCs w:val="24"/>
        </w:rPr>
        <w:t xml:space="preserve"> </w:t>
      </w:r>
      <w:r w:rsidRPr="000F4921" w:rsidR="00A7596E">
        <w:rPr>
          <w:sz w:val="24"/>
          <w:szCs w:val="24"/>
        </w:rPr>
        <w:t>ATSDR</w:t>
      </w:r>
      <w:r w:rsidRPr="000F4921" w:rsidR="002D4842">
        <w:rPr>
          <w:sz w:val="24"/>
          <w:szCs w:val="24"/>
        </w:rPr>
        <w:t xml:space="preserve"> estimates that 125 conference goers </w:t>
      </w:r>
      <w:r w:rsidR="002D4842">
        <w:rPr>
          <w:sz w:val="24"/>
          <w:szCs w:val="24"/>
        </w:rPr>
        <w:t xml:space="preserve">annually </w:t>
      </w:r>
      <w:r w:rsidRPr="000F4921" w:rsidR="002D4842">
        <w:rPr>
          <w:sz w:val="24"/>
          <w:szCs w:val="24"/>
        </w:rPr>
        <w:t>will meet the prerequisite certification requirement</w:t>
      </w:r>
      <w:r w:rsidR="008842D1">
        <w:rPr>
          <w:sz w:val="24"/>
          <w:szCs w:val="24"/>
        </w:rPr>
        <w:t>.</w:t>
      </w:r>
    </w:p>
    <w:p w:rsidR="000C55B1" w:rsidP="007F0C72" w14:paraId="1D17E571" w14:textId="356AA544">
      <w:pPr>
        <w:rPr>
          <w:sz w:val="24"/>
          <w:szCs w:val="24"/>
        </w:rPr>
      </w:pPr>
      <w:r>
        <w:rPr>
          <w:sz w:val="24"/>
          <w:szCs w:val="24"/>
        </w:rPr>
        <w:t>ATSDR estimates that no more than 5% of participants (n=11) would ever choose to opt out of sharing their IIF with NEHA. In the event this should occur, ATSDR is seeking approval to administer the EHLR Privacy Act Opt Out Form (Attachment 3b) to document this has occurred.</w:t>
      </w:r>
      <w:r w:rsidR="00252656">
        <w:rPr>
          <w:sz w:val="24"/>
          <w:szCs w:val="24"/>
        </w:rPr>
        <w:t xml:space="preserve"> The Privacy Act Opt Out Form is estimated to take one minute to complete.</w:t>
      </w:r>
    </w:p>
    <w:p w:rsidR="004E1582" w:rsidP="00ED72E9" w14:paraId="018FEBF3" w14:textId="416EBAAC"/>
    <w:p w:rsidR="004E1582" w:rsidP="00ED72E9" w14:paraId="051EAD7D" w14:textId="1D11FED4">
      <w:pPr>
        <w:rPr>
          <w:sz w:val="24"/>
          <w:szCs w:val="24"/>
        </w:rPr>
      </w:pPr>
      <w:r>
        <w:rPr>
          <w:sz w:val="24"/>
          <w:szCs w:val="24"/>
        </w:rPr>
        <w:t xml:space="preserve">Table 12.1 </w:t>
      </w:r>
      <w:r w:rsidR="0007442E">
        <w:rPr>
          <w:sz w:val="24"/>
          <w:szCs w:val="24"/>
        </w:rPr>
        <w:t>Estimated Annualized Burden Hours</w:t>
      </w:r>
    </w:p>
    <w:tbl>
      <w:tblPr>
        <w:tblW w:w="90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1995"/>
        <w:gridCol w:w="1440"/>
        <w:gridCol w:w="1440"/>
        <w:gridCol w:w="1440"/>
        <w:gridCol w:w="1440"/>
      </w:tblGrid>
      <w:tr w14:paraId="393BE8FD" w14:textId="77777777" w:rsidTr="00D42B44">
        <w:tblPrEx>
          <w:tblW w:w="90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335" w:type="dxa"/>
            <w:shd w:val="clear" w:color="auto" w:fill="auto"/>
            <w:vAlign w:val="center"/>
          </w:tcPr>
          <w:p w:rsidR="00485E35" w:rsidRPr="008E24FE" w:rsidP="008E24FE" w14:paraId="0ADE83AD" w14:textId="77777777">
            <w:pPr>
              <w:spacing w:line="240" w:lineRule="auto"/>
              <w:jc w:val="center"/>
              <w:rPr>
                <w:rFonts w:cstheme="minorHAnsi"/>
                <w:bCs/>
                <w:sz w:val="20"/>
                <w:szCs w:val="20"/>
              </w:rPr>
            </w:pPr>
            <w:r w:rsidRPr="008E24FE">
              <w:rPr>
                <w:rFonts w:cstheme="minorHAnsi"/>
                <w:bCs/>
                <w:sz w:val="20"/>
                <w:szCs w:val="20"/>
              </w:rPr>
              <w:t>Type of Respondent</w:t>
            </w:r>
          </w:p>
        </w:tc>
        <w:tc>
          <w:tcPr>
            <w:tcW w:w="1995" w:type="dxa"/>
            <w:shd w:val="clear" w:color="auto" w:fill="auto"/>
            <w:vAlign w:val="center"/>
          </w:tcPr>
          <w:p w:rsidR="00485E35" w:rsidRPr="008E24FE" w:rsidP="008E24FE" w14:paraId="156E4CFC" w14:textId="77777777">
            <w:pPr>
              <w:spacing w:line="240" w:lineRule="auto"/>
              <w:jc w:val="center"/>
              <w:rPr>
                <w:rFonts w:cstheme="minorHAnsi"/>
                <w:bCs/>
                <w:sz w:val="20"/>
                <w:szCs w:val="20"/>
              </w:rPr>
            </w:pPr>
            <w:r w:rsidRPr="008E24FE">
              <w:rPr>
                <w:rFonts w:cstheme="minorHAnsi"/>
                <w:bCs/>
                <w:sz w:val="20"/>
                <w:szCs w:val="20"/>
              </w:rPr>
              <w:t>Form Name</w:t>
            </w:r>
          </w:p>
        </w:tc>
        <w:tc>
          <w:tcPr>
            <w:tcW w:w="1440" w:type="dxa"/>
            <w:shd w:val="clear" w:color="auto" w:fill="auto"/>
            <w:vAlign w:val="center"/>
          </w:tcPr>
          <w:p w:rsidR="00485E35" w:rsidRPr="008E24FE" w:rsidP="008E24FE" w14:paraId="438C0E71" w14:textId="119CC1F3">
            <w:pPr>
              <w:spacing w:line="240" w:lineRule="auto"/>
              <w:jc w:val="center"/>
              <w:rPr>
                <w:rFonts w:cstheme="minorHAnsi"/>
                <w:bCs/>
                <w:sz w:val="20"/>
                <w:szCs w:val="20"/>
              </w:rPr>
            </w:pPr>
            <w:r w:rsidRPr="008E24FE">
              <w:rPr>
                <w:rFonts w:cstheme="minorHAnsi"/>
                <w:bCs/>
                <w:sz w:val="20"/>
                <w:szCs w:val="20"/>
              </w:rPr>
              <w:t>Number of Respondents</w:t>
            </w:r>
          </w:p>
        </w:tc>
        <w:tc>
          <w:tcPr>
            <w:tcW w:w="1440" w:type="dxa"/>
            <w:shd w:val="clear" w:color="auto" w:fill="auto"/>
            <w:vAlign w:val="center"/>
          </w:tcPr>
          <w:p w:rsidR="00485E35" w:rsidRPr="008E24FE" w:rsidP="008E24FE" w14:paraId="6F12EAC3" w14:textId="45C93549">
            <w:pPr>
              <w:spacing w:line="240" w:lineRule="auto"/>
              <w:jc w:val="center"/>
              <w:rPr>
                <w:rFonts w:cstheme="minorHAnsi"/>
                <w:bCs/>
                <w:sz w:val="20"/>
                <w:szCs w:val="20"/>
              </w:rPr>
            </w:pPr>
            <w:r w:rsidRPr="008E24FE">
              <w:rPr>
                <w:rFonts w:cstheme="minorHAnsi"/>
                <w:bCs/>
                <w:sz w:val="20"/>
                <w:szCs w:val="20"/>
              </w:rPr>
              <w:t>Number of Responses per Respondent</w:t>
            </w:r>
          </w:p>
        </w:tc>
        <w:tc>
          <w:tcPr>
            <w:tcW w:w="1440" w:type="dxa"/>
            <w:shd w:val="clear" w:color="auto" w:fill="auto"/>
            <w:vAlign w:val="center"/>
          </w:tcPr>
          <w:p w:rsidR="00485E35" w:rsidRPr="008E24FE" w:rsidP="008E24FE" w14:paraId="43C53DF7" w14:textId="530DF93A">
            <w:pPr>
              <w:spacing w:line="240" w:lineRule="auto"/>
              <w:jc w:val="center"/>
              <w:rPr>
                <w:rFonts w:cstheme="minorHAnsi"/>
                <w:bCs/>
                <w:sz w:val="20"/>
                <w:szCs w:val="20"/>
              </w:rPr>
            </w:pPr>
            <w:r w:rsidRPr="008E24FE">
              <w:rPr>
                <w:rFonts w:cstheme="minorHAnsi"/>
                <w:bCs/>
                <w:sz w:val="20"/>
                <w:szCs w:val="20"/>
              </w:rPr>
              <w:t>Average Burden per Response (in hr.)</w:t>
            </w:r>
          </w:p>
        </w:tc>
        <w:tc>
          <w:tcPr>
            <w:tcW w:w="1440" w:type="dxa"/>
            <w:shd w:val="clear" w:color="auto" w:fill="auto"/>
            <w:vAlign w:val="center"/>
          </w:tcPr>
          <w:p w:rsidR="00485E35" w:rsidRPr="008E24FE" w:rsidP="008E24FE" w14:paraId="00E701C7" w14:textId="77777777">
            <w:pPr>
              <w:spacing w:line="240" w:lineRule="auto"/>
              <w:jc w:val="center"/>
              <w:rPr>
                <w:rFonts w:cstheme="minorHAnsi"/>
                <w:bCs/>
                <w:sz w:val="20"/>
                <w:szCs w:val="20"/>
              </w:rPr>
            </w:pPr>
            <w:r w:rsidRPr="008E24FE">
              <w:rPr>
                <w:rFonts w:cstheme="minorHAnsi"/>
                <w:bCs/>
                <w:sz w:val="20"/>
                <w:szCs w:val="20"/>
              </w:rPr>
              <w:t>Total Burden (in hr.)</w:t>
            </w:r>
          </w:p>
        </w:tc>
      </w:tr>
      <w:tr w14:paraId="5D5BAA4E" w14:textId="77777777" w:rsidTr="003F26C6">
        <w:tblPrEx>
          <w:tblW w:w="9090" w:type="dxa"/>
          <w:tblInd w:w="175" w:type="dxa"/>
          <w:tblLayout w:type="fixed"/>
          <w:tblLook w:val="04A0"/>
        </w:tblPrEx>
        <w:tc>
          <w:tcPr>
            <w:tcW w:w="1335" w:type="dxa"/>
            <w:vMerge w:val="restart"/>
            <w:shd w:val="clear" w:color="auto" w:fill="auto"/>
            <w:vAlign w:val="center"/>
          </w:tcPr>
          <w:p w:rsidR="00485E35" w:rsidRPr="008E24FE" w:rsidP="00485E35" w14:paraId="4AEB4E6A" w14:textId="4C31266B">
            <w:pPr>
              <w:rPr>
                <w:rFonts w:cstheme="minorHAnsi"/>
                <w:bCs/>
                <w:sz w:val="20"/>
                <w:szCs w:val="20"/>
              </w:rPr>
            </w:pPr>
            <w:r w:rsidRPr="008E24FE">
              <w:rPr>
                <w:rFonts w:cstheme="minorHAnsi"/>
                <w:bCs/>
                <w:sz w:val="20"/>
                <w:szCs w:val="20"/>
              </w:rPr>
              <w:t>Environmental Health Professionals and Affiliates</w:t>
            </w:r>
          </w:p>
        </w:tc>
        <w:tc>
          <w:tcPr>
            <w:tcW w:w="1995" w:type="dxa"/>
            <w:shd w:val="clear" w:color="auto" w:fill="auto"/>
            <w:vAlign w:val="center"/>
          </w:tcPr>
          <w:p w:rsidR="00485E35" w:rsidRPr="008E24FE" w:rsidP="00485E35" w14:paraId="402C0708" w14:textId="0D7B4081">
            <w:pPr>
              <w:rPr>
                <w:rFonts w:cstheme="minorHAnsi"/>
                <w:bCs/>
                <w:sz w:val="20"/>
                <w:szCs w:val="20"/>
              </w:rPr>
            </w:pPr>
            <w:r w:rsidRPr="008E24FE">
              <w:rPr>
                <w:rFonts w:cstheme="minorHAnsi"/>
                <w:bCs/>
                <w:sz w:val="20"/>
                <w:szCs w:val="20"/>
              </w:rPr>
              <w:t xml:space="preserve">EHLR Registration </w:t>
            </w:r>
            <w:r w:rsidR="00B03FBE">
              <w:rPr>
                <w:rFonts w:cstheme="minorHAnsi"/>
                <w:bCs/>
                <w:sz w:val="20"/>
                <w:szCs w:val="20"/>
              </w:rPr>
              <w:t xml:space="preserve">Form </w:t>
            </w:r>
            <w:bookmarkStart w:id="38" w:name="_Hlk124958894"/>
            <w:r w:rsidR="00B03FBE">
              <w:rPr>
                <w:rFonts w:cstheme="minorHAnsi"/>
                <w:bCs/>
                <w:sz w:val="20"/>
                <w:szCs w:val="20"/>
              </w:rPr>
              <w:t>(Basic/</w:t>
            </w:r>
            <w:r w:rsidR="00291DE5">
              <w:rPr>
                <w:rFonts w:cstheme="minorHAnsi"/>
                <w:bCs/>
                <w:sz w:val="20"/>
                <w:szCs w:val="20"/>
              </w:rPr>
              <w:t>Immersion</w:t>
            </w:r>
            <w:r w:rsidR="00B03FBE">
              <w:rPr>
                <w:rFonts w:cstheme="minorHAnsi"/>
                <w:bCs/>
                <w:sz w:val="20"/>
                <w:szCs w:val="20"/>
              </w:rPr>
              <w:t>)</w:t>
            </w:r>
            <w:bookmarkEnd w:id="38"/>
            <w:r w:rsidR="00DD0414">
              <w:rPr>
                <w:rFonts w:cstheme="minorHAnsi"/>
                <w:bCs/>
                <w:sz w:val="20"/>
                <w:szCs w:val="20"/>
              </w:rPr>
              <w:t xml:space="preserve"> (online)</w:t>
            </w:r>
            <w:r w:rsidR="00E75692">
              <w:rPr>
                <w:rFonts w:cstheme="minorHAnsi"/>
                <w:bCs/>
                <w:sz w:val="20"/>
                <w:szCs w:val="20"/>
              </w:rPr>
              <w:t xml:space="preserve"> </w:t>
            </w:r>
          </w:p>
        </w:tc>
        <w:tc>
          <w:tcPr>
            <w:tcW w:w="1440" w:type="dxa"/>
            <w:shd w:val="clear" w:color="auto" w:fill="auto"/>
            <w:vAlign w:val="center"/>
          </w:tcPr>
          <w:p w:rsidR="00485E35" w:rsidRPr="008E24FE" w:rsidP="00D42B44" w14:paraId="7416A587" w14:textId="2F7D0524">
            <w:pPr>
              <w:jc w:val="center"/>
              <w:rPr>
                <w:rFonts w:cstheme="minorHAnsi"/>
                <w:bCs/>
                <w:sz w:val="20"/>
                <w:szCs w:val="20"/>
              </w:rPr>
            </w:pPr>
            <w:r>
              <w:rPr>
                <w:rFonts w:cstheme="minorHAnsi"/>
                <w:bCs/>
                <w:sz w:val="20"/>
                <w:szCs w:val="20"/>
              </w:rPr>
              <w:t>2</w:t>
            </w:r>
            <w:r w:rsidR="00F75D45">
              <w:rPr>
                <w:rFonts w:cstheme="minorHAnsi"/>
                <w:bCs/>
                <w:sz w:val="20"/>
                <w:szCs w:val="20"/>
              </w:rPr>
              <w:t>25</w:t>
            </w:r>
          </w:p>
        </w:tc>
        <w:tc>
          <w:tcPr>
            <w:tcW w:w="1440" w:type="dxa"/>
            <w:shd w:val="clear" w:color="auto" w:fill="auto"/>
            <w:vAlign w:val="center"/>
          </w:tcPr>
          <w:p w:rsidR="00485E35" w:rsidRPr="008E24FE" w:rsidP="00D42B44" w14:paraId="23D93444" w14:textId="77777777">
            <w:pPr>
              <w:jc w:val="center"/>
              <w:rPr>
                <w:rFonts w:cstheme="minorHAnsi"/>
                <w:bCs/>
                <w:sz w:val="20"/>
                <w:szCs w:val="20"/>
              </w:rPr>
            </w:pPr>
            <w:r w:rsidRPr="008E24FE">
              <w:rPr>
                <w:rFonts w:cstheme="minorHAnsi"/>
                <w:bCs/>
                <w:sz w:val="20"/>
                <w:szCs w:val="20"/>
              </w:rPr>
              <w:t>1</w:t>
            </w:r>
          </w:p>
        </w:tc>
        <w:tc>
          <w:tcPr>
            <w:tcW w:w="1440" w:type="dxa"/>
            <w:shd w:val="clear" w:color="auto" w:fill="auto"/>
            <w:vAlign w:val="center"/>
          </w:tcPr>
          <w:p w:rsidR="00485E35" w:rsidRPr="008E24FE" w:rsidP="00D42B44" w14:paraId="5EB6D0DE" w14:textId="6A3AFAC9">
            <w:pPr>
              <w:jc w:val="center"/>
              <w:rPr>
                <w:rFonts w:cstheme="minorHAnsi"/>
                <w:bCs/>
                <w:sz w:val="20"/>
                <w:szCs w:val="20"/>
              </w:rPr>
            </w:pPr>
            <w:r>
              <w:rPr>
                <w:rFonts w:cstheme="minorHAnsi"/>
                <w:bCs/>
                <w:sz w:val="20"/>
                <w:szCs w:val="20"/>
              </w:rPr>
              <w:t>3</w:t>
            </w:r>
            <w:r w:rsidRPr="008E24FE">
              <w:rPr>
                <w:rFonts w:cstheme="minorHAnsi"/>
                <w:bCs/>
                <w:sz w:val="20"/>
                <w:szCs w:val="20"/>
              </w:rPr>
              <w:t>/60</w:t>
            </w:r>
          </w:p>
        </w:tc>
        <w:tc>
          <w:tcPr>
            <w:tcW w:w="1440" w:type="dxa"/>
            <w:shd w:val="clear" w:color="auto" w:fill="auto"/>
            <w:vAlign w:val="center"/>
          </w:tcPr>
          <w:p w:rsidR="00485E35" w:rsidRPr="008E24FE" w:rsidP="00D42B44" w14:paraId="2677CF62" w14:textId="73B3E083">
            <w:pPr>
              <w:jc w:val="center"/>
              <w:rPr>
                <w:rFonts w:cstheme="minorHAnsi"/>
                <w:bCs/>
                <w:sz w:val="20"/>
                <w:szCs w:val="20"/>
              </w:rPr>
            </w:pPr>
            <w:r>
              <w:rPr>
                <w:rFonts w:cstheme="minorHAnsi"/>
                <w:sz w:val="20"/>
                <w:szCs w:val="20"/>
              </w:rPr>
              <w:t>1</w:t>
            </w:r>
            <w:r w:rsidR="00F75D45">
              <w:rPr>
                <w:rFonts w:cstheme="minorHAnsi"/>
                <w:sz w:val="20"/>
                <w:szCs w:val="20"/>
              </w:rPr>
              <w:t>1</w:t>
            </w:r>
          </w:p>
        </w:tc>
      </w:tr>
      <w:tr w14:paraId="5FBF544F" w14:textId="77777777" w:rsidTr="003F26C6">
        <w:tblPrEx>
          <w:tblW w:w="9090" w:type="dxa"/>
          <w:tblInd w:w="175" w:type="dxa"/>
          <w:tblLayout w:type="fixed"/>
          <w:tblLook w:val="04A0"/>
        </w:tblPrEx>
        <w:tc>
          <w:tcPr>
            <w:tcW w:w="1335" w:type="dxa"/>
            <w:vMerge/>
            <w:shd w:val="clear" w:color="auto" w:fill="auto"/>
            <w:vAlign w:val="center"/>
          </w:tcPr>
          <w:p w:rsidR="00D76336" w:rsidRPr="008E24FE" w:rsidP="00485E35" w14:paraId="184DB615" w14:textId="77777777">
            <w:pPr>
              <w:rPr>
                <w:rFonts w:cstheme="minorHAnsi"/>
                <w:bCs/>
                <w:sz w:val="20"/>
                <w:szCs w:val="20"/>
              </w:rPr>
            </w:pPr>
          </w:p>
        </w:tc>
        <w:tc>
          <w:tcPr>
            <w:tcW w:w="1995" w:type="dxa"/>
            <w:shd w:val="clear" w:color="auto" w:fill="auto"/>
            <w:vAlign w:val="center"/>
          </w:tcPr>
          <w:p w:rsidR="00D76336" w:rsidRPr="008E24FE" w:rsidP="00485E35" w14:paraId="784EFBD2" w14:textId="0CF1AC43">
            <w:pPr>
              <w:rPr>
                <w:rFonts w:cstheme="minorHAnsi"/>
                <w:bCs/>
                <w:sz w:val="20"/>
                <w:szCs w:val="20"/>
              </w:rPr>
            </w:pPr>
            <w:r>
              <w:rPr>
                <w:rFonts w:cstheme="minorHAnsi"/>
                <w:bCs/>
                <w:sz w:val="20"/>
                <w:szCs w:val="20"/>
              </w:rPr>
              <w:t>EHLR Privacy Act Opt Out Form (Basic/</w:t>
            </w:r>
            <w:r w:rsidR="00291DE5">
              <w:rPr>
                <w:rFonts w:cstheme="minorHAnsi"/>
                <w:bCs/>
                <w:sz w:val="20"/>
                <w:szCs w:val="20"/>
              </w:rPr>
              <w:t>Immersion</w:t>
            </w:r>
            <w:r>
              <w:rPr>
                <w:rFonts w:cstheme="minorHAnsi"/>
                <w:bCs/>
                <w:sz w:val="20"/>
                <w:szCs w:val="20"/>
              </w:rPr>
              <w:t>)</w:t>
            </w:r>
          </w:p>
        </w:tc>
        <w:tc>
          <w:tcPr>
            <w:tcW w:w="1440" w:type="dxa"/>
            <w:shd w:val="clear" w:color="auto" w:fill="auto"/>
            <w:vAlign w:val="center"/>
          </w:tcPr>
          <w:p w:rsidR="00D76336" w:rsidP="00D42B44" w14:paraId="091FB056" w14:textId="38E8CCCE">
            <w:pPr>
              <w:jc w:val="center"/>
              <w:rPr>
                <w:rFonts w:cstheme="minorHAnsi"/>
                <w:bCs/>
                <w:sz w:val="20"/>
                <w:szCs w:val="20"/>
              </w:rPr>
            </w:pPr>
            <w:r>
              <w:rPr>
                <w:rFonts w:cstheme="minorHAnsi"/>
                <w:bCs/>
                <w:sz w:val="20"/>
                <w:szCs w:val="20"/>
              </w:rPr>
              <w:t>11</w:t>
            </w:r>
          </w:p>
        </w:tc>
        <w:tc>
          <w:tcPr>
            <w:tcW w:w="1440" w:type="dxa"/>
            <w:shd w:val="clear" w:color="auto" w:fill="auto"/>
            <w:vAlign w:val="center"/>
          </w:tcPr>
          <w:p w:rsidR="00D76336" w:rsidRPr="008E24FE" w:rsidP="00D42B44" w14:paraId="1FBC8F43" w14:textId="5605DC18">
            <w:pPr>
              <w:jc w:val="center"/>
              <w:rPr>
                <w:rFonts w:cstheme="minorHAnsi"/>
                <w:bCs/>
                <w:sz w:val="20"/>
                <w:szCs w:val="20"/>
              </w:rPr>
            </w:pPr>
            <w:r>
              <w:rPr>
                <w:rFonts w:cstheme="minorHAnsi"/>
                <w:bCs/>
                <w:sz w:val="20"/>
                <w:szCs w:val="20"/>
              </w:rPr>
              <w:t>1</w:t>
            </w:r>
          </w:p>
        </w:tc>
        <w:tc>
          <w:tcPr>
            <w:tcW w:w="1440" w:type="dxa"/>
            <w:shd w:val="clear" w:color="auto" w:fill="auto"/>
            <w:vAlign w:val="center"/>
          </w:tcPr>
          <w:p w:rsidR="00D76336" w:rsidP="00D42B44" w14:paraId="1FD0C3C6" w14:textId="67FBD477">
            <w:pPr>
              <w:jc w:val="center"/>
              <w:rPr>
                <w:rFonts w:cstheme="minorHAnsi"/>
                <w:bCs/>
                <w:sz w:val="20"/>
                <w:szCs w:val="20"/>
              </w:rPr>
            </w:pPr>
            <w:r>
              <w:rPr>
                <w:rFonts w:cstheme="minorHAnsi"/>
                <w:bCs/>
                <w:sz w:val="20"/>
                <w:szCs w:val="20"/>
              </w:rPr>
              <w:t>1/60</w:t>
            </w:r>
          </w:p>
        </w:tc>
        <w:tc>
          <w:tcPr>
            <w:tcW w:w="1440" w:type="dxa"/>
            <w:shd w:val="clear" w:color="auto" w:fill="auto"/>
            <w:vAlign w:val="center"/>
          </w:tcPr>
          <w:p w:rsidR="00D76336" w:rsidP="00D42B44" w14:paraId="26F352E1" w14:textId="4312C4E7">
            <w:pPr>
              <w:jc w:val="center"/>
              <w:rPr>
                <w:rFonts w:cstheme="minorHAnsi"/>
                <w:sz w:val="20"/>
                <w:szCs w:val="20"/>
              </w:rPr>
            </w:pPr>
            <w:r>
              <w:rPr>
                <w:rFonts w:cstheme="minorHAnsi"/>
                <w:sz w:val="20"/>
                <w:szCs w:val="20"/>
              </w:rPr>
              <w:t>1</w:t>
            </w:r>
          </w:p>
        </w:tc>
      </w:tr>
      <w:tr w14:paraId="042C8BF2"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4377F306"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6BB31481" w14:textId="45253FE5">
            <w:pPr>
              <w:rPr>
                <w:rFonts w:cstheme="minorHAnsi"/>
                <w:bCs/>
                <w:sz w:val="20"/>
                <w:szCs w:val="20"/>
              </w:rPr>
            </w:pPr>
            <w:r>
              <w:rPr>
                <w:rFonts w:cstheme="minorHAnsi"/>
                <w:bCs/>
                <w:sz w:val="20"/>
                <w:szCs w:val="20"/>
              </w:rPr>
              <w:t xml:space="preserve">EHLR </w:t>
            </w:r>
            <w:r>
              <w:rPr>
                <w:rFonts w:cstheme="minorHAnsi"/>
                <w:bCs/>
                <w:sz w:val="20"/>
                <w:szCs w:val="20"/>
              </w:rPr>
              <w:t xml:space="preserve">Basic </w:t>
            </w:r>
            <w:r w:rsidRPr="00F73CD5">
              <w:rPr>
                <w:rFonts w:cstheme="minorHAnsi"/>
                <w:bCs/>
                <w:sz w:val="20"/>
                <w:szCs w:val="20"/>
              </w:rPr>
              <w:t xml:space="preserve">Course </w:t>
            </w:r>
            <w:r w:rsidRPr="008E24FE">
              <w:rPr>
                <w:rFonts w:cstheme="minorHAnsi"/>
                <w:bCs/>
                <w:sz w:val="20"/>
                <w:szCs w:val="20"/>
              </w:rPr>
              <w:t>Module 1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50268535" w14:textId="77777777">
            <w:pPr>
              <w:jc w:val="center"/>
              <w:rPr>
                <w:rFonts w:cstheme="minorHAnsi"/>
                <w:bCs/>
                <w:sz w:val="20"/>
                <w:szCs w:val="20"/>
              </w:rPr>
            </w:pPr>
            <w:r w:rsidRPr="008E24FE">
              <w:rPr>
                <w:rFonts w:cstheme="minorHAnsi"/>
                <w:bCs/>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0D13544"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24F56AF0" w14:textId="55C48FD8">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6144F21" w14:textId="553CE68B">
            <w:pPr>
              <w:jc w:val="center"/>
              <w:rPr>
                <w:rFonts w:cstheme="minorHAnsi"/>
                <w:bCs/>
                <w:sz w:val="20"/>
                <w:szCs w:val="20"/>
              </w:rPr>
            </w:pPr>
            <w:r>
              <w:rPr>
                <w:rFonts w:cstheme="minorHAnsi"/>
                <w:sz w:val="20"/>
                <w:szCs w:val="20"/>
              </w:rPr>
              <w:t>8</w:t>
            </w:r>
          </w:p>
        </w:tc>
      </w:tr>
      <w:tr w14:paraId="57084DDC"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1A6397F6"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79C988C3" w14:textId="49173AC4">
            <w:pPr>
              <w:rPr>
                <w:rFonts w:cstheme="minorHAnsi"/>
                <w:bCs/>
                <w:sz w:val="20"/>
                <w:szCs w:val="20"/>
              </w:rPr>
            </w:pPr>
            <w:r>
              <w:rPr>
                <w:rFonts w:cstheme="minorHAnsi"/>
                <w:bCs/>
                <w:sz w:val="20"/>
                <w:szCs w:val="20"/>
              </w:rPr>
              <w:t xml:space="preserve">EHLR </w:t>
            </w:r>
            <w:r>
              <w:rPr>
                <w:rFonts w:cstheme="minorHAnsi"/>
                <w:bCs/>
                <w:sz w:val="20"/>
                <w:szCs w:val="20"/>
              </w:rPr>
              <w:t xml:space="preserve">Basic </w:t>
            </w:r>
            <w:r w:rsidRPr="00F73CD5">
              <w:rPr>
                <w:rFonts w:cstheme="minorHAnsi"/>
                <w:bCs/>
                <w:sz w:val="20"/>
                <w:szCs w:val="20"/>
              </w:rPr>
              <w:t xml:space="preserve">Course </w:t>
            </w:r>
            <w:r w:rsidRPr="008E24FE">
              <w:rPr>
                <w:rFonts w:cstheme="minorHAnsi"/>
                <w:bCs/>
                <w:sz w:val="20"/>
                <w:szCs w:val="20"/>
              </w:rPr>
              <w:t>Module 2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3909D39" w14:textId="77777777">
            <w:pPr>
              <w:jc w:val="center"/>
              <w:rPr>
                <w:rFonts w:cstheme="minorHAnsi"/>
                <w:bCs/>
                <w:sz w:val="20"/>
                <w:szCs w:val="20"/>
              </w:rPr>
            </w:pPr>
            <w:r w:rsidRPr="008E24FE">
              <w:rPr>
                <w:rFonts w:cstheme="minorHAnsi"/>
                <w:bCs/>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1DEC5B44"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0F760517" w14:textId="6DCFF0F1">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3DADFE79" w14:textId="5D5B4330">
            <w:pPr>
              <w:jc w:val="center"/>
              <w:rPr>
                <w:rFonts w:cstheme="minorHAnsi"/>
                <w:bCs/>
                <w:sz w:val="20"/>
                <w:szCs w:val="20"/>
              </w:rPr>
            </w:pPr>
            <w:r>
              <w:rPr>
                <w:rFonts w:cstheme="minorHAnsi"/>
                <w:sz w:val="20"/>
                <w:szCs w:val="20"/>
              </w:rPr>
              <w:t>8</w:t>
            </w:r>
          </w:p>
        </w:tc>
      </w:tr>
      <w:tr w14:paraId="0ED6B0AC"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072BBAE1"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33ACFE57" w14:textId="0A65D3A4">
            <w:pPr>
              <w:rPr>
                <w:rFonts w:cstheme="minorHAnsi"/>
                <w:bCs/>
                <w:sz w:val="20"/>
                <w:szCs w:val="20"/>
              </w:rPr>
            </w:pPr>
            <w:r>
              <w:rPr>
                <w:rFonts w:cstheme="minorHAnsi"/>
                <w:bCs/>
                <w:sz w:val="20"/>
                <w:szCs w:val="20"/>
              </w:rPr>
              <w:t xml:space="preserve">EHLR </w:t>
            </w:r>
            <w:r>
              <w:rPr>
                <w:rFonts w:cstheme="minorHAnsi"/>
                <w:bCs/>
                <w:sz w:val="20"/>
                <w:szCs w:val="20"/>
              </w:rPr>
              <w:t xml:space="preserve">Basic </w:t>
            </w:r>
            <w:r w:rsidRPr="00F73CD5">
              <w:rPr>
                <w:rFonts w:cstheme="minorHAnsi"/>
                <w:bCs/>
                <w:sz w:val="20"/>
                <w:szCs w:val="20"/>
              </w:rPr>
              <w:t xml:space="preserve">Course </w:t>
            </w:r>
            <w:r w:rsidRPr="008E24FE">
              <w:rPr>
                <w:rFonts w:cstheme="minorHAnsi"/>
                <w:bCs/>
                <w:sz w:val="20"/>
                <w:szCs w:val="20"/>
              </w:rPr>
              <w:t>Module 3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0EA616B7" w14:textId="77777777">
            <w:pPr>
              <w:jc w:val="center"/>
              <w:rPr>
                <w:rFonts w:cstheme="minorHAnsi"/>
                <w:bCs/>
                <w:sz w:val="20"/>
                <w:szCs w:val="20"/>
              </w:rPr>
            </w:pPr>
            <w:r w:rsidRPr="008E24FE">
              <w:rPr>
                <w:rFonts w:cstheme="minorHAnsi"/>
                <w:bCs/>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14C22C6C"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82ED8B6" w14:textId="16288392">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383CC823" w14:textId="2B4C2F90">
            <w:pPr>
              <w:jc w:val="center"/>
              <w:rPr>
                <w:rFonts w:cstheme="minorHAnsi"/>
                <w:bCs/>
                <w:sz w:val="20"/>
                <w:szCs w:val="20"/>
              </w:rPr>
            </w:pPr>
            <w:r>
              <w:rPr>
                <w:rFonts w:cstheme="minorHAnsi"/>
                <w:sz w:val="20"/>
                <w:szCs w:val="20"/>
              </w:rPr>
              <w:t>8</w:t>
            </w:r>
          </w:p>
        </w:tc>
      </w:tr>
      <w:tr w14:paraId="14863E5D"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6C016096"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0BE3553A" w14:textId="44281D65">
            <w:pPr>
              <w:rPr>
                <w:rFonts w:cstheme="minorHAnsi"/>
                <w:bCs/>
                <w:sz w:val="20"/>
                <w:szCs w:val="20"/>
              </w:rPr>
            </w:pPr>
            <w:r>
              <w:rPr>
                <w:rFonts w:cstheme="minorHAnsi"/>
                <w:bCs/>
                <w:sz w:val="20"/>
                <w:szCs w:val="20"/>
              </w:rPr>
              <w:t xml:space="preserve">EHLR </w:t>
            </w:r>
            <w:r>
              <w:rPr>
                <w:rFonts w:cstheme="minorHAnsi"/>
                <w:bCs/>
                <w:sz w:val="20"/>
                <w:szCs w:val="20"/>
              </w:rPr>
              <w:t xml:space="preserve">Basic </w:t>
            </w:r>
            <w:r w:rsidRPr="00F73CD5">
              <w:rPr>
                <w:rFonts w:cstheme="minorHAnsi"/>
                <w:bCs/>
                <w:sz w:val="20"/>
                <w:szCs w:val="20"/>
              </w:rPr>
              <w:t xml:space="preserve">Course </w:t>
            </w:r>
            <w:r w:rsidRPr="008E24FE">
              <w:rPr>
                <w:rFonts w:cstheme="minorHAnsi"/>
                <w:bCs/>
                <w:sz w:val="20"/>
                <w:szCs w:val="20"/>
              </w:rPr>
              <w:t>Module 4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2B4959EE" w14:textId="77777777">
            <w:pPr>
              <w:jc w:val="center"/>
              <w:rPr>
                <w:rFonts w:cstheme="minorHAnsi"/>
                <w:bCs/>
                <w:sz w:val="20"/>
                <w:szCs w:val="20"/>
              </w:rPr>
            </w:pPr>
            <w:r w:rsidRPr="008E24FE">
              <w:rPr>
                <w:rFonts w:cstheme="minorHAnsi"/>
                <w:bCs/>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380BBA5B"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34F9060F" w14:textId="08CFED2C">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506A2E7C" w14:textId="2BCA7938">
            <w:pPr>
              <w:jc w:val="center"/>
              <w:rPr>
                <w:rFonts w:cstheme="minorHAnsi"/>
                <w:bCs/>
                <w:sz w:val="20"/>
                <w:szCs w:val="20"/>
              </w:rPr>
            </w:pPr>
            <w:r>
              <w:rPr>
                <w:rFonts w:cstheme="minorHAnsi"/>
                <w:sz w:val="20"/>
                <w:szCs w:val="20"/>
              </w:rPr>
              <w:t>8</w:t>
            </w:r>
          </w:p>
        </w:tc>
      </w:tr>
      <w:tr w14:paraId="474EAB5B"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67805F3E"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42D2C196" w14:textId="60BAF725">
            <w:pPr>
              <w:rPr>
                <w:rFonts w:cstheme="minorHAnsi"/>
                <w:bCs/>
                <w:sz w:val="20"/>
                <w:szCs w:val="20"/>
              </w:rPr>
            </w:pPr>
            <w:r>
              <w:rPr>
                <w:rFonts w:cstheme="minorHAnsi"/>
                <w:bCs/>
                <w:sz w:val="20"/>
                <w:szCs w:val="20"/>
              </w:rPr>
              <w:t xml:space="preserve">EHLR </w:t>
            </w:r>
            <w:r>
              <w:rPr>
                <w:rFonts w:cstheme="minorHAnsi"/>
                <w:bCs/>
                <w:sz w:val="20"/>
                <w:szCs w:val="20"/>
              </w:rPr>
              <w:t xml:space="preserve">Basic </w:t>
            </w:r>
            <w:r w:rsidRPr="00F73CD5">
              <w:rPr>
                <w:rFonts w:cstheme="minorHAnsi"/>
                <w:bCs/>
                <w:sz w:val="20"/>
                <w:szCs w:val="20"/>
              </w:rPr>
              <w:t xml:space="preserve">Course </w:t>
            </w:r>
            <w:r w:rsidRPr="008E24FE">
              <w:rPr>
                <w:rFonts w:cstheme="minorHAnsi"/>
                <w:bCs/>
                <w:sz w:val="20"/>
                <w:szCs w:val="20"/>
              </w:rPr>
              <w:t>Module 5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2A597F32" w14:textId="77777777">
            <w:pPr>
              <w:jc w:val="center"/>
              <w:rPr>
                <w:rFonts w:cstheme="minorHAnsi"/>
                <w:bCs/>
                <w:sz w:val="20"/>
                <w:szCs w:val="20"/>
              </w:rPr>
            </w:pPr>
            <w:r w:rsidRPr="008E24FE">
              <w:rPr>
                <w:rFonts w:cstheme="minorHAnsi"/>
                <w:bCs/>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67163A0"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0707CF63" w14:textId="77FDB1FB">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51ABCFC5" w14:textId="5AA1CFEF">
            <w:pPr>
              <w:jc w:val="center"/>
              <w:rPr>
                <w:rFonts w:cstheme="minorHAnsi"/>
                <w:bCs/>
                <w:sz w:val="20"/>
                <w:szCs w:val="20"/>
              </w:rPr>
            </w:pPr>
            <w:r>
              <w:rPr>
                <w:rFonts w:cstheme="minorHAnsi"/>
                <w:sz w:val="20"/>
                <w:szCs w:val="20"/>
              </w:rPr>
              <w:t>8</w:t>
            </w:r>
          </w:p>
        </w:tc>
      </w:tr>
      <w:tr w14:paraId="1433CDC1"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40FB8282"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0BCA8BC6" w14:textId="71556B88">
            <w:pPr>
              <w:rPr>
                <w:rFonts w:cstheme="minorHAnsi"/>
                <w:bCs/>
                <w:sz w:val="20"/>
                <w:szCs w:val="20"/>
              </w:rPr>
            </w:pPr>
            <w:r>
              <w:rPr>
                <w:rFonts w:cstheme="minorHAnsi"/>
                <w:bCs/>
                <w:sz w:val="20"/>
                <w:szCs w:val="20"/>
              </w:rPr>
              <w:t xml:space="preserve">EHLR </w:t>
            </w:r>
            <w:r w:rsidR="00291DE5">
              <w:rPr>
                <w:rFonts w:cstheme="minorHAnsi"/>
                <w:bCs/>
                <w:sz w:val="20"/>
                <w:szCs w:val="20"/>
              </w:rPr>
              <w:t>Immersion</w:t>
            </w:r>
            <w:r w:rsidRPr="008E24FE">
              <w:rPr>
                <w:rFonts w:cstheme="minorHAnsi"/>
                <w:bCs/>
                <w:sz w:val="20"/>
                <w:szCs w:val="20"/>
              </w:rPr>
              <w:t xml:space="preserve"> Module 1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460D689" w14:textId="3E5F63BD">
            <w:pPr>
              <w:jc w:val="center"/>
              <w:rPr>
                <w:rFonts w:cstheme="minorHAnsi"/>
                <w:bCs/>
                <w:sz w:val="20"/>
                <w:szCs w:val="20"/>
              </w:rPr>
            </w:pPr>
            <w:r>
              <w:rPr>
                <w:rFonts w:cstheme="minorHAnsi"/>
                <w:bCs/>
                <w:sz w:val="20"/>
                <w:szCs w:val="20"/>
              </w:rPr>
              <w:t>1</w:t>
            </w:r>
            <w:r w:rsidRPr="008E24FE">
              <w:rPr>
                <w:rFonts w:cstheme="minorHAnsi"/>
                <w:bCs/>
                <w:sz w:val="20"/>
                <w:szCs w:val="20"/>
              </w:rPr>
              <w:t>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2133B08"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6CC8615" w14:textId="77777777">
            <w:pPr>
              <w:jc w:val="center"/>
              <w:rPr>
                <w:rFonts w:cstheme="minorHAnsi"/>
                <w:bCs/>
                <w:sz w:val="20"/>
                <w:szCs w:val="20"/>
              </w:rPr>
            </w:pPr>
            <w:r w:rsidRPr="008E24FE">
              <w:rPr>
                <w:rFonts w:cstheme="minorHAnsi"/>
                <w:bCs/>
                <w:sz w:val="20"/>
                <w:szCs w:val="20"/>
              </w:rPr>
              <w:t>15/60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1F40CE37" w14:textId="5A1EF964">
            <w:pPr>
              <w:jc w:val="center"/>
              <w:rPr>
                <w:rFonts w:cstheme="minorHAnsi"/>
                <w:bCs/>
                <w:sz w:val="20"/>
                <w:szCs w:val="20"/>
              </w:rPr>
            </w:pPr>
            <w:r w:rsidRPr="008E24FE">
              <w:rPr>
                <w:rFonts w:cstheme="minorHAnsi"/>
                <w:sz w:val="20"/>
                <w:szCs w:val="20"/>
              </w:rPr>
              <w:t>31</w:t>
            </w:r>
          </w:p>
        </w:tc>
      </w:tr>
      <w:tr w14:paraId="1561628C" w14:textId="77777777" w:rsidTr="003F26C6">
        <w:tblPrEx>
          <w:tblW w:w="9090" w:type="dxa"/>
          <w:tblInd w:w="175" w:type="dxa"/>
          <w:tblLayout w:type="fixed"/>
          <w:tblLook w:val="04A0"/>
        </w:tblPrEx>
        <w:tc>
          <w:tcPr>
            <w:tcW w:w="1335" w:type="dxa"/>
            <w:vMerge/>
            <w:shd w:val="clear" w:color="auto" w:fill="auto"/>
            <w:vAlign w:val="center"/>
          </w:tcPr>
          <w:p w:rsidR="00DD0414" w:rsidRPr="008E24FE" w:rsidP="00DD0414" w14:paraId="22691A51"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3523478E" w14:textId="12647EA5">
            <w:pPr>
              <w:rPr>
                <w:rFonts w:cstheme="minorHAnsi"/>
                <w:bCs/>
                <w:sz w:val="20"/>
                <w:szCs w:val="20"/>
              </w:rPr>
            </w:pPr>
            <w:r>
              <w:rPr>
                <w:rFonts w:cstheme="minorHAnsi"/>
                <w:bCs/>
                <w:sz w:val="20"/>
                <w:szCs w:val="20"/>
              </w:rPr>
              <w:t xml:space="preserve">EHLR </w:t>
            </w:r>
            <w:r w:rsidR="00291DE5">
              <w:rPr>
                <w:rFonts w:cstheme="minorHAnsi"/>
                <w:bCs/>
                <w:sz w:val="20"/>
                <w:szCs w:val="20"/>
              </w:rPr>
              <w:t>Immersion</w:t>
            </w:r>
            <w:r w:rsidRPr="008E24FE">
              <w:rPr>
                <w:rFonts w:cstheme="minorHAnsi"/>
                <w:bCs/>
                <w:sz w:val="20"/>
                <w:szCs w:val="20"/>
              </w:rPr>
              <w:t xml:space="preserve"> Module 2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257CD9EB" w14:textId="6C8225AB">
            <w:pPr>
              <w:jc w:val="center"/>
              <w:rPr>
                <w:rFonts w:cstheme="minorHAnsi"/>
                <w:bCs/>
                <w:sz w:val="20"/>
                <w:szCs w:val="20"/>
              </w:rPr>
            </w:pPr>
            <w:r>
              <w:rPr>
                <w:rFonts w:cstheme="minorHAnsi"/>
                <w:bCs/>
                <w:sz w:val="20"/>
                <w:szCs w:val="20"/>
              </w:rPr>
              <w:t>1</w:t>
            </w:r>
            <w:r w:rsidRPr="008E24FE">
              <w:rPr>
                <w:rFonts w:cstheme="minorHAnsi"/>
                <w:bCs/>
                <w:sz w:val="20"/>
                <w:szCs w:val="20"/>
              </w:rPr>
              <w:t>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1C0E337"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1FD97C77" w14:textId="77777777">
            <w:pPr>
              <w:jc w:val="center"/>
              <w:rPr>
                <w:rFonts w:cstheme="minorHAnsi"/>
                <w:bCs/>
                <w:sz w:val="20"/>
                <w:szCs w:val="20"/>
              </w:rPr>
            </w:pPr>
            <w:r w:rsidRPr="008E24FE">
              <w:rPr>
                <w:rFonts w:cstheme="minorHAnsi"/>
                <w:bCs/>
                <w:sz w:val="20"/>
                <w:szCs w:val="20"/>
              </w:rPr>
              <w:t>15/60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5889FA5" w14:textId="7D038353">
            <w:pPr>
              <w:jc w:val="center"/>
              <w:rPr>
                <w:rFonts w:cstheme="minorHAnsi"/>
                <w:bCs/>
                <w:sz w:val="20"/>
                <w:szCs w:val="20"/>
              </w:rPr>
            </w:pPr>
            <w:r w:rsidRPr="008E24FE">
              <w:rPr>
                <w:rFonts w:cstheme="minorHAnsi"/>
                <w:sz w:val="20"/>
                <w:szCs w:val="20"/>
              </w:rPr>
              <w:t>31</w:t>
            </w:r>
          </w:p>
        </w:tc>
      </w:tr>
      <w:tr w14:paraId="195110BE" w14:textId="77777777" w:rsidTr="003F26C6">
        <w:tblPrEx>
          <w:tblW w:w="9090" w:type="dxa"/>
          <w:tblInd w:w="175" w:type="dxa"/>
          <w:tblLayout w:type="fixed"/>
          <w:tblLook w:val="04A0"/>
        </w:tblPrEx>
        <w:tc>
          <w:tcPr>
            <w:tcW w:w="1335" w:type="dxa"/>
            <w:vMerge/>
            <w:tcBorders>
              <w:bottom w:val="single" w:sz="4" w:space="0" w:color="auto"/>
            </w:tcBorders>
            <w:shd w:val="clear" w:color="auto" w:fill="auto"/>
            <w:vAlign w:val="center"/>
          </w:tcPr>
          <w:p w:rsidR="00DD0414" w:rsidRPr="008E24FE" w:rsidP="00DD0414" w14:paraId="540E5406" w14:textId="77777777">
            <w:pPr>
              <w:rPr>
                <w:rFonts w:cstheme="minorHAnsi"/>
                <w:bCs/>
                <w:sz w:val="20"/>
                <w:szCs w:val="20"/>
              </w:rPr>
            </w:pPr>
          </w:p>
        </w:tc>
        <w:tc>
          <w:tcPr>
            <w:tcW w:w="1995" w:type="dxa"/>
            <w:tcBorders>
              <w:top w:val="single" w:sz="4" w:space="0" w:color="auto"/>
              <w:bottom w:val="single" w:sz="4" w:space="0" w:color="auto"/>
              <w:right w:val="single" w:sz="4" w:space="0" w:color="auto"/>
            </w:tcBorders>
            <w:shd w:val="clear" w:color="auto" w:fill="auto"/>
            <w:vAlign w:val="center"/>
          </w:tcPr>
          <w:p w:rsidR="00DD0414" w:rsidRPr="008E24FE" w:rsidP="00DD0414" w14:paraId="44BA48BD" w14:textId="292C88EB">
            <w:pPr>
              <w:rPr>
                <w:rFonts w:cstheme="minorHAnsi"/>
                <w:bCs/>
                <w:sz w:val="20"/>
                <w:szCs w:val="20"/>
              </w:rPr>
            </w:pPr>
            <w:r>
              <w:rPr>
                <w:rFonts w:cstheme="minorHAnsi"/>
                <w:bCs/>
                <w:sz w:val="20"/>
                <w:szCs w:val="20"/>
              </w:rPr>
              <w:t xml:space="preserve">EHLR </w:t>
            </w:r>
            <w:r w:rsidR="00291DE5">
              <w:rPr>
                <w:rFonts w:cstheme="minorHAnsi"/>
                <w:bCs/>
                <w:sz w:val="20"/>
                <w:szCs w:val="20"/>
              </w:rPr>
              <w:t>Immersion</w:t>
            </w:r>
            <w:r w:rsidRPr="008E24FE">
              <w:rPr>
                <w:rFonts w:cstheme="minorHAnsi"/>
                <w:bCs/>
                <w:sz w:val="20"/>
                <w:szCs w:val="20"/>
              </w:rPr>
              <w:t xml:space="preserve"> Module 3 Self-assessment</w:t>
            </w:r>
            <w:r w:rsidR="00867B35">
              <w:rPr>
                <w:rFonts w:cstheme="minorHAnsi"/>
                <w:bCs/>
                <w:sz w:val="20"/>
                <w:szCs w:val="20"/>
              </w:rPr>
              <w:t xml:space="preserve"> (online)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39855D57" w14:textId="77777777">
            <w:pPr>
              <w:jc w:val="center"/>
              <w:rPr>
                <w:rFonts w:cstheme="minorHAnsi"/>
                <w:bCs/>
                <w:sz w:val="20"/>
                <w:szCs w:val="20"/>
              </w:rPr>
            </w:pPr>
            <w:r w:rsidRPr="008E24FE">
              <w:rPr>
                <w:rFonts w:cstheme="minorHAnsi"/>
                <w:bCs/>
                <w:sz w:val="20"/>
                <w:szCs w:val="20"/>
              </w:rPr>
              <w:t>125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C5AB4E9" w14:textId="77777777">
            <w:pPr>
              <w:jc w:val="center"/>
              <w:rPr>
                <w:rFonts w:cstheme="minorHAnsi"/>
                <w:bCs/>
                <w:sz w:val="20"/>
                <w:szCs w:val="20"/>
              </w:rPr>
            </w:pPr>
            <w:r w:rsidRPr="008E24FE">
              <w:rPr>
                <w:rFonts w:cstheme="minorHAnsi"/>
                <w:bCs/>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EDB3479" w14:textId="77777777">
            <w:pPr>
              <w:jc w:val="center"/>
              <w:rPr>
                <w:rFonts w:cstheme="minorHAnsi"/>
                <w:bCs/>
                <w:sz w:val="20"/>
                <w:szCs w:val="20"/>
              </w:rPr>
            </w:pPr>
            <w:r w:rsidRPr="008E24FE">
              <w:rPr>
                <w:rFonts w:cstheme="minorHAnsi"/>
                <w:bCs/>
                <w:sz w:val="20"/>
                <w:szCs w:val="20"/>
              </w:rPr>
              <w:t>15/60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A78DA07" w14:textId="359689A3">
            <w:pPr>
              <w:jc w:val="center"/>
              <w:rPr>
                <w:rFonts w:cstheme="minorHAnsi"/>
                <w:bCs/>
                <w:sz w:val="20"/>
                <w:szCs w:val="20"/>
              </w:rPr>
            </w:pPr>
            <w:r w:rsidRPr="008E24FE">
              <w:rPr>
                <w:rFonts w:cstheme="minorHAnsi"/>
                <w:sz w:val="20"/>
                <w:szCs w:val="20"/>
              </w:rPr>
              <w:t>31</w:t>
            </w:r>
          </w:p>
        </w:tc>
      </w:tr>
      <w:tr w14:paraId="6EDE855C" w14:textId="77777777" w:rsidTr="003F26C6">
        <w:tblPrEx>
          <w:tblW w:w="9090" w:type="dxa"/>
          <w:tblInd w:w="175" w:type="dxa"/>
          <w:tblLayout w:type="fixed"/>
          <w:tblLook w:val="04A0"/>
        </w:tblPrEx>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D0414" w14:paraId="55FC0677" w14:textId="77777777">
            <w:pPr>
              <w:rPr>
                <w:rFonts w:cstheme="minorHAnsi"/>
                <w:bCs/>
                <w:sz w:val="20"/>
                <w:szCs w:val="20"/>
              </w:rPr>
            </w:pPr>
            <w:r w:rsidRPr="008E24FE">
              <w:rPr>
                <w:rFonts w:cstheme="minorHAnsi"/>
                <w:bCs/>
                <w:sz w:val="20"/>
                <w:szCs w:val="20"/>
              </w:rPr>
              <w:t>Total</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D0414" w14:paraId="4090DAF9" w14:textId="77777777">
            <w:pPr>
              <w:rPr>
                <w:rFonts w:cs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102D50D6" w14:textId="77777777">
            <w:pPr>
              <w:jc w:val="center"/>
              <w:rPr>
                <w:rFonts w:cs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3582D512" w14:textId="77777777">
            <w:pPr>
              <w:jc w:val="center"/>
              <w:rPr>
                <w:rFonts w:cs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7734D745" w14:textId="77777777">
            <w:pPr>
              <w:jc w:val="center"/>
              <w:rPr>
                <w:rFonts w:cstheme="minorHAnsi"/>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D0414" w:rsidRPr="008E24FE" w:rsidP="00D42B44" w14:paraId="41337A10" w14:textId="178D8545">
            <w:pPr>
              <w:jc w:val="center"/>
              <w:rPr>
                <w:rFonts w:cstheme="minorHAnsi"/>
                <w:bCs/>
                <w:sz w:val="20"/>
                <w:szCs w:val="20"/>
              </w:rPr>
            </w:pPr>
            <w:r>
              <w:rPr>
                <w:rFonts w:cstheme="minorHAnsi"/>
                <w:sz w:val="20"/>
                <w:szCs w:val="20"/>
              </w:rPr>
              <w:t>14</w:t>
            </w:r>
            <w:r w:rsidR="00C006AD">
              <w:rPr>
                <w:rFonts w:cstheme="minorHAnsi"/>
                <w:sz w:val="20"/>
                <w:szCs w:val="20"/>
              </w:rPr>
              <w:t>5</w:t>
            </w:r>
          </w:p>
        </w:tc>
      </w:tr>
    </w:tbl>
    <w:p w:rsidR="00E9608B" w:rsidP="00ED72E9" w14:paraId="1FFA21BE" w14:textId="00B72F1F"/>
    <w:p w:rsidR="00E9608B" w:rsidRPr="008E24FE" w:rsidP="78D3267D" w14:paraId="51ABCB65" w14:textId="08B2F40B">
      <w:pPr>
        <w:shd w:val="clear" w:color="auto" w:fill="FFFFFF" w:themeFill="background1"/>
        <w:spacing w:after="0" w:line="334" w:lineRule="atLeast"/>
        <w:rPr>
          <w:color w:val="333333"/>
          <w:sz w:val="24"/>
          <w:szCs w:val="24"/>
        </w:rPr>
      </w:pPr>
      <w:r w:rsidRPr="78D3267D">
        <w:rPr>
          <w:sz w:val="24"/>
          <w:szCs w:val="24"/>
        </w:rPr>
        <w:t xml:space="preserve">ATSDR uses the U.S. Department of Labor National Occupational Employment and Wage estimates, available at  </w:t>
      </w:r>
      <w:r w:rsidRPr="00064E76">
        <w:rPr>
          <w:color w:val="0070C0"/>
          <w:sz w:val="24"/>
          <w:szCs w:val="24"/>
        </w:rPr>
        <w:t xml:space="preserve"> </w:t>
      </w:r>
      <w:hyperlink r:id="rId14" w:history="1">
        <w:r w:rsidRPr="00064E76">
          <w:rPr>
            <w:rStyle w:val="Hyperlink"/>
            <w:color w:val="0070C0"/>
            <w:sz w:val="24"/>
            <w:szCs w:val="24"/>
          </w:rPr>
          <w:t>https://www.bls.gov/oes/tables.htm</w:t>
        </w:r>
      </w:hyperlink>
      <w:r w:rsidRPr="78D3267D">
        <w:rPr>
          <w:sz w:val="24"/>
          <w:szCs w:val="24"/>
        </w:rPr>
        <w:t xml:space="preserve"> which posts estimates in the United States website</w:t>
      </w:r>
      <w:sdt>
        <w:sdtPr>
          <w:rPr>
            <w:sz w:val="24"/>
            <w:szCs w:val="24"/>
          </w:rPr>
          <w:id w:val="-74044975"/>
          <w:lock w:val="contentLocked"/>
          <w:placeholder>
            <w:docPart w:val="DefaultPlaceholder_1081868574"/>
          </w:placeholder>
          <w:citation/>
        </w:sdtPr>
        <w:sdtContent>
          <w:r w:rsidRPr="78D3267D" w:rsidR="00123AD3">
            <w:rPr>
              <w:sz w:val="24"/>
              <w:szCs w:val="24"/>
            </w:rPr>
            <w:fldChar w:fldCharType="begin"/>
          </w:r>
          <w:r w:rsidRPr="78D3267D" w:rsidR="00123AD3">
            <w:rPr>
              <w:sz w:val="24"/>
              <w:szCs w:val="24"/>
            </w:rPr>
            <w:instrText xml:space="preserve">CITATION Uni16 \l 1033 </w:instrText>
          </w:r>
          <w:r w:rsidRPr="78D3267D" w:rsidR="00123AD3">
            <w:rPr>
              <w:sz w:val="24"/>
              <w:szCs w:val="24"/>
            </w:rPr>
            <w:fldChar w:fldCharType="separate"/>
          </w:r>
          <w:r w:rsidR="008C6AFE">
            <w:rPr>
              <w:noProof/>
              <w:sz w:val="24"/>
              <w:szCs w:val="24"/>
            </w:rPr>
            <w:t xml:space="preserve"> </w:t>
          </w:r>
          <w:r w:rsidRPr="008C6AFE" w:rsidR="008C6AFE">
            <w:rPr>
              <w:noProof/>
              <w:sz w:val="24"/>
              <w:szCs w:val="24"/>
            </w:rPr>
            <w:t>(United States Department of Labor, 2022)</w:t>
          </w:r>
          <w:r w:rsidRPr="78D3267D" w:rsidR="00123AD3">
            <w:rPr>
              <w:sz w:val="24"/>
              <w:szCs w:val="24"/>
            </w:rPr>
            <w:fldChar w:fldCharType="end"/>
          </w:r>
        </w:sdtContent>
      </w:sdt>
      <w:r w:rsidRPr="78D3267D">
        <w:rPr>
          <w:sz w:val="24"/>
          <w:szCs w:val="24"/>
        </w:rPr>
        <w:t xml:space="preserve"> for median hourly wages for a variety of occupations. ATSDR selected the </w:t>
      </w:r>
      <w:r w:rsidR="000E142C">
        <w:rPr>
          <w:sz w:val="24"/>
          <w:szCs w:val="24"/>
        </w:rPr>
        <w:t>median</w:t>
      </w:r>
      <w:r w:rsidRPr="78D3267D" w:rsidR="000E142C">
        <w:rPr>
          <w:sz w:val="24"/>
          <w:szCs w:val="24"/>
        </w:rPr>
        <w:t xml:space="preserve"> </w:t>
      </w:r>
      <w:r w:rsidRPr="78D3267D">
        <w:rPr>
          <w:sz w:val="24"/>
          <w:szCs w:val="24"/>
        </w:rPr>
        <w:t>hourly wage of $36.7</w:t>
      </w:r>
      <w:r w:rsidR="000E142C">
        <w:rPr>
          <w:sz w:val="24"/>
          <w:szCs w:val="24"/>
        </w:rPr>
        <w:t>7</w:t>
      </w:r>
      <w:r w:rsidRPr="78D3267D">
        <w:rPr>
          <w:sz w:val="24"/>
          <w:szCs w:val="24"/>
        </w:rPr>
        <w:t xml:space="preserve"> for </w:t>
      </w:r>
      <w:r w:rsidRPr="78D3267D" w:rsidR="04435AF6">
        <w:rPr>
          <w:sz w:val="24"/>
          <w:szCs w:val="24"/>
        </w:rPr>
        <w:t>“</w:t>
      </w:r>
      <w:r w:rsidRPr="78D3267D" w:rsidR="04435AF6">
        <w:rPr>
          <w:color w:val="333333"/>
          <w:sz w:val="24"/>
          <w:szCs w:val="24"/>
        </w:rPr>
        <w:t>19-2041  </w:t>
      </w:r>
      <w:hyperlink r:id="rId15" w:history="1">
        <w:r w:rsidRPr="00064E76" w:rsidR="04435AF6">
          <w:rPr>
            <w:rStyle w:val="Hyperlink"/>
            <w:color w:val="0070C0"/>
            <w:sz w:val="24"/>
            <w:szCs w:val="24"/>
          </w:rPr>
          <w:t>Environmental Scientists and Specialists, Including Health</w:t>
        </w:r>
      </w:hyperlink>
      <w:r w:rsidRPr="78D3267D" w:rsidR="04435AF6">
        <w:rPr>
          <w:color w:val="333333"/>
          <w:sz w:val="24"/>
          <w:szCs w:val="24"/>
        </w:rPr>
        <w:t xml:space="preserve">” </w:t>
      </w:r>
      <w:r w:rsidRPr="78D3267D">
        <w:rPr>
          <w:sz w:val="24"/>
          <w:szCs w:val="24"/>
        </w:rPr>
        <w:t>as representative of the professionals who may participate in the certification course.</w:t>
      </w:r>
      <w:r w:rsidRPr="78D3267D" w:rsidR="608AFDE7">
        <w:rPr>
          <w:sz w:val="24"/>
          <w:szCs w:val="24"/>
        </w:rPr>
        <w:t xml:space="preserve">  </w:t>
      </w:r>
    </w:p>
    <w:p w:rsidR="00B54CA7" w:rsidP="00ED72E9" w14:paraId="62BFE2B9" w14:textId="77777777">
      <w:pPr>
        <w:rPr>
          <w:sz w:val="24"/>
          <w:szCs w:val="24"/>
        </w:rPr>
      </w:pPr>
    </w:p>
    <w:p w:rsidR="004E1582" w:rsidP="004E1582" w14:paraId="1E3BA847" w14:textId="04ECB0D8">
      <w:pPr>
        <w:rPr>
          <w:sz w:val="24"/>
          <w:szCs w:val="24"/>
        </w:rPr>
      </w:pPr>
      <w:r w:rsidRPr="004E1582">
        <w:rPr>
          <w:sz w:val="24"/>
          <w:szCs w:val="24"/>
        </w:rPr>
        <w:t>Table 12.2 Estimated Annualized Burden Costs</w:t>
      </w:r>
    </w:p>
    <w:tbl>
      <w:tblPr>
        <w:tblW w:w="90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1313"/>
        <w:gridCol w:w="1296"/>
        <w:gridCol w:w="1296"/>
        <w:gridCol w:w="1296"/>
        <w:gridCol w:w="1296"/>
        <w:gridCol w:w="1296"/>
      </w:tblGrid>
      <w:tr w14:paraId="6C74C474" w14:textId="77777777" w:rsidTr="00E75692">
        <w:tblPrEx>
          <w:tblW w:w="90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97" w:type="dxa"/>
            <w:shd w:val="clear" w:color="auto" w:fill="auto"/>
            <w:vAlign w:val="center"/>
          </w:tcPr>
          <w:p w:rsidR="00AF27BC" w:rsidRPr="00AF27BC" w:rsidP="00BF1BC3" w14:paraId="17B6E8C3" w14:textId="77777777">
            <w:pPr>
              <w:rPr>
                <w:rFonts w:cstheme="minorHAnsi"/>
                <w:bCs/>
                <w:sz w:val="20"/>
                <w:szCs w:val="20"/>
              </w:rPr>
            </w:pPr>
            <w:r w:rsidRPr="00AF27BC">
              <w:rPr>
                <w:rFonts w:cstheme="minorHAnsi"/>
                <w:bCs/>
                <w:sz w:val="20"/>
                <w:szCs w:val="20"/>
              </w:rPr>
              <w:t>Type of Respondent</w:t>
            </w:r>
          </w:p>
        </w:tc>
        <w:tc>
          <w:tcPr>
            <w:tcW w:w="1313" w:type="dxa"/>
            <w:shd w:val="clear" w:color="auto" w:fill="auto"/>
            <w:vAlign w:val="center"/>
          </w:tcPr>
          <w:p w:rsidR="00AF27BC" w:rsidRPr="00AF27BC" w:rsidP="00BF1BC3" w14:paraId="5F0C2D92" w14:textId="77777777">
            <w:pPr>
              <w:rPr>
                <w:rFonts w:cstheme="minorHAnsi"/>
                <w:bCs/>
                <w:sz w:val="20"/>
                <w:szCs w:val="20"/>
              </w:rPr>
            </w:pPr>
            <w:r w:rsidRPr="00AF27BC">
              <w:rPr>
                <w:rFonts w:cstheme="minorHAnsi"/>
                <w:bCs/>
                <w:sz w:val="20"/>
                <w:szCs w:val="20"/>
              </w:rPr>
              <w:t>Form Name</w:t>
            </w:r>
          </w:p>
        </w:tc>
        <w:tc>
          <w:tcPr>
            <w:tcW w:w="1296" w:type="dxa"/>
            <w:shd w:val="clear" w:color="auto" w:fill="auto"/>
            <w:vAlign w:val="center"/>
          </w:tcPr>
          <w:p w:rsidR="00AF27BC" w:rsidRPr="00AF27BC" w:rsidP="008E24FE" w14:paraId="713D24BC" w14:textId="6CD6B846">
            <w:pPr>
              <w:jc w:val="center"/>
              <w:rPr>
                <w:rFonts w:cstheme="minorHAnsi"/>
                <w:bCs/>
                <w:sz w:val="20"/>
                <w:szCs w:val="20"/>
              </w:rPr>
            </w:pPr>
            <w:r w:rsidRPr="00AF27BC">
              <w:rPr>
                <w:rFonts w:cstheme="minorHAnsi"/>
                <w:bCs/>
                <w:sz w:val="20"/>
                <w:szCs w:val="20"/>
              </w:rPr>
              <w:t>Number of Respondents</w:t>
            </w:r>
          </w:p>
        </w:tc>
        <w:tc>
          <w:tcPr>
            <w:tcW w:w="1296" w:type="dxa"/>
            <w:shd w:val="clear" w:color="auto" w:fill="auto"/>
            <w:vAlign w:val="center"/>
          </w:tcPr>
          <w:p w:rsidR="00AF27BC" w:rsidRPr="00AF27BC" w:rsidP="008E24FE" w14:paraId="51B73350" w14:textId="6E4875A9">
            <w:pPr>
              <w:jc w:val="center"/>
              <w:rPr>
                <w:rFonts w:cstheme="minorHAnsi"/>
                <w:bCs/>
                <w:sz w:val="20"/>
                <w:szCs w:val="20"/>
              </w:rPr>
            </w:pPr>
            <w:r w:rsidRPr="00AF27BC">
              <w:rPr>
                <w:rFonts w:cstheme="minorHAnsi"/>
                <w:bCs/>
                <w:sz w:val="20"/>
                <w:szCs w:val="20"/>
              </w:rPr>
              <w:t>Number of Responses per Respondent</w:t>
            </w:r>
          </w:p>
        </w:tc>
        <w:tc>
          <w:tcPr>
            <w:tcW w:w="1296" w:type="dxa"/>
            <w:shd w:val="clear" w:color="auto" w:fill="auto"/>
            <w:vAlign w:val="center"/>
          </w:tcPr>
          <w:p w:rsidR="00AF27BC" w:rsidRPr="00AF27BC" w:rsidP="008E24FE" w14:paraId="7C385701" w14:textId="07F21CD3">
            <w:pPr>
              <w:jc w:val="center"/>
              <w:rPr>
                <w:rFonts w:cstheme="minorHAnsi"/>
                <w:bCs/>
                <w:sz w:val="20"/>
                <w:szCs w:val="20"/>
              </w:rPr>
            </w:pPr>
            <w:r w:rsidRPr="00AF27BC">
              <w:rPr>
                <w:rFonts w:cstheme="minorHAnsi"/>
                <w:bCs/>
                <w:sz w:val="20"/>
                <w:szCs w:val="20"/>
              </w:rPr>
              <w:t>Average Burden per Response (in hr.)</w:t>
            </w:r>
          </w:p>
        </w:tc>
        <w:tc>
          <w:tcPr>
            <w:tcW w:w="1296" w:type="dxa"/>
            <w:vAlign w:val="center"/>
          </w:tcPr>
          <w:p w:rsidR="00AF27BC" w:rsidRPr="00AF27BC" w:rsidP="008E24FE" w14:paraId="2FF916A1" w14:textId="7CF9E300">
            <w:pPr>
              <w:jc w:val="center"/>
              <w:rPr>
                <w:rFonts w:cstheme="minorHAnsi"/>
                <w:bCs/>
                <w:sz w:val="20"/>
                <w:szCs w:val="20"/>
              </w:rPr>
            </w:pPr>
            <w:r>
              <w:rPr>
                <w:rFonts w:cstheme="minorHAnsi"/>
                <w:bCs/>
                <w:sz w:val="20"/>
                <w:szCs w:val="20"/>
              </w:rPr>
              <w:t>Median Wage per Hour</w:t>
            </w:r>
          </w:p>
        </w:tc>
        <w:tc>
          <w:tcPr>
            <w:tcW w:w="1296" w:type="dxa"/>
            <w:shd w:val="clear" w:color="auto" w:fill="auto"/>
            <w:vAlign w:val="center"/>
          </w:tcPr>
          <w:p w:rsidR="00AF27BC" w:rsidRPr="00AF27BC" w:rsidP="008E24FE" w14:paraId="186EC47E" w14:textId="041836C0">
            <w:pPr>
              <w:jc w:val="center"/>
              <w:rPr>
                <w:rFonts w:cstheme="minorHAnsi"/>
                <w:bCs/>
                <w:sz w:val="20"/>
                <w:szCs w:val="20"/>
              </w:rPr>
            </w:pPr>
            <w:r w:rsidRPr="00AF27BC">
              <w:rPr>
                <w:rFonts w:cstheme="minorHAnsi"/>
                <w:bCs/>
                <w:sz w:val="20"/>
                <w:szCs w:val="20"/>
              </w:rPr>
              <w:t>Total Cost</w:t>
            </w:r>
          </w:p>
        </w:tc>
      </w:tr>
      <w:tr w14:paraId="7680BA76" w14:textId="77777777" w:rsidTr="00E75692">
        <w:tblPrEx>
          <w:tblW w:w="9090" w:type="dxa"/>
          <w:tblInd w:w="175" w:type="dxa"/>
          <w:tblLayout w:type="fixed"/>
          <w:tblLook w:val="04A0"/>
        </w:tblPrEx>
        <w:tc>
          <w:tcPr>
            <w:tcW w:w="1297" w:type="dxa"/>
            <w:vMerge w:val="restart"/>
            <w:shd w:val="clear" w:color="auto" w:fill="auto"/>
            <w:vAlign w:val="center"/>
          </w:tcPr>
          <w:p w:rsidR="002A1C82" w:rsidRPr="008E24FE" w:rsidP="002A1C82" w14:paraId="56A17633" w14:textId="3A8D9027">
            <w:pPr>
              <w:rPr>
                <w:rFonts w:cstheme="minorHAnsi"/>
                <w:bCs/>
                <w:sz w:val="20"/>
                <w:szCs w:val="20"/>
              </w:rPr>
            </w:pPr>
            <w:r w:rsidRPr="008E24FE">
              <w:rPr>
                <w:rFonts w:cstheme="minorHAnsi"/>
                <w:bCs/>
                <w:sz w:val="20"/>
                <w:szCs w:val="20"/>
              </w:rPr>
              <w:t xml:space="preserve">Environmental Health </w:t>
            </w:r>
            <w:r w:rsidRPr="008E24FE">
              <w:rPr>
                <w:rFonts w:cstheme="minorHAnsi"/>
                <w:bCs/>
                <w:sz w:val="20"/>
                <w:szCs w:val="20"/>
              </w:rPr>
              <w:t>Professionals and Affiliates</w:t>
            </w:r>
          </w:p>
        </w:tc>
        <w:tc>
          <w:tcPr>
            <w:tcW w:w="1313" w:type="dxa"/>
            <w:shd w:val="clear" w:color="auto" w:fill="auto"/>
            <w:vAlign w:val="center"/>
          </w:tcPr>
          <w:p w:rsidR="002A1C82" w:rsidRPr="008E24FE" w:rsidP="002A1C82" w14:paraId="0B405746" w14:textId="61D47BDA">
            <w:pPr>
              <w:rPr>
                <w:rFonts w:cstheme="minorHAnsi"/>
                <w:bCs/>
                <w:sz w:val="20"/>
                <w:szCs w:val="20"/>
              </w:rPr>
            </w:pPr>
            <w:r w:rsidRPr="008E24FE">
              <w:rPr>
                <w:rFonts w:cstheme="minorHAnsi"/>
                <w:bCs/>
                <w:sz w:val="20"/>
                <w:szCs w:val="20"/>
              </w:rPr>
              <w:t>E</w:t>
            </w:r>
            <w:r w:rsidR="00C85FBC">
              <w:rPr>
                <w:rFonts w:cstheme="minorHAnsi"/>
                <w:bCs/>
                <w:sz w:val="20"/>
                <w:szCs w:val="20"/>
              </w:rPr>
              <w:t>HLR</w:t>
            </w:r>
            <w:r w:rsidR="00B03FBE">
              <w:rPr>
                <w:rFonts w:cstheme="minorHAnsi"/>
                <w:bCs/>
                <w:sz w:val="20"/>
                <w:szCs w:val="20"/>
              </w:rPr>
              <w:t xml:space="preserve"> </w:t>
            </w:r>
            <w:r w:rsidRPr="008E24FE">
              <w:rPr>
                <w:rFonts w:cstheme="minorHAnsi"/>
                <w:bCs/>
                <w:sz w:val="20"/>
                <w:szCs w:val="20"/>
              </w:rPr>
              <w:t xml:space="preserve">Registration </w:t>
            </w:r>
            <w:r w:rsidR="00B03FBE">
              <w:rPr>
                <w:rFonts w:cstheme="minorHAnsi"/>
                <w:bCs/>
                <w:sz w:val="20"/>
                <w:szCs w:val="20"/>
              </w:rPr>
              <w:t>Form</w:t>
            </w:r>
            <w:r w:rsidR="001B7634">
              <w:rPr>
                <w:rFonts w:cstheme="minorHAnsi"/>
                <w:bCs/>
                <w:sz w:val="20"/>
                <w:szCs w:val="20"/>
              </w:rPr>
              <w:t xml:space="preserve"> </w:t>
            </w:r>
            <w:r w:rsidR="001B7634">
              <w:rPr>
                <w:rFonts w:cstheme="minorHAnsi"/>
                <w:bCs/>
                <w:sz w:val="20"/>
                <w:szCs w:val="20"/>
              </w:rPr>
              <w:t>(Basic/</w:t>
            </w:r>
            <w:r w:rsidR="00291DE5">
              <w:rPr>
                <w:rFonts w:cstheme="minorHAnsi"/>
                <w:bCs/>
                <w:sz w:val="20"/>
                <w:szCs w:val="20"/>
              </w:rPr>
              <w:t>Immersion</w:t>
            </w:r>
            <w:r w:rsidR="001B7634">
              <w:rPr>
                <w:rFonts w:cstheme="minorHAnsi"/>
                <w:bCs/>
                <w:sz w:val="20"/>
                <w:szCs w:val="20"/>
              </w:rPr>
              <w:t>)</w:t>
            </w:r>
            <w:r w:rsidR="00E75692">
              <w:rPr>
                <w:rFonts w:cstheme="minorHAnsi"/>
                <w:bCs/>
                <w:sz w:val="20"/>
                <w:szCs w:val="20"/>
              </w:rPr>
              <w:t xml:space="preserve"> (online)</w:t>
            </w:r>
          </w:p>
        </w:tc>
        <w:tc>
          <w:tcPr>
            <w:tcW w:w="1296" w:type="dxa"/>
            <w:shd w:val="clear" w:color="auto" w:fill="auto"/>
            <w:vAlign w:val="center"/>
          </w:tcPr>
          <w:p w:rsidR="002A1C82" w:rsidRPr="008E24FE" w:rsidP="002A1C82" w14:paraId="3E60DC9D" w14:textId="4F4F2926">
            <w:pPr>
              <w:jc w:val="center"/>
              <w:rPr>
                <w:rFonts w:cstheme="minorHAnsi"/>
                <w:bCs/>
                <w:sz w:val="20"/>
                <w:szCs w:val="20"/>
              </w:rPr>
            </w:pPr>
            <w:r>
              <w:rPr>
                <w:rFonts w:cstheme="minorHAnsi"/>
                <w:bCs/>
                <w:sz w:val="20"/>
                <w:szCs w:val="20"/>
              </w:rPr>
              <w:t>225</w:t>
            </w:r>
            <w:r w:rsidR="00A8347D">
              <w:rPr>
                <w:rFonts w:cstheme="minorHAnsi"/>
                <w:bCs/>
                <w:sz w:val="20"/>
                <w:szCs w:val="20"/>
              </w:rPr>
              <w:t xml:space="preserve"> </w:t>
            </w:r>
          </w:p>
        </w:tc>
        <w:tc>
          <w:tcPr>
            <w:tcW w:w="1296" w:type="dxa"/>
            <w:shd w:val="clear" w:color="auto" w:fill="auto"/>
            <w:vAlign w:val="center"/>
          </w:tcPr>
          <w:p w:rsidR="002A1C82" w:rsidRPr="008E24FE" w:rsidP="002A1C82" w14:paraId="24FC581E" w14:textId="77777777">
            <w:pPr>
              <w:jc w:val="center"/>
              <w:rPr>
                <w:rFonts w:cstheme="minorHAnsi"/>
                <w:bCs/>
                <w:sz w:val="20"/>
                <w:szCs w:val="20"/>
              </w:rPr>
            </w:pPr>
            <w:r w:rsidRPr="008E24FE">
              <w:rPr>
                <w:rFonts w:cstheme="minorHAnsi"/>
                <w:bCs/>
                <w:sz w:val="20"/>
                <w:szCs w:val="20"/>
              </w:rPr>
              <w:t>1</w:t>
            </w:r>
          </w:p>
        </w:tc>
        <w:tc>
          <w:tcPr>
            <w:tcW w:w="1296" w:type="dxa"/>
            <w:shd w:val="clear" w:color="auto" w:fill="auto"/>
            <w:vAlign w:val="center"/>
          </w:tcPr>
          <w:p w:rsidR="002A1C82" w:rsidRPr="008E24FE" w:rsidP="002A1C82" w14:paraId="7FCD2BA5" w14:textId="46FA93DB">
            <w:pPr>
              <w:jc w:val="center"/>
              <w:rPr>
                <w:rFonts w:cstheme="minorHAnsi"/>
                <w:bCs/>
                <w:sz w:val="20"/>
                <w:szCs w:val="20"/>
              </w:rPr>
            </w:pPr>
            <w:r>
              <w:rPr>
                <w:rFonts w:cstheme="minorHAnsi"/>
                <w:bCs/>
                <w:sz w:val="20"/>
                <w:szCs w:val="20"/>
              </w:rPr>
              <w:t>3</w:t>
            </w:r>
            <w:r w:rsidRPr="008E24FE">
              <w:rPr>
                <w:rFonts w:cstheme="minorHAnsi"/>
                <w:bCs/>
                <w:sz w:val="20"/>
                <w:szCs w:val="20"/>
              </w:rPr>
              <w:t>/60</w:t>
            </w:r>
          </w:p>
        </w:tc>
        <w:tc>
          <w:tcPr>
            <w:tcW w:w="1296" w:type="dxa"/>
            <w:vAlign w:val="center"/>
          </w:tcPr>
          <w:p w:rsidR="002A1C82" w:rsidRPr="002A1C82" w:rsidP="002A1C82" w14:paraId="6AA04C49" w14:textId="3F35C906">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shd w:val="clear" w:color="auto" w:fill="auto"/>
            <w:vAlign w:val="center"/>
          </w:tcPr>
          <w:p w:rsidR="002A1C82" w:rsidRPr="008E24FE" w:rsidP="008E24FE" w14:paraId="7D105458" w14:textId="0D6DB0B7">
            <w:pPr>
              <w:ind w:right="160"/>
              <w:jc w:val="right"/>
              <w:rPr>
                <w:rFonts w:cstheme="minorHAnsi"/>
                <w:b/>
                <w:bCs/>
                <w:sz w:val="20"/>
                <w:szCs w:val="20"/>
              </w:rPr>
            </w:pPr>
            <w:r w:rsidRPr="008E24FE">
              <w:rPr>
                <w:rFonts w:ascii="Calibri" w:hAnsi="Calibri" w:cs="Calibri"/>
                <w:color w:val="000000"/>
                <w:sz w:val="20"/>
                <w:szCs w:val="20"/>
              </w:rPr>
              <w:t>$</w:t>
            </w:r>
            <w:r w:rsidR="00DF6CD3">
              <w:rPr>
                <w:rFonts w:ascii="Calibri" w:hAnsi="Calibri" w:cs="Calibri"/>
                <w:color w:val="000000"/>
                <w:sz w:val="20"/>
                <w:szCs w:val="20"/>
              </w:rPr>
              <w:t>413.</w:t>
            </w:r>
            <w:r w:rsidR="000F4EC3">
              <w:rPr>
                <w:rFonts w:ascii="Calibri" w:hAnsi="Calibri" w:cs="Calibri"/>
                <w:color w:val="000000"/>
                <w:sz w:val="20"/>
                <w:szCs w:val="20"/>
              </w:rPr>
              <w:t>66</w:t>
            </w:r>
          </w:p>
        </w:tc>
      </w:tr>
      <w:tr w14:paraId="6FD155E5" w14:textId="77777777" w:rsidTr="00E75692">
        <w:tblPrEx>
          <w:tblW w:w="9090" w:type="dxa"/>
          <w:tblInd w:w="175" w:type="dxa"/>
          <w:tblLayout w:type="fixed"/>
          <w:tblLook w:val="04A0"/>
        </w:tblPrEx>
        <w:tc>
          <w:tcPr>
            <w:tcW w:w="1297" w:type="dxa"/>
            <w:vMerge/>
            <w:shd w:val="clear" w:color="auto" w:fill="auto"/>
            <w:vAlign w:val="center"/>
          </w:tcPr>
          <w:p w:rsidR="005F3D0D" w:rsidRPr="008E24FE" w:rsidP="005F3D0D" w14:paraId="62017B5B" w14:textId="77777777">
            <w:pPr>
              <w:rPr>
                <w:rFonts w:cstheme="minorHAnsi"/>
                <w:bCs/>
                <w:sz w:val="20"/>
                <w:szCs w:val="20"/>
              </w:rPr>
            </w:pPr>
          </w:p>
        </w:tc>
        <w:tc>
          <w:tcPr>
            <w:tcW w:w="1313" w:type="dxa"/>
            <w:tcBorders>
              <w:top w:val="single" w:sz="4" w:space="0" w:color="auto"/>
              <w:bottom w:val="single" w:sz="4" w:space="0" w:color="auto"/>
              <w:right w:val="single" w:sz="4" w:space="0" w:color="auto"/>
            </w:tcBorders>
            <w:shd w:val="clear" w:color="auto" w:fill="auto"/>
            <w:vAlign w:val="center"/>
          </w:tcPr>
          <w:p w:rsidR="005F3D0D" w:rsidP="005F3D0D" w14:paraId="6DE6321D" w14:textId="33EFC14A">
            <w:pPr>
              <w:rPr>
                <w:rFonts w:cstheme="minorHAnsi"/>
                <w:bCs/>
                <w:sz w:val="20"/>
                <w:szCs w:val="20"/>
              </w:rPr>
            </w:pPr>
            <w:r>
              <w:rPr>
                <w:rFonts w:cstheme="minorHAnsi"/>
                <w:bCs/>
                <w:sz w:val="20"/>
                <w:szCs w:val="20"/>
              </w:rPr>
              <w:t>EHLR Privacy Act Opt Out Form (Basic/</w:t>
            </w:r>
            <w:r w:rsidR="00291DE5">
              <w:rPr>
                <w:rFonts w:cstheme="minorHAnsi"/>
                <w:bCs/>
                <w:sz w:val="20"/>
                <w:szCs w:val="20"/>
              </w:rPr>
              <w:t>Immersion</w:t>
            </w:r>
            <w:r>
              <w:rPr>
                <w:rFonts w:cstheme="minorHAnsi"/>
                <w:bCs/>
                <w:sz w:val="20"/>
                <w:szCs w:val="20"/>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5F3D0D" w:rsidRPr="008E24FE" w:rsidP="005F3D0D" w14:paraId="331D7D7E" w14:textId="6FE0BF8C">
            <w:pPr>
              <w:jc w:val="center"/>
              <w:rPr>
                <w:rFonts w:cstheme="minorHAnsi"/>
                <w:bCs/>
                <w:sz w:val="20"/>
                <w:szCs w:val="20"/>
              </w:rPr>
            </w:pPr>
            <w:r>
              <w:rPr>
                <w:rFonts w:cstheme="minorHAnsi"/>
                <w:bCs/>
                <w:sz w:val="20"/>
                <w:szCs w:val="20"/>
              </w:rPr>
              <w:t>11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5F3D0D" w:rsidRPr="008E24FE" w:rsidP="005F3D0D" w14:paraId="0D642777" w14:textId="1C215A9E">
            <w:pPr>
              <w:jc w:val="center"/>
              <w:rPr>
                <w:rFonts w:cstheme="minorHAnsi"/>
                <w:bCs/>
                <w:sz w:val="20"/>
                <w:szCs w:val="20"/>
              </w:rPr>
            </w:pPr>
            <w:r>
              <w:rPr>
                <w:rFonts w:cstheme="minorHAnsi"/>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5F3D0D" w:rsidP="005F3D0D" w14:paraId="564AA7CB" w14:textId="469E2382">
            <w:pPr>
              <w:jc w:val="center"/>
              <w:rPr>
                <w:rFonts w:cstheme="minorHAnsi"/>
                <w:bCs/>
                <w:sz w:val="20"/>
                <w:szCs w:val="20"/>
              </w:rPr>
            </w:pPr>
            <w:r>
              <w:rPr>
                <w:rFonts w:cstheme="minorHAnsi"/>
                <w:bCs/>
                <w:sz w:val="20"/>
                <w:szCs w:val="20"/>
              </w:rPr>
              <w:t>1/60</w:t>
            </w:r>
          </w:p>
        </w:tc>
        <w:tc>
          <w:tcPr>
            <w:tcW w:w="1296" w:type="dxa"/>
            <w:tcBorders>
              <w:top w:val="single" w:sz="4" w:space="0" w:color="auto"/>
              <w:left w:val="single" w:sz="4" w:space="0" w:color="auto"/>
              <w:bottom w:val="single" w:sz="4" w:space="0" w:color="auto"/>
              <w:right w:val="single" w:sz="4" w:space="0" w:color="auto"/>
            </w:tcBorders>
            <w:vAlign w:val="center"/>
          </w:tcPr>
          <w:p w:rsidR="005F3D0D" w:rsidRPr="008E24FE" w:rsidP="005F3D0D" w14:paraId="0913ECFE" w14:textId="44212589">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5F3D0D" w:rsidRPr="008E24FE" w:rsidP="005F3D0D" w14:paraId="5C77825F" w14:textId="5452CEB5">
            <w:pPr>
              <w:ind w:right="160"/>
              <w:jc w:val="right"/>
              <w:rPr>
                <w:rFonts w:ascii="Calibri" w:hAnsi="Calibri" w:cs="Calibri"/>
                <w:color w:val="000000"/>
                <w:sz w:val="20"/>
                <w:szCs w:val="20"/>
              </w:rPr>
            </w:pPr>
            <w:r>
              <w:rPr>
                <w:rFonts w:ascii="Calibri" w:hAnsi="Calibri" w:cs="Calibri"/>
                <w:color w:val="000000"/>
                <w:sz w:val="20"/>
                <w:szCs w:val="20"/>
              </w:rPr>
              <w:t>$6.74</w:t>
            </w:r>
          </w:p>
        </w:tc>
      </w:tr>
      <w:tr w14:paraId="6787B550" w14:textId="77777777" w:rsidTr="00E75692">
        <w:tblPrEx>
          <w:tblW w:w="9090" w:type="dxa"/>
          <w:tblInd w:w="175" w:type="dxa"/>
          <w:tblLayout w:type="fixed"/>
          <w:tblLook w:val="04A0"/>
        </w:tblPrEx>
        <w:tc>
          <w:tcPr>
            <w:tcW w:w="1297" w:type="dxa"/>
            <w:vMerge/>
            <w:shd w:val="clear" w:color="auto" w:fill="auto"/>
            <w:vAlign w:val="center"/>
          </w:tcPr>
          <w:p w:rsidR="002A1C82" w:rsidRPr="008E24FE" w:rsidP="002A1C82" w14:paraId="4C5F2483" w14:textId="77777777">
            <w:pPr>
              <w:rPr>
                <w:rFonts w:cstheme="minorHAnsi"/>
                <w:bCs/>
                <w:sz w:val="20"/>
                <w:szCs w:val="20"/>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7908A408" w14:textId="4553F922">
            <w:pPr>
              <w:rPr>
                <w:rFonts w:cstheme="minorHAnsi"/>
                <w:bCs/>
                <w:sz w:val="20"/>
                <w:szCs w:val="20"/>
              </w:rPr>
            </w:pPr>
            <w:r>
              <w:rPr>
                <w:rFonts w:cstheme="minorHAnsi"/>
                <w:bCs/>
                <w:sz w:val="20"/>
                <w:szCs w:val="20"/>
              </w:rPr>
              <w:t xml:space="preserve">EHLR </w:t>
            </w:r>
            <w:r w:rsidR="00C85FBC">
              <w:rPr>
                <w:rFonts w:cstheme="minorHAnsi"/>
                <w:bCs/>
                <w:sz w:val="20"/>
                <w:szCs w:val="20"/>
              </w:rPr>
              <w:t xml:space="preserve">Basic Course </w:t>
            </w:r>
            <w:r w:rsidRPr="008E24FE">
              <w:rPr>
                <w:rFonts w:cstheme="minorHAnsi"/>
                <w:bCs/>
                <w:sz w:val="20"/>
                <w:szCs w:val="20"/>
              </w:rPr>
              <w:t xml:space="preserve">Module 1 Self-assessment </w:t>
            </w:r>
            <w:r w:rsidR="00867B35">
              <w:rPr>
                <w:rFonts w:cstheme="minorHAnsi"/>
                <w:bCs/>
                <w:sz w:val="20"/>
                <w:szCs w:val="20"/>
              </w:rPr>
              <w:t>(online)</w:t>
            </w:r>
            <w:r w:rsidRPr="008E24FE" w:rsidR="00867B35">
              <w:rPr>
                <w:rFonts w:cstheme="minorHAnsi"/>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5B89BD11" w14:textId="77777777">
            <w:pPr>
              <w:jc w:val="center"/>
              <w:rPr>
                <w:rFonts w:cstheme="minorHAnsi"/>
                <w:bCs/>
                <w:sz w:val="20"/>
                <w:szCs w:val="20"/>
              </w:rPr>
            </w:pPr>
            <w:r w:rsidRPr="008E24FE">
              <w:rPr>
                <w:rFonts w:cstheme="minorHAnsi"/>
                <w:bCs/>
                <w:sz w:val="20"/>
                <w:szCs w:val="20"/>
              </w:rPr>
              <w:t>100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E27203F" w14:textId="77777777">
            <w:pPr>
              <w:jc w:val="center"/>
              <w:rPr>
                <w:rFonts w:cstheme="minorHAnsi"/>
                <w:bCs/>
                <w:sz w:val="20"/>
                <w:szCs w:val="20"/>
              </w:rPr>
            </w:pPr>
            <w:r w:rsidRPr="008E24FE">
              <w:rPr>
                <w:rFonts w:cstheme="minorHAnsi"/>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E0D0061" w14:textId="4A926A44">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6CF2681B" w14:textId="46A9D66E">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63D46DDD" w14:textId="7C9415BF">
            <w:pPr>
              <w:ind w:right="160"/>
              <w:jc w:val="right"/>
              <w:rPr>
                <w:rFonts w:cstheme="minorHAnsi"/>
                <w:b/>
                <w:bCs/>
                <w:sz w:val="20"/>
                <w:szCs w:val="20"/>
              </w:rPr>
            </w:pPr>
            <w:r w:rsidRPr="008E24FE">
              <w:rPr>
                <w:rFonts w:ascii="Calibri" w:hAnsi="Calibri" w:cs="Calibri"/>
                <w:color w:val="000000"/>
                <w:sz w:val="20"/>
                <w:szCs w:val="20"/>
              </w:rPr>
              <w:t>$</w:t>
            </w:r>
            <w:r w:rsidR="00CE4BB3">
              <w:rPr>
                <w:rFonts w:ascii="Calibri" w:hAnsi="Calibri" w:cs="Calibri"/>
                <w:color w:val="000000"/>
                <w:sz w:val="20"/>
                <w:szCs w:val="20"/>
              </w:rPr>
              <w:t>306.</w:t>
            </w:r>
            <w:r w:rsidR="00E247A9">
              <w:rPr>
                <w:rFonts w:ascii="Calibri" w:hAnsi="Calibri" w:cs="Calibri"/>
                <w:color w:val="000000"/>
                <w:sz w:val="20"/>
                <w:szCs w:val="20"/>
              </w:rPr>
              <w:t>42</w:t>
            </w:r>
            <w:r w:rsidRPr="008E24FE">
              <w:rPr>
                <w:rFonts w:ascii="Calibri" w:hAnsi="Calibri" w:cs="Calibri"/>
                <w:color w:val="000000"/>
                <w:sz w:val="20"/>
                <w:szCs w:val="20"/>
              </w:rPr>
              <w:t xml:space="preserve"> </w:t>
            </w:r>
          </w:p>
        </w:tc>
      </w:tr>
      <w:tr w14:paraId="564506FB" w14:textId="77777777" w:rsidTr="00E75692">
        <w:tblPrEx>
          <w:tblW w:w="9090" w:type="dxa"/>
          <w:tblInd w:w="175" w:type="dxa"/>
          <w:tblLayout w:type="fixed"/>
          <w:tblLook w:val="04A0"/>
        </w:tblPrEx>
        <w:tc>
          <w:tcPr>
            <w:tcW w:w="1297" w:type="dxa"/>
            <w:vMerge/>
            <w:shd w:val="clear" w:color="auto" w:fill="auto"/>
            <w:vAlign w:val="center"/>
          </w:tcPr>
          <w:p w:rsidR="002A1C82" w:rsidRPr="008E24FE" w:rsidP="002A1C82" w14:paraId="382599E7" w14:textId="77777777">
            <w:pPr>
              <w:rPr>
                <w:rFonts w:cstheme="minorHAnsi"/>
                <w:bCs/>
                <w:sz w:val="20"/>
                <w:szCs w:val="20"/>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158DFB14" w14:textId="4E823D65">
            <w:pPr>
              <w:rPr>
                <w:rFonts w:cstheme="minorHAnsi"/>
                <w:bCs/>
                <w:sz w:val="20"/>
                <w:szCs w:val="20"/>
              </w:rPr>
            </w:pPr>
            <w:r>
              <w:rPr>
                <w:rFonts w:cstheme="minorHAnsi"/>
                <w:bCs/>
                <w:sz w:val="20"/>
                <w:szCs w:val="20"/>
              </w:rPr>
              <w:t xml:space="preserve">EHLR </w:t>
            </w:r>
            <w:r w:rsidR="00C85FBC">
              <w:rPr>
                <w:rFonts w:cstheme="minorHAnsi"/>
                <w:bCs/>
                <w:sz w:val="20"/>
                <w:szCs w:val="20"/>
              </w:rPr>
              <w:t xml:space="preserve">Basic course </w:t>
            </w:r>
            <w:r w:rsidRPr="008E24FE">
              <w:rPr>
                <w:rFonts w:cstheme="minorHAnsi"/>
                <w:bCs/>
                <w:sz w:val="20"/>
                <w:szCs w:val="20"/>
              </w:rPr>
              <w:t xml:space="preserve">Module 2 Self-assessment </w:t>
            </w:r>
            <w:r w:rsidR="00867B35">
              <w:rPr>
                <w:rFonts w:cstheme="minorHAnsi"/>
                <w:bCs/>
                <w:sz w:val="20"/>
                <w:szCs w:val="20"/>
              </w:rPr>
              <w:t>(online)</w:t>
            </w:r>
            <w:r w:rsidRPr="008E24FE" w:rsidR="00867B35">
              <w:rPr>
                <w:rFonts w:cstheme="minorHAnsi"/>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02E5DEAC" w14:textId="77777777">
            <w:pPr>
              <w:jc w:val="center"/>
              <w:rPr>
                <w:rFonts w:cstheme="minorHAnsi"/>
                <w:bCs/>
                <w:sz w:val="20"/>
                <w:szCs w:val="20"/>
              </w:rPr>
            </w:pPr>
            <w:r w:rsidRPr="008E24FE">
              <w:rPr>
                <w:rFonts w:cstheme="minorHAnsi"/>
                <w:bCs/>
                <w:sz w:val="20"/>
                <w:szCs w:val="20"/>
              </w:rPr>
              <w:t>100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79C2CFF" w14:textId="77777777">
            <w:pPr>
              <w:jc w:val="center"/>
              <w:rPr>
                <w:rFonts w:cstheme="minorHAnsi"/>
                <w:bCs/>
                <w:sz w:val="20"/>
                <w:szCs w:val="20"/>
              </w:rPr>
            </w:pPr>
            <w:r w:rsidRPr="008E24FE">
              <w:rPr>
                <w:rFonts w:cstheme="minorHAnsi"/>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D771B8A" w14:textId="5681A197">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09D7F0E4" w14:textId="58132DC8">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6D685300" w14:textId="3840EBE0">
            <w:pPr>
              <w:ind w:right="160"/>
              <w:jc w:val="right"/>
              <w:rPr>
                <w:rFonts w:cstheme="minorHAnsi"/>
                <w:b/>
                <w:bCs/>
                <w:sz w:val="20"/>
                <w:szCs w:val="20"/>
              </w:rPr>
            </w:pPr>
            <w:r w:rsidRPr="008E24FE">
              <w:rPr>
                <w:rFonts w:ascii="Calibri" w:hAnsi="Calibri" w:cs="Calibri"/>
                <w:color w:val="000000"/>
                <w:sz w:val="20"/>
                <w:szCs w:val="20"/>
              </w:rPr>
              <w:t>$</w:t>
            </w:r>
            <w:r w:rsidR="00CE4BB3">
              <w:rPr>
                <w:rFonts w:ascii="Calibri" w:hAnsi="Calibri" w:cs="Calibri"/>
                <w:color w:val="000000"/>
                <w:sz w:val="20"/>
                <w:szCs w:val="20"/>
              </w:rPr>
              <w:t>306.</w:t>
            </w:r>
            <w:r w:rsidR="00E247A9">
              <w:rPr>
                <w:rFonts w:ascii="Calibri" w:hAnsi="Calibri" w:cs="Calibri"/>
                <w:color w:val="000000"/>
                <w:sz w:val="20"/>
                <w:szCs w:val="20"/>
              </w:rPr>
              <w:t>42</w:t>
            </w:r>
          </w:p>
        </w:tc>
      </w:tr>
      <w:tr w14:paraId="016ED4D6" w14:textId="77777777" w:rsidTr="00E75692">
        <w:tblPrEx>
          <w:tblW w:w="9090" w:type="dxa"/>
          <w:tblInd w:w="175" w:type="dxa"/>
          <w:tblLayout w:type="fixed"/>
          <w:tblLook w:val="04A0"/>
        </w:tblPrEx>
        <w:tc>
          <w:tcPr>
            <w:tcW w:w="1297" w:type="dxa"/>
            <w:vMerge/>
            <w:shd w:val="clear" w:color="auto" w:fill="auto"/>
            <w:vAlign w:val="center"/>
          </w:tcPr>
          <w:p w:rsidR="002A1C82" w:rsidRPr="008E24FE" w:rsidP="002A1C82" w14:paraId="54B5FBFC" w14:textId="77777777">
            <w:pPr>
              <w:rPr>
                <w:rFonts w:cstheme="minorHAnsi"/>
                <w:bCs/>
                <w:sz w:val="20"/>
                <w:szCs w:val="20"/>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6490CA70" w14:textId="6C4BE990">
            <w:pPr>
              <w:rPr>
                <w:rFonts w:cstheme="minorHAnsi"/>
                <w:bCs/>
                <w:sz w:val="20"/>
                <w:szCs w:val="20"/>
              </w:rPr>
            </w:pPr>
            <w:r>
              <w:rPr>
                <w:rFonts w:cstheme="minorHAnsi"/>
                <w:bCs/>
                <w:sz w:val="20"/>
                <w:szCs w:val="20"/>
              </w:rPr>
              <w:t xml:space="preserve">EHLR </w:t>
            </w:r>
            <w:r w:rsidR="00C85FBC">
              <w:rPr>
                <w:rFonts w:cstheme="minorHAnsi"/>
                <w:bCs/>
                <w:sz w:val="20"/>
                <w:szCs w:val="20"/>
              </w:rPr>
              <w:t xml:space="preserve">Basic Course </w:t>
            </w:r>
            <w:r w:rsidRPr="008E24FE">
              <w:rPr>
                <w:rFonts w:cstheme="minorHAnsi"/>
                <w:bCs/>
                <w:sz w:val="20"/>
                <w:szCs w:val="20"/>
              </w:rPr>
              <w:t xml:space="preserve">Module 3 Self-assessment </w:t>
            </w:r>
            <w:r w:rsidR="00867B35">
              <w:rPr>
                <w:rFonts w:cstheme="minorHAnsi"/>
                <w:bCs/>
                <w:sz w:val="20"/>
                <w:szCs w:val="20"/>
              </w:rPr>
              <w:t>(online)</w:t>
            </w:r>
            <w:r w:rsidRPr="008E24FE" w:rsidR="00867B35">
              <w:rPr>
                <w:rFonts w:cstheme="minorHAnsi"/>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21B30700" w14:textId="77777777">
            <w:pPr>
              <w:jc w:val="center"/>
              <w:rPr>
                <w:rFonts w:cstheme="minorHAnsi"/>
                <w:bCs/>
                <w:sz w:val="20"/>
                <w:szCs w:val="20"/>
              </w:rPr>
            </w:pPr>
            <w:r w:rsidRPr="008E24FE">
              <w:rPr>
                <w:rFonts w:cstheme="minorHAnsi"/>
                <w:bCs/>
                <w:sz w:val="20"/>
                <w:szCs w:val="20"/>
              </w:rPr>
              <w:t>100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6C205C72" w14:textId="77777777">
            <w:pPr>
              <w:jc w:val="center"/>
              <w:rPr>
                <w:rFonts w:cstheme="minorHAnsi"/>
                <w:bCs/>
                <w:sz w:val="20"/>
                <w:szCs w:val="20"/>
              </w:rPr>
            </w:pPr>
            <w:r w:rsidRPr="008E24FE">
              <w:rPr>
                <w:rFonts w:cstheme="minorHAnsi"/>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30876C43" w14:textId="4A734060">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22212144" w14:textId="2DA5D3CE">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56512114" w14:textId="4DBB6119">
            <w:pPr>
              <w:ind w:right="160"/>
              <w:jc w:val="right"/>
              <w:rPr>
                <w:rFonts w:cstheme="minorHAnsi"/>
                <w:b/>
                <w:bCs/>
                <w:sz w:val="20"/>
                <w:szCs w:val="20"/>
              </w:rPr>
            </w:pPr>
            <w:r w:rsidRPr="008E24FE">
              <w:rPr>
                <w:rFonts w:ascii="Calibri" w:hAnsi="Calibri" w:cs="Calibri"/>
                <w:color w:val="000000"/>
                <w:sz w:val="20"/>
                <w:szCs w:val="20"/>
              </w:rPr>
              <w:t>$</w:t>
            </w:r>
            <w:r w:rsidR="00CE4BB3">
              <w:rPr>
                <w:rFonts w:ascii="Calibri" w:hAnsi="Calibri" w:cs="Calibri"/>
                <w:color w:val="000000"/>
                <w:sz w:val="20"/>
                <w:szCs w:val="20"/>
              </w:rPr>
              <w:t>306.</w:t>
            </w:r>
            <w:r w:rsidR="00E247A9">
              <w:rPr>
                <w:rFonts w:ascii="Calibri" w:hAnsi="Calibri" w:cs="Calibri"/>
                <w:color w:val="000000"/>
                <w:sz w:val="20"/>
                <w:szCs w:val="20"/>
              </w:rPr>
              <w:t>42</w:t>
            </w:r>
            <w:r w:rsidRPr="008E24FE">
              <w:rPr>
                <w:rFonts w:ascii="Calibri" w:hAnsi="Calibri" w:cs="Calibri"/>
                <w:color w:val="000000"/>
                <w:sz w:val="20"/>
                <w:szCs w:val="20"/>
              </w:rPr>
              <w:t xml:space="preserve"> </w:t>
            </w:r>
          </w:p>
        </w:tc>
      </w:tr>
      <w:tr w14:paraId="4669D56E" w14:textId="77777777" w:rsidTr="00E75692">
        <w:tblPrEx>
          <w:tblW w:w="9090" w:type="dxa"/>
          <w:tblInd w:w="175" w:type="dxa"/>
          <w:tblLayout w:type="fixed"/>
          <w:tblLook w:val="04A0"/>
        </w:tblPrEx>
        <w:tc>
          <w:tcPr>
            <w:tcW w:w="1297" w:type="dxa"/>
            <w:vMerge/>
            <w:shd w:val="clear" w:color="auto" w:fill="auto"/>
            <w:vAlign w:val="center"/>
          </w:tcPr>
          <w:p w:rsidR="002A1C82" w:rsidRPr="008E24FE" w:rsidP="002A1C82" w14:paraId="62D81B12" w14:textId="77777777">
            <w:pPr>
              <w:rPr>
                <w:rFonts w:cstheme="minorHAnsi"/>
                <w:bCs/>
                <w:sz w:val="20"/>
                <w:szCs w:val="20"/>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17935BAE" w14:textId="021950C6">
            <w:pPr>
              <w:rPr>
                <w:rFonts w:cstheme="minorHAnsi"/>
                <w:bCs/>
                <w:sz w:val="20"/>
                <w:szCs w:val="20"/>
              </w:rPr>
            </w:pPr>
            <w:r>
              <w:rPr>
                <w:rFonts w:cstheme="minorHAnsi"/>
                <w:bCs/>
                <w:sz w:val="20"/>
                <w:szCs w:val="20"/>
              </w:rPr>
              <w:t xml:space="preserve">EHLR </w:t>
            </w:r>
            <w:r w:rsidR="00C85FBC">
              <w:rPr>
                <w:rFonts w:cstheme="minorHAnsi"/>
                <w:bCs/>
                <w:sz w:val="20"/>
                <w:szCs w:val="20"/>
              </w:rPr>
              <w:t xml:space="preserve">Basic Course </w:t>
            </w:r>
            <w:r w:rsidRPr="008E24FE">
              <w:rPr>
                <w:rFonts w:cstheme="minorHAnsi"/>
                <w:bCs/>
                <w:sz w:val="20"/>
                <w:szCs w:val="20"/>
              </w:rPr>
              <w:t xml:space="preserve">Module 4 Self-assessment </w:t>
            </w:r>
            <w:r w:rsidR="00867B35">
              <w:rPr>
                <w:rFonts w:cstheme="minorHAnsi"/>
                <w:bCs/>
                <w:sz w:val="20"/>
                <w:szCs w:val="20"/>
              </w:rPr>
              <w:t>(online)</w:t>
            </w:r>
            <w:r w:rsidRPr="008E24FE" w:rsidR="00867B35">
              <w:rPr>
                <w:rFonts w:cstheme="minorHAnsi"/>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0B30E965" w14:textId="77777777">
            <w:pPr>
              <w:jc w:val="center"/>
              <w:rPr>
                <w:rFonts w:cstheme="minorHAnsi"/>
                <w:bCs/>
                <w:sz w:val="20"/>
                <w:szCs w:val="20"/>
              </w:rPr>
            </w:pPr>
            <w:r w:rsidRPr="008E24FE">
              <w:rPr>
                <w:rFonts w:cstheme="minorHAnsi"/>
                <w:bCs/>
                <w:sz w:val="20"/>
                <w:szCs w:val="20"/>
              </w:rPr>
              <w:t>100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6E769098" w14:textId="77777777">
            <w:pPr>
              <w:jc w:val="center"/>
              <w:rPr>
                <w:rFonts w:cstheme="minorHAnsi"/>
                <w:bCs/>
                <w:sz w:val="20"/>
                <w:szCs w:val="20"/>
              </w:rPr>
            </w:pPr>
            <w:r w:rsidRPr="008E24FE">
              <w:rPr>
                <w:rFonts w:cstheme="minorHAnsi"/>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55960D4E" w14:textId="19C4313E">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0FC2EDDA" w14:textId="2888DF10">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78894D5D" w14:textId="73D635D4">
            <w:pPr>
              <w:ind w:right="160"/>
              <w:jc w:val="right"/>
              <w:rPr>
                <w:rFonts w:cstheme="minorHAnsi"/>
                <w:b/>
                <w:bCs/>
                <w:sz w:val="20"/>
                <w:szCs w:val="20"/>
              </w:rPr>
            </w:pPr>
            <w:r w:rsidRPr="008E24FE">
              <w:rPr>
                <w:rFonts w:ascii="Calibri" w:hAnsi="Calibri" w:cs="Calibri"/>
                <w:color w:val="000000"/>
                <w:sz w:val="20"/>
                <w:szCs w:val="20"/>
              </w:rPr>
              <w:t>$</w:t>
            </w:r>
            <w:r w:rsidR="00B421FA">
              <w:rPr>
                <w:rFonts w:ascii="Calibri" w:hAnsi="Calibri" w:cs="Calibri"/>
                <w:color w:val="000000"/>
                <w:sz w:val="20"/>
                <w:szCs w:val="20"/>
              </w:rPr>
              <w:t>306</w:t>
            </w:r>
            <w:r w:rsidRPr="008E24FE">
              <w:rPr>
                <w:rFonts w:ascii="Calibri" w:hAnsi="Calibri" w:cs="Calibri"/>
                <w:color w:val="000000"/>
                <w:sz w:val="20"/>
                <w:szCs w:val="20"/>
              </w:rPr>
              <w:t>.</w:t>
            </w:r>
            <w:r w:rsidR="00E247A9">
              <w:rPr>
                <w:rFonts w:ascii="Calibri" w:hAnsi="Calibri" w:cs="Calibri"/>
                <w:color w:val="000000"/>
                <w:sz w:val="20"/>
                <w:szCs w:val="20"/>
              </w:rPr>
              <w:t>42</w:t>
            </w:r>
            <w:r w:rsidRPr="008E24FE">
              <w:rPr>
                <w:rFonts w:ascii="Calibri" w:hAnsi="Calibri" w:cs="Calibri"/>
                <w:color w:val="000000"/>
                <w:sz w:val="20"/>
                <w:szCs w:val="20"/>
              </w:rPr>
              <w:t xml:space="preserve"> </w:t>
            </w:r>
          </w:p>
        </w:tc>
      </w:tr>
      <w:tr w14:paraId="492EFF0E" w14:textId="77777777" w:rsidTr="00E75692">
        <w:tblPrEx>
          <w:tblW w:w="9090" w:type="dxa"/>
          <w:tblInd w:w="175" w:type="dxa"/>
          <w:tblLayout w:type="fixed"/>
          <w:tblLook w:val="04A0"/>
        </w:tblPrEx>
        <w:tc>
          <w:tcPr>
            <w:tcW w:w="1297" w:type="dxa"/>
            <w:vMerge/>
            <w:shd w:val="clear" w:color="auto" w:fill="auto"/>
            <w:vAlign w:val="center"/>
          </w:tcPr>
          <w:p w:rsidR="002A1C82" w:rsidRPr="008E24FE" w:rsidP="002A1C82" w14:paraId="7599D426" w14:textId="77777777">
            <w:pPr>
              <w:rPr>
                <w:rFonts w:cstheme="minorHAnsi"/>
                <w:bCs/>
                <w:sz w:val="20"/>
                <w:szCs w:val="20"/>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296CA3BA" w14:textId="48E6E1D4">
            <w:pPr>
              <w:rPr>
                <w:rFonts w:cstheme="minorHAnsi"/>
                <w:bCs/>
                <w:sz w:val="20"/>
                <w:szCs w:val="20"/>
              </w:rPr>
            </w:pPr>
            <w:r>
              <w:rPr>
                <w:rFonts w:cstheme="minorHAnsi"/>
                <w:bCs/>
                <w:sz w:val="20"/>
                <w:szCs w:val="20"/>
              </w:rPr>
              <w:t xml:space="preserve">EHLR </w:t>
            </w:r>
            <w:r w:rsidR="00F17FE3">
              <w:rPr>
                <w:rFonts w:cstheme="minorHAnsi"/>
                <w:bCs/>
                <w:sz w:val="20"/>
                <w:szCs w:val="20"/>
              </w:rPr>
              <w:t xml:space="preserve">Basic Course </w:t>
            </w:r>
            <w:r w:rsidRPr="008E24FE">
              <w:rPr>
                <w:rFonts w:cstheme="minorHAnsi"/>
                <w:bCs/>
                <w:sz w:val="20"/>
                <w:szCs w:val="20"/>
              </w:rPr>
              <w:t xml:space="preserve">Module 5 Self-assessment </w:t>
            </w:r>
            <w:r w:rsidR="00867B35">
              <w:rPr>
                <w:rFonts w:cstheme="minorHAnsi"/>
                <w:bCs/>
                <w:sz w:val="20"/>
                <w:szCs w:val="20"/>
              </w:rPr>
              <w:t>(online)</w:t>
            </w:r>
            <w:r w:rsidRPr="008E24FE" w:rsidR="00867B35">
              <w:rPr>
                <w:rFonts w:cstheme="minorHAnsi"/>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7D1DC07" w14:textId="77777777">
            <w:pPr>
              <w:jc w:val="center"/>
              <w:rPr>
                <w:rFonts w:cstheme="minorHAnsi"/>
                <w:bCs/>
                <w:sz w:val="20"/>
                <w:szCs w:val="20"/>
              </w:rPr>
            </w:pPr>
            <w:r w:rsidRPr="008E24FE">
              <w:rPr>
                <w:rFonts w:cstheme="minorHAnsi"/>
                <w:bCs/>
                <w:sz w:val="20"/>
                <w:szCs w:val="20"/>
              </w:rPr>
              <w:t>100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58F2E0FE" w14:textId="77777777">
            <w:pPr>
              <w:jc w:val="center"/>
              <w:rPr>
                <w:rFonts w:cstheme="minorHAnsi"/>
                <w:bCs/>
                <w:sz w:val="20"/>
                <w:szCs w:val="20"/>
              </w:rPr>
            </w:pPr>
            <w:r w:rsidRPr="008E24FE">
              <w:rPr>
                <w:rFonts w:cstheme="minorHAnsi"/>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78AE520D" w14:textId="14FF497B">
            <w:pPr>
              <w:jc w:val="center"/>
              <w:rPr>
                <w:rFonts w:cstheme="minorHAnsi"/>
                <w:bCs/>
                <w:sz w:val="20"/>
                <w:szCs w:val="20"/>
              </w:rPr>
            </w:pPr>
            <w:r>
              <w:rPr>
                <w:rFonts w:cstheme="minorHAnsi"/>
                <w:bCs/>
                <w:sz w:val="20"/>
                <w:szCs w:val="20"/>
              </w:rPr>
              <w:t>5</w:t>
            </w:r>
            <w:r w:rsidRPr="008E24FE">
              <w:rPr>
                <w:rFonts w:cstheme="minorHAnsi"/>
                <w:bCs/>
                <w:sz w:val="20"/>
                <w:szCs w:val="20"/>
              </w:rPr>
              <w:t>/60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34CEAF90" w14:textId="7BDC01F2">
            <w:pPr>
              <w:jc w:val="center"/>
              <w:rPr>
                <w:rFonts w:cstheme="minorHAnsi"/>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528EBE7F" w14:textId="42438B8A">
            <w:pPr>
              <w:ind w:right="160"/>
              <w:jc w:val="right"/>
              <w:rPr>
                <w:rFonts w:cstheme="minorHAnsi"/>
                <w:b/>
                <w:bCs/>
                <w:sz w:val="20"/>
                <w:szCs w:val="20"/>
              </w:rPr>
            </w:pPr>
            <w:r w:rsidRPr="008E24FE">
              <w:rPr>
                <w:rFonts w:ascii="Calibri" w:hAnsi="Calibri" w:cs="Calibri"/>
                <w:color w:val="000000"/>
                <w:sz w:val="20"/>
                <w:szCs w:val="20"/>
              </w:rPr>
              <w:t>$</w:t>
            </w:r>
            <w:r w:rsidR="00BA4E62">
              <w:rPr>
                <w:rFonts w:ascii="Calibri" w:hAnsi="Calibri" w:cs="Calibri"/>
                <w:color w:val="000000"/>
                <w:sz w:val="20"/>
                <w:szCs w:val="20"/>
              </w:rPr>
              <w:t>306.</w:t>
            </w:r>
            <w:r w:rsidR="00E247A9">
              <w:rPr>
                <w:rFonts w:ascii="Calibri" w:hAnsi="Calibri" w:cs="Calibri"/>
                <w:color w:val="000000"/>
                <w:sz w:val="20"/>
                <w:szCs w:val="20"/>
              </w:rPr>
              <w:t>42</w:t>
            </w:r>
            <w:r w:rsidRPr="008E24FE">
              <w:rPr>
                <w:rFonts w:ascii="Calibri" w:hAnsi="Calibri" w:cs="Calibri"/>
                <w:color w:val="000000"/>
                <w:sz w:val="20"/>
                <w:szCs w:val="20"/>
              </w:rPr>
              <w:t xml:space="preserve"> </w:t>
            </w:r>
          </w:p>
        </w:tc>
      </w:tr>
      <w:tr w14:paraId="2AC00EFE" w14:textId="77777777" w:rsidTr="00E75692">
        <w:tblPrEx>
          <w:tblW w:w="9090" w:type="dxa"/>
          <w:tblInd w:w="175" w:type="dxa"/>
          <w:tblLayout w:type="fixed"/>
          <w:tblLook w:val="04A0"/>
        </w:tblPrEx>
        <w:tc>
          <w:tcPr>
            <w:tcW w:w="1297" w:type="dxa"/>
            <w:vMerge/>
            <w:shd w:val="clear" w:color="auto" w:fill="auto"/>
            <w:vAlign w:val="center"/>
          </w:tcPr>
          <w:p w:rsidR="002A1C82" w:rsidRPr="00485E35" w:rsidP="002A1C82" w14:paraId="43F41262" w14:textId="77777777">
            <w:pPr>
              <w:rPr>
                <w:bCs/>
                <w:sz w:val="24"/>
                <w:szCs w:val="24"/>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05720C2D" w14:textId="2891455F">
            <w:pPr>
              <w:rPr>
                <w:bCs/>
                <w:sz w:val="20"/>
                <w:szCs w:val="20"/>
              </w:rPr>
            </w:pPr>
            <w:r>
              <w:rPr>
                <w:rFonts w:cstheme="minorHAnsi"/>
                <w:bCs/>
                <w:sz w:val="20"/>
                <w:szCs w:val="20"/>
              </w:rPr>
              <w:t>EHLR</w:t>
            </w:r>
            <w:r>
              <w:rPr>
                <w:bCs/>
                <w:sz w:val="20"/>
                <w:szCs w:val="20"/>
              </w:rPr>
              <w:t xml:space="preserve"> </w:t>
            </w:r>
            <w:r w:rsidR="00291DE5">
              <w:rPr>
                <w:bCs/>
                <w:sz w:val="20"/>
                <w:szCs w:val="20"/>
              </w:rPr>
              <w:t>Immersion</w:t>
            </w:r>
            <w:r w:rsidRPr="008E24FE">
              <w:rPr>
                <w:bCs/>
                <w:sz w:val="20"/>
                <w:szCs w:val="20"/>
              </w:rPr>
              <w:t xml:space="preserve"> Module 1 Self-assessment </w:t>
            </w:r>
            <w:r w:rsidR="00867B35">
              <w:rPr>
                <w:rFonts w:cstheme="minorHAnsi"/>
                <w:bCs/>
                <w:sz w:val="20"/>
                <w:szCs w:val="20"/>
              </w:rPr>
              <w:t>(online)</w:t>
            </w:r>
            <w:r w:rsidRPr="008E24FE" w:rsidR="00867B35">
              <w:rPr>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0349D445" w14:textId="77777777">
            <w:pPr>
              <w:jc w:val="center"/>
              <w:rPr>
                <w:bCs/>
                <w:sz w:val="20"/>
                <w:szCs w:val="20"/>
              </w:rPr>
            </w:pPr>
            <w:r w:rsidRPr="008E24FE">
              <w:rPr>
                <w:bCs/>
                <w:sz w:val="20"/>
                <w:szCs w:val="20"/>
              </w:rPr>
              <w:t>125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2611E34" w14:textId="77777777">
            <w:pPr>
              <w:jc w:val="center"/>
              <w:rPr>
                <w:bCs/>
                <w:sz w:val="20"/>
                <w:szCs w:val="20"/>
              </w:rPr>
            </w:pPr>
            <w:r w:rsidRPr="008E24FE">
              <w:rPr>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22D08125" w14:textId="77777777">
            <w:pPr>
              <w:jc w:val="center"/>
              <w:rPr>
                <w:bCs/>
                <w:sz w:val="20"/>
                <w:szCs w:val="20"/>
              </w:rPr>
            </w:pPr>
            <w:r w:rsidRPr="008E24FE">
              <w:rPr>
                <w:bCs/>
                <w:sz w:val="20"/>
                <w:szCs w:val="20"/>
              </w:rPr>
              <w:t>15/60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12FE1170" w14:textId="344CF2E4">
            <w:pPr>
              <w:jc w:val="center"/>
              <w:rPr>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33F7212A" w14:textId="070EF2CB">
            <w:pPr>
              <w:ind w:right="160"/>
              <w:jc w:val="right"/>
              <w:rPr>
                <w:b/>
                <w:bCs/>
                <w:sz w:val="20"/>
                <w:szCs w:val="20"/>
              </w:rPr>
            </w:pPr>
            <w:r w:rsidRPr="008E24FE">
              <w:rPr>
                <w:rFonts w:ascii="Calibri" w:hAnsi="Calibri" w:cs="Calibri"/>
                <w:color w:val="000000"/>
                <w:sz w:val="20"/>
                <w:szCs w:val="20"/>
              </w:rPr>
              <w:t>$1,149.</w:t>
            </w:r>
            <w:r w:rsidR="006A72A9">
              <w:rPr>
                <w:rFonts w:ascii="Calibri" w:hAnsi="Calibri" w:cs="Calibri"/>
                <w:color w:val="000000"/>
                <w:sz w:val="20"/>
                <w:szCs w:val="20"/>
              </w:rPr>
              <w:t>0</w:t>
            </w:r>
            <w:r w:rsidRPr="008E24FE">
              <w:rPr>
                <w:rFonts w:ascii="Calibri" w:hAnsi="Calibri" w:cs="Calibri"/>
                <w:color w:val="000000"/>
                <w:sz w:val="20"/>
                <w:szCs w:val="20"/>
              </w:rPr>
              <w:t xml:space="preserve">6 </w:t>
            </w:r>
          </w:p>
        </w:tc>
      </w:tr>
      <w:tr w14:paraId="6F1B7136" w14:textId="77777777" w:rsidTr="00E75692">
        <w:tblPrEx>
          <w:tblW w:w="9090" w:type="dxa"/>
          <w:tblInd w:w="175" w:type="dxa"/>
          <w:tblLayout w:type="fixed"/>
          <w:tblLook w:val="04A0"/>
        </w:tblPrEx>
        <w:tc>
          <w:tcPr>
            <w:tcW w:w="1297" w:type="dxa"/>
            <w:vMerge/>
            <w:shd w:val="clear" w:color="auto" w:fill="auto"/>
            <w:vAlign w:val="center"/>
          </w:tcPr>
          <w:p w:rsidR="002A1C82" w:rsidRPr="00485E35" w:rsidP="002A1C82" w14:paraId="250BEBBC" w14:textId="77777777">
            <w:pPr>
              <w:rPr>
                <w:bCs/>
                <w:sz w:val="24"/>
                <w:szCs w:val="24"/>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555F4D62" w14:textId="6D61E4EC">
            <w:pPr>
              <w:rPr>
                <w:bCs/>
                <w:sz w:val="20"/>
                <w:szCs w:val="20"/>
              </w:rPr>
            </w:pPr>
            <w:r>
              <w:rPr>
                <w:rFonts w:cstheme="minorHAnsi"/>
                <w:bCs/>
                <w:sz w:val="20"/>
                <w:szCs w:val="20"/>
              </w:rPr>
              <w:t>EHLR</w:t>
            </w:r>
            <w:r>
              <w:rPr>
                <w:bCs/>
                <w:sz w:val="20"/>
                <w:szCs w:val="20"/>
              </w:rPr>
              <w:t xml:space="preserve"> </w:t>
            </w:r>
            <w:r w:rsidR="00291DE5">
              <w:rPr>
                <w:bCs/>
                <w:sz w:val="20"/>
                <w:szCs w:val="20"/>
              </w:rPr>
              <w:t>Immersion</w:t>
            </w:r>
            <w:r w:rsidRPr="008E24FE">
              <w:rPr>
                <w:bCs/>
                <w:sz w:val="20"/>
                <w:szCs w:val="20"/>
              </w:rPr>
              <w:t xml:space="preserve"> Module 2 Self-</w:t>
            </w:r>
            <w:r w:rsidRPr="008E24FE" w:rsidR="0091217F">
              <w:rPr>
                <w:bCs/>
                <w:sz w:val="20"/>
                <w:szCs w:val="20"/>
              </w:rPr>
              <w:t xml:space="preserve">assessment </w:t>
            </w:r>
            <w:r w:rsidR="0091217F">
              <w:rPr>
                <w:bCs/>
                <w:sz w:val="20"/>
                <w:szCs w:val="20"/>
              </w:rPr>
              <w:t>(</w:t>
            </w:r>
            <w:r w:rsidR="00867B35">
              <w:rPr>
                <w:rFonts w:cstheme="minorHAnsi"/>
                <w:bCs/>
                <w:sz w:val="20"/>
                <w:szCs w:val="20"/>
              </w:rPr>
              <w:t>online)</w:t>
            </w:r>
            <w:r w:rsidRPr="008E24FE" w:rsidR="00867B35">
              <w:rPr>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4288A62" w14:textId="77777777">
            <w:pPr>
              <w:jc w:val="center"/>
              <w:rPr>
                <w:bCs/>
                <w:sz w:val="20"/>
                <w:szCs w:val="20"/>
              </w:rPr>
            </w:pPr>
            <w:r w:rsidRPr="008E24FE">
              <w:rPr>
                <w:bCs/>
                <w:sz w:val="20"/>
                <w:szCs w:val="20"/>
              </w:rPr>
              <w:t>125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6251AD03" w14:textId="77777777">
            <w:pPr>
              <w:jc w:val="center"/>
              <w:rPr>
                <w:bCs/>
                <w:sz w:val="20"/>
                <w:szCs w:val="20"/>
              </w:rPr>
            </w:pPr>
            <w:r w:rsidRPr="008E24FE">
              <w:rPr>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72673D01" w14:textId="77777777">
            <w:pPr>
              <w:jc w:val="center"/>
              <w:rPr>
                <w:bCs/>
                <w:sz w:val="20"/>
                <w:szCs w:val="20"/>
              </w:rPr>
            </w:pPr>
            <w:r w:rsidRPr="008E24FE">
              <w:rPr>
                <w:bCs/>
                <w:sz w:val="20"/>
                <w:szCs w:val="20"/>
              </w:rPr>
              <w:t>15/60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028F6709" w14:textId="638500AE">
            <w:pPr>
              <w:jc w:val="center"/>
              <w:rPr>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7D9C454C" w14:textId="0077F020">
            <w:pPr>
              <w:ind w:right="160"/>
              <w:jc w:val="right"/>
              <w:rPr>
                <w:b/>
                <w:bCs/>
                <w:sz w:val="20"/>
                <w:szCs w:val="20"/>
              </w:rPr>
            </w:pPr>
            <w:r w:rsidRPr="008E24FE">
              <w:rPr>
                <w:rFonts w:ascii="Calibri" w:hAnsi="Calibri" w:cs="Calibri"/>
                <w:color w:val="000000"/>
                <w:sz w:val="20"/>
                <w:szCs w:val="20"/>
              </w:rPr>
              <w:t>$1,149.</w:t>
            </w:r>
            <w:r w:rsidR="006A72A9">
              <w:rPr>
                <w:rFonts w:ascii="Calibri" w:hAnsi="Calibri" w:cs="Calibri"/>
                <w:color w:val="000000"/>
                <w:sz w:val="20"/>
                <w:szCs w:val="20"/>
              </w:rPr>
              <w:t>06</w:t>
            </w:r>
            <w:r w:rsidRPr="008E24FE">
              <w:rPr>
                <w:rFonts w:ascii="Calibri" w:hAnsi="Calibri" w:cs="Calibri"/>
                <w:color w:val="000000"/>
                <w:sz w:val="20"/>
                <w:szCs w:val="20"/>
              </w:rPr>
              <w:t xml:space="preserve"> </w:t>
            </w:r>
          </w:p>
        </w:tc>
      </w:tr>
      <w:tr w14:paraId="58C78938" w14:textId="77777777" w:rsidTr="00E75692">
        <w:tblPrEx>
          <w:tblW w:w="9090" w:type="dxa"/>
          <w:tblInd w:w="175" w:type="dxa"/>
          <w:tblLayout w:type="fixed"/>
          <w:tblLook w:val="04A0"/>
        </w:tblPrEx>
        <w:tc>
          <w:tcPr>
            <w:tcW w:w="1297" w:type="dxa"/>
            <w:vMerge/>
            <w:tcBorders>
              <w:bottom w:val="single" w:sz="4" w:space="0" w:color="auto"/>
            </w:tcBorders>
            <w:shd w:val="clear" w:color="auto" w:fill="auto"/>
            <w:vAlign w:val="center"/>
          </w:tcPr>
          <w:p w:rsidR="002A1C82" w:rsidRPr="00485E35" w:rsidP="002A1C82" w14:paraId="0AD32785" w14:textId="77777777">
            <w:pPr>
              <w:rPr>
                <w:bCs/>
                <w:sz w:val="24"/>
                <w:szCs w:val="24"/>
              </w:rPr>
            </w:pPr>
          </w:p>
        </w:tc>
        <w:tc>
          <w:tcPr>
            <w:tcW w:w="1313" w:type="dxa"/>
            <w:tcBorders>
              <w:top w:val="single" w:sz="4" w:space="0" w:color="auto"/>
              <w:bottom w:val="single" w:sz="4" w:space="0" w:color="auto"/>
              <w:right w:val="single" w:sz="4" w:space="0" w:color="auto"/>
            </w:tcBorders>
            <w:shd w:val="clear" w:color="auto" w:fill="auto"/>
            <w:vAlign w:val="center"/>
          </w:tcPr>
          <w:p w:rsidR="002A1C82" w:rsidRPr="008E24FE" w:rsidP="002A1C82" w14:paraId="619FD961" w14:textId="1D6B249A">
            <w:pPr>
              <w:rPr>
                <w:bCs/>
                <w:sz w:val="20"/>
                <w:szCs w:val="20"/>
              </w:rPr>
            </w:pPr>
            <w:r>
              <w:rPr>
                <w:rFonts w:cstheme="minorHAnsi"/>
                <w:bCs/>
                <w:sz w:val="20"/>
                <w:szCs w:val="20"/>
              </w:rPr>
              <w:t>EHLR</w:t>
            </w:r>
            <w:r>
              <w:rPr>
                <w:bCs/>
                <w:sz w:val="20"/>
                <w:szCs w:val="20"/>
              </w:rPr>
              <w:t xml:space="preserve"> </w:t>
            </w:r>
            <w:r w:rsidR="00291DE5">
              <w:rPr>
                <w:bCs/>
                <w:sz w:val="20"/>
                <w:szCs w:val="20"/>
              </w:rPr>
              <w:t>Immersion</w:t>
            </w:r>
            <w:r w:rsidRPr="008E24FE">
              <w:rPr>
                <w:bCs/>
                <w:sz w:val="20"/>
                <w:szCs w:val="20"/>
              </w:rPr>
              <w:t xml:space="preserve"> Module 3 Self-assessment</w:t>
            </w:r>
            <w:r w:rsidR="00181FA9">
              <w:rPr>
                <w:bCs/>
                <w:sz w:val="20"/>
                <w:szCs w:val="20"/>
              </w:rPr>
              <w:t xml:space="preserve"> </w:t>
            </w:r>
            <w:r w:rsidR="00867B35">
              <w:rPr>
                <w:rFonts w:cstheme="minorHAnsi"/>
                <w:bCs/>
                <w:sz w:val="20"/>
                <w:szCs w:val="20"/>
              </w:rPr>
              <w:t>(online)</w:t>
            </w:r>
            <w:r w:rsidRPr="008E24FE" w:rsidR="00867B35">
              <w:rPr>
                <w:bCs/>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C6343B1" w14:textId="77777777">
            <w:pPr>
              <w:jc w:val="center"/>
              <w:rPr>
                <w:bCs/>
                <w:sz w:val="20"/>
                <w:szCs w:val="20"/>
              </w:rPr>
            </w:pPr>
            <w:r w:rsidRPr="008E24FE">
              <w:rPr>
                <w:bCs/>
                <w:sz w:val="20"/>
                <w:szCs w:val="20"/>
              </w:rPr>
              <w:t>125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1728B4E5" w14:textId="77777777">
            <w:pPr>
              <w:jc w:val="center"/>
              <w:rPr>
                <w:bCs/>
                <w:sz w:val="20"/>
                <w:szCs w:val="20"/>
              </w:rPr>
            </w:pPr>
            <w:r w:rsidRPr="008E24FE">
              <w:rPr>
                <w:bCs/>
                <w:sz w:val="20"/>
                <w:szCs w:val="20"/>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0FB075A2" w14:textId="77777777">
            <w:pPr>
              <w:jc w:val="center"/>
              <w:rPr>
                <w:bCs/>
                <w:sz w:val="20"/>
                <w:szCs w:val="20"/>
              </w:rPr>
            </w:pPr>
            <w:r w:rsidRPr="008E24FE">
              <w:rPr>
                <w:bCs/>
                <w:sz w:val="20"/>
                <w:szCs w:val="20"/>
              </w:rPr>
              <w:t>15/60</w:t>
            </w: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2A1C82" w:rsidP="002A1C82" w14:paraId="3DA38399" w14:textId="1443B818">
            <w:pPr>
              <w:jc w:val="center"/>
              <w:rPr>
                <w:sz w:val="20"/>
                <w:szCs w:val="20"/>
              </w:rPr>
            </w:pPr>
            <w:r w:rsidRPr="008E24FE">
              <w:rPr>
                <w:rFonts w:cstheme="minorHAnsi"/>
                <w:sz w:val="20"/>
                <w:szCs w:val="20"/>
              </w:rPr>
              <w:t>$36.7</w:t>
            </w:r>
            <w:r w:rsidR="000E142C">
              <w:rPr>
                <w:rFonts w:cstheme="minorHAnsi"/>
                <w:sz w:val="20"/>
                <w:szCs w:val="20"/>
              </w:rPr>
              <w:t>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8E24FE" w14:paraId="7F9D836A" w14:textId="04FA3A9A">
            <w:pPr>
              <w:ind w:right="160"/>
              <w:jc w:val="right"/>
              <w:rPr>
                <w:b/>
                <w:bCs/>
                <w:sz w:val="20"/>
                <w:szCs w:val="20"/>
              </w:rPr>
            </w:pPr>
            <w:r w:rsidRPr="008E24FE">
              <w:rPr>
                <w:rFonts w:ascii="Calibri" w:hAnsi="Calibri" w:cs="Calibri"/>
                <w:color w:val="000000"/>
                <w:sz w:val="20"/>
                <w:szCs w:val="20"/>
              </w:rPr>
              <w:t>$1,149.</w:t>
            </w:r>
            <w:r w:rsidR="006A72A9">
              <w:rPr>
                <w:rFonts w:ascii="Calibri" w:hAnsi="Calibri" w:cs="Calibri"/>
                <w:color w:val="000000"/>
                <w:sz w:val="20"/>
                <w:szCs w:val="20"/>
              </w:rPr>
              <w:t>06</w:t>
            </w:r>
            <w:r w:rsidRPr="008E24FE">
              <w:rPr>
                <w:rFonts w:ascii="Calibri" w:hAnsi="Calibri" w:cs="Calibri"/>
                <w:color w:val="000000"/>
                <w:sz w:val="20"/>
                <w:szCs w:val="20"/>
              </w:rPr>
              <w:t xml:space="preserve"> </w:t>
            </w:r>
          </w:p>
        </w:tc>
      </w:tr>
      <w:tr w14:paraId="66F45576" w14:textId="77777777" w:rsidTr="00E75692">
        <w:tblPrEx>
          <w:tblW w:w="9090" w:type="dxa"/>
          <w:tblInd w:w="175" w:type="dxa"/>
          <w:tblLayout w:type="fixed"/>
          <w:tblLook w:val="04A0"/>
        </w:tblPrEx>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79E8122A" w14:textId="77777777">
            <w:pPr>
              <w:rPr>
                <w:bCs/>
                <w:sz w:val="20"/>
                <w:szCs w:val="20"/>
              </w:rPr>
            </w:pPr>
            <w:r w:rsidRPr="008E24FE">
              <w:rPr>
                <w:bCs/>
                <w:sz w:val="20"/>
                <w:szCs w:val="20"/>
              </w:rPr>
              <w:t>Total</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570DD9E1" w14:textId="77777777">
            <w:pPr>
              <w:rPr>
                <w:bCs/>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496C7A0F" w14:textId="77777777">
            <w:pPr>
              <w:jc w:val="center"/>
              <w:rPr>
                <w:bCs/>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61936BD0" w14:textId="77777777">
            <w:pPr>
              <w:jc w:val="center"/>
              <w:rPr>
                <w:bCs/>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2A1C82" w:rsidRPr="008E24FE" w:rsidP="002A1C82" w14:paraId="6F9BE6A6" w14:textId="77777777">
            <w:pPr>
              <w:jc w:val="center"/>
              <w:rPr>
                <w:bCs/>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2A1C82" w:rsidRPr="00AF27BC" w:rsidP="002A1C82" w14:paraId="218B3DBA" w14:textId="77777777">
            <w:pPr>
              <w:jc w:val="center"/>
              <w:rPr>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C45A0A" w:rsidRPr="00C45A0A" w:rsidP="00C45A0A" w14:paraId="4AEC5136" w14:textId="4C12E11F">
            <w:pPr>
              <w:ind w:right="160"/>
              <w:jc w:val="right"/>
              <w:rPr>
                <w:rFonts w:ascii="Calibri" w:hAnsi="Calibri" w:cs="Calibri"/>
                <w:color w:val="000000"/>
                <w:sz w:val="20"/>
                <w:szCs w:val="20"/>
              </w:rPr>
            </w:pPr>
            <w:r w:rsidRPr="008E24FE">
              <w:rPr>
                <w:rFonts w:ascii="Calibri" w:hAnsi="Calibri" w:cs="Calibri"/>
                <w:color w:val="000000"/>
                <w:sz w:val="20"/>
                <w:szCs w:val="20"/>
              </w:rPr>
              <w:t>$</w:t>
            </w:r>
            <w:r w:rsidR="00E75692">
              <w:rPr>
                <w:rFonts w:ascii="Calibri" w:hAnsi="Calibri" w:cs="Calibri"/>
                <w:color w:val="000000"/>
                <w:sz w:val="20"/>
                <w:szCs w:val="20"/>
              </w:rPr>
              <w:t>5</w:t>
            </w:r>
            <w:r w:rsidRPr="008E24FE">
              <w:rPr>
                <w:rFonts w:ascii="Calibri" w:hAnsi="Calibri" w:cs="Calibri"/>
                <w:color w:val="000000"/>
                <w:sz w:val="20"/>
                <w:szCs w:val="20"/>
              </w:rPr>
              <w:t>,</w:t>
            </w:r>
            <w:r w:rsidR="004D4BE3">
              <w:rPr>
                <w:rFonts w:ascii="Calibri" w:hAnsi="Calibri" w:cs="Calibri"/>
                <w:color w:val="000000"/>
                <w:sz w:val="20"/>
                <w:szCs w:val="20"/>
              </w:rPr>
              <w:t>399</w:t>
            </w:r>
            <w:r w:rsidR="00075B39">
              <w:rPr>
                <w:rFonts w:ascii="Calibri" w:hAnsi="Calibri" w:cs="Calibri"/>
                <w:color w:val="000000"/>
                <w:sz w:val="20"/>
                <w:szCs w:val="20"/>
              </w:rPr>
              <w:t>.</w:t>
            </w:r>
            <w:r w:rsidR="00DF6CD3">
              <w:rPr>
                <w:rFonts w:ascii="Calibri" w:hAnsi="Calibri" w:cs="Calibri"/>
                <w:color w:val="000000"/>
                <w:sz w:val="20"/>
                <w:szCs w:val="20"/>
              </w:rPr>
              <w:t>6</w:t>
            </w:r>
            <w:r w:rsidR="00885177">
              <w:rPr>
                <w:rFonts w:ascii="Calibri" w:hAnsi="Calibri" w:cs="Calibri"/>
                <w:color w:val="000000"/>
                <w:sz w:val="20"/>
                <w:szCs w:val="20"/>
              </w:rPr>
              <w:t>7</w:t>
            </w:r>
          </w:p>
        </w:tc>
      </w:tr>
    </w:tbl>
    <w:p w:rsidR="00123AD3" w:rsidP="004E1582" w14:paraId="074907A5" w14:textId="77777777">
      <w:pPr>
        <w:rPr>
          <w:sz w:val="24"/>
          <w:szCs w:val="24"/>
        </w:rPr>
      </w:pPr>
    </w:p>
    <w:p w:rsidR="00B45002" w:rsidRPr="00D20211" w:rsidP="78D3267D" w14:paraId="051C67DE" w14:textId="76F3626D">
      <w:pPr>
        <w:pStyle w:val="Heading1"/>
        <w:pBdr>
          <w:bottom w:val="none" w:sz="0" w:space="0" w:color="auto"/>
        </w:pBdr>
        <w:rPr>
          <w:color w:val="auto"/>
        </w:rPr>
      </w:pPr>
      <w:bookmarkStart w:id="39" w:name="_Toc1513348292"/>
      <w:bookmarkStart w:id="40" w:name="_Toc1112817830"/>
      <w:bookmarkStart w:id="41" w:name="_Toc126589454"/>
      <w:r w:rsidRPr="78D3267D">
        <w:rPr>
          <w:color w:val="auto"/>
        </w:rPr>
        <w:t>A.</w:t>
      </w:r>
      <w:r w:rsidRPr="78D3267D" w:rsidR="714D9287">
        <w:rPr>
          <w:color w:val="auto"/>
        </w:rPr>
        <w:t xml:space="preserve">13.  </w:t>
      </w:r>
      <w:r w:rsidRPr="78D3267D" w:rsidR="014C2D95">
        <w:rPr>
          <w:color w:val="auto"/>
        </w:rPr>
        <w:t>Estimates of Other Total Annual Cost Burden to Respondents and Record Keepers</w:t>
      </w:r>
      <w:bookmarkEnd w:id="39"/>
      <w:bookmarkEnd w:id="40"/>
      <w:bookmarkEnd w:id="41"/>
    </w:p>
    <w:p w:rsidR="00F1279E" w:rsidRPr="00D20211" w:rsidP="00ED72E9" w14:paraId="3887E2D4" w14:textId="77777777">
      <w:pPr>
        <w:autoSpaceDE w:val="0"/>
        <w:autoSpaceDN w:val="0"/>
        <w:adjustRightInd w:val="0"/>
        <w:spacing w:after="0" w:line="240" w:lineRule="auto"/>
        <w:rPr>
          <w:sz w:val="24"/>
          <w:szCs w:val="24"/>
        </w:rPr>
      </w:pPr>
    </w:p>
    <w:p w:rsidR="00AC43CB" w:rsidRPr="00AC43CB" w:rsidP="00AC43CB" w14:paraId="4D1AC935" w14:textId="217AD72F">
      <w:pPr>
        <w:autoSpaceDE w:val="0"/>
        <w:autoSpaceDN w:val="0"/>
        <w:adjustRightInd w:val="0"/>
        <w:spacing w:after="0" w:line="240" w:lineRule="auto"/>
        <w:rPr>
          <w:rFonts w:cs="ITCFranklinGothicStd-Book"/>
          <w:sz w:val="24"/>
          <w:szCs w:val="24"/>
        </w:rPr>
      </w:pPr>
      <w:r w:rsidRPr="00AC43CB">
        <w:rPr>
          <w:rFonts w:cs="ITCFranklinGothicStd-Book"/>
          <w:sz w:val="24"/>
          <w:szCs w:val="24"/>
        </w:rPr>
        <w:t>There are no additional burden costs to respondents and record keepers. ATSDR is supplying all materials for the certificate course. There are no start-up costs.</w:t>
      </w:r>
    </w:p>
    <w:p w:rsidR="00B45002" w:rsidRPr="00D20211" w:rsidP="78D3267D" w14:paraId="2DC96AD8" w14:textId="005F4E9C">
      <w:pPr>
        <w:pStyle w:val="Heading1"/>
        <w:pBdr>
          <w:bottom w:val="none" w:sz="0" w:space="0" w:color="auto"/>
        </w:pBdr>
        <w:rPr>
          <w:color w:val="auto"/>
        </w:rPr>
      </w:pPr>
      <w:bookmarkStart w:id="42" w:name="_Toc1783180368"/>
      <w:bookmarkStart w:id="43" w:name="_Toc20641275"/>
      <w:bookmarkStart w:id="44" w:name="_Toc126589455"/>
      <w:r w:rsidRPr="78D3267D">
        <w:rPr>
          <w:color w:val="auto"/>
        </w:rPr>
        <w:t>A.</w:t>
      </w:r>
      <w:r w:rsidRPr="78D3267D" w:rsidR="714D9287">
        <w:rPr>
          <w:color w:val="auto"/>
        </w:rPr>
        <w:t xml:space="preserve">14.  </w:t>
      </w:r>
      <w:r w:rsidRPr="78D3267D" w:rsidR="014C2D95">
        <w:rPr>
          <w:color w:val="auto"/>
        </w:rPr>
        <w:t>Annualized Cost to the Federal Government</w:t>
      </w:r>
      <w:bookmarkEnd w:id="42"/>
      <w:bookmarkEnd w:id="43"/>
      <w:bookmarkEnd w:id="44"/>
    </w:p>
    <w:p w:rsidR="00DA5A96" w:rsidRPr="00D20211" w:rsidP="00DA5A96" w14:paraId="3B492077" w14:textId="77777777"/>
    <w:p w:rsidR="00F93C9F" w:rsidP="009D123D" w14:paraId="2051D63F" w14:textId="47C15918">
      <w:pPr>
        <w:autoSpaceDE w:val="0"/>
        <w:autoSpaceDN w:val="0"/>
        <w:adjustRightInd w:val="0"/>
        <w:spacing w:line="240" w:lineRule="auto"/>
        <w:rPr>
          <w:rFonts w:cs="ITCFranklinGothicStd-Book"/>
          <w:sz w:val="24"/>
          <w:szCs w:val="24"/>
        </w:rPr>
      </w:pPr>
      <w:r w:rsidRPr="78D3267D">
        <w:rPr>
          <w:rFonts w:cs="ITCFranklinGothicStd-Book"/>
          <w:sz w:val="24"/>
          <w:szCs w:val="24"/>
        </w:rPr>
        <w:t xml:space="preserve">ATSDR has already created all materials that will be used in the EHLR certification trainings. </w:t>
      </w:r>
      <w:r w:rsidRPr="78D3267D" w:rsidR="361ED0EB">
        <w:rPr>
          <w:rFonts w:cs="ITCFranklinGothicStd-Book"/>
          <w:sz w:val="24"/>
          <w:szCs w:val="24"/>
        </w:rPr>
        <w:t xml:space="preserve">In </w:t>
      </w:r>
      <w:r w:rsidRPr="78D3267D" w:rsidR="5E35AEAF">
        <w:rPr>
          <w:rFonts w:cs="ITCFranklinGothicStd-Book"/>
          <w:sz w:val="24"/>
          <w:szCs w:val="24"/>
        </w:rPr>
        <w:t xml:space="preserve">the fall of </w:t>
      </w:r>
      <w:r w:rsidRPr="78D3267D" w:rsidR="019757DE">
        <w:rPr>
          <w:rFonts w:cs="ITCFranklinGothicStd-Book"/>
          <w:sz w:val="24"/>
          <w:szCs w:val="24"/>
        </w:rPr>
        <w:t>2021 and ending July 31, 2022,</w:t>
      </w:r>
      <w:r w:rsidRPr="78D3267D" w:rsidR="361ED0EB">
        <w:rPr>
          <w:rFonts w:cs="ITCFranklinGothicStd-Book"/>
          <w:sz w:val="24"/>
          <w:szCs w:val="24"/>
        </w:rPr>
        <w:t xml:space="preserve"> NEHA was </w:t>
      </w:r>
      <w:r w:rsidRPr="78D3267D">
        <w:rPr>
          <w:rFonts w:cs="ITCFranklinGothicStd-Book"/>
          <w:sz w:val="24"/>
          <w:szCs w:val="24"/>
        </w:rPr>
        <w:t>awarded a cooperative agreement amount of $</w:t>
      </w:r>
      <w:r w:rsidRPr="78D3267D" w:rsidR="361ED0EB">
        <w:rPr>
          <w:rFonts w:cs="ITCFranklinGothicStd-Book"/>
          <w:sz w:val="24"/>
          <w:szCs w:val="24"/>
        </w:rPr>
        <w:t>75,000.00</w:t>
      </w:r>
      <w:r w:rsidRPr="78D3267D">
        <w:rPr>
          <w:rFonts w:cs="ITCFranklinGothicStd-Book"/>
          <w:sz w:val="24"/>
          <w:szCs w:val="24"/>
        </w:rPr>
        <w:t xml:space="preserve"> from ATSDR to </w:t>
      </w:r>
      <w:r w:rsidRPr="78D3267D" w:rsidR="470E1B6D">
        <w:rPr>
          <w:rFonts w:cs="ITCFranklinGothicStd-Book"/>
          <w:sz w:val="24"/>
          <w:szCs w:val="24"/>
        </w:rPr>
        <w:t xml:space="preserve">assist in the evaluation of the 10-hour certificate course and the pilot-scale development of the EHLR </w:t>
      </w:r>
      <w:r w:rsidR="00291DE5">
        <w:rPr>
          <w:rFonts w:cs="ITCFranklinGothicStd-Book"/>
          <w:sz w:val="24"/>
          <w:szCs w:val="24"/>
        </w:rPr>
        <w:t>Immersion</w:t>
      </w:r>
      <w:r w:rsidRPr="78D3267D" w:rsidR="470E1B6D">
        <w:rPr>
          <w:rFonts w:cs="ITCFranklinGothicStd-Book"/>
          <w:sz w:val="24"/>
          <w:szCs w:val="24"/>
        </w:rPr>
        <w:t xml:space="preserve"> course modules. </w:t>
      </w:r>
      <w:r w:rsidRPr="78D3267D" w:rsidR="0DC45544">
        <w:rPr>
          <w:rFonts w:cs="ITCFranklinGothicStd-Book"/>
          <w:sz w:val="24"/>
          <w:szCs w:val="24"/>
        </w:rPr>
        <w:t xml:space="preserve">ATSDR </w:t>
      </w:r>
      <w:r w:rsidRPr="78D3267D" w:rsidR="4AD7331D">
        <w:rPr>
          <w:rFonts w:cs="ITCFranklinGothicStd-Book"/>
          <w:sz w:val="24"/>
          <w:szCs w:val="24"/>
        </w:rPr>
        <w:t>award</w:t>
      </w:r>
      <w:r w:rsidR="006468B0">
        <w:rPr>
          <w:rFonts w:cs="ITCFranklinGothicStd-Book"/>
          <w:sz w:val="24"/>
          <w:szCs w:val="24"/>
        </w:rPr>
        <w:t>ed</w:t>
      </w:r>
      <w:r w:rsidRPr="78D3267D" w:rsidR="4AD7331D">
        <w:rPr>
          <w:rFonts w:cs="ITCFranklinGothicStd-Book"/>
          <w:sz w:val="24"/>
          <w:szCs w:val="24"/>
        </w:rPr>
        <w:t xml:space="preserve"> NEHA an additional $85,000.00 </w:t>
      </w:r>
      <w:r w:rsidRPr="78D3267D" w:rsidR="019757DE">
        <w:rPr>
          <w:rFonts w:cs="ITCFranklinGothicStd-Book"/>
          <w:sz w:val="24"/>
          <w:szCs w:val="24"/>
        </w:rPr>
        <w:t xml:space="preserve">in a cooperative agreement </w:t>
      </w:r>
      <w:r w:rsidRPr="78D3267D" w:rsidR="4AD7331D">
        <w:rPr>
          <w:rFonts w:cs="ITCFranklinGothicStd-Book"/>
          <w:sz w:val="24"/>
          <w:szCs w:val="24"/>
        </w:rPr>
        <w:t xml:space="preserve">for fiscal year (FY) 2023 </w:t>
      </w:r>
      <w:r w:rsidRPr="78D3267D" w:rsidR="6AC9DC0E">
        <w:rPr>
          <w:rFonts w:cs="ITCFranklinGothicStd-Book"/>
          <w:sz w:val="24"/>
          <w:szCs w:val="24"/>
        </w:rPr>
        <w:t xml:space="preserve">for </w:t>
      </w:r>
      <w:r w:rsidRPr="78D3267D" w:rsidR="0DC45544">
        <w:rPr>
          <w:rFonts w:cs="ITCFranklinGothicStd-Book"/>
          <w:sz w:val="24"/>
          <w:szCs w:val="24"/>
        </w:rPr>
        <w:t xml:space="preserve">further </w:t>
      </w:r>
      <w:r w:rsidRPr="78D3267D" w:rsidR="4AD7331D">
        <w:rPr>
          <w:rFonts w:cs="ITCFranklinGothicStd-Book"/>
          <w:sz w:val="24"/>
          <w:szCs w:val="24"/>
        </w:rPr>
        <w:t xml:space="preserve">EHLR certificate content development and </w:t>
      </w:r>
      <w:r w:rsidRPr="78D3267D" w:rsidR="0DC45544">
        <w:rPr>
          <w:rFonts w:cs="ITCFranklinGothicStd-Book"/>
          <w:sz w:val="24"/>
          <w:szCs w:val="24"/>
        </w:rPr>
        <w:t>collaborat</w:t>
      </w:r>
      <w:r w:rsidRPr="78D3267D" w:rsidR="5E35AEAF">
        <w:rPr>
          <w:rFonts w:cs="ITCFranklinGothicStd-Book"/>
          <w:sz w:val="24"/>
          <w:szCs w:val="24"/>
        </w:rPr>
        <w:t>ive</w:t>
      </w:r>
      <w:r w:rsidRPr="78D3267D" w:rsidR="0DC45544">
        <w:rPr>
          <w:rFonts w:cs="ITCFranklinGothicStd-Book"/>
          <w:sz w:val="24"/>
          <w:szCs w:val="24"/>
        </w:rPr>
        <w:t xml:space="preserve"> </w:t>
      </w:r>
      <w:r w:rsidRPr="78D3267D" w:rsidR="4AD7331D">
        <w:rPr>
          <w:rFonts w:cs="ITCFranklinGothicStd-Book"/>
          <w:sz w:val="24"/>
          <w:szCs w:val="24"/>
        </w:rPr>
        <w:t>delivery of courses.</w:t>
      </w:r>
      <w:r w:rsidRPr="78D3267D" w:rsidR="0C7E7C12">
        <w:rPr>
          <w:rFonts w:cs="ITCFranklinGothicStd-Book"/>
          <w:sz w:val="24"/>
          <w:szCs w:val="24"/>
        </w:rPr>
        <w:t xml:space="preserve"> </w:t>
      </w:r>
    </w:p>
    <w:p w:rsidR="00CB7D15" w:rsidP="009D123D" w14:paraId="44AD6E4B" w14:textId="135AE00C">
      <w:pPr>
        <w:autoSpaceDE w:val="0"/>
        <w:autoSpaceDN w:val="0"/>
        <w:adjustRightInd w:val="0"/>
        <w:spacing w:line="240" w:lineRule="auto"/>
        <w:rPr>
          <w:rFonts w:cs="ITCFranklinGothicStd-Book"/>
          <w:sz w:val="24"/>
          <w:szCs w:val="24"/>
        </w:rPr>
      </w:pPr>
      <w:r>
        <w:rPr>
          <w:rFonts w:cs="ITCFranklinGothicStd-Book"/>
          <w:sz w:val="24"/>
          <w:szCs w:val="24"/>
        </w:rPr>
        <w:t xml:space="preserve">Depending on future collaborative activities between ATSDR and NEHA related to EHLR training, </w:t>
      </w:r>
      <w:r w:rsidR="007C496B">
        <w:rPr>
          <w:rFonts w:cs="ITCFranklinGothicStd-Book"/>
          <w:sz w:val="24"/>
          <w:szCs w:val="24"/>
        </w:rPr>
        <w:t xml:space="preserve">NEHA </w:t>
      </w:r>
      <w:r w:rsidR="00033850">
        <w:rPr>
          <w:rFonts w:cs="ITCFranklinGothicStd-Book"/>
          <w:sz w:val="24"/>
          <w:szCs w:val="24"/>
        </w:rPr>
        <w:t>may</w:t>
      </w:r>
      <w:r w:rsidR="007C496B">
        <w:rPr>
          <w:rFonts w:cs="ITCFranklinGothicStd-Book"/>
          <w:sz w:val="24"/>
          <w:szCs w:val="24"/>
        </w:rPr>
        <w:t xml:space="preserve"> either work in an unfunded collaborat</w:t>
      </w:r>
      <w:r w:rsidR="00033850">
        <w:rPr>
          <w:rFonts w:cs="ITCFranklinGothicStd-Book"/>
          <w:sz w:val="24"/>
          <w:szCs w:val="24"/>
        </w:rPr>
        <w:t>ive</w:t>
      </w:r>
      <w:r w:rsidR="007C496B">
        <w:rPr>
          <w:rFonts w:cs="ITCFranklinGothicStd-Book"/>
          <w:sz w:val="24"/>
          <w:szCs w:val="24"/>
        </w:rPr>
        <w:t xml:space="preserve"> status or ATSDR </w:t>
      </w:r>
      <w:r>
        <w:rPr>
          <w:rFonts w:cs="ITCFranklinGothicStd-Book"/>
          <w:sz w:val="24"/>
          <w:szCs w:val="24"/>
        </w:rPr>
        <w:t>additional funding for years two and three may occur at or below the $85,000.00 level for NEHA.</w:t>
      </w:r>
      <w:r w:rsidR="0089340F">
        <w:rPr>
          <w:rFonts w:cs="ITCFranklinGothicStd-Book"/>
          <w:sz w:val="24"/>
          <w:szCs w:val="24"/>
        </w:rPr>
        <w:t xml:space="preserve"> </w:t>
      </w:r>
    </w:p>
    <w:p w:rsidR="00CB7D15" w:rsidP="009D123D" w14:paraId="25486D2C" w14:textId="5C6C178D">
      <w:pPr>
        <w:autoSpaceDE w:val="0"/>
        <w:autoSpaceDN w:val="0"/>
        <w:adjustRightInd w:val="0"/>
        <w:spacing w:line="240" w:lineRule="auto"/>
        <w:rPr>
          <w:rFonts w:cs="ITCFranklinGothicStd-Book"/>
          <w:sz w:val="24"/>
          <w:szCs w:val="24"/>
        </w:rPr>
      </w:pPr>
      <w:r w:rsidRPr="009D123D">
        <w:rPr>
          <w:rFonts w:cs="ITCFranklinGothicStd-Book"/>
          <w:sz w:val="24"/>
          <w:szCs w:val="24"/>
        </w:rPr>
        <w:t xml:space="preserve">ATSDR’s Project Officer </w:t>
      </w:r>
      <w:r>
        <w:rPr>
          <w:rFonts w:cs="ITCFranklinGothicStd-Book"/>
          <w:sz w:val="24"/>
          <w:szCs w:val="24"/>
        </w:rPr>
        <w:t xml:space="preserve">(the Land Reuse Program Lead) </w:t>
      </w:r>
      <w:r w:rsidRPr="009D123D">
        <w:rPr>
          <w:rFonts w:cs="ITCFranklinGothicStd-Book"/>
          <w:sz w:val="24"/>
          <w:szCs w:val="24"/>
        </w:rPr>
        <w:t xml:space="preserve">overseeing the development of the </w:t>
      </w:r>
      <w:r w:rsidR="00510958">
        <w:rPr>
          <w:rFonts w:cs="ITCFranklinGothicStd-Book"/>
          <w:sz w:val="24"/>
          <w:szCs w:val="24"/>
        </w:rPr>
        <w:t xml:space="preserve">EHLR </w:t>
      </w:r>
      <w:r w:rsidRPr="009D123D">
        <w:rPr>
          <w:rFonts w:cs="ITCFranklinGothicStd-Book"/>
          <w:sz w:val="24"/>
          <w:szCs w:val="24"/>
        </w:rPr>
        <w:t xml:space="preserve">certification </w:t>
      </w:r>
      <w:r w:rsidR="00510958">
        <w:rPr>
          <w:rFonts w:cs="ITCFranklinGothicStd-Book"/>
          <w:sz w:val="24"/>
          <w:szCs w:val="24"/>
        </w:rPr>
        <w:t xml:space="preserve">training </w:t>
      </w:r>
      <w:r w:rsidRPr="009D123D">
        <w:rPr>
          <w:rFonts w:cs="ITCFranklinGothicStd-Book"/>
          <w:sz w:val="24"/>
          <w:szCs w:val="24"/>
        </w:rPr>
        <w:t xml:space="preserve">estimates a contribution of </w:t>
      </w:r>
      <w:r w:rsidR="00346A6A">
        <w:rPr>
          <w:rFonts w:cs="ITCFranklinGothicStd-Book"/>
          <w:sz w:val="24"/>
          <w:szCs w:val="24"/>
        </w:rPr>
        <w:t>2</w:t>
      </w:r>
      <w:r w:rsidR="004E112B">
        <w:rPr>
          <w:rFonts w:cs="ITCFranklinGothicStd-Book"/>
          <w:sz w:val="24"/>
          <w:szCs w:val="24"/>
        </w:rPr>
        <w:t>0</w:t>
      </w:r>
      <w:r w:rsidRPr="009D123D">
        <w:rPr>
          <w:rFonts w:cs="ITCFranklinGothicStd-Book"/>
          <w:sz w:val="24"/>
          <w:szCs w:val="24"/>
        </w:rPr>
        <w:t xml:space="preserve"> hours per week over 20 weeks</w:t>
      </w:r>
      <w:r w:rsidR="00613A10">
        <w:rPr>
          <w:rFonts w:cs="ITCFranklinGothicStd-Book"/>
          <w:sz w:val="24"/>
          <w:szCs w:val="24"/>
        </w:rPr>
        <w:t xml:space="preserve"> in FY23</w:t>
      </w:r>
      <w:r w:rsidRPr="009D123D">
        <w:rPr>
          <w:rFonts w:cs="ITCFranklinGothicStd-Book"/>
          <w:sz w:val="24"/>
          <w:szCs w:val="24"/>
        </w:rPr>
        <w:t xml:space="preserve"> </w:t>
      </w:r>
      <w:r w:rsidR="004E112B">
        <w:rPr>
          <w:rFonts w:cs="ITCFranklinGothicStd-Book"/>
          <w:sz w:val="24"/>
          <w:szCs w:val="24"/>
        </w:rPr>
        <w:t>to continue with the evaluation of the EHLR basic, 10-hour course</w:t>
      </w:r>
      <w:r>
        <w:rPr>
          <w:rFonts w:cs="ITCFranklinGothicStd-Book"/>
          <w:sz w:val="24"/>
          <w:szCs w:val="24"/>
        </w:rPr>
        <w:t>;</w:t>
      </w:r>
      <w:r w:rsidR="00395274">
        <w:rPr>
          <w:rFonts w:cs="ITCFranklinGothicStd-Book"/>
          <w:sz w:val="24"/>
          <w:szCs w:val="24"/>
        </w:rPr>
        <w:t xml:space="preserve"> and to collaboratively develop (with NEHA)</w:t>
      </w:r>
      <w:r w:rsidR="00346A6A">
        <w:rPr>
          <w:rFonts w:cs="ITCFranklinGothicStd-Book"/>
          <w:sz w:val="24"/>
          <w:szCs w:val="24"/>
        </w:rPr>
        <w:t xml:space="preserve">, pilot, and implement </w:t>
      </w:r>
      <w:r w:rsidR="00395274">
        <w:rPr>
          <w:rFonts w:cs="ITCFranklinGothicStd-Book"/>
          <w:sz w:val="24"/>
          <w:szCs w:val="24"/>
        </w:rPr>
        <w:t xml:space="preserve">the EHLR </w:t>
      </w:r>
      <w:r w:rsidR="00291DE5">
        <w:rPr>
          <w:rFonts w:cs="ITCFranklinGothicStd-Book"/>
          <w:sz w:val="24"/>
          <w:szCs w:val="24"/>
        </w:rPr>
        <w:t>Immersion</w:t>
      </w:r>
      <w:r w:rsidR="00395274">
        <w:rPr>
          <w:rFonts w:cs="ITCFranklinGothicStd-Book"/>
          <w:sz w:val="24"/>
          <w:szCs w:val="24"/>
        </w:rPr>
        <w:t xml:space="preserve"> content</w:t>
      </w:r>
      <w:r>
        <w:rPr>
          <w:rFonts w:cs="ITCFranklinGothicStd-Book"/>
          <w:sz w:val="24"/>
          <w:szCs w:val="24"/>
        </w:rPr>
        <w:t xml:space="preserve">. Following the first 20 weeks, the ATSDR Project Officer estimates a contribution of </w:t>
      </w:r>
      <w:r w:rsidRPr="009D123D">
        <w:rPr>
          <w:rFonts w:cs="ITCFranklinGothicStd-Book"/>
          <w:sz w:val="24"/>
          <w:szCs w:val="24"/>
        </w:rPr>
        <w:t xml:space="preserve">1 hour per week for 30 weeks to monitor progress of the </w:t>
      </w:r>
      <w:r w:rsidR="00346A6A">
        <w:rPr>
          <w:rFonts w:cs="ITCFranklinGothicStd-Book"/>
          <w:sz w:val="24"/>
          <w:szCs w:val="24"/>
        </w:rPr>
        <w:t xml:space="preserve">ongoing </w:t>
      </w:r>
      <w:r w:rsidR="00D07E7D">
        <w:rPr>
          <w:rFonts w:cs="ITCFranklinGothicStd-Book"/>
          <w:sz w:val="24"/>
          <w:szCs w:val="24"/>
        </w:rPr>
        <w:t>EHLR training</w:t>
      </w:r>
      <w:r w:rsidRPr="009D123D">
        <w:rPr>
          <w:rFonts w:cs="ITCFranklinGothicStd-Book"/>
          <w:sz w:val="24"/>
          <w:szCs w:val="24"/>
        </w:rPr>
        <w:t xml:space="preserve"> development</w:t>
      </w:r>
      <w:r w:rsidR="00395274">
        <w:rPr>
          <w:rFonts w:cs="ITCFranklinGothicStd-Book"/>
          <w:sz w:val="24"/>
          <w:szCs w:val="24"/>
        </w:rPr>
        <w:t xml:space="preserve"> and implementation</w:t>
      </w:r>
      <w:r w:rsidRPr="009D123D">
        <w:rPr>
          <w:rFonts w:cs="ITCFranklinGothicStd-Book"/>
          <w:sz w:val="24"/>
          <w:szCs w:val="24"/>
        </w:rPr>
        <w:t xml:space="preserve">. The Project Officer estimates a contribution of </w:t>
      </w:r>
      <w:r w:rsidR="00B01862">
        <w:rPr>
          <w:rFonts w:cs="ITCFranklinGothicStd-Book"/>
          <w:sz w:val="24"/>
          <w:szCs w:val="24"/>
        </w:rPr>
        <w:t>4</w:t>
      </w:r>
      <w:r w:rsidRPr="009D123D">
        <w:rPr>
          <w:rFonts w:cs="ITCFranklinGothicStd-Book"/>
          <w:sz w:val="24"/>
          <w:szCs w:val="24"/>
        </w:rPr>
        <w:t xml:space="preserve"> hour</w:t>
      </w:r>
      <w:r w:rsidR="00B01862">
        <w:rPr>
          <w:rFonts w:cs="ITCFranklinGothicStd-Book"/>
          <w:sz w:val="24"/>
          <w:szCs w:val="24"/>
        </w:rPr>
        <w:t>s</w:t>
      </w:r>
      <w:r w:rsidRPr="009D123D">
        <w:rPr>
          <w:rFonts w:cs="ITCFranklinGothicStd-Book"/>
          <w:sz w:val="24"/>
          <w:szCs w:val="24"/>
        </w:rPr>
        <w:t xml:space="preserve"> per week for 50 weeks during years two and three of the </w:t>
      </w:r>
      <w:r w:rsidR="00C057DE">
        <w:rPr>
          <w:rFonts w:cs="ITCFranklinGothicStd-Book"/>
          <w:sz w:val="24"/>
          <w:szCs w:val="24"/>
        </w:rPr>
        <w:t xml:space="preserve">EHLR </w:t>
      </w:r>
      <w:r w:rsidRPr="009D123D">
        <w:rPr>
          <w:rFonts w:cs="ITCFranklinGothicStd-Book"/>
          <w:sz w:val="24"/>
          <w:szCs w:val="24"/>
        </w:rPr>
        <w:t xml:space="preserve">certification </w:t>
      </w:r>
      <w:r w:rsidR="00C057DE">
        <w:rPr>
          <w:rFonts w:cs="ITCFranklinGothicStd-Book"/>
          <w:sz w:val="24"/>
          <w:szCs w:val="24"/>
        </w:rPr>
        <w:t xml:space="preserve">training </w:t>
      </w:r>
      <w:r w:rsidRPr="009D123D">
        <w:rPr>
          <w:rFonts w:cs="ITCFranklinGothicStd-Book"/>
          <w:sz w:val="24"/>
          <w:szCs w:val="24"/>
        </w:rPr>
        <w:t xml:space="preserve">to monitor course progress, analyze participant information, and </w:t>
      </w:r>
      <w:r w:rsidRPr="009D123D">
        <w:rPr>
          <w:rFonts w:cs="ITCFranklinGothicStd-Book"/>
          <w:sz w:val="24"/>
          <w:szCs w:val="24"/>
        </w:rPr>
        <w:t>to potentially create a white paper, presentations, and/or commentary describing the certification course. Using a pay rate of $</w:t>
      </w:r>
      <w:r w:rsidR="00E2605E">
        <w:rPr>
          <w:rFonts w:cs="ITCFranklinGothicStd-Book"/>
          <w:sz w:val="24"/>
          <w:szCs w:val="24"/>
        </w:rPr>
        <w:t>6</w:t>
      </w:r>
      <w:r w:rsidRPr="009D123D">
        <w:rPr>
          <w:rFonts w:cs="ITCFranklinGothicStd-Book"/>
          <w:sz w:val="24"/>
          <w:szCs w:val="24"/>
        </w:rPr>
        <w:t xml:space="preserve">5/hour, the total costs for the Project Officer during year one </w:t>
      </w:r>
      <w:r w:rsidR="0089340F">
        <w:rPr>
          <w:rFonts w:cs="ITCFranklinGothicStd-Book"/>
          <w:sz w:val="24"/>
          <w:szCs w:val="24"/>
        </w:rPr>
        <w:t xml:space="preserve">(FY 23) </w:t>
      </w:r>
      <w:r w:rsidRPr="009D123D">
        <w:rPr>
          <w:rFonts w:cs="ITCFranklinGothicStd-Book"/>
          <w:sz w:val="24"/>
          <w:szCs w:val="24"/>
        </w:rPr>
        <w:t>are projected to be $</w:t>
      </w:r>
      <w:r w:rsidR="00B01862">
        <w:rPr>
          <w:rFonts w:cs="ITCFranklinGothicStd-Book"/>
          <w:sz w:val="24"/>
          <w:szCs w:val="24"/>
        </w:rPr>
        <w:t>27</w:t>
      </w:r>
      <w:r w:rsidRPr="009D123D">
        <w:rPr>
          <w:rFonts w:cs="ITCFranklinGothicStd-Book"/>
          <w:sz w:val="24"/>
          <w:szCs w:val="24"/>
        </w:rPr>
        <w:t>,</w:t>
      </w:r>
      <w:r w:rsidR="00926C4A">
        <w:rPr>
          <w:rFonts w:cs="ITCFranklinGothicStd-Book"/>
          <w:sz w:val="24"/>
          <w:szCs w:val="24"/>
        </w:rPr>
        <w:t>9</w:t>
      </w:r>
      <w:r w:rsidRPr="009D123D">
        <w:rPr>
          <w:rFonts w:cs="ITCFranklinGothicStd-Book"/>
          <w:sz w:val="24"/>
          <w:szCs w:val="24"/>
        </w:rPr>
        <w:t>50.00. During years two and three</w:t>
      </w:r>
      <w:r w:rsidR="00B01862">
        <w:rPr>
          <w:rFonts w:cs="ITCFranklinGothicStd-Book"/>
          <w:sz w:val="24"/>
          <w:szCs w:val="24"/>
        </w:rPr>
        <w:t xml:space="preserve"> (FY 24 and FY 25)</w:t>
      </w:r>
      <w:r w:rsidRPr="009D123D">
        <w:rPr>
          <w:rFonts w:cs="ITCFranklinGothicStd-Book"/>
          <w:sz w:val="24"/>
          <w:szCs w:val="24"/>
        </w:rPr>
        <w:t>, the total costs for the Project Officer are projected to be $</w:t>
      </w:r>
      <w:r w:rsidR="00DA1598">
        <w:rPr>
          <w:rFonts w:cs="ITCFranklinGothicStd-Book"/>
          <w:sz w:val="24"/>
          <w:szCs w:val="24"/>
        </w:rPr>
        <w:t>13</w:t>
      </w:r>
      <w:r w:rsidRPr="009D123D">
        <w:rPr>
          <w:rFonts w:cs="ITCFranklinGothicStd-Book"/>
          <w:sz w:val="24"/>
          <w:szCs w:val="24"/>
        </w:rPr>
        <w:t>,</w:t>
      </w:r>
      <w:r w:rsidR="00DA1598">
        <w:rPr>
          <w:rFonts w:cs="ITCFranklinGothicStd-Book"/>
          <w:sz w:val="24"/>
          <w:szCs w:val="24"/>
        </w:rPr>
        <w:t>00</w:t>
      </w:r>
      <w:r w:rsidRPr="009D123D">
        <w:rPr>
          <w:rFonts w:cs="ITCFranklinGothicStd-Book"/>
          <w:sz w:val="24"/>
          <w:szCs w:val="24"/>
        </w:rPr>
        <w:t>0.00 each year</w:t>
      </w:r>
      <w:r w:rsidR="00DA1598">
        <w:rPr>
          <w:rFonts w:cs="ITCFranklinGothicStd-Book"/>
          <w:sz w:val="24"/>
          <w:szCs w:val="24"/>
        </w:rPr>
        <w:t xml:space="preserve"> ($26,000.00 over two years).</w:t>
      </w:r>
      <w:r w:rsidRPr="009D123D">
        <w:rPr>
          <w:rFonts w:cs="ITCFranklinGothicStd-Book"/>
          <w:sz w:val="24"/>
          <w:szCs w:val="24"/>
        </w:rPr>
        <w:t xml:space="preserve"> The total annualized Project Officer costs are projected to be $</w:t>
      </w:r>
      <w:r w:rsidR="00BE76FF">
        <w:rPr>
          <w:rFonts w:cs="ITCFranklinGothicStd-Book"/>
          <w:sz w:val="24"/>
          <w:szCs w:val="24"/>
        </w:rPr>
        <w:t>53,950</w:t>
      </w:r>
      <w:r w:rsidRPr="009D123D">
        <w:rPr>
          <w:rFonts w:cs="ITCFranklinGothicStd-Book"/>
          <w:sz w:val="24"/>
          <w:szCs w:val="24"/>
        </w:rPr>
        <w:t xml:space="preserve"> over the three-year period, or an average of $</w:t>
      </w:r>
      <w:r w:rsidR="00EF192D">
        <w:rPr>
          <w:rFonts w:cs="ITCFranklinGothicStd-Book"/>
          <w:sz w:val="24"/>
          <w:szCs w:val="24"/>
        </w:rPr>
        <w:t>1</w:t>
      </w:r>
      <w:r w:rsidR="001303AE">
        <w:rPr>
          <w:rFonts w:cs="ITCFranklinGothicStd-Book"/>
          <w:sz w:val="24"/>
          <w:szCs w:val="24"/>
        </w:rPr>
        <w:t>7</w:t>
      </w:r>
      <w:r w:rsidR="00EF192D">
        <w:rPr>
          <w:rFonts w:cs="ITCFranklinGothicStd-Book"/>
          <w:sz w:val="24"/>
          <w:szCs w:val="24"/>
        </w:rPr>
        <w:t>,</w:t>
      </w:r>
      <w:r w:rsidR="001303AE">
        <w:rPr>
          <w:rFonts w:cs="ITCFranklinGothicStd-Book"/>
          <w:sz w:val="24"/>
          <w:szCs w:val="24"/>
        </w:rPr>
        <w:t>983.33</w:t>
      </w:r>
      <w:r w:rsidR="00EF192D">
        <w:rPr>
          <w:rFonts w:cs="ITCFranklinGothicStd-Book"/>
          <w:sz w:val="24"/>
          <w:szCs w:val="24"/>
        </w:rPr>
        <w:t xml:space="preserve"> </w:t>
      </w:r>
      <w:r w:rsidRPr="009D123D">
        <w:rPr>
          <w:rFonts w:cs="ITCFranklinGothicStd-Book"/>
          <w:sz w:val="24"/>
          <w:szCs w:val="24"/>
        </w:rPr>
        <w:t>per year.</w:t>
      </w:r>
      <w:r w:rsidR="00002753">
        <w:rPr>
          <w:rFonts w:cs="ITCFranklinGothicStd-Book"/>
          <w:sz w:val="24"/>
          <w:szCs w:val="24"/>
        </w:rPr>
        <w:t xml:space="preserve"> </w:t>
      </w:r>
    </w:p>
    <w:p w:rsidR="00CB7D15" w:rsidP="009D123D" w14:paraId="52CA2F56" w14:textId="77777777">
      <w:pPr>
        <w:autoSpaceDE w:val="0"/>
        <w:autoSpaceDN w:val="0"/>
        <w:adjustRightInd w:val="0"/>
        <w:spacing w:line="240" w:lineRule="auto"/>
        <w:rPr>
          <w:rFonts w:cs="ITCFranklinGothicStd-Book"/>
          <w:sz w:val="24"/>
          <w:szCs w:val="24"/>
        </w:rPr>
      </w:pPr>
      <w:r>
        <w:rPr>
          <w:rFonts w:cs="ITCFranklinGothicStd-Book"/>
          <w:sz w:val="24"/>
          <w:szCs w:val="24"/>
        </w:rPr>
        <w:t>Using a pay rate of $65/hour, the total costs for an ATSDR statistician</w:t>
      </w:r>
      <w:r w:rsidR="00AF2661">
        <w:rPr>
          <w:rFonts w:cs="ITCFranklinGothicStd-Book"/>
          <w:sz w:val="24"/>
          <w:szCs w:val="24"/>
        </w:rPr>
        <w:t xml:space="preserve"> to </w:t>
      </w:r>
      <w:r>
        <w:rPr>
          <w:rFonts w:cs="ITCFranklinGothicStd-Book"/>
          <w:sz w:val="24"/>
          <w:szCs w:val="24"/>
        </w:rPr>
        <w:t xml:space="preserve">assist with </w:t>
      </w:r>
      <w:r w:rsidR="00EF3CC8">
        <w:rPr>
          <w:rFonts w:cs="ITCFranklinGothicStd-Book"/>
          <w:sz w:val="24"/>
          <w:szCs w:val="24"/>
        </w:rPr>
        <w:t xml:space="preserve">the EHLR certificate evaluation and the writing of one to two manuscripts is 1 hour per week for 50 weeks in </w:t>
      </w:r>
      <w:r w:rsidR="00DF45C3">
        <w:rPr>
          <w:rFonts w:cs="ITCFranklinGothicStd-Book"/>
          <w:sz w:val="24"/>
          <w:szCs w:val="24"/>
        </w:rPr>
        <w:t>FY 23</w:t>
      </w:r>
      <w:r w:rsidR="00EF3CC8">
        <w:rPr>
          <w:rFonts w:cs="ITCFranklinGothicStd-Book"/>
          <w:sz w:val="24"/>
          <w:szCs w:val="24"/>
        </w:rPr>
        <w:t xml:space="preserve"> and 1 hour per week for 10 weeks in FY 2</w:t>
      </w:r>
      <w:r w:rsidR="00DF45C3">
        <w:rPr>
          <w:rFonts w:cs="ITCFranklinGothicStd-Book"/>
          <w:sz w:val="24"/>
          <w:szCs w:val="24"/>
        </w:rPr>
        <w:t>4</w:t>
      </w:r>
      <w:r w:rsidR="003832D1">
        <w:rPr>
          <w:rFonts w:cs="ITCFranklinGothicStd-Book"/>
          <w:sz w:val="24"/>
          <w:szCs w:val="24"/>
        </w:rPr>
        <w:t xml:space="preserve">. The total costs for the statistician are estimated to be $3,900.00 </w:t>
      </w:r>
      <w:r w:rsidR="00C56C88">
        <w:rPr>
          <w:rFonts w:cs="ITCFranklinGothicStd-Book"/>
          <w:sz w:val="24"/>
          <w:szCs w:val="24"/>
        </w:rPr>
        <w:t>over two years</w:t>
      </w:r>
      <w:r w:rsidR="001303AE">
        <w:rPr>
          <w:rFonts w:cs="ITCFranklinGothicStd-Book"/>
          <w:sz w:val="24"/>
          <w:szCs w:val="24"/>
        </w:rPr>
        <w:t xml:space="preserve"> or </w:t>
      </w:r>
      <w:r w:rsidR="000C3FEE">
        <w:rPr>
          <w:rFonts w:cs="ITCFranklinGothicStd-Book"/>
          <w:sz w:val="24"/>
          <w:szCs w:val="24"/>
        </w:rPr>
        <w:t>$1,950.00 per year</w:t>
      </w:r>
      <w:r w:rsidR="00C56C88">
        <w:rPr>
          <w:rFonts w:cs="ITCFranklinGothicStd-Book"/>
          <w:sz w:val="24"/>
          <w:szCs w:val="24"/>
        </w:rPr>
        <w:t xml:space="preserve">. </w:t>
      </w:r>
    </w:p>
    <w:p w:rsidR="009D123D" w:rsidP="009D123D" w14:paraId="6DE25C7A" w14:textId="30D7AF14">
      <w:pPr>
        <w:autoSpaceDE w:val="0"/>
        <w:autoSpaceDN w:val="0"/>
        <w:adjustRightInd w:val="0"/>
        <w:spacing w:line="240" w:lineRule="auto"/>
        <w:rPr>
          <w:rFonts w:cs="ITCFranklinGothicStd-Book"/>
          <w:sz w:val="24"/>
          <w:szCs w:val="24"/>
        </w:rPr>
      </w:pPr>
      <w:r>
        <w:rPr>
          <w:rFonts w:cs="ITCFranklinGothicStd-Book"/>
          <w:sz w:val="24"/>
          <w:szCs w:val="24"/>
        </w:rPr>
        <w:t xml:space="preserve">For EHLR live/virtual trainings, </w:t>
      </w:r>
      <w:r w:rsidR="000C3FEE">
        <w:rPr>
          <w:rFonts w:cs="ITCFranklinGothicStd-Book"/>
          <w:sz w:val="24"/>
          <w:szCs w:val="24"/>
        </w:rPr>
        <w:t>one</w:t>
      </w:r>
      <w:r w:rsidR="00CC3372">
        <w:rPr>
          <w:rFonts w:cs="ITCFranklinGothicStd-Book"/>
          <w:sz w:val="24"/>
          <w:szCs w:val="24"/>
        </w:rPr>
        <w:t xml:space="preserve"> </w:t>
      </w:r>
      <w:r w:rsidR="00CB7D15">
        <w:rPr>
          <w:rFonts w:cs="ITCFranklinGothicStd-Book"/>
          <w:sz w:val="24"/>
          <w:szCs w:val="24"/>
        </w:rPr>
        <w:t xml:space="preserve">additional </w:t>
      </w:r>
      <w:r>
        <w:rPr>
          <w:rFonts w:cs="ITCFranklinGothicStd-Book"/>
          <w:sz w:val="24"/>
          <w:szCs w:val="24"/>
        </w:rPr>
        <w:t xml:space="preserve">ATSDR </w:t>
      </w:r>
      <w:r w:rsidR="000C3FEE">
        <w:rPr>
          <w:rFonts w:cs="ITCFranklinGothicStd-Book"/>
          <w:sz w:val="24"/>
          <w:szCs w:val="24"/>
        </w:rPr>
        <w:t xml:space="preserve">staff </w:t>
      </w:r>
      <w:r>
        <w:rPr>
          <w:rFonts w:cs="ITCFranklinGothicStd-Book"/>
          <w:sz w:val="24"/>
          <w:szCs w:val="24"/>
        </w:rPr>
        <w:t xml:space="preserve">may </w:t>
      </w:r>
      <w:r w:rsidR="000C3FEE">
        <w:rPr>
          <w:rFonts w:cs="ITCFranklinGothicStd-Book"/>
          <w:sz w:val="24"/>
          <w:szCs w:val="24"/>
        </w:rPr>
        <w:t xml:space="preserve">serve as </w:t>
      </w:r>
      <w:r w:rsidR="00CC3372">
        <w:rPr>
          <w:rFonts w:cs="ITCFranklinGothicStd-Book"/>
          <w:sz w:val="24"/>
          <w:szCs w:val="24"/>
        </w:rPr>
        <w:t xml:space="preserve">an </w:t>
      </w:r>
      <w:r w:rsidR="000C3FEE">
        <w:rPr>
          <w:rFonts w:cs="ITCFranklinGothicStd-Book"/>
          <w:sz w:val="24"/>
          <w:szCs w:val="24"/>
        </w:rPr>
        <w:t>instructor</w:t>
      </w:r>
      <w:r>
        <w:rPr>
          <w:rFonts w:cs="ITCFranklinGothicStd-Book"/>
          <w:sz w:val="24"/>
          <w:szCs w:val="24"/>
        </w:rPr>
        <w:t xml:space="preserve"> in the trainings. The </w:t>
      </w:r>
      <w:r w:rsidR="007E6F78">
        <w:rPr>
          <w:rFonts w:cs="ITCFranklinGothicStd-Book"/>
          <w:sz w:val="24"/>
          <w:szCs w:val="24"/>
        </w:rPr>
        <w:t xml:space="preserve">ATSDR staff </w:t>
      </w:r>
      <w:r w:rsidR="00CC3372">
        <w:rPr>
          <w:rFonts w:cs="ITCFranklinGothicStd-Book"/>
          <w:sz w:val="24"/>
          <w:szCs w:val="24"/>
        </w:rPr>
        <w:t>is an</w:t>
      </w:r>
      <w:r w:rsidR="007E6F78">
        <w:rPr>
          <w:rFonts w:cs="ITCFranklinGothicStd-Book"/>
          <w:sz w:val="24"/>
          <w:szCs w:val="24"/>
        </w:rPr>
        <w:t xml:space="preserve"> environmental </w:t>
      </w:r>
      <w:r w:rsidR="00A11C9F">
        <w:rPr>
          <w:rFonts w:cs="ITCFranklinGothicStd-Book"/>
          <w:sz w:val="24"/>
          <w:szCs w:val="24"/>
        </w:rPr>
        <w:t xml:space="preserve">or </w:t>
      </w:r>
      <w:r w:rsidR="007E6F78">
        <w:rPr>
          <w:rFonts w:cs="ITCFranklinGothicStd-Book"/>
          <w:sz w:val="24"/>
          <w:szCs w:val="24"/>
        </w:rPr>
        <w:t xml:space="preserve">health scientist with an estimated hourly salary of $65/hour. The ATSDR </w:t>
      </w:r>
      <w:r w:rsidR="00CC3372">
        <w:rPr>
          <w:rFonts w:cs="ITCFranklinGothicStd-Book"/>
          <w:sz w:val="24"/>
          <w:szCs w:val="24"/>
        </w:rPr>
        <w:t>staff is estimated</w:t>
      </w:r>
      <w:r w:rsidR="007E6F78">
        <w:rPr>
          <w:rFonts w:cs="ITCFranklinGothicStd-Book"/>
          <w:sz w:val="24"/>
          <w:szCs w:val="24"/>
        </w:rPr>
        <w:t xml:space="preserve"> to </w:t>
      </w:r>
      <w:r w:rsidR="008A460D">
        <w:rPr>
          <w:rFonts w:cs="ITCFranklinGothicStd-Book"/>
          <w:sz w:val="24"/>
          <w:szCs w:val="24"/>
        </w:rPr>
        <w:t xml:space="preserve">provide </w:t>
      </w:r>
      <w:r w:rsidR="00F0582E">
        <w:rPr>
          <w:rFonts w:cs="ITCFranklinGothicStd-Book"/>
          <w:sz w:val="24"/>
          <w:szCs w:val="24"/>
        </w:rPr>
        <w:t>2</w:t>
      </w:r>
      <w:r w:rsidR="008A460D">
        <w:rPr>
          <w:rFonts w:cs="ITCFranklinGothicStd-Book"/>
          <w:sz w:val="24"/>
          <w:szCs w:val="24"/>
        </w:rPr>
        <w:t xml:space="preserve">0 hours per year total of instruction over a three-year period, or </w:t>
      </w:r>
      <w:r w:rsidR="00975CC4">
        <w:rPr>
          <w:rFonts w:cs="ITCFranklinGothicStd-Book"/>
          <w:sz w:val="24"/>
          <w:szCs w:val="24"/>
        </w:rPr>
        <w:t>6</w:t>
      </w:r>
      <w:r w:rsidR="008A460D">
        <w:rPr>
          <w:rFonts w:cs="ITCFranklinGothicStd-Book"/>
          <w:sz w:val="24"/>
          <w:szCs w:val="24"/>
        </w:rPr>
        <w:t xml:space="preserve">0 hours, totaling </w:t>
      </w:r>
      <w:r w:rsidR="00AC1913">
        <w:rPr>
          <w:rFonts w:cs="ITCFranklinGothicStd-Book"/>
          <w:sz w:val="24"/>
          <w:szCs w:val="24"/>
        </w:rPr>
        <w:t>$</w:t>
      </w:r>
      <w:r w:rsidR="00764340">
        <w:rPr>
          <w:rFonts w:cs="ITCFranklinGothicStd-Book"/>
          <w:sz w:val="24"/>
          <w:szCs w:val="24"/>
        </w:rPr>
        <w:t>3</w:t>
      </w:r>
      <w:r w:rsidR="00AC1913">
        <w:rPr>
          <w:rFonts w:cs="ITCFranklinGothicStd-Book"/>
          <w:sz w:val="24"/>
          <w:szCs w:val="24"/>
        </w:rPr>
        <w:t>,</w:t>
      </w:r>
      <w:r w:rsidR="00764340">
        <w:rPr>
          <w:rFonts w:cs="ITCFranklinGothicStd-Book"/>
          <w:sz w:val="24"/>
          <w:szCs w:val="24"/>
        </w:rPr>
        <w:t>90</w:t>
      </w:r>
      <w:r w:rsidR="00AC1913">
        <w:rPr>
          <w:rFonts w:cs="ITCFranklinGothicStd-Book"/>
          <w:sz w:val="24"/>
          <w:szCs w:val="24"/>
        </w:rPr>
        <w:t xml:space="preserve">0 </w:t>
      </w:r>
      <w:r w:rsidR="00764340">
        <w:rPr>
          <w:rFonts w:cs="ITCFranklinGothicStd-Book"/>
          <w:sz w:val="24"/>
          <w:szCs w:val="24"/>
        </w:rPr>
        <w:t xml:space="preserve">over three years or </w:t>
      </w:r>
      <w:r w:rsidR="00C40227">
        <w:rPr>
          <w:rFonts w:cs="ITCFranklinGothicStd-Book"/>
          <w:sz w:val="24"/>
          <w:szCs w:val="24"/>
        </w:rPr>
        <w:t>$</w:t>
      </w:r>
      <w:r w:rsidR="008614B0">
        <w:rPr>
          <w:rFonts w:cs="ITCFranklinGothicStd-Book"/>
          <w:sz w:val="24"/>
          <w:szCs w:val="24"/>
        </w:rPr>
        <w:t>1</w:t>
      </w:r>
      <w:r w:rsidR="00C40227">
        <w:rPr>
          <w:rFonts w:cs="ITCFranklinGothicStd-Book"/>
          <w:sz w:val="24"/>
          <w:szCs w:val="24"/>
        </w:rPr>
        <w:t>,</w:t>
      </w:r>
      <w:r w:rsidR="008614B0">
        <w:rPr>
          <w:rFonts w:cs="ITCFranklinGothicStd-Book"/>
          <w:sz w:val="24"/>
          <w:szCs w:val="24"/>
        </w:rPr>
        <w:t>3</w:t>
      </w:r>
      <w:r w:rsidR="00C40227">
        <w:rPr>
          <w:rFonts w:cs="ITCFranklinGothicStd-Book"/>
          <w:sz w:val="24"/>
          <w:szCs w:val="24"/>
        </w:rPr>
        <w:t>00 per year</w:t>
      </w:r>
      <w:r w:rsidR="00AC1913">
        <w:rPr>
          <w:rFonts w:cs="ITCFranklinGothicStd-Book"/>
          <w:sz w:val="24"/>
          <w:szCs w:val="24"/>
        </w:rPr>
        <w:t>.</w:t>
      </w:r>
      <w:r w:rsidR="000216A4">
        <w:rPr>
          <w:rFonts w:cs="ITCFranklinGothicStd-Book"/>
          <w:sz w:val="24"/>
          <w:szCs w:val="24"/>
        </w:rPr>
        <w:t xml:space="preserve"> </w:t>
      </w:r>
    </w:p>
    <w:p w:rsidR="000216A4" w:rsidRPr="009D123D" w:rsidP="009D123D" w14:paraId="19F44C01" w14:textId="7133117B">
      <w:pPr>
        <w:autoSpaceDE w:val="0"/>
        <w:autoSpaceDN w:val="0"/>
        <w:adjustRightInd w:val="0"/>
        <w:spacing w:line="240" w:lineRule="auto"/>
        <w:rPr>
          <w:rFonts w:cs="ITCFranklinGothicStd-Book"/>
          <w:sz w:val="24"/>
          <w:szCs w:val="24"/>
        </w:rPr>
      </w:pPr>
      <w:r>
        <w:rPr>
          <w:rFonts w:cs="ITCFranklinGothicStd-Book"/>
          <w:sz w:val="24"/>
          <w:szCs w:val="24"/>
        </w:rPr>
        <w:t>The total annualized cost to the federal government is estimated to be $116,233.33.</w:t>
      </w:r>
    </w:p>
    <w:p w:rsidR="009D123D" w:rsidRPr="009D123D" w:rsidP="00BA2F53" w14:paraId="1F8170B6" w14:textId="77777777">
      <w:pPr>
        <w:autoSpaceDE w:val="0"/>
        <w:autoSpaceDN w:val="0"/>
        <w:adjustRightInd w:val="0"/>
        <w:spacing w:before="240" w:line="240" w:lineRule="auto"/>
        <w:rPr>
          <w:rFonts w:cs="ITCFranklinGothicStd-Book"/>
          <w:sz w:val="24"/>
          <w:szCs w:val="24"/>
        </w:rPr>
      </w:pPr>
      <w:r w:rsidRPr="009D123D">
        <w:rPr>
          <w:rFonts w:cs="ITCFranklinGothicStd-Book"/>
          <w:sz w:val="24"/>
          <w:szCs w:val="24"/>
        </w:rPr>
        <w:t>Table 14.1-Estimated Annualized Cost to the Federal Government</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8"/>
        <w:gridCol w:w="5102"/>
      </w:tblGrid>
      <w:tr w14:paraId="163EE514" w14:textId="77777777" w:rsidTr="00BF1BC3">
        <w:tblPrEx>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30"/>
        </w:trPr>
        <w:tc>
          <w:tcPr>
            <w:tcW w:w="5248" w:type="dxa"/>
          </w:tcPr>
          <w:p w:rsidR="009D123D" w:rsidRPr="009D123D" w:rsidP="009D123D" w14:paraId="43CDA852" w14:textId="77777777">
            <w:pPr>
              <w:autoSpaceDE w:val="0"/>
              <w:autoSpaceDN w:val="0"/>
              <w:adjustRightInd w:val="0"/>
              <w:spacing w:line="240" w:lineRule="auto"/>
              <w:rPr>
                <w:rFonts w:cs="ITCFranklinGothicStd-Book"/>
                <w:sz w:val="24"/>
                <w:szCs w:val="24"/>
              </w:rPr>
            </w:pPr>
            <w:r w:rsidRPr="009D123D">
              <w:rPr>
                <w:rFonts w:cs="ITCFranklinGothicStd-Book"/>
                <w:sz w:val="24"/>
                <w:szCs w:val="24"/>
              </w:rPr>
              <w:t>Expenditure</w:t>
            </w:r>
          </w:p>
        </w:tc>
        <w:tc>
          <w:tcPr>
            <w:tcW w:w="5102" w:type="dxa"/>
          </w:tcPr>
          <w:p w:rsidR="009D123D" w:rsidRPr="009D123D" w:rsidP="009D123D" w14:paraId="43BF2017" w14:textId="77777777">
            <w:pPr>
              <w:autoSpaceDE w:val="0"/>
              <w:autoSpaceDN w:val="0"/>
              <w:adjustRightInd w:val="0"/>
              <w:spacing w:line="240" w:lineRule="auto"/>
              <w:rPr>
                <w:rFonts w:cs="ITCFranklinGothicStd-Book"/>
                <w:sz w:val="24"/>
                <w:szCs w:val="24"/>
              </w:rPr>
            </w:pPr>
            <w:r w:rsidRPr="009D123D">
              <w:rPr>
                <w:rFonts w:cs="ITCFranklinGothicStd-Book"/>
                <w:sz w:val="24"/>
                <w:szCs w:val="24"/>
              </w:rPr>
              <w:t>Cost</w:t>
            </w:r>
          </w:p>
        </w:tc>
      </w:tr>
      <w:tr w14:paraId="39D32551" w14:textId="77777777" w:rsidTr="00BF1BC3">
        <w:tblPrEx>
          <w:tblW w:w="10350" w:type="dxa"/>
          <w:tblInd w:w="-185" w:type="dxa"/>
          <w:tblLook w:val="00A0"/>
        </w:tblPrEx>
        <w:trPr>
          <w:trHeight w:val="430"/>
        </w:trPr>
        <w:tc>
          <w:tcPr>
            <w:tcW w:w="5248" w:type="dxa"/>
          </w:tcPr>
          <w:p w:rsidR="009D123D" w:rsidRPr="009D123D" w:rsidP="009D123D" w14:paraId="05E6F820" w14:textId="77777777">
            <w:pPr>
              <w:autoSpaceDE w:val="0"/>
              <w:autoSpaceDN w:val="0"/>
              <w:adjustRightInd w:val="0"/>
              <w:spacing w:line="240" w:lineRule="auto"/>
              <w:rPr>
                <w:rFonts w:cs="ITCFranklinGothicStd-Book"/>
                <w:sz w:val="24"/>
                <w:szCs w:val="24"/>
              </w:rPr>
            </w:pPr>
            <w:r w:rsidRPr="009D123D">
              <w:rPr>
                <w:rFonts w:cs="ITCFranklinGothicStd-Book"/>
                <w:sz w:val="24"/>
                <w:szCs w:val="24"/>
              </w:rPr>
              <w:t>Contract</w:t>
            </w:r>
          </w:p>
        </w:tc>
        <w:tc>
          <w:tcPr>
            <w:tcW w:w="5102" w:type="dxa"/>
          </w:tcPr>
          <w:p w:rsidR="009D123D" w:rsidRPr="009D123D" w:rsidP="009D123D" w14:paraId="08C99E86" w14:textId="32C685F8">
            <w:pPr>
              <w:autoSpaceDE w:val="0"/>
              <w:autoSpaceDN w:val="0"/>
              <w:adjustRightInd w:val="0"/>
              <w:spacing w:line="240" w:lineRule="auto"/>
              <w:rPr>
                <w:rFonts w:cs="ITCFranklinGothicStd-Book"/>
                <w:sz w:val="24"/>
                <w:szCs w:val="24"/>
              </w:rPr>
            </w:pPr>
            <w:r w:rsidRPr="009D123D">
              <w:rPr>
                <w:rFonts w:cs="ITCFranklinGothicStd-Book"/>
                <w:sz w:val="24"/>
                <w:szCs w:val="24"/>
              </w:rPr>
              <w:t>$</w:t>
            </w:r>
            <w:r w:rsidR="003F2992">
              <w:rPr>
                <w:rFonts w:cs="ITCFranklinGothicStd-Book"/>
                <w:sz w:val="24"/>
                <w:szCs w:val="24"/>
              </w:rPr>
              <w:t>85,000</w:t>
            </w:r>
          </w:p>
        </w:tc>
      </w:tr>
      <w:tr w14:paraId="59276A87" w14:textId="77777777" w:rsidTr="00BF1BC3">
        <w:tblPrEx>
          <w:tblW w:w="10350" w:type="dxa"/>
          <w:tblInd w:w="-185" w:type="dxa"/>
          <w:tblLook w:val="00A0"/>
        </w:tblPrEx>
        <w:trPr>
          <w:trHeight w:val="430"/>
        </w:trPr>
        <w:tc>
          <w:tcPr>
            <w:tcW w:w="5248" w:type="dxa"/>
          </w:tcPr>
          <w:p w:rsidR="009D123D" w:rsidRPr="009D123D" w:rsidP="009D123D" w14:paraId="744B5576" w14:textId="2C0B197B">
            <w:pPr>
              <w:autoSpaceDE w:val="0"/>
              <w:autoSpaceDN w:val="0"/>
              <w:adjustRightInd w:val="0"/>
              <w:spacing w:line="240" w:lineRule="auto"/>
              <w:rPr>
                <w:rFonts w:cs="ITCFranklinGothicStd-Book"/>
                <w:sz w:val="24"/>
                <w:szCs w:val="24"/>
              </w:rPr>
            </w:pPr>
            <w:r w:rsidRPr="009D123D">
              <w:rPr>
                <w:rFonts w:cs="ITCFranklinGothicStd-Book"/>
                <w:sz w:val="24"/>
                <w:szCs w:val="24"/>
              </w:rPr>
              <w:t>ATSDR Salar</w:t>
            </w:r>
            <w:r w:rsidR="00EC51D4">
              <w:rPr>
                <w:rFonts w:cs="ITCFranklinGothicStd-Book"/>
                <w:sz w:val="24"/>
                <w:szCs w:val="24"/>
              </w:rPr>
              <w:t>ies (total)</w:t>
            </w:r>
          </w:p>
        </w:tc>
        <w:tc>
          <w:tcPr>
            <w:tcW w:w="5102" w:type="dxa"/>
          </w:tcPr>
          <w:p w:rsidR="009D123D" w:rsidRPr="009D123D" w:rsidP="009D123D" w14:paraId="091A832F" w14:textId="07F68CC2">
            <w:pPr>
              <w:autoSpaceDE w:val="0"/>
              <w:autoSpaceDN w:val="0"/>
              <w:adjustRightInd w:val="0"/>
              <w:spacing w:line="240" w:lineRule="auto"/>
              <w:rPr>
                <w:rFonts w:cs="ITCFranklinGothicStd-Book"/>
                <w:sz w:val="24"/>
                <w:szCs w:val="24"/>
              </w:rPr>
            </w:pPr>
            <w:r w:rsidRPr="009D123D">
              <w:rPr>
                <w:rFonts w:cs="ITCFranklinGothicStd-Book"/>
                <w:sz w:val="24"/>
                <w:szCs w:val="24"/>
              </w:rPr>
              <w:t>$2</w:t>
            </w:r>
            <w:r w:rsidR="006A3AC5">
              <w:rPr>
                <w:rFonts w:cs="ITCFranklinGothicStd-Book"/>
                <w:sz w:val="24"/>
                <w:szCs w:val="24"/>
              </w:rPr>
              <w:t>1</w:t>
            </w:r>
            <w:r w:rsidRPr="009D123D">
              <w:rPr>
                <w:rFonts w:cs="ITCFranklinGothicStd-Book"/>
                <w:sz w:val="24"/>
                <w:szCs w:val="24"/>
              </w:rPr>
              <w:t>,</w:t>
            </w:r>
            <w:r w:rsidR="006A3AC5">
              <w:rPr>
                <w:rFonts w:cs="ITCFranklinGothicStd-Book"/>
                <w:sz w:val="24"/>
                <w:szCs w:val="24"/>
              </w:rPr>
              <w:t>2</w:t>
            </w:r>
            <w:r w:rsidR="004D7B59">
              <w:rPr>
                <w:rFonts w:cs="ITCFranklinGothicStd-Book"/>
                <w:sz w:val="24"/>
                <w:szCs w:val="24"/>
              </w:rPr>
              <w:t>33.33</w:t>
            </w:r>
          </w:p>
        </w:tc>
      </w:tr>
      <w:tr w14:paraId="0976C822" w14:textId="77777777" w:rsidTr="00BF1BC3">
        <w:tblPrEx>
          <w:tblW w:w="10350" w:type="dxa"/>
          <w:tblInd w:w="-185" w:type="dxa"/>
          <w:tblLook w:val="00A0"/>
        </w:tblPrEx>
        <w:trPr>
          <w:trHeight w:val="430"/>
        </w:trPr>
        <w:tc>
          <w:tcPr>
            <w:tcW w:w="5248" w:type="dxa"/>
            <w:vAlign w:val="center"/>
          </w:tcPr>
          <w:p w:rsidR="009D123D" w:rsidRPr="009D123D" w:rsidP="009D123D" w14:paraId="582EAFAF" w14:textId="07F5A8CD">
            <w:pPr>
              <w:autoSpaceDE w:val="0"/>
              <w:autoSpaceDN w:val="0"/>
              <w:adjustRightInd w:val="0"/>
              <w:spacing w:line="240" w:lineRule="auto"/>
              <w:rPr>
                <w:rFonts w:cs="ITCFranklinGothicStd-Book"/>
                <w:sz w:val="24"/>
                <w:szCs w:val="24"/>
              </w:rPr>
            </w:pPr>
            <w:r w:rsidRPr="009D123D">
              <w:rPr>
                <w:rFonts w:cs="ITCFranklinGothicStd-Book"/>
                <w:sz w:val="24"/>
                <w:szCs w:val="24"/>
              </w:rPr>
              <w:t>Travel for Site Visits</w:t>
            </w:r>
            <w:r w:rsidR="004D7B59">
              <w:rPr>
                <w:rFonts w:cs="ITCFranklinGothicStd-Book"/>
                <w:sz w:val="24"/>
                <w:szCs w:val="24"/>
              </w:rPr>
              <w:t xml:space="preserve"> (e.g., conferences)</w:t>
            </w:r>
          </w:p>
        </w:tc>
        <w:tc>
          <w:tcPr>
            <w:tcW w:w="5102" w:type="dxa"/>
          </w:tcPr>
          <w:p w:rsidR="009D123D" w:rsidRPr="009D123D" w:rsidP="009D123D" w14:paraId="1216A2F8" w14:textId="598D5E19">
            <w:pPr>
              <w:autoSpaceDE w:val="0"/>
              <w:autoSpaceDN w:val="0"/>
              <w:adjustRightInd w:val="0"/>
              <w:spacing w:line="240" w:lineRule="auto"/>
              <w:rPr>
                <w:rFonts w:cs="ITCFranklinGothicStd-Book"/>
                <w:sz w:val="24"/>
                <w:szCs w:val="24"/>
              </w:rPr>
            </w:pPr>
            <w:r w:rsidRPr="009D123D">
              <w:rPr>
                <w:rFonts w:cs="ITCFranklinGothicStd-Book"/>
                <w:sz w:val="24"/>
                <w:szCs w:val="24"/>
              </w:rPr>
              <w:t>$</w:t>
            </w:r>
            <w:r w:rsidR="000F1432">
              <w:rPr>
                <w:rFonts w:cs="ITCFranklinGothicStd-Book"/>
                <w:sz w:val="24"/>
                <w:szCs w:val="24"/>
              </w:rPr>
              <w:t>10,000</w:t>
            </w:r>
          </w:p>
        </w:tc>
      </w:tr>
      <w:tr w14:paraId="4235D784" w14:textId="77777777" w:rsidTr="00BF1BC3">
        <w:tblPrEx>
          <w:tblW w:w="10350" w:type="dxa"/>
          <w:tblInd w:w="-185" w:type="dxa"/>
          <w:tblLook w:val="00A0"/>
        </w:tblPrEx>
        <w:trPr>
          <w:trHeight w:val="485"/>
        </w:trPr>
        <w:tc>
          <w:tcPr>
            <w:tcW w:w="5248" w:type="dxa"/>
            <w:vAlign w:val="center"/>
          </w:tcPr>
          <w:p w:rsidR="009D123D" w:rsidRPr="009D123D" w:rsidP="009D123D" w14:paraId="2CE87122" w14:textId="77777777">
            <w:pPr>
              <w:autoSpaceDE w:val="0"/>
              <w:autoSpaceDN w:val="0"/>
              <w:adjustRightInd w:val="0"/>
              <w:spacing w:line="240" w:lineRule="auto"/>
              <w:rPr>
                <w:rFonts w:cs="ITCFranklinGothicStd-Book"/>
                <w:sz w:val="24"/>
                <w:szCs w:val="24"/>
              </w:rPr>
            </w:pPr>
            <w:r w:rsidRPr="009D123D">
              <w:rPr>
                <w:rFonts w:cs="ITCFranklinGothicStd-Book"/>
                <w:sz w:val="24"/>
                <w:szCs w:val="24"/>
              </w:rPr>
              <w:t xml:space="preserve">Total       </w:t>
            </w:r>
          </w:p>
        </w:tc>
        <w:tc>
          <w:tcPr>
            <w:tcW w:w="5102" w:type="dxa"/>
          </w:tcPr>
          <w:p w:rsidR="009D123D" w:rsidRPr="009D123D" w:rsidP="009D123D" w14:paraId="43201E43" w14:textId="462EC112">
            <w:pPr>
              <w:autoSpaceDE w:val="0"/>
              <w:autoSpaceDN w:val="0"/>
              <w:adjustRightInd w:val="0"/>
              <w:spacing w:line="240" w:lineRule="auto"/>
              <w:rPr>
                <w:rFonts w:cs="ITCFranklinGothicStd-Book"/>
                <w:sz w:val="24"/>
                <w:szCs w:val="24"/>
              </w:rPr>
            </w:pPr>
            <w:r w:rsidRPr="009D123D">
              <w:rPr>
                <w:rFonts w:cs="ITCFranklinGothicStd-Book"/>
                <w:sz w:val="24"/>
                <w:szCs w:val="24"/>
              </w:rPr>
              <w:t>$</w:t>
            </w:r>
            <w:r w:rsidR="00FA2EAE">
              <w:rPr>
                <w:rFonts w:cs="ITCFranklinGothicStd-Book"/>
                <w:sz w:val="24"/>
                <w:szCs w:val="24"/>
              </w:rPr>
              <w:t>116</w:t>
            </w:r>
            <w:r w:rsidR="008D5490">
              <w:rPr>
                <w:rFonts w:cs="ITCFranklinGothicStd-Book"/>
                <w:sz w:val="24"/>
                <w:szCs w:val="24"/>
              </w:rPr>
              <w:t>,233.33</w:t>
            </w:r>
          </w:p>
        </w:tc>
      </w:tr>
    </w:tbl>
    <w:p w:rsidR="009D123D" w:rsidRPr="009D123D" w:rsidP="009D123D" w14:paraId="2699C15D" w14:textId="428339B4">
      <w:pPr>
        <w:autoSpaceDE w:val="0"/>
        <w:autoSpaceDN w:val="0"/>
        <w:adjustRightInd w:val="0"/>
        <w:spacing w:line="240" w:lineRule="auto"/>
        <w:rPr>
          <w:rFonts w:cs="ITCFranklinGothicStd-Book"/>
          <w:sz w:val="24"/>
          <w:szCs w:val="24"/>
        </w:rPr>
      </w:pPr>
      <w:r w:rsidRPr="009D123D">
        <w:rPr>
          <w:rFonts w:cs="ITCFranklinGothicStd-Book"/>
          <w:sz w:val="24"/>
          <w:szCs w:val="24"/>
        </w:rPr>
        <w:t xml:space="preserve">                                                                                                                      </w:t>
      </w:r>
    </w:p>
    <w:p w:rsidR="00B45002" w:rsidRPr="00D20211" w:rsidP="78D3267D" w14:paraId="2314A6FA" w14:textId="58EF1C4D">
      <w:pPr>
        <w:pStyle w:val="Heading1"/>
        <w:pBdr>
          <w:bottom w:val="none" w:sz="0" w:space="0" w:color="auto"/>
        </w:pBdr>
        <w:rPr>
          <w:rFonts w:cs="ITCFranklinGothicStd-Demi"/>
          <w:color w:val="auto"/>
          <w:sz w:val="24"/>
          <w:szCs w:val="24"/>
        </w:rPr>
      </w:pPr>
      <w:bookmarkStart w:id="45" w:name="_Toc1272245570"/>
      <w:bookmarkStart w:id="46" w:name="_Toc520977704"/>
      <w:bookmarkStart w:id="47" w:name="_Toc126589456"/>
      <w:r w:rsidRPr="78D3267D">
        <w:rPr>
          <w:color w:val="auto"/>
        </w:rPr>
        <w:t>A.</w:t>
      </w:r>
      <w:r w:rsidRPr="78D3267D" w:rsidR="714D9287">
        <w:rPr>
          <w:color w:val="auto"/>
        </w:rPr>
        <w:t xml:space="preserve">15.  </w:t>
      </w:r>
      <w:r w:rsidRPr="78D3267D" w:rsidR="014C2D95">
        <w:rPr>
          <w:color w:val="auto"/>
        </w:rPr>
        <w:t>Explanation for Program Changes or Adjustments</w:t>
      </w:r>
      <w:bookmarkEnd w:id="45"/>
      <w:bookmarkEnd w:id="46"/>
      <w:bookmarkEnd w:id="47"/>
    </w:p>
    <w:p w:rsidR="007F6CB2" w:rsidRPr="00D20211" w:rsidP="007F6CB2" w14:paraId="1E5BA455" w14:textId="77777777">
      <w:pPr>
        <w:spacing w:line="240" w:lineRule="auto"/>
        <w:rPr>
          <w:sz w:val="24"/>
          <w:szCs w:val="24"/>
        </w:rPr>
      </w:pPr>
    </w:p>
    <w:p w:rsidR="0088723F" w:rsidP="78D3267D" w14:paraId="1393B937" w14:textId="5D6468F5">
      <w:pPr>
        <w:rPr>
          <w:sz w:val="24"/>
          <w:szCs w:val="24"/>
        </w:rPr>
      </w:pPr>
      <w:r>
        <w:rPr>
          <w:sz w:val="24"/>
          <w:szCs w:val="24"/>
        </w:rPr>
        <w:t>Previously</w:t>
      </w:r>
      <w:r w:rsidRPr="78D3267D">
        <w:rPr>
          <w:sz w:val="24"/>
          <w:szCs w:val="24"/>
        </w:rPr>
        <w:t xml:space="preserve"> </w:t>
      </w:r>
      <w:r w:rsidRPr="78D3267D" w:rsidR="711A39C8">
        <w:rPr>
          <w:sz w:val="24"/>
          <w:szCs w:val="24"/>
        </w:rPr>
        <w:t xml:space="preserve">under this ICR, ATSDR proposed to conduct a one-time collection of feedback (e.g., within 6-12 months after participation) using email information (addresses) of participants. This follow-up survey was designed to evaluate the subsequent use of the certificate program training materials and resources to build capacity and skills in environmental health and land reuse. This effort included an email survey invitation, an email reminder, and the online survey (on Research Electronic Data Capture, REDCap). The follow-up survey was voluntary and estimated to take a maximum of 20 minutes. </w:t>
      </w:r>
    </w:p>
    <w:p w:rsidR="00654A04" w:rsidRPr="00654A04" w:rsidP="00654A04" w14:paraId="33840D7A" w14:textId="75CB2A98">
      <w:pPr>
        <w:rPr>
          <w:rFonts w:cstheme="minorHAnsi"/>
          <w:sz w:val="24"/>
          <w:szCs w:val="24"/>
        </w:rPr>
      </w:pPr>
      <w:r w:rsidRPr="00654A04">
        <w:rPr>
          <w:rFonts w:cstheme="minorHAnsi"/>
          <w:sz w:val="24"/>
          <w:szCs w:val="24"/>
        </w:rPr>
        <w:t xml:space="preserve">Under this </w:t>
      </w:r>
      <w:r w:rsidR="00740728">
        <w:rPr>
          <w:rFonts w:cstheme="minorHAnsi"/>
          <w:sz w:val="24"/>
          <w:szCs w:val="24"/>
        </w:rPr>
        <w:t>reinstatement with change</w:t>
      </w:r>
      <w:r w:rsidRPr="00654A04">
        <w:rPr>
          <w:rFonts w:cstheme="minorHAnsi"/>
          <w:sz w:val="24"/>
          <w:szCs w:val="24"/>
        </w:rPr>
        <w:t xml:space="preserve"> ICR, ATSDR proposes the following changes.</w:t>
      </w:r>
    </w:p>
    <w:p w:rsidR="00654A04" w:rsidRPr="008E24FE" w:rsidP="00BF1562" w14:paraId="79A57D4F" w14:textId="53A1016C">
      <w:pPr>
        <w:pStyle w:val="ListParagraph"/>
        <w:numPr>
          <w:ilvl w:val="0"/>
          <w:numId w:val="1"/>
        </w:numPr>
        <w:tabs>
          <w:tab w:val="left" w:pos="0"/>
        </w:tabs>
        <w:contextualSpacing w:val="0"/>
        <w:rPr>
          <w:rFonts w:cstheme="minorHAnsi"/>
          <w:sz w:val="24"/>
          <w:szCs w:val="24"/>
        </w:rPr>
      </w:pPr>
      <w:r w:rsidRPr="008043C0">
        <w:rPr>
          <w:rFonts w:cstheme="minorHAnsi"/>
          <w:color w:val="000000" w:themeColor="text1"/>
          <w:sz w:val="24"/>
          <w:szCs w:val="24"/>
        </w:rPr>
        <w:t>D</w:t>
      </w:r>
      <w:r w:rsidRPr="008E24FE">
        <w:rPr>
          <w:rFonts w:cstheme="minorHAnsi"/>
          <w:color w:val="000000" w:themeColor="text1"/>
          <w:sz w:val="24"/>
          <w:szCs w:val="24"/>
        </w:rPr>
        <w:t xml:space="preserve">iscontinue from PRA clearance, the previously approved one-time collection of feedback within 6-12 months after participation. The follow-up survey </w:t>
      </w:r>
      <w:r w:rsidR="00D76B7A">
        <w:rPr>
          <w:rFonts w:cstheme="minorHAnsi"/>
          <w:color w:val="000000" w:themeColor="text1"/>
          <w:sz w:val="24"/>
          <w:szCs w:val="24"/>
        </w:rPr>
        <w:t>was completed before 08/31/2022, at which point the IC</w:t>
      </w:r>
      <w:r w:rsidR="005D149B">
        <w:rPr>
          <w:rFonts w:cstheme="minorHAnsi"/>
          <w:color w:val="000000" w:themeColor="text1"/>
          <w:sz w:val="24"/>
          <w:szCs w:val="24"/>
        </w:rPr>
        <w:t>R</w:t>
      </w:r>
      <w:r w:rsidR="00D76B7A">
        <w:rPr>
          <w:rFonts w:cstheme="minorHAnsi"/>
          <w:color w:val="000000" w:themeColor="text1"/>
          <w:sz w:val="24"/>
          <w:szCs w:val="24"/>
        </w:rPr>
        <w:t xml:space="preserve"> was discontinued.</w:t>
      </w:r>
      <w:r w:rsidRPr="008E24FE">
        <w:rPr>
          <w:rFonts w:cstheme="minorHAnsi"/>
          <w:color w:val="000000" w:themeColor="text1"/>
          <w:sz w:val="24"/>
          <w:szCs w:val="24"/>
        </w:rPr>
        <w:t xml:space="preserve"> </w:t>
      </w:r>
      <w:r w:rsidR="00D76B7A">
        <w:rPr>
          <w:rFonts w:cstheme="minorHAnsi"/>
          <w:color w:val="000000" w:themeColor="text1"/>
          <w:sz w:val="24"/>
          <w:szCs w:val="24"/>
        </w:rPr>
        <w:t>T</w:t>
      </w:r>
      <w:r w:rsidRPr="008E24FE">
        <w:rPr>
          <w:rFonts w:cstheme="minorHAnsi"/>
          <w:color w:val="000000" w:themeColor="text1"/>
          <w:sz w:val="24"/>
          <w:szCs w:val="24"/>
        </w:rPr>
        <w:t xml:space="preserve">he </w:t>
      </w:r>
      <w:r w:rsidR="007041E5">
        <w:rPr>
          <w:rFonts w:cstheme="minorHAnsi"/>
          <w:color w:val="000000" w:themeColor="text1"/>
          <w:sz w:val="24"/>
          <w:szCs w:val="24"/>
        </w:rPr>
        <w:t>“EHLR Basic Course”</w:t>
      </w:r>
      <w:r w:rsidRPr="008E24FE">
        <w:rPr>
          <w:rFonts w:cstheme="minorHAnsi"/>
          <w:color w:val="000000" w:themeColor="text1"/>
          <w:sz w:val="24"/>
          <w:szCs w:val="24"/>
        </w:rPr>
        <w:t xml:space="preserve"> content has been successfully established based on the feedback received to date.</w:t>
      </w:r>
    </w:p>
    <w:p w:rsidR="00A64A33" w:rsidRPr="008E24FE" w:rsidP="00BF1562" w14:paraId="692ABBF0" w14:textId="233C0295">
      <w:pPr>
        <w:pStyle w:val="ListParagraph"/>
        <w:numPr>
          <w:ilvl w:val="0"/>
          <w:numId w:val="1"/>
        </w:numPr>
        <w:tabs>
          <w:tab w:val="left" w:pos="0"/>
        </w:tabs>
        <w:contextualSpacing w:val="0"/>
        <w:rPr>
          <w:rFonts w:cstheme="minorHAnsi"/>
          <w:sz w:val="24"/>
          <w:szCs w:val="24"/>
        </w:rPr>
      </w:pPr>
      <w:r>
        <w:rPr>
          <w:rFonts w:cstheme="minorHAnsi"/>
          <w:color w:val="000000" w:themeColor="text1"/>
          <w:sz w:val="24"/>
          <w:szCs w:val="24"/>
        </w:rPr>
        <w:t>While under cooperative agreement, t</w:t>
      </w:r>
      <w:r w:rsidRPr="008043C0">
        <w:rPr>
          <w:rFonts w:cstheme="minorHAnsi"/>
          <w:color w:val="000000" w:themeColor="text1"/>
          <w:sz w:val="24"/>
          <w:szCs w:val="24"/>
        </w:rPr>
        <w:t xml:space="preserve">he registration and course management </w:t>
      </w:r>
      <w:r>
        <w:rPr>
          <w:rFonts w:cstheme="minorHAnsi"/>
          <w:color w:val="000000" w:themeColor="text1"/>
          <w:sz w:val="24"/>
          <w:szCs w:val="24"/>
        </w:rPr>
        <w:t>for both the online and classroom “EHLR Basic Course” w</w:t>
      </w:r>
      <w:r>
        <w:rPr>
          <w:rFonts w:cstheme="minorHAnsi"/>
          <w:color w:val="000000" w:themeColor="text1"/>
          <w:sz w:val="24"/>
          <w:szCs w:val="24"/>
        </w:rPr>
        <w:t>ere</w:t>
      </w:r>
      <w:r>
        <w:rPr>
          <w:rFonts w:cstheme="minorHAnsi"/>
          <w:color w:val="000000" w:themeColor="text1"/>
          <w:sz w:val="24"/>
          <w:szCs w:val="24"/>
        </w:rPr>
        <w:t xml:space="preserve"> previously to be administered through</w:t>
      </w:r>
      <w:r w:rsidRPr="00E8494F">
        <w:rPr>
          <w:rFonts w:cstheme="minorHAnsi"/>
          <w:sz w:val="24"/>
          <w:szCs w:val="24"/>
        </w:rPr>
        <w:t xml:space="preserve"> the CDC Training and Continuing Education Online (TCEO) system under “Application for Training” (OMB Control No. 0920-0017; expiration date 0</w:t>
      </w:r>
      <w:r w:rsidR="00C517BF">
        <w:rPr>
          <w:rFonts w:cstheme="minorHAnsi"/>
          <w:sz w:val="24"/>
          <w:szCs w:val="24"/>
        </w:rPr>
        <w:t>9</w:t>
      </w:r>
      <w:r w:rsidRPr="00E8494F">
        <w:rPr>
          <w:rFonts w:cstheme="minorHAnsi"/>
          <w:sz w:val="24"/>
          <w:szCs w:val="24"/>
        </w:rPr>
        <w:t>/30/202</w:t>
      </w:r>
      <w:r w:rsidR="00C517BF">
        <w:rPr>
          <w:rFonts w:cstheme="minorHAnsi"/>
          <w:sz w:val="24"/>
          <w:szCs w:val="24"/>
        </w:rPr>
        <w:t>5</w:t>
      </w:r>
      <w:r w:rsidRPr="00E8494F">
        <w:rPr>
          <w:rFonts w:cstheme="minorHAnsi"/>
          <w:sz w:val="24"/>
          <w:szCs w:val="24"/>
        </w:rPr>
        <w:t xml:space="preserve">). </w:t>
      </w:r>
      <w:r w:rsidR="00114052">
        <w:rPr>
          <w:rFonts w:cstheme="minorHAnsi"/>
          <w:sz w:val="24"/>
          <w:szCs w:val="24"/>
        </w:rPr>
        <w:t xml:space="preserve">In this </w:t>
      </w:r>
      <w:r w:rsidR="00740728">
        <w:rPr>
          <w:rFonts w:cstheme="minorHAnsi"/>
          <w:sz w:val="24"/>
          <w:szCs w:val="24"/>
        </w:rPr>
        <w:t>reinstatement with change</w:t>
      </w:r>
      <w:r w:rsidR="00114052">
        <w:rPr>
          <w:rFonts w:cstheme="minorHAnsi"/>
          <w:sz w:val="24"/>
          <w:szCs w:val="24"/>
        </w:rPr>
        <w:t xml:space="preserve"> ICR, </w:t>
      </w:r>
      <w:r w:rsidRPr="00E8494F">
        <w:rPr>
          <w:rFonts w:cstheme="minorHAnsi"/>
          <w:sz w:val="24"/>
          <w:szCs w:val="24"/>
        </w:rPr>
        <w:t xml:space="preserve">ATSDR will no longer rely on TCEO, and instead is seeking its own PRA clearance for registration and post-course evaluation for its </w:t>
      </w:r>
      <w:r>
        <w:rPr>
          <w:rFonts w:cstheme="minorHAnsi"/>
          <w:sz w:val="24"/>
          <w:szCs w:val="24"/>
        </w:rPr>
        <w:t>courses</w:t>
      </w:r>
      <w:r w:rsidRPr="00E8494F">
        <w:rPr>
          <w:rFonts w:cstheme="minorHAnsi"/>
          <w:sz w:val="24"/>
          <w:szCs w:val="24"/>
        </w:rPr>
        <w:t xml:space="preserve">. </w:t>
      </w:r>
    </w:p>
    <w:p w:rsidR="00A64A33" w:rsidRPr="008E24FE" w:rsidP="00BF1562" w14:paraId="7D3A83CE" w14:textId="4C31D7CE">
      <w:pPr>
        <w:pStyle w:val="ListParagraph"/>
        <w:numPr>
          <w:ilvl w:val="0"/>
          <w:numId w:val="1"/>
        </w:numPr>
        <w:tabs>
          <w:tab w:val="left" w:pos="0"/>
        </w:tabs>
        <w:contextualSpacing w:val="0"/>
        <w:rPr>
          <w:rFonts w:cstheme="minorHAnsi"/>
          <w:sz w:val="24"/>
          <w:szCs w:val="24"/>
        </w:rPr>
      </w:pPr>
      <w:r>
        <w:rPr>
          <w:rFonts w:cstheme="minorHAnsi"/>
          <w:color w:val="000000" w:themeColor="text1"/>
          <w:sz w:val="24"/>
          <w:szCs w:val="24"/>
        </w:rPr>
        <w:t>Although</w:t>
      </w:r>
      <w:r w:rsidR="008043C0">
        <w:rPr>
          <w:rFonts w:cstheme="minorHAnsi"/>
          <w:color w:val="000000" w:themeColor="text1"/>
          <w:sz w:val="24"/>
          <w:szCs w:val="24"/>
        </w:rPr>
        <w:t xml:space="preserve"> the cooperative agreement </w:t>
      </w:r>
      <w:r w:rsidR="00697D4C">
        <w:rPr>
          <w:rFonts w:cstheme="minorHAnsi"/>
          <w:color w:val="000000" w:themeColor="text1"/>
          <w:sz w:val="24"/>
          <w:szCs w:val="24"/>
        </w:rPr>
        <w:t>is ending</w:t>
      </w:r>
      <w:r>
        <w:rPr>
          <w:rFonts w:cstheme="minorHAnsi"/>
          <w:color w:val="000000" w:themeColor="text1"/>
          <w:sz w:val="24"/>
          <w:szCs w:val="24"/>
        </w:rPr>
        <w:t xml:space="preserve"> in July 202</w:t>
      </w:r>
      <w:r w:rsidR="00697D4C">
        <w:rPr>
          <w:rFonts w:cstheme="minorHAnsi"/>
          <w:color w:val="000000" w:themeColor="text1"/>
          <w:sz w:val="24"/>
          <w:szCs w:val="24"/>
        </w:rPr>
        <w:t>3</w:t>
      </w:r>
      <w:r w:rsidR="008043C0">
        <w:rPr>
          <w:rFonts w:cstheme="minorHAnsi"/>
          <w:color w:val="000000" w:themeColor="text1"/>
          <w:sz w:val="24"/>
          <w:szCs w:val="24"/>
        </w:rPr>
        <w:t xml:space="preserve">, </w:t>
      </w:r>
      <w:r>
        <w:rPr>
          <w:rFonts w:cstheme="minorHAnsi"/>
          <w:color w:val="000000" w:themeColor="text1"/>
          <w:sz w:val="24"/>
          <w:szCs w:val="24"/>
        </w:rPr>
        <w:t>ATSDR and NEHA have agreed to continue their highly successful collaboration.</w:t>
      </w:r>
    </w:p>
    <w:p w:rsidR="008043C0" w:rsidRPr="008E24FE" w:rsidP="00BF1562" w14:paraId="3BC5CEDA" w14:textId="01E72B6D">
      <w:pPr>
        <w:pStyle w:val="ListParagraph"/>
        <w:numPr>
          <w:ilvl w:val="1"/>
          <w:numId w:val="1"/>
        </w:numPr>
        <w:tabs>
          <w:tab w:val="left" w:pos="0"/>
        </w:tabs>
        <w:contextualSpacing w:val="0"/>
        <w:rPr>
          <w:rFonts w:cstheme="minorHAnsi"/>
          <w:sz w:val="24"/>
          <w:szCs w:val="24"/>
        </w:rPr>
      </w:pPr>
      <w:r>
        <w:rPr>
          <w:rFonts w:cstheme="minorHAnsi"/>
          <w:color w:val="000000" w:themeColor="text1"/>
          <w:sz w:val="24"/>
          <w:szCs w:val="24"/>
        </w:rPr>
        <w:t>NEHA will</w:t>
      </w:r>
      <w:r w:rsidR="00A64A33">
        <w:rPr>
          <w:rFonts w:cstheme="minorHAnsi"/>
          <w:color w:val="000000" w:themeColor="text1"/>
          <w:sz w:val="24"/>
          <w:szCs w:val="24"/>
        </w:rPr>
        <w:t xml:space="preserve"> </w:t>
      </w:r>
      <w:r>
        <w:rPr>
          <w:rFonts w:cstheme="minorHAnsi"/>
          <w:color w:val="000000" w:themeColor="text1"/>
          <w:sz w:val="24"/>
          <w:szCs w:val="24"/>
        </w:rPr>
        <w:t>maintain</w:t>
      </w:r>
      <w:r w:rsidR="008C6CCF">
        <w:rPr>
          <w:rFonts w:cstheme="minorHAnsi"/>
          <w:color w:val="000000" w:themeColor="text1"/>
          <w:sz w:val="24"/>
          <w:szCs w:val="24"/>
        </w:rPr>
        <w:t>, control,</w:t>
      </w:r>
      <w:r>
        <w:rPr>
          <w:rFonts w:cstheme="minorHAnsi"/>
          <w:color w:val="000000" w:themeColor="text1"/>
          <w:sz w:val="24"/>
          <w:szCs w:val="24"/>
        </w:rPr>
        <w:t xml:space="preserve"> </w:t>
      </w:r>
      <w:r w:rsidR="00A64A33">
        <w:rPr>
          <w:rFonts w:cstheme="minorHAnsi"/>
          <w:color w:val="000000" w:themeColor="text1"/>
          <w:sz w:val="24"/>
          <w:szCs w:val="24"/>
        </w:rPr>
        <w:t xml:space="preserve">and administer </w:t>
      </w:r>
      <w:r w:rsidR="00EB3219">
        <w:rPr>
          <w:rFonts w:cstheme="minorHAnsi"/>
          <w:color w:val="000000" w:themeColor="text1"/>
          <w:sz w:val="24"/>
          <w:szCs w:val="24"/>
        </w:rPr>
        <w:t>its own non-sponsored</w:t>
      </w:r>
      <w:r>
        <w:rPr>
          <w:rFonts w:cstheme="minorHAnsi"/>
          <w:color w:val="000000" w:themeColor="text1"/>
          <w:sz w:val="24"/>
          <w:szCs w:val="24"/>
        </w:rPr>
        <w:t xml:space="preserve"> online “EHLR Basic Course.” </w:t>
      </w:r>
      <w:r w:rsidR="00A64A33">
        <w:rPr>
          <w:rFonts w:cstheme="minorHAnsi"/>
          <w:color w:val="000000" w:themeColor="text1"/>
          <w:sz w:val="24"/>
          <w:szCs w:val="24"/>
        </w:rPr>
        <w:t>PRA clearance is not required for information collected by NEHA (registration and post-course evaluation).</w:t>
      </w:r>
    </w:p>
    <w:p w:rsidR="00A64A33" w:rsidRPr="008E24FE" w:rsidP="00BF1562" w14:paraId="59437E7D" w14:textId="0CB5851F">
      <w:pPr>
        <w:pStyle w:val="ListParagraph"/>
        <w:numPr>
          <w:ilvl w:val="1"/>
          <w:numId w:val="1"/>
        </w:numPr>
        <w:tabs>
          <w:tab w:val="left" w:pos="0"/>
        </w:tabs>
        <w:contextualSpacing w:val="0"/>
        <w:rPr>
          <w:rFonts w:cstheme="minorHAnsi"/>
          <w:sz w:val="24"/>
          <w:szCs w:val="24"/>
        </w:rPr>
      </w:pPr>
      <w:r>
        <w:rPr>
          <w:rFonts w:cstheme="minorHAnsi"/>
          <w:color w:val="000000" w:themeColor="text1"/>
          <w:sz w:val="24"/>
          <w:szCs w:val="24"/>
        </w:rPr>
        <w:t>ATSDR will maintain</w:t>
      </w:r>
      <w:r w:rsidR="008C6CCF">
        <w:rPr>
          <w:rFonts w:cstheme="minorHAnsi"/>
          <w:color w:val="000000" w:themeColor="text1"/>
          <w:sz w:val="24"/>
          <w:szCs w:val="24"/>
        </w:rPr>
        <w:t>, control,</w:t>
      </w:r>
      <w:r>
        <w:rPr>
          <w:rFonts w:cstheme="minorHAnsi"/>
          <w:color w:val="000000" w:themeColor="text1"/>
          <w:sz w:val="24"/>
          <w:szCs w:val="24"/>
        </w:rPr>
        <w:t xml:space="preserve"> and administer the </w:t>
      </w:r>
      <w:r w:rsidR="00FA3F51">
        <w:rPr>
          <w:rFonts w:cstheme="minorHAnsi"/>
          <w:color w:val="000000" w:themeColor="text1"/>
          <w:sz w:val="24"/>
          <w:szCs w:val="24"/>
        </w:rPr>
        <w:t xml:space="preserve">in-person, </w:t>
      </w:r>
      <w:r>
        <w:rPr>
          <w:rFonts w:cstheme="minorHAnsi"/>
          <w:color w:val="000000" w:themeColor="text1"/>
          <w:sz w:val="24"/>
          <w:szCs w:val="24"/>
        </w:rPr>
        <w:t xml:space="preserve">classroom “EHLR Basic Course.” </w:t>
      </w:r>
      <w:r w:rsidRPr="008E24FE" w:rsidR="008043C0">
        <w:rPr>
          <w:rFonts w:cstheme="minorHAnsi"/>
          <w:color w:val="000000" w:themeColor="text1"/>
          <w:sz w:val="24"/>
          <w:szCs w:val="24"/>
        </w:rPr>
        <w:t>A</w:t>
      </w:r>
      <w:r w:rsidRPr="008E24FE">
        <w:rPr>
          <w:rFonts w:cstheme="minorHAnsi"/>
          <w:color w:val="000000" w:themeColor="text1"/>
          <w:sz w:val="24"/>
          <w:szCs w:val="24"/>
        </w:rPr>
        <w:t>TSDR is a</w:t>
      </w:r>
      <w:r w:rsidRPr="008E24FE" w:rsidR="008043C0">
        <w:rPr>
          <w:rFonts w:cstheme="minorHAnsi"/>
          <w:color w:val="000000" w:themeColor="text1"/>
          <w:sz w:val="24"/>
          <w:szCs w:val="24"/>
        </w:rPr>
        <w:t xml:space="preserve">dding new </w:t>
      </w:r>
      <w:r w:rsidRPr="008E24FE" w:rsidR="00CC52C5">
        <w:rPr>
          <w:rFonts w:cstheme="minorHAnsi"/>
          <w:color w:val="000000" w:themeColor="text1"/>
          <w:sz w:val="24"/>
          <w:szCs w:val="24"/>
        </w:rPr>
        <w:t>conference based</w:t>
      </w:r>
      <w:r w:rsidRPr="008E24FE" w:rsidR="008043C0">
        <w:rPr>
          <w:rFonts w:cstheme="minorHAnsi"/>
          <w:color w:val="000000" w:themeColor="text1"/>
          <w:sz w:val="24"/>
          <w:szCs w:val="24"/>
        </w:rPr>
        <w:t xml:space="preserve"> “</w:t>
      </w:r>
      <w:r w:rsidR="007041E5">
        <w:rPr>
          <w:rFonts w:cstheme="minorHAnsi"/>
          <w:color w:val="000000" w:themeColor="text1"/>
          <w:sz w:val="24"/>
          <w:szCs w:val="24"/>
        </w:rPr>
        <w:t xml:space="preserve">EHLR </w:t>
      </w:r>
      <w:r w:rsidR="00291DE5">
        <w:rPr>
          <w:rFonts w:cstheme="minorHAnsi"/>
          <w:color w:val="000000" w:themeColor="text1"/>
          <w:sz w:val="24"/>
          <w:szCs w:val="24"/>
        </w:rPr>
        <w:t>Immersion</w:t>
      </w:r>
      <w:r w:rsidRPr="008E24FE" w:rsidR="008043C0">
        <w:rPr>
          <w:rFonts w:cstheme="minorHAnsi"/>
          <w:color w:val="000000" w:themeColor="text1"/>
          <w:sz w:val="24"/>
          <w:szCs w:val="24"/>
        </w:rPr>
        <w:t xml:space="preserve"> Training” for registrants who have completed the </w:t>
      </w:r>
      <w:r w:rsidR="00265408">
        <w:rPr>
          <w:rFonts w:cstheme="minorHAnsi"/>
          <w:color w:val="000000" w:themeColor="text1"/>
          <w:sz w:val="24"/>
          <w:szCs w:val="24"/>
        </w:rPr>
        <w:t>corresponding shorter module</w:t>
      </w:r>
      <w:r w:rsidR="007773B1">
        <w:rPr>
          <w:rFonts w:cstheme="minorHAnsi"/>
          <w:color w:val="000000" w:themeColor="text1"/>
          <w:sz w:val="24"/>
          <w:szCs w:val="24"/>
        </w:rPr>
        <w:t>, Module 1, 2, or 3</w:t>
      </w:r>
      <w:r w:rsidR="005D149B">
        <w:rPr>
          <w:rFonts w:cstheme="minorHAnsi"/>
          <w:color w:val="000000" w:themeColor="text1"/>
          <w:sz w:val="24"/>
          <w:szCs w:val="24"/>
        </w:rPr>
        <w:t xml:space="preserve"> </w:t>
      </w:r>
      <w:r w:rsidR="00265408">
        <w:rPr>
          <w:rFonts w:cstheme="minorHAnsi"/>
          <w:color w:val="000000" w:themeColor="text1"/>
          <w:sz w:val="24"/>
          <w:szCs w:val="24"/>
        </w:rPr>
        <w:t xml:space="preserve">in the </w:t>
      </w:r>
      <w:r w:rsidRPr="008E24FE" w:rsidR="008043C0">
        <w:rPr>
          <w:rFonts w:cstheme="minorHAnsi"/>
          <w:color w:val="000000" w:themeColor="text1"/>
          <w:sz w:val="24"/>
          <w:szCs w:val="24"/>
        </w:rPr>
        <w:t xml:space="preserve">“EHLR Basic Course” (either online </w:t>
      </w:r>
      <w:r w:rsidRPr="008E24FE">
        <w:rPr>
          <w:rFonts w:cstheme="minorHAnsi"/>
          <w:color w:val="000000" w:themeColor="text1"/>
          <w:sz w:val="24"/>
          <w:szCs w:val="24"/>
        </w:rPr>
        <w:t>or classroom based)</w:t>
      </w:r>
      <w:r w:rsidRPr="008E24FE" w:rsidR="008C6CCF">
        <w:rPr>
          <w:rFonts w:cstheme="minorHAnsi"/>
          <w:color w:val="000000" w:themeColor="text1"/>
          <w:sz w:val="24"/>
          <w:szCs w:val="24"/>
        </w:rPr>
        <w:t>.</w:t>
      </w:r>
      <w:r w:rsidR="00FA3F51">
        <w:rPr>
          <w:rFonts w:cstheme="minorHAnsi"/>
          <w:color w:val="000000" w:themeColor="text1"/>
          <w:sz w:val="24"/>
          <w:szCs w:val="24"/>
        </w:rPr>
        <w:t xml:space="preserve"> </w:t>
      </w:r>
      <w:r w:rsidRPr="008E24FE">
        <w:rPr>
          <w:rFonts w:cstheme="minorHAnsi"/>
          <w:color w:val="000000" w:themeColor="text1"/>
          <w:sz w:val="24"/>
          <w:szCs w:val="24"/>
        </w:rPr>
        <w:t>PRA clearance is required for information collected by ATSDR</w:t>
      </w:r>
      <w:r w:rsidR="00FA3F51">
        <w:rPr>
          <w:rFonts w:cstheme="minorHAnsi"/>
          <w:color w:val="000000" w:themeColor="text1"/>
          <w:sz w:val="24"/>
          <w:szCs w:val="24"/>
        </w:rPr>
        <w:t xml:space="preserve"> (registration and </w:t>
      </w:r>
      <w:r w:rsidR="005D149B">
        <w:rPr>
          <w:rFonts w:cstheme="minorHAnsi"/>
          <w:color w:val="000000" w:themeColor="text1"/>
          <w:sz w:val="24"/>
          <w:szCs w:val="24"/>
        </w:rPr>
        <w:t>self-assessments</w:t>
      </w:r>
      <w:r w:rsidR="00FA3F51">
        <w:rPr>
          <w:rFonts w:cstheme="minorHAnsi"/>
          <w:color w:val="000000" w:themeColor="text1"/>
          <w:sz w:val="24"/>
          <w:szCs w:val="24"/>
        </w:rPr>
        <w:t>)</w:t>
      </w:r>
      <w:r w:rsidRPr="008E24FE">
        <w:rPr>
          <w:rFonts w:cstheme="minorHAnsi"/>
          <w:color w:val="000000" w:themeColor="text1"/>
          <w:sz w:val="24"/>
          <w:szCs w:val="24"/>
        </w:rPr>
        <w:t>.</w:t>
      </w:r>
    </w:p>
    <w:p w:rsidR="008C6CCF" w:rsidRPr="008E24FE" w:rsidP="00BF1562" w14:paraId="3A4A169E" w14:textId="7EC1AF93">
      <w:pPr>
        <w:pStyle w:val="ListParagraph"/>
        <w:numPr>
          <w:ilvl w:val="1"/>
          <w:numId w:val="1"/>
        </w:numPr>
        <w:tabs>
          <w:tab w:val="left" w:pos="0"/>
        </w:tabs>
        <w:contextualSpacing w:val="0"/>
        <w:rPr>
          <w:rFonts w:cstheme="minorHAnsi"/>
          <w:sz w:val="24"/>
          <w:szCs w:val="24"/>
        </w:rPr>
      </w:pPr>
      <w:r>
        <w:rPr>
          <w:rFonts w:cstheme="minorHAnsi"/>
          <w:color w:val="000000" w:themeColor="text1"/>
          <w:sz w:val="24"/>
          <w:szCs w:val="24"/>
        </w:rPr>
        <w:t xml:space="preserve">NEHA has agreed to </w:t>
      </w:r>
      <w:r w:rsidR="00EE0CE7">
        <w:rPr>
          <w:rFonts w:cstheme="minorHAnsi"/>
          <w:color w:val="000000" w:themeColor="text1"/>
          <w:sz w:val="24"/>
          <w:szCs w:val="24"/>
        </w:rPr>
        <w:t xml:space="preserve">continue </w:t>
      </w:r>
      <w:r>
        <w:rPr>
          <w:rFonts w:cstheme="minorHAnsi"/>
          <w:color w:val="000000" w:themeColor="text1"/>
          <w:sz w:val="24"/>
          <w:szCs w:val="24"/>
        </w:rPr>
        <w:t>issuing training certificates and continuing education units on behalf of both its own online training and ATSDR’s training</w:t>
      </w:r>
      <w:r w:rsidR="00FA3F51">
        <w:rPr>
          <w:rFonts w:cstheme="minorHAnsi"/>
          <w:color w:val="000000" w:themeColor="text1"/>
          <w:sz w:val="24"/>
          <w:szCs w:val="24"/>
        </w:rPr>
        <w:t xml:space="preserve"> upon verification of eligibility by the agency’s course director</w:t>
      </w:r>
      <w:r>
        <w:rPr>
          <w:rFonts w:cstheme="minorHAnsi"/>
          <w:color w:val="000000" w:themeColor="text1"/>
          <w:sz w:val="24"/>
          <w:szCs w:val="24"/>
        </w:rPr>
        <w:t>.</w:t>
      </w:r>
    </w:p>
    <w:p w:rsidR="00FA3F51" w:rsidRPr="008E24FE" w:rsidP="00BF1562" w14:paraId="15945CB9" w14:textId="31A76F8F">
      <w:pPr>
        <w:pStyle w:val="ListParagraph"/>
        <w:numPr>
          <w:ilvl w:val="1"/>
          <w:numId w:val="1"/>
        </w:numPr>
        <w:tabs>
          <w:tab w:val="left" w:pos="0"/>
        </w:tabs>
        <w:contextualSpacing w:val="0"/>
        <w:rPr>
          <w:rFonts w:cstheme="minorHAnsi"/>
          <w:sz w:val="24"/>
          <w:szCs w:val="24"/>
        </w:rPr>
      </w:pPr>
      <w:r>
        <w:rPr>
          <w:rFonts w:cstheme="minorHAnsi"/>
          <w:color w:val="000000" w:themeColor="text1"/>
          <w:sz w:val="24"/>
          <w:szCs w:val="24"/>
        </w:rPr>
        <w:t>Both ATSDR and NEHA have agreed that future modifications to their respective courses’ content will occur in parallel to maintain consistency between the two partners.</w:t>
      </w:r>
    </w:p>
    <w:p w:rsidR="00114052" w:rsidP="00BF1562" w14:paraId="27D69CB8" w14:textId="3B2895BF">
      <w:pPr>
        <w:pStyle w:val="ListParagraph"/>
        <w:numPr>
          <w:ilvl w:val="0"/>
          <w:numId w:val="1"/>
        </w:numPr>
        <w:contextualSpacing w:val="0"/>
        <w:rPr>
          <w:sz w:val="24"/>
          <w:szCs w:val="24"/>
        </w:rPr>
      </w:pPr>
      <w:r w:rsidRPr="78D3267D">
        <w:rPr>
          <w:sz w:val="24"/>
          <w:szCs w:val="24"/>
        </w:rPr>
        <w:t>ATSDR plans an annual enrollment of 225 respondents in the suite of EHLR trainings (the</w:t>
      </w:r>
      <w:r w:rsidRPr="78D3267D" w:rsidR="11436C8D">
        <w:rPr>
          <w:sz w:val="24"/>
          <w:szCs w:val="24"/>
        </w:rPr>
        <w:t xml:space="preserve"> </w:t>
      </w:r>
      <w:r w:rsidRPr="78D3267D">
        <w:rPr>
          <w:sz w:val="24"/>
          <w:szCs w:val="24"/>
        </w:rPr>
        <w:t xml:space="preserve">10-hour “EHLR Basic Course” and the </w:t>
      </w:r>
      <w:r w:rsidR="00C517BF">
        <w:rPr>
          <w:sz w:val="24"/>
          <w:szCs w:val="24"/>
        </w:rPr>
        <w:t xml:space="preserve">20-hour </w:t>
      </w:r>
      <w:r w:rsidRPr="78D3267D">
        <w:rPr>
          <w:sz w:val="24"/>
          <w:szCs w:val="24"/>
        </w:rPr>
        <w:t>“</w:t>
      </w:r>
      <w:r w:rsidR="00291DE5">
        <w:rPr>
          <w:sz w:val="24"/>
          <w:szCs w:val="24"/>
        </w:rPr>
        <w:t>Immersion</w:t>
      </w:r>
      <w:r w:rsidRPr="78D3267D">
        <w:rPr>
          <w:sz w:val="24"/>
          <w:szCs w:val="24"/>
        </w:rPr>
        <w:t xml:space="preserve"> Training”), which is</w:t>
      </w:r>
      <w:r w:rsidRPr="78D3267D" w:rsidR="711A39C8">
        <w:rPr>
          <w:sz w:val="24"/>
          <w:szCs w:val="24"/>
        </w:rPr>
        <w:t xml:space="preserve"> an increase of</w:t>
      </w:r>
      <w:r w:rsidRPr="78D3267D">
        <w:rPr>
          <w:sz w:val="24"/>
          <w:szCs w:val="24"/>
        </w:rPr>
        <w:t xml:space="preserve"> 25</w:t>
      </w:r>
      <w:r w:rsidRPr="78D3267D" w:rsidR="711A39C8">
        <w:rPr>
          <w:sz w:val="24"/>
          <w:szCs w:val="24"/>
        </w:rPr>
        <w:t xml:space="preserve"> respondents</w:t>
      </w:r>
      <w:r w:rsidRPr="78D3267D">
        <w:rPr>
          <w:sz w:val="24"/>
          <w:szCs w:val="24"/>
        </w:rPr>
        <w:t xml:space="preserve"> over the previously approved 200 respondents per year</w:t>
      </w:r>
      <w:r w:rsidRPr="78D3267D" w:rsidR="4EFB4FD6">
        <w:rPr>
          <w:sz w:val="24"/>
          <w:szCs w:val="24"/>
        </w:rPr>
        <w:t xml:space="preserve"> for the follow-up survey</w:t>
      </w:r>
      <w:r w:rsidRPr="78D3267D" w:rsidR="711A39C8">
        <w:rPr>
          <w:sz w:val="24"/>
          <w:szCs w:val="24"/>
        </w:rPr>
        <w:t xml:space="preserve"> alone</w:t>
      </w:r>
      <w:r w:rsidRPr="78D3267D">
        <w:rPr>
          <w:sz w:val="24"/>
          <w:szCs w:val="24"/>
        </w:rPr>
        <w:t xml:space="preserve">. </w:t>
      </w:r>
    </w:p>
    <w:p w:rsidR="00114052" w:rsidP="00BF1562" w14:paraId="0B1D788A" w14:textId="284D60EC">
      <w:pPr>
        <w:pStyle w:val="ListParagraph"/>
        <w:numPr>
          <w:ilvl w:val="0"/>
          <w:numId w:val="1"/>
        </w:numPr>
        <w:contextualSpacing w:val="0"/>
        <w:rPr>
          <w:rFonts w:cstheme="minorHAnsi"/>
          <w:sz w:val="24"/>
          <w:szCs w:val="24"/>
        </w:rPr>
      </w:pPr>
      <w:r w:rsidRPr="008E24FE">
        <w:rPr>
          <w:rFonts w:cstheme="minorHAnsi"/>
          <w:sz w:val="24"/>
          <w:szCs w:val="24"/>
        </w:rPr>
        <w:t xml:space="preserve">The addition of registration and evaluation forms will result in </w:t>
      </w:r>
      <w:r w:rsidRPr="00AB121E">
        <w:rPr>
          <w:rFonts w:cstheme="minorHAnsi"/>
          <w:sz w:val="24"/>
          <w:szCs w:val="24"/>
        </w:rPr>
        <w:t>1,600 annual responses</w:t>
      </w:r>
      <w:r w:rsidRPr="008E24FE">
        <w:rPr>
          <w:rFonts w:cstheme="minorHAnsi"/>
          <w:sz w:val="24"/>
          <w:szCs w:val="24"/>
        </w:rPr>
        <w:t>, which is an increase of 1,400 over the previously approved 200 responses for the follow-up survey</w:t>
      </w:r>
      <w:r>
        <w:rPr>
          <w:rFonts w:cstheme="minorHAnsi"/>
          <w:sz w:val="24"/>
          <w:szCs w:val="24"/>
        </w:rPr>
        <w:t xml:space="preserve"> alone</w:t>
      </w:r>
      <w:r w:rsidRPr="008E24FE">
        <w:rPr>
          <w:rFonts w:cstheme="minorHAnsi"/>
          <w:sz w:val="24"/>
          <w:szCs w:val="24"/>
        </w:rPr>
        <w:t xml:space="preserve">. </w:t>
      </w:r>
    </w:p>
    <w:p w:rsidR="00654A04" w:rsidRPr="008E24FE" w:rsidP="00BF1562" w14:paraId="09C1E136" w14:textId="2181F38E">
      <w:pPr>
        <w:pStyle w:val="ListParagraph"/>
        <w:numPr>
          <w:ilvl w:val="0"/>
          <w:numId w:val="1"/>
        </w:numPr>
        <w:contextualSpacing w:val="0"/>
        <w:rPr>
          <w:rFonts w:cstheme="minorHAnsi"/>
          <w:sz w:val="24"/>
          <w:szCs w:val="24"/>
        </w:rPr>
      </w:pPr>
      <w:r w:rsidRPr="008E24FE">
        <w:rPr>
          <w:rFonts w:cstheme="minorHAnsi"/>
          <w:sz w:val="24"/>
          <w:szCs w:val="24"/>
        </w:rPr>
        <w:t xml:space="preserve">The total time burden is estimated to be </w:t>
      </w:r>
      <w:r w:rsidR="0030501D">
        <w:rPr>
          <w:rFonts w:cstheme="minorHAnsi"/>
          <w:sz w:val="24"/>
          <w:szCs w:val="24"/>
        </w:rPr>
        <w:t>14</w:t>
      </w:r>
      <w:r w:rsidR="00C74986">
        <w:rPr>
          <w:rFonts w:cstheme="minorHAnsi"/>
          <w:sz w:val="24"/>
          <w:szCs w:val="24"/>
        </w:rPr>
        <w:t>5</w:t>
      </w:r>
      <w:r w:rsidRPr="00D70913">
        <w:rPr>
          <w:rFonts w:cstheme="minorHAnsi"/>
          <w:sz w:val="24"/>
          <w:szCs w:val="24"/>
        </w:rPr>
        <w:t xml:space="preserve"> hours, which is an increase of </w:t>
      </w:r>
      <w:r w:rsidR="0030501D">
        <w:rPr>
          <w:rFonts w:cstheme="minorHAnsi"/>
          <w:sz w:val="24"/>
          <w:szCs w:val="24"/>
        </w:rPr>
        <w:t>7</w:t>
      </w:r>
      <w:r w:rsidR="00C74986">
        <w:rPr>
          <w:rFonts w:cstheme="minorHAnsi"/>
          <w:sz w:val="24"/>
          <w:szCs w:val="24"/>
        </w:rPr>
        <w:t>8</w:t>
      </w:r>
      <w:r w:rsidR="00D70913">
        <w:rPr>
          <w:rFonts w:cstheme="minorHAnsi"/>
          <w:sz w:val="24"/>
          <w:szCs w:val="24"/>
        </w:rPr>
        <w:t xml:space="preserve"> hours </w:t>
      </w:r>
      <w:r w:rsidRPr="008E24FE">
        <w:rPr>
          <w:rFonts w:cstheme="minorHAnsi"/>
          <w:sz w:val="24"/>
          <w:szCs w:val="24"/>
        </w:rPr>
        <w:t>over the previously approved 67 hours.</w:t>
      </w:r>
    </w:p>
    <w:p w:rsidR="00B45002" w:rsidRPr="00D20211" w:rsidP="78D3267D" w14:paraId="6A569BBC" w14:textId="7FC870CA">
      <w:pPr>
        <w:pStyle w:val="Heading1"/>
        <w:pBdr>
          <w:bottom w:val="none" w:sz="0" w:space="0" w:color="auto"/>
        </w:pBdr>
        <w:rPr>
          <w:color w:val="auto"/>
        </w:rPr>
      </w:pPr>
      <w:bookmarkStart w:id="48" w:name="_Toc2057253885"/>
      <w:bookmarkStart w:id="49" w:name="_Toc1055597611"/>
      <w:bookmarkStart w:id="50" w:name="_Toc126589457"/>
      <w:r w:rsidRPr="78D3267D">
        <w:rPr>
          <w:color w:val="auto"/>
        </w:rPr>
        <w:t>A.</w:t>
      </w:r>
      <w:r w:rsidRPr="78D3267D" w:rsidR="714D9287">
        <w:rPr>
          <w:color w:val="auto"/>
        </w:rPr>
        <w:t xml:space="preserve">16.  </w:t>
      </w:r>
      <w:r w:rsidRPr="78D3267D" w:rsidR="014C2D95">
        <w:rPr>
          <w:color w:val="auto"/>
        </w:rPr>
        <w:t>Plans for Tabulation and Publication and Project Time Schedule</w:t>
      </w:r>
      <w:bookmarkEnd w:id="48"/>
      <w:bookmarkEnd w:id="49"/>
      <w:bookmarkEnd w:id="50"/>
    </w:p>
    <w:p w:rsidR="003248A4" w:rsidRPr="00D20211" w:rsidP="003248A4" w14:paraId="04966E2D" w14:textId="77777777"/>
    <w:p w:rsidR="00F14921" w:rsidRPr="00F14921" w:rsidP="00F14921" w14:paraId="63D5B428" w14:textId="6E249C0F">
      <w:pPr>
        <w:spacing w:line="240" w:lineRule="auto"/>
        <w:rPr>
          <w:sz w:val="24"/>
          <w:szCs w:val="24"/>
        </w:rPr>
      </w:pPr>
      <w:r w:rsidRPr="00F14921">
        <w:rPr>
          <w:sz w:val="24"/>
          <w:szCs w:val="24"/>
        </w:rPr>
        <w:t xml:space="preserve">ATSDR </w:t>
      </w:r>
      <w:r>
        <w:rPr>
          <w:sz w:val="24"/>
          <w:szCs w:val="24"/>
        </w:rPr>
        <w:t>and NEHA may</w:t>
      </w:r>
      <w:r w:rsidRPr="00F14921">
        <w:rPr>
          <w:sz w:val="24"/>
          <w:szCs w:val="24"/>
        </w:rPr>
        <w:t xml:space="preserve"> prepare a joint presentation, short paper, or commentary about the use of the certificate course content and resources</w:t>
      </w:r>
      <w:r w:rsidR="00646A18">
        <w:rPr>
          <w:sz w:val="24"/>
          <w:szCs w:val="24"/>
        </w:rPr>
        <w:t xml:space="preserve"> and </w:t>
      </w:r>
      <w:r>
        <w:rPr>
          <w:sz w:val="24"/>
          <w:szCs w:val="24"/>
        </w:rPr>
        <w:t xml:space="preserve">the </w:t>
      </w:r>
      <w:r w:rsidR="00646A18">
        <w:rPr>
          <w:sz w:val="24"/>
          <w:szCs w:val="24"/>
        </w:rPr>
        <w:t>EHLR training evaluation and modalities,</w:t>
      </w:r>
      <w:r w:rsidRPr="00F14921">
        <w:rPr>
          <w:sz w:val="24"/>
          <w:szCs w:val="24"/>
        </w:rPr>
        <w:t xml:space="preserve"> as well as any outcomes from the follow-up survey, such as an increase in the capacity of the certification course participants to conduct environmental health and land reuse activities. </w:t>
      </w:r>
    </w:p>
    <w:p w:rsidR="00F14921" w:rsidRPr="00F14921" w:rsidP="00F14921" w14:paraId="186D46DD" w14:textId="6F241BFD">
      <w:pPr>
        <w:spacing w:line="240" w:lineRule="auto"/>
        <w:rPr>
          <w:sz w:val="24"/>
          <w:szCs w:val="24"/>
        </w:rPr>
      </w:pPr>
      <w:r w:rsidRPr="00F14921">
        <w:rPr>
          <w:sz w:val="24"/>
          <w:szCs w:val="24"/>
        </w:rPr>
        <w:t xml:space="preserve">The suggested time schedule for any collaborative publications or presentations may </w:t>
      </w:r>
      <w:r w:rsidR="00646A18">
        <w:rPr>
          <w:sz w:val="24"/>
          <w:szCs w:val="24"/>
        </w:rPr>
        <w:t>occur 12</w:t>
      </w:r>
      <w:r w:rsidR="006E741B">
        <w:rPr>
          <w:sz w:val="24"/>
          <w:szCs w:val="24"/>
        </w:rPr>
        <w:t xml:space="preserve"> -24</w:t>
      </w:r>
      <w:r w:rsidR="00646A18">
        <w:rPr>
          <w:sz w:val="24"/>
          <w:szCs w:val="24"/>
        </w:rPr>
        <w:t xml:space="preserve"> months after specific aspects of the courses are launched or evaluated.</w:t>
      </w:r>
    </w:p>
    <w:p w:rsidR="00F14921" w:rsidRPr="00F14921" w:rsidP="00F14921" w14:paraId="33444814" w14:textId="77777777">
      <w:pPr>
        <w:spacing w:line="240" w:lineRule="auto"/>
        <w:rPr>
          <w:sz w:val="24"/>
          <w:szCs w:val="24"/>
        </w:rPr>
      </w:pPr>
    </w:p>
    <w:p w:rsidR="00F14921" w:rsidRPr="00F14921" w:rsidP="00F14921" w14:paraId="5D8DFF28" w14:textId="77777777">
      <w:pPr>
        <w:spacing w:line="240" w:lineRule="auto"/>
        <w:rPr>
          <w:sz w:val="24"/>
          <w:szCs w:val="24"/>
        </w:rPr>
      </w:pPr>
      <w:r w:rsidRPr="00F14921">
        <w:rPr>
          <w:sz w:val="24"/>
          <w:szCs w:val="24"/>
        </w:rPr>
        <w:t xml:space="preserve">Table A.16.1 – Project Time Schedule </w:t>
      </w:r>
    </w:p>
    <w:tbl>
      <w:tblPr>
        <w:tblStyle w:val="TableGrid"/>
        <w:tblW w:w="0" w:type="auto"/>
        <w:tblLook w:val="04A0"/>
      </w:tblPr>
      <w:tblGrid>
        <w:gridCol w:w="4675"/>
        <w:gridCol w:w="4675"/>
      </w:tblGrid>
      <w:tr w14:paraId="482298EA" w14:textId="77777777" w:rsidTr="00BF1BC3">
        <w:tblPrEx>
          <w:tblW w:w="0" w:type="auto"/>
          <w:tblLook w:val="04A0"/>
        </w:tblPrEx>
        <w:tc>
          <w:tcPr>
            <w:tcW w:w="9350" w:type="dxa"/>
            <w:gridSpan w:val="2"/>
          </w:tcPr>
          <w:p w:rsidR="00F14921" w:rsidRPr="00F14921" w:rsidP="00F14921" w14:paraId="2B827DD8" w14:textId="77777777">
            <w:pPr>
              <w:spacing w:after="120"/>
              <w:rPr>
                <w:sz w:val="24"/>
                <w:szCs w:val="24"/>
              </w:rPr>
            </w:pPr>
            <w:r w:rsidRPr="00F14921">
              <w:rPr>
                <w:sz w:val="24"/>
                <w:szCs w:val="24"/>
              </w:rPr>
              <w:t>Project Time Schedule</w:t>
            </w:r>
          </w:p>
        </w:tc>
      </w:tr>
      <w:tr w14:paraId="039A0383" w14:textId="77777777" w:rsidTr="00BF1BC3">
        <w:tblPrEx>
          <w:tblW w:w="0" w:type="auto"/>
          <w:tblLook w:val="04A0"/>
        </w:tblPrEx>
        <w:tc>
          <w:tcPr>
            <w:tcW w:w="4675" w:type="dxa"/>
          </w:tcPr>
          <w:p w:rsidR="00F14921" w:rsidRPr="00F14921" w:rsidP="00B76653" w14:paraId="725133DA" w14:textId="77777777">
            <w:pPr>
              <w:spacing w:after="120"/>
              <w:jc w:val="center"/>
              <w:rPr>
                <w:sz w:val="24"/>
                <w:szCs w:val="24"/>
              </w:rPr>
            </w:pPr>
            <w:r w:rsidRPr="00F14921">
              <w:rPr>
                <w:sz w:val="24"/>
                <w:szCs w:val="24"/>
              </w:rPr>
              <w:t>Activity</w:t>
            </w:r>
          </w:p>
        </w:tc>
        <w:tc>
          <w:tcPr>
            <w:tcW w:w="4675" w:type="dxa"/>
          </w:tcPr>
          <w:p w:rsidR="00F14921" w:rsidRPr="00F14921" w:rsidP="00B76653" w14:paraId="303F3326" w14:textId="77777777">
            <w:pPr>
              <w:spacing w:after="120"/>
              <w:jc w:val="center"/>
              <w:rPr>
                <w:sz w:val="24"/>
                <w:szCs w:val="24"/>
              </w:rPr>
            </w:pPr>
            <w:r w:rsidRPr="00F14921">
              <w:rPr>
                <w:sz w:val="24"/>
                <w:szCs w:val="24"/>
              </w:rPr>
              <w:t>Time Schedule</w:t>
            </w:r>
          </w:p>
        </w:tc>
      </w:tr>
      <w:tr w14:paraId="468837DD" w14:textId="77777777" w:rsidTr="00BF1BC3">
        <w:tblPrEx>
          <w:tblW w:w="0" w:type="auto"/>
          <w:tblLook w:val="04A0"/>
        </w:tblPrEx>
        <w:tc>
          <w:tcPr>
            <w:tcW w:w="4675" w:type="dxa"/>
          </w:tcPr>
          <w:p w:rsidR="00F14921" w:rsidRPr="00F14921" w:rsidP="00F14921" w14:paraId="46856FBD" w14:textId="78B67677">
            <w:pPr>
              <w:spacing w:after="120"/>
              <w:rPr>
                <w:sz w:val="24"/>
                <w:szCs w:val="24"/>
              </w:rPr>
            </w:pPr>
            <w:r>
              <w:rPr>
                <w:sz w:val="24"/>
                <w:szCs w:val="24"/>
              </w:rPr>
              <w:t>Registration</w:t>
            </w:r>
            <w:r w:rsidRPr="00F14921">
              <w:rPr>
                <w:sz w:val="24"/>
                <w:szCs w:val="24"/>
              </w:rPr>
              <w:t xml:space="preserve"> data summarized</w:t>
            </w:r>
          </w:p>
        </w:tc>
        <w:tc>
          <w:tcPr>
            <w:tcW w:w="4675" w:type="dxa"/>
          </w:tcPr>
          <w:p w:rsidR="00F14921" w:rsidRPr="00F14921" w:rsidP="00F14921" w14:paraId="081C7384" w14:textId="50AC4D15">
            <w:pPr>
              <w:spacing w:after="120"/>
              <w:rPr>
                <w:sz w:val="24"/>
                <w:szCs w:val="24"/>
              </w:rPr>
            </w:pPr>
            <w:r w:rsidRPr="00F14921">
              <w:rPr>
                <w:sz w:val="24"/>
                <w:szCs w:val="24"/>
              </w:rPr>
              <w:t xml:space="preserve">0.5 </w:t>
            </w:r>
            <w:r w:rsidR="004109D6">
              <w:rPr>
                <w:sz w:val="24"/>
                <w:szCs w:val="24"/>
              </w:rPr>
              <w:t>–</w:t>
            </w:r>
            <w:r w:rsidRPr="00F14921">
              <w:rPr>
                <w:sz w:val="24"/>
                <w:szCs w:val="24"/>
              </w:rPr>
              <w:t xml:space="preserve"> 1</w:t>
            </w:r>
            <w:r w:rsidR="004109D6">
              <w:rPr>
                <w:sz w:val="24"/>
                <w:szCs w:val="24"/>
              </w:rPr>
              <w:t xml:space="preserve"> </w:t>
            </w:r>
            <w:r w:rsidRPr="00F14921">
              <w:rPr>
                <w:sz w:val="24"/>
                <w:szCs w:val="24"/>
              </w:rPr>
              <w:t>month after OMB approval</w:t>
            </w:r>
          </w:p>
        </w:tc>
      </w:tr>
      <w:tr w14:paraId="425E4B29" w14:textId="77777777" w:rsidTr="00BF1BC3">
        <w:tblPrEx>
          <w:tblW w:w="0" w:type="auto"/>
          <w:tblLook w:val="04A0"/>
        </w:tblPrEx>
        <w:tc>
          <w:tcPr>
            <w:tcW w:w="4675" w:type="dxa"/>
          </w:tcPr>
          <w:p w:rsidR="00F14921" w:rsidRPr="00F14921" w:rsidP="00F14921" w14:paraId="72D3F9DD" w14:textId="5F8FD3C0">
            <w:pPr>
              <w:spacing w:after="120"/>
              <w:rPr>
                <w:sz w:val="24"/>
                <w:szCs w:val="24"/>
              </w:rPr>
            </w:pPr>
            <w:r w:rsidRPr="00F14921">
              <w:rPr>
                <w:sz w:val="24"/>
                <w:szCs w:val="24"/>
              </w:rPr>
              <w:t>Additional information/data collection</w:t>
            </w:r>
          </w:p>
        </w:tc>
        <w:tc>
          <w:tcPr>
            <w:tcW w:w="4675" w:type="dxa"/>
          </w:tcPr>
          <w:p w:rsidR="00F14921" w:rsidRPr="00F14921" w:rsidP="00F14921" w14:paraId="492598A8" w14:textId="77777777">
            <w:pPr>
              <w:spacing w:after="120"/>
              <w:rPr>
                <w:sz w:val="24"/>
                <w:szCs w:val="24"/>
              </w:rPr>
            </w:pPr>
            <w:r w:rsidRPr="00F14921">
              <w:rPr>
                <w:sz w:val="24"/>
                <w:szCs w:val="24"/>
              </w:rPr>
              <w:t>1—11 months after OMB approval</w:t>
            </w:r>
          </w:p>
        </w:tc>
      </w:tr>
      <w:tr w14:paraId="25D30F36" w14:textId="77777777" w:rsidTr="00BF1BC3">
        <w:tblPrEx>
          <w:tblW w:w="0" w:type="auto"/>
          <w:tblLook w:val="04A0"/>
        </w:tblPrEx>
        <w:tc>
          <w:tcPr>
            <w:tcW w:w="4675" w:type="dxa"/>
          </w:tcPr>
          <w:p w:rsidR="00F14921" w:rsidRPr="00F14921" w:rsidP="00F14921" w14:paraId="36762D7A" w14:textId="63D3369F">
            <w:pPr>
              <w:spacing w:after="120"/>
              <w:rPr>
                <w:sz w:val="24"/>
                <w:szCs w:val="24"/>
              </w:rPr>
            </w:pPr>
            <w:r w:rsidRPr="00F14921">
              <w:rPr>
                <w:sz w:val="24"/>
                <w:szCs w:val="24"/>
              </w:rPr>
              <w:t>Analyses</w:t>
            </w:r>
            <w:r w:rsidR="004109D6">
              <w:rPr>
                <w:sz w:val="24"/>
                <w:szCs w:val="24"/>
              </w:rPr>
              <w:t xml:space="preserve"> (evaluation)</w:t>
            </w:r>
          </w:p>
        </w:tc>
        <w:tc>
          <w:tcPr>
            <w:tcW w:w="4675" w:type="dxa"/>
          </w:tcPr>
          <w:p w:rsidR="00F14921" w:rsidRPr="00F14921" w:rsidP="00F14921" w14:paraId="6EBB6308" w14:textId="36702C96">
            <w:pPr>
              <w:spacing w:after="120"/>
              <w:rPr>
                <w:sz w:val="24"/>
                <w:szCs w:val="24"/>
              </w:rPr>
            </w:pPr>
            <w:r>
              <w:rPr>
                <w:sz w:val="24"/>
                <w:szCs w:val="24"/>
              </w:rPr>
              <w:t>6</w:t>
            </w:r>
            <w:r w:rsidRPr="00F14921">
              <w:rPr>
                <w:sz w:val="24"/>
                <w:szCs w:val="24"/>
              </w:rPr>
              <w:t>—18 months after OMB approval</w:t>
            </w:r>
          </w:p>
        </w:tc>
      </w:tr>
      <w:tr w14:paraId="7142755A" w14:textId="77777777" w:rsidTr="00BF1BC3">
        <w:tblPrEx>
          <w:tblW w:w="0" w:type="auto"/>
          <w:tblLook w:val="04A0"/>
        </w:tblPrEx>
        <w:tc>
          <w:tcPr>
            <w:tcW w:w="4675" w:type="dxa"/>
          </w:tcPr>
          <w:p w:rsidR="00F14921" w:rsidRPr="00F14921" w:rsidP="00F14921" w14:paraId="2CFB5446" w14:textId="77777777">
            <w:pPr>
              <w:spacing w:after="120"/>
              <w:rPr>
                <w:sz w:val="24"/>
                <w:szCs w:val="24"/>
              </w:rPr>
            </w:pPr>
            <w:r w:rsidRPr="00F14921">
              <w:rPr>
                <w:sz w:val="24"/>
                <w:szCs w:val="24"/>
              </w:rPr>
              <w:t>Publication</w:t>
            </w:r>
          </w:p>
        </w:tc>
        <w:tc>
          <w:tcPr>
            <w:tcW w:w="4675" w:type="dxa"/>
          </w:tcPr>
          <w:p w:rsidR="00F14921" w:rsidRPr="00F14921" w:rsidP="00F14921" w14:paraId="40DCCA1C" w14:textId="14F34137">
            <w:pPr>
              <w:spacing w:after="120"/>
              <w:rPr>
                <w:sz w:val="24"/>
                <w:szCs w:val="24"/>
              </w:rPr>
            </w:pPr>
            <w:r w:rsidRPr="00F14921">
              <w:rPr>
                <w:sz w:val="24"/>
                <w:szCs w:val="24"/>
              </w:rPr>
              <w:t>1</w:t>
            </w:r>
            <w:r w:rsidR="00883BAD">
              <w:rPr>
                <w:sz w:val="24"/>
                <w:szCs w:val="24"/>
              </w:rPr>
              <w:t>2</w:t>
            </w:r>
            <w:r w:rsidRPr="00F14921">
              <w:rPr>
                <w:sz w:val="24"/>
                <w:szCs w:val="24"/>
              </w:rPr>
              <w:t xml:space="preserve"> - 24 months after OMB approval</w:t>
            </w:r>
          </w:p>
        </w:tc>
      </w:tr>
    </w:tbl>
    <w:p w:rsidR="00F14921" w:rsidRPr="00D20211" w:rsidP="003248A4" w14:paraId="64AD34F6" w14:textId="77777777">
      <w:pPr>
        <w:spacing w:line="240" w:lineRule="auto"/>
        <w:rPr>
          <w:sz w:val="24"/>
          <w:szCs w:val="24"/>
        </w:rPr>
      </w:pPr>
    </w:p>
    <w:p w:rsidR="00B45002" w:rsidRPr="00D20211" w:rsidP="78D3267D" w14:paraId="17A1701D" w14:textId="44715584">
      <w:pPr>
        <w:pStyle w:val="Heading1"/>
        <w:pBdr>
          <w:bottom w:val="none" w:sz="0" w:space="0" w:color="auto"/>
        </w:pBdr>
        <w:rPr>
          <w:color w:val="auto"/>
        </w:rPr>
      </w:pPr>
      <w:bookmarkStart w:id="51" w:name="_Toc430935875"/>
      <w:bookmarkStart w:id="52" w:name="_Toc1913724274"/>
      <w:bookmarkStart w:id="53" w:name="_Toc126589458"/>
      <w:r w:rsidRPr="78D3267D">
        <w:rPr>
          <w:color w:val="auto"/>
        </w:rPr>
        <w:t>A.</w:t>
      </w:r>
      <w:r w:rsidRPr="78D3267D" w:rsidR="714D9287">
        <w:rPr>
          <w:color w:val="auto"/>
        </w:rPr>
        <w:t xml:space="preserve">17.  </w:t>
      </w:r>
      <w:r w:rsidRPr="78D3267D" w:rsidR="014C2D95">
        <w:rPr>
          <w:color w:val="auto"/>
        </w:rPr>
        <w:t>Reason(s) Display of OMB Expiration Date is Inappropriate</w:t>
      </w:r>
      <w:bookmarkEnd w:id="51"/>
      <w:bookmarkEnd w:id="52"/>
      <w:bookmarkEnd w:id="53"/>
    </w:p>
    <w:p w:rsidR="005B6E55" w:rsidRPr="00D20211" w:rsidP="005B6E55" w14:paraId="7135D023" w14:textId="77777777"/>
    <w:p w:rsidR="0041406E" w:rsidRPr="00D20211" w:rsidP="005B6E55" w14:paraId="02680D35" w14:textId="25A49E7A">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Pr>
          <w:rFonts w:cs="ITCFranklinGothicStd-Book"/>
          <w:sz w:val="24"/>
          <w:szCs w:val="24"/>
        </w:rPr>
        <w:t xml:space="preserve">f the OMB expiration date is </w:t>
      </w:r>
      <w:r w:rsidRPr="00D20211">
        <w:rPr>
          <w:rFonts w:cs="ITCFranklinGothicStd-Book"/>
          <w:sz w:val="24"/>
          <w:szCs w:val="24"/>
        </w:rPr>
        <w:t>appropriate.</w:t>
      </w:r>
    </w:p>
    <w:p w:rsidR="00DC57CC" w:rsidRPr="00D20211" w:rsidP="78D3267D" w14:paraId="2756C2D5" w14:textId="21EA9472">
      <w:pPr>
        <w:pStyle w:val="Heading1"/>
        <w:pBdr>
          <w:bottom w:val="none" w:sz="0" w:space="0" w:color="auto"/>
        </w:pBdr>
        <w:rPr>
          <w:color w:val="auto"/>
        </w:rPr>
      </w:pPr>
      <w:bookmarkStart w:id="54" w:name="_Toc304471932"/>
      <w:bookmarkStart w:id="55" w:name="_Toc1966708757"/>
      <w:bookmarkStart w:id="56" w:name="_Toc126589459"/>
      <w:r w:rsidRPr="78D3267D">
        <w:rPr>
          <w:color w:val="auto"/>
        </w:rPr>
        <w:t>A.</w:t>
      </w:r>
      <w:r w:rsidRPr="78D3267D" w:rsidR="014C2D95">
        <w:rPr>
          <w:color w:val="auto"/>
        </w:rPr>
        <w:t>18</w:t>
      </w:r>
      <w:r w:rsidRPr="78D3267D" w:rsidR="714D9287">
        <w:rPr>
          <w:color w:val="auto"/>
        </w:rPr>
        <w:t xml:space="preserve">.  </w:t>
      </w:r>
      <w:r w:rsidRPr="78D3267D" w:rsidR="014C2D95">
        <w:rPr>
          <w:color w:val="auto"/>
        </w:rPr>
        <w:t>Exceptions to Certification for Paperwork Reduction Act Submissions</w:t>
      </w:r>
      <w:bookmarkEnd w:id="54"/>
      <w:bookmarkEnd w:id="55"/>
      <w:bookmarkEnd w:id="56"/>
    </w:p>
    <w:p w:rsidR="008C154D" w:rsidRPr="00D20211" w:rsidP="005B6E55" w14:paraId="661E4960" w14:textId="77777777">
      <w:pPr>
        <w:spacing w:line="240" w:lineRule="auto"/>
        <w:rPr>
          <w:sz w:val="24"/>
          <w:szCs w:val="24"/>
        </w:rPr>
      </w:pPr>
    </w:p>
    <w:p w:rsidR="00680F5F" w:rsidRPr="00670118" w:rsidP="006E741B" w14:paraId="09AF2261" w14:textId="091ABA17">
      <w:r w:rsidRPr="00CB4EE6">
        <w:rPr>
          <w:rFonts w:cs="ITCFranklinGothicStd-Book"/>
          <w:sz w:val="24"/>
          <w:szCs w:val="24"/>
        </w:rPr>
        <w:t xml:space="preserve">There are no exceptions to the certification. </w:t>
      </w:r>
      <w:r w:rsidRPr="00CB4EE6">
        <w:rPr>
          <w:sz w:val="24"/>
          <w:szCs w:val="24"/>
        </w:rPr>
        <w:t>These activities comply with the requirements in 5 CFR 1320.9.</w:t>
      </w:r>
    </w:p>
    <w:p w:rsidR="005E2097" w:rsidRPr="002725B7" w:rsidP="00BA2F53" w14:paraId="2DC53578" w14:textId="06BAE594">
      <w:pPr>
        <w:pStyle w:val="Heading1"/>
        <w:pBdr>
          <w:bottom w:val="none" w:sz="0" w:space="0" w:color="auto"/>
        </w:pBdr>
        <w:rPr>
          <w:rFonts w:cstheme="minorHAnsi"/>
          <w:sz w:val="24"/>
          <w:szCs w:val="24"/>
        </w:rPr>
      </w:pPr>
      <w:bookmarkStart w:id="57" w:name="_Toc1782155969"/>
      <w:bookmarkStart w:id="58" w:name="_Toc145603319"/>
      <w:bookmarkStart w:id="59" w:name="_Toc126589460"/>
      <w:r w:rsidRPr="78D3267D">
        <w:rPr>
          <w:rFonts w:ascii="Cambria" w:hAnsi="Cambria"/>
          <w:color w:val="auto"/>
        </w:rPr>
        <w:t>References</w:t>
      </w:r>
      <w:bookmarkEnd w:id="57"/>
      <w:bookmarkEnd w:id="58"/>
      <w:bookmarkEnd w:id="59"/>
    </w:p>
    <w:sdt>
      <w:sdtPr>
        <w:rPr>
          <w:rFonts w:asciiTheme="majorHAnsi" w:hAnsiTheme="majorHAnsi" w:cstheme="minorHAnsi"/>
          <w:color w:val="000000" w:themeColor="text1"/>
          <w:sz w:val="24"/>
          <w:szCs w:val="24"/>
        </w:rPr>
        <w:id w:val="752556148"/>
        <w:docPartObj>
          <w:docPartGallery w:val="Bibliographies"/>
          <w:docPartUnique/>
        </w:docPartObj>
      </w:sdtPr>
      <w:sdtEndPr>
        <w:rPr>
          <w:color w:val="auto"/>
        </w:rPr>
      </w:sdtEndPr>
      <w:sdtContent>
        <w:p w:rsidR="005E2097" w:rsidRPr="002725B7" w:rsidP="005E2097" w14:paraId="01A0F8B1" w14:textId="77777777">
          <w:pPr>
            <w:rPr>
              <w:rFonts w:asciiTheme="majorHAnsi" w:hAnsiTheme="majorHAnsi" w:cstheme="minorHAnsi"/>
              <w:color w:val="000000" w:themeColor="text1"/>
              <w:sz w:val="24"/>
              <w:szCs w:val="24"/>
            </w:rPr>
          </w:pPr>
        </w:p>
        <w:sdt>
          <w:sdtPr>
            <w:rPr>
              <w:rFonts w:asciiTheme="majorHAnsi" w:hAnsiTheme="majorHAnsi" w:cstheme="minorHAnsi"/>
              <w:color w:val="000000" w:themeColor="text1"/>
              <w:sz w:val="24"/>
              <w:szCs w:val="24"/>
            </w:rPr>
            <w:id w:val="-573587230"/>
            <w:bibliography/>
          </w:sdtPr>
          <w:sdtContent>
            <w:p w:rsidR="008C6AFE" w:rsidP="008C6AFE" w14:paraId="332CD2E3" w14:textId="77777777">
              <w:pPr>
                <w:pStyle w:val="Bibliography"/>
                <w:ind w:left="720" w:hanging="720"/>
                <w:rPr>
                  <w:noProof/>
                  <w:sz w:val="24"/>
                  <w:szCs w:val="24"/>
                </w:rPr>
              </w:pPr>
              <w:r w:rsidRPr="002725B7">
                <w:rPr>
                  <w:rFonts w:asciiTheme="majorHAnsi" w:hAnsiTheme="majorHAnsi" w:cstheme="minorHAnsi"/>
                  <w:color w:val="000000" w:themeColor="text1"/>
                  <w:sz w:val="24"/>
                  <w:szCs w:val="24"/>
                </w:rPr>
                <w:fldChar w:fldCharType="begin"/>
              </w:r>
              <w:r w:rsidRPr="002725B7">
                <w:rPr>
                  <w:rFonts w:asciiTheme="majorHAnsi" w:hAnsiTheme="majorHAnsi" w:cstheme="minorHAnsi"/>
                  <w:color w:val="000000" w:themeColor="text1"/>
                  <w:sz w:val="24"/>
                  <w:szCs w:val="24"/>
                </w:rPr>
                <w:instrText xml:space="preserve"> BIBLIOGRAPHY </w:instrText>
              </w:r>
              <w:r w:rsidRPr="002725B7">
                <w:rPr>
                  <w:rFonts w:asciiTheme="majorHAnsi" w:hAnsiTheme="majorHAnsi" w:cstheme="minorHAnsi"/>
                  <w:color w:val="000000" w:themeColor="text1"/>
                  <w:sz w:val="24"/>
                  <w:szCs w:val="24"/>
                </w:rPr>
                <w:fldChar w:fldCharType="separate"/>
              </w:r>
              <w:r>
                <w:rPr>
                  <w:noProof/>
                </w:rPr>
                <w:t xml:space="preserve">Berman, DeFlorio-Barker, &amp; Whitehead, S. (2019, May). Local Health Agency Capacity to Engage in Environmental Health and Land Reuse and Redevelopment. </w:t>
              </w:r>
              <w:r>
                <w:rPr>
                  <w:i/>
                  <w:iCs/>
                  <w:noProof/>
                </w:rPr>
                <w:t>Journal of Environmental Health, 81(9)</w:t>
              </w:r>
              <w:r>
                <w:rPr>
                  <w:noProof/>
                </w:rPr>
                <w:t>, 36-39.</w:t>
              </w:r>
            </w:p>
            <w:p w:rsidR="008C6AFE" w:rsidP="008C6AFE" w14:paraId="59A321A2" w14:textId="77777777">
              <w:pPr>
                <w:pStyle w:val="Bibliography"/>
                <w:ind w:left="720" w:hanging="720"/>
                <w:rPr>
                  <w:noProof/>
                </w:rPr>
              </w:pPr>
              <w:r>
                <w:rPr>
                  <w:noProof/>
                </w:rPr>
                <w:t xml:space="preserve">Jacobs, J. A., Duggan, K., Erwin, P., Borawski, E., &amp; Compton, J. (2014). Capacity building for evidence-based decision making in local health departments: scaling up an effective training approach. </w:t>
              </w:r>
              <w:r>
                <w:rPr>
                  <w:i/>
                  <w:iCs/>
                  <w:noProof/>
                </w:rPr>
                <w:t>Implementation Science, 9(1)1</w:t>
              </w:r>
              <w:r>
                <w:rPr>
                  <w:noProof/>
                </w:rPr>
                <w:t>.</w:t>
              </w:r>
            </w:p>
            <w:p w:rsidR="008C6AFE" w:rsidP="008C6AFE" w14:paraId="624E3584" w14:textId="77777777">
              <w:pPr>
                <w:pStyle w:val="Bibliography"/>
                <w:ind w:left="720" w:hanging="720"/>
                <w:rPr>
                  <w:noProof/>
                </w:rPr>
              </w:pPr>
              <w:r>
                <w:rPr>
                  <w:noProof/>
                </w:rPr>
                <w:t xml:space="preserve">Parker, E., Margolis, L. H., &amp; Henrizuez-Roldan, C. (2003). Assessing the capacity of health departments to engage in community-based participatory public health. </w:t>
              </w:r>
              <w:r>
                <w:rPr>
                  <w:i/>
                  <w:iCs/>
                  <w:noProof/>
                </w:rPr>
                <w:t>American Journal of Public Health, 93(3)</w:t>
              </w:r>
              <w:r>
                <w:rPr>
                  <w:noProof/>
                </w:rPr>
                <w:t>, 472-476.</w:t>
              </w:r>
            </w:p>
            <w:p w:rsidR="008C6AFE" w:rsidP="008C6AFE" w14:paraId="6D67F7D8" w14:textId="77777777">
              <w:pPr>
                <w:pStyle w:val="Bibliography"/>
                <w:ind w:left="720" w:hanging="720"/>
                <w:rPr>
                  <w:noProof/>
                </w:rPr>
              </w:pPr>
              <w:r>
                <w:rPr>
                  <w:noProof/>
                </w:rPr>
                <w:t xml:space="preserve">Rodriguez, H. P., McCullough, J., &amp; Hsuan, C. (2014). Local health department collaborative capacity to improve population health. </w:t>
              </w:r>
              <w:r>
                <w:rPr>
                  <w:i/>
                  <w:iCs/>
                  <w:noProof/>
                </w:rPr>
                <w:t>Frontiers in public health services &amp; systems research, 3(4)</w:t>
              </w:r>
              <w:r>
                <w:rPr>
                  <w:noProof/>
                </w:rPr>
                <w:t>, 7.</w:t>
              </w:r>
            </w:p>
            <w:p w:rsidR="008C6AFE" w:rsidP="008C6AFE" w14:paraId="489C1314" w14:textId="77777777">
              <w:pPr>
                <w:pStyle w:val="Bibliography"/>
                <w:ind w:left="720" w:hanging="720"/>
                <w:rPr>
                  <w:noProof/>
                </w:rPr>
              </w:pPr>
              <w:r>
                <w:rPr>
                  <w:noProof/>
                </w:rPr>
                <w:t xml:space="preserve">United States Department of Labor. (2016, May). </w:t>
              </w:r>
              <w:r>
                <w:rPr>
                  <w:i/>
                  <w:iCs/>
                  <w:noProof/>
                </w:rPr>
                <w:t>Occupational Employment Statistics</w:t>
              </w:r>
              <w:r>
                <w:rPr>
                  <w:noProof/>
                </w:rPr>
                <w:t>. Retrieved from Bureau of Labor Statistics: https://www.bls.gov/oes/current/oes_nat.htm</w:t>
              </w:r>
            </w:p>
            <w:p w:rsidR="008C6AFE" w:rsidP="008C6AFE" w14:paraId="2694B89D" w14:textId="77777777">
              <w:pPr>
                <w:pStyle w:val="Bibliography"/>
                <w:ind w:left="720" w:hanging="720"/>
                <w:rPr>
                  <w:noProof/>
                </w:rPr>
              </w:pPr>
              <w:r>
                <w:rPr>
                  <w:noProof/>
                </w:rPr>
                <w:t xml:space="preserve">United States Department of Labor. (2022, June 8). </w:t>
              </w:r>
              <w:r>
                <w:rPr>
                  <w:i/>
                  <w:iCs/>
                  <w:noProof/>
                </w:rPr>
                <w:t>Occupational Employment Statistics</w:t>
              </w:r>
              <w:r>
                <w:rPr>
                  <w:noProof/>
                </w:rPr>
                <w:t>. Retrieved from Bureau of Labor Statistics: https://www.bls.gov/oes/tables.htm</w:t>
              </w:r>
            </w:p>
            <w:p w:rsidR="005E2097" w:rsidRPr="005E2097" w:rsidP="008C6AFE" w14:paraId="3DDBA13B" w14:textId="77BED2D3">
              <w:r w:rsidRPr="002725B7">
                <w:rPr>
                  <w:rFonts w:asciiTheme="majorHAnsi" w:hAnsiTheme="majorHAnsi" w:cstheme="minorHAnsi"/>
                  <w:b/>
                  <w:bCs/>
                  <w:noProof/>
                  <w:color w:val="000000" w:themeColor="text1"/>
                  <w:sz w:val="24"/>
                  <w:szCs w:val="24"/>
                </w:rPr>
                <w:fldChar w:fldCharType="end"/>
              </w:r>
            </w:p>
          </w:sdtContent>
        </w:sdt>
      </w:sdtContent>
    </w:sdt>
    <w:sectPr w:rsidSect="00446D49">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3FD" w14:paraId="587FD304" w14:textId="77777777">
    <w:pPr>
      <w:pStyle w:val="Header"/>
      <w:rPr>
        <w:rFonts w:eastAsiaTheme="minorEastAsia"/>
        <w:sz w:val="21"/>
        <w:szCs w:val="21"/>
      </w:rPr>
    </w:pPr>
    <w:r>
      <w:t>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251" w14:paraId="712AA6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3FD" w14:paraId="5D28BD71" w14:textId="77777777">
    <w:pPr>
      <w:pStyle w:val="Header"/>
      <w:rPr>
        <w:rFonts w:eastAsiaTheme="minorEastAsia"/>
        <w:sz w:val="21"/>
        <w:szCs w:val="21"/>
      </w:rP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DAF" w:rsidP="008B5D54" w14:paraId="4C425E18" w14:textId="77777777">
      <w:r>
        <w:separator/>
      </w:r>
    </w:p>
  </w:footnote>
  <w:footnote w:type="continuationSeparator" w:id="1">
    <w:p w:rsidR="00055DAF" w:rsidP="008B5D54" w14:paraId="60A3AD7A" w14:textId="77777777">
      <w:r>
        <w:continuationSeparator/>
      </w:r>
    </w:p>
  </w:footnote>
  <w:footnote w:id="2">
    <w:p w:rsidR="002F2997" w:rsidRPr="00885FED" w14:paraId="2BD96D7F" w14:textId="08ABEEF8">
      <w:pPr>
        <w:pStyle w:val="FootnoteText"/>
      </w:pPr>
      <w:r w:rsidRPr="00885FED">
        <w:rPr>
          <w:rStyle w:val="FootnoteReference"/>
        </w:rPr>
        <w:footnoteRef/>
      </w:r>
      <w:r w:rsidRPr="00885FED">
        <w:t xml:space="preserve"> </w:t>
      </w:r>
      <w:r w:rsidRPr="007F0C72">
        <w:t xml:space="preserve">NEHA independently hosts its online/asynchronous 10-hour EHLR Basic course that contains the </w:t>
      </w:r>
      <w:r w:rsidRPr="007F0C72">
        <w:rPr>
          <w:rFonts w:cstheme="minorHAnsi"/>
        </w:rPr>
        <w:t xml:space="preserve">same content as the ATSDR classroom course. </w:t>
      </w:r>
      <w:r w:rsidR="00345A4D">
        <w:rPr>
          <w:rFonts w:cstheme="minorHAnsi"/>
        </w:rPr>
        <w:t xml:space="preserve">ATSDR is not seeking PRA clearance for the NEHA training. </w:t>
      </w:r>
      <w:bookmarkStart w:id="7" w:name="_Hlk124416160"/>
      <w:r w:rsidRPr="007F0C72">
        <w:rPr>
          <w:rFonts w:cstheme="minorHAnsi"/>
        </w:rPr>
        <w:t xml:space="preserve">ATSDR </w:t>
      </w:r>
      <w:r w:rsidRPr="00885FED" w:rsidR="0016730F">
        <w:rPr>
          <w:rFonts w:cstheme="minorHAnsi"/>
        </w:rPr>
        <w:t xml:space="preserve">is </w:t>
      </w:r>
      <w:r w:rsidRPr="007F0C72">
        <w:rPr>
          <w:rFonts w:cstheme="minorHAnsi"/>
        </w:rPr>
        <w:t>currently fund</w:t>
      </w:r>
      <w:r w:rsidRPr="00885FED" w:rsidR="0016730F">
        <w:rPr>
          <w:rFonts w:cstheme="minorHAnsi"/>
        </w:rPr>
        <w:t>ing</w:t>
      </w:r>
      <w:r w:rsidRPr="007F0C72">
        <w:rPr>
          <w:rFonts w:cstheme="minorHAnsi"/>
        </w:rPr>
        <w:t xml:space="preserve"> NEHA (through July 2023) to </w:t>
      </w:r>
      <w:r w:rsidRPr="00885FED" w:rsidR="0016730F">
        <w:rPr>
          <w:rFonts w:cstheme="minorHAnsi"/>
        </w:rPr>
        <w:t xml:space="preserve">collaboratively </w:t>
      </w:r>
      <w:r w:rsidRPr="007F0C72">
        <w:rPr>
          <w:rFonts w:cstheme="minorHAnsi"/>
        </w:rPr>
        <w:t>pilot and finaliz</w:t>
      </w:r>
      <w:r w:rsidRPr="00885FED">
        <w:rPr>
          <w:rFonts w:cstheme="minorHAnsi"/>
        </w:rPr>
        <w:t>e the course content of</w:t>
      </w:r>
      <w:r w:rsidRPr="007F0C72">
        <w:rPr>
          <w:rFonts w:cstheme="minorHAnsi"/>
        </w:rPr>
        <w:t xml:space="preserve"> ATSDR’s</w:t>
      </w:r>
      <w:r w:rsidR="00345A4D">
        <w:rPr>
          <w:rFonts w:cstheme="minorHAnsi"/>
        </w:rPr>
        <w:t xml:space="preserve"> new</w:t>
      </w:r>
      <w:r w:rsidRPr="007F0C72">
        <w:rPr>
          <w:rFonts w:cstheme="minorHAnsi"/>
        </w:rPr>
        <w:t xml:space="preserve"> </w:t>
      </w:r>
      <w:r w:rsidRPr="00885FED">
        <w:rPr>
          <w:rFonts w:cstheme="minorHAnsi"/>
        </w:rPr>
        <w:t>“</w:t>
      </w:r>
      <w:r w:rsidR="00A949E0">
        <w:rPr>
          <w:rFonts w:cstheme="minorHAnsi"/>
        </w:rPr>
        <w:t xml:space="preserve">EHLR </w:t>
      </w:r>
      <w:r w:rsidR="00291DE5">
        <w:rPr>
          <w:rFonts w:cstheme="minorHAnsi"/>
        </w:rPr>
        <w:t>Immersion</w:t>
      </w:r>
      <w:r w:rsidRPr="007F0C72">
        <w:rPr>
          <w:rFonts w:cstheme="minorHAnsi"/>
        </w:rPr>
        <w:t xml:space="preserve"> </w:t>
      </w:r>
      <w:r w:rsidRPr="00885FED">
        <w:rPr>
          <w:rFonts w:cstheme="minorHAnsi"/>
        </w:rPr>
        <w:t>Training.”</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251" w14:paraId="50ECA2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3FD" w:rsidRPr="00BA2F53" w14:paraId="300F34AC" w14:textId="2C3D6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3FD" w14:paraId="621E5D8D" w14:textId="77777777">
    <w:pPr>
      <w:pStyle w:val="Header"/>
      <w:rPr>
        <w:rFonts w:eastAsiaTheme="minorEastAsia"/>
        <w:sz w:val="21"/>
        <w:szCs w:val="21"/>
      </w:rPr>
    </w:pPr>
    <w: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F628C"/>
    <w:multiLevelType w:val="hybridMultilevel"/>
    <w:tmpl w:val="22EE8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B37D06"/>
    <w:multiLevelType w:val="hybridMultilevel"/>
    <w:tmpl w:val="368ACE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D6D4F"/>
    <w:multiLevelType w:val="hybridMultilevel"/>
    <w:tmpl w:val="CB1CA9C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A882213"/>
    <w:multiLevelType w:val="hybridMultilevel"/>
    <w:tmpl w:val="DE12F6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021201"/>
    <w:multiLevelType w:val="hybridMultilevel"/>
    <w:tmpl w:val="452C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A7472A"/>
    <w:multiLevelType w:val="hybridMultilevel"/>
    <w:tmpl w:val="BC409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B24B87"/>
    <w:multiLevelType w:val="hybridMultilevel"/>
    <w:tmpl w:val="CB1CA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4022CA"/>
    <w:multiLevelType w:val="multilevel"/>
    <w:tmpl w:val="A9E8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8137A"/>
    <w:multiLevelType w:val="hybridMultilevel"/>
    <w:tmpl w:val="1C5E8E44"/>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E7710F"/>
    <w:multiLevelType w:val="hybridMultilevel"/>
    <w:tmpl w:val="1CD0A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A050D0"/>
    <w:multiLevelType w:val="hybridMultilevel"/>
    <w:tmpl w:val="7DBCF7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1371D56"/>
    <w:multiLevelType w:val="hybridMultilevel"/>
    <w:tmpl w:val="4B9E5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7807554">
    <w:abstractNumId w:val="4"/>
  </w:num>
  <w:num w:numId="2" w16cid:durableId="1865170111">
    <w:abstractNumId w:val="11"/>
  </w:num>
  <w:num w:numId="3" w16cid:durableId="1673794359">
    <w:abstractNumId w:val="3"/>
  </w:num>
  <w:num w:numId="4" w16cid:durableId="1674065142">
    <w:abstractNumId w:val="9"/>
  </w:num>
  <w:num w:numId="5" w16cid:durableId="2085949680">
    <w:abstractNumId w:val="1"/>
  </w:num>
  <w:num w:numId="6" w16cid:durableId="781001543">
    <w:abstractNumId w:val="8"/>
  </w:num>
  <w:num w:numId="7" w16cid:durableId="1876311836">
    <w:abstractNumId w:val="10"/>
  </w:num>
  <w:num w:numId="8" w16cid:durableId="2000502122">
    <w:abstractNumId w:val="2"/>
  </w:num>
  <w:num w:numId="9" w16cid:durableId="696271811">
    <w:abstractNumId w:val="6"/>
  </w:num>
  <w:num w:numId="10" w16cid:durableId="825631790">
    <w:abstractNumId w:val="0"/>
  </w:num>
  <w:num w:numId="11" w16cid:durableId="1561095868">
    <w:abstractNumId w:val="7"/>
  </w:num>
  <w:num w:numId="12" w16cid:durableId="16390644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1F18"/>
    <w:rsid w:val="00002753"/>
    <w:rsid w:val="00003B32"/>
    <w:rsid w:val="00004AED"/>
    <w:rsid w:val="0000689D"/>
    <w:rsid w:val="000071D1"/>
    <w:rsid w:val="000074B2"/>
    <w:rsid w:val="00007D42"/>
    <w:rsid w:val="00012071"/>
    <w:rsid w:val="00013DB5"/>
    <w:rsid w:val="00014E79"/>
    <w:rsid w:val="00017438"/>
    <w:rsid w:val="0002168F"/>
    <w:rsid w:val="000216A4"/>
    <w:rsid w:val="000230BE"/>
    <w:rsid w:val="00026728"/>
    <w:rsid w:val="00026800"/>
    <w:rsid w:val="00026FF9"/>
    <w:rsid w:val="000273E9"/>
    <w:rsid w:val="000278D4"/>
    <w:rsid w:val="00027B01"/>
    <w:rsid w:val="00027B1B"/>
    <w:rsid w:val="0003175F"/>
    <w:rsid w:val="00032C96"/>
    <w:rsid w:val="00033850"/>
    <w:rsid w:val="00034725"/>
    <w:rsid w:val="00040E13"/>
    <w:rsid w:val="00040F4A"/>
    <w:rsid w:val="00041193"/>
    <w:rsid w:val="0004179E"/>
    <w:rsid w:val="0004487B"/>
    <w:rsid w:val="00045A02"/>
    <w:rsid w:val="00046F1B"/>
    <w:rsid w:val="00047490"/>
    <w:rsid w:val="00047636"/>
    <w:rsid w:val="000478F6"/>
    <w:rsid w:val="00051433"/>
    <w:rsid w:val="00051810"/>
    <w:rsid w:val="00051816"/>
    <w:rsid w:val="00051B38"/>
    <w:rsid w:val="00052FB9"/>
    <w:rsid w:val="000537B1"/>
    <w:rsid w:val="00054DD6"/>
    <w:rsid w:val="0005516D"/>
    <w:rsid w:val="000551A8"/>
    <w:rsid w:val="00055DAF"/>
    <w:rsid w:val="00056EF0"/>
    <w:rsid w:val="00057E9C"/>
    <w:rsid w:val="000602B8"/>
    <w:rsid w:val="00061974"/>
    <w:rsid w:val="0006228C"/>
    <w:rsid w:val="00064476"/>
    <w:rsid w:val="00064766"/>
    <w:rsid w:val="00064E76"/>
    <w:rsid w:val="00065509"/>
    <w:rsid w:val="00065A48"/>
    <w:rsid w:val="00065BF0"/>
    <w:rsid w:val="00066134"/>
    <w:rsid w:val="000673AB"/>
    <w:rsid w:val="00070750"/>
    <w:rsid w:val="00070A2D"/>
    <w:rsid w:val="000712F6"/>
    <w:rsid w:val="00072010"/>
    <w:rsid w:val="00073003"/>
    <w:rsid w:val="0007442E"/>
    <w:rsid w:val="00075A8C"/>
    <w:rsid w:val="00075B39"/>
    <w:rsid w:val="000764AF"/>
    <w:rsid w:val="00076C74"/>
    <w:rsid w:val="000771B9"/>
    <w:rsid w:val="0007753E"/>
    <w:rsid w:val="00077A0C"/>
    <w:rsid w:val="00081BBD"/>
    <w:rsid w:val="00081C91"/>
    <w:rsid w:val="00085613"/>
    <w:rsid w:val="0008573D"/>
    <w:rsid w:val="00090871"/>
    <w:rsid w:val="00094108"/>
    <w:rsid w:val="00094B85"/>
    <w:rsid w:val="00094E12"/>
    <w:rsid w:val="000A16FA"/>
    <w:rsid w:val="000A204D"/>
    <w:rsid w:val="000A2634"/>
    <w:rsid w:val="000A30A8"/>
    <w:rsid w:val="000A4871"/>
    <w:rsid w:val="000A4BD7"/>
    <w:rsid w:val="000A5AC6"/>
    <w:rsid w:val="000A6E17"/>
    <w:rsid w:val="000A77B0"/>
    <w:rsid w:val="000B0207"/>
    <w:rsid w:val="000B04FA"/>
    <w:rsid w:val="000B0720"/>
    <w:rsid w:val="000B1321"/>
    <w:rsid w:val="000B14F2"/>
    <w:rsid w:val="000B1836"/>
    <w:rsid w:val="000B1B6E"/>
    <w:rsid w:val="000B4BB9"/>
    <w:rsid w:val="000B639A"/>
    <w:rsid w:val="000B7497"/>
    <w:rsid w:val="000B7D8F"/>
    <w:rsid w:val="000C3FEE"/>
    <w:rsid w:val="000C4AA3"/>
    <w:rsid w:val="000C54E0"/>
    <w:rsid w:val="000C55B1"/>
    <w:rsid w:val="000D1DBA"/>
    <w:rsid w:val="000D25D0"/>
    <w:rsid w:val="000D2AA4"/>
    <w:rsid w:val="000D4A57"/>
    <w:rsid w:val="000D4D11"/>
    <w:rsid w:val="000D4DE3"/>
    <w:rsid w:val="000D5AC0"/>
    <w:rsid w:val="000D6A09"/>
    <w:rsid w:val="000E0282"/>
    <w:rsid w:val="000E1374"/>
    <w:rsid w:val="000E142C"/>
    <w:rsid w:val="000E1B65"/>
    <w:rsid w:val="000E53CA"/>
    <w:rsid w:val="000E7B8B"/>
    <w:rsid w:val="000E7FAD"/>
    <w:rsid w:val="000F0AB8"/>
    <w:rsid w:val="000F11E0"/>
    <w:rsid w:val="000F1432"/>
    <w:rsid w:val="000F293D"/>
    <w:rsid w:val="000F3D0F"/>
    <w:rsid w:val="000F40C4"/>
    <w:rsid w:val="000F4921"/>
    <w:rsid w:val="000F4EC3"/>
    <w:rsid w:val="000F57D9"/>
    <w:rsid w:val="000F752B"/>
    <w:rsid w:val="00100C5B"/>
    <w:rsid w:val="00100D0E"/>
    <w:rsid w:val="00101F90"/>
    <w:rsid w:val="00103DFD"/>
    <w:rsid w:val="00104051"/>
    <w:rsid w:val="0010465F"/>
    <w:rsid w:val="00106836"/>
    <w:rsid w:val="00106950"/>
    <w:rsid w:val="00106C79"/>
    <w:rsid w:val="00107476"/>
    <w:rsid w:val="00110535"/>
    <w:rsid w:val="00110D29"/>
    <w:rsid w:val="0011321F"/>
    <w:rsid w:val="00114052"/>
    <w:rsid w:val="00114837"/>
    <w:rsid w:val="00115CC7"/>
    <w:rsid w:val="00116841"/>
    <w:rsid w:val="001171A4"/>
    <w:rsid w:val="001210BD"/>
    <w:rsid w:val="001232E4"/>
    <w:rsid w:val="00123A3D"/>
    <w:rsid w:val="00123AD3"/>
    <w:rsid w:val="00123B37"/>
    <w:rsid w:val="00124561"/>
    <w:rsid w:val="001303AE"/>
    <w:rsid w:val="001317DF"/>
    <w:rsid w:val="00132004"/>
    <w:rsid w:val="001324C6"/>
    <w:rsid w:val="001346BF"/>
    <w:rsid w:val="00134BEF"/>
    <w:rsid w:val="001357CB"/>
    <w:rsid w:val="001372DB"/>
    <w:rsid w:val="0013764F"/>
    <w:rsid w:val="0014151A"/>
    <w:rsid w:val="001416CB"/>
    <w:rsid w:val="001417E6"/>
    <w:rsid w:val="00142483"/>
    <w:rsid w:val="00145F9B"/>
    <w:rsid w:val="00146F8D"/>
    <w:rsid w:val="00147AEA"/>
    <w:rsid w:val="00150025"/>
    <w:rsid w:val="001505D6"/>
    <w:rsid w:val="0015103C"/>
    <w:rsid w:val="0015118C"/>
    <w:rsid w:val="00151318"/>
    <w:rsid w:val="00154573"/>
    <w:rsid w:val="00155EC2"/>
    <w:rsid w:val="00160A9B"/>
    <w:rsid w:val="00161EE5"/>
    <w:rsid w:val="001626CB"/>
    <w:rsid w:val="001626E8"/>
    <w:rsid w:val="00162F7A"/>
    <w:rsid w:val="00163C21"/>
    <w:rsid w:val="0016538A"/>
    <w:rsid w:val="001662C3"/>
    <w:rsid w:val="0016730F"/>
    <w:rsid w:val="00167A15"/>
    <w:rsid w:val="001700BF"/>
    <w:rsid w:val="001727C1"/>
    <w:rsid w:val="001759C7"/>
    <w:rsid w:val="00176AF4"/>
    <w:rsid w:val="00177ABE"/>
    <w:rsid w:val="00180BC7"/>
    <w:rsid w:val="00181285"/>
    <w:rsid w:val="00181FA9"/>
    <w:rsid w:val="00185386"/>
    <w:rsid w:val="001855E3"/>
    <w:rsid w:val="001857FD"/>
    <w:rsid w:val="00186048"/>
    <w:rsid w:val="001872E6"/>
    <w:rsid w:val="001932EC"/>
    <w:rsid w:val="00194A8D"/>
    <w:rsid w:val="00195CA9"/>
    <w:rsid w:val="001963A2"/>
    <w:rsid w:val="00196C12"/>
    <w:rsid w:val="001A15F9"/>
    <w:rsid w:val="001A1D31"/>
    <w:rsid w:val="001A1E38"/>
    <w:rsid w:val="001A3A87"/>
    <w:rsid w:val="001A45E4"/>
    <w:rsid w:val="001A5EC6"/>
    <w:rsid w:val="001A73E9"/>
    <w:rsid w:val="001B130E"/>
    <w:rsid w:val="001B16F9"/>
    <w:rsid w:val="001B2712"/>
    <w:rsid w:val="001B2E23"/>
    <w:rsid w:val="001B3522"/>
    <w:rsid w:val="001B42BE"/>
    <w:rsid w:val="001B501D"/>
    <w:rsid w:val="001B649E"/>
    <w:rsid w:val="001B741A"/>
    <w:rsid w:val="001B7634"/>
    <w:rsid w:val="001C040F"/>
    <w:rsid w:val="001C066E"/>
    <w:rsid w:val="001C1DD5"/>
    <w:rsid w:val="001C268C"/>
    <w:rsid w:val="001C27CC"/>
    <w:rsid w:val="001C3EBE"/>
    <w:rsid w:val="001C7269"/>
    <w:rsid w:val="001C7F4E"/>
    <w:rsid w:val="001D0EA1"/>
    <w:rsid w:val="001D284D"/>
    <w:rsid w:val="001D391B"/>
    <w:rsid w:val="001D56E7"/>
    <w:rsid w:val="001D623F"/>
    <w:rsid w:val="001D75CC"/>
    <w:rsid w:val="001E1022"/>
    <w:rsid w:val="001E27D7"/>
    <w:rsid w:val="001E3120"/>
    <w:rsid w:val="001E5213"/>
    <w:rsid w:val="001E5647"/>
    <w:rsid w:val="001E595A"/>
    <w:rsid w:val="001E6B53"/>
    <w:rsid w:val="001F19FD"/>
    <w:rsid w:val="001F1D97"/>
    <w:rsid w:val="001F23DF"/>
    <w:rsid w:val="001F3995"/>
    <w:rsid w:val="001F4FFA"/>
    <w:rsid w:val="001F53D2"/>
    <w:rsid w:val="001F5959"/>
    <w:rsid w:val="001F5BDA"/>
    <w:rsid w:val="001F6237"/>
    <w:rsid w:val="00201308"/>
    <w:rsid w:val="00203713"/>
    <w:rsid w:val="00203A62"/>
    <w:rsid w:val="00204DD3"/>
    <w:rsid w:val="00204F70"/>
    <w:rsid w:val="002064EF"/>
    <w:rsid w:val="00206A3D"/>
    <w:rsid w:val="00206AAE"/>
    <w:rsid w:val="002119D0"/>
    <w:rsid w:val="00211EB5"/>
    <w:rsid w:val="002135ED"/>
    <w:rsid w:val="00215202"/>
    <w:rsid w:val="002175AA"/>
    <w:rsid w:val="002203E0"/>
    <w:rsid w:val="002230E2"/>
    <w:rsid w:val="00226869"/>
    <w:rsid w:val="00227206"/>
    <w:rsid w:val="00227817"/>
    <w:rsid w:val="0023081C"/>
    <w:rsid w:val="00231951"/>
    <w:rsid w:val="0023326C"/>
    <w:rsid w:val="00236267"/>
    <w:rsid w:val="0023630E"/>
    <w:rsid w:val="002369DA"/>
    <w:rsid w:val="00237064"/>
    <w:rsid w:val="002379B5"/>
    <w:rsid w:val="00237B40"/>
    <w:rsid w:val="00240C28"/>
    <w:rsid w:val="0024399D"/>
    <w:rsid w:val="00244C51"/>
    <w:rsid w:val="00244F46"/>
    <w:rsid w:val="0024504B"/>
    <w:rsid w:val="00245406"/>
    <w:rsid w:val="00246A78"/>
    <w:rsid w:val="00247B8F"/>
    <w:rsid w:val="00252656"/>
    <w:rsid w:val="00257CB9"/>
    <w:rsid w:val="00260418"/>
    <w:rsid w:val="002605A1"/>
    <w:rsid w:val="00261399"/>
    <w:rsid w:val="00265408"/>
    <w:rsid w:val="00265663"/>
    <w:rsid w:val="00267E8E"/>
    <w:rsid w:val="002703F7"/>
    <w:rsid w:val="00271C0C"/>
    <w:rsid w:val="00272493"/>
    <w:rsid w:val="002725B7"/>
    <w:rsid w:val="00274D11"/>
    <w:rsid w:val="00274D86"/>
    <w:rsid w:val="0027619F"/>
    <w:rsid w:val="002771F5"/>
    <w:rsid w:val="002771FE"/>
    <w:rsid w:val="00280241"/>
    <w:rsid w:val="00283690"/>
    <w:rsid w:val="00283881"/>
    <w:rsid w:val="0028476F"/>
    <w:rsid w:val="0028491D"/>
    <w:rsid w:val="002872FD"/>
    <w:rsid w:val="00287A8C"/>
    <w:rsid w:val="00287B5A"/>
    <w:rsid w:val="00290F85"/>
    <w:rsid w:val="00291DE5"/>
    <w:rsid w:val="002928DF"/>
    <w:rsid w:val="002930EC"/>
    <w:rsid w:val="00294324"/>
    <w:rsid w:val="00294E11"/>
    <w:rsid w:val="002A1AB0"/>
    <w:rsid w:val="002A1C82"/>
    <w:rsid w:val="002A3655"/>
    <w:rsid w:val="002A674E"/>
    <w:rsid w:val="002A69E8"/>
    <w:rsid w:val="002B1D7C"/>
    <w:rsid w:val="002B28DC"/>
    <w:rsid w:val="002B4285"/>
    <w:rsid w:val="002B63C9"/>
    <w:rsid w:val="002C06A1"/>
    <w:rsid w:val="002C1279"/>
    <w:rsid w:val="002C2A8D"/>
    <w:rsid w:val="002C2D0A"/>
    <w:rsid w:val="002C4C1F"/>
    <w:rsid w:val="002C4CF4"/>
    <w:rsid w:val="002C645E"/>
    <w:rsid w:val="002C6753"/>
    <w:rsid w:val="002D0680"/>
    <w:rsid w:val="002D3A9E"/>
    <w:rsid w:val="002D4842"/>
    <w:rsid w:val="002D573F"/>
    <w:rsid w:val="002D6D73"/>
    <w:rsid w:val="002E0397"/>
    <w:rsid w:val="002E2E4E"/>
    <w:rsid w:val="002E35B6"/>
    <w:rsid w:val="002E368A"/>
    <w:rsid w:val="002E3C81"/>
    <w:rsid w:val="002E3DCB"/>
    <w:rsid w:val="002E4498"/>
    <w:rsid w:val="002E48A7"/>
    <w:rsid w:val="002E5BD3"/>
    <w:rsid w:val="002E694D"/>
    <w:rsid w:val="002E7B9E"/>
    <w:rsid w:val="002F1276"/>
    <w:rsid w:val="002F1DBC"/>
    <w:rsid w:val="002F1EC0"/>
    <w:rsid w:val="002F2997"/>
    <w:rsid w:val="002F3924"/>
    <w:rsid w:val="002F4266"/>
    <w:rsid w:val="002F42C9"/>
    <w:rsid w:val="002F5953"/>
    <w:rsid w:val="00302CC4"/>
    <w:rsid w:val="0030501D"/>
    <w:rsid w:val="003053B1"/>
    <w:rsid w:val="00306DDE"/>
    <w:rsid w:val="00307FE7"/>
    <w:rsid w:val="003113D2"/>
    <w:rsid w:val="003114D4"/>
    <w:rsid w:val="00311E18"/>
    <w:rsid w:val="00312582"/>
    <w:rsid w:val="00316980"/>
    <w:rsid w:val="00316AD0"/>
    <w:rsid w:val="003171A8"/>
    <w:rsid w:val="00320135"/>
    <w:rsid w:val="003210B3"/>
    <w:rsid w:val="0032318E"/>
    <w:rsid w:val="00323C10"/>
    <w:rsid w:val="00324220"/>
    <w:rsid w:val="003248A4"/>
    <w:rsid w:val="00324A1F"/>
    <w:rsid w:val="00326844"/>
    <w:rsid w:val="00330703"/>
    <w:rsid w:val="00331FDC"/>
    <w:rsid w:val="00332993"/>
    <w:rsid w:val="0033340D"/>
    <w:rsid w:val="0033469A"/>
    <w:rsid w:val="00337057"/>
    <w:rsid w:val="00337292"/>
    <w:rsid w:val="003407AB"/>
    <w:rsid w:val="00340E99"/>
    <w:rsid w:val="00340F48"/>
    <w:rsid w:val="003411DC"/>
    <w:rsid w:val="00342BA4"/>
    <w:rsid w:val="00345A4D"/>
    <w:rsid w:val="00346A6A"/>
    <w:rsid w:val="00346C4C"/>
    <w:rsid w:val="00346E41"/>
    <w:rsid w:val="00349931"/>
    <w:rsid w:val="003506B8"/>
    <w:rsid w:val="003507B3"/>
    <w:rsid w:val="00352FE9"/>
    <w:rsid w:val="003547D2"/>
    <w:rsid w:val="00354A4E"/>
    <w:rsid w:val="00354C0E"/>
    <w:rsid w:val="00354E0E"/>
    <w:rsid w:val="00355B97"/>
    <w:rsid w:val="00356C3B"/>
    <w:rsid w:val="00357FB5"/>
    <w:rsid w:val="003606AD"/>
    <w:rsid w:val="00360896"/>
    <w:rsid w:val="00360BBB"/>
    <w:rsid w:val="00361201"/>
    <w:rsid w:val="00361AF0"/>
    <w:rsid w:val="003645D3"/>
    <w:rsid w:val="003648A2"/>
    <w:rsid w:val="00364CCC"/>
    <w:rsid w:val="0036566F"/>
    <w:rsid w:val="00365B89"/>
    <w:rsid w:val="003666E3"/>
    <w:rsid w:val="0036672D"/>
    <w:rsid w:val="00367304"/>
    <w:rsid w:val="003702AC"/>
    <w:rsid w:val="003705CD"/>
    <w:rsid w:val="003712EB"/>
    <w:rsid w:val="00371CD8"/>
    <w:rsid w:val="00373456"/>
    <w:rsid w:val="00374601"/>
    <w:rsid w:val="003808CC"/>
    <w:rsid w:val="003810E2"/>
    <w:rsid w:val="00381BCD"/>
    <w:rsid w:val="003832D1"/>
    <w:rsid w:val="00383848"/>
    <w:rsid w:val="00385207"/>
    <w:rsid w:val="00385A8E"/>
    <w:rsid w:val="00386C3A"/>
    <w:rsid w:val="00386F68"/>
    <w:rsid w:val="00387C4A"/>
    <w:rsid w:val="00390B2D"/>
    <w:rsid w:val="00391007"/>
    <w:rsid w:val="00391972"/>
    <w:rsid w:val="003924C9"/>
    <w:rsid w:val="003924FB"/>
    <w:rsid w:val="00393662"/>
    <w:rsid w:val="00394F33"/>
    <w:rsid w:val="00395274"/>
    <w:rsid w:val="003A007B"/>
    <w:rsid w:val="003A0349"/>
    <w:rsid w:val="003A2B05"/>
    <w:rsid w:val="003A2F76"/>
    <w:rsid w:val="003A340B"/>
    <w:rsid w:val="003A4B8F"/>
    <w:rsid w:val="003A531A"/>
    <w:rsid w:val="003A5DD1"/>
    <w:rsid w:val="003B1968"/>
    <w:rsid w:val="003B2A57"/>
    <w:rsid w:val="003B3057"/>
    <w:rsid w:val="003B3FCC"/>
    <w:rsid w:val="003C0795"/>
    <w:rsid w:val="003C0CED"/>
    <w:rsid w:val="003C21A1"/>
    <w:rsid w:val="003C38E1"/>
    <w:rsid w:val="003C3EA6"/>
    <w:rsid w:val="003C47E4"/>
    <w:rsid w:val="003C4886"/>
    <w:rsid w:val="003C530B"/>
    <w:rsid w:val="003C5A17"/>
    <w:rsid w:val="003C6AB8"/>
    <w:rsid w:val="003D0D02"/>
    <w:rsid w:val="003D10E2"/>
    <w:rsid w:val="003D1A64"/>
    <w:rsid w:val="003D311D"/>
    <w:rsid w:val="003D3E78"/>
    <w:rsid w:val="003D702E"/>
    <w:rsid w:val="003D7C7F"/>
    <w:rsid w:val="003E01E9"/>
    <w:rsid w:val="003E05AE"/>
    <w:rsid w:val="003E092D"/>
    <w:rsid w:val="003E4CD3"/>
    <w:rsid w:val="003E52CA"/>
    <w:rsid w:val="003E72BE"/>
    <w:rsid w:val="003E7D3C"/>
    <w:rsid w:val="003F26C6"/>
    <w:rsid w:val="003F2992"/>
    <w:rsid w:val="003F2C06"/>
    <w:rsid w:val="003F4EA5"/>
    <w:rsid w:val="003F51BF"/>
    <w:rsid w:val="003F6114"/>
    <w:rsid w:val="003F612D"/>
    <w:rsid w:val="003F6554"/>
    <w:rsid w:val="003F6A54"/>
    <w:rsid w:val="003F7043"/>
    <w:rsid w:val="004005BB"/>
    <w:rsid w:val="00400BE4"/>
    <w:rsid w:val="00400C55"/>
    <w:rsid w:val="0040594D"/>
    <w:rsid w:val="00407B3E"/>
    <w:rsid w:val="0041069F"/>
    <w:rsid w:val="004109D6"/>
    <w:rsid w:val="00411D9C"/>
    <w:rsid w:val="00413951"/>
    <w:rsid w:val="0041406E"/>
    <w:rsid w:val="004154B7"/>
    <w:rsid w:val="004159E9"/>
    <w:rsid w:val="00416242"/>
    <w:rsid w:val="0041642A"/>
    <w:rsid w:val="004201B3"/>
    <w:rsid w:val="0042567B"/>
    <w:rsid w:val="004302E3"/>
    <w:rsid w:val="004302E9"/>
    <w:rsid w:val="004311EF"/>
    <w:rsid w:val="00434368"/>
    <w:rsid w:val="00434685"/>
    <w:rsid w:val="00434825"/>
    <w:rsid w:val="00434990"/>
    <w:rsid w:val="00434A3F"/>
    <w:rsid w:val="00436064"/>
    <w:rsid w:val="0044037B"/>
    <w:rsid w:val="004417A7"/>
    <w:rsid w:val="00441874"/>
    <w:rsid w:val="00441EB7"/>
    <w:rsid w:val="00443115"/>
    <w:rsid w:val="0044654D"/>
    <w:rsid w:val="00446D49"/>
    <w:rsid w:val="00451105"/>
    <w:rsid w:val="00451BBD"/>
    <w:rsid w:val="00455158"/>
    <w:rsid w:val="00455277"/>
    <w:rsid w:val="004558AD"/>
    <w:rsid w:val="00456EEA"/>
    <w:rsid w:val="0046075E"/>
    <w:rsid w:val="004620C7"/>
    <w:rsid w:val="00462755"/>
    <w:rsid w:val="00462CB7"/>
    <w:rsid w:val="00463291"/>
    <w:rsid w:val="00464C3C"/>
    <w:rsid w:val="00465813"/>
    <w:rsid w:val="004669BA"/>
    <w:rsid w:val="004677EB"/>
    <w:rsid w:val="004678AD"/>
    <w:rsid w:val="00474E60"/>
    <w:rsid w:val="0047610D"/>
    <w:rsid w:val="00476284"/>
    <w:rsid w:val="0047778A"/>
    <w:rsid w:val="00477BB5"/>
    <w:rsid w:val="00480FC6"/>
    <w:rsid w:val="004827F9"/>
    <w:rsid w:val="004834F8"/>
    <w:rsid w:val="00483E2D"/>
    <w:rsid w:val="0048401D"/>
    <w:rsid w:val="00484944"/>
    <w:rsid w:val="00484AEA"/>
    <w:rsid w:val="00485E35"/>
    <w:rsid w:val="004863C6"/>
    <w:rsid w:val="004867B2"/>
    <w:rsid w:val="0049091C"/>
    <w:rsid w:val="004939F0"/>
    <w:rsid w:val="00493F60"/>
    <w:rsid w:val="00496149"/>
    <w:rsid w:val="00496470"/>
    <w:rsid w:val="004965EC"/>
    <w:rsid w:val="00496C37"/>
    <w:rsid w:val="004976CC"/>
    <w:rsid w:val="004A0C8C"/>
    <w:rsid w:val="004A3C34"/>
    <w:rsid w:val="004A70DE"/>
    <w:rsid w:val="004A7B18"/>
    <w:rsid w:val="004B091D"/>
    <w:rsid w:val="004B1388"/>
    <w:rsid w:val="004B1E79"/>
    <w:rsid w:val="004B2746"/>
    <w:rsid w:val="004B3E85"/>
    <w:rsid w:val="004B4FEF"/>
    <w:rsid w:val="004B69EF"/>
    <w:rsid w:val="004B7E0F"/>
    <w:rsid w:val="004C0DCC"/>
    <w:rsid w:val="004C37C5"/>
    <w:rsid w:val="004C3E84"/>
    <w:rsid w:val="004C4EBC"/>
    <w:rsid w:val="004C6729"/>
    <w:rsid w:val="004C6871"/>
    <w:rsid w:val="004C78BB"/>
    <w:rsid w:val="004D194E"/>
    <w:rsid w:val="004D21C9"/>
    <w:rsid w:val="004D2CFF"/>
    <w:rsid w:val="004D3245"/>
    <w:rsid w:val="004D3763"/>
    <w:rsid w:val="004D4BE3"/>
    <w:rsid w:val="004D621C"/>
    <w:rsid w:val="004D6B87"/>
    <w:rsid w:val="004D7237"/>
    <w:rsid w:val="004D7906"/>
    <w:rsid w:val="004D7B59"/>
    <w:rsid w:val="004D7FD8"/>
    <w:rsid w:val="004E05BF"/>
    <w:rsid w:val="004E112B"/>
    <w:rsid w:val="004E13AE"/>
    <w:rsid w:val="004E1582"/>
    <w:rsid w:val="004E1D4C"/>
    <w:rsid w:val="004E29A9"/>
    <w:rsid w:val="004E3270"/>
    <w:rsid w:val="004E3771"/>
    <w:rsid w:val="004E3F14"/>
    <w:rsid w:val="004E40CE"/>
    <w:rsid w:val="004E580C"/>
    <w:rsid w:val="004E5B73"/>
    <w:rsid w:val="004E62B1"/>
    <w:rsid w:val="004E6DC4"/>
    <w:rsid w:val="004E7FB2"/>
    <w:rsid w:val="004F0165"/>
    <w:rsid w:val="004F1D6F"/>
    <w:rsid w:val="004F3917"/>
    <w:rsid w:val="004F4B5A"/>
    <w:rsid w:val="004F628C"/>
    <w:rsid w:val="004F6400"/>
    <w:rsid w:val="004F673F"/>
    <w:rsid w:val="004F7591"/>
    <w:rsid w:val="004F7E5D"/>
    <w:rsid w:val="005008A0"/>
    <w:rsid w:val="00500930"/>
    <w:rsid w:val="00501077"/>
    <w:rsid w:val="0050169B"/>
    <w:rsid w:val="005051BB"/>
    <w:rsid w:val="00506443"/>
    <w:rsid w:val="00510576"/>
    <w:rsid w:val="00510958"/>
    <w:rsid w:val="00517298"/>
    <w:rsid w:val="00521132"/>
    <w:rsid w:val="00523A2A"/>
    <w:rsid w:val="00523D26"/>
    <w:rsid w:val="005249DB"/>
    <w:rsid w:val="00524D01"/>
    <w:rsid w:val="00525695"/>
    <w:rsid w:val="0053305D"/>
    <w:rsid w:val="005346FE"/>
    <w:rsid w:val="0053682D"/>
    <w:rsid w:val="0054047D"/>
    <w:rsid w:val="0054053A"/>
    <w:rsid w:val="005407DB"/>
    <w:rsid w:val="00541808"/>
    <w:rsid w:val="00541BAF"/>
    <w:rsid w:val="00542A68"/>
    <w:rsid w:val="00543DCF"/>
    <w:rsid w:val="00544418"/>
    <w:rsid w:val="005459BB"/>
    <w:rsid w:val="00545B9C"/>
    <w:rsid w:val="0055030C"/>
    <w:rsid w:val="00551931"/>
    <w:rsid w:val="00555A33"/>
    <w:rsid w:val="00557D52"/>
    <w:rsid w:val="005649D1"/>
    <w:rsid w:val="005655A6"/>
    <w:rsid w:val="00566D2A"/>
    <w:rsid w:val="00567B7B"/>
    <w:rsid w:val="00572450"/>
    <w:rsid w:val="00572E7A"/>
    <w:rsid w:val="005748A5"/>
    <w:rsid w:val="00574EEE"/>
    <w:rsid w:val="005773F6"/>
    <w:rsid w:val="00580824"/>
    <w:rsid w:val="00581C29"/>
    <w:rsid w:val="005825B8"/>
    <w:rsid w:val="0058290A"/>
    <w:rsid w:val="00583B69"/>
    <w:rsid w:val="00584D13"/>
    <w:rsid w:val="00585152"/>
    <w:rsid w:val="00585893"/>
    <w:rsid w:val="00585BAC"/>
    <w:rsid w:val="00586267"/>
    <w:rsid w:val="005874E9"/>
    <w:rsid w:val="005918F7"/>
    <w:rsid w:val="005928F6"/>
    <w:rsid w:val="00595C29"/>
    <w:rsid w:val="00597B55"/>
    <w:rsid w:val="005A033A"/>
    <w:rsid w:val="005A19E7"/>
    <w:rsid w:val="005A1E38"/>
    <w:rsid w:val="005A295B"/>
    <w:rsid w:val="005A5FA1"/>
    <w:rsid w:val="005A7634"/>
    <w:rsid w:val="005B03EC"/>
    <w:rsid w:val="005B07B8"/>
    <w:rsid w:val="005B191C"/>
    <w:rsid w:val="005B1AD5"/>
    <w:rsid w:val="005B1C6A"/>
    <w:rsid w:val="005B331D"/>
    <w:rsid w:val="005B4073"/>
    <w:rsid w:val="005B4819"/>
    <w:rsid w:val="005B4A03"/>
    <w:rsid w:val="005B610F"/>
    <w:rsid w:val="005B6E2B"/>
    <w:rsid w:val="005B6E55"/>
    <w:rsid w:val="005B7771"/>
    <w:rsid w:val="005C0A20"/>
    <w:rsid w:val="005C33C7"/>
    <w:rsid w:val="005C34DF"/>
    <w:rsid w:val="005C43E0"/>
    <w:rsid w:val="005C465C"/>
    <w:rsid w:val="005C5640"/>
    <w:rsid w:val="005C7CF0"/>
    <w:rsid w:val="005D149B"/>
    <w:rsid w:val="005D31AE"/>
    <w:rsid w:val="005D49F6"/>
    <w:rsid w:val="005D54B3"/>
    <w:rsid w:val="005D647A"/>
    <w:rsid w:val="005D7503"/>
    <w:rsid w:val="005D7BB7"/>
    <w:rsid w:val="005E043E"/>
    <w:rsid w:val="005E0AD5"/>
    <w:rsid w:val="005E1F13"/>
    <w:rsid w:val="005E2097"/>
    <w:rsid w:val="005E24DB"/>
    <w:rsid w:val="005E4B3C"/>
    <w:rsid w:val="005E4E0D"/>
    <w:rsid w:val="005E6685"/>
    <w:rsid w:val="005E69D1"/>
    <w:rsid w:val="005E7243"/>
    <w:rsid w:val="005F0539"/>
    <w:rsid w:val="005F07B7"/>
    <w:rsid w:val="005F168A"/>
    <w:rsid w:val="005F2C95"/>
    <w:rsid w:val="005F3890"/>
    <w:rsid w:val="005F3D0D"/>
    <w:rsid w:val="005F40DF"/>
    <w:rsid w:val="005F777E"/>
    <w:rsid w:val="00601F1A"/>
    <w:rsid w:val="0060347C"/>
    <w:rsid w:val="006038A2"/>
    <w:rsid w:val="00603C64"/>
    <w:rsid w:val="006040C5"/>
    <w:rsid w:val="006044CA"/>
    <w:rsid w:val="006062FD"/>
    <w:rsid w:val="006065B9"/>
    <w:rsid w:val="00606634"/>
    <w:rsid w:val="00610DFB"/>
    <w:rsid w:val="0061189D"/>
    <w:rsid w:val="00611F76"/>
    <w:rsid w:val="006130B7"/>
    <w:rsid w:val="00613A10"/>
    <w:rsid w:val="0061464C"/>
    <w:rsid w:val="00614A15"/>
    <w:rsid w:val="00614ABC"/>
    <w:rsid w:val="00616B2B"/>
    <w:rsid w:val="0061740A"/>
    <w:rsid w:val="00617C0E"/>
    <w:rsid w:val="006206E1"/>
    <w:rsid w:val="006223BF"/>
    <w:rsid w:val="00622886"/>
    <w:rsid w:val="00623105"/>
    <w:rsid w:val="00623EE7"/>
    <w:rsid w:val="006253E1"/>
    <w:rsid w:val="0062700B"/>
    <w:rsid w:val="006316B5"/>
    <w:rsid w:val="006322DF"/>
    <w:rsid w:val="006324DF"/>
    <w:rsid w:val="006355FF"/>
    <w:rsid w:val="00637DF7"/>
    <w:rsid w:val="0064011A"/>
    <w:rsid w:val="00641218"/>
    <w:rsid w:val="0064271F"/>
    <w:rsid w:val="00643B4B"/>
    <w:rsid w:val="00644211"/>
    <w:rsid w:val="0064474F"/>
    <w:rsid w:val="0064563A"/>
    <w:rsid w:val="0064662B"/>
    <w:rsid w:val="006468B0"/>
    <w:rsid w:val="00646A18"/>
    <w:rsid w:val="00647576"/>
    <w:rsid w:val="00647D95"/>
    <w:rsid w:val="00647EBF"/>
    <w:rsid w:val="00653F5D"/>
    <w:rsid w:val="00654A04"/>
    <w:rsid w:val="00654A1D"/>
    <w:rsid w:val="006562A8"/>
    <w:rsid w:val="00656D53"/>
    <w:rsid w:val="006570C6"/>
    <w:rsid w:val="00664763"/>
    <w:rsid w:val="00664ABF"/>
    <w:rsid w:val="00665BF0"/>
    <w:rsid w:val="00666272"/>
    <w:rsid w:val="00666CB1"/>
    <w:rsid w:val="00670118"/>
    <w:rsid w:val="00670F35"/>
    <w:rsid w:val="00671644"/>
    <w:rsid w:val="00674655"/>
    <w:rsid w:val="00676AC5"/>
    <w:rsid w:val="006770A4"/>
    <w:rsid w:val="00677162"/>
    <w:rsid w:val="0068062A"/>
    <w:rsid w:val="006806D2"/>
    <w:rsid w:val="00680CB5"/>
    <w:rsid w:val="00680F5F"/>
    <w:rsid w:val="00681BC2"/>
    <w:rsid w:val="00682231"/>
    <w:rsid w:val="006823E0"/>
    <w:rsid w:val="00682FF2"/>
    <w:rsid w:val="00684E9A"/>
    <w:rsid w:val="006851AD"/>
    <w:rsid w:val="00687734"/>
    <w:rsid w:val="0068778E"/>
    <w:rsid w:val="00691375"/>
    <w:rsid w:val="006927C5"/>
    <w:rsid w:val="00696BC6"/>
    <w:rsid w:val="006971FA"/>
    <w:rsid w:val="00697D4C"/>
    <w:rsid w:val="006A1D99"/>
    <w:rsid w:val="006A3AC5"/>
    <w:rsid w:val="006A4A7F"/>
    <w:rsid w:val="006A4FE7"/>
    <w:rsid w:val="006A5BFE"/>
    <w:rsid w:val="006A72A9"/>
    <w:rsid w:val="006A7F8E"/>
    <w:rsid w:val="006B01C6"/>
    <w:rsid w:val="006B3ACC"/>
    <w:rsid w:val="006B3F93"/>
    <w:rsid w:val="006B44B2"/>
    <w:rsid w:val="006B486C"/>
    <w:rsid w:val="006B5B71"/>
    <w:rsid w:val="006B5C4B"/>
    <w:rsid w:val="006B6A68"/>
    <w:rsid w:val="006B76C3"/>
    <w:rsid w:val="006B7B17"/>
    <w:rsid w:val="006B7E68"/>
    <w:rsid w:val="006C00B3"/>
    <w:rsid w:val="006C201C"/>
    <w:rsid w:val="006C448B"/>
    <w:rsid w:val="006C4FDD"/>
    <w:rsid w:val="006C51A7"/>
    <w:rsid w:val="006C6445"/>
    <w:rsid w:val="006C6578"/>
    <w:rsid w:val="006C6931"/>
    <w:rsid w:val="006C6F2C"/>
    <w:rsid w:val="006C7D38"/>
    <w:rsid w:val="006D1B41"/>
    <w:rsid w:val="006D25B8"/>
    <w:rsid w:val="006D35F6"/>
    <w:rsid w:val="006D3A09"/>
    <w:rsid w:val="006D3D2C"/>
    <w:rsid w:val="006D415C"/>
    <w:rsid w:val="006D432C"/>
    <w:rsid w:val="006D4FB7"/>
    <w:rsid w:val="006E1B1C"/>
    <w:rsid w:val="006E334B"/>
    <w:rsid w:val="006E477B"/>
    <w:rsid w:val="006E741B"/>
    <w:rsid w:val="006F1213"/>
    <w:rsid w:val="006F125A"/>
    <w:rsid w:val="006F2996"/>
    <w:rsid w:val="006F2B95"/>
    <w:rsid w:val="006F66B2"/>
    <w:rsid w:val="007004E8"/>
    <w:rsid w:val="00700E65"/>
    <w:rsid w:val="00702423"/>
    <w:rsid w:val="00702996"/>
    <w:rsid w:val="00702BFD"/>
    <w:rsid w:val="007041E5"/>
    <w:rsid w:val="007076FD"/>
    <w:rsid w:val="00710AAD"/>
    <w:rsid w:val="00712BA7"/>
    <w:rsid w:val="00714D0C"/>
    <w:rsid w:val="007157E4"/>
    <w:rsid w:val="0072106B"/>
    <w:rsid w:val="00723A3D"/>
    <w:rsid w:val="0072405E"/>
    <w:rsid w:val="00725912"/>
    <w:rsid w:val="00725CF1"/>
    <w:rsid w:val="00725EF3"/>
    <w:rsid w:val="00726E14"/>
    <w:rsid w:val="00726ED8"/>
    <w:rsid w:val="00727EDB"/>
    <w:rsid w:val="00734F65"/>
    <w:rsid w:val="0073512C"/>
    <w:rsid w:val="007352AF"/>
    <w:rsid w:val="0073534D"/>
    <w:rsid w:val="00737A12"/>
    <w:rsid w:val="00740728"/>
    <w:rsid w:val="00740EDF"/>
    <w:rsid w:val="007414E4"/>
    <w:rsid w:val="0074243A"/>
    <w:rsid w:val="00742BE7"/>
    <w:rsid w:val="00743A53"/>
    <w:rsid w:val="00744BCF"/>
    <w:rsid w:val="0074538A"/>
    <w:rsid w:val="00745CBE"/>
    <w:rsid w:val="00746EA4"/>
    <w:rsid w:val="0075039C"/>
    <w:rsid w:val="007504EA"/>
    <w:rsid w:val="00750C50"/>
    <w:rsid w:val="007532D4"/>
    <w:rsid w:val="007541E5"/>
    <w:rsid w:val="00754C47"/>
    <w:rsid w:val="00754F1A"/>
    <w:rsid w:val="00755987"/>
    <w:rsid w:val="00755A66"/>
    <w:rsid w:val="007565A5"/>
    <w:rsid w:val="0075677A"/>
    <w:rsid w:val="00764212"/>
    <w:rsid w:val="00764340"/>
    <w:rsid w:val="007645C4"/>
    <w:rsid w:val="007653BD"/>
    <w:rsid w:val="00771A9A"/>
    <w:rsid w:val="007756CB"/>
    <w:rsid w:val="007773B1"/>
    <w:rsid w:val="00777526"/>
    <w:rsid w:val="0077793A"/>
    <w:rsid w:val="007829B4"/>
    <w:rsid w:val="00783896"/>
    <w:rsid w:val="00784C69"/>
    <w:rsid w:val="00790966"/>
    <w:rsid w:val="0079260A"/>
    <w:rsid w:val="00792AA9"/>
    <w:rsid w:val="00793269"/>
    <w:rsid w:val="00793A78"/>
    <w:rsid w:val="00793E07"/>
    <w:rsid w:val="00794160"/>
    <w:rsid w:val="0079429F"/>
    <w:rsid w:val="00794830"/>
    <w:rsid w:val="00796E36"/>
    <w:rsid w:val="00797B1C"/>
    <w:rsid w:val="007A2363"/>
    <w:rsid w:val="007A4BAC"/>
    <w:rsid w:val="007A5A11"/>
    <w:rsid w:val="007A5A47"/>
    <w:rsid w:val="007A5EEB"/>
    <w:rsid w:val="007A6725"/>
    <w:rsid w:val="007A6E57"/>
    <w:rsid w:val="007A7A76"/>
    <w:rsid w:val="007B1E0A"/>
    <w:rsid w:val="007B289B"/>
    <w:rsid w:val="007B28DB"/>
    <w:rsid w:val="007B52A3"/>
    <w:rsid w:val="007B5AA7"/>
    <w:rsid w:val="007B76BB"/>
    <w:rsid w:val="007C05DC"/>
    <w:rsid w:val="007C1251"/>
    <w:rsid w:val="007C145D"/>
    <w:rsid w:val="007C2404"/>
    <w:rsid w:val="007C25FE"/>
    <w:rsid w:val="007C46F5"/>
    <w:rsid w:val="007C496B"/>
    <w:rsid w:val="007C6A3B"/>
    <w:rsid w:val="007D206B"/>
    <w:rsid w:val="007D4F53"/>
    <w:rsid w:val="007D55AD"/>
    <w:rsid w:val="007E1A7F"/>
    <w:rsid w:val="007E1FBE"/>
    <w:rsid w:val="007E35F9"/>
    <w:rsid w:val="007E36E8"/>
    <w:rsid w:val="007E5534"/>
    <w:rsid w:val="007E6427"/>
    <w:rsid w:val="007E6EC4"/>
    <w:rsid w:val="007E6F78"/>
    <w:rsid w:val="007E7AC9"/>
    <w:rsid w:val="007F0C72"/>
    <w:rsid w:val="007F0DD5"/>
    <w:rsid w:val="007F153A"/>
    <w:rsid w:val="007F198C"/>
    <w:rsid w:val="007F1D07"/>
    <w:rsid w:val="007F3330"/>
    <w:rsid w:val="007F469F"/>
    <w:rsid w:val="007F50AD"/>
    <w:rsid w:val="007F5BB8"/>
    <w:rsid w:val="007F60D8"/>
    <w:rsid w:val="007F6841"/>
    <w:rsid w:val="007F6A22"/>
    <w:rsid w:val="007F6CB2"/>
    <w:rsid w:val="007F6D28"/>
    <w:rsid w:val="0080091A"/>
    <w:rsid w:val="00802333"/>
    <w:rsid w:val="00803390"/>
    <w:rsid w:val="008043C0"/>
    <w:rsid w:val="008048D8"/>
    <w:rsid w:val="00805429"/>
    <w:rsid w:val="00806CCC"/>
    <w:rsid w:val="00807133"/>
    <w:rsid w:val="00810D1E"/>
    <w:rsid w:val="008120E8"/>
    <w:rsid w:val="00817403"/>
    <w:rsid w:val="008175EE"/>
    <w:rsid w:val="00820484"/>
    <w:rsid w:val="00820DBF"/>
    <w:rsid w:val="00821E9D"/>
    <w:rsid w:val="00822079"/>
    <w:rsid w:val="0082222A"/>
    <w:rsid w:val="00822288"/>
    <w:rsid w:val="008235B2"/>
    <w:rsid w:val="0082388A"/>
    <w:rsid w:val="00824698"/>
    <w:rsid w:val="008266BD"/>
    <w:rsid w:val="00830EB8"/>
    <w:rsid w:val="00831A08"/>
    <w:rsid w:val="00832478"/>
    <w:rsid w:val="00832C83"/>
    <w:rsid w:val="00833FCD"/>
    <w:rsid w:val="00837C67"/>
    <w:rsid w:val="00841F6B"/>
    <w:rsid w:val="008435B3"/>
    <w:rsid w:val="008445C8"/>
    <w:rsid w:val="00845576"/>
    <w:rsid w:val="008458FA"/>
    <w:rsid w:val="008465ED"/>
    <w:rsid w:val="00846F82"/>
    <w:rsid w:val="0084767E"/>
    <w:rsid w:val="00847BC9"/>
    <w:rsid w:val="00847DB7"/>
    <w:rsid w:val="0085194F"/>
    <w:rsid w:val="00852ED7"/>
    <w:rsid w:val="00853428"/>
    <w:rsid w:val="00853C63"/>
    <w:rsid w:val="00857D9D"/>
    <w:rsid w:val="00857E11"/>
    <w:rsid w:val="00860DD1"/>
    <w:rsid w:val="008614B0"/>
    <w:rsid w:val="00861D3A"/>
    <w:rsid w:val="0086235F"/>
    <w:rsid w:val="0086272C"/>
    <w:rsid w:val="00867B35"/>
    <w:rsid w:val="008705D5"/>
    <w:rsid w:val="0087132D"/>
    <w:rsid w:val="008713E5"/>
    <w:rsid w:val="008734A9"/>
    <w:rsid w:val="00874229"/>
    <w:rsid w:val="00875DC9"/>
    <w:rsid w:val="00877F7C"/>
    <w:rsid w:val="00882507"/>
    <w:rsid w:val="00882793"/>
    <w:rsid w:val="00883BAD"/>
    <w:rsid w:val="008842D1"/>
    <w:rsid w:val="00885177"/>
    <w:rsid w:val="00885FED"/>
    <w:rsid w:val="00887234"/>
    <w:rsid w:val="0088723F"/>
    <w:rsid w:val="00887415"/>
    <w:rsid w:val="00890B6C"/>
    <w:rsid w:val="0089125B"/>
    <w:rsid w:val="008927CA"/>
    <w:rsid w:val="008928F4"/>
    <w:rsid w:val="00892A25"/>
    <w:rsid w:val="0089340F"/>
    <w:rsid w:val="008960B8"/>
    <w:rsid w:val="0089651E"/>
    <w:rsid w:val="008A13C1"/>
    <w:rsid w:val="008A2016"/>
    <w:rsid w:val="008A22C3"/>
    <w:rsid w:val="008A254B"/>
    <w:rsid w:val="008A2C35"/>
    <w:rsid w:val="008A3141"/>
    <w:rsid w:val="008A460D"/>
    <w:rsid w:val="008A519E"/>
    <w:rsid w:val="008A687B"/>
    <w:rsid w:val="008A6EA6"/>
    <w:rsid w:val="008B24CB"/>
    <w:rsid w:val="008B58D5"/>
    <w:rsid w:val="008B5D54"/>
    <w:rsid w:val="008B6A7E"/>
    <w:rsid w:val="008C0677"/>
    <w:rsid w:val="008C154D"/>
    <w:rsid w:val="008C34BE"/>
    <w:rsid w:val="008C36BB"/>
    <w:rsid w:val="008C3763"/>
    <w:rsid w:val="008C41F0"/>
    <w:rsid w:val="008C46E9"/>
    <w:rsid w:val="008C536A"/>
    <w:rsid w:val="008C5D65"/>
    <w:rsid w:val="008C6811"/>
    <w:rsid w:val="008C6AFE"/>
    <w:rsid w:val="008C6CCF"/>
    <w:rsid w:val="008C7458"/>
    <w:rsid w:val="008D0BEB"/>
    <w:rsid w:val="008D16CB"/>
    <w:rsid w:val="008D1AE4"/>
    <w:rsid w:val="008D5490"/>
    <w:rsid w:val="008D5737"/>
    <w:rsid w:val="008D678D"/>
    <w:rsid w:val="008E1058"/>
    <w:rsid w:val="008E24FE"/>
    <w:rsid w:val="008E3A6C"/>
    <w:rsid w:val="008E3DAE"/>
    <w:rsid w:val="008E47E6"/>
    <w:rsid w:val="008E49FD"/>
    <w:rsid w:val="008E7A31"/>
    <w:rsid w:val="008F0460"/>
    <w:rsid w:val="008F0707"/>
    <w:rsid w:val="008F0F16"/>
    <w:rsid w:val="008F26E1"/>
    <w:rsid w:val="008F2D57"/>
    <w:rsid w:val="008F5F0C"/>
    <w:rsid w:val="008F633A"/>
    <w:rsid w:val="008F6744"/>
    <w:rsid w:val="008F6D26"/>
    <w:rsid w:val="008F6E48"/>
    <w:rsid w:val="0090078A"/>
    <w:rsid w:val="00901E43"/>
    <w:rsid w:val="00904FB6"/>
    <w:rsid w:val="0090515B"/>
    <w:rsid w:val="009060AC"/>
    <w:rsid w:val="00906B16"/>
    <w:rsid w:val="00910DD1"/>
    <w:rsid w:val="0091217F"/>
    <w:rsid w:val="0091320B"/>
    <w:rsid w:val="00913909"/>
    <w:rsid w:val="009142EC"/>
    <w:rsid w:val="00915629"/>
    <w:rsid w:val="00915762"/>
    <w:rsid w:val="00915CCE"/>
    <w:rsid w:val="009163A4"/>
    <w:rsid w:val="0091651D"/>
    <w:rsid w:val="00917B52"/>
    <w:rsid w:val="00917E65"/>
    <w:rsid w:val="00925F13"/>
    <w:rsid w:val="00926939"/>
    <w:rsid w:val="00926C4A"/>
    <w:rsid w:val="009302EC"/>
    <w:rsid w:val="00930D68"/>
    <w:rsid w:val="00932BF5"/>
    <w:rsid w:val="00933853"/>
    <w:rsid w:val="00934E74"/>
    <w:rsid w:val="009363D4"/>
    <w:rsid w:val="00936AF9"/>
    <w:rsid w:val="009377E9"/>
    <w:rsid w:val="00940376"/>
    <w:rsid w:val="00940C54"/>
    <w:rsid w:val="00941626"/>
    <w:rsid w:val="00942840"/>
    <w:rsid w:val="00943FCF"/>
    <w:rsid w:val="00944CD8"/>
    <w:rsid w:val="0094669C"/>
    <w:rsid w:val="00946968"/>
    <w:rsid w:val="00950F1F"/>
    <w:rsid w:val="0095278D"/>
    <w:rsid w:val="00952841"/>
    <w:rsid w:val="009528E4"/>
    <w:rsid w:val="00952BF9"/>
    <w:rsid w:val="0095328B"/>
    <w:rsid w:val="009535EC"/>
    <w:rsid w:val="00954852"/>
    <w:rsid w:val="00956A17"/>
    <w:rsid w:val="009577A5"/>
    <w:rsid w:val="00962A73"/>
    <w:rsid w:val="00963A1F"/>
    <w:rsid w:val="00963BC0"/>
    <w:rsid w:val="009645B4"/>
    <w:rsid w:val="00964F8C"/>
    <w:rsid w:val="00965C2A"/>
    <w:rsid w:val="009672E4"/>
    <w:rsid w:val="00971535"/>
    <w:rsid w:val="0097334D"/>
    <w:rsid w:val="00975121"/>
    <w:rsid w:val="009758DC"/>
    <w:rsid w:val="00975CC4"/>
    <w:rsid w:val="00976EBB"/>
    <w:rsid w:val="00981088"/>
    <w:rsid w:val="009814A1"/>
    <w:rsid w:val="009825BE"/>
    <w:rsid w:val="009930AB"/>
    <w:rsid w:val="00993AAD"/>
    <w:rsid w:val="009948CC"/>
    <w:rsid w:val="009977B4"/>
    <w:rsid w:val="009A0BED"/>
    <w:rsid w:val="009A107B"/>
    <w:rsid w:val="009A2162"/>
    <w:rsid w:val="009A2DE9"/>
    <w:rsid w:val="009A379F"/>
    <w:rsid w:val="009A4B08"/>
    <w:rsid w:val="009A57A2"/>
    <w:rsid w:val="009B0FF8"/>
    <w:rsid w:val="009B26BF"/>
    <w:rsid w:val="009B46AF"/>
    <w:rsid w:val="009B4E97"/>
    <w:rsid w:val="009B4E9B"/>
    <w:rsid w:val="009B6C89"/>
    <w:rsid w:val="009B6DBA"/>
    <w:rsid w:val="009B765E"/>
    <w:rsid w:val="009C0335"/>
    <w:rsid w:val="009C4626"/>
    <w:rsid w:val="009C49EF"/>
    <w:rsid w:val="009C654B"/>
    <w:rsid w:val="009C7ACF"/>
    <w:rsid w:val="009D04A9"/>
    <w:rsid w:val="009D0E8F"/>
    <w:rsid w:val="009D123D"/>
    <w:rsid w:val="009D13FD"/>
    <w:rsid w:val="009D1C11"/>
    <w:rsid w:val="009D2718"/>
    <w:rsid w:val="009D2B0A"/>
    <w:rsid w:val="009D2C60"/>
    <w:rsid w:val="009D418F"/>
    <w:rsid w:val="009D5FA6"/>
    <w:rsid w:val="009D69FA"/>
    <w:rsid w:val="009D6C7C"/>
    <w:rsid w:val="009D6EBD"/>
    <w:rsid w:val="009D7F7F"/>
    <w:rsid w:val="009E313A"/>
    <w:rsid w:val="009E3B90"/>
    <w:rsid w:val="009E3C35"/>
    <w:rsid w:val="009E4B22"/>
    <w:rsid w:val="009E4BDA"/>
    <w:rsid w:val="009E7B1B"/>
    <w:rsid w:val="009F0017"/>
    <w:rsid w:val="009F45C7"/>
    <w:rsid w:val="009F5DC8"/>
    <w:rsid w:val="009F616C"/>
    <w:rsid w:val="009F7FB8"/>
    <w:rsid w:val="00A007C5"/>
    <w:rsid w:val="00A051FA"/>
    <w:rsid w:val="00A05B28"/>
    <w:rsid w:val="00A107B7"/>
    <w:rsid w:val="00A10A8C"/>
    <w:rsid w:val="00A11C9F"/>
    <w:rsid w:val="00A1298A"/>
    <w:rsid w:val="00A129BC"/>
    <w:rsid w:val="00A131F4"/>
    <w:rsid w:val="00A13D53"/>
    <w:rsid w:val="00A14669"/>
    <w:rsid w:val="00A148A3"/>
    <w:rsid w:val="00A14CCC"/>
    <w:rsid w:val="00A150EF"/>
    <w:rsid w:val="00A1649A"/>
    <w:rsid w:val="00A16D72"/>
    <w:rsid w:val="00A1716E"/>
    <w:rsid w:val="00A20A9D"/>
    <w:rsid w:val="00A20DF4"/>
    <w:rsid w:val="00A22372"/>
    <w:rsid w:val="00A22B44"/>
    <w:rsid w:val="00A22D0D"/>
    <w:rsid w:val="00A22E60"/>
    <w:rsid w:val="00A27560"/>
    <w:rsid w:val="00A30192"/>
    <w:rsid w:val="00A3103C"/>
    <w:rsid w:val="00A3142B"/>
    <w:rsid w:val="00A321C9"/>
    <w:rsid w:val="00A35D8F"/>
    <w:rsid w:val="00A40CB4"/>
    <w:rsid w:val="00A40E0B"/>
    <w:rsid w:val="00A414FE"/>
    <w:rsid w:val="00A41C62"/>
    <w:rsid w:val="00A43C9D"/>
    <w:rsid w:val="00A446D4"/>
    <w:rsid w:val="00A45AE6"/>
    <w:rsid w:val="00A460AC"/>
    <w:rsid w:val="00A46CC3"/>
    <w:rsid w:val="00A477D6"/>
    <w:rsid w:val="00A50F29"/>
    <w:rsid w:val="00A51051"/>
    <w:rsid w:val="00A514F4"/>
    <w:rsid w:val="00A54359"/>
    <w:rsid w:val="00A54F54"/>
    <w:rsid w:val="00A561BB"/>
    <w:rsid w:val="00A6012F"/>
    <w:rsid w:val="00A609A6"/>
    <w:rsid w:val="00A635F0"/>
    <w:rsid w:val="00A64299"/>
    <w:rsid w:val="00A64A33"/>
    <w:rsid w:val="00A65244"/>
    <w:rsid w:val="00A6592C"/>
    <w:rsid w:val="00A65BAD"/>
    <w:rsid w:val="00A664B4"/>
    <w:rsid w:val="00A6728E"/>
    <w:rsid w:val="00A67BE8"/>
    <w:rsid w:val="00A70A6F"/>
    <w:rsid w:val="00A70BA9"/>
    <w:rsid w:val="00A71627"/>
    <w:rsid w:val="00A7596E"/>
    <w:rsid w:val="00A7636D"/>
    <w:rsid w:val="00A81AAF"/>
    <w:rsid w:val="00A8347D"/>
    <w:rsid w:val="00A84859"/>
    <w:rsid w:val="00A85F25"/>
    <w:rsid w:val="00A866D5"/>
    <w:rsid w:val="00A92132"/>
    <w:rsid w:val="00A931CD"/>
    <w:rsid w:val="00A94610"/>
    <w:rsid w:val="00A949E0"/>
    <w:rsid w:val="00A9621A"/>
    <w:rsid w:val="00A96F70"/>
    <w:rsid w:val="00AA03E9"/>
    <w:rsid w:val="00AA13D6"/>
    <w:rsid w:val="00AA2343"/>
    <w:rsid w:val="00AA25DA"/>
    <w:rsid w:val="00AA29A6"/>
    <w:rsid w:val="00AA2F28"/>
    <w:rsid w:val="00AA54F3"/>
    <w:rsid w:val="00AA5FF8"/>
    <w:rsid w:val="00AA7130"/>
    <w:rsid w:val="00AB09FF"/>
    <w:rsid w:val="00AB121E"/>
    <w:rsid w:val="00AB12D6"/>
    <w:rsid w:val="00AB18A6"/>
    <w:rsid w:val="00AB28B7"/>
    <w:rsid w:val="00AB2DFE"/>
    <w:rsid w:val="00AB35B2"/>
    <w:rsid w:val="00AB3C31"/>
    <w:rsid w:val="00AB3CEB"/>
    <w:rsid w:val="00AB46DB"/>
    <w:rsid w:val="00AB492A"/>
    <w:rsid w:val="00AB528C"/>
    <w:rsid w:val="00AB5461"/>
    <w:rsid w:val="00AC1913"/>
    <w:rsid w:val="00AC3EE9"/>
    <w:rsid w:val="00AC43CB"/>
    <w:rsid w:val="00AC4C7D"/>
    <w:rsid w:val="00AC5BD1"/>
    <w:rsid w:val="00AC62CC"/>
    <w:rsid w:val="00AC76C2"/>
    <w:rsid w:val="00AD065E"/>
    <w:rsid w:val="00AD362D"/>
    <w:rsid w:val="00AD436F"/>
    <w:rsid w:val="00AD4E9D"/>
    <w:rsid w:val="00AD5214"/>
    <w:rsid w:val="00AD5241"/>
    <w:rsid w:val="00AD5E41"/>
    <w:rsid w:val="00AD6843"/>
    <w:rsid w:val="00AD6A63"/>
    <w:rsid w:val="00AE000E"/>
    <w:rsid w:val="00AE0709"/>
    <w:rsid w:val="00AE1D9F"/>
    <w:rsid w:val="00AE27BB"/>
    <w:rsid w:val="00AE5246"/>
    <w:rsid w:val="00AE6911"/>
    <w:rsid w:val="00AE6D62"/>
    <w:rsid w:val="00AE7A37"/>
    <w:rsid w:val="00AE7F5D"/>
    <w:rsid w:val="00AF0689"/>
    <w:rsid w:val="00AF1B23"/>
    <w:rsid w:val="00AF20C2"/>
    <w:rsid w:val="00AF24BC"/>
    <w:rsid w:val="00AF2661"/>
    <w:rsid w:val="00AF27BC"/>
    <w:rsid w:val="00AF3796"/>
    <w:rsid w:val="00AF4E3C"/>
    <w:rsid w:val="00AF50D7"/>
    <w:rsid w:val="00AF5110"/>
    <w:rsid w:val="00AF6993"/>
    <w:rsid w:val="00AF7329"/>
    <w:rsid w:val="00AF7E84"/>
    <w:rsid w:val="00B01862"/>
    <w:rsid w:val="00B0215C"/>
    <w:rsid w:val="00B03FBE"/>
    <w:rsid w:val="00B04C37"/>
    <w:rsid w:val="00B04CD7"/>
    <w:rsid w:val="00B06A2A"/>
    <w:rsid w:val="00B10E0C"/>
    <w:rsid w:val="00B113ED"/>
    <w:rsid w:val="00B12832"/>
    <w:rsid w:val="00B128A4"/>
    <w:rsid w:val="00B15E05"/>
    <w:rsid w:val="00B168CE"/>
    <w:rsid w:val="00B209BD"/>
    <w:rsid w:val="00B20DC9"/>
    <w:rsid w:val="00B2180D"/>
    <w:rsid w:val="00B2287C"/>
    <w:rsid w:val="00B23798"/>
    <w:rsid w:val="00B2664B"/>
    <w:rsid w:val="00B266F0"/>
    <w:rsid w:val="00B3235B"/>
    <w:rsid w:val="00B32586"/>
    <w:rsid w:val="00B32A2D"/>
    <w:rsid w:val="00B34B62"/>
    <w:rsid w:val="00B362F9"/>
    <w:rsid w:val="00B405D8"/>
    <w:rsid w:val="00B40703"/>
    <w:rsid w:val="00B408FD"/>
    <w:rsid w:val="00B40DFF"/>
    <w:rsid w:val="00B42178"/>
    <w:rsid w:val="00B421FA"/>
    <w:rsid w:val="00B45002"/>
    <w:rsid w:val="00B45779"/>
    <w:rsid w:val="00B459A6"/>
    <w:rsid w:val="00B45EAA"/>
    <w:rsid w:val="00B4706E"/>
    <w:rsid w:val="00B4734F"/>
    <w:rsid w:val="00B500B8"/>
    <w:rsid w:val="00B504AF"/>
    <w:rsid w:val="00B5095A"/>
    <w:rsid w:val="00B50EA9"/>
    <w:rsid w:val="00B5126B"/>
    <w:rsid w:val="00B51C2A"/>
    <w:rsid w:val="00B53975"/>
    <w:rsid w:val="00B54CA7"/>
    <w:rsid w:val="00B55735"/>
    <w:rsid w:val="00B56E8A"/>
    <w:rsid w:val="00B572CF"/>
    <w:rsid w:val="00B607C6"/>
    <w:rsid w:val="00B608AC"/>
    <w:rsid w:val="00B6117C"/>
    <w:rsid w:val="00B62148"/>
    <w:rsid w:val="00B63093"/>
    <w:rsid w:val="00B6320D"/>
    <w:rsid w:val="00B64FCD"/>
    <w:rsid w:val="00B655CA"/>
    <w:rsid w:val="00B65C2F"/>
    <w:rsid w:val="00B65C54"/>
    <w:rsid w:val="00B67D13"/>
    <w:rsid w:val="00B67FF3"/>
    <w:rsid w:val="00B72E74"/>
    <w:rsid w:val="00B73750"/>
    <w:rsid w:val="00B76653"/>
    <w:rsid w:val="00B76D56"/>
    <w:rsid w:val="00B81631"/>
    <w:rsid w:val="00B821D5"/>
    <w:rsid w:val="00B822F2"/>
    <w:rsid w:val="00B82566"/>
    <w:rsid w:val="00B82B61"/>
    <w:rsid w:val="00B855BC"/>
    <w:rsid w:val="00B85D94"/>
    <w:rsid w:val="00B87D88"/>
    <w:rsid w:val="00B9003B"/>
    <w:rsid w:val="00B909B4"/>
    <w:rsid w:val="00B909F9"/>
    <w:rsid w:val="00B9184D"/>
    <w:rsid w:val="00B9186E"/>
    <w:rsid w:val="00B91B41"/>
    <w:rsid w:val="00B92BFB"/>
    <w:rsid w:val="00B9370C"/>
    <w:rsid w:val="00B94C4A"/>
    <w:rsid w:val="00B95D90"/>
    <w:rsid w:val="00B9741F"/>
    <w:rsid w:val="00B97C3B"/>
    <w:rsid w:val="00BA0CB2"/>
    <w:rsid w:val="00BA1042"/>
    <w:rsid w:val="00BA2D35"/>
    <w:rsid w:val="00BA2DBE"/>
    <w:rsid w:val="00BA2F53"/>
    <w:rsid w:val="00BA3CEE"/>
    <w:rsid w:val="00BA4A65"/>
    <w:rsid w:val="00BA4E62"/>
    <w:rsid w:val="00BA60FD"/>
    <w:rsid w:val="00BA6BB7"/>
    <w:rsid w:val="00BB082D"/>
    <w:rsid w:val="00BB0E8E"/>
    <w:rsid w:val="00BB15A6"/>
    <w:rsid w:val="00BB3447"/>
    <w:rsid w:val="00BB375A"/>
    <w:rsid w:val="00BB398C"/>
    <w:rsid w:val="00BB5AE3"/>
    <w:rsid w:val="00BC17AA"/>
    <w:rsid w:val="00BC5A9D"/>
    <w:rsid w:val="00BC5D40"/>
    <w:rsid w:val="00BC67D3"/>
    <w:rsid w:val="00BC6F04"/>
    <w:rsid w:val="00BC7BE0"/>
    <w:rsid w:val="00BD1F4A"/>
    <w:rsid w:val="00BD24A8"/>
    <w:rsid w:val="00BD4653"/>
    <w:rsid w:val="00BD4D7F"/>
    <w:rsid w:val="00BD5353"/>
    <w:rsid w:val="00BD571B"/>
    <w:rsid w:val="00BD70C4"/>
    <w:rsid w:val="00BD7198"/>
    <w:rsid w:val="00BE035C"/>
    <w:rsid w:val="00BE1172"/>
    <w:rsid w:val="00BE14E2"/>
    <w:rsid w:val="00BE223E"/>
    <w:rsid w:val="00BE289E"/>
    <w:rsid w:val="00BE4454"/>
    <w:rsid w:val="00BE4AAD"/>
    <w:rsid w:val="00BE5020"/>
    <w:rsid w:val="00BE580E"/>
    <w:rsid w:val="00BE5BD0"/>
    <w:rsid w:val="00BE5E7D"/>
    <w:rsid w:val="00BE6013"/>
    <w:rsid w:val="00BE69AB"/>
    <w:rsid w:val="00BE6F95"/>
    <w:rsid w:val="00BE76FF"/>
    <w:rsid w:val="00BE7F98"/>
    <w:rsid w:val="00BF14A5"/>
    <w:rsid w:val="00BF1562"/>
    <w:rsid w:val="00BF1BC3"/>
    <w:rsid w:val="00BF3E5B"/>
    <w:rsid w:val="00BF5EB5"/>
    <w:rsid w:val="00BF6C67"/>
    <w:rsid w:val="00BF6F9E"/>
    <w:rsid w:val="00C000CD"/>
    <w:rsid w:val="00C00530"/>
    <w:rsid w:val="00C006AD"/>
    <w:rsid w:val="00C00DE8"/>
    <w:rsid w:val="00C010DA"/>
    <w:rsid w:val="00C01675"/>
    <w:rsid w:val="00C03179"/>
    <w:rsid w:val="00C0357E"/>
    <w:rsid w:val="00C0417E"/>
    <w:rsid w:val="00C0561A"/>
    <w:rsid w:val="00C057DE"/>
    <w:rsid w:val="00C10248"/>
    <w:rsid w:val="00C10594"/>
    <w:rsid w:val="00C10AE3"/>
    <w:rsid w:val="00C10B82"/>
    <w:rsid w:val="00C1136E"/>
    <w:rsid w:val="00C11E84"/>
    <w:rsid w:val="00C12E6E"/>
    <w:rsid w:val="00C1323F"/>
    <w:rsid w:val="00C13936"/>
    <w:rsid w:val="00C13959"/>
    <w:rsid w:val="00C14779"/>
    <w:rsid w:val="00C147CC"/>
    <w:rsid w:val="00C16F56"/>
    <w:rsid w:val="00C17718"/>
    <w:rsid w:val="00C17A31"/>
    <w:rsid w:val="00C21B37"/>
    <w:rsid w:val="00C22455"/>
    <w:rsid w:val="00C22CC1"/>
    <w:rsid w:val="00C22FAF"/>
    <w:rsid w:val="00C2322C"/>
    <w:rsid w:val="00C265AA"/>
    <w:rsid w:val="00C26766"/>
    <w:rsid w:val="00C27FEB"/>
    <w:rsid w:val="00C30588"/>
    <w:rsid w:val="00C30F1B"/>
    <w:rsid w:val="00C314B6"/>
    <w:rsid w:val="00C32985"/>
    <w:rsid w:val="00C360E2"/>
    <w:rsid w:val="00C36D9E"/>
    <w:rsid w:val="00C40227"/>
    <w:rsid w:val="00C409FC"/>
    <w:rsid w:val="00C40E87"/>
    <w:rsid w:val="00C41BC9"/>
    <w:rsid w:val="00C45A0A"/>
    <w:rsid w:val="00C46843"/>
    <w:rsid w:val="00C50474"/>
    <w:rsid w:val="00C517BF"/>
    <w:rsid w:val="00C52A30"/>
    <w:rsid w:val="00C52DEF"/>
    <w:rsid w:val="00C53F81"/>
    <w:rsid w:val="00C54298"/>
    <w:rsid w:val="00C550BA"/>
    <w:rsid w:val="00C564AD"/>
    <w:rsid w:val="00C56C35"/>
    <w:rsid w:val="00C56C88"/>
    <w:rsid w:val="00C56DE1"/>
    <w:rsid w:val="00C610F6"/>
    <w:rsid w:val="00C63466"/>
    <w:rsid w:val="00C63A84"/>
    <w:rsid w:val="00C63AD7"/>
    <w:rsid w:val="00C6624D"/>
    <w:rsid w:val="00C6645C"/>
    <w:rsid w:val="00C70072"/>
    <w:rsid w:val="00C7258F"/>
    <w:rsid w:val="00C72C51"/>
    <w:rsid w:val="00C74986"/>
    <w:rsid w:val="00C773A9"/>
    <w:rsid w:val="00C80CC7"/>
    <w:rsid w:val="00C81739"/>
    <w:rsid w:val="00C81C03"/>
    <w:rsid w:val="00C829E4"/>
    <w:rsid w:val="00C836A1"/>
    <w:rsid w:val="00C83F97"/>
    <w:rsid w:val="00C8411F"/>
    <w:rsid w:val="00C8414F"/>
    <w:rsid w:val="00C855AA"/>
    <w:rsid w:val="00C85FBC"/>
    <w:rsid w:val="00C86821"/>
    <w:rsid w:val="00C8732B"/>
    <w:rsid w:val="00C877E6"/>
    <w:rsid w:val="00C929D2"/>
    <w:rsid w:val="00C92BCB"/>
    <w:rsid w:val="00C94A58"/>
    <w:rsid w:val="00CA2658"/>
    <w:rsid w:val="00CA4658"/>
    <w:rsid w:val="00CA4C7B"/>
    <w:rsid w:val="00CA5309"/>
    <w:rsid w:val="00CA7228"/>
    <w:rsid w:val="00CA72CD"/>
    <w:rsid w:val="00CA736B"/>
    <w:rsid w:val="00CB069D"/>
    <w:rsid w:val="00CB0BD9"/>
    <w:rsid w:val="00CB14BD"/>
    <w:rsid w:val="00CB17F2"/>
    <w:rsid w:val="00CB18A3"/>
    <w:rsid w:val="00CB21A3"/>
    <w:rsid w:val="00CB2A3C"/>
    <w:rsid w:val="00CB320F"/>
    <w:rsid w:val="00CB3E93"/>
    <w:rsid w:val="00CB4B3C"/>
    <w:rsid w:val="00CB4EE6"/>
    <w:rsid w:val="00CB64B9"/>
    <w:rsid w:val="00CB6B3E"/>
    <w:rsid w:val="00CB747C"/>
    <w:rsid w:val="00CB7D15"/>
    <w:rsid w:val="00CC0483"/>
    <w:rsid w:val="00CC098E"/>
    <w:rsid w:val="00CC2403"/>
    <w:rsid w:val="00CC3372"/>
    <w:rsid w:val="00CC52C5"/>
    <w:rsid w:val="00CC71FA"/>
    <w:rsid w:val="00CC76BE"/>
    <w:rsid w:val="00CD11AD"/>
    <w:rsid w:val="00CD2300"/>
    <w:rsid w:val="00CD296E"/>
    <w:rsid w:val="00CD4AEB"/>
    <w:rsid w:val="00CD7174"/>
    <w:rsid w:val="00CD7A35"/>
    <w:rsid w:val="00CE1CEB"/>
    <w:rsid w:val="00CE37DA"/>
    <w:rsid w:val="00CE4B47"/>
    <w:rsid w:val="00CE4BB3"/>
    <w:rsid w:val="00CE6D98"/>
    <w:rsid w:val="00CE70D0"/>
    <w:rsid w:val="00CE71F8"/>
    <w:rsid w:val="00CE76C1"/>
    <w:rsid w:val="00CE791C"/>
    <w:rsid w:val="00CF0A37"/>
    <w:rsid w:val="00CF24E4"/>
    <w:rsid w:val="00CF28A0"/>
    <w:rsid w:val="00CF603B"/>
    <w:rsid w:val="00CF67B1"/>
    <w:rsid w:val="00CF6D80"/>
    <w:rsid w:val="00CF7455"/>
    <w:rsid w:val="00CF766A"/>
    <w:rsid w:val="00CF793B"/>
    <w:rsid w:val="00D00836"/>
    <w:rsid w:val="00D01949"/>
    <w:rsid w:val="00D02999"/>
    <w:rsid w:val="00D02D22"/>
    <w:rsid w:val="00D04B2D"/>
    <w:rsid w:val="00D05CE4"/>
    <w:rsid w:val="00D062DB"/>
    <w:rsid w:val="00D07E7D"/>
    <w:rsid w:val="00D07EA8"/>
    <w:rsid w:val="00D12B9C"/>
    <w:rsid w:val="00D13ACE"/>
    <w:rsid w:val="00D14594"/>
    <w:rsid w:val="00D14962"/>
    <w:rsid w:val="00D150A8"/>
    <w:rsid w:val="00D16598"/>
    <w:rsid w:val="00D171AA"/>
    <w:rsid w:val="00D179EA"/>
    <w:rsid w:val="00D201DF"/>
    <w:rsid w:val="00D20211"/>
    <w:rsid w:val="00D2041B"/>
    <w:rsid w:val="00D20FED"/>
    <w:rsid w:val="00D21504"/>
    <w:rsid w:val="00D22285"/>
    <w:rsid w:val="00D22A94"/>
    <w:rsid w:val="00D234B1"/>
    <w:rsid w:val="00D23F18"/>
    <w:rsid w:val="00D26201"/>
    <w:rsid w:val="00D30BDF"/>
    <w:rsid w:val="00D312D8"/>
    <w:rsid w:val="00D32500"/>
    <w:rsid w:val="00D330EB"/>
    <w:rsid w:val="00D334A3"/>
    <w:rsid w:val="00D3395B"/>
    <w:rsid w:val="00D33C03"/>
    <w:rsid w:val="00D34303"/>
    <w:rsid w:val="00D34451"/>
    <w:rsid w:val="00D344D2"/>
    <w:rsid w:val="00D408B1"/>
    <w:rsid w:val="00D40D1B"/>
    <w:rsid w:val="00D40F62"/>
    <w:rsid w:val="00D42B44"/>
    <w:rsid w:val="00D4304A"/>
    <w:rsid w:val="00D431BD"/>
    <w:rsid w:val="00D46F11"/>
    <w:rsid w:val="00D476FA"/>
    <w:rsid w:val="00D51816"/>
    <w:rsid w:val="00D5249F"/>
    <w:rsid w:val="00D5269C"/>
    <w:rsid w:val="00D54128"/>
    <w:rsid w:val="00D5424F"/>
    <w:rsid w:val="00D54C0F"/>
    <w:rsid w:val="00D5583A"/>
    <w:rsid w:val="00D568D1"/>
    <w:rsid w:val="00D56BAF"/>
    <w:rsid w:val="00D5711C"/>
    <w:rsid w:val="00D5773E"/>
    <w:rsid w:val="00D57BC5"/>
    <w:rsid w:val="00D6022C"/>
    <w:rsid w:val="00D60BC0"/>
    <w:rsid w:val="00D621D2"/>
    <w:rsid w:val="00D6249A"/>
    <w:rsid w:val="00D62EE3"/>
    <w:rsid w:val="00D642B5"/>
    <w:rsid w:val="00D6587B"/>
    <w:rsid w:val="00D66C4C"/>
    <w:rsid w:val="00D66EE6"/>
    <w:rsid w:val="00D67B08"/>
    <w:rsid w:val="00D70913"/>
    <w:rsid w:val="00D72EA8"/>
    <w:rsid w:val="00D73967"/>
    <w:rsid w:val="00D76336"/>
    <w:rsid w:val="00D76B7A"/>
    <w:rsid w:val="00D771C6"/>
    <w:rsid w:val="00D8058E"/>
    <w:rsid w:val="00D80860"/>
    <w:rsid w:val="00D815D4"/>
    <w:rsid w:val="00D83A5F"/>
    <w:rsid w:val="00D84506"/>
    <w:rsid w:val="00D8672A"/>
    <w:rsid w:val="00D908BF"/>
    <w:rsid w:val="00D91D4C"/>
    <w:rsid w:val="00D938F7"/>
    <w:rsid w:val="00D93A4D"/>
    <w:rsid w:val="00D9512F"/>
    <w:rsid w:val="00DA10F2"/>
    <w:rsid w:val="00DA1598"/>
    <w:rsid w:val="00DA16BA"/>
    <w:rsid w:val="00DA1FD9"/>
    <w:rsid w:val="00DA2BC4"/>
    <w:rsid w:val="00DA54A6"/>
    <w:rsid w:val="00DA5A96"/>
    <w:rsid w:val="00DA6118"/>
    <w:rsid w:val="00DA639F"/>
    <w:rsid w:val="00DA6C64"/>
    <w:rsid w:val="00DB211C"/>
    <w:rsid w:val="00DB2341"/>
    <w:rsid w:val="00DB40A8"/>
    <w:rsid w:val="00DB4343"/>
    <w:rsid w:val="00DB4709"/>
    <w:rsid w:val="00DB6618"/>
    <w:rsid w:val="00DC0353"/>
    <w:rsid w:val="00DC1452"/>
    <w:rsid w:val="00DC21F7"/>
    <w:rsid w:val="00DC352E"/>
    <w:rsid w:val="00DC452C"/>
    <w:rsid w:val="00DC57CC"/>
    <w:rsid w:val="00DC7E2A"/>
    <w:rsid w:val="00DD0414"/>
    <w:rsid w:val="00DD046B"/>
    <w:rsid w:val="00DD08E8"/>
    <w:rsid w:val="00DD160E"/>
    <w:rsid w:val="00DD30E1"/>
    <w:rsid w:val="00DD4D86"/>
    <w:rsid w:val="00DD5C03"/>
    <w:rsid w:val="00DD6470"/>
    <w:rsid w:val="00DD775A"/>
    <w:rsid w:val="00DD7989"/>
    <w:rsid w:val="00DD7ABB"/>
    <w:rsid w:val="00DE0E6C"/>
    <w:rsid w:val="00DE1100"/>
    <w:rsid w:val="00DE12BC"/>
    <w:rsid w:val="00DE4D68"/>
    <w:rsid w:val="00DE5708"/>
    <w:rsid w:val="00DF2BF4"/>
    <w:rsid w:val="00DF45C3"/>
    <w:rsid w:val="00DF5F5A"/>
    <w:rsid w:val="00DF6CD3"/>
    <w:rsid w:val="00E00EAC"/>
    <w:rsid w:val="00E015CC"/>
    <w:rsid w:val="00E056DC"/>
    <w:rsid w:val="00E073FF"/>
    <w:rsid w:val="00E118BC"/>
    <w:rsid w:val="00E11DD2"/>
    <w:rsid w:val="00E11F63"/>
    <w:rsid w:val="00E12AE0"/>
    <w:rsid w:val="00E12D78"/>
    <w:rsid w:val="00E147BD"/>
    <w:rsid w:val="00E156CB"/>
    <w:rsid w:val="00E22E3A"/>
    <w:rsid w:val="00E24034"/>
    <w:rsid w:val="00E247A9"/>
    <w:rsid w:val="00E25AB9"/>
    <w:rsid w:val="00E2605E"/>
    <w:rsid w:val="00E26D57"/>
    <w:rsid w:val="00E2725E"/>
    <w:rsid w:val="00E278FC"/>
    <w:rsid w:val="00E30768"/>
    <w:rsid w:val="00E328E0"/>
    <w:rsid w:val="00E3707E"/>
    <w:rsid w:val="00E3735E"/>
    <w:rsid w:val="00E4119A"/>
    <w:rsid w:val="00E443DB"/>
    <w:rsid w:val="00E44C4F"/>
    <w:rsid w:val="00E477BC"/>
    <w:rsid w:val="00E47940"/>
    <w:rsid w:val="00E47FBE"/>
    <w:rsid w:val="00E504C0"/>
    <w:rsid w:val="00E52761"/>
    <w:rsid w:val="00E53A45"/>
    <w:rsid w:val="00E53CD8"/>
    <w:rsid w:val="00E544F3"/>
    <w:rsid w:val="00E554F0"/>
    <w:rsid w:val="00E56569"/>
    <w:rsid w:val="00E609ED"/>
    <w:rsid w:val="00E63833"/>
    <w:rsid w:val="00E6441B"/>
    <w:rsid w:val="00E64C21"/>
    <w:rsid w:val="00E65D87"/>
    <w:rsid w:val="00E7186E"/>
    <w:rsid w:val="00E71A5F"/>
    <w:rsid w:val="00E72892"/>
    <w:rsid w:val="00E733C0"/>
    <w:rsid w:val="00E73437"/>
    <w:rsid w:val="00E73BE0"/>
    <w:rsid w:val="00E747E6"/>
    <w:rsid w:val="00E74B45"/>
    <w:rsid w:val="00E755C8"/>
    <w:rsid w:val="00E75692"/>
    <w:rsid w:val="00E75B19"/>
    <w:rsid w:val="00E7731A"/>
    <w:rsid w:val="00E82C63"/>
    <w:rsid w:val="00E8494F"/>
    <w:rsid w:val="00E84E5A"/>
    <w:rsid w:val="00E85215"/>
    <w:rsid w:val="00E857BB"/>
    <w:rsid w:val="00E93301"/>
    <w:rsid w:val="00E95E60"/>
    <w:rsid w:val="00E9608B"/>
    <w:rsid w:val="00E962B4"/>
    <w:rsid w:val="00EA02CD"/>
    <w:rsid w:val="00EA0849"/>
    <w:rsid w:val="00EA2AFC"/>
    <w:rsid w:val="00EA3339"/>
    <w:rsid w:val="00EA5149"/>
    <w:rsid w:val="00EA52EC"/>
    <w:rsid w:val="00EA538D"/>
    <w:rsid w:val="00EA55C0"/>
    <w:rsid w:val="00EA5DB8"/>
    <w:rsid w:val="00EA7430"/>
    <w:rsid w:val="00EB0B5C"/>
    <w:rsid w:val="00EB0E64"/>
    <w:rsid w:val="00EB246C"/>
    <w:rsid w:val="00EB2A0F"/>
    <w:rsid w:val="00EB3219"/>
    <w:rsid w:val="00EB51DA"/>
    <w:rsid w:val="00EB5738"/>
    <w:rsid w:val="00EB6C48"/>
    <w:rsid w:val="00EB6C71"/>
    <w:rsid w:val="00EB7C82"/>
    <w:rsid w:val="00EC0908"/>
    <w:rsid w:val="00EC1D86"/>
    <w:rsid w:val="00EC50C8"/>
    <w:rsid w:val="00EC51D4"/>
    <w:rsid w:val="00EC5E2E"/>
    <w:rsid w:val="00EC64FB"/>
    <w:rsid w:val="00ED0D0E"/>
    <w:rsid w:val="00ED3240"/>
    <w:rsid w:val="00ED3379"/>
    <w:rsid w:val="00ED3DD4"/>
    <w:rsid w:val="00ED4142"/>
    <w:rsid w:val="00ED4BFC"/>
    <w:rsid w:val="00ED614F"/>
    <w:rsid w:val="00ED66F1"/>
    <w:rsid w:val="00ED72E9"/>
    <w:rsid w:val="00ED73C0"/>
    <w:rsid w:val="00EE0987"/>
    <w:rsid w:val="00EE0CE7"/>
    <w:rsid w:val="00EE2130"/>
    <w:rsid w:val="00EE2348"/>
    <w:rsid w:val="00EE5780"/>
    <w:rsid w:val="00EE6D9E"/>
    <w:rsid w:val="00EE7CF9"/>
    <w:rsid w:val="00EF001B"/>
    <w:rsid w:val="00EF074B"/>
    <w:rsid w:val="00EF0EDF"/>
    <w:rsid w:val="00EF0F25"/>
    <w:rsid w:val="00EF192D"/>
    <w:rsid w:val="00EF1ECD"/>
    <w:rsid w:val="00EF3CC8"/>
    <w:rsid w:val="00EF4047"/>
    <w:rsid w:val="00EF4B91"/>
    <w:rsid w:val="00EF5024"/>
    <w:rsid w:val="00EF674C"/>
    <w:rsid w:val="00EF6AED"/>
    <w:rsid w:val="00EF7BA5"/>
    <w:rsid w:val="00F002C9"/>
    <w:rsid w:val="00F0210B"/>
    <w:rsid w:val="00F024E8"/>
    <w:rsid w:val="00F02A4A"/>
    <w:rsid w:val="00F0582E"/>
    <w:rsid w:val="00F0683F"/>
    <w:rsid w:val="00F06B2C"/>
    <w:rsid w:val="00F11E23"/>
    <w:rsid w:val="00F1279E"/>
    <w:rsid w:val="00F12AD6"/>
    <w:rsid w:val="00F13451"/>
    <w:rsid w:val="00F14921"/>
    <w:rsid w:val="00F14A79"/>
    <w:rsid w:val="00F1603C"/>
    <w:rsid w:val="00F16DA0"/>
    <w:rsid w:val="00F1710D"/>
    <w:rsid w:val="00F17FE3"/>
    <w:rsid w:val="00F20388"/>
    <w:rsid w:val="00F20B48"/>
    <w:rsid w:val="00F219A6"/>
    <w:rsid w:val="00F226AD"/>
    <w:rsid w:val="00F23764"/>
    <w:rsid w:val="00F23A4F"/>
    <w:rsid w:val="00F241D0"/>
    <w:rsid w:val="00F2476B"/>
    <w:rsid w:val="00F262CE"/>
    <w:rsid w:val="00F301F8"/>
    <w:rsid w:val="00F30919"/>
    <w:rsid w:val="00F31465"/>
    <w:rsid w:val="00F32945"/>
    <w:rsid w:val="00F32FA5"/>
    <w:rsid w:val="00F3314A"/>
    <w:rsid w:val="00F33B65"/>
    <w:rsid w:val="00F35D43"/>
    <w:rsid w:val="00F3792B"/>
    <w:rsid w:val="00F37B8A"/>
    <w:rsid w:val="00F400DB"/>
    <w:rsid w:val="00F413FA"/>
    <w:rsid w:val="00F42919"/>
    <w:rsid w:val="00F43ABA"/>
    <w:rsid w:val="00F469F2"/>
    <w:rsid w:val="00F475FC"/>
    <w:rsid w:val="00F5083E"/>
    <w:rsid w:val="00F546BB"/>
    <w:rsid w:val="00F55293"/>
    <w:rsid w:val="00F557E4"/>
    <w:rsid w:val="00F57A99"/>
    <w:rsid w:val="00F6029C"/>
    <w:rsid w:val="00F609B7"/>
    <w:rsid w:val="00F611DB"/>
    <w:rsid w:val="00F61266"/>
    <w:rsid w:val="00F63A56"/>
    <w:rsid w:val="00F63FAF"/>
    <w:rsid w:val="00F643DD"/>
    <w:rsid w:val="00F6575F"/>
    <w:rsid w:val="00F71763"/>
    <w:rsid w:val="00F7214F"/>
    <w:rsid w:val="00F72401"/>
    <w:rsid w:val="00F73B20"/>
    <w:rsid w:val="00F73B58"/>
    <w:rsid w:val="00F73CD5"/>
    <w:rsid w:val="00F74EAF"/>
    <w:rsid w:val="00F74EB0"/>
    <w:rsid w:val="00F75D45"/>
    <w:rsid w:val="00F77C21"/>
    <w:rsid w:val="00F80149"/>
    <w:rsid w:val="00F8030A"/>
    <w:rsid w:val="00F812ED"/>
    <w:rsid w:val="00F82AF2"/>
    <w:rsid w:val="00F84EB9"/>
    <w:rsid w:val="00F84FB5"/>
    <w:rsid w:val="00F86165"/>
    <w:rsid w:val="00F86B2F"/>
    <w:rsid w:val="00F86B72"/>
    <w:rsid w:val="00F90B8D"/>
    <w:rsid w:val="00F916B5"/>
    <w:rsid w:val="00F918CA"/>
    <w:rsid w:val="00F91A5C"/>
    <w:rsid w:val="00F91C38"/>
    <w:rsid w:val="00F924DD"/>
    <w:rsid w:val="00F93214"/>
    <w:rsid w:val="00F93C9F"/>
    <w:rsid w:val="00F93E57"/>
    <w:rsid w:val="00F94663"/>
    <w:rsid w:val="00F97B29"/>
    <w:rsid w:val="00FA029C"/>
    <w:rsid w:val="00FA0DEE"/>
    <w:rsid w:val="00FA2064"/>
    <w:rsid w:val="00FA2EAE"/>
    <w:rsid w:val="00FA2EDA"/>
    <w:rsid w:val="00FA2EED"/>
    <w:rsid w:val="00FA3F51"/>
    <w:rsid w:val="00FA4342"/>
    <w:rsid w:val="00FA4DE0"/>
    <w:rsid w:val="00FA77F8"/>
    <w:rsid w:val="00FB25EB"/>
    <w:rsid w:val="00FB3333"/>
    <w:rsid w:val="00FB64FA"/>
    <w:rsid w:val="00FB6BD6"/>
    <w:rsid w:val="00FC1E86"/>
    <w:rsid w:val="00FC2B23"/>
    <w:rsid w:val="00FC2F2A"/>
    <w:rsid w:val="00FC4904"/>
    <w:rsid w:val="00FC5338"/>
    <w:rsid w:val="00FC5B5A"/>
    <w:rsid w:val="00FC6055"/>
    <w:rsid w:val="00FC6235"/>
    <w:rsid w:val="00FC7213"/>
    <w:rsid w:val="00FD00E5"/>
    <w:rsid w:val="00FD0252"/>
    <w:rsid w:val="00FD15AC"/>
    <w:rsid w:val="00FD182A"/>
    <w:rsid w:val="00FD2F39"/>
    <w:rsid w:val="00FE0891"/>
    <w:rsid w:val="00FE107C"/>
    <w:rsid w:val="00FE2BC3"/>
    <w:rsid w:val="00FE3F77"/>
    <w:rsid w:val="00FE5AEA"/>
    <w:rsid w:val="00FE60FC"/>
    <w:rsid w:val="00FE7723"/>
    <w:rsid w:val="00FF1266"/>
    <w:rsid w:val="00FF2F0A"/>
    <w:rsid w:val="00FF45A9"/>
    <w:rsid w:val="00FF7605"/>
    <w:rsid w:val="00FF7992"/>
    <w:rsid w:val="00FF7CA5"/>
    <w:rsid w:val="014C2D95"/>
    <w:rsid w:val="019757DE"/>
    <w:rsid w:val="020670E6"/>
    <w:rsid w:val="023B7EA5"/>
    <w:rsid w:val="02592880"/>
    <w:rsid w:val="030633F5"/>
    <w:rsid w:val="04435AF6"/>
    <w:rsid w:val="0584172D"/>
    <w:rsid w:val="05FF49AC"/>
    <w:rsid w:val="06256DFB"/>
    <w:rsid w:val="068D08A6"/>
    <w:rsid w:val="0819CC0F"/>
    <w:rsid w:val="0A64F273"/>
    <w:rsid w:val="0B05D081"/>
    <w:rsid w:val="0B4F08AB"/>
    <w:rsid w:val="0C7E7C12"/>
    <w:rsid w:val="0D1E400B"/>
    <w:rsid w:val="0D88553B"/>
    <w:rsid w:val="0D9E70E6"/>
    <w:rsid w:val="0DC45544"/>
    <w:rsid w:val="0DCDD44E"/>
    <w:rsid w:val="0ECB3A54"/>
    <w:rsid w:val="0EF901B9"/>
    <w:rsid w:val="0F9746BF"/>
    <w:rsid w:val="0FB4792B"/>
    <w:rsid w:val="10B287A8"/>
    <w:rsid w:val="11436C8D"/>
    <w:rsid w:val="11953713"/>
    <w:rsid w:val="1197DDDB"/>
    <w:rsid w:val="12C4264B"/>
    <w:rsid w:val="130FBB23"/>
    <w:rsid w:val="134BA6E2"/>
    <w:rsid w:val="137B5486"/>
    <w:rsid w:val="142FAD9F"/>
    <w:rsid w:val="14ED6F28"/>
    <w:rsid w:val="1564D3C9"/>
    <w:rsid w:val="15EAADCD"/>
    <w:rsid w:val="1612C358"/>
    <w:rsid w:val="179F7CCA"/>
    <w:rsid w:val="17D3699D"/>
    <w:rsid w:val="18B70DEE"/>
    <w:rsid w:val="18CE0B05"/>
    <w:rsid w:val="18E9F682"/>
    <w:rsid w:val="1919AB02"/>
    <w:rsid w:val="19344FE5"/>
    <w:rsid w:val="1A02B907"/>
    <w:rsid w:val="1AB5E51F"/>
    <w:rsid w:val="1ACE5852"/>
    <w:rsid w:val="1ADA84C0"/>
    <w:rsid w:val="1B6E6387"/>
    <w:rsid w:val="1BD2F42A"/>
    <w:rsid w:val="1C61B13C"/>
    <w:rsid w:val="1C798A42"/>
    <w:rsid w:val="1D193BBC"/>
    <w:rsid w:val="1D68D6EB"/>
    <w:rsid w:val="1E2C8570"/>
    <w:rsid w:val="1E3E830E"/>
    <w:rsid w:val="1F57DD5A"/>
    <w:rsid w:val="2040D761"/>
    <w:rsid w:val="2076BDEE"/>
    <w:rsid w:val="20D91CEA"/>
    <w:rsid w:val="20E01CC3"/>
    <w:rsid w:val="20FCC3A1"/>
    <w:rsid w:val="218A7EDC"/>
    <w:rsid w:val="21A15E75"/>
    <w:rsid w:val="21D6486F"/>
    <w:rsid w:val="22A5D29A"/>
    <w:rsid w:val="239B1893"/>
    <w:rsid w:val="23BD21D4"/>
    <w:rsid w:val="23BF413A"/>
    <w:rsid w:val="2400AEA6"/>
    <w:rsid w:val="24287535"/>
    <w:rsid w:val="24FC9319"/>
    <w:rsid w:val="25208C0B"/>
    <w:rsid w:val="25C5B66A"/>
    <w:rsid w:val="26A1CACC"/>
    <w:rsid w:val="27ABDB3B"/>
    <w:rsid w:val="281C6ADA"/>
    <w:rsid w:val="299F9DAD"/>
    <w:rsid w:val="2A7A5FB4"/>
    <w:rsid w:val="2A853730"/>
    <w:rsid w:val="2A99278D"/>
    <w:rsid w:val="2AA116E0"/>
    <w:rsid w:val="2BE97B72"/>
    <w:rsid w:val="2C01766F"/>
    <w:rsid w:val="2C389DC8"/>
    <w:rsid w:val="2C5F9790"/>
    <w:rsid w:val="2C703609"/>
    <w:rsid w:val="2D4FE80D"/>
    <w:rsid w:val="2F25B15F"/>
    <w:rsid w:val="30473346"/>
    <w:rsid w:val="30C684DB"/>
    <w:rsid w:val="317627FC"/>
    <w:rsid w:val="31F02169"/>
    <w:rsid w:val="32BB2D5F"/>
    <w:rsid w:val="33537055"/>
    <w:rsid w:val="338BF1CA"/>
    <w:rsid w:val="340B7EFC"/>
    <w:rsid w:val="34C41356"/>
    <w:rsid w:val="3527C22B"/>
    <w:rsid w:val="35D33D09"/>
    <w:rsid w:val="361ED0EB"/>
    <w:rsid w:val="36EAADD0"/>
    <w:rsid w:val="37AF144F"/>
    <w:rsid w:val="38560489"/>
    <w:rsid w:val="386CF6F7"/>
    <w:rsid w:val="38F3D12E"/>
    <w:rsid w:val="39C60061"/>
    <w:rsid w:val="39DA8868"/>
    <w:rsid w:val="3A5F4D81"/>
    <w:rsid w:val="3A84F8CD"/>
    <w:rsid w:val="3AD6464C"/>
    <w:rsid w:val="3B2F4FD3"/>
    <w:rsid w:val="3B77BD69"/>
    <w:rsid w:val="3C36F5F2"/>
    <w:rsid w:val="3CF1C3BD"/>
    <w:rsid w:val="3D5755C9"/>
    <w:rsid w:val="3E6970E5"/>
    <w:rsid w:val="3E875239"/>
    <w:rsid w:val="3E9C9D2E"/>
    <w:rsid w:val="3EF9FF9D"/>
    <w:rsid w:val="3F71D8AF"/>
    <w:rsid w:val="3F9FF4FD"/>
    <w:rsid w:val="40F634A3"/>
    <w:rsid w:val="41C5A5F2"/>
    <w:rsid w:val="42FBEEB7"/>
    <w:rsid w:val="4308058E"/>
    <w:rsid w:val="43AAB8AC"/>
    <w:rsid w:val="43D0C798"/>
    <w:rsid w:val="43F1833B"/>
    <w:rsid w:val="446F9268"/>
    <w:rsid w:val="44F15691"/>
    <w:rsid w:val="46C1EA80"/>
    <w:rsid w:val="470E1B6D"/>
    <w:rsid w:val="476B1AE4"/>
    <w:rsid w:val="4777F772"/>
    <w:rsid w:val="48572E1E"/>
    <w:rsid w:val="4899EE78"/>
    <w:rsid w:val="48BA12A1"/>
    <w:rsid w:val="48EC4713"/>
    <w:rsid w:val="49F2FE7F"/>
    <w:rsid w:val="49FFD01E"/>
    <w:rsid w:val="4AC141E4"/>
    <w:rsid w:val="4ACE7E02"/>
    <w:rsid w:val="4AD7331D"/>
    <w:rsid w:val="4AED9F09"/>
    <w:rsid w:val="4AF7FC49"/>
    <w:rsid w:val="4BBA620F"/>
    <w:rsid w:val="4C4030D2"/>
    <w:rsid w:val="4C535D70"/>
    <w:rsid w:val="4C7A9F51"/>
    <w:rsid w:val="4D2A9F41"/>
    <w:rsid w:val="4DC2D8D6"/>
    <w:rsid w:val="4EBFDD4D"/>
    <w:rsid w:val="4ED1E38C"/>
    <w:rsid w:val="4EFB4FD6"/>
    <w:rsid w:val="4F5EA937"/>
    <w:rsid w:val="4F67F968"/>
    <w:rsid w:val="4FD9874D"/>
    <w:rsid w:val="50B1A596"/>
    <w:rsid w:val="50D3603B"/>
    <w:rsid w:val="51FE1064"/>
    <w:rsid w:val="531F3BB8"/>
    <w:rsid w:val="53A60EE2"/>
    <w:rsid w:val="54321A5A"/>
    <w:rsid w:val="5444210A"/>
    <w:rsid w:val="54BFC935"/>
    <w:rsid w:val="54CED45F"/>
    <w:rsid w:val="54F49D78"/>
    <w:rsid w:val="55CDEABB"/>
    <w:rsid w:val="5607A628"/>
    <w:rsid w:val="56821CC9"/>
    <w:rsid w:val="57243A6A"/>
    <w:rsid w:val="577B9890"/>
    <w:rsid w:val="597F86A4"/>
    <w:rsid w:val="5A3AD525"/>
    <w:rsid w:val="5A48AD7D"/>
    <w:rsid w:val="5A79C42A"/>
    <w:rsid w:val="5C678195"/>
    <w:rsid w:val="5CCF0EF2"/>
    <w:rsid w:val="5CD99544"/>
    <w:rsid w:val="5E35AEAF"/>
    <w:rsid w:val="5E41A3C0"/>
    <w:rsid w:val="5E617BAC"/>
    <w:rsid w:val="600FD6B2"/>
    <w:rsid w:val="608AFDE7"/>
    <w:rsid w:val="61188AE8"/>
    <w:rsid w:val="6305DD9C"/>
    <w:rsid w:val="63EDA45D"/>
    <w:rsid w:val="64B0E544"/>
    <w:rsid w:val="64B6AB07"/>
    <w:rsid w:val="64C9559D"/>
    <w:rsid w:val="65515749"/>
    <w:rsid w:val="6576459F"/>
    <w:rsid w:val="65ABDBFB"/>
    <w:rsid w:val="661C1988"/>
    <w:rsid w:val="661D2772"/>
    <w:rsid w:val="663926E5"/>
    <w:rsid w:val="664CB5A5"/>
    <w:rsid w:val="6760F9E4"/>
    <w:rsid w:val="6776FAED"/>
    <w:rsid w:val="6787CC6C"/>
    <w:rsid w:val="67E88606"/>
    <w:rsid w:val="68C5A143"/>
    <w:rsid w:val="68D51F4C"/>
    <w:rsid w:val="69C070B1"/>
    <w:rsid w:val="69E95BD7"/>
    <w:rsid w:val="6A97505F"/>
    <w:rsid w:val="6AC9DC0E"/>
    <w:rsid w:val="6B8B2E97"/>
    <w:rsid w:val="6C03E8D4"/>
    <w:rsid w:val="6CE078E2"/>
    <w:rsid w:val="6DF70DF0"/>
    <w:rsid w:val="6E44C4A8"/>
    <w:rsid w:val="6F62BE20"/>
    <w:rsid w:val="6F7BD55A"/>
    <w:rsid w:val="70691CCA"/>
    <w:rsid w:val="711A39C8"/>
    <w:rsid w:val="714C3602"/>
    <w:rsid w:val="714D9287"/>
    <w:rsid w:val="71630160"/>
    <w:rsid w:val="719E7814"/>
    <w:rsid w:val="71EB0B64"/>
    <w:rsid w:val="723C10E6"/>
    <w:rsid w:val="7254F79A"/>
    <w:rsid w:val="730A09E3"/>
    <w:rsid w:val="739D0779"/>
    <w:rsid w:val="746208A3"/>
    <w:rsid w:val="747EA21E"/>
    <w:rsid w:val="74A0C2EF"/>
    <w:rsid w:val="74D618D6"/>
    <w:rsid w:val="74EDEA2B"/>
    <w:rsid w:val="74F87FAF"/>
    <w:rsid w:val="75B71104"/>
    <w:rsid w:val="7671E937"/>
    <w:rsid w:val="76937591"/>
    <w:rsid w:val="769D3B57"/>
    <w:rsid w:val="770B7CB2"/>
    <w:rsid w:val="7776BC8A"/>
    <w:rsid w:val="77BC028A"/>
    <w:rsid w:val="77BEA2FC"/>
    <w:rsid w:val="78479F6F"/>
    <w:rsid w:val="7894D24D"/>
    <w:rsid w:val="78D3267D"/>
    <w:rsid w:val="79B43C06"/>
    <w:rsid w:val="79B67989"/>
    <w:rsid w:val="79BBDEA1"/>
    <w:rsid w:val="7A2E74EF"/>
    <w:rsid w:val="7B100473"/>
    <w:rsid w:val="7BD8AE16"/>
    <w:rsid w:val="7C03C766"/>
    <w:rsid w:val="7C1C30F8"/>
    <w:rsid w:val="7C785355"/>
    <w:rsid w:val="7DF05D64"/>
    <w:rsid w:val="7E3C1EA3"/>
    <w:rsid w:val="7E467A10"/>
    <w:rsid w:val="7E8BB05E"/>
    <w:rsid w:val="7EE7CC50"/>
    <w:rsid w:val="7F6FED8E"/>
    <w:rsid w:val="7FD6F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FBF9"/>
  <w15:docId w15:val="{8C4F17DC-FAB5-466D-A36F-60C90698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ED66F1"/>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1"/>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F924DD"/>
    <w:rPr>
      <w:color w:val="605E5C"/>
      <w:shd w:val="clear" w:color="auto" w:fill="E1DFDD"/>
    </w:rPr>
  </w:style>
  <w:style w:type="paragraph" w:styleId="Bibliography">
    <w:name w:val="Bibliography"/>
    <w:basedOn w:val="Normal"/>
    <w:next w:val="Normal"/>
    <w:uiPriority w:val="37"/>
    <w:unhideWhenUsed/>
    <w:rsid w:val="005E2097"/>
  </w:style>
  <w:style w:type="paragraph" w:styleId="Revision">
    <w:name w:val="Revision"/>
    <w:hidden/>
    <w:uiPriority w:val="99"/>
    <w:semiHidden/>
    <w:rsid w:val="002A1C82"/>
    <w:pPr>
      <w:spacing w:after="0" w:line="240" w:lineRule="auto"/>
    </w:pPr>
  </w:style>
  <w:style w:type="paragraph" w:styleId="BodyText">
    <w:name w:val="Body Text"/>
    <w:basedOn w:val="Normal"/>
    <w:link w:val="BodyTextChar"/>
    <w:uiPriority w:val="1"/>
    <w:qFormat/>
    <w:rsid w:val="00EF074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F074B"/>
    <w:rPr>
      <w:rFonts w:ascii="Calibri" w:eastAsia="Calibri" w:hAnsi="Calibri" w:cs="Calibri"/>
      <w:sz w:val="24"/>
      <w:szCs w:val="24"/>
    </w:rPr>
  </w:style>
  <w:style w:type="paragraph" w:styleId="FootnoteText">
    <w:name w:val="footnote text"/>
    <w:basedOn w:val="Normal"/>
    <w:link w:val="FootnoteTextChar"/>
    <w:uiPriority w:val="99"/>
    <w:semiHidden/>
    <w:unhideWhenUsed/>
    <w:rsid w:val="002F29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997"/>
    <w:rPr>
      <w:sz w:val="20"/>
      <w:szCs w:val="20"/>
    </w:rPr>
  </w:style>
  <w:style w:type="character" w:styleId="FootnoteReference">
    <w:name w:val="footnote reference"/>
    <w:basedOn w:val="DefaultParagraphFont"/>
    <w:uiPriority w:val="99"/>
    <w:semiHidden/>
    <w:unhideWhenUsed/>
    <w:rsid w:val="002F2997"/>
    <w:rPr>
      <w:vertAlign w:val="superscript"/>
    </w:rPr>
  </w:style>
  <w:style w:type="paragraph" w:customStyle="1" w:styleId="Style1">
    <w:name w:val="Style1"/>
    <w:basedOn w:val="Normal"/>
    <w:link w:val="Style1Char"/>
    <w:autoRedefine/>
    <w:qFormat/>
    <w:rsid w:val="00AB528C"/>
    <w:pPr>
      <w:spacing w:before="240" w:after="0" w:line="360" w:lineRule="auto"/>
    </w:pPr>
    <w:rPr>
      <w:rFonts w:ascii="Times New Roman" w:eastAsia="Times New Roman" w:hAnsi="Times New Roman" w:cs="Courier New"/>
      <w:sz w:val="22"/>
      <w:szCs w:val="22"/>
    </w:rPr>
  </w:style>
  <w:style w:type="character" w:customStyle="1" w:styleId="Style1Char">
    <w:name w:val="Style1 Char"/>
    <w:link w:val="Style1"/>
    <w:rsid w:val="00AB528C"/>
    <w:rPr>
      <w:rFonts w:ascii="Times New Roman" w:eastAsia="Times New Roman" w:hAnsi="Times New Roman"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getce" TargetMode="External" /><Relationship Id="rId11" Type="http://schemas.openxmlformats.org/officeDocument/2006/relationships/hyperlink" Target="https://www.hhs.gov/foia/privacy/sorns/09200161/index.html" TargetMode="External" /><Relationship Id="rId12" Type="http://schemas.openxmlformats.org/officeDocument/2006/relationships/hyperlink" Target="https://www.federalregister.gov/documents/2018/02/14/2018-03014/privacy-act-of-1974-system-of-records" TargetMode="External" /><Relationship Id="rId13" Type="http://schemas.openxmlformats.org/officeDocument/2006/relationships/hyperlink" Target="https://intranet.cdc.gov/ocoo/docs/services/ATSDR-retention-schedules.docx" TargetMode="External" /><Relationship Id="rId14" Type="http://schemas.openxmlformats.org/officeDocument/2006/relationships/hyperlink" Target="https://www.bls.gov/oes/tables.htm" TargetMode="External" /><Relationship Id="rId15" Type="http://schemas.openxmlformats.org/officeDocument/2006/relationships/hyperlink" Target="https://www.bls.gov/oes/current/oes192041.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E59E56B9-95B8-4E1C-A5F9-48E2FCAC4B67}"/>
      </w:docPartPr>
      <w:docPartBody>
        <w:p w:rsidR="00A46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A460AC"/>
    <w:rsid w:val="000019BE"/>
    <w:rsid w:val="00011FA7"/>
    <w:rsid w:val="000B6FD5"/>
    <w:rsid w:val="0016221E"/>
    <w:rsid w:val="00164857"/>
    <w:rsid w:val="001852FD"/>
    <w:rsid w:val="001D68FA"/>
    <w:rsid w:val="002A34CA"/>
    <w:rsid w:val="002B24D0"/>
    <w:rsid w:val="00383A84"/>
    <w:rsid w:val="003C7EF4"/>
    <w:rsid w:val="003D2DFC"/>
    <w:rsid w:val="004F0453"/>
    <w:rsid w:val="00565D89"/>
    <w:rsid w:val="005934A2"/>
    <w:rsid w:val="00655813"/>
    <w:rsid w:val="00656F81"/>
    <w:rsid w:val="00852CA7"/>
    <w:rsid w:val="00855AC6"/>
    <w:rsid w:val="008743DB"/>
    <w:rsid w:val="008C4276"/>
    <w:rsid w:val="0097304E"/>
    <w:rsid w:val="00A404CB"/>
    <w:rsid w:val="00A460AC"/>
    <w:rsid w:val="00A57BA7"/>
    <w:rsid w:val="00B17E40"/>
    <w:rsid w:val="00B47065"/>
    <w:rsid w:val="00B53CAC"/>
    <w:rsid w:val="00BB5EA1"/>
    <w:rsid w:val="00C26284"/>
    <w:rsid w:val="00CF6F93"/>
    <w:rsid w:val="00DC2A3B"/>
    <w:rsid w:val="00ED6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_dlc_DocId xmlns="2fb1b662-f59d-4b16-9d61-2106d813860a">QDA6R45A2CQ7-491076646-31</_dlc_DocId>
    <_dlc_DocIdUrl xmlns="2fb1b662-f59d-4b16-9d61-2106d813860a">
      <Url>https://cdc.sharepoint.com/teams/NCEH-OD/OS/_layouts/15/DocIdRedir.aspx?ID=QDA6R45A2CQ7-491076646-31</Url>
      <Description>QDA6R45A2CQ7-491076646-31</Description>
    </_dlc_DocIdUrl>
    <Event-Type xmlns="377b3288-2328-4c20-862b-2b05ed14cb3c" xsi:nil="true"/>
    <SharedWithUsers xmlns="2d711d5d-7588-4f90-989f-689dad7cc2e3">
      <UserInfo>
        <DisplayName>Davis, Stephanie I. (CDC/DDNID/NCEH/OD)</DisplayName>
        <AccountId>817</AccountId>
        <AccountType/>
      </UserInfo>
      <UserInfo>
        <DisplayName>Nicholson, Brian C. (ATSDR/OS)</DisplayName>
        <AccountId>1133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D19673A293EE49AE1C63CE543B173F" ma:contentTypeVersion="980" ma:contentTypeDescription="Create a new document." ma:contentTypeScope="" ma:versionID="723201d53c63004ec7245f3096b09c12">
  <xsd:schema xmlns:xsd="http://www.w3.org/2001/XMLSchema" xmlns:xs="http://www.w3.org/2001/XMLSchema" xmlns:p="http://schemas.microsoft.com/office/2006/metadata/properties" xmlns:ns1="http://schemas.microsoft.com/sharepoint/v3" xmlns:ns2="2fb1b662-f59d-4b16-9d61-2106d813860a" xmlns:ns3="377b3288-2328-4c20-862b-2b05ed14cb3c" xmlns:ns4="2d711d5d-7588-4f90-989f-689dad7cc2e3" targetNamespace="http://schemas.microsoft.com/office/2006/metadata/properties" ma:root="true" ma:fieldsID="f8e2f6b2eb420e8308391eb9a4d00597" ns1:_="" ns2:_="" ns3:_="" ns4:_="">
    <xsd:import namespace="http://schemas.microsoft.com/sharepoint/v3"/>
    <xsd:import namespace="2fb1b662-f59d-4b16-9d61-2106d813860a"/>
    <xsd:import namespace="377b3288-2328-4c20-862b-2b05ed14cb3c"/>
    <xsd:import namespace="2d711d5d-7588-4f90-989f-689dad7cc2e3"/>
    <xsd:element name="properties">
      <xsd:complexType>
        <xsd:sequence>
          <xsd:element name="documentManagement">
            <xsd:complexType>
              <xsd:all>
                <xsd:element ref="ns2:_dlc_DocId" minOccurs="0"/>
                <xsd:element ref="ns2:_dlc_DocIdUrl" minOccurs="0"/>
                <xsd:element ref="ns2:_dlc_DocIdPersistId" minOccurs="0"/>
                <xsd:element ref="ns1:FirstName" minOccurs="0"/>
                <xsd:element ref="ns3:Event-Type" minOccurs="0"/>
                <xsd:element ref="ns4:SharedWithUsers" minOccurs="0"/>
                <xsd:element ref="ns4: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7"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7b3288-2328-4c20-862b-2b05ed14cb3c" elementFormDefault="qualified">
    <xsd:import namespace="http://schemas.microsoft.com/office/2006/documentManagement/types"/>
    <xsd:import namespace="http://schemas.microsoft.com/office/infopath/2007/PartnerControls"/>
    <xsd:element name="Event-Type" ma:index="8" nillable="true" ma:displayName="Event-Type" ma:internalName="Event_x002d_Type"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11d5d-7588-4f90-989f-689dad7cc2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Placeholder1</b:Tag>
    <b:SourceType>InternetSite</b:SourceType>
    <b:Guid>{33E2244B-484F-456C-9426-776060D53BB5}</b:Guid>
    <b:Author>
      <b:Author>
        <b:Corporate>United States Department of Labor</b:Corporate>
      </b:Author>
    </b:Author>
    <b:Title>Occupational Employment Statistics</b:Title>
    <b:InternetSiteTitle>Bureau of Labor Statistics</b:InternetSiteTitle>
    <b:Year>2016</b:Year>
    <b:Month>May</b:Month>
    <b:URL>https://www.bls.gov/oes/current/oes_nat.htm</b:URL>
    <b:RefOrder>3</b:RefOrder>
  </b:Source>
  <b:Source>
    <b:Tag>Jac14</b:Tag>
    <b:SourceType>JournalArticle</b:SourceType>
    <b:Guid>{DBD3CC47-75E8-4FC8-9785-BB22B5D4BFCE}</b:Guid>
    <b:Title>Capacity building for evidence-based decision making in local health departments: scaling up an effective training approach</b:Title>
    <b:JournalName>Implementation Science, 9(1)1</b:JournalName>
    <b:Year>2014</b:Year>
    <b:Author>
      <b:Author>
        <b:NameList>
          <b:Person>
            <b:Last>Jacobs</b:Last>
            <b:Middle>A.</b:Middle>
            <b:First>J.</b:First>
          </b:Person>
          <b:Person>
            <b:Last>Duggan</b:Last>
            <b:First>K</b:First>
          </b:Person>
          <b:Person>
            <b:Last>Erwin</b:Last>
            <b:First>P</b:First>
          </b:Person>
          <b:Person>
            <b:Last>Borawski</b:Last>
            <b:First>E</b:First>
          </b:Person>
          <b:Person>
            <b:Last>Compton</b:Last>
            <b:First>J</b:First>
          </b:Person>
        </b:NameList>
      </b:Author>
    </b:Author>
    <b:RefOrder>4</b:RefOrder>
  </b:Source>
  <b:Source>
    <b:Tag>Par03</b:Tag>
    <b:SourceType>JournalArticle</b:SourceType>
    <b:Guid>{9E347ACA-0F66-4A94-88AE-430ECEF6D643}</b:Guid>
    <b:Title>Assessing the capacity of health departments to engage in community-based participatory public health.</b:Title>
    <b:JournalName>American Journal of Public Health, 93(3)</b:JournalName>
    <b:Year>2003</b:Year>
    <b:Pages>472-476</b:Pages>
    <b:Author>
      <b:Author>
        <b:NameList>
          <b:Person>
            <b:Last>Parker</b:Last>
            <b:First>E</b:First>
          </b:Person>
          <b:Person>
            <b:Last>Margolis</b:Last>
            <b:Middle>H</b:Middle>
            <b:First>L</b:First>
          </b:Person>
          <b:Person>
            <b:Last>Henrizuez-Roldan</b:Last>
            <b:First>C</b:First>
          </b:Person>
        </b:NameList>
      </b:Author>
    </b:Author>
    <b:RefOrder>5</b:RefOrder>
  </b:Source>
  <b:Source>
    <b:Tag>Rod14</b:Tag>
    <b:SourceType>JournalArticle</b:SourceType>
    <b:Guid>{D93916D5-ACCD-4E05-9485-A8C882D82A5C}</b:Guid>
    <b:Title>Local health department collaborative capacity to improve population health</b:Title>
    <b:JournalName>Frontiers in public health services &amp; systems research, 3(4)</b:JournalName>
    <b:Year>2014</b:Year>
    <b:Pages>7</b:Pages>
    <b:Author>
      <b:Author>
        <b:NameList>
          <b:Person>
            <b:Last>Rodriguez</b:Last>
            <b:Middle>P</b:Middle>
            <b:First>H</b:First>
          </b:Person>
          <b:Person>
            <b:Last>McCullough</b:Last>
            <b:First>J</b:First>
          </b:Person>
          <b:Person>
            <b:Last>Hsuan</b:Last>
            <b:First>C</b:First>
          </b:Person>
        </b:NameList>
      </b:Author>
    </b:Author>
    <b:RefOrder>6</b:RefOrder>
  </b:Source>
  <b:Source>
    <b:Tag>Nat162</b:Tag>
    <b:SourceType>JournalArticle</b:SourceType>
    <b:Guid>{DC2490FE-F20A-4E80-B3A0-3063AF9554C5}</b:Guid>
    <b:Title>Local Health Agency Capacity to Engage in Environmental Health and Land Reuse and Redevelopment</b:Title>
    <b:Year>2019</b:Year>
    <b:Month>May</b:Month>
    <b:Author>
      <b:Author>
        <b:Corporate>Berman, DeFlorio-Barker, &amp; Whitehead, S.</b:Corporate>
      </b:Author>
    </b:Author>
    <b:PublicationTitle>Journal of Enviornmental Health</b:PublicationTitle>
    <b:JournalName>Journal of Environmental Health, 81(9)</b:JournalName>
    <b:Pages>36-39</b:Pages>
    <b:RefOrder>1</b:RefOrder>
  </b:Source>
  <b:Source>
    <b:Tag>Uni16</b:Tag>
    <b:SourceType>InternetSite</b:SourceType>
    <b:Guid>{D0255EEC-2662-48D1-9B53-17376DB93467}</b:Guid>
    <b:Author>
      <b:Author>
        <b:Corporate>United States Department of Labor</b:Corporate>
      </b:Author>
    </b:Author>
    <b:Title>Occupational Employment Statistics</b:Title>
    <b:InternetSiteTitle>Bureau of Labor Statistics</b:InternetSiteTitle>
    <b:Year>2022</b:Year>
    <b:Month>June</b:Month>
    <b:URL>https://www.bls.gov/oes/tables.htm</b:URL>
    <b:Day>8</b:Day>
    <b:RefOrder>2</b:RefOrder>
  </b:Source>
</b:Sources>
</file>

<file path=customXml/itemProps1.xml><?xml version="1.0" encoding="utf-8"?>
<ds:datastoreItem xmlns:ds="http://schemas.openxmlformats.org/officeDocument/2006/customXml" ds:itemID="{0B10AA5F-A60F-425F-8C28-81D61584CE96}">
  <ds:schemaRefs>
    <ds:schemaRef ds:uri="http://schemas.microsoft.com/sharepoint/events"/>
  </ds:schemaRefs>
</ds:datastoreItem>
</file>

<file path=customXml/itemProps2.xml><?xml version="1.0" encoding="utf-8"?>
<ds:datastoreItem xmlns:ds="http://schemas.openxmlformats.org/officeDocument/2006/customXml" ds:itemID="{9777039E-EB5E-4485-9F4E-F30DF778C3C5}">
  <ds:schemaRefs>
    <ds:schemaRef ds:uri="http://schemas.microsoft.com/office/2006/metadata/properties"/>
    <ds:schemaRef ds:uri="http://schemas.microsoft.com/office/infopath/2007/PartnerControls"/>
    <ds:schemaRef ds:uri="http://schemas.microsoft.com/sharepoint/v3"/>
    <ds:schemaRef ds:uri="2fb1b662-f59d-4b16-9d61-2106d813860a"/>
    <ds:schemaRef ds:uri="377b3288-2328-4c20-862b-2b05ed14cb3c"/>
    <ds:schemaRef ds:uri="2d711d5d-7588-4f90-989f-689dad7cc2e3"/>
  </ds:schemaRefs>
</ds:datastoreItem>
</file>

<file path=customXml/itemProps3.xml><?xml version="1.0" encoding="utf-8"?>
<ds:datastoreItem xmlns:ds="http://schemas.openxmlformats.org/officeDocument/2006/customXml" ds:itemID="{8D81FED5-4D35-4D2F-ACC7-2043AD9C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1b662-f59d-4b16-9d61-2106d813860a"/>
    <ds:schemaRef ds:uri="377b3288-2328-4c20-862b-2b05ed14cb3c"/>
    <ds:schemaRef ds:uri="2d711d5d-7588-4f90-989f-689dad7c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553FA-53C8-47F9-9462-2BF7CCAA49AA}">
  <ds:schemaRefs>
    <ds:schemaRef ds:uri="http://schemas.microsoft.com/sharepoint/v3/contenttype/forms"/>
  </ds:schemaRefs>
</ds:datastoreItem>
</file>

<file path=customXml/itemProps5.xml><?xml version="1.0" encoding="utf-8"?>
<ds:datastoreItem xmlns:ds="http://schemas.openxmlformats.org/officeDocument/2006/customXml" ds:itemID="{C23E225A-4F7C-43D5-85DF-0FDDFA0E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5997</Words>
  <Characters>34243</Characters>
  <Application>Microsoft Office Word</Application>
  <DocSecurity>0</DocSecurity>
  <Lines>2445</Lines>
  <Paragraphs>1005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3</cp:revision>
  <dcterms:created xsi:type="dcterms:W3CDTF">2023-07-19T15:12:00Z</dcterms:created>
  <dcterms:modified xsi:type="dcterms:W3CDTF">2023-07-19T16:00:00Z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0x0101005CD19673A293EE49AE1C63CE543B173F</vt:lpwstr>
  </property>
  <property fmtid="{D5CDD505-2E9C-101B-9397-08002B2CF9AE}" pid="3" name="MSIP_Label_7b94a7b8-f06c-4dfe-bdcc-9b548fd58c31_ActionId">
    <vt:lpwstr>32253467-bc28-451a-861b-9ec29aa019f2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2022-06-07T16:09:35Z</vt:lpwstr>
  </property>
  <property fmtid="{D5CDD505-2E9C-101B-9397-08002B2CF9AE}" pid="9" name="MSIP_Label_7b94a7b8-f06c-4dfe-bdcc-9b548fd58c31_SiteId">
    <vt:lpwstr>9ce70869-60db-44fd-abe8-d2767077fc8f</vt:lpwstr>
  </property>
  <property fmtid="{D5CDD505-2E9C-101B-9397-08002B2CF9AE}" pid="10" name="_dlc_DocIdItemGuid">
    <vt:lpwstr>e67fed32-1ae0-49be-ac84-0198b416b9f5</vt:lpwstr>
  </property>
</Properties>
</file>