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6E6C2D4E" w14:textId="79D4251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2C4D80">
        <w:t>0/20</w:t>
      </w:r>
      <w:r w:rsidR="006E78DD">
        <w:t>24</w:t>
      </w:r>
      <w:r>
        <w:rPr>
          <w:sz w:val="28"/>
        </w:rPr>
        <w:t>)</w:t>
      </w:r>
    </w:p>
    <w:p w:rsidR="00E02EF9" w:rsidP="00434E33" w:rsidRDefault="00E02EF9" w14:paraId="2D886CAF" w14:textId="77777777">
      <w:pPr>
        <w:rPr>
          <w:b/>
        </w:rPr>
      </w:pPr>
    </w:p>
    <w:p w:rsidR="003029CB" w:rsidP="00434E33" w:rsidRDefault="000E7AC6" w14:paraId="5D8BFEAF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9157EC0" wp14:anchorId="5434AC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575D3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E50293" w:rsidP="00434E33" w:rsidRDefault="00770C22" w14:paraId="47130BDC" w14:textId="74C25035">
      <w:r>
        <w:t xml:space="preserve">HR SAID </w:t>
      </w:r>
      <w:r w:rsidR="000E7AC6">
        <w:t>Customer Experience (CX) branch survey</w:t>
      </w:r>
      <w:r w:rsidR="003029CB">
        <w:t>s:</w:t>
      </w:r>
    </w:p>
    <w:p w:rsidRPr="00CB05A1" w:rsidR="003029CB" w:rsidP="003029CB" w:rsidRDefault="003029CB" w14:paraId="0A0F5042" w14:textId="2489098A">
      <w:pPr>
        <w:pStyle w:val="ListParagraph"/>
        <w:numPr>
          <w:ilvl w:val="0"/>
          <w:numId w:val="19"/>
        </w:numPr>
        <w:rPr>
          <w:bCs/>
        </w:rPr>
      </w:pPr>
      <w:r w:rsidRPr="00CB05A1">
        <w:rPr>
          <w:bCs/>
        </w:rPr>
        <w:t>Your OD Experience</w:t>
      </w:r>
    </w:p>
    <w:p w:rsidRPr="00CB05A1" w:rsidR="003029CB" w:rsidP="003029CB" w:rsidRDefault="003029CB" w14:paraId="383FC8B4" w14:textId="73917AFD">
      <w:pPr>
        <w:pStyle w:val="ListParagraph"/>
        <w:numPr>
          <w:ilvl w:val="0"/>
          <w:numId w:val="19"/>
        </w:numPr>
        <w:rPr>
          <w:bCs/>
        </w:rPr>
      </w:pPr>
      <w:r w:rsidRPr="00CB05A1">
        <w:rPr>
          <w:bCs/>
        </w:rPr>
        <w:t>Your SSIMB Experience</w:t>
      </w:r>
    </w:p>
    <w:p w:rsidRPr="00CB05A1" w:rsidR="003029CB" w:rsidP="003029CB" w:rsidRDefault="003029CB" w14:paraId="23B20790" w14:textId="77777777">
      <w:pPr>
        <w:pStyle w:val="ListParagraph"/>
        <w:numPr>
          <w:ilvl w:val="0"/>
          <w:numId w:val="19"/>
        </w:numPr>
        <w:rPr>
          <w:bCs/>
        </w:rPr>
      </w:pPr>
      <w:r w:rsidRPr="00CB05A1">
        <w:rPr>
          <w:bCs/>
        </w:rPr>
        <w:t>Your WAPOB Experience</w:t>
      </w:r>
    </w:p>
    <w:p w:rsidRPr="00CB05A1" w:rsidR="003029CB" w:rsidP="003029CB" w:rsidRDefault="003029CB" w14:paraId="2F28270F" w14:textId="583509E3">
      <w:pPr>
        <w:pStyle w:val="ListParagraph"/>
        <w:numPr>
          <w:ilvl w:val="0"/>
          <w:numId w:val="19"/>
        </w:numPr>
        <w:rPr>
          <w:bCs/>
        </w:rPr>
      </w:pPr>
      <w:r w:rsidRPr="00CB05A1">
        <w:rPr>
          <w:bCs/>
        </w:rPr>
        <w:t>Your WLSB Experience</w:t>
      </w:r>
    </w:p>
    <w:p w:rsidR="005E714A" w:rsidRDefault="005E714A" w14:paraId="40BAE0F2" w14:textId="77777777"/>
    <w:p w:rsidR="001B0AAA" w:rsidRDefault="00F15956" w14:paraId="5C547E93" w14:textId="77777777">
      <w:bookmarkStart w:name="_Hlk93484987" w:id="0"/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P="000E7AC6" w:rsidRDefault="007C07BE" w14:paraId="3088C55D" w14:textId="69EBACEE">
      <w:r>
        <w:t>The Human Resources</w:t>
      </w:r>
      <w:r w:rsidRPr="007C07BE">
        <w:t xml:space="preserve"> Systems, Analytics, and Information Division (HR SAID)</w:t>
      </w:r>
      <w:r>
        <w:t xml:space="preserve"> would like to capture f</w:t>
      </w:r>
      <w:r w:rsidRPr="003005C6">
        <w:t xml:space="preserve">eedback </w:t>
      </w:r>
      <w:r>
        <w:t xml:space="preserve">from our customers, which </w:t>
      </w:r>
      <w:r w:rsidRPr="003005C6">
        <w:t xml:space="preserve">will help us refine and improve our ability to deliver </w:t>
      </w:r>
      <w:r>
        <w:t xml:space="preserve">an </w:t>
      </w:r>
      <w:r w:rsidRPr="003005C6">
        <w:t xml:space="preserve">exceptional </w:t>
      </w:r>
      <w:r>
        <w:t xml:space="preserve">customer </w:t>
      </w:r>
      <w:r w:rsidRPr="003005C6">
        <w:t>experience.</w:t>
      </w:r>
      <w:r>
        <w:t xml:space="preserve">  </w:t>
      </w:r>
      <w:r w:rsidR="000E7AC6">
        <w:t xml:space="preserve">Each branch within the OD/OHR/HR SAID division </w:t>
      </w:r>
      <w:r>
        <w:t>will</w:t>
      </w:r>
      <w:r w:rsidR="000E7AC6">
        <w:t xml:space="preserve"> have a survey link embedded in our email signature to</w:t>
      </w:r>
      <w:r>
        <w:t xml:space="preserve"> allow customers the ability to submit fe</w:t>
      </w:r>
      <w:r w:rsidR="000E7AC6">
        <w:t xml:space="preserve">edback for </w:t>
      </w:r>
      <w:r>
        <w:t xml:space="preserve">our </w:t>
      </w:r>
      <w:r w:rsidR="000E7AC6">
        <w:t>continuous improvement.</w:t>
      </w:r>
      <w:r w:rsidR="003005C6">
        <w:t xml:space="preserve">  </w:t>
      </w:r>
    </w:p>
    <w:p w:rsidR="00C8488C" w:rsidRDefault="00C8488C" w14:paraId="0A085336" w14:textId="77777777"/>
    <w:p w:rsidRPr="00434E33" w:rsidR="00434E33" w:rsidP="00434E33" w:rsidRDefault="00434E33" w14:paraId="5A2F927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Pr="000E7AC6" w:rsidR="00E26329" w:rsidRDefault="000E7AC6" w14:paraId="1380803D" w14:textId="7A0E0EE0">
      <w:r>
        <w:t xml:space="preserve">Since the survey link is within our email signatures, </w:t>
      </w:r>
      <w:r w:rsidR="007C07BE">
        <w:t>potential respondents (our customers)</w:t>
      </w:r>
      <w:r>
        <w:t xml:space="preserve"> who we </w:t>
      </w:r>
      <w:r w:rsidR="0074005C">
        <w:t xml:space="preserve">correspond with via </w:t>
      </w:r>
      <w:r>
        <w:t>email will have the ability to take the survey. This includes NIH employees</w:t>
      </w:r>
      <w:r w:rsidR="007C07BE">
        <w:t xml:space="preserve"> and potentially</w:t>
      </w:r>
      <w:r>
        <w:t xml:space="preserve"> contractors</w:t>
      </w:r>
      <w:r w:rsidR="007C07BE">
        <w:t xml:space="preserve"> </w:t>
      </w:r>
      <w:r>
        <w:t xml:space="preserve">and </w:t>
      </w:r>
      <w:r w:rsidR="0074005C">
        <w:t xml:space="preserve">a few </w:t>
      </w:r>
      <w:r>
        <w:t>external customers outside of NIH.</w:t>
      </w:r>
      <w:r w:rsidR="007C07BE">
        <w:t xml:space="preserve">  Strictly anonymous feedback will be from customers who voluntarily choose to participate in the survey. The survey will be accessible via a web-based survey link provided to registrants via email.</w:t>
      </w:r>
      <w:r>
        <w:t xml:space="preserve"> </w:t>
      </w:r>
    </w:p>
    <w:bookmarkEnd w:id="0"/>
    <w:p w:rsidR="00E26329" w:rsidRDefault="00E26329" w14:paraId="43C462CD" w14:textId="77777777">
      <w:pPr>
        <w:rPr>
          <w:b/>
        </w:rPr>
      </w:pPr>
    </w:p>
    <w:p w:rsidRPr="00F06866" w:rsidR="00F06866" w:rsidRDefault="00F06866" w14:paraId="600F269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049549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83DF7FF" w14:textId="4D0E4E6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E7AC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C5FC9C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1CBBBF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FF6DE2D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CB6505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93429D1" w14:textId="77777777">
      <w:pPr>
        <w:rPr>
          <w:sz w:val="16"/>
          <w:szCs w:val="16"/>
        </w:rPr>
      </w:pPr>
    </w:p>
    <w:p w:rsidRPr="009C13B9" w:rsidR="008101A5" w:rsidP="008101A5" w:rsidRDefault="008101A5" w14:paraId="0134EA1B" w14:textId="77777777">
      <w:r>
        <w:t xml:space="preserve">I certify the following to be true: </w:t>
      </w:r>
    </w:p>
    <w:p w:rsidR="008101A5" w:rsidP="008101A5" w:rsidRDefault="008101A5" w14:paraId="6605C39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62DFB3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2D0A124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66B8C8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6FAD80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03D8AC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402147D" w14:textId="77777777"/>
    <w:p w:rsidR="009C13B9" w:rsidP="009C13B9" w:rsidRDefault="009C13B9" w14:paraId="1ED8E697" w14:textId="56CF9BFA">
      <w:r>
        <w:t>Name:</w:t>
      </w:r>
      <w:r w:rsidR="000E7AC6">
        <w:t xml:space="preserve"> </w:t>
      </w:r>
      <w:r w:rsidR="00DA52F9">
        <w:rPr>
          <w:u w:val="single"/>
        </w:rPr>
        <w:t>Jack Alpert</w:t>
      </w:r>
    </w:p>
    <w:p w:rsidR="009C13B9" w:rsidP="009C13B9" w:rsidRDefault="009C13B9" w14:paraId="0212E6E8" w14:textId="77777777">
      <w:pPr>
        <w:pStyle w:val="ListParagraph"/>
        <w:ind w:left="360"/>
      </w:pPr>
    </w:p>
    <w:p w:rsidR="009C13B9" w:rsidP="009C13B9" w:rsidRDefault="009C13B9" w14:paraId="2A3100AA" w14:textId="77777777">
      <w:r>
        <w:t>To assist review, please provide answers to the following question:</w:t>
      </w:r>
    </w:p>
    <w:p w:rsidR="009C13B9" w:rsidP="009C13B9" w:rsidRDefault="009C13B9" w14:paraId="34F33DF2" w14:textId="77777777">
      <w:pPr>
        <w:pStyle w:val="ListParagraph"/>
        <w:ind w:left="360"/>
      </w:pPr>
    </w:p>
    <w:p w:rsidRPr="00C86E91" w:rsidR="009C13B9" w:rsidP="00C86E91" w:rsidRDefault="00C86E91" w14:paraId="729C42A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FB512E5" w14:textId="588280A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E7AC6">
        <w:t>X</w:t>
      </w:r>
      <w:r w:rsidR="009239AA">
        <w:t xml:space="preserve">]  No </w:t>
      </w:r>
    </w:p>
    <w:p w:rsidR="00C86E91" w:rsidP="00C86E91" w:rsidRDefault="009C13B9" w14:paraId="10A2D780" w14:textId="7777777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2320A2A" w14:textId="2F8806DF">
      <w:pPr>
        <w:pStyle w:val="ListParagraph"/>
        <w:numPr>
          <w:ilvl w:val="0"/>
          <w:numId w:val="18"/>
        </w:numPr>
      </w:pPr>
      <w:r w:rsidRPr="006B7F46">
        <w:t>If Applicable, has a System or Records Notice been published?  [  ] Yes  [</w:t>
      </w:r>
      <w:r w:rsidR="006B7F46">
        <w:t>X</w:t>
      </w:r>
      <w:r w:rsidRPr="006B7F46">
        <w:t>] No</w:t>
      </w:r>
    </w:p>
    <w:p w:rsidR="00633F74" w:rsidP="00633F74" w:rsidRDefault="00633F74" w14:paraId="64BCBDBB" w14:textId="77777777">
      <w:pPr>
        <w:pStyle w:val="ListParagraph"/>
        <w:ind w:left="360"/>
      </w:pPr>
    </w:p>
    <w:p w:rsidRPr="00C86E91" w:rsidR="00C86E91" w:rsidP="00C86E91" w:rsidRDefault="00CB1078" w14:paraId="37C78BE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D4FA02B" w14:textId="74F73EBC">
      <w:r>
        <w:t>Is an incentive (e.g., money or reimbursement of expenses, token of appreciation) provided to participants?  [  ] Yes [</w:t>
      </w:r>
      <w:r w:rsidR="006B7C38">
        <w:t>X</w:t>
      </w:r>
      <w:r>
        <w:t xml:space="preserve">] No  </w:t>
      </w:r>
    </w:p>
    <w:p w:rsidR="004D6E14" w:rsidRDefault="004D6E14" w14:paraId="72C07DBD" w14:textId="77777777">
      <w:pPr>
        <w:rPr>
          <w:b/>
        </w:rPr>
      </w:pPr>
    </w:p>
    <w:p w:rsidR="00F24CFC" w:rsidRDefault="00F24CFC" w14:paraId="5DA4C00F" w14:textId="77777777">
      <w:pPr>
        <w:rPr>
          <w:b/>
        </w:rPr>
      </w:pPr>
    </w:p>
    <w:p w:rsidRPr="00BC676D" w:rsidR="005E714A" w:rsidP="00C86E91" w:rsidRDefault="003668D6" w14:paraId="1468D7CB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152B4025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6438F6F8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3748842A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740305FD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3309A6BC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144E3C76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18723D42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71A4BDE7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58163835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67773BAB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2AA00527" w14:textId="77777777">
        <w:trPr>
          <w:trHeight w:val="260"/>
        </w:trPr>
        <w:tc>
          <w:tcPr>
            <w:tcW w:w="2520" w:type="dxa"/>
          </w:tcPr>
          <w:p w:rsidR="003668D6" w:rsidP="00843796" w:rsidRDefault="003029CB" w14:paraId="78677EDA" w14:textId="765A571F">
            <w:r>
              <w:t>I</w:t>
            </w:r>
            <w:r w:rsidR="00CF51F2">
              <w:t>ndividuals</w:t>
            </w:r>
          </w:p>
        </w:tc>
        <w:tc>
          <w:tcPr>
            <w:tcW w:w="1980" w:type="dxa"/>
          </w:tcPr>
          <w:p w:rsidRPr="00DA52F9" w:rsidR="003668D6" w:rsidP="00843796" w:rsidRDefault="00CF51F2" w14:paraId="357A6D94" w14:textId="02CD269E">
            <w:r>
              <w:t>110</w:t>
            </w:r>
          </w:p>
        </w:tc>
        <w:tc>
          <w:tcPr>
            <w:tcW w:w="2070" w:type="dxa"/>
          </w:tcPr>
          <w:p w:rsidRPr="00DA52F9" w:rsidR="003668D6" w:rsidP="00843796" w:rsidRDefault="00CF51F2" w14:paraId="34CA8E53" w14:textId="134F33AC">
            <w:r>
              <w:t>4</w:t>
            </w:r>
          </w:p>
        </w:tc>
        <w:tc>
          <w:tcPr>
            <w:tcW w:w="1620" w:type="dxa"/>
          </w:tcPr>
          <w:p w:rsidR="003668D6" w:rsidP="00843796" w:rsidRDefault="00CF51F2" w14:paraId="59C2CB89" w14:textId="607E10C5">
            <w:r>
              <w:t>5</w:t>
            </w:r>
            <w:r w:rsidR="0073170F">
              <w:t>/60</w:t>
            </w:r>
          </w:p>
        </w:tc>
        <w:tc>
          <w:tcPr>
            <w:tcW w:w="1530" w:type="dxa"/>
          </w:tcPr>
          <w:p w:rsidR="003668D6" w:rsidP="00843796" w:rsidRDefault="00B41B42" w14:paraId="21072841" w14:textId="5F564AC1">
            <w:r>
              <w:t>37</w:t>
            </w:r>
          </w:p>
        </w:tc>
      </w:tr>
      <w:tr w:rsidR="00BD4584" w:rsidTr="00D504C2" w14:paraId="32480EAE" w14:textId="77777777">
        <w:trPr>
          <w:trHeight w:val="289"/>
        </w:trPr>
        <w:tc>
          <w:tcPr>
            <w:tcW w:w="2520" w:type="dxa"/>
          </w:tcPr>
          <w:p w:rsidRPr="002D26E2" w:rsidR="00BD4584" w:rsidP="00BD4584" w:rsidRDefault="00BD4584" w14:paraId="26497610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DA52F9" w:rsidR="00BD4584" w:rsidP="00BD4584" w:rsidRDefault="00DA52F9" w14:paraId="6B431927" w14:textId="34371E08">
            <w:pPr>
              <w:rPr>
                <w:b/>
              </w:rPr>
            </w:pPr>
            <w:r w:rsidRPr="00DA52F9">
              <w:rPr>
                <w:b/>
              </w:rPr>
              <w:t>110</w:t>
            </w:r>
          </w:p>
        </w:tc>
        <w:tc>
          <w:tcPr>
            <w:tcW w:w="2070" w:type="dxa"/>
          </w:tcPr>
          <w:p w:rsidRPr="00DA52F9" w:rsidR="00BD4584" w:rsidP="00BD4584" w:rsidRDefault="003B7B70" w14:paraId="0828E91A" w14:textId="14CB841E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620" w:type="dxa"/>
          </w:tcPr>
          <w:p w:rsidRPr="00BD4584" w:rsidR="00BD4584" w:rsidP="00BD4584" w:rsidRDefault="00BD4584" w14:paraId="24834EB5" w14:textId="258EAEA5">
            <w:pPr>
              <w:rPr>
                <w:b/>
              </w:rPr>
            </w:pPr>
          </w:p>
        </w:tc>
        <w:tc>
          <w:tcPr>
            <w:tcW w:w="1530" w:type="dxa"/>
          </w:tcPr>
          <w:p w:rsidRPr="002D26E2" w:rsidR="00BD4584" w:rsidP="00BD4584" w:rsidRDefault="00B41B42" w14:paraId="5C6F3B70" w14:textId="25F63C3C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F3170F" w:rsidP="00F3170F" w:rsidRDefault="00F3170F" w14:paraId="1167FEA2" w14:textId="77777777"/>
    <w:p w:rsidRPr="00F136F1" w:rsidR="00F136F1" w:rsidP="00F3170F" w:rsidRDefault="00F136F1" w14:paraId="5DA04306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9A036B" w:rsidR="009A036B" w:rsidP="009A036B" w:rsidRDefault="009A036B" w14:paraId="68382388" w14:textId="77777777">
      <w:pPr>
        <w:rPr>
          <w:b/>
        </w:rPr>
      </w:pPr>
    </w:p>
    <w:tbl>
      <w:tblPr>
        <w:tblW w:w="969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2137"/>
      </w:tblGrid>
      <w:tr w:rsidRPr="009A036B" w:rsidR="00CA2010" w:rsidTr="00CB05A1" w14:paraId="7C6149D7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4CB7F6E4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4887648A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0D28E890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756E9B66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2F4C9603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2137" w:type="dxa"/>
          </w:tcPr>
          <w:p w:rsidRPr="009A036B" w:rsidR="00CA2010" w:rsidP="009A036B" w:rsidRDefault="00CA2010" w14:paraId="2823B19B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5E0040" w:rsidTr="00CB05A1" w14:paraId="43BFD57C" w14:textId="77777777">
        <w:trPr>
          <w:trHeight w:val="260"/>
        </w:trPr>
        <w:tc>
          <w:tcPr>
            <w:tcW w:w="2790" w:type="dxa"/>
          </w:tcPr>
          <w:p w:rsidRPr="009A036B" w:rsidR="005E0040" w:rsidP="005E0040" w:rsidRDefault="007E19C0" w14:paraId="3B5AC8B3" w14:textId="72718450">
            <w:r>
              <w:t>Individuals</w:t>
            </w:r>
          </w:p>
        </w:tc>
        <w:tc>
          <w:tcPr>
            <w:tcW w:w="2250" w:type="dxa"/>
          </w:tcPr>
          <w:p w:rsidRPr="009A036B" w:rsidR="005E0040" w:rsidP="005E0040" w:rsidRDefault="00B41B42" w14:paraId="24D23DCA" w14:textId="07EDEBF3">
            <w:r>
              <w:t>37</w:t>
            </w:r>
          </w:p>
        </w:tc>
        <w:tc>
          <w:tcPr>
            <w:tcW w:w="2520" w:type="dxa"/>
          </w:tcPr>
          <w:p w:rsidRPr="009A036B" w:rsidR="005E0040" w:rsidP="005E0040" w:rsidRDefault="00947926" w14:paraId="30994227" w14:textId="17822D61">
            <w:r>
              <w:t>$27.07</w:t>
            </w:r>
          </w:p>
        </w:tc>
        <w:tc>
          <w:tcPr>
            <w:tcW w:w="2137" w:type="dxa"/>
          </w:tcPr>
          <w:p w:rsidRPr="009A036B" w:rsidR="005E0040" w:rsidP="005E0040" w:rsidRDefault="00163F1B" w14:paraId="028BAEDC" w14:textId="7AFAD106">
            <w:r>
              <w:t>$1,002</w:t>
            </w:r>
          </w:p>
        </w:tc>
      </w:tr>
      <w:tr w:rsidRPr="009A036B" w:rsidR="005E0040" w:rsidTr="00CB05A1" w14:paraId="15DB2890" w14:textId="77777777">
        <w:trPr>
          <w:trHeight w:val="274"/>
        </w:trPr>
        <w:tc>
          <w:tcPr>
            <w:tcW w:w="2790" w:type="dxa"/>
          </w:tcPr>
          <w:p w:rsidRPr="009A036B" w:rsidR="005E0040" w:rsidP="005E0040" w:rsidRDefault="005E0040" w14:paraId="316DCC4B" w14:textId="0331D389"/>
        </w:tc>
        <w:tc>
          <w:tcPr>
            <w:tcW w:w="2250" w:type="dxa"/>
          </w:tcPr>
          <w:p w:rsidRPr="009A036B" w:rsidR="005E0040" w:rsidP="005E0040" w:rsidRDefault="005E0040" w14:paraId="5C432659" w14:textId="298CE817"/>
        </w:tc>
        <w:tc>
          <w:tcPr>
            <w:tcW w:w="2520" w:type="dxa"/>
          </w:tcPr>
          <w:p w:rsidRPr="009A036B" w:rsidR="005E0040" w:rsidP="005E0040" w:rsidRDefault="005E0040" w14:paraId="1722FAA7" w14:textId="1DB0927A"/>
        </w:tc>
        <w:tc>
          <w:tcPr>
            <w:tcW w:w="2137" w:type="dxa"/>
          </w:tcPr>
          <w:p w:rsidRPr="009A036B" w:rsidR="005E0040" w:rsidP="005E0040" w:rsidRDefault="005E0040" w14:paraId="33F695BC" w14:textId="19F00DD1"/>
        </w:tc>
      </w:tr>
      <w:tr w:rsidRPr="009A036B" w:rsidR="005E0040" w:rsidTr="00CB05A1" w14:paraId="665DDBA1" w14:textId="77777777">
        <w:trPr>
          <w:trHeight w:val="289"/>
        </w:trPr>
        <w:tc>
          <w:tcPr>
            <w:tcW w:w="2790" w:type="dxa"/>
          </w:tcPr>
          <w:p w:rsidRPr="009A036B" w:rsidR="005E0040" w:rsidP="005E0040" w:rsidRDefault="005E0040" w14:paraId="13AFD8EF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5E0040" w:rsidP="005E0040" w:rsidRDefault="005E0040" w14:paraId="5C21FA47" w14:textId="294EC6F2">
            <w:pPr>
              <w:rPr>
                <w:b/>
              </w:rPr>
            </w:pPr>
          </w:p>
        </w:tc>
        <w:tc>
          <w:tcPr>
            <w:tcW w:w="2520" w:type="dxa"/>
          </w:tcPr>
          <w:p w:rsidRPr="005E0040" w:rsidR="005E0040" w:rsidP="005E0040" w:rsidRDefault="005E0040" w14:paraId="1E8B4B23" w14:textId="4E32F859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:rsidRPr="005E0040" w:rsidR="005E0040" w:rsidP="005E0040" w:rsidRDefault="005E0040" w14:paraId="60CE5348" w14:textId="146E3E49">
            <w:pPr>
              <w:rPr>
                <w:b/>
                <w:bCs/>
              </w:rPr>
            </w:pPr>
          </w:p>
        </w:tc>
      </w:tr>
    </w:tbl>
    <w:p w:rsidRPr="009A036B" w:rsidR="009A036B" w:rsidP="009A036B" w:rsidRDefault="00CA2010" w14:paraId="04A805D2" w14:textId="7ABA82A9">
      <w:r>
        <w:t>*Cite source per bls.gov if applicable</w:t>
      </w:r>
      <w:r w:rsidR="00947926">
        <w:t xml:space="preserve"> </w:t>
      </w:r>
      <w:hyperlink w:history="1" w:anchor="00-0000" r:id="rId8">
        <w:r w:rsidRPr="00EC00B8" w:rsidR="00947926">
          <w:rPr>
            <w:rStyle w:val="Hyperlink"/>
            <w:rFonts w:ascii="Calibri" w:hAnsi="Calibri"/>
            <w:bCs/>
            <w:sz w:val="20"/>
            <w:szCs w:val="20"/>
            <w:lang w:eastAsia="zh-CN"/>
          </w:rPr>
          <w:t>https://www.bls.gov/oes/2020/May/oes_nat.htm#00-0000</w:t>
        </w:r>
      </w:hyperlink>
      <w:r w:rsidRPr="00276A46" w:rsidR="00947926">
        <w:rPr>
          <w:rFonts w:ascii="Calibri" w:hAnsi="Calibri"/>
          <w:bCs/>
          <w:sz w:val="20"/>
          <w:szCs w:val="20"/>
          <w:lang w:eastAsia="zh-CN"/>
        </w:rPr>
        <w:t>.</w:t>
      </w:r>
    </w:p>
    <w:p w:rsidR="009A036B" w:rsidP="00F3170F" w:rsidRDefault="009A036B" w14:paraId="3CF3F798" w14:textId="77777777"/>
    <w:p w:rsidR="00441434" w:rsidP="00F3170F" w:rsidRDefault="00441434" w14:paraId="766E65CC" w14:textId="77777777"/>
    <w:p w:rsidR="005E714A" w:rsidRDefault="001C39F7" w14:paraId="04442C50" w14:textId="0FE07DC0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</w:t>
      </w:r>
      <w:r w:rsidR="000819F9">
        <w:t xml:space="preserve"> </w:t>
      </w:r>
      <w:r w:rsidRPr="000819F9" w:rsidR="000819F9">
        <w:rPr>
          <w:u w:val="single"/>
        </w:rPr>
        <w:t>$</w:t>
      </w:r>
      <w:r w:rsidR="00DE7DF2">
        <w:rPr>
          <w:u w:val="single"/>
        </w:rPr>
        <w:t>2</w:t>
      </w:r>
      <w:r w:rsidR="00FF5205">
        <w:rPr>
          <w:u w:val="single"/>
        </w:rPr>
        <w:t>63</w:t>
      </w:r>
      <w:r w:rsidR="00DE7DF2">
        <w:rPr>
          <w:u w:val="single"/>
        </w:rPr>
        <w:t>.00</w:t>
      </w:r>
      <w:r w:rsidR="000819F9">
        <w:t>.</w:t>
      </w:r>
    </w:p>
    <w:p w:rsidRPr="009A036B" w:rsidR="009A036B" w:rsidP="009A036B" w:rsidRDefault="009A036B" w14:paraId="4664AD70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1F5E7A41" w14:textId="77777777"/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31"/>
        <w:gridCol w:w="1296"/>
        <w:gridCol w:w="1363"/>
        <w:gridCol w:w="1355"/>
        <w:gridCol w:w="1532"/>
      </w:tblGrid>
      <w:tr w:rsidRPr="009A036B" w:rsidR="009A036B" w:rsidTr="00CB05A1" w14:paraId="0D7419C4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684DDEB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32422CBB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2FBAC9C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BDC2BA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883039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52D05C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B447CC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CB05A1" w14:paraId="33A5E59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A52F9" w:rsidR="009A036B" w:rsidP="00215B38" w:rsidRDefault="009A036B" w14:paraId="3A0D39AA" w14:textId="77777777">
            <w:pPr>
              <w:rPr>
                <w:bCs/>
              </w:rPr>
            </w:pPr>
            <w:r w:rsidRPr="00DA52F9">
              <w:rPr>
                <w:bCs/>
              </w:rPr>
              <w:t>Federal Oversight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A52F9" w:rsidR="009A036B" w:rsidP="00215B38" w:rsidRDefault="009A036B" w14:paraId="2869F0D9" w14:textId="243919DB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A52F9" w:rsidR="009A036B" w:rsidP="00215B38" w:rsidRDefault="009A036B" w14:paraId="03497041" w14:textId="3DA1A9B2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A52F9" w:rsidR="009A036B" w:rsidP="00215B38" w:rsidRDefault="009A036B" w14:paraId="336422AA" w14:textId="29A29617"/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215B38" w:rsidRDefault="009A036B" w14:paraId="23929E51" w14:textId="77777777"/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15B38" w:rsidRDefault="009A036B" w14:paraId="4AD049A4" w14:textId="5D64C04D"/>
        </w:tc>
      </w:tr>
      <w:tr w:rsidRPr="009A036B" w:rsidR="00163F1B" w:rsidTr="00CB05A1" w14:paraId="0EA5421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163F1B" w:rsidP="00163F1B" w:rsidRDefault="00163F1B" w14:paraId="7E663AA7" w14:textId="7D3242E7">
            <w:r w:rsidRPr="003574FE">
              <w:t>Management Analyst</w:t>
            </w:r>
            <w:r w:rsidRPr="003574FE" w:rsidDel="00163F1B"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163F1B" w14:paraId="32E52695" w14:textId="0C3D9E91">
            <w:pPr>
              <w:jc w:val="center"/>
            </w:pPr>
            <w:r w:rsidRPr="00DA52F9">
              <w:t>13/6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163F1B" w:rsidP="00CB05A1" w:rsidRDefault="00163F1B" w14:paraId="1C05FD2B" w14:textId="32F8E3E3">
            <w:pPr>
              <w:jc w:val="center"/>
            </w:pPr>
            <w:r w:rsidRPr="00DA52F9">
              <w:t>107,501.00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163F1B" w:rsidP="00CB05A1" w:rsidRDefault="00163F1B" w14:paraId="2CCE28B3" w14:textId="11AFC78A">
            <w:pPr>
              <w:jc w:val="center"/>
            </w:pPr>
            <w:r>
              <w:t>.10</w:t>
            </w:r>
            <w:r w:rsidRPr="00DA52F9"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63F1B" w:rsidP="00163F1B" w:rsidRDefault="00163F1B" w14:paraId="7BFC18D7" w14:textId="77777777"/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163F1B" w14:paraId="1151EAB1" w14:textId="1F86A2F2">
            <w:pPr>
              <w:jc w:val="center"/>
            </w:pPr>
            <w:r>
              <w:t>$108</w:t>
            </w:r>
          </w:p>
        </w:tc>
      </w:tr>
      <w:tr w:rsidRPr="009A036B" w:rsidR="00163F1B" w:rsidTr="00CB05A1" w14:paraId="788262D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74E48819" w14:textId="2B2743AC">
            <w:r w:rsidRPr="003574FE">
              <w:t>Management Analyst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163F1B" w14:paraId="7E4625EF" w14:textId="1C5BDA7A">
            <w:pPr>
              <w:jc w:val="center"/>
            </w:pPr>
            <w:r>
              <w:t>13/8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CB05A1" w:rsidRDefault="00163F1B" w14:paraId="642A2F98" w14:textId="0AD94E9E">
            <w:pPr>
              <w:jc w:val="center"/>
            </w:pPr>
            <w:r w:rsidRPr="003574FE">
              <w:t>127,885.00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CB05A1" w:rsidRDefault="00163F1B" w14:paraId="4170B81B" w14:textId="0B25DF08">
            <w:pPr>
              <w:jc w:val="center"/>
            </w:pPr>
            <w:r>
              <w:t>.05%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63F1B" w:rsidP="00163F1B" w:rsidRDefault="00163F1B" w14:paraId="1C53AE24" w14:textId="77777777"/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163F1B" w14:paraId="514C55BF" w14:textId="15C8107E">
            <w:pPr>
              <w:jc w:val="center"/>
            </w:pPr>
            <w:r>
              <w:t>$</w:t>
            </w:r>
            <w:r w:rsidR="00DE7DF2">
              <w:t>64</w:t>
            </w:r>
          </w:p>
        </w:tc>
      </w:tr>
      <w:tr w:rsidRPr="009A036B" w:rsidR="00163F1B" w:rsidTr="00CB05A1" w14:paraId="5DEA6B3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3D16C5DF" w14:textId="2BE7B966">
            <w:r w:rsidRPr="003574FE">
              <w:t>HR Specialist (Info Sys)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163F1B" w14:paraId="2DB1C7EA" w14:textId="73C041DD">
            <w:pPr>
              <w:jc w:val="center"/>
            </w:pPr>
            <w:r>
              <w:t>12/1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CB05A1" w:rsidRDefault="00163F1B" w14:paraId="184F35ED" w14:textId="31ABA3E3">
            <w:pPr>
              <w:jc w:val="center"/>
            </w:pPr>
            <w:r w:rsidRPr="003574FE">
              <w:t>87,198.00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CB05A1" w:rsidRDefault="00163F1B" w14:paraId="31D47760" w14:textId="372D7775">
            <w:pPr>
              <w:jc w:val="center"/>
            </w:pPr>
            <w:r>
              <w:t>.05%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63F1B" w:rsidP="00163F1B" w:rsidRDefault="00163F1B" w14:paraId="3EF47325" w14:textId="77777777"/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DE7DF2" w14:paraId="42F2210B" w14:textId="32A65E04">
            <w:pPr>
              <w:jc w:val="center"/>
            </w:pPr>
            <w:r>
              <w:t>$44</w:t>
            </w:r>
          </w:p>
        </w:tc>
      </w:tr>
      <w:tr w:rsidRPr="009A036B" w:rsidR="00163F1B" w:rsidTr="00CB05A1" w14:paraId="052B07A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5E73568A" w14:textId="271ED8A1"/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163F1B" w:rsidRDefault="00163F1B" w14:paraId="09CBD9E8" w14:textId="7B668590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6C7350BA" w14:textId="3438A033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1EECD94C" w14:textId="0D9F52D0"/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63F1B" w:rsidP="00163F1B" w:rsidRDefault="00163F1B" w14:paraId="7F58F778" w14:textId="77777777"/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163F1B" w14:paraId="131AC602" w14:textId="161A64F2">
            <w:pPr>
              <w:jc w:val="center"/>
            </w:pPr>
          </w:p>
        </w:tc>
      </w:tr>
      <w:tr w:rsidRPr="009A036B" w:rsidR="00163F1B" w:rsidTr="00CB05A1" w14:paraId="344EB80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05206DCF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63F1B" w:rsidP="00163F1B" w:rsidRDefault="00163F1B" w14:paraId="48215A97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429D3C2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25189FB2" w14:textId="77777777"/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163F1B" w:rsidRDefault="00163F1B" w14:paraId="3CB3441C" w14:textId="77777777"/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DE7DF2" w14:paraId="4448B4D9" w14:textId="71D82DB8">
            <w:pPr>
              <w:jc w:val="center"/>
            </w:pPr>
            <w:r>
              <w:t>0</w:t>
            </w:r>
          </w:p>
        </w:tc>
      </w:tr>
      <w:tr w:rsidRPr="009A036B" w:rsidR="00163F1B" w:rsidTr="00CB05A1" w14:paraId="385FEEE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4AF6E485" w14:textId="77777777"/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163F1B" w:rsidRDefault="00163F1B" w14:paraId="7CA9A571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133CEC2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233CFAE0" w14:textId="77777777"/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163F1B" w:rsidRDefault="00163F1B" w14:paraId="75712143" w14:textId="77777777"/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163F1B" w14:paraId="101608E5" w14:textId="77777777">
            <w:pPr>
              <w:jc w:val="center"/>
            </w:pPr>
          </w:p>
        </w:tc>
      </w:tr>
      <w:tr w:rsidRPr="009A036B" w:rsidR="00163F1B" w:rsidTr="00CB05A1" w14:paraId="182DA02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535D69EA" w14:textId="77777777">
            <w:r w:rsidRPr="009A036B">
              <w:t>Travel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63F1B" w:rsidP="00163F1B" w:rsidRDefault="00163F1B" w14:paraId="41B506DB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58D4D90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7896905F" w14:textId="77777777"/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63F1B" w:rsidP="00163F1B" w:rsidRDefault="00163F1B" w14:paraId="432D7A82" w14:textId="77777777"/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DE7DF2" w14:paraId="42C19994" w14:textId="0D5ED44C">
            <w:pPr>
              <w:jc w:val="center"/>
            </w:pPr>
            <w:r>
              <w:t>0</w:t>
            </w:r>
          </w:p>
        </w:tc>
      </w:tr>
      <w:tr w:rsidRPr="009A036B" w:rsidR="00163F1B" w:rsidTr="00FF5205" w14:paraId="51629A8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5205" w:rsidP="00163F1B" w:rsidRDefault="00163F1B" w14:paraId="5D0AD7BD" w14:textId="77777777">
            <w:r w:rsidRPr="009A036B">
              <w:t>Other Cost</w:t>
            </w:r>
            <w:r w:rsidR="00FF5205">
              <w:t xml:space="preserve"> – </w:t>
            </w:r>
          </w:p>
          <w:p w:rsidRPr="009A036B" w:rsidR="00163F1B" w:rsidP="00163F1B" w:rsidRDefault="00FF5205" w14:paraId="2964D1E7" w14:textId="01F98909">
            <w:r>
              <w:t>Survey Tool Licensing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63F1B" w:rsidP="00163F1B" w:rsidRDefault="00163F1B" w14:paraId="1BD56270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642E1C2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57FB1095" w14:textId="77777777"/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63F1B" w:rsidP="00163F1B" w:rsidRDefault="00163F1B" w14:paraId="55B80D1A" w14:textId="77777777"/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9A036B" w:rsidR="00163F1B" w:rsidP="00FF5205" w:rsidRDefault="003E6B46" w14:paraId="10DB8AA5" w14:textId="387C1D90">
            <w:pPr>
              <w:jc w:val="center"/>
            </w:pPr>
            <w:r>
              <w:t>$48</w:t>
            </w:r>
          </w:p>
        </w:tc>
      </w:tr>
      <w:tr w:rsidRPr="009A036B" w:rsidR="00163F1B" w:rsidTr="00CB05A1" w14:paraId="2ED7EEC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63F1B" w:rsidP="00163F1B" w:rsidRDefault="00163F1B" w14:paraId="4ECE3A67" w14:textId="77777777">
            <w:pPr>
              <w:rPr>
                <w:b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63F1B" w:rsidP="00163F1B" w:rsidRDefault="00163F1B" w14:paraId="58A35EB4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63F1B" w:rsidP="00163F1B" w:rsidRDefault="00163F1B" w14:paraId="0E74FEB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63F1B" w:rsidP="00163F1B" w:rsidRDefault="00163F1B" w14:paraId="395BF4AA" w14:textId="77777777">
            <w:pPr>
              <w:rPr>
                <w:b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63F1B" w:rsidP="00163F1B" w:rsidRDefault="00163F1B" w14:paraId="17C5FD38" w14:textId="77777777">
            <w:pPr>
              <w:rPr>
                <w:b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163F1B" w14:paraId="2190108E" w14:textId="77777777">
            <w:pPr>
              <w:jc w:val="center"/>
              <w:rPr>
                <w:b/>
              </w:rPr>
            </w:pPr>
          </w:p>
        </w:tc>
      </w:tr>
      <w:tr w:rsidRPr="009A036B" w:rsidR="00163F1B" w:rsidTr="00CB05A1" w14:paraId="3D85D9E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163F1B" w:rsidP="00163F1B" w:rsidRDefault="00163F1B" w14:paraId="2CF118CC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163F1B" w:rsidP="00163F1B" w:rsidRDefault="00163F1B" w14:paraId="38511A49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63F1B" w:rsidP="00163F1B" w:rsidRDefault="00163F1B" w14:paraId="1A6A23A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63F1B" w:rsidP="00163F1B" w:rsidRDefault="00163F1B" w14:paraId="74E5D1C5" w14:textId="77777777"/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163F1B" w:rsidP="00163F1B" w:rsidRDefault="00163F1B" w14:paraId="2FAD5D31" w14:textId="77777777"/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63F1B" w:rsidP="00CB05A1" w:rsidRDefault="00DE7DF2" w14:paraId="28DCE690" w14:textId="169AD101">
            <w:pPr>
              <w:jc w:val="center"/>
            </w:pPr>
            <w:r>
              <w:t>$2</w:t>
            </w:r>
            <w:r w:rsidR="003E6B46">
              <w:t>63</w:t>
            </w:r>
          </w:p>
        </w:tc>
      </w:tr>
    </w:tbl>
    <w:p w:rsidRPr="009A036B" w:rsidR="009A036B" w:rsidP="009A036B" w:rsidRDefault="002D74B4" w14:paraId="530590F1" w14:textId="77777777">
      <w:bookmarkStart w:name="_Hlk31117769" w:id="1"/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9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</w:t>
      </w:r>
      <w:r w:rsidR="00410967">
        <w:rPr>
          <w:sz w:val="18"/>
          <w:szCs w:val="18"/>
        </w:rPr>
        <w:t>20</w:t>
      </w:r>
      <w:r w:rsidRPr="009747F4">
        <w:rPr>
          <w:sz w:val="18"/>
          <w:szCs w:val="18"/>
        </w:rPr>
        <w:t>/DCB.pdf</w:t>
      </w:r>
      <w:r>
        <w:t xml:space="preserve">  </w:t>
      </w:r>
      <w:r>
        <w:rPr>
          <w:sz w:val="18"/>
          <w:szCs w:val="18"/>
        </w:rPr>
        <w:t xml:space="preserve">    </w:t>
      </w:r>
    </w:p>
    <w:bookmarkEnd w:id="1"/>
    <w:p w:rsidR="009A036B" w:rsidRDefault="009A036B" w14:paraId="17964A77" w14:textId="52D6D978">
      <w:pPr>
        <w:rPr>
          <w:b/>
        </w:rPr>
      </w:pPr>
    </w:p>
    <w:p w:rsidR="003E6B46" w:rsidRDefault="003E6B46" w14:paraId="1761A351" w14:textId="4F59AF56">
      <w:pPr>
        <w:rPr>
          <w:b/>
        </w:rPr>
      </w:pPr>
    </w:p>
    <w:p w:rsidR="00ED6492" w:rsidRDefault="00ED6492" w14:paraId="7BB373B2" w14:textId="5B777B8E">
      <w:pPr>
        <w:rPr>
          <w:b/>
          <w:bCs/>
          <w:u w:val="single"/>
        </w:rPr>
      </w:pPr>
    </w:p>
    <w:p w:rsidR="003E6B46" w:rsidRDefault="003E6B46" w14:paraId="11CBCF28" w14:textId="77777777">
      <w:pPr>
        <w:rPr>
          <w:b/>
          <w:bCs/>
          <w:u w:val="single"/>
        </w:rPr>
      </w:pPr>
    </w:p>
    <w:p w:rsidR="0069403B" w:rsidP="00F06866" w:rsidRDefault="00ED6492" w14:paraId="2E6A63E8" w14:textId="01016AC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B05A1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42879904" w14:textId="77777777">
      <w:pPr>
        <w:rPr>
          <w:b/>
        </w:rPr>
      </w:pPr>
    </w:p>
    <w:p w:rsidR="00F06866" w:rsidP="00F06866" w:rsidRDefault="00636621" w14:paraId="67061135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ECF0787" w14:textId="0468C10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863930">
        <w:t>X</w:t>
      </w:r>
      <w:r>
        <w:t>] No</w:t>
      </w:r>
    </w:p>
    <w:p w:rsidR="00636621" w:rsidP="00636621" w:rsidRDefault="00636621" w14:paraId="1760A7C1" w14:textId="77777777">
      <w:pPr>
        <w:pStyle w:val="ListParagraph"/>
      </w:pPr>
    </w:p>
    <w:p w:rsidR="00636621" w:rsidP="001B0AAA" w:rsidRDefault="00636621" w14:paraId="7210453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753B5DD6" w14:textId="77777777">
      <w:pPr>
        <w:pStyle w:val="ListParagraph"/>
      </w:pPr>
    </w:p>
    <w:p w:rsidR="00A403BB" w:rsidP="00A403BB" w:rsidRDefault="00A403BB" w14:paraId="018BD075" w14:textId="77777777"/>
    <w:p w:rsidR="00A403BB" w:rsidP="00A403BB" w:rsidRDefault="00A403BB" w14:paraId="6BC8D9C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3571610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EF62B5F" w14:textId="60D9B518">
      <w:pPr>
        <w:ind w:left="720"/>
      </w:pPr>
      <w:r>
        <w:t>[</w:t>
      </w:r>
      <w:r w:rsidR="00863930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4EAA0E6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082B52AD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10F7664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93D8F01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59A3E770" w14:textId="33F08B98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863930">
        <w:t>X</w:t>
      </w:r>
      <w:r>
        <w:t>] No</w:t>
      </w:r>
    </w:p>
    <w:p w:rsidR="00F24CFC" w:rsidP="00F24CFC" w:rsidRDefault="00F24CFC" w14:paraId="7FF2A354" w14:textId="77777777">
      <w:pPr>
        <w:pStyle w:val="ListParagraph"/>
        <w:ind w:left="360"/>
      </w:pPr>
      <w:r>
        <w:t xml:space="preserve"> </w:t>
      </w:r>
    </w:p>
    <w:p w:rsidRPr="00E02EF9" w:rsidR="005E714A" w:rsidP="00E02EF9" w:rsidRDefault="00F24CFC" w14:paraId="3D0A6E42" w14:textId="606693B0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E02EF9"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65DF" w14:textId="77777777" w:rsidR="0015107D" w:rsidRDefault="0015107D">
      <w:r>
        <w:separator/>
      </w:r>
    </w:p>
  </w:endnote>
  <w:endnote w:type="continuationSeparator" w:id="0">
    <w:p w14:paraId="5ED7BF0C" w14:textId="77777777" w:rsidR="0015107D" w:rsidRDefault="0015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341A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3CE0" w14:textId="77777777" w:rsidR="0015107D" w:rsidRDefault="0015107D">
      <w:r>
        <w:separator/>
      </w:r>
    </w:p>
  </w:footnote>
  <w:footnote w:type="continuationSeparator" w:id="0">
    <w:p w14:paraId="19BECA57" w14:textId="77777777" w:rsidR="0015107D" w:rsidRDefault="0015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419"/>
    <w:multiLevelType w:val="hybridMultilevel"/>
    <w:tmpl w:val="DA14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6092"/>
    <w:rsid w:val="00023A57"/>
    <w:rsid w:val="00047A64"/>
    <w:rsid w:val="00067329"/>
    <w:rsid w:val="000722CE"/>
    <w:rsid w:val="000819F9"/>
    <w:rsid w:val="000913EC"/>
    <w:rsid w:val="000B2838"/>
    <w:rsid w:val="000D44CA"/>
    <w:rsid w:val="000E200B"/>
    <w:rsid w:val="000E7AC6"/>
    <w:rsid w:val="000F68BE"/>
    <w:rsid w:val="00113A81"/>
    <w:rsid w:val="0015107D"/>
    <w:rsid w:val="00162F83"/>
    <w:rsid w:val="00163F1B"/>
    <w:rsid w:val="00177AEA"/>
    <w:rsid w:val="001855D1"/>
    <w:rsid w:val="001927A4"/>
    <w:rsid w:val="00194AC6"/>
    <w:rsid w:val="001A23B0"/>
    <w:rsid w:val="001A25CC"/>
    <w:rsid w:val="001A4900"/>
    <w:rsid w:val="001B0AAA"/>
    <w:rsid w:val="001C1B50"/>
    <w:rsid w:val="001C39F7"/>
    <w:rsid w:val="00215B38"/>
    <w:rsid w:val="002348F3"/>
    <w:rsid w:val="00237B48"/>
    <w:rsid w:val="0024521E"/>
    <w:rsid w:val="00263C3D"/>
    <w:rsid w:val="0027274F"/>
    <w:rsid w:val="00274D0B"/>
    <w:rsid w:val="00284110"/>
    <w:rsid w:val="002B3C95"/>
    <w:rsid w:val="002C4D80"/>
    <w:rsid w:val="002D0B92"/>
    <w:rsid w:val="002D26E2"/>
    <w:rsid w:val="002D74B4"/>
    <w:rsid w:val="002E48F5"/>
    <w:rsid w:val="003005C6"/>
    <w:rsid w:val="003029CB"/>
    <w:rsid w:val="003574FE"/>
    <w:rsid w:val="003668D6"/>
    <w:rsid w:val="003932D1"/>
    <w:rsid w:val="003A7074"/>
    <w:rsid w:val="003B7B70"/>
    <w:rsid w:val="003D5BBE"/>
    <w:rsid w:val="003E3C61"/>
    <w:rsid w:val="003E6B46"/>
    <w:rsid w:val="003F1C5B"/>
    <w:rsid w:val="00410967"/>
    <w:rsid w:val="00420E91"/>
    <w:rsid w:val="00431EB1"/>
    <w:rsid w:val="00434E33"/>
    <w:rsid w:val="00441434"/>
    <w:rsid w:val="0045264C"/>
    <w:rsid w:val="004876EC"/>
    <w:rsid w:val="004A44F3"/>
    <w:rsid w:val="004B1EB8"/>
    <w:rsid w:val="004D6E14"/>
    <w:rsid w:val="005009B0"/>
    <w:rsid w:val="005A1006"/>
    <w:rsid w:val="005A1580"/>
    <w:rsid w:val="005A772A"/>
    <w:rsid w:val="005E0040"/>
    <w:rsid w:val="005E714A"/>
    <w:rsid w:val="006032A7"/>
    <w:rsid w:val="006140A0"/>
    <w:rsid w:val="00621F05"/>
    <w:rsid w:val="00633F74"/>
    <w:rsid w:val="00636329"/>
    <w:rsid w:val="00636621"/>
    <w:rsid w:val="00642B49"/>
    <w:rsid w:val="006832D9"/>
    <w:rsid w:val="00686301"/>
    <w:rsid w:val="0069403B"/>
    <w:rsid w:val="006A4DD7"/>
    <w:rsid w:val="006B7B34"/>
    <w:rsid w:val="006B7C38"/>
    <w:rsid w:val="006B7F46"/>
    <w:rsid w:val="006D5F47"/>
    <w:rsid w:val="006E78DD"/>
    <w:rsid w:val="006F3DDE"/>
    <w:rsid w:val="00704678"/>
    <w:rsid w:val="0073170F"/>
    <w:rsid w:val="00735A9C"/>
    <w:rsid w:val="0074005C"/>
    <w:rsid w:val="007425E7"/>
    <w:rsid w:val="00744FDB"/>
    <w:rsid w:val="00766D95"/>
    <w:rsid w:val="00770C22"/>
    <w:rsid w:val="0077703F"/>
    <w:rsid w:val="007C07BE"/>
    <w:rsid w:val="007E19C0"/>
    <w:rsid w:val="00802607"/>
    <w:rsid w:val="008101A5"/>
    <w:rsid w:val="00811789"/>
    <w:rsid w:val="00822664"/>
    <w:rsid w:val="00843796"/>
    <w:rsid w:val="0085116A"/>
    <w:rsid w:val="00863930"/>
    <w:rsid w:val="008670DC"/>
    <w:rsid w:val="00887320"/>
    <w:rsid w:val="00895229"/>
    <w:rsid w:val="008F0203"/>
    <w:rsid w:val="008F50D4"/>
    <w:rsid w:val="009239AA"/>
    <w:rsid w:val="00935ADA"/>
    <w:rsid w:val="00946B6C"/>
    <w:rsid w:val="00947926"/>
    <w:rsid w:val="00955A71"/>
    <w:rsid w:val="0096108F"/>
    <w:rsid w:val="009A036B"/>
    <w:rsid w:val="009C13B9"/>
    <w:rsid w:val="009D01A2"/>
    <w:rsid w:val="009D195B"/>
    <w:rsid w:val="009F2FFD"/>
    <w:rsid w:val="009F5923"/>
    <w:rsid w:val="00A22873"/>
    <w:rsid w:val="00A229F1"/>
    <w:rsid w:val="00A403BB"/>
    <w:rsid w:val="00A50F89"/>
    <w:rsid w:val="00A674DF"/>
    <w:rsid w:val="00A83AA6"/>
    <w:rsid w:val="00AC60E8"/>
    <w:rsid w:val="00AE14B1"/>
    <w:rsid w:val="00AE1809"/>
    <w:rsid w:val="00B41B42"/>
    <w:rsid w:val="00B42AEB"/>
    <w:rsid w:val="00B5100F"/>
    <w:rsid w:val="00B52628"/>
    <w:rsid w:val="00B80D76"/>
    <w:rsid w:val="00BA2105"/>
    <w:rsid w:val="00BA7E06"/>
    <w:rsid w:val="00BB43B5"/>
    <w:rsid w:val="00BB6219"/>
    <w:rsid w:val="00BC676D"/>
    <w:rsid w:val="00BD290F"/>
    <w:rsid w:val="00BD4584"/>
    <w:rsid w:val="00BF622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05A1"/>
    <w:rsid w:val="00CB1078"/>
    <w:rsid w:val="00CC6FAF"/>
    <w:rsid w:val="00CD3DA1"/>
    <w:rsid w:val="00CD3F0A"/>
    <w:rsid w:val="00CF51F2"/>
    <w:rsid w:val="00D14579"/>
    <w:rsid w:val="00D24698"/>
    <w:rsid w:val="00D459FD"/>
    <w:rsid w:val="00D504C2"/>
    <w:rsid w:val="00D6383F"/>
    <w:rsid w:val="00D662C8"/>
    <w:rsid w:val="00DA52F9"/>
    <w:rsid w:val="00DB1916"/>
    <w:rsid w:val="00DB303E"/>
    <w:rsid w:val="00DB4A58"/>
    <w:rsid w:val="00DB59D0"/>
    <w:rsid w:val="00DC2F2F"/>
    <w:rsid w:val="00DC33D3"/>
    <w:rsid w:val="00DC64D3"/>
    <w:rsid w:val="00DE7DF2"/>
    <w:rsid w:val="00E02EF9"/>
    <w:rsid w:val="00E26329"/>
    <w:rsid w:val="00E3077D"/>
    <w:rsid w:val="00E40B50"/>
    <w:rsid w:val="00E50293"/>
    <w:rsid w:val="00E65FFC"/>
    <w:rsid w:val="00E670E2"/>
    <w:rsid w:val="00E80951"/>
    <w:rsid w:val="00E86CC6"/>
    <w:rsid w:val="00E96AFA"/>
    <w:rsid w:val="00EB56B3"/>
    <w:rsid w:val="00EC24F0"/>
    <w:rsid w:val="00ED6492"/>
    <w:rsid w:val="00EF2095"/>
    <w:rsid w:val="00F06866"/>
    <w:rsid w:val="00F136F1"/>
    <w:rsid w:val="00F14375"/>
    <w:rsid w:val="00F15956"/>
    <w:rsid w:val="00F24CFC"/>
    <w:rsid w:val="00F3170F"/>
    <w:rsid w:val="00F94D8C"/>
    <w:rsid w:val="00F976B0"/>
    <w:rsid w:val="00FA6DE7"/>
    <w:rsid w:val="00FB1FC4"/>
    <w:rsid w:val="00FC0A8E"/>
    <w:rsid w:val="00FE2FA6"/>
    <w:rsid w:val="00FE3DF2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16F32"/>
  <w15:chartTrackingRefBased/>
  <w15:docId w15:val="{4B97B333-FEB9-4777-9FCF-B47B8675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9479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20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4882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2010-10-04T16:59:00Z</cp:lastPrinted>
  <dcterms:created xsi:type="dcterms:W3CDTF">2022-01-28T22:22:00Z</dcterms:created>
  <dcterms:modified xsi:type="dcterms:W3CDTF">2022-01-28T22:24:00Z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