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4EC14DA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Pr="009239AA" w:rsidR="00E50293" w:rsidP="400C1711" w:rsidRDefault="00AF33DE" w14:paraId="68CE1541" w14:textId="29E4D9B7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02ACA9D6" wp14:anchorId="159056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7BFC5225"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D4FA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400C1711" w:rsidR="005E714A">
        <w:rPr>
          <w:b/>
          <w:bCs/>
        </w:rPr>
        <w:t>TITLE OF INFORMATION COLLECTION:</w:t>
      </w:r>
      <w:r w:rsidR="005E714A">
        <w:t xml:space="preserve">  </w:t>
      </w:r>
      <w:r w:rsidR="0050665F">
        <w:t>N</w:t>
      </w:r>
      <w:r w:rsidR="007C64E1">
        <w:t>IAMS</w:t>
      </w:r>
      <w:r w:rsidR="000F1358">
        <w:t xml:space="preserve"> </w:t>
      </w:r>
      <w:r w:rsidR="00C30F3E">
        <w:t>Website Feedback Survey</w:t>
      </w:r>
    </w:p>
    <w:p w:rsidR="005E714A" w:rsidRDefault="005E714A" w14:paraId="451240EB" w14:textId="77777777"/>
    <w:p w:rsidR="001B0AAA" w:rsidRDefault="00F15956" w14:paraId="68515D3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30F3E" w:rsidP="007D5376" w:rsidRDefault="008166D2" w14:paraId="61A7B7F3" w14:textId="013DC2EE">
      <w:r>
        <w:t xml:space="preserve">The purpose of this </w:t>
      </w:r>
      <w:r w:rsidR="00213521">
        <w:t>voluntary web-based survey</w:t>
      </w:r>
      <w:r>
        <w:t xml:space="preserve"> is to </w:t>
      </w:r>
      <w:r w:rsidR="007D5376">
        <w:t xml:space="preserve">garner </w:t>
      </w:r>
      <w:r w:rsidR="00EB6322">
        <w:t xml:space="preserve">routine </w:t>
      </w:r>
      <w:r w:rsidR="007D5376">
        <w:t>feedback from</w:t>
      </w:r>
      <w:r w:rsidR="00BE0ADE">
        <w:t xml:space="preserve"> individuals who visit</w:t>
      </w:r>
      <w:r w:rsidR="00C30F3E">
        <w:t xml:space="preserve"> the National Institute o</w:t>
      </w:r>
      <w:r w:rsidR="007D5376">
        <w:t>f</w:t>
      </w:r>
      <w:r w:rsidR="00C30F3E">
        <w:t xml:space="preserve"> </w:t>
      </w:r>
      <w:r w:rsidR="00F8447F">
        <w:t>Arthritis and Musculoskeletal and Skin Diseases</w:t>
      </w:r>
      <w:r w:rsidR="00C30F3E">
        <w:t xml:space="preserve"> (NIA</w:t>
      </w:r>
      <w:r w:rsidR="00F8447F">
        <w:t>MS</w:t>
      </w:r>
      <w:r w:rsidR="00C30F3E">
        <w:t xml:space="preserve">) website </w:t>
      </w:r>
      <w:r w:rsidR="00BE0ADE">
        <w:t>(</w:t>
      </w:r>
      <w:hyperlink w:history="1" r:id="rId11">
        <w:r w:rsidRPr="007D5376" w:rsidR="00BE0ADE">
          <w:rPr>
            <w:rStyle w:val="Hyperlink"/>
          </w:rPr>
          <w:t>niams.nih.gov)</w:t>
        </w:r>
      </w:hyperlink>
      <w:r w:rsidR="00BE0ADE">
        <w:t xml:space="preserve"> </w:t>
      </w:r>
      <w:r w:rsidR="007D5376">
        <w:t xml:space="preserve">to learn whether they are </w:t>
      </w:r>
      <w:r w:rsidR="00BE0ADE">
        <w:t xml:space="preserve">able to find </w:t>
      </w:r>
      <w:r w:rsidR="00BF3552">
        <w:t xml:space="preserve">the information they </w:t>
      </w:r>
      <w:r w:rsidR="002F0C1B">
        <w:t>are</w:t>
      </w:r>
      <w:r w:rsidR="00BF3552">
        <w:t xml:space="preserve"> looking for</w:t>
      </w:r>
      <w:r w:rsidR="007D5376">
        <w:t xml:space="preserve"> and gather insights into whether the </w:t>
      </w:r>
      <w:r w:rsidR="005E5F8B">
        <w:t xml:space="preserve">information </w:t>
      </w:r>
      <w:r w:rsidR="007D5376">
        <w:t>they seek meets their needs and is helpful to them</w:t>
      </w:r>
      <w:r w:rsidR="00C30F3E">
        <w:t xml:space="preserve">. </w:t>
      </w:r>
      <w:r w:rsidR="007D5376">
        <w:t>Survey findings will</w:t>
      </w:r>
      <w:r w:rsidR="00C30F3E">
        <w:t xml:space="preserve"> </w:t>
      </w:r>
      <w:r w:rsidR="00213521">
        <w:t xml:space="preserve">support ongoing </w:t>
      </w:r>
      <w:r w:rsidR="00EB413E">
        <w:t xml:space="preserve">website </w:t>
      </w:r>
      <w:r w:rsidR="00213521">
        <w:t>improvement</w:t>
      </w:r>
      <w:r w:rsidR="00312E7B">
        <w:t xml:space="preserve"> efforts</w:t>
      </w:r>
      <w:r w:rsidR="007D5376">
        <w:t xml:space="preserve">, such as </w:t>
      </w:r>
      <w:r w:rsidR="00EB6322">
        <w:t>updates</w:t>
      </w:r>
      <w:r w:rsidR="007D5376">
        <w:t xml:space="preserve"> to </w:t>
      </w:r>
      <w:r w:rsidR="00EB6322">
        <w:t xml:space="preserve">the website navigation or existing content to enhance the findability of information. </w:t>
      </w:r>
      <w:r w:rsidRPr="57489FF9" w:rsidR="0050665F">
        <w:t>The survey will appear</w:t>
      </w:r>
      <w:r w:rsidR="00EB6322">
        <w:t xml:space="preserve"> as a “pop-up window”</w:t>
      </w:r>
      <w:r w:rsidRPr="57489FF9" w:rsidR="0050665F">
        <w:t xml:space="preserve"> </w:t>
      </w:r>
      <w:r w:rsidRPr="57489FF9" w:rsidR="00312E7B">
        <w:t>across the following</w:t>
      </w:r>
      <w:r w:rsidR="00EB6322">
        <w:t xml:space="preserve"> NIAMS web pages</w:t>
      </w:r>
      <w:r w:rsidRPr="57489FF9" w:rsidR="00312E7B">
        <w:t xml:space="preserve">: </w:t>
      </w:r>
      <w:r w:rsidRPr="57489FF9" w:rsidR="42171A65">
        <w:t xml:space="preserve"> </w:t>
      </w:r>
    </w:p>
    <w:p w:rsidR="004E7A0D" w:rsidP="004E7A0D" w:rsidRDefault="00FD2559" w14:paraId="7F72454D" w14:textId="6ACCEFFA">
      <w:pPr>
        <w:pStyle w:val="ListParagraph"/>
        <w:numPr>
          <w:ilvl w:val="0"/>
          <w:numId w:val="22"/>
        </w:numPr>
      </w:pPr>
      <w:hyperlink w:history="1" r:id="rId12">
        <w:r w:rsidRPr="00EB6322" w:rsidR="00EB6322">
          <w:rPr>
            <w:rStyle w:val="Hyperlink"/>
          </w:rPr>
          <w:t>niams.nih.gov</w:t>
        </w:r>
        <w:r w:rsidRPr="00EB6322" w:rsidR="42171A65">
          <w:rPr>
            <w:rStyle w:val="Hyperlink"/>
          </w:rPr>
          <w:t>/health-topics</w:t>
        </w:r>
      </w:hyperlink>
    </w:p>
    <w:p w:rsidR="00EB6322" w:rsidP="004E7A0D" w:rsidRDefault="00FD2559" w14:paraId="0FBD698F" w14:textId="5EE418D3">
      <w:pPr>
        <w:pStyle w:val="ListParagraph"/>
        <w:numPr>
          <w:ilvl w:val="0"/>
          <w:numId w:val="22"/>
        </w:numPr>
      </w:pPr>
      <w:hyperlink w:history="1" r:id="rId13">
        <w:r w:rsidRPr="00042413" w:rsidR="00EB6322">
          <w:rPr>
            <w:rStyle w:val="Hyperlink"/>
          </w:rPr>
          <w:t>niams.nih.gov/newsletters</w:t>
        </w:r>
      </w:hyperlink>
    </w:p>
    <w:p w:rsidR="00EB6322" w:rsidP="004E7A0D" w:rsidRDefault="00FD2559" w14:paraId="19E319A4" w14:textId="7EDE9E59">
      <w:pPr>
        <w:pStyle w:val="ListParagraph"/>
        <w:numPr>
          <w:ilvl w:val="0"/>
          <w:numId w:val="22"/>
        </w:numPr>
      </w:pPr>
      <w:hyperlink w:history="1" r:id="rId14">
        <w:r w:rsidRPr="00042413" w:rsidR="00EB6322">
          <w:rPr>
            <w:rStyle w:val="Hyperlink"/>
          </w:rPr>
          <w:t>niams.nih.gov/about</w:t>
        </w:r>
      </w:hyperlink>
    </w:p>
    <w:p w:rsidR="00EB6322" w:rsidP="00EB6322" w:rsidRDefault="00FD2559" w14:paraId="498C37B8" w14:textId="109F7336">
      <w:pPr>
        <w:pStyle w:val="ListParagraph"/>
        <w:numPr>
          <w:ilvl w:val="0"/>
          <w:numId w:val="22"/>
        </w:numPr>
      </w:pPr>
      <w:hyperlink w:history="1" r:id="rId15">
        <w:r w:rsidRPr="00042413" w:rsidR="00EB6322">
          <w:rPr>
            <w:rStyle w:val="Hyperlink"/>
          </w:rPr>
          <w:t>niams.nih.gov/community-outreach-initiative</w:t>
        </w:r>
      </w:hyperlink>
    </w:p>
    <w:p w:rsidR="00EB6322" w:rsidP="57489FF9" w:rsidRDefault="00FD2559" w14:paraId="1EDCE187" w14:textId="77777777">
      <w:pPr>
        <w:pStyle w:val="ListParagraph"/>
        <w:numPr>
          <w:ilvl w:val="0"/>
          <w:numId w:val="22"/>
        </w:numPr>
      </w:pPr>
      <w:hyperlink w:history="1" r:id="rId16">
        <w:r w:rsidRPr="00042413" w:rsidR="00EB6322">
          <w:rPr>
            <w:rStyle w:val="Hyperlink"/>
          </w:rPr>
          <w:t>niams.nih.gov/labs</w:t>
        </w:r>
      </w:hyperlink>
    </w:p>
    <w:p w:rsidR="00EB6322" w:rsidP="57489FF9" w:rsidRDefault="00FD2559" w14:paraId="4CB8ABB8" w14:textId="3F32CCCD">
      <w:pPr>
        <w:pStyle w:val="ListParagraph"/>
        <w:numPr>
          <w:ilvl w:val="0"/>
          <w:numId w:val="22"/>
        </w:numPr>
      </w:pPr>
      <w:hyperlink w:history="1" r:id="rId17">
        <w:r w:rsidRPr="00EB6322" w:rsidR="00EB6322">
          <w:rPr>
            <w:rStyle w:val="Hyperlink"/>
          </w:rPr>
          <w:t>niams.nih.gov/grants-funding</w:t>
        </w:r>
      </w:hyperlink>
      <w:r w:rsidR="00EB6322">
        <w:t xml:space="preserve"> </w:t>
      </w:r>
    </w:p>
    <w:p w:rsidR="00EB413E" w:rsidP="57489FF9" w:rsidRDefault="00EB413E" w14:paraId="0075EDD7" w14:textId="09E432EE"/>
    <w:p w:rsidR="00C8488C" w:rsidP="57489FF9" w:rsidRDefault="00EB413E" w14:paraId="6E6A2218" w14:textId="3F9CA194">
      <w:pPr>
        <w:rPr>
          <w:b/>
          <w:bCs/>
        </w:rPr>
      </w:pPr>
      <w:r>
        <w:t xml:space="preserve">The survey will take respondents </w:t>
      </w:r>
      <w:r w:rsidR="00810373">
        <w:t>no more than three (3)</w:t>
      </w:r>
      <w:r>
        <w:t xml:space="preserve"> minutes to complete and is completely voluntary</w:t>
      </w:r>
      <w:r w:rsidR="00EB6322">
        <w:t xml:space="preserve"> (website visitors may “close out” of the survey pop-up window if they do not wish to complete the survey)</w:t>
      </w:r>
      <w:r>
        <w:t xml:space="preserve">. No incentive will be provided for completing the survey, nor is any personally identifiable information collected from respondents. </w:t>
      </w:r>
    </w:p>
    <w:p w:rsidR="00C8488C" w:rsidP="00434E33" w:rsidRDefault="00C8488C" w14:paraId="78AAF0D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50E59D1A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3E4A7D" w14:paraId="13C8CF2E" w14:textId="03C880DC">
      <w:r>
        <w:rPr>
          <w:color w:val="000000" w:themeColor="text1"/>
        </w:rPr>
        <w:t>Survey respondents</w:t>
      </w:r>
      <w:r w:rsidRPr="57489FF9" w:rsidR="00C30F3E">
        <w:rPr>
          <w:color w:val="000000" w:themeColor="text1"/>
        </w:rPr>
        <w:t xml:space="preserve"> include visitors to the NIA</w:t>
      </w:r>
      <w:r w:rsidRPr="57489FF9" w:rsidR="00F8447F">
        <w:rPr>
          <w:color w:val="000000" w:themeColor="text1"/>
        </w:rPr>
        <w:t>MS</w:t>
      </w:r>
      <w:r w:rsidRPr="57489FF9" w:rsidR="00C30F3E">
        <w:rPr>
          <w:color w:val="000000" w:themeColor="text1"/>
        </w:rPr>
        <w:t xml:space="preserve"> website</w:t>
      </w:r>
      <w:r w:rsidR="0050665F">
        <w:t xml:space="preserve"> who </w:t>
      </w:r>
      <w:r w:rsidR="00EB413E">
        <w:t xml:space="preserve">voluntarily </w:t>
      </w:r>
      <w:r w:rsidR="0050665F">
        <w:t>choose to respond to the survey</w:t>
      </w:r>
      <w:r w:rsidR="00810373">
        <w:t>.</w:t>
      </w:r>
      <w:r>
        <w:t xml:space="preserve"> </w:t>
      </w:r>
    </w:p>
    <w:p w:rsidR="00E26329" w:rsidRDefault="00E26329" w14:paraId="4529FFAE" w14:textId="77777777">
      <w:pPr>
        <w:rPr>
          <w:b/>
        </w:rPr>
      </w:pPr>
    </w:p>
    <w:p w:rsidRPr="00F06866" w:rsidR="00F06866" w:rsidRDefault="00F06866" w14:paraId="7742973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0B107F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28BF5BC" w14:textId="503B31A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D04D8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3E5F0710" w14:textId="09ECD23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FD04D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E9EBB8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A8C947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E28671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F075FE6" w14:textId="77777777">
      <w:pPr>
        <w:rPr>
          <w:sz w:val="16"/>
          <w:szCs w:val="16"/>
        </w:rPr>
      </w:pPr>
    </w:p>
    <w:p w:rsidRPr="009C13B9" w:rsidR="008101A5" w:rsidP="008101A5" w:rsidRDefault="008101A5" w14:paraId="58F70180" w14:textId="77777777">
      <w:r>
        <w:t xml:space="preserve">I certify the following to be true: </w:t>
      </w:r>
    </w:p>
    <w:p w:rsidR="008101A5" w:rsidP="008101A5" w:rsidRDefault="008101A5" w14:paraId="17016A96" w14:textId="77777777">
      <w:pPr>
        <w:pStyle w:val="ListParagraph"/>
        <w:numPr>
          <w:ilvl w:val="0"/>
          <w:numId w:val="17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C62C33A" w14:textId="77777777">
      <w:pPr>
        <w:pStyle w:val="ListParagraph"/>
        <w:numPr>
          <w:ilvl w:val="0"/>
          <w:numId w:val="17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3E84D87" w14:textId="77777777">
      <w:pPr>
        <w:pStyle w:val="ListParagraph"/>
        <w:numPr>
          <w:ilvl w:val="0"/>
          <w:numId w:val="17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1F31C7E" w14:textId="77777777">
      <w:pPr>
        <w:pStyle w:val="ListParagraph"/>
        <w:numPr>
          <w:ilvl w:val="0"/>
          <w:numId w:val="17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698EF8E" w14:textId="77777777">
      <w:pPr>
        <w:pStyle w:val="ListParagraph"/>
        <w:numPr>
          <w:ilvl w:val="0"/>
          <w:numId w:val="17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42AF5FF" w14:textId="77777777">
      <w:pPr>
        <w:pStyle w:val="ListParagraph"/>
        <w:numPr>
          <w:ilvl w:val="0"/>
          <w:numId w:val="17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F2C288E" w14:textId="77777777"/>
    <w:p w:rsidR="009C13B9" w:rsidP="009C13B9" w:rsidRDefault="009C13B9" w14:paraId="4C1C9F3C" w14:textId="4E316B4A">
      <w:r>
        <w:t>Name:</w:t>
      </w:r>
      <w:r w:rsidR="00C30F3E">
        <w:t xml:space="preserve"> </w:t>
      </w:r>
      <w:r w:rsidRPr="53A0AB83" w:rsidR="008116A2">
        <w:rPr>
          <w:u w:val="single"/>
        </w:rPr>
        <w:t>Susan Bettendorf</w:t>
      </w:r>
    </w:p>
    <w:p w:rsidR="009C13B9" w:rsidP="009C13B9" w:rsidRDefault="009C13B9" w14:paraId="01159DDD" w14:textId="77777777">
      <w:pPr>
        <w:pStyle w:val="ListParagraph"/>
        <w:ind w:left="360"/>
      </w:pPr>
    </w:p>
    <w:p w:rsidR="009C13B9" w:rsidP="009C13B9" w:rsidRDefault="009C13B9" w14:paraId="3555CB54" w14:textId="77777777">
      <w:r>
        <w:lastRenderedPageBreak/>
        <w:t>To assist review, please provide answers to the following question:</w:t>
      </w:r>
    </w:p>
    <w:p w:rsidR="009C13B9" w:rsidP="009C13B9" w:rsidRDefault="009C13B9" w14:paraId="37661728" w14:textId="77777777">
      <w:pPr>
        <w:pStyle w:val="ListParagraph"/>
        <w:ind w:left="360"/>
      </w:pPr>
    </w:p>
    <w:p w:rsidRPr="00C86E91" w:rsidR="009C13B9" w:rsidP="00C86E91" w:rsidRDefault="00C86E91" w14:paraId="62931D0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40CC8BD3" w14:textId="77777777">
      <w:pPr>
        <w:pStyle w:val="ListParagraph"/>
        <w:numPr>
          <w:ilvl w:val="0"/>
          <w:numId w:val="21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30F3E">
        <w:t>X</w:t>
      </w:r>
      <w:r w:rsidR="009239AA">
        <w:t xml:space="preserve">]  No </w:t>
      </w:r>
    </w:p>
    <w:p w:rsidR="00C86E91" w:rsidP="00C86E91" w:rsidRDefault="009C13B9" w14:paraId="021CFD0A" w14:textId="77777777">
      <w:pPr>
        <w:pStyle w:val="ListParagraph"/>
        <w:numPr>
          <w:ilvl w:val="0"/>
          <w:numId w:val="21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2D2424E0" w14:textId="755CEAD0">
      <w:pPr>
        <w:pStyle w:val="ListParagraph"/>
        <w:numPr>
          <w:ilvl w:val="0"/>
          <w:numId w:val="21"/>
        </w:numPr>
      </w:pPr>
      <w:r>
        <w:t>If Applicable, has a System or Records Notice been published?  [  ] Yes  [</w:t>
      </w:r>
      <w:r w:rsidR="00177546">
        <w:t xml:space="preserve">  </w:t>
      </w:r>
      <w:r>
        <w:t>] No</w:t>
      </w:r>
    </w:p>
    <w:p w:rsidR="00633F74" w:rsidP="00633F74" w:rsidRDefault="00633F74" w14:paraId="5EA780B7" w14:textId="77777777">
      <w:pPr>
        <w:pStyle w:val="ListParagraph"/>
        <w:ind w:left="360"/>
      </w:pPr>
    </w:p>
    <w:p w:rsidRPr="00C86E91" w:rsidR="00C86E91" w:rsidP="00C86E91" w:rsidRDefault="00CB1078" w14:paraId="5B01C71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E3EC82A" w14:textId="1E0573DC">
      <w:r>
        <w:t>Is an incentive (e.g., money or reimbursement of expenses, token of appreciation) provided to participants?  [  ] Yes [</w:t>
      </w:r>
      <w:r w:rsidR="00C30F3E">
        <w:t>X</w:t>
      </w:r>
      <w:r>
        <w:t xml:space="preserve">] No  </w:t>
      </w:r>
    </w:p>
    <w:p w:rsidR="00F24CFC" w:rsidRDefault="00F24CFC" w14:paraId="6EB74D4D" w14:textId="77777777">
      <w:pPr>
        <w:rPr>
          <w:b/>
        </w:rPr>
      </w:pPr>
    </w:p>
    <w:p w:rsidRPr="00BC676D" w:rsidR="005E714A" w:rsidP="00C86E91" w:rsidRDefault="003668D6" w14:paraId="091D7F48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4BA8ADD2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57489FF9" w14:paraId="58678786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212121C4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400C1711" w:rsidRDefault="003668D6" w14:paraId="0F1912D4" w14:textId="0BCE281F">
            <w:pPr>
              <w:rPr>
                <w:b/>
                <w:bCs/>
              </w:rPr>
            </w:pPr>
            <w:r w:rsidRPr="400C1711">
              <w:rPr>
                <w:b/>
                <w:bCs/>
              </w:rPr>
              <w:t>No. of Respondents</w:t>
            </w:r>
            <w:r w:rsidRPr="400C1711" w:rsidR="000C4ACA">
              <w:rPr>
                <w:b/>
                <w:bCs/>
              </w:rPr>
              <w:t xml:space="preserve"> (annually)</w:t>
            </w:r>
          </w:p>
        </w:tc>
        <w:tc>
          <w:tcPr>
            <w:tcW w:w="2070" w:type="dxa"/>
          </w:tcPr>
          <w:p w:rsidRPr="002D26E2" w:rsidR="003668D6" w:rsidP="00843796" w:rsidRDefault="003668D6" w14:paraId="4FF4127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6174B1E6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54D9A284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C3C7340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761E3B28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00D076BB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57489FF9" w14:paraId="45BE01F9" w14:textId="77777777">
        <w:trPr>
          <w:trHeight w:val="260"/>
        </w:trPr>
        <w:tc>
          <w:tcPr>
            <w:tcW w:w="2520" w:type="dxa"/>
          </w:tcPr>
          <w:p w:rsidR="003668D6" w:rsidP="00843796" w:rsidRDefault="6A529B05" w14:paraId="16C7043D" w14:textId="383F52C4">
            <w:r>
              <w:t>Individuals</w:t>
            </w:r>
            <w:r w:rsidR="00810373">
              <w:t xml:space="preserve"> or Households</w:t>
            </w:r>
          </w:p>
        </w:tc>
        <w:tc>
          <w:tcPr>
            <w:tcW w:w="1980" w:type="dxa"/>
          </w:tcPr>
          <w:p w:rsidR="003668D6" w:rsidP="400C1711" w:rsidRDefault="60AC9AE5" w14:paraId="6BFA4DF5" w14:textId="519BA4A8">
            <w:pPr>
              <w:spacing w:line="259" w:lineRule="auto"/>
            </w:pPr>
            <w:r>
              <w:t>7,900</w:t>
            </w:r>
          </w:p>
        </w:tc>
        <w:tc>
          <w:tcPr>
            <w:tcW w:w="2070" w:type="dxa"/>
          </w:tcPr>
          <w:p w:rsidR="003668D6" w:rsidP="00843796" w:rsidRDefault="00C30F3E" w14:paraId="7C8D99E0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C30F3E" w14:paraId="5F55198A" w14:textId="6441CF38">
            <w:r>
              <w:t>3/60</w:t>
            </w:r>
          </w:p>
        </w:tc>
        <w:tc>
          <w:tcPr>
            <w:tcW w:w="1530" w:type="dxa"/>
          </w:tcPr>
          <w:p w:rsidR="003668D6" w:rsidP="00843796" w:rsidRDefault="001F6452" w14:paraId="5EC1A403" w14:textId="4E475250">
            <w:r>
              <w:t>395</w:t>
            </w:r>
          </w:p>
        </w:tc>
      </w:tr>
      <w:tr w:rsidR="003668D6" w:rsidTr="57489FF9" w14:paraId="4C84639A" w14:textId="77777777">
        <w:trPr>
          <w:trHeight w:val="274"/>
        </w:trPr>
        <w:tc>
          <w:tcPr>
            <w:tcW w:w="2520" w:type="dxa"/>
          </w:tcPr>
          <w:p w:rsidR="003668D6" w:rsidP="00843796" w:rsidRDefault="003668D6" w14:paraId="255E831A" w14:textId="77777777"/>
        </w:tc>
        <w:tc>
          <w:tcPr>
            <w:tcW w:w="1980" w:type="dxa"/>
          </w:tcPr>
          <w:p w:rsidR="003668D6" w:rsidP="00843796" w:rsidRDefault="003668D6" w14:paraId="35D84786" w14:textId="77777777"/>
        </w:tc>
        <w:tc>
          <w:tcPr>
            <w:tcW w:w="2070" w:type="dxa"/>
          </w:tcPr>
          <w:p w:rsidR="003668D6" w:rsidP="00843796" w:rsidRDefault="003668D6" w14:paraId="453CB9AB" w14:textId="77777777"/>
        </w:tc>
        <w:tc>
          <w:tcPr>
            <w:tcW w:w="1620" w:type="dxa"/>
          </w:tcPr>
          <w:p w:rsidR="003668D6" w:rsidP="00843796" w:rsidRDefault="003668D6" w14:paraId="45ABB4BB" w14:textId="77777777"/>
        </w:tc>
        <w:tc>
          <w:tcPr>
            <w:tcW w:w="1530" w:type="dxa"/>
          </w:tcPr>
          <w:p w:rsidR="003668D6" w:rsidP="00843796" w:rsidRDefault="003668D6" w14:paraId="67413B14" w14:textId="77777777"/>
        </w:tc>
      </w:tr>
      <w:tr w:rsidR="003668D6" w:rsidTr="57489FF9" w14:paraId="7A60E59B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0DEDF60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7D03E6F1" w14:textId="62D24053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:rsidRDefault="00FD04D8" w14:paraId="19BFB68C" w14:textId="7635C673">
            <w:r>
              <w:t>7900</w:t>
            </w:r>
          </w:p>
        </w:tc>
        <w:tc>
          <w:tcPr>
            <w:tcW w:w="1620" w:type="dxa"/>
          </w:tcPr>
          <w:p w:rsidR="003668D6" w:rsidP="00843796" w:rsidRDefault="003668D6" w14:paraId="6ACACA3C" w14:textId="77777777"/>
        </w:tc>
        <w:tc>
          <w:tcPr>
            <w:tcW w:w="1530" w:type="dxa"/>
          </w:tcPr>
          <w:p w:rsidRPr="002D26E2" w:rsidR="003668D6" w:rsidP="400C1711" w:rsidRDefault="031C5755" w14:paraId="00BD548A" w14:textId="36CB7E4E">
            <w:pPr>
              <w:spacing w:line="259" w:lineRule="auto"/>
              <w:rPr>
                <w:b/>
                <w:bCs/>
              </w:rPr>
            </w:pPr>
            <w:r w:rsidRPr="400C1711">
              <w:rPr>
                <w:b/>
                <w:bCs/>
              </w:rPr>
              <w:t>395</w:t>
            </w:r>
          </w:p>
        </w:tc>
      </w:tr>
    </w:tbl>
    <w:p w:rsidR="00F3170F" w:rsidP="00F3170F" w:rsidRDefault="00F3170F" w14:paraId="72556358" w14:textId="77777777"/>
    <w:p w:rsidRPr="00F136F1" w:rsidR="00F136F1" w:rsidP="00F3170F" w:rsidRDefault="00F136F1" w14:paraId="50D10BE5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7EC243CD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57489FF9" w14:paraId="47E0A693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7DB01A16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67E5BFB1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73F7D352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0572F1D2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25B3B0AD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798D96D7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8A35DA" w:rsidTr="57489FF9" w14:paraId="09B6B550" w14:textId="77777777">
        <w:trPr>
          <w:trHeight w:val="260"/>
        </w:trPr>
        <w:tc>
          <w:tcPr>
            <w:tcW w:w="2790" w:type="dxa"/>
          </w:tcPr>
          <w:p w:rsidRPr="009A036B" w:rsidR="008A35DA" w:rsidP="008A35DA" w:rsidRDefault="4A3356F0" w14:paraId="1063219C" w14:textId="3822A176">
            <w:r>
              <w:t>Individuals</w:t>
            </w:r>
            <w:r w:rsidR="06648EB7">
              <w:t xml:space="preserve"> or Households</w:t>
            </w:r>
          </w:p>
        </w:tc>
        <w:tc>
          <w:tcPr>
            <w:tcW w:w="2250" w:type="dxa"/>
          </w:tcPr>
          <w:p w:rsidRPr="009A036B" w:rsidR="008A35DA" w:rsidP="008A35DA" w:rsidRDefault="073C8C8F" w14:paraId="460D06BC" w14:textId="69F24401">
            <w:r>
              <w:t>395</w:t>
            </w:r>
          </w:p>
        </w:tc>
        <w:tc>
          <w:tcPr>
            <w:tcW w:w="2520" w:type="dxa"/>
          </w:tcPr>
          <w:p w:rsidRPr="009A036B" w:rsidR="008A35DA" w:rsidP="008A35DA" w:rsidRDefault="008A35DA" w14:paraId="7CC82273" w14:textId="1D93C26B">
            <w:r>
              <w:t>$</w:t>
            </w:r>
            <w:r w:rsidR="0001640F">
              <w:t>3</w:t>
            </w:r>
            <w:r w:rsidR="000772A5">
              <w:t>1</w:t>
            </w:r>
            <w:r w:rsidR="005E3871">
              <w:t>.03</w:t>
            </w:r>
          </w:p>
        </w:tc>
        <w:tc>
          <w:tcPr>
            <w:tcW w:w="1620" w:type="dxa"/>
          </w:tcPr>
          <w:p w:rsidRPr="009A036B" w:rsidR="008A35DA" w:rsidP="008A35DA" w:rsidRDefault="008A35DA" w14:paraId="24DE92E9" w14:textId="71A07B6F">
            <w:r>
              <w:t>$</w:t>
            </w:r>
            <w:r w:rsidR="6B333117">
              <w:t>12,257</w:t>
            </w:r>
          </w:p>
        </w:tc>
      </w:tr>
      <w:tr w:rsidRPr="009A036B" w:rsidR="00CA2010" w:rsidTr="57489FF9" w14:paraId="694C5D3C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4156682C" w14:textId="77777777"/>
        </w:tc>
        <w:tc>
          <w:tcPr>
            <w:tcW w:w="2250" w:type="dxa"/>
          </w:tcPr>
          <w:p w:rsidRPr="009A036B" w:rsidR="00CA2010" w:rsidP="009A036B" w:rsidRDefault="00CA2010" w14:paraId="2AE73CF9" w14:textId="77777777"/>
        </w:tc>
        <w:tc>
          <w:tcPr>
            <w:tcW w:w="2520" w:type="dxa"/>
          </w:tcPr>
          <w:p w:rsidRPr="009A036B" w:rsidR="00CA2010" w:rsidP="009A036B" w:rsidRDefault="00CA2010" w14:paraId="041ADFE5" w14:textId="77777777"/>
        </w:tc>
        <w:tc>
          <w:tcPr>
            <w:tcW w:w="1620" w:type="dxa"/>
          </w:tcPr>
          <w:p w:rsidRPr="009A036B" w:rsidR="00CA2010" w:rsidP="009A036B" w:rsidRDefault="00CA2010" w14:paraId="160C19F4" w14:textId="77777777"/>
        </w:tc>
      </w:tr>
      <w:tr w:rsidRPr="009A036B" w:rsidR="008A35DA" w:rsidTr="57489FF9" w14:paraId="28D8DDA2" w14:textId="77777777">
        <w:trPr>
          <w:trHeight w:val="289"/>
        </w:trPr>
        <w:tc>
          <w:tcPr>
            <w:tcW w:w="2790" w:type="dxa"/>
          </w:tcPr>
          <w:p w:rsidRPr="009A036B" w:rsidR="008A35DA" w:rsidP="008A35DA" w:rsidRDefault="008A35DA" w14:paraId="31A1BE75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8A35DA" w:rsidP="008A35DA" w:rsidRDefault="008A35DA" w14:paraId="25146B6B" w14:textId="1A678748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8A35DA" w:rsidP="008A35DA" w:rsidRDefault="008A35DA" w14:paraId="1B69A457" w14:textId="5603B46C"/>
        </w:tc>
        <w:tc>
          <w:tcPr>
            <w:tcW w:w="1620" w:type="dxa"/>
          </w:tcPr>
          <w:p w:rsidRPr="009A036B" w:rsidR="008A35DA" w:rsidP="008A35DA" w:rsidRDefault="008A35DA" w14:paraId="3ED2677C" w14:textId="754F95E2">
            <w:r>
              <w:t>$</w:t>
            </w:r>
            <w:r w:rsidR="5D806C40">
              <w:t>12,257</w:t>
            </w:r>
          </w:p>
        </w:tc>
      </w:tr>
    </w:tbl>
    <w:p w:rsidRPr="00FD04D8" w:rsidR="009A036B" w:rsidP="009A036B" w:rsidRDefault="00CA2010" w14:paraId="0A11E5A4" w14:textId="56E48C51">
      <w:pPr>
        <w:rPr>
          <w:sz w:val="18"/>
          <w:szCs w:val="18"/>
        </w:rPr>
      </w:pPr>
      <w:r w:rsidRPr="00FD04D8">
        <w:rPr>
          <w:sz w:val="18"/>
          <w:szCs w:val="18"/>
        </w:rPr>
        <w:t>*</w:t>
      </w:r>
      <w:r w:rsidRPr="00FD04D8" w:rsidR="0001640F">
        <w:rPr>
          <w:sz w:val="18"/>
          <w:szCs w:val="18"/>
        </w:rPr>
        <w:t>The wage rate is the mean hourly wage of $</w:t>
      </w:r>
      <w:r w:rsidRPr="00FD04D8" w:rsidR="00F77081">
        <w:rPr>
          <w:sz w:val="18"/>
          <w:szCs w:val="18"/>
        </w:rPr>
        <w:t>3</w:t>
      </w:r>
      <w:r w:rsidRPr="00FD04D8" w:rsidR="000E0745">
        <w:rPr>
          <w:sz w:val="18"/>
          <w:szCs w:val="18"/>
        </w:rPr>
        <w:t>1</w:t>
      </w:r>
      <w:r w:rsidRPr="00FD04D8" w:rsidR="0001640F">
        <w:rPr>
          <w:sz w:val="18"/>
          <w:szCs w:val="18"/>
        </w:rPr>
        <w:t>.</w:t>
      </w:r>
      <w:r w:rsidRPr="00FD04D8" w:rsidR="000E0745">
        <w:rPr>
          <w:sz w:val="18"/>
          <w:szCs w:val="18"/>
        </w:rPr>
        <w:t>03</w:t>
      </w:r>
      <w:r w:rsidRPr="00FD04D8" w:rsidR="0001640F">
        <w:rPr>
          <w:sz w:val="18"/>
          <w:szCs w:val="18"/>
        </w:rPr>
        <w:t xml:space="preserve"> in the United States </w:t>
      </w:r>
      <w:r w:rsidRPr="00FD04D8" w:rsidR="00CC013E">
        <w:rPr>
          <w:sz w:val="18"/>
          <w:szCs w:val="18"/>
        </w:rPr>
        <w:t>for all employees on private nonfarm payrolls, seasonally adjusted</w:t>
      </w:r>
      <w:r w:rsidRPr="00FD04D8" w:rsidR="00753DA9">
        <w:rPr>
          <w:sz w:val="18"/>
          <w:szCs w:val="18"/>
        </w:rPr>
        <w:t>,</w:t>
      </w:r>
      <w:r w:rsidRPr="00FD04D8" w:rsidR="0001640F">
        <w:rPr>
          <w:sz w:val="18"/>
          <w:szCs w:val="18"/>
        </w:rPr>
        <w:t xml:space="preserve"> as reported in BLS </w:t>
      </w:r>
      <w:r w:rsidRPr="00FD04D8" w:rsidR="00F77081">
        <w:rPr>
          <w:sz w:val="18"/>
          <w:szCs w:val="18"/>
        </w:rPr>
        <w:t xml:space="preserve">November </w:t>
      </w:r>
      <w:r w:rsidRPr="00FD04D8" w:rsidR="0001640F">
        <w:rPr>
          <w:sz w:val="18"/>
          <w:szCs w:val="18"/>
        </w:rPr>
        <w:t xml:space="preserve">2021. </w:t>
      </w:r>
      <w:hyperlink r:id="rId18">
        <w:r w:rsidRPr="00FD04D8" w:rsidR="0001640F">
          <w:rPr>
            <w:rStyle w:val="Hyperlink"/>
            <w:sz w:val="18"/>
            <w:szCs w:val="18"/>
          </w:rPr>
          <w:t>https://w</w:t>
        </w:r>
      </w:hyperlink>
      <w:bookmarkStart w:name="_Hlt90299702" w:id="0"/>
      <w:bookmarkStart w:name="_Hlt90299703" w:id="1"/>
      <w:bookmarkEnd w:id="0"/>
      <w:bookmarkEnd w:id="1"/>
      <w:r w:rsidRPr="00FD04D8" w:rsidR="0001640F">
        <w:rPr>
          <w:rStyle w:val="Hyperlink"/>
          <w:sz w:val="18"/>
          <w:szCs w:val="18"/>
        </w:rPr>
        <w:t>ww.bls.gov/news.release/empsit.t19.htm</w:t>
      </w:r>
    </w:p>
    <w:p w:rsidR="009A036B" w:rsidP="00F3170F" w:rsidRDefault="009A036B" w14:paraId="6BA37F2B" w14:textId="77777777"/>
    <w:p w:rsidRPr="009A036B" w:rsidR="009A036B" w:rsidP="009A036B" w:rsidRDefault="001C39F7" w14:paraId="7B082714" w14:textId="224DC992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B32B50" w:rsidR="007F5AA3">
        <w:rPr>
          <w:u w:val="single"/>
        </w:rPr>
        <w:t>$</w:t>
      </w:r>
      <w:r w:rsidR="001B37DB">
        <w:rPr>
          <w:u w:val="single"/>
        </w:rPr>
        <w:t>14,778</w:t>
      </w:r>
      <w:r w:rsidR="00B32B50">
        <w:rPr>
          <w:u w:val="single"/>
        </w:rPr>
        <w:t>.</w:t>
      </w:r>
      <w:r w:rsidR="009A036B">
        <w:rPr>
          <w:b/>
        </w:rPr>
        <w:t xml:space="preserve">                      </w:t>
      </w:r>
    </w:p>
    <w:p w:rsidRPr="009A036B" w:rsidR="009A036B" w:rsidP="009A036B" w:rsidRDefault="009A036B" w14:paraId="02D029F3" w14:textId="77777777"/>
    <w:tbl>
      <w:tblPr>
        <w:tblW w:w="10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25"/>
        <w:gridCol w:w="1029"/>
        <w:gridCol w:w="1363"/>
        <w:gridCol w:w="1154"/>
        <w:gridCol w:w="2318"/>
      </w:tblGrid>
      <w:tr w:rsidRPr="009A036B" w:rsidR="009A036B" w:rsidTr="004E7A0D" w14:paraId="7F119475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6E5F02D" w14:textId="77777777">
            <w:pPr>
              <w:rPr>
                <w:b/>
                <w:bCs/>
              </w:rPr>
            </w:pPr>
            <w:bookmarkStart w:name="_Hlk93656700" w:id="2"/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3E3B97DC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0F3DB58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D697B5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2AEACF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22FA96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2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982841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4E7A0D" w14:paraId="0BB3319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0793840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56FD0E2" w14:textId="236EA466"/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DAD3B94" w14:textId="3B3E4410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9D36F91" w14:textId="50E9F369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9A036B" w:rsidP="009A036B" w:rsidRDefault="009A036B" w14:paraId="0F6BB624" w14:textId="1C448DD9"/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23739DA" w14:textId="1A4B3B1B"/>
        </w:tc>
      </w:tr>
      <w:tr w:rsidRPr="009A036B" w:rsidR="00392337" w:rsidTr="004E7A0D" w14:paraId="722442B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74816B8D" w14:textId="743FA08A">
            <w:r>
              <w:t>Writer/editor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2408054C" w14:textId="4AD337E1">
            <w:r>
              <w:t>13/10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62BFFEDD" w14:textId="5EC5ECD5">
            <w:r>
              <w:t>139,000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7AA13E59" w14:textId="3A2BDC76">
            <w:r>
              <w:t>.2%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16E1C2E9" w14:textId="77777777"/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6DFF31BE" w14:textId="532738D9">
            <w:r>
              <w:t>$278</w:t>
            </w:r>
          </w:p>
        </w:tc>
      </w:tr>
      <w:tr w:rsidRPr="009A036B" w:rsidR="00392337" w:rsidTr="004E7A0D" w14:paraId="56BF10E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741FD6D1" w14:textId="77777777"/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048111A1" w14:textId="77777777"/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668E112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7334B977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48BC0231" w14:textId="77777777"/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6FACE44B" w14:textId="77777777"/>
        </w:tc>
      </w:tr>
      <w:tr w:rsidRPr="009A036B" w:rsidR="00392337" w:rsidTr="004E7A0D" w14:paraId="6EDFE10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7AF91B5A" w14:textId="77777777"/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419B41EF" w14:textId="77777777"/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7C3D399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53D6AEBE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6DFA900E" w14:textId="77777777"/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40754B8B" w14:textId="77777777"/>
        </w:tc>
      </w:tr>
      <w:tr w:rsidRPr="009A036B" w:rsidR="00392337" w:rsidTr="004E7A0D" w14:paraId="669457C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1DC96320" w14:textId="77777777">
            <w:pPr>
              <w:rPr>
                <w:b/>
                <w:bCs/>
              </w:rPr>
            </w:pPr>
            <w:r w:rsidRPr="397E72B3">
              <w:rPr>
                <w:b/>
                <w:bCs/>
              </w:rPr>
              <w:t>Contractor Cost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51EC8D7A" w14:textId="77777777"/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7AFC6CC4" w14:textId="26AF7B6C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40E5872D" w14:textId="71BB49F5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407F9972" w14:textId="77777777"/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7A2E8AEB" w14:textId="7C8A0C66">
            <w:pPr>
              <w:spacing w:line="259" w:lineRule="auto"/>
            </w:pPr>
            <w:r>
              <w:t>$14,500</w:t>
            </w:r>
          </w:p>
        </w:tc>
      </w:tr>
      <w:tr w:rsidRPr="009A036B" w:rsidR="00392337" w:rsidTr="004E7A0D" w14:paraId="51DC6D7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63F83140" w14:textId="77777777"/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43865AC9" w14:textId="77777777"/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1455B88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3793B40F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386F67B6" w14:textId="77777777"/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24EA76CD" w14:textId="77777777"/>
        </w:tc>
      </w:tr>
      <w:tr w:rsidRPr="009A036B" w:rsidR="00392337" w:rsidTr="004E7A0D" w14:paraId="59A0D2C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106043A7" w14:textId="77777777">
            <w:r w:rsidRPr="009A036B">
              <w:t>Travel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581013D7" w14:textId="77777777"/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7BD6057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5C9C37FD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701CC0B2" w14:textId="77777777"/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1A195A10" w14:textId="77777777"/>
        </w:tc>
      </w:tr>
      <w:tr w:rsidRPr="009A036B" w:rsidR="00392337" w:rsidTr="004E7A0D" w14:paraId="23FC3CC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09C31AA0" w14:textId="77777777">
            <w:r w:rsidRPr="009A036B">
              <w:t>Other Cost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1CE1290B" w14:textId="77777777"/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04F0585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13792D04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2AC0A328" w14:textId="77777777"/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3B4011EB" w14:textId="77777777"/>
        </w:tc>
      </w:tr>
      <w:tr w:rsidRPr="009A036B" w:rsidR="00392337" w:rsidTr="004E7A0D" w14:paraId="53ACFC2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392337" w:rsidP="00392337" w:rsidRDefault="00392337" w14:paraId="1EB4D1C0" w14:textId="77777777">
            <w:pPr>
              <w:rPr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19DF675A" w14:textId="77777777"/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392337" w:rsidP="00392337" w:rsidRDefault="00392337" w14:paraId="2A8CAEC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92337" w:rsidP="00392337" w:rsidRDefault="00392337" w14:paraId="721AD6C5" w14:textId="77777777">
            <w:pPr>
              <w:rPr>
                <w:b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392337" w:rsidP="00392337" w:rsidRDefault="00392337" w14:paraId="0AAE3DC7" w14:textId="77777777">
            <w:pPr>
              <w:rPr>
                <w:b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5984B8A8" w14:textId="77777777">
            <w:pPr>
              <w:rPr>
                <w:b/>
              </w:rPr>
            </w:pPr>
          </w:p>
        </w:tc>
      </w:tr>
      <w:tr w:rsidRPr="009A036B" w:rsidR="00392337" w:rsidTr="004E7A0D" w14:paraId="5B5663A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392337" w:rsidP="00392337" w:rsidRDefault="00392337" w14:paraId="2E52D01E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9A036B" w:rsidR="00392337" w:rsidP="00392337" w:rsidRDefault="00392337" w14:paraId="3A06E837" w14:textId="77777777"/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392337" w:rsidP="00392337" w:rsidRDefault="00392337" w14:paraId="36074D3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392337" w:rsidP="00392337" w:rsidRDefault="00392337" w14:paraId="512AED08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9A036B" w:rsidR="00392337" w:rsidP="00392337" w:rsidRDefault="00392337" w14:paraId="76D43DDF" w14:textId="77777777"/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392337" w:rsidP="00392337" w:rsidRDefault="00392337" w14:paraId="4756786A" w14:textId="1A0CC4E1">
            <w:r>
              <w:t>$14,778</w:t>
            </w:r>
          </w:p>
        </w:tc>
      </w:tr>
    </w:tbl>
    <w:p w:rsidRPr="009A036B" w:rsidR="009A036B" w:rsidP="009A036B" w:rsidRDefault="002D74B4" w14:paraId="1C3911A0" w14:textId="38AB3CB4">
      <w:bookmarkStart w:name="_Hlk31117769" w:id="3"/>
      <w:r>
        <w:lastRenderedPageBreak/>
        <w:t>*</w:t>
      </w:r>
      <w:r w:rsidRPr="0001640F">
        <w:rPr>
          <w:sz w:val="18"/>
          <w:szCs w:val="18"/>
        </w:rPr>
        <w:t>the</w:t>
      </w:r>
      <w:r w:rsidRPr="007F5AA3">
        <w:rPr>
          <w:sz w:val="18"/>
          <w:szCs w:val="18"/>
        </w:rPr>
        <w:t xml:space="preserve"> </w:t>
      </w:r>
      <w:r w:rsidRPr="0001640F">
        <w:rPr>
          <w:sz w:val="18"/>
          <w:szCs w:val="18"/>
        </w:rPr>
        <w:t>Salary in table above is cited from</w:t>
      </w:r>
      <w:r w:rsidRPr="007F5AA3">
        <w:rPr>
          <w:sz w:val="18"/>
          <w:szCs w:val="18"/>
        </w:rPr>
        <w:t xml:space="preserve"> </w:t>
      </w:r>
      <w:r w:rsidRPr="00BC2DF8" w:rsidR="00BC2DF8">
        <w:rPr>
          <w:sz w:val="18"/>
          <w:szCs w:val="18"/>
        </w:rPr>
        <w:t>https://www.opm.gov/policy-data-oversight/pay-leave/salaries-wages/salary-tables/pdf/2022/DCB.pdf</w:t>
      </w:r>
      <w:r>
        <w:t xml:space="preserve"> </w:t>
      </w:r>
      <w:r>
        <w:rPr>
          <w:sz w:val="18"/>
          <w:szCs w:val="18"/>
        </w:rPr>
        <w:t xml:space="preserve">    </w:t>
      </w:r>
      <w:r w:rsidR="00FD04D8">
        <w:rPr>
          <w:sz w:val="18"/>
          <w:szCs w:val="18"/>
        </w:rPr>
        <w:t xml:space="preserve"> </w:t>
      </w:r>
    </w:p>
    <w:bookmarkEnd w:id="3"/>
    <w:p w:rsidR="009A036B" w:rsidRDefault="009A036B" w14:paraId="5465DD72" w14:textId="3F0F5D4C">
      <w:pPr>
        <w:rPr>
          <w:b/>
        </w:rPr>
      </w:pPr>
    </w:p>
    <w:bookmarkEnd w:id="2"/>
    <w:p w:rsidR="0069403B" w:rsidP="00F06866" w:rsidRDefault="00ED6492" w14:paraId="458A99A2" w14:textId="359308E4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134B84F" w14:textId="77777777">
      <w:pPr>
        <w:rPr>
          <w:b/>
        </w:rPr>
      </w:pPr>
    </w:p>
    <w:p w:rsidR="00F06866" w:rsidP="00F06866" w:rsidRDefault="00636621" w14:paraId="0E8FB47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A0A5C18" w14:textId="77777777">
      <w:pPr>
        <w:pStyle w:val="ListParagraph"/>
        <w:numPr>
          <w:ilvl w:val="0"/>
          <w:numId w:val="18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106567">
        <w:t>X</w:t>
      </w:r>
      <w:r>
        <w:t>] No</w:t>
      </w:r>
    </w:p>
    <w:p w:rsidR="00636621" w:rsidP="00636621" w:rsidRDefault="00636621" w14:paraId="3A7BE706" w14:textId="77777777">
      <w:pPr>
        <w:pStyle w:val="ListParagraph"/>
      </w:pPr>
    </w:p>
    <w:p w:rsidR="00636621" w:rsidP="001B0AAA" w:rsidRDefault="00636621" w14:paraId="3E5AB702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F76693" w:rsidP="00F76693" w:rsidRDefault="00F76693" w14:paraId="392B9BCC" w14:textId="77777777"/>
    <w:p w:rsidR="00F76693" w:rsidP="00F76693" w:rsidRDefault="00F76693" w14:paraId="5904B34E" w14:textId="2A17F27D">
      <w:r w:rsidRPr="00DF4D61">
        <w:t xml:space="preserve">Survey respondents </w:t>
      </w:r>
      <w:r w:rsidR="003E4A7D">
        <w:t>include</w:t>
      </w:r>
      <w:r w:rsidRPr="00DF4D61">
        <w:t xml:space="preserve"> </w:t>
      </w:r>
      <w:r>
        <w:t>NI</w:t>
      </w:r>
      <w:r w:rsidR="000772A5">
        <w:t xml:space="preserve">AMS </w:t>
      </w:r>
      <w:r w:rsidRPr="00DF4D61">
        <w:t>website</w:t>
      </w:r>
      <w:r w:rsidR="003E4A7D">
        <w:t xml:space="preserve"> visitors</w:t>
      </w:r>
      <w:r w:rsidRPr="00DF4D61">
        <w:t xml:space="preserve"> who </w:t>
      </w:r>
      <w:r w:rsidR="003E4A7D">
        <w:t xml:space="preserve">voluntarily </w:t>
      </w:r>
      <w:r w:rsidRPr="00DF4D61">
        <w:t xml:space="preserve">choose to </w:t>
      </w:r>
      <w:r w:rsidR="003E4A7D">
        <w:t>complete</w:t>
      </w:r>
      <w:r w:rsidRPr="00DF4D61">
        <w:t xml:space="preserve"> </w:t>
      </w:r>
      <w:r w:rsidR="003E4A7D">
        <w:t>the survey</w:t>
      </w:r>
      <w:r w:rsidRPr="00DF4D61">
        <w:t xml:space="preserve">. </w:t>
      </w:r>
      <w:r w:rsidR="003E4A7D">
        <w:t>The survey will appear as an optional “pop-up” on both mobile and desktop devices</w:t>
      </w:r>
      <w:r w:rsidRPr="00DF4D61">
        <w:t xml:space="preserve">. Repeat </w:t>
      </w:r>
      <w:r w:rsidR="003E4A7D">
        <w:t xml:space="preserve">website </w:t>
      </w:r>
      <w:r w:rsidRPr="00DF4D61">
        <w:t xml:space="preserve">visitors who have </w:t>
      </w:r>
      <w:r w:rsidR="003E4A7D">
        <w:t>previously</w:t>
      </w:r>
      <w:r w:rsidRPr="00DF4D61">
        <w:t xml:space="preserve"> been invited to respond</w:t>
      </w:r>
      <w:r w:rsidR="003E4A7D">
        <w:t xml:space="preserve"> to the survey</w:t>
      </w:r>
      <w:r w:rsidRPr="00DF4D61">
        <w:t xml:space="preserve"> will </w:t>
      </w:r>
      <w:r w:rsidRPr="003E4A7D">
        <w:rPr>
          <w:i/>
          <w:iCs/>
        </w:rPr>
        <w:t xml:space="preserve">not </w:t>
      </w:r>
      <w:r w:rsidRPr="00DF4D61">
        <w:t xml:space="preserve">receive </w:t>
      </w:r>
      <w:r w:rsidR="003E4A7D">
        <w:t xml:space="preserve">additional survey requests. This is </w:t>
      </w:r>
      <w:r w:rsidRPr="00DF4D61">
        <w:t>regardless of whether they completed the survey</w:t>
      </w:r>
      <w:r w:rsidR="003E4A7D">
        <w:t xml:space="preserve"> previously. </w:t>
      </w:r>
    </w:p>
    <w:p w:rsidR="00A403BB" w:rsidP="00A403BB" w:rsidRDefault="00A403BB" w14:paraId="02CF8BD3" w14:textId="77777777"/>
    <w:p w:rsidR="00A403BB" w:rsidP="00A403BB" w:rsidRDefault="00A403BB" w14:paraId="6F33C5A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032E473" w14:textId="77777777">
      <w:pPr>
        <w:pStyle w:val="ListParagraph"/>
        <w:numPr>
          <w:ilvl w:val="0"/>
          <w:numId w:val="20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B72EA84" w14:textId="77777777">
      <w:pPr>
        <w:ind w:left="720"/>
      </w:pPr>
      <w:r>
        <w:t>[</w:t>
      </w:r>
      <w:r w:rsidR="00106567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29BA284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7B6969E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2BCFE3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77092FC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34C3D10C" w14:textId="77777777">
      <w:pPr>
        <w:pStyle w:val="ListParagraph"/>
        <w:numPr>
          <w:ilvl w:val="0"/>
          <w:numId w:val="20"/>
        </w:numPr>
      </w:pPr>
      <w:r>
        <w:t>Will interviewers or facilitators be used?  [  ] Yes [</w:t>
      </w:r>
      <w:r w:rsidR="00106567">
        <w:t>X</w:t>
      </w:r>
      <w:r>
        <w:t xml:space="preserve"> ] No</w:t>
      </w:r>
    </w:p>
    <w:p w:rsidR="00F24CFC" w:rsidP="00F24CFC" w:rsidRDefault="00F24CFC" w14:paraId="57378ACE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08D4EBB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6B627329" w14:textId="77777777">
      <w:pPr>
        <w:rPr>
          <w:b/>
        </w:rPr>
      </w:pPr>
    </w:p>
    <w:p w:rsidRPr="00F24CFC" w:rsidR="003932D1" w:rsidP="0024521E" w:rsidRDefault="003932D1" w14:paraId="3AE8DCE3" w14:textId="77777777">
      <w:pPr>
        <w:rPr>
          <w:b/>
        </w:rPr>
      </w:pPr>
    </w:p>
    <w:p w:rsidRPr="00F24CFC" w:rsidR="00F24CFC" w:rsidP="00F24CFC" w:rsidRDefault="00F24CFC" w14:paraId="3ED569B3" w14:textId="77777777">
      <w:pPr>
        <w:rPr>
          <w:b/>
        </w:rPr>
      </w:pPr>
    </w:p>
    <w:p w:rsidR="005E714A" w:rsidP="00F24CFC" w:rsidRDefault="005E714A" w14:paraId="1C44C6EE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C44B" w14:textId="77777777" w:rsidR="00FD2559" w:rsidRDefault="00FD2559">
      <w:r>
        <w:separator/>
      </w:r>
    </w:p>
  </w:endnote>
  <w:endnote w:type="continuationSeparator" w:id="0">
    <w:p w14:paraId="411560BF" w14:textId="77777777" w:rsidR="00FD2559" w:rsidRDefault="00FD2559">
      <w:r>
        <w:continuationSeparator/>
      </w:r>
    </w:p>
  </w:endnote>
  <w:endnote w:type="continuationNotice" w:id="1">
    <w:p w14:paraId="22887A76" w14:textId="77777777" w:rsidR="00FD2559" w:rsidRDefault="00FD2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5FF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D4FC" w14:textId="77777777" w:rsidR="00FD2559" w:rsidRDefault="00FD2559">
      <w:r>
        <w:separator/>
      </w:r>
    </w:p>
  </w:footnote>
  <w:footnote w:type="continuationSeparator" w:id="0">
    <w:p w14:paraId="42D6FE30" w14:textId="77777777" w:rsidR="00FD2559" w:rsidRDefault="00FD2559">
      <w:r>
        <w:continuationSeparator/>
      </w:r>
    </w:p>
  </w:footnote>
  <w:footnote w:type="continuationNotice" w:id="1">
    <w:p w14:paraId="2021504E" w14:textId="77777777" w:rsidR="00FD2559" w:rsidRDefault="00FD25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30ECF"/>
    <w:multiLevelType w:val="hybridMultilevel"/>
    <w:tmpl w:val="82AC8646"/>
    <w:lvl w:ilvl="0" w:tplc="BD3E6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F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4B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A9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C8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E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09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21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28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05E60"/>
    <w:multiLevelType w:val="hybridMultilevel"/>
    <w:tmpl w:val="82687582"/>
    <w:lvl w:ilvl="0" w:tplc="93828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E9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AB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A8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A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85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2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4B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66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C3693"/>
    <w:multiLevelType w:val="hybridMultilevel"/>
    <w:tmpl w:val="C5561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C570E5A"/>
    <w:multiLevelType w:val="hybridMultilevel"/>
    <w:tmpl w:val="6FC8CF9E"/>
    <w:lvl w:ilvl="0" w:tplc="85D85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64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AC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8A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E2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AA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AD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69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0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769A1"/>
    <w:multiLevelType w:val="hybridMultilevel"/>
    <w:tmpl w:val="2D3808E0"/>
    <w:lvl w:ilvl="0" w:tplc="74FEB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4"/>
  </w:num>
  <w:num w:numId="5">
    <w:abstractNumId w:val="21"/>
  </w:num>
  <w:num w:numId="6">
    <w:abstractNumId w:val="20"/>
  </w:num>
  <w:num w:numId="7">
    <w:abstractNumId w:val="22"/>
  </w:num>
  <w:num w:numId="8">
    <w:abstractNumId w:val="3"/>
  </w:num>
  <w:num w:numId="9">
    <w:abstractNumId w:val="1"/>
  </w:num>
  <w:num w:numId="10">
    <w:abstractNumId w:val="11"/>
  </w:num>
  <w:num w:numId="11">
    <w:abstractNumId w:val="18"/>
  </w:num>
  <w:num w:numId="12">
    <w:abstractNumId w:val="13"/>
  </w:num>
  <w:num w:numId="13">
    <w:abstractNumId w:val="2"/>
  </w:num>
  <w:num w:numId="14">
    <w:abstractNumId w:val="7"/>
  </w:num>
  <w:num w:numId="15">
    <w:abstractNumId w:val="8"/>
  </w:num>
  <w:num w:numId="16">
    <w:abstractNumId w:val="0"/>
  </w:num>
  <w:num w:numId="17">
    <w:abstractNumId w:val="19"/>
  </w:num>
  <w:num w:numId="18">
    <w:abstractNumId w:val="17"/>
  </w:num>
  <w:num w:numId="19">
    <w:abstractNumId w:val="15"/>
  </w:num>
  <w:num w:numId="20">
    <w:abstractNumId w:val="4"/>
  </w:num>
  <w:num w:numId="21">
    <w:abstractNumId w:val="5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317"/>
    <w:rsid w:val="000132FA"/>
    <w:rsid w:val="0001640F"/>
    <w:rsid w:val="00023A57"/>
    <w:rsid w:val="00047A64"/>
    <w:rsid w:val="00067329"/>
    <w:rsid w:val="000722CE"/>
    <w:rsid w:val="000772A5"/>
    <w:rsid w:val="000913EC"/>
    <w:rsid w:val="00092472"/>
    <w:rsid w:val="000B2838"/>
    <w:rsid w:val="000C4ACA"/>
    <w:rsid w:val="000D44CA"/>
    <w:rsid w:val="000E0745"/>
    <w:rsid w:val="000E200B"/>
    <w:rsid w:val="000F1358"/>
    <w:rsid w:val="000F68BE"/>
    <w:rsid w:val="00106567"/>
    <w:rsid w:val="00113A81"/>
    <w:rsid w:val="001240E3"/>
    <w:rsid w:val="001365B2"/>
    <w:rsid w:val="001469AB"/>
    <w:rsid w:val="00162F83"/>
    <w:rsid w:val="00171BE0"/>
    <w:rsid w:val="00177546"/>
    <w:rsid w:val="00177AEA"/>
    <w:rsid w:val="001855D1"/>
    <w:rsid w:val="001927A4"/>
    <w:rsid w:val="00194AC6"/>
    <w:rsid w:val="001A23B0"/>
    <w:rsid w:val="001A25CC"/>
    <w:rsid w:val="001B0AAA"/>
    <w:rsid w:val="001B37DB"/>
    <w:rsid w:val="001C1B50"/>
    <w:rsid w:val="001C39F7"/>
    <w:rsid w:val="001F6452"/>
    <w:rsid w:val="00213521"/>
    <w:rsid w:val="00237B48"/>
    <w:rsid w:val="0024521E"/>
    <w:rsid w:val="00263C3D"/>
    <w:rsid w:val="00274D0B"/>
    <w:rsid w:val="00284110"/>
    <w:rsid w:val="002B331B"/>
    <w:rsid w:val="002B3C95"/>
    <w:rsid w:val="002D0B92"/>
    <w:rsid w:val="002D26E2"/>
    <w:rsid w:val="002D2D84"/>
    <w:rsid w:val="002D3E8B"/>
    <w:rsid w:val="002D74B4"/>
    <w:rsid w:val="002E48F5"/>
    <w:rsid w:val="002F0C1B"/>
    <w:rsid w:val="002F79EA"/>
    <w:rsid w:val="00312E7B"/>
    <w:rsid w:val="003668D6"/>
    <w:rsid w:val="00392337"/>
    <w:rsid w:val="003932D1"/>
    <w:rsid w:val="003A7074"/>
    <w:rsid w:val="003D5BBE"/>
    <w:rsid w:val="003E3C61"/>
    <w:rsid w:val="003E4A7D"/>
    <w:rsid w:val="003F1C5B"/>
    <w:rsid w:val="00410967"/>
    <w:rsid w:val="00420E91"/>
    <w:rsid w:val="00431EB1"/>
    <w:rsid w:val="004338BA"/>
    <w:rsid w:val="00434E33"/>
    <w:rsid w:val="00441434"/>
    <w:rsid w:val="00443B5D"/>
    <w:rsid w:val="0045186A"/>
    <w:rsid w:val="0045264C"/>
    <w:rsid w:val="00453F5A"/>
    <w:rsid w:val="004722E7"/>
    <w:rsid w:val="00482EBC"/>
    <w:rsid w:val="004876EC"/>
    <w:rsid w:val="00497EF9"/>
    <w:rsid w:val="004A44F3"/>
    <w:rsid w:val="004B1EB8"/>
    <w:rsid w:val="004D6E14"/>
    <w:rsid w:val="004E52D1"/>
    <w:rsid w:val="004E7A0D"/>
    <w:rsid w:val="004F4316"/>
    <w:rsid w:val="005009B0"/>
    <w:rsid w:val="0050665F"/>
    <w:rsid w:val="00523575"/>
    <w:rsid w:val="005502FA"/>
    <w:rsid w:val="00561AA0"/>
    <w:rsid w:val="005651B1"/>
    <w:rsid w:val="0057517D"/>
    <w:rsid w:val="005A1006"/>
    <w:rsid w:val="005A1580"/>
    <w:rsid w:val="005A772A"/>
    <w:rsid w:val="005C5623"/>
    <w:rsid w:val="005E2697"/>
    <w:rsid w:val="005E3871"/>
    <w:rsid w:val="005E5F8B"/>
    <w:rsid w:val="005E714A"/>
    <w:rsid w:val="006140A0"/>
    <w:rsid w:val="00633F74"/>
    <w:rsid w:val="00636329"/>
    <w:rsid w:val="00636621"/>
    <w:rsid w:val="00642B49"/>
    <w:rsid w:val="006832D9"/>
    <w:rsid w:val="00686301"/>
    <w:rsid w:val="00691AC8"/>
    <w:rsid w:val="0069403B"/>
    <w:rsid w:val="006A4DD7"/>
    <w:rsid w:val="006B7B34"/>
    <w:rsid w:val="006D5F47"/>
    <w:rsid w:val="006E78DD"/>
    <w:rsid w:val="006F3DDE"/>
    <w:rsid w:val="00702ABD"/>
    <w:rsid w:val="00704678"/>
    <w:rsid w:val="007344EE"/>
    <w:rsid w:val="007425E7"/>
    <w:rsid w:val="00753DA9"/>
    <w:rsid w:val="00766D95"/>
    <w:rsid w:val="0077703F"/>
    <w:rsid w:val="007C64E1"/>
    <w:rsid w:val="007D5376"/>
    <w:rsid w:val="007F5AA3"/>
    <w:rsid w:val="00802607"/>
    <w:rsid w:val="008101A5"/>
    <w:rsid w:val="00810373"/>
    <w:rsid w:val="008116A2"/>
    <w:rsid w:val="00811789"/>
    <w:rsid w:val="008166D2"/>
    <w:rsid w:val="00822664"/>
    <w:rsid w:val="00843796"/>
    <w:rsid w:val="0085116A"/>
    <w:rsid w:val="008670DC"/>
    <w:rsid w:val="00877DD8"/>
    <w:rsid w:val="00887320"/>
    <w:rsid w:val="00895229"/>
    <w:rsid w:val="008A35DA"/>
    <w:rsid w:val="008F0203"/>
    <w:rsid w:val="008F50D4"/>
    <w:rsid w:val="00913D57"/>
    <w:rsid w:val="009239AA"/>
    <w:rsid w:val="0093383B"/>
    <w:rsid w:val="00935ADA"/>
    <w:rsid w:val="00946B6C"/>
    <w:rsid w:val="00955A71"/>
    <w:rsid w:val="0096108F"/>
    <w:rsid w:val="009A036B"/>
    <w:rsid w:val="009C13B9"/>
    <w:rsid w:val="009D01A2"/>
    <w:rsid w:val="009D195B"/>
    <w:rsid w:val="009F5923"/>
    <w:rsid w:val="00A229F1"/>
    <w:rsid w:val="00A31BAD"/>
    <w:rsid w:val="00A403BB"/>
    <w:rsid w:val="00A50F89"/>
    <w:rsid w:val="00A674DF"/>
    <w:rsid w:val="00A83AA6"/>
    <w:rsid w:val="00AB40CD"/>
    <w:rsid w:val="00AC60E8"/>
    <w:rsid w:val="00AE14B1"/>
    <w:rsid w:val="00AE1809"/>
    <w:rsid w:val="00AF33DE"/>
    <w:rsid w:val="00B24DAF"/>
    <w:rsid w:val="00B32B50"/>
    <w:rsid w:val="00B33A7A"/>
    <w:rsid w:val="00B4462D"/>
    <w:rsid w:val="00B62D0F"/>
    <w:rsid w:val="00B80D76"/>
    <w:rsid w:val="00BA2105"/>
    <w:rsid w:val="00BA7E06"/>
    <w:rsid w:val="00BB43B5"/>
    <w:rsid w:val="00BB6219"/>
    <w:rsid w:val="00BC2DF8"/>
    <w:rsid w:val="00BC62B6"/>
    <w:rsid w:val="00BC676D"/>
    <w:rsid w:val="00BD290F"/>
    <w:rsid w:val="00BE0ADE"/>
    <w:rsid w:val="00BF3552"/>
    <w:rsid w:val="00BF6223"/>
    <w:rsid w:val="00C14CC4"/>
    <w:rsid w:val="00C30F3E"/>
    <w:rsid w:val="00C33C52"/>
    <w:rsid w:val="00C40D8B"/>
    <w:rsid w:val="00C739DF"/>
    <w:rsid w:val="00C8407A"/>
    <w:rsid w:val="00C8488C"/>
    <w:rsid w:val="00C86E91"/>
    <w:rsid w:val="00CA19A3"/>
    <w:rsid w:val="00CA2010"/>
    <w:rsid w:val="00CA2650"/>
    <w:rsid w:val="00CB1078"/>
    <w:rsid w:val="00CC013E"/>
    <w:rsid w:val="00CC6FAF"/>
    <w:rsid w:val="00CD3F0A"/>
    <w:rsid w:val="00CD48B6"/>
    <w:rsid w:val="00CE033F"/>
    <w:rsid w:val="00D15B64"/>
    <w:rsid w:val="00D24698"/>
    <w:rsid w:val="00D35087"/>
    <w:rsid w:val="00D44ABC"/>
    <w:rsid w:val="00D504C2"/>
    <w:rsid w:val="00D6383F"/>
    <w:rsid w:val="00D662C8"/>
    <w:rsid w:val="00D71CB8"/>
    <w:rsid w:val="00D743B6"/>
    <w:rsid w:val="00D761B8"/>
    <w:rsid w:val="00DB4A58"/>
    <w:rsid w:val="00DB59D0"/>
    <w:rsid w:val="00DC2F2F"/>
    <w:rsid w:val="00DC3233"/>
    <w:rsid w:val="00DC33D3"/>
    <w:rsid w:val="00DC64D3"/>
    <w:rsid w:val="00DD3DE0"/>
    <w:rsid w:val="00DE7CFF"/>
    <w:rsid w:val="00DF2BC3"/>
    <w:rsid w:val="00E16C23"/>
    <w:rsid w:val="00E26329"/>
    <w:rsid w:val="00E35018"/>
    <w:rsid w:val="00E40B50"/>
    <w:rsid w:val="00E50293"/>
    <w:rsid w:val="00E60241"/>
    <w:rsid w:val="00E65FFC"/>
    <w:rsid w:val="00E670E2"/>
    <w:rsid w:val="00E739A4"/>
    <w:rsid w:val="00E80951"/>
    <w:rsid w:val="00E86CC6"/>
    <w:rsid w:val="00EA2B64"/>
    <w:rsid w:val="00EB413E"/>
    <w:rsid w:val="00EB56B3"/>
    <w:rsid w:val="00EB6322"/>
    <w:rsid w:val="00EC71EB"/>
    <w:rsid w:val="00ED6492"/>
    <w:rsid w:val="00EE05F2"/>
    <w:rsid w:val="00EE3CC3"/>
    <w:rsid w:val="00EF2095"/>
    <w:rsid w:val="00F06866"/>
    <w:rsid w:val="00F136F1"/>
    <w:rsid w:val="00F15956"/>
    <w:rsid w:val="00F24CFC"/>
    <w:rsid w:val="00F274B4"/>
    <w:rsid w:val="00F3170F"/>
    <w:rsid w:val="00F76693"/>
    <w:rsid w:val="00F77081"/>
    <w:rsid w:val="00F8447F"/>
    <w:rsid w:val="00F94D8C"/>
    <w:rsid w:val="00F95B7A"/>
    <w:rsid w:val="00F976B0"/>
    <w:rsid w:val="00FA6DE7"/>
    <w:rsid w:val="00FC0A8E"/>
    <w:rsid w:val="00FD04D8"/>
    <w:rsid w:val="00FD2559"/>
    <w:rsid w:val="00FE1047"/>
    <w:rsid w:val="00FE2FA6"/>
    <w:rsid w:val="00FE3DF2"/>
    <w:rsid w:val="031C5755"/>
    <w:rsid w:val="06648EB7"/>
    <w:rsid w:val="073C8C8F"/>
    <w:rsid w:val="089C477F"/>
    <w:rsid w:val="0AD3EC20"/>
    <w:rsid w:val="0B1731DF"/>
    <w:rsid w:val="0F171BDA"/>
    <w:rsid w:val="10BAD41A"/>
    <w:rsid w:val="1D58A320"/>
    <w:rsid w:val="22317B0C"/>
    <w:rsid w:val="2320E2B5"/>
    <w:rsid w:val="23CD4B6D"/>
    <w:rsid w:val="26771BBE"/>
    <w:rsid w:val="269DE79A"/>
    <w:rsid w:val="2A174CC3"/>
    <w:rsid w:val="35E800FB"/>
    <w:rsid w:val="397E72B3"/>
    <w:rsid w:val="3A90FE30"/>
    <w:rsid w:val="3B425FC7"/>
    <w:rsid w:val="3ED8741B"/>
    <w:rsid w:val="3F04DA25"/>
    <w:rsid w:val="400C1711"/>
    <w:rsid w:val="40E71757"/>
    <w:rsid w:val="417C5B5D"/>
    <w:rsid w:val="42171A65"/>
    <w:rsid w:val="4811DB24"/>
    <w:rsid w:val="4A3356F0"/>
    <w:rsid w:val="4CB81457"/>
    <w:rsid w:val="53A0AB83"/>
    <w:rsid w:val="56483844"/>
    <w:rsid w:val="57489FF9"/>
    <w:rsid w:val="5810B74C"/>
    <w:rsid w:val="589A3F88"/>
    <w:rsid w:val="5D806C40"/>
    <w:rsid w:val="5DD9C1CE"/>
    <w:rsid w:val="5FC2039D"/>
    <w:rsid w:val="60AC9AE5"/>
    <w:rsid w:val="60BDFDE9"/>
    <w:rsid w:val="60CCDFCF"/>
    <w:rsid w:val="6417681E"/>
    <w:rsid w:val="6439C4D6"/>
    <w:rsid w:val="677ECDA8"/>
    <w:rsid w:val="689DD858"/>
    <w:rsid w:val="69A9335A"/>
    <w:rsid w:val="6A529B05"/>
    <w:rsid w:val="6B333117"/>
    <w:rsid w:val="6E1B4C16"/>
    <w:rsid w:val="76D3A0EA"/>
    <w:rsid w:val="7ADDFB1D"/>
    <w:rsid w:val="7B99C4BA"/>
    <w:rsid w:val="7F73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0096A"/>
  <w15:chartTrackingRefBased/>
  <w15:docId w15:val="{041AEF6E-B779-4695-8281-847ADC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paragraph" w:styleId="Revision">
    <w:name w:val="Revision"/>
    <w:hidden/>
    <w:uiPriority w:val="99"/>
    <w:semiHidden/>
    <w:rsid w:val="00AB40CD"/>
    <w:rPr>
      <w:sz w:val="24"/>
      <w:szCs w:val="24"/>
    </w:rPr>
  </w:style>
  <w:style w:type="character" w:styleId="FollowedHyperlink">
    <w:name w:val="FollowedHyperlink"/>
    <w:basedOn w:val="DefaultParagraphFont"/>
    <w:rsid w:val="00EE3C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02F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502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ams.nih.gov/newsletters" TargetMode="External"/><Relationship Id="rId18" Type="http://schemas.openxmlformats.org/officeDocument/2006/relationships/hyperlink" Target="https://nam12.safelinks.protection.outlook.com/?url=https%3A%2F%2Fwww.bls.gov%2Fnews.release%2Fempsit.t19.htm&amp;data=04%7C01%7C%7Cf94d242bd6d04df65ead08d979440796%7C1fe753be404646da858eb0b86657ed9e%7C0%7C0%7C637674155401277683%7CUnknown%7CTWFpbGZsb3d8eyJWIjoiMC4wLjAwMDAiLCJQIjoiV2luMzIiLCJBTiI6Ik1haWwiLCJXVCI6Mn0%3D%7C1000&amp;sdata=rrMsxK5jubseFYLthGB4Vtv9yIfxyIn5%2BTMMfN8iNFM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iams.nih.gov/health-topics" TargetMode="External"/><Relationship Id="rId17" Type="http://schemas.openxmlformats.org/officeDocument/2006/relationships/hyperlink" Target="https://www.niams.nih.gov/grants-fund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ams.nih.gov/lab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ams.nih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iams.nih.gov/community-outreach-initiativ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ams.nih.gov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689e81-8e1d-4cb9-9c46-2811b843d223">
      <UserInfo>
        <DisplayName>Alejandra Brackett</DisplayName>
        <AccountId>198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E9CB0-C4AF-4DAB-BC24-A1890154B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C745E-7C09-4C87-B8FD-5585F93D6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4D91D-1BB6-4D6A-9669-B1CD12E8FA01}">
  <ds:schemaRefs>
    <ds:schemaRef ds:uri="http://schemas.microsoft.com/office/2006/metadata/properties"/>
    <ds:schemaRef ds:uri="http://schemas.microsoft.com/office/infopath/2007/PartnerControls"/>
    <ds:schemaRef ds:uri="40689e81-8e1d-4cb9-9c46-2811b843d223"/>
  </ds:schemaRefs>
</ds:datastoreItem>
</file>

<file path=customXml/itemProps4.xml><?xml version="1.0" encoding="utf-8"?>
<ds:datastoreItem xmlns:ds="http://schemas.openxmlformats.org/officeDocument/2006/customXml" ds:itemID="{67E830B8-F163-41E6-91EE-BAC0463C7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6</cp:revision>
  <cp:lastPrinted>2010-10-04T19:59:00Z</cp:lastPrinted>
  <dcterms:created xsi:type="dcterms:W3CDTF">2022-02-04T00:13:00Z</dcterms:created>
  <dcterms:modified xsi:type="dcterms:W3CDTF">2022-02-07T22:57:00Z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0x0101005AEBE1A0B23F7042BF74DC45D10E0E5A</vt:lpwstr>
  </property>
</Properties>
</file>