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4952FE8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</w:t>
      </w:r>
      <w:r w:rsidR="003002B6">
        <w:t>6</w:t>
      </w:r>
      <w:r w:rsidR="0085116A">
        <w:t>/202</w:t>
      </w:r>
      <w:r w:rsidR="003002B6">
        <w:t>4</w:t>
      </w:r>
      <w:r>
        <w:rPr>
          <w:sz w:val="28"/>
        </w:rPr>
        <w:t>)</w:t>
      </w:r>
    </w:p>
    <w:p w:rsidR="00E50293" w:rsidRPr="009239AA" w:rsidP="00434E33" w14:paraId="0FFA5623" w14:textId="3EC2D93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EC1629">
        <w:t>NIH IPv6 Webinar Survey</w:t>
      </w:r>
    </w:p>
    <w:p w:rsidR="005E714A" w14:paraId="11C723D5" w14:textId="77777777"/>
    <w:p w:rsidR="00EC1629" w:rsidP="00EC1629" w14:paraId="31BF45AE" w14:textId="73BA05B0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>
        <w:rPr>
          <w:bCs/>
        </w:rPr>
        <w:t>NIH Information Technology (I</w:t>
      </w:r>
      <w:r w:rsidR="009D3C82">
        <w:rPr>
          <w:bCs/>
        </w:rPr>
        <w:t>T</w:t>
      </w:r>
      <w:r>
        <w:rPr>
          <w:bCs/>
        </w:rPr>
        <w:t>) staff are in the process of moving systems and resources to Internet Protocol Version 6 (IPv6), with an Office of Management and Budget (OMB) mandated deadline of 80 percent of Internet traffic managed through IPv6 by the end of fiscal year 2025 (Source: OMB-M-21-07).</w:t>
      </w:r>
    </w:p>
    <w:p w:rsidR="00EC1629" w:rsidP="00EC1629" w14:paraId="7DC45E4F" w14:textId="77777777">
      <w:pPr>
        <w:rPr>
          <w:bCs/>
        </w:rPr>
      </w:pPr>
    </w:p>
    <w:p w:rsidR="001B0AAA" w:rsidRPr="00EC1629" w:rsidP="00EC1629" w14:paraId="1FB64ED0" w14:textId="3AC87EB5">
      <w:pPr>
        <w:rPr>
          <w:bCs/>
        </w:rPr>
      </w:pPr>
      <w:r w:rsidRPr="00EC1629">
        <w:rPr>
          <w:bCs/>
        </w:rPr>
        <w:t>The NIH IPv6 Integrated Project Team (IPT) is in the process of arranging IPv6 Training sessions for our IT professionals in the role of System Admin</w:t>
      </w:r>
      <w:r w:rsidR="009D3C82">
        <w:rPr>
          <w:bCs/>
        </w:rPr>
        <w:t>istrator</w:t>
      </w:r>
      <w:r w:rsidRPr="00EC1629">
        <w:rPr>
          <w:bCs/>
        </w:rPr>
        <w:t>, Application Developer, or Database Administrator</w:t>
      </w:r>
      <w:r w:rsidR="00845945">
        <w:rPr>
          <w:bCs/>
        </w:rPr>
        <w:t xml:space="preserve">. </w:t>
      </w:r>
      <w:r>
        <w:rPr>
          <w:bCs/>
        </w:rPr>
        <w:t xml:space="preserve">Participating NIH </w:t>
      </w:r>
      <w:r>
        <w:rPr>
          <w:bCs/>
        </w:rPr>
        <w:t>IC’s</w:t>
      </w:r>
      <w:r>
        <w:rPr>
          <w:bCs/>
        </w:rPr>
        <w:t xml:space="preserve"> include NLM, CIT, </w:t>
      </w:r>
      <w:r w:rsidRPr="00EC1629">
        <w:rPr>
          <w:bCs/>
        </w:rPr>
        <w:t xml:space="preserve">NIDDK, NHLBI, NEI, </w:t>
      </w:r>
      <w:r>
        <w:rPr>
          <w:bCs/>
        </w:rPr>
        <w:t xml:space="preserve">and </w:t>
      </w:r>
      <w:r w:rsidRPr="00EC1629">
        <w:rPr>
          <w:bCs/>
        </w:rPr>
        <w:t>NIAID</w:t>
      </w:r>
      <w:r>
        <w:rPr>
          <w:bCs/>
        </w:rPr>
        <w:t xml:space="preserve">. </w:t>
      </w:r>
      <w:r w:rsidRPr="00EC1629">
        <w:rPr>
          <w:bCs/>
        </w:rPr>
        <w:t xml:space="preserve">To assist the training team in identifying key training objectives and topics that are tailored to NIH, the NIH IPv6 IPT team will be fielding </w:t>
      </w:r>
      <w:r>
        <w:rPr>
          <w:bCs/>
        </w:rPr>
        <w:t>the attached online surve</w:t>
      </w:r>
      <w:r w:rsidR="00144BEB">
        <w:rPr>
          <w:bCs/>
        </w:rPr>
        <w:t>y to an audience of contractors working in the roles described above, at the NIH ICs listed above.</w:t>
      </w:r>
    </w:p>
    <w:p w:rsidR="00C8488C" w:rsidP="00434E33" w14:paraId="578BCC1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29224E9A" w14:textId="5F6FFFBB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EC1629">
        <w:t xml:space="preserve">Respondents </w:t>
      </w:r>
      <w:r w:rsidR="002F65CD">
        <w:t>covered by this ICR include contractors</w:t>
      </w:r>
      <w:r w:rsidR="009D3C82">
        <w:t xml:space="preserve"> working in roles including System Administrator, Application Developer, or Database Administrator with responsibility for migration to the IPv6 standard.</w:t>
      </w:r>
      <w:r w:rsidR="002F65CD">
        <w:t xml:space="preserve"> </w:t>
      </w:r>
    </w:p>
    <w:p w:rsidR="00E26329" w14:paraId="0B5D6035" w14:textId="77777777">
      <w:pPr>
        <w:rPr>
          <w:b/>
        </w:rPr>
      </w:pPr>
    </w:p>
    <w:p w:rsidR="00F06866" w:rsidRPr="00F06866" w14:paraId="18408422" w14:textId="77777777">
      <w:pPr>
        <w:rPr>
          <w:b/>
        </w:rPr>
      </w:pPr>
      <w:bookmarkStart w:id="0" w:name="_Hlk116978705"/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7E19CCA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3ECC839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46E069B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2A440D49" w14:textId="0FC037C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9D3C82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bookmarkEnd w:id="0"/>
      <w:r>
        <w:rPr>
          <w:bCs/>
          <w:sz w:val="24"/>
        </w:rPr>
        <w:t>:</w:t>
      </w:r>
      <w:r w:rsidR="009D3C82">
        <w:rPr>
          <w:bCs/>
          <w:sz w:val="24"/>
          <w:u w:val="single"/>
        </w:rPr>
        <w:t xml:space="preserve"> Skills/needs assessment survey</w:t>
      </w:r>
      <w:r>
        <w:rPr>
          <w:bCs/>
          <w:sz w:val="24"/>
          <w:u w:val="single"/>
        </w:rPr>
        <w:tab/>
      </w:r>
    </w:p>
    <w:p w:rsidR="003C27F6" w:rsidP="003C27F6" w14:paraId="19C53D7A" w14:textId="77777777">
      <w:pPr>
        <w:rPr>
          <w:b/>
        </w:rPr>
      </w:pPr>
    </w:p>
    <w:p w:rsidR="003C27F6" w:rsidRPr="00F06866" w:rsidP="003C27F6" w14:paraId="3ED435BB" w14:textId="77777777">
      <w:pPr>
        <w:rPr>
          <w:b/>
        </w:rPr>
      </w:pPr>
      <w:r>
        <w:rPr>
          <w:b/>
        </w:rPr>
        <w:t>FREQUENCY OF REPORTING:</w:t>
      </w:r>
      <w:r w:rsidRPr="00F06866">
        <w:t xml:space="preserve"> (Check one)</w:t>
      </w:r>
    </w:p>
    <w:p w:rsidR="003C27F6" w:rsidRPr="00434E33" w:rsidP="003C27F6" w14:paraId="6E1E1A8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3C27F6" w:rsidRPr="00F06866" w:rsidP="003C27F6" w14:paraId="13ED8857" w14:textId="16E6EE0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9D3C8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>
        <w:rPr>
          <w:bCs/>
          <w:sz w:val="24"/>
        </w:rPr>
        <w:t xml:space="preserve">Once </w:t>
      </w:r>
      <w:r w:rsidRPr="00F06866">
        <w:rPr>
          <w:bCs/>
          <w:sz w:val="24"/>
        </w:rPr>
        <w:tab/>
      </w: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>
        <w:rPr>
          <w:bCs/>
          <w:sz w:val="24"/>
        </w:rPr>
        <w:t>Quarterly</w:t>
      </w:r>
      <w:r w:rsidRPr="00F06866">
        <w:rPr>
          <w:bCs/>
          <w:sz w:val="24"/>
        </w:rPr>
        <w:t xml:space="preserve">  </w:t>
      </w:r>
    </w:p>
    <w:p w:rsidR="003C27F6" w:rsidP="003C27F6" w14:paraId="1A94217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>
        <w:rPr>
          <w:bCs/>
          <w:sz w:val="24"/>
        </w:rPr>
        <w:t>Monthly</w:t>
      </w:r>
      <w:r>
        <w:rPr>
          <w:bCs/>
          <w:sz w:val="24"/>
        </w:rPr>
        <w:tab/>
        <w:t xml:space="preserve">[ ] On Occasion </w:t>
      </w:r>
    </w:p>
    <w:p w:rsidR="003C27F6" w14:paraId="060A5348" w14:textId="62FABC87">
      <w:pPr>
        <w:pStyle w:val="Header"/>
        <w:tabs>
          <w:tab w:val="clear" w:pos="4320"/>
          <w:tab w:val="clear" w:pos="8640"/>
        </w:tabs>
      </w:pPr>
      <w:r>
        <w:rPr>
          <w:bCs/>
        </w:rPr>
        <w:t>[ ]</w:t>
      </w:r>
      <w:r>
        <w:rPr>
          <w:bCs/>
        </w:rPr>
        <w:t xml:space="preserve"> Annually    </w:t>
      </w:r>
      <w:r w:rsidRPr="00F06866">
        <w:rPr>
          <w:bCs/>
        </w:rPr>
        <w:t>[</w:t>
      </w:r>
      <w:r>
        <w:rPr>
          <w:bCs/>
        </w:rPr>
        <w:t xml:space="preserve"> </w:t>
      </w:r>
      <w:r w:rsidRPr="00F06866">
        <w:rPr>
          <w:bCs/>
        </w:rPr>
        <w:t>]</w:t>
      </w:r>
      <w:r>
        <w:rPr>
          <w:bCs/>
        </w:rPr>
        <w:t xml:space="preserve"> Other ___________________</w:t>
      </w:r>
    </w:p>
    <w:p w:rsidR="003C27F6" w14:paraId="5529A621" w14:textId="77777777">
      <w:pPr>
        <w:pStyle w:val="Header"/>
        <w:tabs>
          <w:tab w:val="clear" w:pos="4320"/>
          <w:tab w:val="clear" w:pos="8640"/>
        </w:tabs>
      </w:pPr>
    </w:p>
    <w:p w:rsidR="00CA2650" w14:paraId="39D729F0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70AFE3" w14:textId="77777777">
      <w:pPr>
        <w:rPr>
          <w:sz w:val="16"/>
          <w:szCs w:val="16"/>
        </w:rPr>
      </w:pPr>
    </w:p>
    <w:p w:rsidR="008101A5" w:rsidRPr="009C13B9" w:rsidP="008101A5" w14:paraId="141846D3" w14:textId="77777777">
      <w:r>
        <w:t xml:space="preserve">I certify the following to be true: </w:t>
      </w:r>
    </w:p>
    <w:p w:rsidR="008101A5" w:rsidP="008101A5" w14:paraId="0261B857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9E9911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070BF2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5062462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652A6A8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746DDB9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64B4B9A7" w14:textId="77777777"/>
    <w:p w:rsidR="009C13B9" w:rsidP="009C13B9" w14:paraId="04432565" w14:textId="38A68357">
      <w:r>
        <w:t>Name:</w:t>
      </w:r>
      <w:r w:rsidR="00845945">
        <w:t xml:space="preserve"> </w:t>
      </w:r>
      <w:r w:rsidRPr="009A36D5" w:rsidR="009D3C82">
        <w:rPr>
          <w:u w:val="single"/>
        </w:rPr>
        <w:t>Juan Cepeda</w:t>
      </w:r>
      <w:r w:rsidR="00310D4F">
        <w:rPr>
          <w:u w:val="single"/>
        </w:rPr>
        <w:t>, NLM</w:t>
      </w:r>
    </w:p>
    <w:p w:rsidR="009C13B9" w:rsidP="009C13B9" w14:paraId="1EFE527C" w14:textId="77777777">
      <w:pPr>
        <w:pStyle w:val="ListParagraph"/>
        <w:ind w:left="360"/>
      </w:pPr>
    </w:p>
    <w:p w:rsidR="009C13B9" w:rsidP="009C13B9" w14:paraId="1DAF1AC4" w14:textId="77777777">
      <w:r>
        <w:t>To assist review, please provide answers to the following question:</w:t>
      </w:r>
    </w:p>
    <w:p w:rsidR="009C13B9" w:rsidP="009C13B9" w14:paraId="61A2A220" w14:textId="77777777">
      <w:pPr>
        <w:pStyle w:val="ListParagraph"/>
        <w:ind w:left="360"/>
      </w:pPr>
    </w:p>
    <w:p w:rsidR="009C13B9" w:rsidRPr="00C86E91" w:rsidP="00C86E91" w14:paraId="3732860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284DBE86" w14:textId="0D866603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9D3C82">
        <w:t>X</w:t>
      </w:r>
      <w:r w:rsidR="009239AA">
        <w:t xml:space="preserve">]  No </w:t>
      </w:r>
    </w:p>
    <w:p w:rsidR="00C86E91" w:rsidP="00C86E91" w14:paraId="4992E2AF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230F42C5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633F74" w:rsidP="00633F74" w14:paraId="1B814853" w14:textId="77777777">
      <w:pPr>
        <w:pStyle w:val="ListParagraph"/>
        <w:ind w:left="360"/>
      </w:pPr>
    </w:p>
    <w:p w:rsidR="00C86E91" w:rsidRPr="00C86E91" w:rsidP="00C86E91" w14:paraId="49C059F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73473875" w14:textId="470BADC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9D3C82">
        <w:t>X</w:t>
      </w:r>
      <w:r>
        <w:t xml:space="preserve">] No  </w:t>
      </w:r>
    </w:p>
    <w:p w:rsidR="00F24CFC" w14:paraId="59A75479" w14:textId="77777777">
      <w:pPr>
        <w:rPr>
          <w:b/>
        </w:rPr>
      </w:pPr>
    </w:p>
    <w:p w:rsidR="005E714A" w:rsidRPr="00BC676D" w:rsidP="00C86E91" w14:paraId="0360839F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28A62030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2070"/>
        <w:gridCol w:w="1620"/>
        <w:gridCol w:w="1530"/>
      </w:tblGrid>
      <w:tr w14:paraId="5CE6D4A3" w14:textId="77777777" w:rsidTr="00D504C2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2D26E2" w:rsidP="00C8488C" w14:paraId="082D9879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2D26E2" w:rsidP="00843796" w14:paraId="583F14ED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2D26E2" w:rsidP="00843796" w14:paraId="0712A011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14:paraId="70936917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62338B0B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6E6A1037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in</w:t>
            </w:r>
            <w:r>
              <w:rPr>
                <w:b/>
              </w:rPr>
              <w:t xml:space="preserve"> hours) </w:t>
            </w:r>
          </w:p>
        </w:tc>
        <w:tc>
          <w:tcPr>
            <w:tcW w:w="1530" w:type="dxa"/>
          </w:tcPr>
          <w:p w:rsidR="003668D6" w:rsidP="00843796" w14:paraId="75FD0B68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07AB97AF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51463B9D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520" w:type="dxa"/>
          </w:tcPr>
          <w:p w:rsidR="003668D6" w:rsidP="00843796" w14:paraId="1E7856AC" w14:textId="72206958">
            <w:r>
              <w:t>Individuals</w:t>
            </w:r>
          </w:p>
        </w:tc>
        <w:tc>
          <w:tcPr>
            <w:tcW w:w="1980" w:type="dxa"/>
          </w:tcPr>
          <w:p w:rsidR="003668D6" w:rsidP="00843796" w14:paraId="09A1B5B7" w14:textId="30767D0B">
            <w:r>
              <w:t>50</w:t>
            </w:r>
          </w:p>
        </w:tc>
        <w:tc>
          <w:tcPr>
            <w:tcW w:w="2070" w:type="dxa"/>
          </w:tcPr>
          <w:p w:rsidR="003668D6" w:rsidP="00843796" w14:paraId="1BC4EDEC" w14:textId="19D3314F">
            <w:r>
              <w:t>1</w:t>
            </w:r>
          </w:p>
        </w:tc>
        <w:tc>
          <w:tcPr>
            <w:tcW w:w="1620" w:type="dxa"/>
          </w:tcPr>
          <w:p w:rsidR="003668D6" w:rsidP="00843796" w14:paraId="6CE8324D" w14:textId="11C134AE">
            <w:r>
              <w:t>3/60</w:t>
            </w:r>
          </w:p>
        </w:tc>
        <w:tc>
          <w:tcPr>
            <w:tcW w:w="1530" w:type="dxa"/>
          </w:tcPr>
          <w:p w:rsidR="003668D6" w:rsidP="00843796" w14:paraId="22DE9D53" w14:textId="626DEBE4">
            <w:r>
              <w:t>3</w:t>
            </w:r>
          </w:p>
        </w:tc>
      </w:tr>
      <w:tr w14:paraId="43CB52DC" w14:textId="77777777" w:rsidTr="00C828FD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P="00843796" w14:paraId="0E69D44C" w14:textId="77777777"/>
        </w:tc>
        <w:tc>
          <w:tcPr>
            <w:tcW w:w="1980" w:type="dxa"/>
            <w:tcBorders>
              <w:bottom w:val="single" w:sz="4" w:space="0" w:color="auto"/>
            </w:tcBorders>
          </w:tcPr>
          <w:p w:rsidR="003668D6" w:rsidP="00843796" w14:paraId="0D022E6C" w14:textId="77777777"/>
        </w:tc>
        <w:tc>
          <w:tcPr>
            <w:tcW w:w="2070" w:type="dxa"/>
          </w:tcPr>
          <w:p w:rsidR="003668D6" w:rsidP="00843796" w14:paraId="27BB8B4D" w14:textId="77777777"/>
        </w:tc>
        <w:tc>
          <w:tcPr>
            <w:tcW w:w="1620" w:type="dxa"/>
          </w:tcPr>
          <w:p w:rsidR="003668D6" w:rsidP="00843796" w14:paraId="60DBC6F0" w14:textId="77777777"/>
        </w:tc>
        <w:tc>
          <w:tcPr>
            <w:tcW w:w="1530" w:type="dxa"/>
          </w:tcPr>
          <w:p w:rsidR="003668D6" w:rsidP="00843796" w14:paraId="6A6BC757" w14:textId="77777777"/>
        </w:tc>
      </w:tr>
      <w:tr w14:paraId="0305FC73" w14:textId="77777777" w:rsidTr="00CF4A46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520" w:type="dxa"/>
          </w:tcPr>
          <w:p w:rsidR="003668D6" w:rsidRPr="002D26E2" w:rsidP="00843796" w14:paraId="6A369E3B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808080"/>
          </w:tcPr>
          <w:p w:rsidR="003668D6" w:rsidRPr="002D26E2" w:rsidP="00843796" w14:paraId="4C61353E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RPr="00F530E9" w:rsidP="00843796" w14:paraId="4844765F" w14:textId="39BBCD6A">
            <w:pPr>
              <w:rPr>
                <w:b/>
                <w:bCs/>
              </w:rPr>
            </w:pPr>
            <w:r w:rsidRPr="00F530E9">
              <w:rPr>
                <w:b/>
                <w:bCs/>
              </w:rPr>
              <w:t>50</w:t>
            </w:r>
          </w:p>
        </w:tc>
        <w:tc>
          <w:tcPr>
            <w:tcW w:w="1620" w:type="dxa"/>
            <w:shd w:val="clear" w:color="auto" w:fill="808080"/>
          </w:tcPr>
          <w:p w:rsidR="003668D6" w:rsidP="00843796" w14:paraId="057DF51B" w14:textId="77777777"/>
        </w:tc>
        <w:tc>
          <w:tcPr>
            <w:tcW w:w="1530" w:type="dxa"/>
          </w:tcPr>
          <w:p w:rsidR="003668D6" w:rsidRPr="002D26E2" w:rsidP="00843796" w14:paraId="4C30B113" w14:textId="74C41BF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F3170F" w:rsidP="00F3170F" w14:paraId="17B27363" w14:textId="77777777"/>
    <w:p w:rsidR="009A036B" w:rsidRPr="009A036B" w:rsidP="009A036B" w14:paraId="34016BDE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41AA4EF3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3593F865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08ACFEE1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6FBABC73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69DC8940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4C8A57A8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7251A816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64872B5C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9A036B" w14:paraId="3DA39CF7" w14:textId="0ECB0D88">
            <w:r>
              <w:t>Individuals</w:t>
            </w:r>
          </w:p>
        </w:tc>
        <w:tc>
          <w:tcPr>
            <w:tcW w:w="2250" w:type="dxa"/>
          </w:tcPr>
          <w:p w:rsidR="00CA2010" w:rsidRPr="009A036B" w:rsidP="009A036B" w14:paraId="48C97DA8" w14:textId="2BB7F0F2">
            <w:r>
              <w:t>3</w:t>
            </w:r>
          </w:p>
        </w:tc>
        <w:tc>
          <w:tcPr>
            <w:tcW w:w="2520" w:type="dxa"/>
          </w:tcPr>
          <w:p w:rsidR="00CA2010" w:rsidRPr="009A036B" w:rsidP="009A036B" w14:paraId="74E66C45" w14:textId="4BBD5D9C">
            <w:r>
              <w:t>$28.01</w:t>
            </w:r>
          </w:p>
        </w:tc>
        <w:tc>
          <w:tcPr>
            <w:tcW w:w="1620" w:type="dxa"/>
          </w:tcPr>
          <w:p w:rsidR="00CA2010" w:rsidRPr="009A036B" w:rsidP="009A036B" w14:paraId="46D495E4" w14:textId="7EDE3F2B">
            <w:r>
              <w:t>$</w:t>
            </w:r>
            <w:r w:rsidR="00F530E9">
              <w:t>84</w:t>
            </w:r>
            <w:r w:rsidR="00444050">
              <w:t>.03</w:t>
            </w:r>
          </w:p>
        </w:tc>
      </w:tr>
      <w:tr w14:paraId="31B94547" w14:textId="77777777" w:rsidTr="00C07114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309758F7" w14:textId="77777777"/>
        </w:tc>
        <w:tc>
          <w:tcPr>
            <w:tcW w:w="2250" w:type="dxa"/>
          </w:tcPr>
          <w:p w:rsidR="00CA2010" w:rsidRPr="009A036B" w:rsidP="009A036B" w14:paraId="393CCED4" w14:textId="77777777"/>
        </w:tc>
        <w:tc>
          <w:tcPr>
            <w:tcW w:w="2520" w:type="dxa"/>
            <w:tcBorders>
              <w:bottom w:val="single" w:sz="4" w:space="0" w:color="auto"/>
            </w:tcBorders>
          </w:tcPr>
          <w:p w:rsidR="00CA2010" w:rsidRPr="009A036B" w:rsidP="009A036B" w14:paraId="6CD75F59" w14:textId="77777777"/>
        </w:tc>
        <w:tc>
          <w:tcPr>
            <w:tcW w:w="1620" w:type="dxa"/>
          </w:tcPr>
          <w:p w:rsidR="00CA2010" w:rsidRPr="009A036B" w:rsidP="009A036B" w14:paraId="1D71CC59" w14:textId="77777777"/>
        </w:tc>
      </w:tr>
      <w:tr w14:paraId="66FFBE58" w14:textId="77777777" w:rsidTr="0065005D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2BA3918E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9A036B" w:rsidP="009A036B" w14:paraId="3D13C97B" w14:textId="7AF6B0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7F7F7F"/>
          </w:tcPr>
          <w:p w:rsidR="00CA2010" w:rsidRPr="009A036B" w:rsidP="009A036B" w14:paraId="3B2545CE" w14:textId="77777777"/>
        </w:tc>
        <w:tc>
          <w:tcPr>
            <w:tcW w:w="1620" w:type="dxa"/>
          </w:tcPr>
          <w:p w:rsidR="00CA2010" w:rsidRPr="009A036B" w:rsidP="009A036B" w14:paraId="1FF3CCAD" w14:textId="3FDD8D8C">
            <w:r>
              <w:t>$</w:t>
            </w:r>
            <w:r w:rsidR="00F530E9">
              <w:t>84</w:t>
            </w:r>
            <w:r w:rsidR="00630739">
              <w:t>.03</w:t>
            </w:r>
          </w:p>
        </w:tc>
      </w:tr>
    </w:tbl>
    <w:p w:rsidR="008E44D7" w:rsidRPr="000748C4" w:rsidP="008E44D7" w14:paraId="7C362A54" w14:textId="77777777">
      <w:pPr>
        <w:rPr>
          <w:color w:val="0000FF"/>
          <w:kern w:val="36"/>
          <w:sz w:val="20"/>
          <w:szCs w:val="20"/>
          <w:u w:val="single"/>
        </w:rPr>
      </w:pPr>
      <w:r>
        <w:t>*</w:t>
      </w:r>
      <w:r w:rsidRPr="000748C4">
        <w:rPr>
          <w:kern w:val="36"/>
          <w:sz w:val="20"/>
          <w:szCs w:val="20"/>
        </w:rPr>
        <w:t xml:space="preserve"> The General Public wage rate</w:t>
      </w:r>
      <w:r>
        <w:rPr>
          <w:kern w:val="36"/>
          <w:sz w:val="20"/>
          <w:szCs w:val="20"/>
        </w:rPr>
        <w:t xml:space="preserve"> (Median wage for “All Occupations”) </w:t>
      </w:r>
      <w:r w:rsidRPr="000748C4">
        <w:rPr>
          <w:kern w:val="36"/>
          <w:sz w:val="20"/>
          <w:szCs w:val="20"/>
        </w:rPr>
        <w:t xml:space="preserve">was obtained from </w:t>
      </w:r>
      <w:r w:rsidRPr="000748C4">
        <w:rPr>
          <w:color w:val="0000FF"/>
          <w:sz w:val="20"/>
          <w:szCs w:val="20"/>
          <w:u w:val="single"/>
        </w:rPr>
        <w:fldChar w:fldCharType="begin"/>
      </w:r>
      <w:r w:rsidRPr="000748C4">
        <w:rPr>
          <w:color w:val="0000FF"/>
          <w:sz w:val="20"/>
          <w:szCs w:val="20"/>
          <w:u w:val="single"/>
        </w:rPr>
        <w:instrText xml:space="preserve"> HYPERLINK "https://www.bls.gov/oes/current/oes_nat.htm" \l "00-0000" </w:instrText>
      </w:r>
      <w:r w:rsidRPr="000748C4">
        <w:rPr>
          <w:color w:val="0000FF"/>
          <w:sz w:val="20"/>
          <w:szCs w:val="20"/>
          <w:u w:val="single"/>
        </w:rPr>
        <w:fldChar w:fldCharType="separate"/>
      </w:r>
      <w:r w:rsidRPr="000748C4">
        <w:rPr>
          <w:color w:val="0000FF"/>
          <w:sz w:val="20"/>
          <w:szCs w:val="20"/>
          <w:u w:val="single"/>
        </w:rPr>
        <w:t>May 202</w:t>
      </w:r>
      <w:r>
        <w:rPr>
          <w:color w:val="0000FF"/>
          <w:sz w:val="20"/>
          <w:szCs w:val="20"/>
          <w:u w:val="single"/>
        </w:rPr>
        <w:t>1</w:t>
      </w:r>
      <w:r w:rsidRPr="000748C4">
        <w:rPr>
          <w:color w:val="0000FF"/>
          <w:sz w:val="20"/>
          <w:szCs w:val="20"/>
          <w:u w:val="single"/>
        </w:rPr>
        <w:t xml:space="preserve"> National Occupational Employment and Wage Estimates (bls.gov)</w:t>
      </w:r>
      <w:r>
        <w:rPr>
          <w:color w:val="0000FF"/>
          <w:sz w:val="20"/>
          <w:szCs w:val="20"/>
          <w:u w:val="single"/>
        </w:rPr>
        <w:t xml:space="preserve"> </w:t>
      </w:r>
    </w:p>
    <w:p w:rsidR="00441434" w:rsidP="00F3170F" w14:paraId="19C236B3" w14:textId="7B42727B">
      <w:r w:rsidRPr="000748C4">
        <w:rPr>
          <w:color w:val="0000FF"/>
          <w:sz w:val="20"/>
          <w:szCs w:val="20"/>
          <w:u w:val="single"/>
        </w:rPr>
        <w:fldChar w:fldCharType="end"/>
      </w:r>
    </w:p>
    <w:p w:rsidR="005E714A" w14:paraId="4AB92A6C" w14:textId="1C1B6898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>is</w:t>
      </w:r>
      <w:r w:rsidR="009F22AF">
        <w:t xml:space="preserve"> </w:t>
      </w:r>
      <w:r w:rsidRPr="009F22AF" w:rsidR="009F22AF">
        <w:rPr>
          <w:u w:val="single"/>
        </w:rPr>
        <w:t>$1,344.16</w:t>
      </w:r>
    </w:p>
    <w:p w:rsidR="009A036B" w:rsidRPr="009A036B" w:rsidP="009A036B" w14:paraId="3C9D5052" w14:textId="77777777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37BEEE89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172F7A24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136D793E" w14:textId="77777777">
            <w:pPr>
              <w:rPr>
                <w:b/>
                <w:bCs/>
              </w:rPr>
            </w:pPr>
          </w:p>
          <w:p w:rsidR="009A036B" w:rsidRPr="009A036B" w:rsidP="009A036B" w14:paraId="69D101E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12431EF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3406A81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r w:rsidRPr="009A036B">
              <w:rPr>
                <w:b/>
                <w:bCs/>
              </w:rPr>
              <w:t>of</w:t>
            </w:r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7E6C52F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1CB71C2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5D7D2B6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2D1E1BA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8CD5BE3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94AD99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78A9D0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6BB6ABD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9EC68CB" w14:textId="77777777"/>
        </w:tc>
      </w:tr>
      <w:tr w14:paraId="1FC26C1C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321EF9" w:rsidP="009A036B" w14:paraId="25F711B2" w14:textId="3658FA7A">
            <w:r w:rsidRPr="00321EF9">
              <w:t>Information Tech</w:t>
            </w:r>
            <w:r w:rsidR="009F22AF">
              <w:t xml:space="preserve">. </w:t>
            </w:r>
            <w:r w:rsidRPr="00321EF9">
              <w:t>Spec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321EF9" w:rsidP="009A036B" w14:paraId="126E9622" w14:textId="1DC8B469">
            <w:r w:rsidRPr="00321EF9">
              <w:t>GS-</w:t>
            </w:r>
            <w:r w:rsidRPr="00321EF9" w:rsidR="00321EF9">
              <w:t>13/7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F177E8" w:rsidP="009A036B" w14:paraId="3782603B" w14:textId="2D8B40E2">
            <w:pPr>
              <w:rPr>
                <w:highlight w:val="yellow"/>
              </w:rPr>
            </w:pPr>
            <w:r w:rsidRPr="009D5D10">
              <w:t>$1</w:t>
            </w:r>
            <w:r w:rsidR="009A36D5">
              <w:t>34,416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D5D10" w:rsidP="009A036B" w14:paraId="1FB29505" w14:textId="368FBB2C">
            <w:r w:rsidRPr="009D5D10"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D5D10" w:rsidP="009A036B" w14:paraId="210BB5A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D5D10" w:rsidP="009A036B" w14:paraId="5943F95E" w14:textId="603E863D">
            <w:r w:rsidRPr="009D5D10">
              <w:t>$</w:t>
            </w:r>
            <w:r w:rsidR="009F22AF">
              <w:t>1,344.16</w:t>
            </w:r>
          </w:p>
        </w:tc>
      </w:tr>
      <w:tr w14:paraId="4F92444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0BA234D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FE8EC21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5B79FC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07A83E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7239F4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CA2E0AE" w14:textId="77777777"/>
        </w:tc>
      </w:tr>
      <w:tr w14:paraId="540D7A7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9526C87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A1A3FE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C113D2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C63032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D7C41F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2FC4C71" w14:textId="77777777"/>
        </w:tc>
      </w:tr>
      <w:tr w14:paraId="1A3ECD4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4202B55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12B1846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D4EF85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99A035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47DF40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F083DFD" w14:textId="77777777"/>
        </w:tc>
      </w:tr>
      <w:tr w14:paraId="6D14DCB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65609BC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DC0758B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B6A464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716605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07AC7F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1553666" w14:textId="77777777"/>
        </w:tc>
      </w:tr>
      <w:tr w14:paraId="792A872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4635308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17546EE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B2ED6F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EF914D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4A1B5B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AC6013E" w14:textId="77777777"/>
        </w:tc>
      </w:tr>
      <w:tr w14:paraId="5E969A64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F8EF47F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A46A18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2B069F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4DE67C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340DDF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A912DCA" w14:textId="77777777"/>
        </w:tc>
      </w:tr>
      <w:tr w14:paraId="19FC65A4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52ADD069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71211D1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1E64F59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22F32D2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7BD7144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9AF026A" w14:textId="77777777">
            <w:pPr>
              <w:rPr>
                <w:b/>
              </w:rPr>
            </w:pPr>
          </w:p>
        </w:tc>
      </w:tr>
      <w:tr w14:paraId="51D12FDD" w14:textId="77777777" w:rsidTr="002E48F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B1EB8" w:rsidP="009A036B" w14:paraId="02D402D9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1A7DF023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C72361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493381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4EDB11A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54060DF" w14:textId="7AC5C508">
            <w:r>
              <w:t>$1,014.54</w:t>
            </w:r>
          </w:p>
        </w:tc>
      </w:tr>
    </w:tbl>
    <w:p w:rsidR="008E44D7" w:rsidRPr="005817FF" w:rsidP="008E44D7" w14:paraId="61261DDB" w14:textId="77777777">
      <w:pPr>
        <w:rPr>
          <w:sz w:val="20"/>
          <w:szCs w:val="20"/>
          <w:u w:val="single"/>
        </w:rPr>
      </w:pPr>
      <w:r w:rsidRPr="005817FF">
        <w:rPr>
          <w:bCs/>
          <w:sz w:val="20"/>
          <w:szCs w:val="20"/>
        </w:rPr>
        <w:t xml:space="preserve">*The Salary in table above is cited from: </w:t>
      </w:r>
    </w:p>
    <w:p w:rsidR="009A036B" w:rsidRPr="009A36D5" w:rsidP="008E44D7" w14:paraId="0E543BF8" w14:textId="2A3A8499">
      <w:pPr>
        <w:rPr>
          <w:rStyle w:val="Hyperlink"/>
          <w:b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"https://www.opm.gov/policy-data-oversight/pay-leave/salaries-wages/salary-tables/23Tables/html/DCB.aspx"</w:instrText>
      </w:r>
      <w:r>
        <w:rPr>
          <w:sz w:val="20"/>
          <w:szCs w:val="20"/>
        </w:rPr>
        <w:fldChar w:fldCharType="separate"/>
      </w:r>
      <w:r w:rsidRPr="009A36D5" w:rsidR="008E44D7">
        <w:rPr>
          <w:rStyle w:val="Hyperlink"/>
          <w:sz w:val="20"/>
          <w:szCs w:val="20"/>
        </w:rPr>
        <w:t>https://www.opm.gov/policy-data-oversight/pay-leave/salaries-wages/salary-tables/2</w:t>
      </w:r>
      <w:r>
        <w:rPr>
          <w:rStyle w:val="Hyperlink"/>
          <w:sz w:val="20"/>
          <w:szCs w:val="20"/>
        </w:rPr>
        <w:t>3</w:t>
      </w:r>
      <w:r w:rsidRPr="009A36D5" w:rsidR="008E44D7">
        <w:rPr>
          <w:rStyle w:val="Hyperlink"/>
          <w:sz w:val="20"/>
          <w:szCs w:val="20"/>
        </w:rPr>
        <w:t>Tables/html/DCB.aspx</w:t>
      </w:r>
    </w:p>
    <w:p w:rsidR="00ED6492" w14:paraId="508D51AA" w14:textId="60D01B9F">
      <w:pPr>
        <w:rPr>
          <w:b/>
          <w:bCs/>
          <w:u w:val="single"/>
        </w:rPr>
      </w:pPr>
      <w:r>
        <w:rPr>
          <w:sz w:val="20"/>
          <w:szCs w:val="20"/>
        </w:rPr>
        <w:fldChar w:fldCharType="end"/>
      </w:r>
    </w:p>
    <w:p w:rsidR="0069403B" w:rsidP="00F06866" w14:paraId="5882C5E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2BEF9613" w14:textId="77777777">
      <w:pPr>
        <w:rPr>
          <w:b/>
        </w:rPr>
      </w:pPr>
    </w:p>
    <w:p w:rsidR="00F06866" w:rsidP="00F06866" w14:paraId="215D183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0B77C4FD" w14:textId="108DF04C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177E8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0CCCD5CF" w14:textId="77777777">
      <w:pPr>
        <w:pStyle w:val="ListParagraph"/>
      </w:pPr>
    </w:p>
    <w:p w:rsidR="00636621" w:rsidP="001B0AAA" w14:paraId="29332D02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F177E8" w:rsidP="001B0AAA" w14:paraId="60CD5DCD" w14:textId="77777777"/>
    <w:p w:rsidR="00A403BB" w:rsidP="00F177E8" w14:paraId="2B527228" w14:textId="38AFC392">
      <w:r>
        <w:t>The universe of</w:t>
      </w:r>
      <w:r w:rsidR="009166D8">
        <w:t xml:space="preserve"> </w:t>
      </w:r>
      <w:r>
        <w:t xml:space="preserve">respondents </w:t>
      </w:r>
      <w:r w:rsidR="00A82E15">
        <w:t>comprises</w:t>
      </w:r>
      <w:r w:rsidR="002E0E99">
        <w:t xml:space="preserve"> </w:t>
      </w:r>
      <w:r w:rsidR="00832FBC">
        <w:t>contractors</w:t>
      </w:r>
      <w:r>
        <w:t xml:space="preserve"> working at NIH ICs in roles including System Administrator, Application Developer, and Database </w:t>
      </w:r>
      <w:r>
        <w:t>Adminstrator</w:t>
      </w:r>
      <w:r>
        <w:t xml:space="preserve">, as well as </w:t>
      </w:r>
      <w:r w:rsidR="002E0E99">
        <w:t>contractors</w:t>
      </w:r>
      <w:r>
        <w:t xml:space="preserve"> sharing those responsibilities who receive the survey from </w:t>
      </w:r>
      <w:r w:rsidR="009166D8">
        <w:t>individuals</w:t>
      </w:r>
      <w:r>
        <w:t xml:space="preserve"> on the list described above.</w:t>
      </w:r>
    </w:p>
    <w:p w:rsidR="00A403BB" w:rsidP="00A403BB" w14:paraId="14F22680" w14:textId="77777777"/>
    <w:p w:rsidR="00A403BB" w:rsidP="00A403BB" w14:paraId="28BBB84B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499ED23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602B3406" w14:textId="336DDD6B">
      <w:pPr>
        <w:ind w:left="720"/>
      </w:pPr>
      <w:r>
        <w:t xml:space="preserve">[ </w:t>
      </w:r>
      <w:r w:rsidR="00F177E8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7477C1F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3159F1C2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29C7A37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2809688C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0BFC912A" w14:textId="4582F95B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F177E8">
        <w:t>X</w:t>
      </w:r>
      <w:r>
        <w:t>] No</w:t>
      </w:r>
    </w:p>
    <w:p w:rsidR="00F24CFC" w:rsidP="00F24CFC" w14:paraId="7359A49D" w14:textId="77777777">
      <w:pPr>
        <w:pStyle w:val="ListParagraph"/>
        <w:ind w:left="360"/>
      </w:pPr>
      <w:r>
        <w:t xml:space="preserve"> </w:t>
      </w:r>
    </w:p>
    <w:p w:rsidR="005E714A" w:rsidP="00F24CFC" w14:paraId="2A59BDC7" w14:textId="77777777">
      <w:pPr>
        <w:tabs>
          <w:tab w:val="left" w:pos="5670"/>
        </w:tabs>
        <w:suppressAutoHyphens/>
      </w:pPr>
    </w:p>
    <w:sectPr w:rsidSect="00194AC6"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0CB652C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8753608">
    <w:abstractNumId w:val="10"/>
  </w:num>
  <w:num w:numId="2" w16cid:durableId="1337078437">
    <w:abstractNumId w:val="16"/>
  </w:num>
  <w:num w:numId="3" w16cid:durableId="777991690">
    <w:abstractNumId w:val="15"/>
  </w:num>
  <w:num w:numId="4" w16cid:durableId="1397968885">
    <w:abstractNumId w:val="17"/>
  </w:num>
  <w:num w:numId="5" w16cid:durableId="880282583">
    <w:abstractNumId w:val="3"/>
  </w:num>
  <w:num w:numId="6" w16cid:durableId="1833983629">
    <w:abstractNumId w:val="1"/>
  </w:num>
  <w:num w:numId="7" w16cid:durableId="272975749">
    <w:abstractNumId w:val="8"/>
  </w:num>
  <w:num w:numId="8" w16cid:durableId="88430019">
    <w:abstractNumId w:val="13"/>
  </w:num>
  <w:num w:numId="9" w16cid:durableId="1716614713">
    <w:abstractNumId w:val="9"/>
  </w:num>
  <w:num w:numId="10" w16cid:durableId="1167280413">
    <w:abstractNumId w:val="2"/>
  </w:num>
  <w:num w:numId="11" w16cid:durableId="579363629">
    <w:abstractNumId w:val="6"/>
  </w:num>
  <w:num w:numId="12" w16cid:durableId="2106805805">
    <w:abstractNumId w:val="7"/>
  </w:num>
  <w:num w:numId="13" w16cid:durableId="1503155098">
    <w:abstractNumId w:val="0"/>
  </w:num>
  <w:num w:numId="14" w16cid:durableId="187718854">
    <w:abstractNumId w:val="14"/>
  </w:num>
  <w:num w:numId="15" w16cid:durableId="1471092781">
    <w:abstractNumId w:val="12"/>
  </w:num>
  <w:num w:numId="16" w16cid:durableId="991056358">
    <w:abstractNumId w:val="11"/>
  </w:num>
  <w:num w:numId="17" w16cid:durableId="788822369">
    <w:abstractNumId w:val="4"/>
  </w:num>
  <w:num w:numId="18" w16cid:durableId="1205364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722CE"/>
    <w:rsid w:val="000748C4"/>
    <w:rsid w:val="000913EC"/>
    <w:rsid w:val="000B2838"/>
    <w:rsid w:val="000C4897"/>
    <w:rsid w:val="000D44CA"/>
    <w:rsid w:val="000E200B"/>
    <w:rsid w:val="000F68BE"/>
    <w:rsid w:val="00113A81"/>
    <w:rsid w:val="00144BEB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1F16BD"/>
    <w:rsid w:val="00226EC3"/>
    <w:rsid w:val="00237B48"/>
    <w:rsid w:val="0024521E"/>
    <w:rsid w:val="00263C3D"/>
    <w:rsid w:val="00272D5F"/>
    <w:rsid w:val="00274D0B"/>
    <w:rsid w:val="00284110"/>
    <w:rsid w:val="002B3C95"/>
    <w:rsid w:val="002D0B92"/>
    <w:rsid w:val="002D26E2"/>
    <w:rsid w:val="002D74B4"/>
    <w:rsid w:val="002E0E99"/>
    <w:rsid w:val="002E48F5"/>
    <w:rsid w:val="002F65CD"/>
    <w:rsid w:val="003002B6"/>
    <w:rsid w:val="00310D4F"/>
    <w:rsid w:val="00321EF9"/>
    <w:rsid w:val="003668D6"/>
    <w:rsid w:val="003711E1"/>
    <w:rsid w:val="003932D1"/>
    <w:rsid w:val="003A7074"/>
    <w:rsid w:val="003C27F6"/>
    <w:rsid w:val="003D5BBE"/>
    <w:rsid w:val="003E3C61"/>
    <w:rsid w:val="003F1C5B"/>
    <w:rsid w:val="003F4966"/>
    <w:rsid w:val="00420E91"/>
    <w:rsid w:val="00431EB1"/>
    <w:rsid w:val="00434E33"/>
    <w:rsid w:val="00441434"/>
    <w:rsid w:val="00444050"/>
    <w:rsid w:val="0045264C"/>
    <w:rsid w:val="004876EC"/>
    <w:rsid w:val="004A44F3"/>
    <w:rsid w:val="004B1EB8"/>
    <w:rsid w:val="004D6CC9"/>
    <w:rsid w:val="004D6E14"/>
    <w:rsid w:val="005009B0"/>
    <w:rsid w:val="005817FF"/>
    <w:rsid w:val="005A1006"/>
    <w:rsid w:val="005A772A"/>
    <w:rsid w:val="005D6FB2"/>
    <w:rsid w:val="005E714A"/>
    <w:rsid w:val="006140A0"/>
    <w:rsid w:val="00630739"/>
    <w:rsid w:val="00633F74"/>
    <w:rsid w:val="00636329"/>
    <w:rsid w:val="00636621"/>
    <w:rsid w:val="00642B49"/>
    <w:rsid w:val="0065005D"/>
    <w:rsid w:val="00660EC9"/>
    <w:rsid w:val="006832D9"/>
    <w:rsid w:val="00686301"/>
    <w:rsid w:val="0069403B"/>
    <w:rsid w:val="006B7B34"/>
    <w:rsid w:val="006D5F47"/>
    <w:rsid w:val="006F3DDE"/>
    <w:rsid w:val="00704678"/>
    <w:rsid w:val="007425E7"/>
    <w:rsid w:val="00766D95"/>
    <w:rsid w:val="0077703F"/>
    <w:rsid w:val="0079594D"/>
    <w:rsid w:val="007A1C35"/>
    <w:rsid w:val="00802607"/>
    <w:rsid w:val="008101A5"/>
    <w:rsid w:val="00811789"/>
    <w:rsid w:val="00815A28"/>
    <w:rsid w:val="00822664"/>
    <w:rsid w:val="00832FBC"/>
    <w:rsid w:val="00843796"/>
    <w:rsid w:val="00845945"/>
    <w:rsid w:val="0085116A"/>
    <w:rsid w:val="00887320"/>
    <w:rsid w:val="008944DA"/>
    <w:rsid w:val="00895229"/>
    <w:rsid w:val="008E44D7"/>
    <w:rsid w:val="008F0203"/>
    <w:rsid w:val="008F50D4"/>
    <w:rsid w:val="009166D8"/>
    <w:rsid w:val="009239AA"/>
    <w:rsid w:val="00935ADA"/>
    <w:rsid w:val="00946B6C"/>
    <w:rsid w:val="00955A71"/>
    <w:rsid w:val="0096108F"/>
    <w:rsid w:val="009A036B"/>
    <w:rsid w:val="009A36D5"/>
    <w:rsid w:val="009B7D34"/>
    <w:rsid w:val="009C13B9"/>
    <w:rsid w:val="009C450D"/>
    <w:rsid w:val="009D01A2"/>
    <w:rsid w:val="009D3C82"/>
    <w:rsid w:val="009D5D10"/>
    <w:rsid w:val="009F22AF"/>
    <w:rsid w:val="009F5923"/>
    <w:rsid w:val="00A229F1"/>
    <w:rsid w:val="00A403BB"/>
    <w:rsid w:val="00A40967"/>
    <w:rsid w:val="00A50F89"/>
    <w:rsid w:val="00A674DF"/>
    <w:rsid w:val="00A82E15"/>
    <w:rsid w:val="00A83AA6"/>
    <w:rsid w:val="00AC5582"/>
    <w:rsid w:val="00AC60E8"/>
    <w:rsid w:val="00AE14B1"/>
    <w:rsid w:val="00AE1809"/>
    <w:rsid w:val="00B40FB6"/>
    <w:rsid w:val="00B80D76"/>
    <w:rsid w:val="00BA2105"/>
    <w:rsid w:val="00BA7E06"/>
    <w:rsid w:val="00BB43B5"/>
    <w:rsid w:val="00BB6219"/>
    <w:rsid w:val="00BC676D"/>
    <w:rsid w:val="00BD080D"/>
    <w:rsid w:val="00BD290F"/>
    <w:rsid w:val="00BF6223"/>
    <w:rsid w:val="00C07114"/>
    <w:rsid w:val="00C07F1C"/>
    <w:rsid w:val="00C14CC4"/>
    <w:rsid w:val="00C33C52"/>
    <w:rsid w:val="00C40D8B"/>
    <w:rsid w:val="00C828FD"/>
    <w:rsid w:val="00C8407A"/>
    <w:rsid w:val="00C8488C"/>
    <w:rsid w:val="00C86E91"/>
    <w:rsid w:val="00C9542F"/>
    <w:rsid w:val="00CA19A3"/>
    <w:rsid w:val="00CA2010"/>
    <w:rsid w:val="00CA2650"/>
    <w:rsid w:val="00CB1078"/>
    <w:rsid w:val="00CC6FAF"/>
    <w:rsid w:val="00CD3F0A"/>
    <w:rsid w:val="00CF4A46"/>
    <w:rsid w:val="00D24698"/>
    <w:rsid w:val="00D4157B"/>
    <w:rsid w:val="00D504C2"/>
    <w:rsid w:val="00D6383F"/>
    <w:rsid w:val="00D662C8"/>
    <w:rsid w:val="00D72430"/>
    <w:rsid w:val="00DB4A58"/>
    <w:rsid w:val="00DB59D0"/>
    <w:rsid w:val="00DB6F59"/>
    <w:rsid w:val="00DC2F2F"/>
    <w:rsid w:val="00DC33D3"/>
    <w:rsid w:val="00DC64D3"/>
    <w:rsid w:val="00E26329"/>
    <w:rsid w:val="00E40B50"/>
    <w:rsid w:val="00E50293"/>
    <w:rsid w:val="00E65FFC"/>
    <w:rsid w:val="00E670E2"/>
    <w:rsid w:val="00E80951"/>
    <w:rsid w:val="00E854FE"/>
    <w:rsid w:val="00E86CC6"/>
    <w:rsid w:val="00EB56B3"/>
    <w:rsid w:val="00EC1629"/>
    <w:rsid w:val="00ED6492"/>
    <w:rsid w:val="00EF2095"/>
    <w:rsid w:val="00F06866"/>
    <w:rsid w:val="00F15956"/>
    <w:rsid w:val="00F177E8"/>
    <w:rsid w:val="00F24CFC"/>
    <w:rsid w:val="00F3170F"/>
    <w:rsid w:val="00F530E9"/>
    <w:rsid w:val="00F94D8C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ABB2FB"/>
  <w15:chartTrackingRefBased/>
  <w15:docId w15:val="{42063229-ACAD-4D27-9E40-4F9D2D16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7F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3C27F6"/>
    <w:rPr>
      <w:lang w:eastAsia="zh-CN"/>
    </w:rPr>
  </w:style>
  <w:style w:type="character" w:styleId="FollowedHyperlink">
    <w:name w:val="FollowedHyperlink"/>
    <w:basedOn w:val="DefaultParagraphFont"/>
    <w:rsid w:val="009A36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B2AB-6392-4052-B246-5515800C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3</cp:revision>
  <cp:lastPrinted>2010-10-04T16:59:00Z</cp:lastPrinted>
  <dcterms:created xsi:type="dcterms:W3CDTF">2023-04-24T18:07:00Z</dcterms:created>
  <dcterms:modified xsi:type="dcterms:W3CDTF">2023-04-24T18:26:00Z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