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7BC3" w:rsidP="00383FA4" w14:paraId="36C70ACB" w14:textId="77777777">
      <w:pPr>
        <w:spacing w:after="0" w:line="240" w:lineRule="auto"/>
        <w:ind w:right="-180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Request for Approval under the “Generic Clearance for the Collection of Routine Customer Feedback” </w:t>
      </w:r>
    </w:p>
    <w:p w:rsidR="00383FA4" w:rsidRPr="00383FA4" w:rsidP="00383FA4" w14:paraId="28AA96FA" w14:textId="78CEF62D">
      <w:pPr>
        <w:spacing w:after="0" w:line="240" w:lineRule="auto"/>
        <w:ind w:right="-180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(OMB#: 0925-0648; Exp. Date: 06/30/2024) </w:t>
      </w:r>
    </w:p>
    <w:p w:rsidR="00AF7BC3" w:rsidP="00383FA4" w14:paraId="0E5C424A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9728</wp:posOffset>
                </wp:positionH>
                <wp:positionV relativeFrom="paragraph">
                  <wp:posOffset>75362</wp:posOffset>
                </wp:positionV>
                <wp:extent cx="71011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119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75pt,5.95pt" to="559.9pt,5.95pt" o:allowincell="f" strokeweight="1.5pt"/>
            </w:pict>
          </mc:Fallback>
        </mc:AlternateContent>
      </w:r>
      <w:r w:rsidRPr="00383FA4" w:rsidR="00383FA4">
        <w:rPr>
          <w:rFonts w:cstheme="minorHAnsi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FA4" w:rsid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383FA4" w:rsidR="00383FA4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:rsidR="00383FA4" w:rsidRPr="00383FA4" w:rsidP="00383FA4" w14:paraId="336EB8B5" w14:textId="2B704D8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TITLE OF INFORMATION COLLECTION: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  </w:t>
      </w:r>
      <w:r w:rsidRPr="00383FA4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NIH Library Information Support for NIH Researchers Survey</w:t>
      </w:r>
      <w:r w:rsidRPr="00383FA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9B0D7F6" w14:textId="0EFBCC80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5059DAE6" w14:textId="1A835249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PURPOSE: 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222F7DED" w14:textId="4B268D2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2FEB4CF" w14:textId="250BB410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The NIH Library is conducting an anonymous survey to obtain a better understanding of NIH researchers' information needs.  The term “information needs” means</w:t>
      </w:r>
      <w:r w:rsidR="009132E4">
        <w:rPr>
          <w:rFonts w:eastAsia="Times New Roman" w:cstheme="minorHAnsi"/>
          <w:kern w:val="0"/>
          <w:sz w:val="24"/>
          <w:szCs w:val="24"/>
          <w14:ligatures w14:val="none"/>
        </w:rPr>
        <w:t xml:space="preserve"> library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information that is useful for your work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The results of this survey will enable the NIH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Library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to create new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information support services and help us plan our future. </w:t>
      </w:r>
      <w:r w:rsidR="004301D6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:rsidR="00383FA4" w:rsidRPr="00383FA4" w:rsidP="00383FA4" w14:paraId="506B1628" w14:textId="4FF3F48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73DD5C6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DESCRIPTION OF RESPONDENTS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:  </w:t>
      </w:r>
    </w:p>
    <w:p w:rsidR="00383FA4" w:rsidRPr="00383FA4" w:rsidP="00383FA4" w14:paraId="5A3ECD38" w14:textId="2445975D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br/>
        <w:t>NIH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Intramural Researchers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653B157" w14:textId="068F9F3F">
      <w:pPr>
        <w:spacing w:after="0" w:line="240" w:lineRule="auto"/>
        <w:jc w:val="right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43C721D5" w14:textId="096E040A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TYPE OF COLLECTION: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(Check one) </w:t>
      </w:r>
    </w:p>
    <w:p w:rsidR="00383FA4" w:rsidRPr="00383FA4" w:rsidP="00383FA4" w14:paraId="4969D04E" w14:textId="2F53B00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7B6917B3" w14:textId="06593EC2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Customer Comment Card/Complaint Form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[</w:t>
      </w:r>
      <w:r w:rsidR="00531248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] Customer Satisfaction Survey     </w:t>
      </w:r>
    </w:p>
    <w:p w:rsidR="00383FA4" w:rsidRPr="00383FA4" w:rsidP="00383FA4" w14:paraId="09BF264A" w14:textId="4E4A31BB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Usability Testing (e.g., Website or Software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[ ] Small Discussion Group </w:t>
      </w:r>
    </w:p>
    <w:p w:rsidR="00383FA4" w:rsidRPr="00383FA4" w:rsidP="00412C9A" w14:paraId="052CACE5" w14:textId="0B445CB3">
      <w:pPr>
        <w:spacing w:after="0" w:line="240" w:lineRule="auto"/>
        <w:ind w:left="5040" w:hanging="504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Focus Group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="009132E4">
        <w:rPr>
          <w:rFonts w:eastAsia="Times New Roman" w:cstheme="minorHAnsi"/>
          <w:kern w:val="0"/>
          <w:sz w:val="24"/>
          <w:szCs w:val="24"/>
          <w14:ligatures w14:val="none"/>
        </w:rPr>
        <w:t>[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X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] </w:t>
      </w:r>
      <w:r w:rsidRPr="006F557F">
        <w:rPr>
          <w:rFonts w:eastAsia="Times New Roman" w:cstheme="minorHAnsi"/>
          <w:kern w:val="0"/>
          <w:sz w:val="24"/>
          <w:szCs w:val="24"/>
          <w14:ligatures w14:val="none"/>
        </w:rPr>
        <w:t xml:space="preserve">Other: Customer </w:t>
      </w:r>
      <w:r w:rsidR="009132E4">
        <w:rPr>
          <w:rFonts w:eastAsia="Times New Roman" w:cstheme="minorHAnsi"/>
          <w:kern w:val="0"/>
          <w:sz w:val="24"/>
          <w:szCs w:val="24"/>
          <w14:ligatures w14:val="none"/>
        </w:rPr>
        <w:t>Needs Assessment</w:t>
      </w:r>
      <w:r w:rsidR="00531248">
        <w:rPr>
          <w:rFonts w:eastAsia="Times New Roman" w:cstheme="minorHAnsi"/>
          <w:kern w:val="0"/>
          <w:sz w:val="24"/>
          <w:szCs w:val="24"/>
          <w14:ligatures w14:val="none"/>
        </w:rPr>
        <w:t xml:space="preserve"> Survey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 </w:t>
      </w:r>
    </w:p>
    <w:p w:rsidR="004C10E5" w:rsidRPr="004C10E5" w:rsidP="004C10E5" w14:paraId="49D57B4C" w14:textId="2F77D6AB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C10E5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FREQUENCY OF REPORTING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>: (Check one)</w:t>
      </w:r>
    </w:p>
    <w:p w:rsidR="004C10E5" w:rsidRPr="004C10E5" w:rsidP="004C10E5" w14:paraId="1DE7F01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:rsidR="004C10E5" w:rsidRPr="004C10E5" w:rsidP="004C10E5" w14:paraId="65F3A31C" w14:textId="03710520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 xml:space="preserve">[ </w:t>
      </w:r>
      <w:r w:rsidR="00264C18">
        <w:rPr>
          <w:rFonts w:eastAsia="Times New Roman" w:cstheme="minorHAnsi"/>
          <w:kern w:val="0"/>
          <w:sz w:val="24"/>
          <w:szCs w:val="24"/>
          <w14:ligatures w14:val="none"/>
        </w:rPr>
        <w:t>X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 xml:space="preserve">] Once 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 xml:space="preserve"> Quarterly  </w:t>
      </w:r>
    </w:p>
    <w:p w:rsidR="004C10E5" w:rsidRPr="004C10E5" w:rsidP="004C10E5" w14:paraId="4EC55EC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 xml:space="preserve"> Monthly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ab/>
        <w:t xml:space="preserve">[ ] On Occasion </w:t>
      </w:r>
    </w:p>
    <w:p w:rsidR="00383FA4" w:rsidRPr="00383FA4" w:rsidP="004C10E5" w14:paraId="1DF16FA9" w14:textId="04D30BC9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>[ ]</w:t>
      </w:r>
      <w:r w:rsidRPr="004C10E5">
        <w:rPr>
          <w:rFonts w:eastAsia="Times New Roman" w:cstheme="minorHAnsi"/>
          <w:kern w:val="0"/>
          <w:sz w:val="24"/>
          <w:szCs w:val="24"/>
          <w14:ligatures w14:val="none"/>
        </w:rPr>
        <w:t xml:space="preserve"> Annually    [ ] Other ___________________</w:t>
      </w:r>
    </w:p>
    <w:p w:rsidR="00383FA4" w:rsidRPr="00383FA4" w:rsidP="00383FA4" w14:paraId="52556F26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295ECF5" w14:textId="08ED2246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CERTIFICATION: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CB038EA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4F842E8A" w14:textId="27C21CBE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I certify the following to be true:  </w:t>
      </w:r>
    </w:p>
    <w:p w:rsidR="00383FA4" w:rsidRPr="00383FA4" w:rsidP="00383FA4" w14:paraId="1CFA538E" w14:textId="77777777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The collection is voluntary.  </w:t>
      </w:r>
    </w:p>
    <w:p w:rsidR="00383FA4" w:rsidRPr="00383FA4" w:rsidP="00383FA4" w14:paraId="4A6425E2" w14:textId="77777777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collection is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low-burden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respondents and low-cost for the Federal Government. </w:t>
      </w:r>
    </w:p>
    <w:p w:rsidR="00383FA4" w:rsidRPr="00383FA4" w:rsidP="00383FA4" w14:paraId="7F0E2AE3" w14:textId="6EDCE2A7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collection is non-controversial and does </w:t>
      </w:r>
      <w:r w:rsidRPr="00383FA4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not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raise issues of concern to other federal agencies.</w:t>
      </w:r>
    </w:p>
    <w:p w:rsidR="00383FA4" w:rsidRPr="00383FA4" w:rsidP="00383FA4" w14:paraId="5D9033DC" w14:textId="77777777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results are </w:t>
      </w:r>
      <w:r w:rsidRPr="00383FA4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not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intended to be disseminated to the public.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 </w:t>
      </w:r>
    </w:p>
    <w:p w:rsidR="00C1011C" w:rsidRPr="006C7D8D" w:rsidP="00383FA4" w14:paraId="755E65D7" w14:textId="77777777">
      <w:pPr>
        <w:numPr>
          <w:ilvl w:val="0"/>
          <w:numId w:val="5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Information gathered will not be used for the purpose of </w:t>
      </w:r>
      <w:r w:rsidRPr="00383FA4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substantially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informing </w:t>
      </w:r>
      <w:r w:rsidRPr="00383FA4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 xml:space="preserve">influential </w:t>
      </w:r>
    </w:p>
    <w:p w:rsidR="00383FA4" w:rsidRPr="00383FA4" w:rsidP="006C7D8D" w14:paraId="00226042" w14:textId="20B9076B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policy decisions.  </w:t>
      </w:r>
    </w:p>
    <w:p w:rsidR="00C1011C" w:rsidP="00383FA4" w14:paraId="31E4D138" w14:textId="77777777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collection is targeted to the solicitation of opinions from respondents who have experience </w:t>
      </w:r>
    </w:p>
    <w:p w:rsidR="00383FA4" w:rsidRPr="00383FA4" w:rsidP="006C7D8D" w14:paraId="41D37594" w14:textId="1A3D0490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with the program or may have experience with the program in the future. </w:t>
      </w:r>
    </w:p>
    <w:p w:rsidR="00383FA4" w:rsidRPr="00383FA4" w:rsidP="00383FA4" w14:paraId="6852920C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42B9B212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A6773E" w:rsidP="00383FA4" w14:paraId="68F142F7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Name: Diane Cooper </w:t>
      </w:r>
    </w:p>
    <w:p w:rsidR="00383FA4" w:rsidRPr="00383FA4" w:rsidP="00383FA4" w14:paraId="0AA2E330" w14:textId="4D4140F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Title: Informationis</w:t>
      </w:r>
      <w:r w:rsidRPr="00A6773E" w:rsidR="00035A66">
        <w:rPr>
          <w:rFonts w:eastAsia="Times New Roman" w:cstheme="minorHAnsi"/>
          <w:kern w:val="0"/>
          <w:sz w:val="24"/>
          <w:szCs w:val="24"/>
          <w14:ligatures w14:val="none"/>
        </w:rPr>
        <w:t>t / Biomedical Research Librarian</w:t>
      </w: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br/>
        <w:t xml:space="preserve">DLS, ORS, </w:t>
      </w: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OD  (</w:t>
      </w: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301) 827-3824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25F259AB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5D66B58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To assist review, please provide answers to the following question: </w:t>
      </w:r>
    </w:p>
    <w:p w:rsidR="00383FA4" w:rsidRPr="00383FA4" w:rsidP="00383FA4" w14:paraId="485010E1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Personally Identifiable Information: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42A47116" w14:textId="77777777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Is personally identifiable information (PII) collected?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  [X]  No  </w:t>
      </w:r>
    </w:p>
    <w:p w:rsidR="00C1011C" w:rsidP="00383FA4" w14:paraId="2E388D04" w14:textId="77777777">
      <w:pPr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If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Yes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, is the information that will be collected included in records that are subject to the</w:t>
      </w:r>
    </w:p>
    <w:p w:rsidR="00383FA4" w:rsidRPr="00383FA4" w:rsidP="006C7D8D" w14:paraId="399341AB" w14:textId="725FD1E4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Privacy Act of 1974?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[</w:t>
      </w:r>
      <w:r w:rsidR="00C1011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] No</w:t>
      </w:r>
    </w:p>
    <w:p w:rsidR="00C1011C" w:rsidP="00C1011C" w14:paraId="32A00017" w14:textId="61041A94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If Applicable, has a System or Records Notice been published?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  [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] No </w:t>
      </w:r>
    </w:p>
    <w:p w:rsidR="00C1011C" w:rsidRPr="006C7D8D" w:rsidP="006C7D8D" w14:paraId="66F818F6" w14:textId="3DB061AD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C7D8D">
        <w:rPr>
          <w:rFonts w:eastAsia="Times New Roman" w:cstheme="minorHAnsi"/>
          <w:kern w:val="0"/>
          <w:sz w:val="24"/>
          <w:szCs w:val="24"/>
          <w14:ligatures w14:val="none"/>
        </w:rPr>
        <w:t>Privacy Act Systems of Records Title: _______________________ FR Citation ____FR___</w:t>
      </w:r>
    </w:p>
    <w:p w:rsidR="00C1011C" w:rsidRPr="00383FA4" w:rsidP="006C7D8D" w14:paraId="41509A40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:rsidR="00383FA4" w:rsidRPr="00383FA4" w:rsidP="00383FA4" w14:paraId="174F9D77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6458A9E8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Gifts or Payments: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87B14A7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Is an incentive (e.g., money or reimbursement of expenses, token of appreciation) provided to participants?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[X] No   </w:t>
      </w:r>
    </w:p>
    <w:p w:rsidR="00383FA4" w:rsidRPr="00383FA4" w:rsidP="00383FA4" w14:paraId="64D42FAB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B35ADA1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552D2A8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30BB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ESTIMATED BURDEN HOURS and COSTS</w:t>
      </w: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2568305A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755"/>
        <w:gridCol w:w="1785"/>
        <w:gridCol w:w="1710"/>
        <w:gridCol w:w="1530"/>
      </w:tblGrid>
      <w:tr w14:paraId="5E5C62CF" w14:textId="77777777" w:rsidTr="00383FA4">
        <w:tblPrEx>
          <w:tblW w:w="0" w:type="dxa"/>
          <w:tblInd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8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913C4D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Category of Respondent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6722A6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No. of Respondents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4D20FF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No. of Responses per Respondent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59BAEFC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Time per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  <w:p w:rsidR="00383FA4" w:rsidRPr="00383FA4" w:rsidP="00383FA4" w14:paraId="738CE9C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Response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  <w:p w:rsidR="00383FA4" w:rsidRPr="00383FA4" w:rsidP="00383FA4" w14:paraId="7FF22EC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in</w:t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Hours)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8F9188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 Burden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  <w:p w:rsidR="00383FA4" w:rsidRPr="00383FA4" w:rsidP="00383FA4" w14:paraId="572FC31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Hours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1057FA3A" w14:textId="77777777" w:rsidTr="00383FA4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947790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Individual (Federal Government Employee, Contractors)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5FB464D" w14:textId="0334D8B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350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3C4F7B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1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66068C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5/60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0365B44" w14:textId="431E434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="00530BB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29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47108A0A" w14:textId="77777777" w:rsidTr="00383FA4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A27313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C9853B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AD05E8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6C86E1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2342F8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6167D7A7" w14:textId="77777777" w:rsidTr="00383FA4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08C715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Totals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:rsidR="00383FA4" w:rsidRPr="00383FA4" w:rsidP="00383FA4" w14:paraId="06E5941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06EFCA4" w14:textId="7608EB3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="00530BB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350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:rsidR="00383FA4" w:rsidRPr="00383FA4" w:rsidP="00383FA4" w14:paraId="2CDEE19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D8138AA" w14:textId="7B09048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</w:tbl>
    <w:p w:rsidR="00383FA4" w:rsidRPr="00383FA4" w:rsidP="00383FA4" w14:paraId="67C91248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27CF5496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61D5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COST TO RESPONDENT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57ECBEB4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250"/>
        <w:gridCol w:w="2520"/>
        <w:gridCol w:w="1620"/>
      </w:tblGrid>
      <w:tr w14:paraId="18AD0583" w14:textId="77777777" w:rsidTr="00383FA4">
        <w:tblPrEx>
          <w:tblW w:w="0" w:type="dxa"/>
          <w:tblInd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05CF2C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Category of Respondent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8DAB20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Total 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Burden Hours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8EBB7E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Hourly Wage Rate*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5FB670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Total 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Burden Cost 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38F8FD0" w14:textId="77777777" w:rsidTr="00383FA4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0B93760" w14:textId="24000FFB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Individual (Federal Government Employee, Contractors)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C8E2DFA" w14:textId="3171CEC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58689F8" w14:textId="3A8D6D2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  <w:r w:rsidR="00207E5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44.75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567A0C5" w14:textId="5EA14C8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  <w:r w:rsidR="00207E5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1,297.75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0AF084CD" w14:textId="77777777" w:rsidTr="00383FA4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58D0E2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F63F39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884950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156686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F1B68D6" w14:textId="77777777" w:rsidTr="00541915">
        <w:tblPrEx>
          <w:tblW w:w="0" w:type="dxa"/>
          <w:tblInd w:w="15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8235B3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Totals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83FA4" w:rsidRPr="00383FA4" w:rsidP="00383FA4" w14:paraId="0F6FA71A" w14:textId="78716E1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="00CD77E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383FA4" w:rsidRPr="00383FA4" w:rsidP="00383FA4" w14:paraId="496A3A8E" w14:textId="5E8986C5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B553693" w14:textId="5D040C9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  <w:r w:rsidR="00207E5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1,297.75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C1011C" w:rsidRPr="00C1011C" w:rsidP="00C1011C" w14:paraId="35A4F1DC" w14:textId="1A07ED8C">
      <w:pPr>
        <w:rPr>
          <w:rFonts w:cstheme="minorHAnsi"/>
          <w:bCs/>
          <w:sz w:val="24"/>
          <w:szCs w:val="24"/>
          <w:lang w:eastAsia="zh-CN"/>
        </w:rPr>
      </w:pPr>
      <w:r w:rsidRPr="00C1011C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*</w:t>
      </w:r>
      <w:r w:rsidRPr="00C1011C">
        <w:rPr>
          <w:rFonts w:cstheme="minorHAnsi"/>
          <w:bCs/>
          <w:sz w:val="24"/>
          <w:szCs w:val="24"/>
          <w:lang w:eastAsia="zh-CN"/>
        </w:rPr>
        <w:t>Source of the Hourly Wage Rate is provided by the Bureau of Labor Statistics</w:t>
      </w:r>
      <w:r w:rsidRPr="00C1011C">
        <w:rPr>
          <w:rFonts w:cstheme="minorHAnsi"/>
          <w:sz w:val="24"/>
          <w:szCs w:val="24"/>
        </w:rPr>
        <w:t xml:space="preserve"> </w:t>
      </w:r>
      <w:hyperlink r:id="rId8" w:anchor="19-0000" w:history="1">
        <w:r w:rsidRPr="00C1011C">
          <w:rPr>
            <w:rStyle w:val="Hyperlink"/>
            <w:rFonts w:cstheme="minorHAnsi"/>
            <w:sz w:val="24"/>
            <w:szCs w:val="24"/>
          </w:rPr>
          <w:t>https://www.bls.gov/oes/current/naics4_622300.htm#19-0000</w:t>
        </w:r>
      </w:hyperlink>
      <w:r w:rsidRPr="00C1011C">
        <w:rPr>
          <w:rFonts w:cstheme="minorHAnsi"/>
          <w:sz w:val="24"/>
          <w:szCs w:val="24"/>
        </w:rPr>
        <w:t xml:space="preserve"> - Medical Scientists</w:t>
      </w:r>
    </w:p>
    <w:p w:rsidR="00383FA4" w:rsidRPr="00383FA4" w:rsidP="00383FA4" w14:paraId="3991C5DD" w14:textId="1A2B4C8E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00FBF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:rsidR="00383FA4" w:rsidRPr="00383FA4" w:rsidP="00383FA4" w14:paraId="28608D3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B177B30" w14:textId="38CCB219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6773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FEDERAL COST: </w:t>
      </w:r>
      <w:r w:rsidRPr="00A6773E">
        <w:rPr>
          <w:rFonts w:eastAsia="Times New Roman" w:cstheme="minorHAnsi"/>
          <w:kern w:val="0"/>
          <w:sz w:val="24"/>
          <w:szCs w:val="24"/>
          <w14:ligatures w14:val="none"/>
        </w:rPr>
        <w:t>The estimated annual cost to the Federal government is $</w:t>
      </w:r>
      <w:r w:rsidRPr="00A6773E" w:rsidR="00447FE6">
        <w:rPr>
          <w:rFonts w:eastAsia="Times New Roman" w:cstheme="minorHAnsi"/>
          <w:kern w:val="0"/>
          <w:sz w:val="24"/>
          <w:szCs w:val="24"/>
          <w14:ligatures w14:val="none"/>
        </w:rPr>
        <w:t>14</w:t>
      </w:r>
      <w:r w:rsidR="00447FE6">
        <w:rPr>
          <w:rFonts w:eastAsia="Times New Roman" w:cstheme="minorHAnsi"/>
          <w:kern w:val="0"/>
          <w:sz w:val="24"/>
          <w:szCs w:val="24"/>
          <w14:ligatures w14:val="none"/>
        </w:rPr>
        <w:t>6</w:t>
      </w:r>
      <w:r w:rsidRPr="00383FA4" w:rsidR="00447FE6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                        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1440"/>
        <w:gridCol w:w="1260"/>
        <w:gridCol w:w="1350"/>
        <w:gridCol w:w="1350"/>
        <w:gridCol w:w="1350"/>
      </w:tblGrid>
      <w:tr w14:paraId="0FAB7A5C" w14:textId="77777777" w:rsidTr="00383FA4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6EDD96F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Staff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5F6246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  <w:p w:rsidR="00383FA4" w:rsidRPr="00383FA4" w:rsidP="00383FA4" w14:paraId="0EDE673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Grade/Step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0529A75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Salary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A061EC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% </w:t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of</w:t>
            </w: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Effort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7D6C40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Fringe (if applicable)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52A37C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 Cost to Gov’t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D208F6C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081C87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Federal Oversight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DF3EA5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1723AD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364904A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A4468B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D72EDF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18D6DA68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52B08E3" w14:textId="006E30CB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Informationist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F00C07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GS13/10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7AE43A1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$145,617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09592A6" w14:textId="1FD9361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0.1%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25279B6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B80D777" w14:textId="6AFD9F85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  <w:r w:rsidRPr="00383FA4"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14</w:t>
            </w:r>
            <w:r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6</w:t>
            </w:r>
            <w:r w:rsidRPr="00383FA4"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00AA6039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05858A1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F0F8B0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255F40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76803C1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08EF0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6ADB29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1798A495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33A11E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5CD57F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31B4283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6777656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A7A61C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405A50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0681DCBE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55EEB40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Contractor Cost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17D70D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045E00E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5567FB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26EF78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761B0AF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2812DF77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3EFE120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407834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1F44B6C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A24C4A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5F99757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D3C298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3CC4EEB4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771398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Travel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5CEFA5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30659A5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4DFD0A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5955767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EAE38C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49DCD230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6A06430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Other Cost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0D4598D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205464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5F65C0E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5DA7013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AE7636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20210918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377853C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1E32D90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1FBDA6C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49B519E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43B0AB4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6BA7D19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64925986" w14:textId="77777777" w:rsidTr="00383FA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83FA4" w:rsidRPr="00383FA4" w:rsidP="00383FA4" w14:paraId="2E6692D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:rsidR="00383FA4" w:rsidRPr="00383FA4" w:rsidP="00383FA4" w14:paraId="301C39F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bottom"/>
            <w:hideMark/>
          </w:tcPr>
          <w:p w:rsidR="00383FA4" w:rsidRPr="00383FA4" w:rsidP="00383FA4" w14:paraId="45E990B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bottom"/>
            <w:hideMark/>
          </w:tcPr>
          <w:p w:rsidR="00383FA4" w:rsidRPr="00383FA4" w:rsidP="00383FA4" w14:paraId="2C62060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:rsidR="00383FA4" w:rsidRPr="00383FA4" w:rsidP="00383FA4" w14:paraId="478E78A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FA4" w:rsidRPr="00383FA4" w:rsidP="00383FA4" w14:paraId="3FB6D83C" w14:textId="1EDD98D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83FA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$</w:t>
            </w:r>
            <w:r w:rsidRPr="00383FA4"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14</w:t>
            </w:r>
            <w:r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6</w:t>
            </w:r>
            <w:r w:rsidRPr="00383FA4" w:rsidR="00447FE6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383FA4" w:rsidRPr="00383FA4" w:rsidP="00383FA4" w14:paraId="5D8160D0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OPM Salary Table 2023-DCB 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hyperlink r:id="rId9" w:tgtFrame="_blank" w:history="1">
        <w:r w:rsidRPr="00383FA4">
          <w:rPr>
            <w:rFonts w:eastAsia="Times New Roman" w:cstheme="minorHAnsi"/>
            <w:color w:val="0563C1"/>
            <w:kern w:val="0"/>
            <w:sz w:val="24"/>
            <w:szCs w:val="24"/>
            <w:u w:val="single"/>
            <w14:ligatures w14:val="none"/>
          </w:rPr>
          <w:t>https://www.opm.gov/policy-data-oversight/pay-leave/salaries-wages/salary-tables/pdf/2023/DCB.pdf</w:t>
        </w:r>
      </w:hyperlink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 </w:t>
      </w:r>
    </w:p>
    <w:p w:rsidR="00383FA4" w:rsidRPr="00383FA4" w:rsidP="00383FA4" w14:paraId="476C046C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5F27C8D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If you are conducting a focus group, survey, or plan to employ statistical methods, </w:t>
      </w:r>
      <w:r w:rsidRPr="00383FA4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please  provide</w:t>
      </w:r>
      <w:r w:rsidRPr="00383FA4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 answers to the following questions: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2A0F47C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43CFE28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The selection of your targeted respondents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1933538E" w14:textId="02B11731">
      <w:pPr>
        <w:numPr>
          <w:ilvl w:val="0"/>
          <w:numId w:val="10"/>
        </w:numPr>
        <w:spacing w:after="0" w:line="240" w:lineRule="auto"/>
        <w:ind w:left="0" w:firstLine="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Do you have a customer list or something similar that defines the universe of potential respondents and do you have a sampling plan for selecting from this universe?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[</w:t>
      </w:r>
      <w:r w:rsidR="00035A66">
        <w:rPr>
          <w:rFonts w:eastAsia="Times New Roman" w:cstheme="minorHAnsi"/>
          <w:kern w:val="0"/>
          <w:sz w:val="24"/>
          <w:szCs w:val="24"/>
          <w14:ligatures w14:val="none"/>
        </w:rPr>
        <w:t>X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[</w:t>
      </w:r>
      <w:r w:rsidR="007C714F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] No </w:t>
      </w:r>
    </w:p>
    <w:p w:rsidR="00383FA4" w:rsidRPr="00383FA4" w:rsidP="00383FA4" w14:paraId="61192CA0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035A66" w:rsidP="00383FA4" w14:paraId="3D4CC982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If the answer is yes, please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provide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a description of both below (or attach the sampling plan)? If the answer is no, please provide a description of how you plan to identify your potential group of respondents and how you will select them? </w:t>
      </w:r>
    </w:p>
    <w:p w:rsidR="00A6773E" w:rsidP="00383FA4" w14:paraId="6110721F" w14:textId="6C028CB6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7C714F" w:rsidRPr="007C714F" w:rsidP="00176FEC" w14:paraId="5557119D" w14:textId="72C29748">
      <w:p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The</w:t>
      </w:r>
      <w:r w:rsidRPr="007C714F" w:rsidR="006B42E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Deputy Director for Intramural Research</w:t>
      </w:r>
      <w:r w:rsidRPr="007C714F" w:rsidR="004301D6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has agreed to distribute</w:t>
      </w:r>
      <w:r w:rsidRPr="007C714F" w:rsidR="00A6773E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the survey</w:t>
      </w:r>
      <w:r w:rsidRPr="007C714F" w:rsidR="004301D6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7C714F" w:rsidR="00A6773E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through the </w:t>
      </w:r>
      <w:r w:rsidRPr="007C714F" w:rsidR="004301D6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NIH Intramural Research listserv.</w:t>
      </w:r>
      <w:r w:rsidRPr="007C714F" w:rsidR="00176FE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The NIH Library’s Point of Contact Librarians will follow-up with each NIH Institute/Center.</w:t>
      </w:r>
      <w:r w:rsidRPr="007C714F" w:rsidR="00176FE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br/>
      </w:r>
      <w:r w:rsidRPr="007C714F" w:rsidR="00176FE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br/>
        <w:t>The survey will be sent to approximately 7,000</w:t>
      </w:r>
      <w:r w:rsidRPr="007C714F" w:rsidR="00BC43D3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intramural researchers</w:t>
      </w:r>
      <w:r w:rsidRPr="007C714F" w:rsidR="00176FE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.</w:t>
      </w:r>
      <w:r w:rsidRPr="007C714F" w:rsidR="00BC43D3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We expect 5</w:t>
      </w:r>
      <w:r w:rsidRPr="007C714F" w:rsidR="00C61D57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%</w:t>
      </w:r>
      <w:r w:rsidRPr="007C714F" w:rsidR="00BC43D3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response rate</w:t>
      </w:r>
      <w:r w:rsidRPr="007C714F" w:rsidR="004301D6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based on NIH Library customer service survey satisfaction of 2022.</w:t>
      </w:r>
    </w:p>
    <w:p w:rsidR="00383FA4" w:rsidRPr="00383FA4" w:rsidP="00176FEC" w14:paraId="027F9282" w14:textId="60D7E41D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</w:t>
      </w:r>
      <w:r w:rsidR="00176F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</w:p>
    <w:p w:rsidR="00383FA4" w:rsidRPr="00383FA4" w:rsidP="00383FA4" w14:paraId="73242CC9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Administration of the Instrument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37015" w14:paraId="4DD717A1" w14:textId="133BD2CB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1.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How will you collect the information? (Check all that apply) </w:t>
      </w:r>
    </w:p>
    <w:p w:rsidR="00383FA4" w:rsidRPr="00383FA4" w:rsidP="00383FA4" w14:paraId="4FB24897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[X] </w:t>
      </w:r>
      <w:r w:rsidRPr="00412C9A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Web-based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or other forms of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Social Media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 </w:t>
      </w:r>
    </w:p>
    <w:p w:rsidR="00383FA4" w:rsidRPr="00383FA4" w:rsidP="00383FA4" w14:paraId="05979F2D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Telephone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 </w:t>
      </w:r>
    </w:p>
    <w:p w:rsidR="00383FA4" w:rsidRPr="00383FA4" w:rsidP="00383FA4" w14:paraId="24C23E6B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In-person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ab/>
        <w:t> </w:t>
      </w:r>
    </w:p>
    <w:p w:rsidR="00383FA4" w:rsidRPr="00383FA4" w:rsidP="00383FA4" w14:paraId="4AE143C5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Mail  </w:t>
      </w:r>
    </w:p>
    <w:p w:rsidR="00383FA4" w:rsidP="00383FA4" w14:paraId="7540BC18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Other, Explain </w:t>
      </w:r>
    </w:p>
    <w:p w:rsidR="00383FA4" w:rsidP="00383FA4" w14:paraId="049AEC98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:rsidR="00383FA4" w:rsidRPr="00383FA4" w:rsidP="00383FA4" w14:paraId="5B4E35AD" w14:textId="4F7CDF9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Will interviewers or facilitators be used?  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[  ]</w:t>
      </w: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[X] No </w:t>
      </w:r>
    </w:p>
    <w:p w:rsidR="00383FA4" w:rsidRPr="00383FA4" w:rsidP="00383FA4" w14:paraId="626E0330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383FA4" w:rsidRPr="00383FA4" w:rsidP="00383FA4" w14:paraId="317D445F" w14:textId="77777777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83FA4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:rsidR="00DA41E3" w:rsidRPr="00383FA4" w:rsidP="00383FA4" w14:paraId="2F224562" w14:textId="77777777">
      <w:pPr>
        <w:rPr>
          <w:rFonts w:cstheme="minorHAnsi"/>
          <w:sz w:val="24"/>
          <w:szCs w:val="24"/>
        </w:rPr>
      </w:pPr>
    </w:p>
    <w:sectPr w:rsidSect="00383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B6CAC"/>
    <w:multiLevelType w:val="multilevel"/>
    <w:tmpl w:val="869A4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1646"/>
    <w:multiLevelType w:val="multilevel"/>
    <w:tmpl w:val="85CC6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D21D9"/>
    <w:multiLevelType w:val="multilevel"/>
    <w:tmpl w:val="511E5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D3E42"/>
    <w:multiLevelType w:val="multilevel"/>
    <w:tmpl w:val="5EB2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1784A"/>
    <w:multiLevelType w:val="multilevel"/>
    <w:tmpl w:val="259A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613E8"/>
    <w:multiLevelType w:val="multilevel"/>
    <w:tmpl w:val="9C9CA0B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4047369B"/>
    <w:multiLevelType w:val="multilevel"/>
    <w:tmpl w:val="53B00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B1129"/>
    <w:multiLevelType w:val="multilevel"/>
    <w:tmpl w:val="07E4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B005E"/>
    <w:multiLevelType w:val="multilevel"/>
    <w:tmpl w:val="98DE0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252D98"/>
    <w:multiLevelType w:val="multilevel"/>
    <w:tmpl w:val="C8A60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A4713"/>
    <w:multiLevelType w:val="multilevel"/>
    <w:tmpl w:val="AF4A2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61F96"/>
    <w:multiLevelType w:val="multilevel"/>
    <w:tmpl w:val="04D00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33286">
    <w:abstractNumId w:val="5"/>
  </w:num>
  <w:num w:numId="2" w16cid:durableId="342053288">
    <w:abstractNumId w:val="1"/>
  </w:num>
  <w:num w:numId="3" w16cid:durableId="1943755657">
    <w:abstractNumId w:val="2"/>
  </w:num>
  <w:num w:numId="4" w16cid:durableId="1445080590">
    <w:abstractNumId w:val="0"/>
  </w:num>
  <w:num w:numId="5" w16cid:durableId="2122721091">
    <w:abstractNumId w:val="12"/>
  </w:num>
  <w:num w:numId="6" w16cid:durableId="1776486015">
    <w:abstractNumId w:val="7"/>
  </w:num>
  <w:num w:numId="7" w16cid:durableId="1408963089">
    <w:abstractNumId w:val="8"/>
  </w:num>
  <w:num w:numId="8" w16cid:durableId="1462454870">
    <w:abstractNumId w:val="11"/>
  </w:num>
  <w:num w:numId="9" w16cid:durableId="86314600">
    <w:abstractNumId w:val="10"/>
  </w:num>
  <w:num w:numId="10" w16cid:durableId="1698044573">
    <w:abstractNumId w:val="4"/>
  </w:num>
  <w:num w:numId="11" w16cid:durableId="1028943610">
    <w:abstractNumId w:val="6"/>
  </w:num>
  <w:num w:numId="12" w16cid:durableId="1023944625">
    <w:abstractNumId w:val="9"/>
  </w:num>
  <w:num w:numId="13" w16cid:durableId="289164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A4"/>
    <w:rsid w:val="00035A66"/>
    <w:rsid w:val="00176FEC"/>
    <w:rsid w:val="0018174F"/>
    <w:rsid w:val="00207E56"/>
    <w:rsid w:val="00264C18"/>
    <w:rsid w:val="00337015"/>
    <w:rsid w:val="00383FA4"/>
    <w:rsid w:val="00412C9A"/>
    <w:rsid w:val="004301D6"/>
    <w:rsid w:val="00447FE6"/>
    <w:rsid w:val="004C10E5"/>
    <w:rsid w:val="00530BB3"/>
    <w:rsid w:val="00531248"/>
    <w:rsid w:val="00541915"/>
    <w:rsid w:val="006B42EC"/>
    <w:rsid w:val="006C7D8D"/>
    <w:rsid w:val="006F557F"/>
    <w:rsid w:val="007C714F"/>
    <w:rsid w:val="00900FBF"/>
    <w:rsid w:val="009132E4"/>
    <w:rsid w:val="009F15FF"/>
    <w:rsid w:val="00A6773E"/>
    <w:rsid w:val="00A769CD"/>
    <w:rsid w:val="00AF7BC3"/>
    <w:rsid w:val="00BC43D3"/>
    <w:rsid w:val="00C1011C"/>
    <w:rsid w:val="00C61D57"/>
    <w:rsid w:val="00CD77E4"/>
    <w:rsid w:val="00DA41E3"/>
    <w:rsid w:val="00F8403B"/>
    <w:rsid w:val="00FC44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E96AD"/>
  <w15:chartTrackingRefBased/>
  <w15:docId w15:val="{318F1B3A-9BFD-4A46-A397-A5919A7F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A4"/>
    <w:pPr>
      <w:ind w:left="720"/>
      <w:contextualSpacing/>
    </w:pPr>
  </w:style>
  <w:style w:type="character" w:customStyle="1" w:styleId="normaltextrun">
    <w:name w:val="normaltextrun"/>
    <w:basedOn w:val="DefaultParagraphFont"/>
    <w:rsid w:val="004301D6"/>
  </w:style>
  <w:style w:type="character" w:styleId="CommentReference">
    <w:name w:val="annotation reference"/>
    <w:basedOn w:val="DefaultParagraphFont"/>
    <w:uiPriority w:val="99"/>
    <w:semiHidden/>
    <w:unhideWhenUsed/>
    <w:rsid w:val="00447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7FE6"/>
    <w:pPr>
      <w:spacing w:after="0" w:line="240" w:lineRule="auto"/>
    </w:pPr>
  </w:style>
  <w:style w:type="character" w:styleId="Hyperlink">
    <w:name w:val="Hyperlink"/>
    <w:rsid w:val="00900F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11C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C10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41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bls.gov/oes/current/naics4_622300.htm" TargetMode="External" /><Relationship Id="rId9" Type="http://schemas.openxmlformats.org/officeDocument/2006/relationships/hyperlink" Target="https://www.opm.gov/policy-data-oversight/pay-leave/salaries-wages/salary-tables/pdf/2023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A80F-5D90-447C-989F-5C43F4BE9BD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2.xml><?xml version="1.0" encoding="utf-8"?>
<ds:datastoreItem xmlns:ds="http://schemas.openxmlformats.org/officeDocument/2006/customXml" ds:itemID="{8CD0B88B-C264-4326-AA39-89885B4EE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02B73-5E73-440C-A30E-0F2991012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Diane (NIH/OD/ORS) [E]</dc:creator>
  <cp:lastModifiedBy>Currie, Mikia (NIH/OD) [E]</cp:lastModifiedBy>
  <cp:revision>4</cp:revision>
  <dcterms:created xsi:type="dcterms:W3CDTF">2023-07-03T11:47:00Z</dcterms:created>
  <dcterms:modified xsi:type="dcterms:W3CDTF">2023-07-03T11:51:00Z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</Properties>
</file>