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3EF4E837" w14:textId="4B4A172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AB1145">
        <w:t>06/30/2024</w:t>
      </w:r>
      <w:r>
        <w:rPr>
          <w:sz w:val="28"/>
        </w:rPr>
        <w:t>)</w:t>
      </w:r>
    </w:p>
    <w:p w:rsidRPr="009239AA" w:rsidR="00BE39A3" w:rsidP="00BE39A3" w:rsidRDefault="005D423C" w14:paraId="62D8E3C6" w14:textId="0E5730E5">
      <w:pPr>
        <w:rPr>
          <w:b/>
        </w:rPr>
      </w:pPr>
      <w:r>
        <w:rPr>
          <w:b/>
          <w:noProof/>
        </w:rPr>
        <mc:AlternateContent>
          <mc:Choice Requires="wps">
            <w:drawing>
              <wp:anchor distT="0" distB="0" distL="114300" distR="114300" simplePos="0" relativeHeight="251657216" behindDoc="0" locked="0" layoutInCell="0" allowOverlap="1" wp14:editId="349A6C48" wp14:anchorId="541BD99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0B3E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F233E0">
        <w:rPr>
          <w:b/>
        </w:rPr>
        <w:t xml:space="preserve"> OHR Proof of Concept Assessment Surveys </w:t>
      </w:r>
      <w:r w:rsidR="005E714A">
        <w:t xml:space="preserve">  </w:t>
      </w:r>
    </w:p>
    <w:p w:rsidRPr="009239AA" w:rsidR="00E50293" w:rsidP="00434E33" w:rsidRDefault="00E50293" w14:paraId="547D67D6" w14:textId="35A703AA">
      <w:pPr>
        <w:rPr>
          <w:b/>
        </w:rPr>
      </w:pPr>
    </w:p>
    <w:p w:rsidR="005E714A" w:rsidRDefault="005E714A" w14:paraId="6A055F1F" w14:textId="77777777"/>
    <w:p w:rsidR="0030585D" w:rsidP="0030585D" w:rsidRDefault="00F15956" w14:paraId="39D0B7A6" w14:textId="04CC5F86">
      <w:pPr>
        <w:pStyle w:val="APA"/>
        <w:spacing w:line="240" w:lineRule="auto"/>
        <w:ind w:firstLine="0"/>
        <w:rPr>
          <w:b/>
        </w:rPr>
      </w:pPr>
      <w:r>
        <w:rPr>
          <w:b/>
        </w:rPr>
        <w:t>PURPOSE</w:t>
      </w:r>
      <w:r w:rsidRPr="009239AA">
        <w:rPr>
          <w:b/>
        </w:rPr>
        <w:t>:</w:t>
      </w:r>
      <w:r w:rsidRPr="009239AA" w:rsidR="00C14CC4">
        <w:rPr>
          <w:b/>
        </w:rPr>
        <w:t xml:space="preserve">  </w:t>
      </w:r>
      <w:r w:rsidRPr="00F233E0" w:rsidR="00F233E0">
        <w:rPr>
          <w:bCs/>
        </w:rPr>
        <w:t>NIH OHR is going through a 6-month proof of concept as it explores how the organization can opt-in to a mostly virtual workplace and make it a model for the future. Throughout this proof of concept, OHR will be soliciting regular feedback from OHR employees and IC customers so that it can monitor its progress and adjust as needed. Areas of focus will be OHR employee satisfaction, OHR employee engagement, OHR employee resource needs, and agency customer satisfaction.</w:t>
      </w:r>
      <w:r w:rsidR="00F233E0">
        <w:rPr>
          <w:b/>
        </w:rPr>
        <w:t xml:space="preserve"> </w:t>
      </w:r>
    </w:p>
    <w:p w:rsidR="00B115D4" w:rsidP="0030585D" w:rsidRDefault="00B115D4" w14:paraId="1A984CCE" w14:textId="77777777">
      <w:pPr>
        <w:pStyle w:val="APA"/>
        <w:spacing w:line="240" w:lineRule="auto"/>
        <w:ind w:firstLine="0"/>
        <w:rPr>
          <w:b/>
        </w:rPr>
      </w:pPr>
    </w:p>
    <w:p w:rsidR="00C8488C" w:rsidP="00434E33" w:rsidRDefault="00C8488C" w14:paraId="15688C93" w14:textId="77777777">
      <w:pPr>
        <w:pStyle w:val="Header"/>
        <w:tabs>
          <w:tab w:val="clear" w:pos="4320"/>
          <w:tab w:val="clear" w:pos="8640"/>
        </w:tabs>
        <w:rPr>
          <w:b/>
        </w:rPr>
      </w:pPr>
    </w:p>
    <w:p w:rsidR="00434E33" w:rsidP="00434E33" w:rsidRDefault="00434E33" w14:paraId="66E5B1DA" w14:textId="6B78EEB4">
      <w:pPr>
        <w:pStyle w:val="Header"/>
        <w:tabs>
          <w:tab w:val="clear" w:pos="4320"/>
          <w:tab w:val="clear" w:pos="8640"/>
        </w:tabs>
      </w:pPr>
      <w:r w:rsidRPr="00434E33">
        <w:rPr>
          <w:b/>
        </w:rPr>
        <w:t>DESCRIPTION OF RESPONDENTS</w:t>
      </w:r>
      <w:r>
        <w:t xml:space="preserve">: </w:t>
      </w:r>
      <w:r w:rsidR="00F233E0">
        <w:t xml:space="preserve">NIH OHR federal employees. NIH federal employees utilizing OHR services. </w:t>
      </w:r>
    </w:p>
    <w:p w:rsidRPr="00434E33" w:rsidR="00B115D4" w:rsidP="00434E33" w:rsidRDefault="00B115D4" w14:paraId="3D76F249" w14:textId="77777777">
      <w:pPr>
        <w:pStyle w:val="Header"/>
        <w:tabs>
          <w:tab w:val="clear" w:pos="4320"/>
          <w:tab w:val="clear" w:pos="8640"/>
        </w:tabs>
        <w:rPr>
          <w:i/>
          <w:snapToGrid/>
        </w:rPr>
      </w:pPr>
    </w:p>
    <w:p w:rsidR="00E26329" w:rsidRDefault="00E26329" w14:paraId="06E8CBD4" w14:textId="72C319F7">
      <w:pPr>
        <w:rPr>
          <w:b/>
        </w:rPr>
      </w:pPr>
    </w:p>
    <w:p w:rsidRPr="00F06866" w:rsidR="00F06866" w:rsidRDefault="00F06866" w14:paraId="2BE0292E" w14:textId="77777777">
      <w:pPr>
        <w:rPr>
          <w:b/>
        </w:rPr>
      </w:pPr>
      <w:r>
        <w:rPr>
          <w:b/>
        </w:rPr>
        <w:t>TYPE OF COLLECTION:</w:t>
      </w:r>
      <w:r w:rsidRPr="00F06866">
        <w:t xml:space="preserve"> (Check one)</w:t>
      </w:r>
    </w:p>
    <w:p w:rsidRPr="00434E33" w:rsidR="00441434" w:rsidP="0096108F" w:rsidRDefault="00441434" w14:paraId="5198A725" w14:textId="77777777">
      <w:pPr>
        <w:pStyle w:val="BodyTextIndent"/>
        <w:tabs>
          <w:tab w:val="left" w:pos="360"/>
        </w:tabs>
        <w:ind w:left="0"/>
        <w:rPr>
          <w:bCs/>
          <w:sz w:val="16"/>
          <w:szCs w:val="16"/>
        </w:rPr>
      </w:pPr>
    </w:p>
    <w:p w:rsidRPr="00F06866" w:rsidR="00F06866" w:rsidP="0096108F" w:rsidRDefault="0096108F" w14:paraId="685123AF" w14:textId="6BD8DBCE">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F43C8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BD2EA5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5749F1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607F186" w14:textId="77777777">
      <w:pPr>
        <w:pStyle w:val="Header"/>
        <w:tabs>
          <w:tab w:val="clear" w:pos="4320"/>
          <w:tab w:val="clear" w:pos="8640"/>
        </w:tabs>
      </w:pPr>
    </w:p>
    <w:p w:rsidR="00CA2650" w:rsidRDefault="00441434" w14:paraId="09C9760D" w14:textId="77777777">
      <w:pPr>
        <w:rPr>
          <w:b/>
        </w:rPr>
      </w:pPr>
      <w:r>
        <w:rPr>
          <w:b/>
        </w:rPr>
        <w:t>C</w:t>
      </w:r>
      <w:r w:rsidR="009C13B9">
        <w:rPr>
          <w:b/>
        </w:rPr>
        <w:t>ERTIFICATION:</w:t>
      </w:r>
    </w:p>
    <w:p w:rsidR="00441434" w:rsidRDefault="00441434" w14:paraId="10C2986F" w14:textId="77777777">
      <w:pPr>
        <w:rPr>
          <w:sz w:val="16"/>
          <w:szCs w:val="16"/>
        </w:rPr>
      </w:pPr>
    </w:p>
    <w:p w:rsidRPr="009C13B9" w:rsidR="008101A5" w:rsidP="008101A5" w:rsidRDefault="008101A5" w14:paraId="145E8749" w14:textId="77777777">
      <w:r>
        <w:t xml:space="preserve">I certify the following to be true: </w:t>
      </w:r>
    </w:p>
    <w:p w:rsidR="008101A5" w:rsidP="008101A5" w:rsidRDefault="008101A5" w14:paraId="0978AE66" w14:textId="77777777">
      <w:pPr>
        <w:pStyle w:val="ListParagraph"/>
        <w:numPr>
          <w:ilvl w:val="0"/>
          <w:numId w:val="14"/>
        </w:numPr>
      </w:pPr>
      <w:r>
        <w:t>The collection is voluntary.</w:t>
      </w:r>
      <w:r w:rsidRPr="00C14CC4">
        <w:t xml:space="preserve"> </w:t>
      </w:r>
    </w:p>
    <w:p w:rsidR="008101A5" w:rsidP="008101A5" w:rsidRDefault="008101A5" w14:paraId="75C73F57" w14:textId="2787444E">
      <w:pPr>
        <w:pStyle w:val="ListParagraph"/>
        <w:numPr>
          <w:ilvl w:val="0"/>
          <w:numId w:val="14"/>
        </w:numPr>
      </w:pPr>
      <w:r>
        <w:t>The</w:t>
      </w:r>
      <w:r w:rsidRPr="00C14CC4">
        <w:t xml:space="preserve"> collection </w:t>
      </w:r>
      <w:r>
        <w:t xml:space="preserve">is </w:t>
      </w:r>
      <w:r w:rsidRPr="00C14CC4" w:rsidR="00F43C87">
        <w:t>low burden</w:t>
      </w:r>
      <w:r w:rsidRPr="00C14CC4">
        <w:t xml:space="preserve"> for respondents and low-cost for the Federal Government</w:t>
      </w:r>
      <w:r>
        <w:t>.</w:t>
      </w:r>
    </w:p>
    <w:p w:rsidR="008101A5" w:rsidP="008101A5" w:rsidRDefault="008101A5" w14:paraId="77D5E6F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40A5D0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C9FEA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E026D9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E330801" w14:textId="77777777"/>
    <w:p w:rsidR="009C13B9" w:rsidP="009C13B9" w:rsidRDefault="009C13B9" w14:paraId="66C6F982" w14:textId="49347CC8">
      <w:r>
        <w:t>Name:</w:t>
      </w:r>
      <w:r w:rsidRPr="00A771D9" w:rsidR="00A771D9">
        <w:t xml:space="preserve"> </w:t>
      </w:r>
      <w:r w:rsidR="00F233E0">
        <w:t>Joseph Ciaravella</w:t>
      </w:r>
    </w:p>
    <w:p w:rsidR="009C13B9" w:rsidP="009C13B9" w:rsidRDefault="009C13B9" w14:paraId="7A5EE6AF" w14:textId="77777777">
      <w:pPr>
        <w:pStyle w:val="ListParagraph"/>
        <w:ind w:left="360"/>
      </w:pPr>
    </w:p>
    <w:p w:rsidR="009C13B9" w:rsidP="009C13B9" w:rsidRDefault="009C13B9" w14:paraId="25C4CE72" w14:textId="37C09C46">
      <w:r>
        <w:t>To assist review, please provide answers to the following question:</w:t>
      </w:r>
    </w:p>
    <w:p w:rsidR="00A771D9" w:rsidP="009C13B9" w:rsidRDefault="00A771D9" w14:paraId="733802BE" w14:textId="46CE20A5"/>
    <w:p w:rsidR="00A771D9" w:rsidP="009C13B9" w:rsidRDefault="00A771D9" w14:paraId="6CC729E3" w14:textId="77777777"/>
    <w:p w:rsidR="009C13B9" w:rsidP="009C13B9" w:rsidRDefault="009C13B9" w14:paraId="0A30C375" w14:textId="77777777">
      <w:pPr>
        <w:pStyle w:val="ListParagraph"/>
        <w:ind w:left="360"/>
      </w:pPr>
    </w:p>
    <w:p w:rsidRPr="00C86E91" w:rsidR="009C13B9" w:rsidP="00C86E91" w:rsidRDefault="00C86E91" w14:paraId="0BC72364" w14:textId="77777777">
      <w:pPr>
        <w:rPr>
          <w:b/>
        </w:rPr>
      </w:pPr>
      <w:r w:rsidRPr="00C86E91">
        <w:rPr>
          <w:b/>
        </w:rPr>
        <w:t>Personally Identifiable Information:</w:t>
      </w:r>
    </w:p>
    <w:p w:rsidR="00C86E91" w:rsidP="00C86E91" w:rsidRDefault="009C13B9" w14:paraId="71A57C88" w14:textId="11C3E983">
      <w:pPr>
        <w:pStyle w:val="ListParagraph"/>
        <w:numPr>
          <w:ilvl w:val="0"/>
          <w:numId w:val="18"/>
        </w:numPr>
      </w:pPr>
      <w:r>
        <w:t>Is</w:t>
      </w:r>
      <w:r w:rsidR="00237B48">
        <w:t xml:space="preserve"> personally identifiable information (PII) collected</w:t>
      </w:r>
      <w:r>
        <w:t xml:space="preserve">?  </w:t>
      </w:r>
      <w:r w:rsidR="009239AA">
        <w:t>[</w:t>
      </w:r>
      <w:r w:rsidR="00B115D4">
        <w:t xml:space="preserve"> </w:t>
      </w:r>
      <w:r w:rsidR="009239AA">
        <w:t>] Yes [</w:t>
      </w:r>
      <w:r w:rsidR="00F233E0">
        <w:t>X</w:t>
      </w:r>
      <w:r w:rsidR="009239AA">
        <w:t xml:space="preserve">]  No </w:t>
      </w:r>
    </w:p>
    <w:p w:rsidR="00C86E91" w:rsidP="00C86E91" w:rsidRDefault="009C13B9" w14:paraId="74A75900" w14:textId="541D2CFE">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B115D4">
        <w:t xml:space="preserve"> </w:t>
      </w:r>
      <w:r w:rsidR="009239AA">
        <w:t>] Yes [  ] No</w:t>
      </w:r>
      <w:r w:rsidR="00C86E91">
        <w:t xml:space="preserve">   </w:t>
      </w:r>
    </w:p>
    <w:p w:rsidR="00C86E91" w:rsidP="00C86E91" w:rsidRDefault="00C86E91" w14:paraId="530E4EE8" w14:textId="76F43292">
      <w:pPr>
        <w:pStyle w:val="ListParagraph"/>
        <w:numPr>
          <w:ilvl w:val="0"/>
          <w:numId w:val="18"/>
        </w:numPr>
      </w:pPr>
      <w:r>
        <w:t>If Applicable, has a System or Records Notice been published?  [</w:t>
      </w:r>
      <w:r w:rsidR="00B115D4">
        <w:t xml:space="preserve"> </w:t>
      </w:r>
      <w:r>
        <w:t>] Yes [  ] No</w:t>
      </w:r>
    </w:p>
    <w:p w:rsidR="00633F74" w:rsidP="00633F74" w:rsidRDefault="00633F74" w14:paraId="66F60880" w14:textId="77777777">
      <w:pPr>
        <w:pStyle w:val="ListParagraph"/>
        <w:ind w:left="360"/>
      </w:pPr>
    </w:p>
    <w:p w:rsidRPr="00C86E91" w:rsidR="00C86E91" w:rsidP="00C86E91" w:rsidRDefault="00CB1078" w14:paraId="07B0F7C3" w14:textId="77777777">
      <w:pPr>
        <w:pStyle w:val="ListParagraph"/>
        <w:ind w:left="0"/>
        <w:rPr>
          <w:b/>
        </w:rPr>
      </w:pPr>
      <w:r>
        <w:rPr>
          <w:b/>
        </w:rPr>
        <w:t>Gifts or Payments</w:t>
      </w:r>
      <w:r w:rsidR="00C86E91">
        <w:rPr>
          <w:b/>
        </w:rPr>
        <w:t>:</w:t>
      </w:r>
    </w:p>
    <w:p w:rsidR="00C86E91" w:rsidP="00C86E91" w:rsidRDefault="00C86E91" w14:paraId="2B1D9E7A" w14:textId="2F882CBF">
      <w:r>
        <w:lastRenderedPageBreak/>
        <w:t>Is an incentive (e.g., money or reimbursement of expenses, token of appreciation) provided to participants?  [  ] Yes [</w:t>
      </w:r>
      <w:r w:rsidR="00F233E0">
        <w:t>X</w:t>
      </w:r>
      <w:r>
        <w:t xml:space="preserve">] No  </w:t>
      </w:r>
    </w:p>
    <w:p w:rsidR="004D6E14" w:rsidRDefault="004D6E14" w14:paraId="2A556F5C" w14:textId="77777777">
      <w:pPr>
        <w:rPr>
          <w:b/>
        </w:rPr>
      </w:pPr>
    </w:p>
    <w:p w:rsidR="00F24CFC" w:rsidRDefault="00F24CFC" w14:paraId="2A9DE960" w14:textId="77777777">
      <w:pPr>
        <w:rPr>
          <w:b/>
        </w:rPr>
      </w:pPr>
    </w:p>
    <w:p w:rsidRPr="00BC676D" w:rsidR="005E714A" w:rsidP="00C86E91" w:rsidRDefault="003668D6" w14:paraId="070ED04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E583949" w14:textId="77777777">
      <w:pPr>
        <w:keepNext/>
        <w:keepLines/>
        <w:rPr>
          <w:b/>
        </w:rPr>
      </w:pPr>
    </w:p>
    <w:tbl>
      <w:tblPr>
        <w:tblW w:w="1005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2047"/>
        <w:gridCol w:w="1553"/>
        <w:gridCol w:w="1710"/>
        <w:gridCol w:w="1530"/>
        <w:gridCol w:w="1170"/>
      </w:tblGrid>
      <w:tr w:rsidR="0089114E" w:rsidTr="00B115D4" w14:paraId="04FF519F" w14:textId="77777777">
        <w:trPr>
          <w:trHeight w:val="274"/>
        </w:trPr>
        <w:tc>
          <w:tcPr>
            <w:tcW w:w="2047" w:type="dxa"/>
          </w:tcPr>
          <w:p w:rsidRPr="002D26E2" w:rsidR="0089114E" w:rsidP="00C8488C" w:rsidRDefault="0089114E" w14:paraId="7B7579F7" w14:textId="39F753F5">
            <w:pPr>
              <w:rPr>
                <w:b/>
              </w:rPr>
            </w:pPr>
            <w:r>
              <w:rPr>
                <w:b/>
              </w:rPr>
              <w:t>Forms</w:t>
            </w:r>
          </w:p>
        </w:tc>
        <w:tc>
          <w:tcPr>
            <w:tcW w:w="2047" w:type="dxa"/>
          </w:tcPr>
          <w:p w:rsidRPr="002D26E2" w:rsidR="0089114E" w:rsidP="00C8488C" w:rsidRDefault="0089114E" w14:paraId="799A8008" w14:textId="11656F8F">
            <w:pPr>
              <w:rPr>
                <w:b/>
              </w:rPr>
            </w:pPr>
            <w:r w:rsidRPr="002D26E2">
              <w:rPr>
                <w:b/>
              </w:rPr>
              <w:t xml:space="preserve">Category of Respondent </w:t>
            </w:r>
          </w:p>
        </w:tc>
        <w:tc>
          <w:tcPr>
            <w:tcW w:w="1553" w:type="dxa"/>
          </w:tcPr>
          <w:p w:rsidRPr="002D26E2" w:rsidR="0089114E" w:rsidP="00843796" w:rsidRDefault="0089114E" w14:paraId="372E9CEE" w14:textId="77777777">
            <w:pPr>
              <w:rPr>
                <w:b/>
              </w:rPr>
            </w:pPr>
            <w:r w:rsidRPr="002D26E2">
              <w:rPr>
                <w:b/>
              </w:rPr>
              <w:t>No. of Respondents</w:t>
            </w:r>
          </w:p>
        </w:tc>
        <w:tc>
          <w:tcPr>
            <w:tcW w:w="1710" w:type="dxa"/>
          </w:tcPr>
          <w:p w:rsidRPr="002D26E2" w:rsidR="0089114E" w:rsidP="00843796" w:rsidRDefault="0089114E" w14:paraId="12473134" w14:textId="77777777">
            <w:pPr>
              <w:rPr>
                <w:b/>
              </w:rPr>
            </w:pPr>
            <w:r>
              <w:rPr>
                <w:b/>
              </w:rPr>
              <w:t xml:space="preserve">No. of Responses per Respondent </w:t>
            </w:r>
          </w:p>
        </w:tc>
        <w:tc>
          <w:tcPr>
            <w:tcW w:w="1530" w:type="dxa"/>
          </w:tcPr>
          <w:p w:rsidR="0089114E" w:rsidP="00843796" w:rsidRDefault="0089114E" w14:paraId="50374A18" w14:textId="77777777">
            <w:pPr>
              <w:rPr>
                <w:b/>
              </w:rPr>
            </w:pPr>
            <w:r>
              <w:rPr>
                <w:b/>
              </w:rPr>
              <w:t xml:space="preserve">Time per </w:t>
            </w:r>
          </w:p>
          <w:p w:rsidR="0089114E" w:rsidP="00843796" w:rsidRDefault="0089114E" w14:paraId="74224904" w14:textId="77777777">
            <w:pPr>
              <w:rPr>
                <w:b/>
              </w:rPr>
            </w:pPr>
            <w:r>
              <w:rPr>
                <w:b/>
              </w:rPr>
              <w:t xml:space="preserve">Response </w:t>
            </w:r>
          </w:p>
          <w:p w:rsidRPr="002D26E2" w:rsidR="0089114E" w:rsidP="00843796" w:rsidRDefault="0089114E" w14:paraId="62581789" w14:textId="77777777">
            <w:pPr>
              <w:rPr>
                <w:b/>
              </w:rPr>
            </w:pPr>
            <w:r>
              <w:rPr>
                <w:b/>
              </w:rPr>
              <w:t xml:space="preserve">(in hours) </w:t>
            </w:r>
          </w:p>
        </w:tc>
        <w:tc>
          <w:tcPr>
            <w:tcW w:w="1170" w:type="dxa"/>
          </w:tcPr>
          <w:p w:rsidR="0089114E" w:rsidP="00843796" w:rsidRDefault="0089114E" w14:paraId="688BD0FD" w14:textId="77777777">
            <w:pPr>
              <w:rPr>
                <w:b/>
              </w:rPr>
            </w:pPr>
            <w:r>
              <w:rPr>
                <w:b/>
              </w:rPr>
              <w:t xml:space="preserve">Total </w:t>
            </w:r>
            <w:r w:rsidRPr="002D26E2">
              <w:rPr>
                <w:b/>
              </w:rPr>
              <w:t>Burden</w:t>
            </w:r>
          </w:p>
          <w:p w:rsidRPr="002D26E2" w:rsidR="0089114E" w:rsidP="00843796" w:rsidRDefault="0089114E" w14:paraId="56DD5B2A" w14:textId="77777777">
            <w:pPr>
              <w:rPr>
                <w:b/>
              </w:rPr>
            </w:pPr>
            <w:r>
              <w:rPr>
                <w:b/>
              </w:rPr>
              <w:t xml:space="preserve">Hours </w:t>
            </w:r>
          </w:p>
        </w:tc>
      </w:tr>
      <w:tr w:rsidR="005E5BBE" w:rsidTr="00B115D4" w14:paraId="6E030B7C" w14:textId="77777777">
        <w:trPr>
          <w:trHeight w:val="260"/>
        </w:trPr>
        <w:tc>
          <w:tcPr>
            <w:tcW w:w="2047" w:type="dxa"/>
          </w:tcPr>
          <w:p w:rsidR="005E5BBE" w:rsidP="005E5BBE" w:rsidRDefault="00F233E0" w14:paraId="13AE77FF" w14:textId="2914CCF7">
            <w:pPr>
              <w:rPr>
                <w:sz w:val="20"/>
                <w:szCs w:val="20"/>
              </w:rPr>
            </w:pPr>
            <w:r>
              <w:rPr>
                <w:sz w:val="20"/>
                <w:szCs w:val="20"/>
              </w:rPr>
              <w:t>OHR Proof of Concept Customer Survey</w:t>
            </w:r>
          </w:p>
        </w:tc>
        <w:tc>
          <w:tcPr>
            <w:tcW w:w="2047" w:type="dxa"/>
          </w:tcPr>
          <w:p w:rsidR="005E5BBE" w:rsidP="005E5BBE" w:rsidRDefault="004F55BF" w14:paraId="51EB01CC" w14:textId="5313DE3B">
            <w:r>
              <w:rPr>
                <w:sz w:val="20"/>
                <w:szCs w:val="20"/>
              </w:rPr>
              <w:t xml:space="preserve">Federal Government </w:t>
            </w:r>
          </w:p>
        </w:tc>
        <w:tc>
          <w:tcPr>
            <w:tcW w:w="1553" w:type="dxa"/>
          </w:tcPr>
          <w:p w:rsidR="005E5BBE" w:rsidP="005E5BBE" w:rsidRDefault="00116EBA" w14:paraId="3FB0E26D" w14:textId="3EC108F7">
            <w:r>
              <w:rPr>
                <w:sz w:val="20"/>
                <w:szCs w:val="20"/>
              </w:rPr>
              <w:t>200</w:t>
            </w:r>
          </w:p>
        </w:tc>
        <w:tc>
          <w:tcPr>
            <w:tcW w:w="1710" w:type="dxa"/>
          </w:tcPr>
          <w:p w:rsidR="005E5BBE" w:rsidP="005E5BBE" w:rsidRDefault="002C1153" w14:paraId="7FEB37FA" w14:textId="2BB92194">
            <w:r>
              <w:rPr>
                <w:sz w:val="20"/>
                <w:szCs w:val="20"/>
              </w:rPr>
              <w:t>6</w:t>
            </w:r>
          </w:p>
        </w:tc>
        <w:tc>
          <w:tcPr>
            <w:tcW w:w="1530" w:type="dxa"/>
          </w:tcPr>
          <w:p w:rsidR="005E5BBE" w:rsidP="005E5BBE" w:rsidRDefault="005E5BBE" w14:paraId="7DCF5D7D" w14:textId="79C2F1CE">
            <w:r>
              <w:rPr>
                <w:sz w:val="20"/>
                <w:szCs w:val="20"/>
              </w:rPr>
              <w:t>5/60</w:t>
            </w:r>
          </w:p>
        </w:tc>
        <w:tc>
          <w:tcPr>
            <w:tcW w:w="1170" w:type="dxa"/>
          </w:tcPr>
          <w:p w:rsidRPr="00E621FE" w:rsidR="005E5BBE" w:rsidP="005E5BBE" w:rsidRDefault="002C1153" w14:paraId="1742855D" w14:textId="48288784">
            <w:pPr>
              <w:rPr>
                <w:sz w:val="22"/>
                <w:szCs w:val="22"/>
              </w:rPr>
            </w:pPr>
            <w:r>
              <w:rPr>
                <w:sz w:val="22"/>
                <w:szCs w:val="22"/>
              </w:rPr>
              <w:t>100</w:t>
            </w:r>
          </w:p>
        </w:tc>
      </w:tr>
      <w:tr w:rsidR="005E5BBE" w:rsidTr="00B115D4" w14:paraId="030FD675" w14:textId="77777777">
        <w:trPr>
          <w:trHeight w:val="274"/>
        </w:trPr>
        <w:tc>
          <w:tcPr>
            <w:tcW w:w="2047" w:type="dxa"/>
          </w:tcPr>
          <w:p w:rsidR="005E5BBE" w:rsidP="005E5BBE" w:rsidRDefault="00F233E0" w14:paraId="64E46203" w14:textId="3EEB42B9">
            <w:pPr>
              <w:rPr>
                <w:sz w:val="20"/>
                <w:szCs w:val="20"/>
              </w:rPr>
            </w:pPr>
            <w:r>
              <w:rPr>
                <w:sz w:val="20"/>
                <w:szCs w:val="20"/>
              </w:rPr>
              <w:t>OHR Proof of Concept Assessment- Employees/Managers Pulse Check</w:t>
            </w:r>
            <w:r w:rsidR="004F55BF">
              <w:rPr>
                <w:sz w:val="20"/>
                <w:szCs w:val="20"/>
              </w:rPr>
              <w:t xml:space="preserve"> </w:t>
            </w:r>
          </w:p>
        </w:tc>
        <w:tc>
          <w:tcPr>
            <w:tcW w:w="2047" w:type="dxa"/>
          </w:tcPr>
          <w:p w:rsidR="005E5BBE" w:rsidP="005E5BBE" w:rsidRDefault="004F55BF" w14:paraId="05DC97ED" w14:textId="3C415686">
            <w:r>
              <w:rPr>
                <w:sz w:val="20"/>
                <w:szCs w:val="20"/>
              </w:rPr>
              <w:t xml:space="preserve">Federal Government </w:t>
            </w:r>
          </w:p>
        </w:tc>
        <w:tc>
          <w:tcPr>
            <w:tcW w:w="1553" w:type="dxa"/>
          </w:tcPr>
          <w:p w:rsidR="005E5BBE" w:rsidP="005E5BBE" w:rsidRDefault="00116EBA" w14:paraId="7ABD0695" w14:textId="4D4C23CA">
            <w:r>
              <w:rPr>
                <w:sz w:val="20"/>
                <w:szCs w:val="20"/>
              </w:rPr>
              <w:t>366</w:t>
            </w:r>
          </w:p>
        </w:tc>
        <w:tc>
          <w:tcPr>
            <w:tcW w:w="1710" w:type="dxa"/>
          </w:tcPr>
          <w:p w:rsidR="005E5BBE" w:rsidP="005E5BBE" w:rsidRDefault="001039CA" w14:paraId="0A91EE8F" w14:textId="63BED8F7">
            <w:pPr>
              <w:rPr>
                <w:sz w:val="20"/>
                <w:szCs w:val="20"/>
              </w:rPr>
            </w:pPr>
            <w:r>
              <w:rPr>
                <w:sz w:val="20"/>
                <w:szCs w:val="20"/>
              </w:rPr>
              <w:t>7</w:t>
            </w:r>
          </w:p>
          <w:p w:rsidRPr="004F55BF" w:rsidR="004F55BF" w:rsidRDefault="004F55BF" w14:paraId="40B277C4" w14:textId="0546DCD1"/>
        </w:tc>
        <w:tc>
          <w:tcPr>
            <w:tcW w:w="1530" w:type="dxa"/>
          </w:tcPr>
          <w:p w:rsidR="005E5BBE" w:rsidP="005E5BBE" w:rsidRDefault="005E5BBE" w14:paraId="19A97AF0" w14:textId="4EEFB197">
            <w:r>
              <w:rPr>
                <w:sz w:val="20"/>
                <w:szCs w:val="20"/>
              </w:rPr>
              <w:t>5/60</w:t>
            </w:r>
          </w:p>
        </w:tc>
        <w:tc>
          <w:tcPr>
            <w:tcW w:w="1170" w:type="dxa"/>
          </w:tcPr>
          <w:p w:rsidRPr="002272BD" w:rsidR="005E5BBE" w:rsidP="005E5BBE" w:rsidRDefault="00487973" w14:paraId="15DE0FC6" w14:textId="3309EFB4">
            <w:pPr>
              <w:rPr>
                <w:sz w:val="22"/>
                <w:szCs w:val="22"/>
              </w:rPr>
            </w:pPr>
            <w:r>
              <w:rPr>
                <w:sz w:val="22"/>
                <w:szCs w:val="22"/>
              </w:rPr>
              <w:t>214</w:t>
            </w:r>
          </w:p>
        </w:tc>
      </w:tr>
      <w:tr w:rsidR="00F233E0" w:rsidTr="00B115D4" w14:paraId="33E7DA51" w14:textId="77777777">
        <w:trPr>
          <w:trHeight w:val="274"/>
        </w:trPr>
        <w:tc>
          <w:tcPr>
            <w:tcW w:w="2047" w:type="dxa"/>
          </w:tcPr>
          <w:p w:rsidR="00F233E0" w:rsidP="00F233E0" w:rsidRDefault="00487973" w14:paraId="60A62ADC" w14:textId="626B9104">
            <w:pPr>
              <w:rPr>
                <w:sz w:val="20"/>
                <w:szCs w:val="20"/>
              </w:rPr>
            </w:pPr>
            <w:r>
              <w:rPr>
                <w:sz w:val="20"/>
                <w:szCs w:val="20"/>
              </w:rPr>
              <w:t>Open Feedback</w:t>
            </w:r>
          </w:p>
        </w:tc>
        <w:tc>
          <w:tcPr>
            <w:tcW w:w="2047" w:type="dxa"/>
          </w:tcPr>
          <w:p w:rsidR="00F233E0" w:rsidP="00F233E0" w:rsidRDefault="00487973" w14:paraId="61C714BC" w14:textId="205415E9">
            <w:pPr>
              <w:rPr>
                <w:sz w:val="20"/>
                <w:szCs w:val="20"/>
              </w:rPr>
            </w:pPr>
            <w:r>
              <w:rPr>
                <w:sz w:val="20"/>
                <w:szCs w:val="20"/>
              </w:rPr>
              <w:t>Federal Government</w:t>
            </w:r>
          </w:p>
        </w:tc>
        <w:tc>
          <w:tcPr>
            <w:tcW w:w="1553" w:type="dxa"/>
          </w:tcPr>
          <w:p w:rsidR="00F233E0" w:rsidP="00F233E0" w:rsidRDefault="00487973" w14:paraId="2D734FD5" w14:textId="202CE907">
            <w:pPr>
              <w:rPr>
                <w:sz w:val="20"/>
                <w:szCs w:val="20"/>
              </w:rPr>
            </w:pPr>
            <w:r>
              <w:rPr>
                <w:sz w:val="20"/>
                <w:szCs w:val="20"/>
              </w:rPr>
              <w:t>366</w:t>
            </w:r>
          </w:p>
        </w:tc>
        <w:tc>
          <w:tcPr>
            <w:tcW w:w="1710" w:type="dxa"/>
          </w:tcPr>
          <w:p w:rsidR="00F233E0" w:rsidP="00F233E0" w:rsidRDefault="00487973" w14:paraId="3BCA688F" w14:textId="75F46251">
            <w:pPr>
              <w:rPr>
                <w:sz w:val="20"/>
                <w:szCs w:val="20"/>
              </w:rPr>
            </w:pPr>
            <w:r>
              <w:rPr>
                <w:sz w:val="20"/>
                <w:szCs w:val="20"/>
              </w:rPr>
              <w:t>7</w:t>
            </w:r>
          </w:p>
        </w:tc>
        <w:tc>
          <w:tcPr>
            <w:tcW w:w="1530" w:type="dxa"/>
          </w:tcPr>
          <w:p w:rsidR="00F233E0" w:rsidP="00F233E0" w:rsidRDefault="00487973" w14:paraId="5F1A090B" w14:textId="4A8E5547">
            <w:pPr>
              <w:rPr>
                <w:sz w:val="20"/>
                <w:szCs w:val="20"/>
              </w:rPr>
            </w:pPr>
            <w:r>
              <w:rPr>
                <w:sz w:val="20"/>
                <w:szCs w:val="20"/>
              </w:rPr>
              <w:t>5/60</w:t>
            </w:r>
          </w:p>
        </w:tc>
        <w:tc>
          <w:tcPr>
            <w:tcW w:w="1170" w:type="dxa"/>
          </w:tcPr>
          <w:p w:rsidR="00F233E0" w:rsidP="00F233E0" w:rsidRDefault="00487973" w14:paraId="04D9D5B3" w14:textId="44413666">
            <w:pPr>
              <w:rPr>
                <w:sz w:val="22"/>
                <w:szCs w:val="22"/>
              </w:rPr>
            </w:pPr>
            <w:r>
              <w:rPr>
                <w:sz w:val="22"/>
                <w:szCs w:val="22"/>
              </w:rPr>
              <w:t>214</w:t>
            </w:r>
          </w:p>
        </w:tc>
      </w:tr>
      <w:tr w:rsidR="00F233E0" w:rsidTr="00B115D4" w14:paraId="6E3FCAFD" w14:textId="77777777">
        <w:trPr>
          <w:trHeight w:val="289"/>
        </w:trPr>
        <w:tc>
          <w:tcPr>
            <w:tcW w:w="2047" w:type="dxa"/>
          </w:tcPr>
          <w:p w:rsidRPr="002D26E2" w:rsidR="00F233E0" w:rsidP="00F233E0" w:rsidRDefault="00F233E0" w14:paraId="529F0503" w14:textId="199B4AA0">
            <w:pPr>
              <w:rPr>
                <w:b/>
              </w:rPr>
            </w:pPr>
            <w:r w:rsidRPr="002D26E2">
              <w:rPr>
                <w:b/>
              </w:rPr>
              <w:t>Totals</w:t>
            </w:r>
          </w:p>
        </w:tc>
        <w:tc>
          <w:tcPr>
            <w:tcW w:w="2047" w:type="dxa"/>
          </w:tcPr>
          <w:p w:rsidRPr="002D26E2" w:rsidR="00F233E0" w:rsidP="00F233E0" w:rsidRDefault="00F233E0" w14:paraId="11A2EA79" w14:textId="758A8C27">
            <w:pPr>
              <w:rPr>
                <w:b/>
              </w:rPr>
            </w:pPr>
          </w:p>
        </w:tc>
        <w:tc>
          <w:tcPr>
            <w:tcW w:w="1553" w:type="dxa"/>
          </w:tcPr>
          <w:p w:rsidRPr="00A872AD" w:rsidR="00F233E0" w:rsidP="00F233E0" w:rsidRDefault="00E762EE" w14:paraId="3209DEA1" w14:textId="4962E244">
            <w:pPr>
              <w:rPr>
                <w:b/>
                <w:sz w:val="22"/>
                <w:szCs w:val="22"/>
              </w:rPr>
            </w:pPr>
            <w:r>
              <w:rPr>
                <w:b/>
                <w:sz w:val="22"/>
                <w:szCs w:val="22"/>
              </w:rPr>
              <w:t>566</w:t>
            </w:r>
          </w:p>
        </w:tc>
        <w:tc>
          <w:tcPr>
            <w:tcW w:w="1710" w:type="dxa"/>
          </w:tcPr>
          <w:p w:rsidRPr="00AD17F1" w:rsidR="00F233E0" w:rsidP="00F233E0" w:rsidRDefault="002C1153" w14:paraId="3FAE9996" w14:textId="54A58842">
            <w:pPr>
              <w:rPr>
                <w:b/>
                <w:bCs/>
                <w:sz w:val="22"/>
                <w:szCs w:val="22"/>
              </w:rPr>
            </w:pPr>
            <w:r>
              <w:rPr>
                <w:b/>
                <w:bCs/>
                <w:sz w:val="22"/>
                <w:szCs w:val="22"/>
              </w:rPr>
              <w:t>6,324</w:t>
            </w:r>
          </w:p>
        </w:tc>
        <w:tc>
          <w:tcPr>
            <w:tcW w:w="1530" w:type="dxa"/>
          </w:tcPr>
          <w:p w:rsidR="00F233E0" w:rsidP="00F233E0" w:rsidRDefault="00F233E0" w14:paraId="2846D3D4" w14:textId="3569C928"/>
        </w:tc>
        <w:tc>
          <w:tcPr>
            <w:tcW w:w="1170" w:type="dxa"/>
          </w:tcPr>
          <w:p w:rsidRPr="00043D22" w:rsidR="00F233E0" w:rsidP="00F233E0" w:rsidRDefault="002C1153" w14:paraId="403938AB" w14:textId="5357855B">
            <w:pPr>
              <w:rPr>
                <w:b/>
                <w:sz w:val="22"/>
                <w:szCs w:val="22"/>
              </w:rPr>
            </w:pPr>
            <w:r>
              <w:rPr>
                <w:b/>
                <w:sz w:val="22"/>
                <w:szCs w:val="22"/>
              </w:rPr>
              <w:t>52</w:t>
            </w:r>
            <w:r w:rsidR="009C270E">
              <w:rPr>
                <w:b/>
                <w:sz w:val="22"/>
                <w:szCs w:val="22"/>
              </w:rPr>
              <w:t>7</w:t>
            </w:r>
          </w:p>
        </w:tc>
      </w:tr>
    </w:tbl>
    <w:p w:rsidR="00F3170F" w:rsidP="00F3170F" w:rsidRDefault="00F3170F" w14:paraId="205B4812" w14:textId="1AAB12E1"/>
    <w:p w:rsidRPr="005D423C" w:rsidR="005D423C" w:rsidP="00F3170F" w:rsidRDefault="005D423C" w14:paraId="2FFFFD9B" w14:textId="2CEC9814">
      <w:pPr>
        <w:rPr>
          <w:b/>
          <w:bCs/>
        </w:rPr>
      </w:pPr>
      <w:r>
        <w:rPr>
          <w:b/>
          <w:bCs/>
        </w:rPr>
        <w:t>COST TO RESPONDENTS</w:t>
      </w:r>
    </w:p>
    <w:p w:rsidRPr="009A036B" w:rsidR="009A036B" w:rsidP="009A036B" w:rsidRDefault="009A036B" w14:paraId="68E88D4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03A4E93" w14:textId="77777777">
        <w:trPr>
          <w:trHeight w:val="274"/>
        </w:trPr>
        <w:tc>
          <w:tcPr>
            <w:tcW w:w="2790" w:type="dxa"/>
          </w:tcPr>
          <w:p w:rsidRPr="009A036B" w:rsidR="00CA2010" w:rsidP="00CA2010" w:rsidRDefault="00CA2010" w14:paraId="3C80426B" w14:textId="77777777">
            <w:pPr>
              <w:rPr>
                <w:b/>
              </w:rPr>
            </w:pPr>
            <w:r w:rsidRPr="009A036B">
              <w:rPr>
                <w:b/>
              </w:rPr>
              <w:t xml:space="preserve"> </w:t>
            </w:r>
            <w:r w:rsidRPr="00CA2010">
              <w:rPr>
                <w:b/>
              </w:rPr>
              <w:t>Category of Respondent</w:t>
            </w:r>
          </w:p>
          <w:p w:rsidRPr="009A036B" w:rsidR="00CA2010" w:rsidP="00CA2010" w:rsidRDefault="00CA2010" w14:paraId="1F80DF1C" w14:textId="77777777">
            <w:pPr>
              <w:rPr>
                <w:b/>
              </w:rPr>
            </w:pPr>
          </w:p>
        </w:tc>
        <w:tc>
          <w:tcPr>
            <w:tcW w:w="2250" w:type="dxa"/>
          </w:tcPr>
          <w:p w:rsidRPr="00CA2010" w:rsidR="00CA2010" w:rsidP="00CA2010" w:rsidRDefault="00CA2010" w14:paraId="2DFBFFA7" w14:textId="77777777">
            <w:pPr>
              <w:rPr>
                <w:b/>
              </w:rPr>
            </w:pPr>
            <w:r w:rsidRPr="00CA2010">
              <w:rPr>
                <w:b/>
              </w:rPr>
              <w:t>Total Burden</w:t>
            </w:r>
          </w:p>
          <w:p w:rsidRPr="009A036B" w:rsidR="00CA2010" w:rsidP="00CA2010" w:rsidRDefault="00CA2010" w14:paraId="378B7246" w14:textId="77777777">
            <w:pPr>
              <w:rPr>
                <w:b/>
              </w:rPr>
            </w:pPr>
            <w:r w:rsidRPr="00CA2010">
              <w:rPr>
                <w:b/>
              </w:rPr>
              <w:t>Hours</w:t>
            </w:r>
          </w:p>
        </w:tc>
        <w:tc>
          <w:tcPr>
            <w:tcW w:w="2520" w:type="dxa"/>
          </w:tcPr>
          <w:p w:rsidRPr="009A036B" w:rsidR="00CA2010" w:rsidP="009A036B" w:rsidRDefault="00F94D8C" w14:paraId="7BABC1A4" w14:textId="77777777">
            <w:pPr>
              <w:rPr>
                <w:b/>
              </w:rPr>
            </w:pPr>
            <w:r>
              <w:rPr>
                <w:b/>
              </w:rPr>
              <w:t xml:space="preserve">Hourly </w:t>
            </w:r>
            <w:r w:rsidR="00CA2010">
              <w:rPr>
                <w:b/>
              </w:rPr>
              <w:t>Wage Rate*</w:t>
            </w:r>
          </w:p>
        </w:tc>
        <w:tc>
          <w:tcPr>
            <w:tcW w:w="1620" w:type="dxa"/>
          </w:tcPr>
          <w:p w:rsidRPr="009A036B" w:rsidR="00CA2010" w:rsidP="009A036B" w:rsidRDefault="00CA2010" w14:paraId="0730A518" w14:textId="77777777">
            <w:pPr>
              <w:rPr>
                <w:b/>
              </w:rPr>
            </w:pPr>
            <w:r>
              <w:rPr>
                <w:b/>
              </w:rPr>
              <w:t>Total Burden Cost</w:t>
            </w:r>
            <w:r w:rsidRPr="009A036B">
              <w:rPr>
                <w:b/>
              </w:rPr>
              <w:t xml:space="preserve"> </w:t>
            </w:r>
          </w:p>
        </w:tc>
      </w:tr>
      <w:tr w:rsidRPr="009A036B" w:rsidR="002C1153" w:rsidTr="00CA2010" w14:paraId="757896FE" w14:textId="77777777">
        <w:trPr>
          <w:trHeight w:val="260"/>
        </w:trPr>
        <w:tc>
          <w:tcPr>
            <w:tcW w:w="2790" w:type="dxa"/>
          </w:tcPr>
          <w:p w:rsidRPr="009A036B" w:rsidR="002C1153" w:rsidP="002C1153" w:rsidRDefault="004F55BF" w14:paraId="07E55AD6" w14:textId="718F35B3">
            <w:r w:rsidRPr="004F55BF">
              <w:rPr>
                <w:sz w:val="20"/>
                <w:szCs w:val="20"/>
              </w:rPr>
              <w:t>Management Occupations</w:t>
            </w:r>
          </w:p>
        </w:tc>
        <w:tc>
          <w:tcPr>
            <w:tcW w:w="2250" w:type="dxa"/>
          </w:tcPr>
          <w:p w:rsidRPr="00962AA5" w:rsidR="002C1153" w:rsidP="002C1153" w:rsidRDefault="002C1153" w14:paraId="04DA79EB" w14:textId="6E8479C1">
            <w:pPr>
              <w:rPr>
                <w:sz w:val="22"/>
                <w:szCs w:val="22"/>
              </w:rPr>
            </w:pPr>
            <w:r>
              <w:rPr>
                <w:sz w:val="22"/>
                <w:szCs w:val="22"/>
              </w:rPr>
              <w:t>100</w:t>
            </w:r>
          </w:p>
        </w:tc>
        <w:tc>
          <w:tcPr>
            <w:tcW w:w="2520" w:type="dxa"/>
          </w:tcPr>
          <w:p w:rsidRPr="00962AA5" w:rsidR="002C1153" w:rsidP="002C1153" w:rsidRDefault="004F55BF" w14:paraId="4C83EC5C" w14:textId="785D289E">
            <w:pPr>
              <w:rPr>
                <w:sz w:val="22"/>
                <w:szCs w:val="22"/>
              </w:rPr>
            </w:pPr>
            <w:r>
              <w:rPr>
                <w:sz w:val="22"/>
                <w:szCs w:val="22"/>
              </w:rPr>
              <w:t>$</w:t>
            </w:r>
            <w:r w:rsidRPr="004F55BF">
              <w:rPr>
                <w:sz w:val="22"/>
                <w:szCs w:val="22"/>
              </w:rPr>
              <w:t>60.81</w:t>
            </w:r>
          </w:p>
        </w:tc>
        <w:tc>
          <w:tcPr>
            <w:tcW w:w="1620" w:type="dxa"/>
          </w:tcPr>
          <w:p w:rsidRPr="009A036B" w:rsidR="002C1153" w:rsidP="002C1153" w:rsidRDefault="005844AD" w14:paraId="7C0F63E7" w14:textId="28EC2292">
            <w:r>
              <w:t>$</w:t>
            </w:r>
            <w:r w:rsidR="0096039C">
              <w:t>6,081</w:t>
            </w:r>
          </w:p>
        </w:tc>
      </w:tr>
      <w:tr w:rsidRPr="009A036B" w:rsidR="002C1153" w:rsidTr="00CA2010" w14:paraId="7ADB9F90" w14:textId="77777777">
        <w:trPr>
          <w:trHeight w:val="274"/>
        </w:trPr>
        <w:tc>
          <w:tcPr>
            <w:tcW w:w="2790" w:type="dxa"/>
          </w:tcPr>
          <w:p w:rsidRPr="009A036B" w:rsidR="002C1153" w:rsidP="002C1153" w:rsidRDefault="004F55BF" w14:paraId="2E4574B4" w14:textId="70E9246D">
            <w:r w:rsidRPr="004F55BF">
              <w:rPr>
                <w:sz w:val="20"/>
                <w:szCs w:val="20"/>
              </w:rPr>
              <w:t>Human Resources Specialists</w:t>
            </w:r>
          </w:p>
        </w:tc>
        <w:tc>
          <w:tcPr>
            <w:tcW w:w="2250" w:type="dxa"/>
          </w:tcPr>
          <w:p w:rsidRPr="009A036B" w:rsidR="002C1153" w:rsidP="002C1153" w:rsidRDefault="002C1153" w14:paraId="399ADC8E" w14:textId="2A650833">
            <w:r>
              <w:t>428</w:t>
            </w:r>
          </w:p>
        </w:tc>
        <w:tc>
          <w:tcPr>
            <w:tcW w:w="2520" w:type="dxa"/>
          </w:tcPr>
          <w:p w:rsidRPr="009A036B" w:rsidR="002C1153" w:rsidP="002C1153" w:rsidRDefault="004F55BF" w14:paraId="050C1226" w14:textId="3F896A00">
            <w:r>
              <w:t>$</w:t>
            </w:r>
            <w:r w:rsidRPr="0096039C" w:rsidR="0096039C">
              <w:t>33.38</w:t>
            </w:r>
          </w:p>
        </w:tc>
        <w:tc>
          <w:tcPr>
            <w:tcW w:w="1620" w:type="dxa"/>
          </w:tcPr>
          <w:p w:rsidRPr="009A036B" w:rsidR="002C1153" w:rsidP="002C1153" w:rsidRDefault="005844AD" w14:paraId="3B20F81F" w14:textId="15B456BF">
            <w:r>
              <w:t>$</w:t>
            </w:r>
            <w:r w:rsidR="0096039C">
              <w:t>14,286</w:t>
            </w:r>
          </w:p>
        </w:tc>
      </w:tr>
      <w:tr w:rsidRPr="009A036B" w:rsidR="002C1153" w:rsidTr="00CA2010" w14:paraId="23B9C8B5" w14:textId="77777777">
        <w:trPr>
          <w:trHeight w:val="289"/>
        </w:trPr>
        <w:tc>
          <w:tcPr>
            <w:tcW w:w="2790" w:type="dxa"/>
          </w:tcPr>
          <w:p w:rsidRPr="009A036B" w:rsidR="002C1153" w:rsidP="002C1153" w:rsidRDefault="002C1153" w14:paraId="56856381" w14:textId="77777777">
            <w:pPr>
              <w:rPr>
                <w:b/>
              </w:rPr>
            </w:pPr>
            <w:r w:rsidRPr="009A036B">
              <w:rPr>
                <w:b/>
              </w:rPr>
              <w:t>Totals</w:t>
            </w:r>
          </w:p>
        </w:tc>
        <w:tc>
          <w:tcPr>
            <w:tcW w:w="2250" w:type="dxa"/>
          </w:tcPr>
          <w:p w:rsidRPr="009A036B" w:rsidR="002C1153" w:rsidP="002C1153" w:rsidRDefault="002C1153" w14:paraId="56472002" w14:textId="77777777">
            <w:pPr>
              <w:rPr>
                <w:b/>
              </w:rPr>
            </w:pPr>
          </w:p>
        </w:tc>
        <w:tc>
          <w:tcPr>
            <w:tcW w:w="2520" w:type="dxa"/>
          </w:tcPr>
          <w:p w:rsidRPr="009A036B" w:rsidR="002C1153" w:rsidP="002C1153" w:rsidRDefault="002C1153" w14:paraId="01A3C5E5" w14:textId="77777777"/>
        </w:tc>
        <w:tc>
          <w:tcPr>
            <w:tcW w:w="1620" w:type="dxa"/>
          </w:tcPr>
          <w:p w:rsidRPr="00EC1458" w:rsidR="002C1153" w:rsidP="002C1153" w:rsidRDefault="005844AD" w14:paraId="02EB9B84" w14:textId="4270A192">
            <w:pPr>
              <w:rPr>
                <w:sz w:val="22"/>
                <w:szCs w:val="22"/>
              </w:rPr>
            </w:pPr>
            <w:r>
              <w:rPr>
                <w:sz w:val="22"/>
                <w:szCs w:val="22"/>
              </w:rPr>
              <w:t>$</w:t>
            </w:r>
            <w:r w:rsidR="0096039C">
              <w:rPr>
                <w:sz w:val="22"/>
                <w:szCs w:val="22"/>
              </w:rPr>
              <w:t>20,367</w:t>
            </w:r>
          </w:p>
        </w:tc>
      </w:tr>
    </w:tbl>
    <w:p w:rsidR="009B497B" w:rsidP="009B497B" w:rsidRDefault="00B115D4" w14:paraId="02EE2E8B" w14:textId="1A4304DA">
      <w:pPr>
        <w:rPr>
          <w:rStyle w:val="Hyperlink"/>
          <w:rFonts w:cstheme="minorHAnsi"/>
          <w:sz w:val="18"/>
          <w:szCs w:val="18"/>
        </w:rPr>
      </w:pPr>
      <w:r>
        <w:t>*</w:t>
      </w:r>
      <w:r w:rsidRPr="002C1153" w:rsidR="002C1153">
        <w:t xml:space="preserve"> </w:t>
      </w:r>
      <w:r w:rsidR="009B497B">
        <w:t xml:space="preserve">  </w:t>
      </w:r>
      <w:r w:rsidRPr="004037C8" w:rsidR="009B497B">
        <w:rPr>
          <w:rFonts w:cstheme="minorHAnsi"/>
          <w:sz w:val="18"/>
          <w:szCs w:val="18"/>
        </w:rPr>
        <w:t xml:space="preserve">Bureau of Labor Statistics: The hourly </w:t>
      </w:r>
      <w:r w:rsidRPr="003A5CB3" w:rsidR="009B497B">
        <w:rPr>
          <w:rFonts w:cstheme="minorHAnsi"/>
        </w:rPr>
        <w:t>rate</w:t>
      </w:r>
      <w:r w:rsidRPr="004037C8" w:rsidR="009B497B">
        <w:rPr>
          <w:rFonts w:cstheme="minorHAnsi"/>
          <w:sz w:val="18"/>
          <w:szCs w:val="18"/>
        </w:rPr>
        <w:t xml:space="preserve"> for Life, Physical and Social Sciences occupations was obtained from </w:t>
      </w:r>
      <w:hyperlink w:history="1" w:anchor="19-0000" r:id="rId8">
        <w:r w:rsidRPr="00F97EC1" w:rsidR="009B497B">
          <w:rPr>
            <w:rStyle w:val="Hyperlink"/>
            <w:sz w:val="18"/>
            <w:szCs w:val="18"/>
          </w:rPr>
          <w:t>https://www.bls.gov/oes/2020/may/oes_nat.htm#19-0000</w:t>
        </w:r>
      </w:hyperlink>
      <w:r w:rsidR="009B497B">
        <w:rPr>
          <w:sz w:val="18"/>
          <w:szCs w:val="18"/>
        </w:rPr>
        <w:t xml:space="preserve"> </w:t>
      </w:r>
      <w:r w:rsidRPr="003073F8" w:rsidR="009B497B">
        <w:rPr>
          <w:rStyle w:val="Hyperlink"/>
          <w:rFonts w:cstheme="minorHAnsi"/>
          <w:sz w:val="18"/>
          <w:szCs w:val="18"/>
        </w:rPr>
        <w:t xml:space="preserve">and was used for this calculation. </w:t>
      </w:r>
    </w:p>
    <w:p w:rsidRPr="003073F8" w:rsidR="009B497B" w:rsidP="009B497B" w:rsidRDefault="009B497B" w14:paraId="005FD2B8" w14:textId="77777777">
      <w:pPr>
        <w:rPr>
          <w:rFonts w:cstheme="minorHAnsi"/>
          <w:sz w:val="18"/>
          <w:szCs w:val="18"/>
          <w:highlight w:val="yellow"/>
        </w:rPr>
      </w:pPr>
    </w:p>
    <w:p w:rsidRPr="00B31022" w:rsidR="009B497B" w:rsidP="009B497B" w:rsidRDefault="009B497B" w14:paraId="067C4D90" w14:textId="77777777">
      <w:pPr>
        <w:rPr>
          <w:sz w:val="16"/>
          <w:szCs w:val="16"/>
        </w:rPr>
      </w:pPr>
    </w:p>
    <w:p w:rsidRPr="009A036B" w:rsidR="009A036B" w:rsidP="009A036B" w:rsidRDefault="009A036B" w14:paraId="29559E1C" w14:textId="69B8303B"/>
    <w:p w:rsidR="00441434" w:rsidP="00F3170F" w:rsidRDefault="00441434" w14:paraId="439295AB" w14:textId="77777777"/>
    <w:p w:rsidR="005E714A" w:rsidRDefault="001C39F7" w14:paraId="6984A6F2" w14:textId="3CFD9E11">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5D423C">
        <w:t xml:space="preserve">: </w:t>
      </w:r>
      <w:r w:rsidR="00C86E91">
        <w:t xml:space="preserve"> </w:t>
      </w:r>
      <w:r w:rsidRPr="0038201D" w:rsidR="0038201D">
        <w:rPr>
          <w:u w:val="single"/>
        </w:rPr>
        <w:t>$</w:t>
      </w:r>
      <w:r w:rsidR="004256E7">
        <w:rPr>
          <w:u w:val="single"/>
        </w:rPr>
        <w:t>20, 540</w:t>
      </w:r>
    </w:p>
    <w:p w:rsidRPr="009A036B" w:rsidR="009A036B" w:rsidP="009A036B" w:rsidRDefault="009A036B" w14:paraId="21058C59" w14:textId="77777777">
      <w:r>
        <w:rPr>
          <w:b/>
        </w:rPr>
        <w:t xml:space="preserve">                         </w:t>
      </w:r>
    </w:p>
    <w:p w:rsidRPr="009A036B" w:rsidR="009A036B" w:rsidP="009A036B" w:rsidRDefault="009A036B" w14:paraId="6CE60487" w14:textId="77777777"/>
    <w:tbl>
      <w:tblPr>
        <w:tblW w:w="9522" w:type="dxa"/>
        <w:tblCellMar>
          <w:left w:w="0" w:type="dxa"/>
          <w:right w:w="0" w:type="dxa"/>
        </w:tblCellMar>
        <w:tblLook w:val="04A0" w:firstRow="1" w:lastRow="0" w:firstColumn="1" w:lastColumn="0" w:noHBand="0" w:noVBand="1"/>
      </w:tblPr>
      <w:tblGrid>
        <w:gridCol w:w="2734"/>
        <w:gridCol w:w="1354"/>
        <w:gridCol w:w="1656"/>
        <w:gridCol w:w="1363"/>
        <w:gridCol w:w="1290"/>
        <w:gridCol w:w="1125"/>
      </w:tblGrid>
      <w:tr w:rsidRPr="009A036B" w:rsidR="009A036B" w:rsidTr="0096039C" w14:paraId="62924CEB" w14:textId="77777777">
        <w:trPr>
          <w:trHeight w:val="900"/>
        </w:trPr>
        <w:tc>
          <w:tcPr>
            <w:tcW w:w="273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F4892D9" w14:textId="77777777">
            <w:pPr>
              <w:rPr>
                <w:b/>
                <w:bCs/>
              </w:rPr>
            </w:pPr>
            <w:r w:rsidRPr="009A036B">
              <w:rPr>
                <w:i/>
              </w:rPr>
              <w:t xml:space="preserve"> </w:t>
            </w:r>
            <w:r w:rsidRPr="009A036B">
              <w:rPr>
                <w:b/>
                <w:bCs/>
              </w:rPr>
              <w:t>Staff</w:t>
            </w:r>
          </w:p>
        </w:tc>
        <w:tc>
          <w:tcPr>
            <w:tcW w:w="1354"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E366693" w14:textId="77777777">
            <w:pPr>
              <w:rPr>
                <w:b/>
                <w:bCs/>
              </w:rPr>
            </w:pPr>
          </w:p>
          <w:p w:rsidRPr="009A036B" w:rsidR="009A036B" w:rsidP="009A036B" w:rsidRDefault="009A036B" w14:paraId="7809E3C6" w14:textId="77777777">
            <w:pPr>
              <w:rPr>
                <w:b/>
                <w:bCs/>
              </w:rPr>
            </w:pPr>
            <w:r w:rsidRPr="009A036B">
              <w:rPr>
                <w:b/>
                <w:bCs/>
              </w:rPr>
              <w:t>Grade/Step</w:t>
            </w:r>
          </w:p>
        </w:tc>
        <w:tc>
          <w:tcPr>
            <w:tcW w:w="16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E7422FC"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86EE15C" w14:textId="77777777">
            <w:pPr>
              <w:rPr>
                <w:b/>
                <w:bCs/>
              </w:rPr>
            </w:pPr>
            <w:r w:rsidRPr="009A036B">
              <w:rPr>
                <w:b/>
                <w:bCs/>
              </w:rPr>
              <w:t>% of Effort</w:t>
            </w:r>
          </w:p>
        </w:tc>
        <w:tc>
          <w:tcPr>
            <w:tcW w:w="1290"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0C848A9" w14:textId="77777777">
            <w:pPr>
              <w:rPr>
                <w:b/>
                <w:bCs/>
              </w:rPr>
            </w:pPr>
            <w:r w:rsidRPr="009A036B">
              <w:rPr>
                <w:b/>
                <w:bCs/>
              </w:rPr>
              <w:t>Fringe (if applicable)</w:t>
            </w:r>
          </w:p>
        </w:tc>
        <w:tc>
          <w:tcPr>
            <w:tcW w:w="1125"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E9844BF" w14:textId="77777777">
            <w:pPr>
              <w:rPr>
                <w:b/>
                <w:bCs/>
              </w:rPr>
            </w:pPr>
            <w:r w:rsidRPr="009A036B">
              <w:rPr>
                <w:b/>
                <w:bCs/>
              </w:rPr>
              <w:t>Total Cost to Gov’t</w:t>
            </w:r>
          </w:p>
        </w:tc>
      </w:tr>
      <w:tr w:rsidRPr="009A036B" w:rsidR="009A036B" w:rsidTr="0096039C" w14:paraId="6FF303F1"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19DC530" w14:textId="77777777">
            <w:pPr>
              <w:rPr>
                <w:b/>
              </w:rPr>
            </w:pPr>
            <w:r w:rsidRPr="009A036B">
              <w:rPr>
                <w:b/>
              </w:rPr>
              <w:t>Federal Oversight</w:t>
            </w:r>
          </w:p>
        </w:tc>
        <w:tc>
          <w:tcPr>
            <w:tcW w:w="1354" w:type="dxa"/>
            <w:tcBorders>
              <w:top w:val="nil"/>
              <w:left w:val="nil"/>
              <w:bottom w:val="single" w:color="auto" w:sz="8" w:space="0"/>
              <w:right w:val="single" w:color="auto" w:sz="8" w:space="0"/>
            </w:tcBorders>
          </w:tcPr>
          <w:p w:rsidRPr="009A036B" w:rsidR="009A036B" w:rsidP="009A036B" w:rsidRDefault="009A036B" w14:paraId="3CA298E8" w14:textId="4F8EAF76"/>
        </w:tc>
        <w:tc>
          <w:tcPr>
            <w:tcW w:w="16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D0C749" w14:textId="2FEE1710"/>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87A0E8B" w14:textId="512CC190"/>
        </w:tc>
        <w:tc>
          <w:tcPr>
            <w:tcW w:w="1290" w:type="dxa"/>
            <w:tcBorders>
              <w:top w:val="nil"/>
              <w:left w:val="nil"/>
              <w:bottom w:val="single" w:color="auto" w:sz="8" w:space="0"/>
              <w:right w:val="single" w:color="auto" w:sz="8" w:space="0"/>
            </w:tcBorders>
            <w:shd w:val="clear" w:color="auto" w:fill="BFBFBF"/>
          </w:tcPr>
          <w:p w:rsidRPr="009A036B" w:rsidR="009A036B" w:rsidP="009A036B" w:rsidRDefault="009A036B" w14:paraId="1D8CA7DD" w14:textId="77777777"/>
        </w:tc>
        <w:tc>
          <w:tcPr>
            <w:tcW w:w="1125" w:type="dxa"/>
            <w:tcBorders>
              <w:top w:val="nil"/>
              <w:left w:val="nil"/>
              <w:bottom w:val="single" w:color="auto" w:sz="8" w:space="0"/>
              <w:right w:val="single" w:color="auto" w:sz="8" w:space="0"/>
            </w:tcBorders>
          </w:tcPr>
          <w:p w:rsidRPr="009A036B" w:rsidR="009A036B" w:rsidP="009A036B" w:rsidRDefault="009A036B" w14:paraId="38109A0F" w14:textId="3D0A9797"/>
        </w:tc>
      </w:tr>
      <w:tr w:rsidRPr="009A036B" w:rsidR="0096039C" w:rsidTr="00CC3C26" w14:paraId="4C5BBE03"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58EB343A" w14:textId="5A66535F">
            <w:r>
              <w:t>Management Analyst</w:t>
            </w:r>
          </w:p>
        </w:tc>
        <w:tc>
          <w:tcPr>
            <w:tcW w:w="1354" w:type="dxa"/>
            <w:tcBorders>
              <w:top w:val="nil"/>
              <w:left w:val="nil"/>
              <w:bottom w:val="single" w:color="auto" w:sz="8" w:space="0"/>
              <w:right w:val="single" w:color="auto" w:sz="8" w:space="0"/>
            </w:tcBorders>
          </w:tcPr>
          <w:p w:rsidRPr="009A036B" w:rsidR="0096039C" w:rsidP="0096039C" w:rsidRDefault="0096039C" w14:paraId="523F82B1" w14:textId="22994359">
            <w:r>
              <w:t>GS 14-2</w:t>
            </w:r>
          </w:p>
        </w:tc>
        <w:tc>
          <w:tcPr>
            <w:tcW w:w="16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6985902C" w14:textId="6CB96D05">
            <w:r w:rsidRPr="005844AD">
              <w:t>130,441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43F8D9F3" w14:textId="209841CB">
            <w:r>
              <w:t>10%</w:t>
            </w:r>
          </w:p>
        </w:tc>
        <w:tc>
          <w:tcPr>
            <w:tcW w:w="1290" w:type="dxa"/>
            <w:tcBorders>
              <w:top w:val="nil"/>
              <w:left w:val="nil"/>
              <w:bottom w:val="single" w:color="auto" w:sz="8" w:space="0"/>
              <w:right w:val="single" w:color="auto" w:sz="8" w:space="0"/>
            </w:tcBorders>
            <w:shd w:val="clear" w:color="auto" w:fill="BFBFBF"/>
            <w:vAlign w:val="bottom"/>
          </w:tcPr>
          <w:p w:rsidRPr="009A036B" w:rsidR="0096039C" w:rsidP="0096039C" w:rsidRDefault="0096039C" w14:paraId="3CCE23AF" w14:textId="77777777"/>
        </w:tc>
        <w:tc>
          <w:tcPr>
            <w:tcW w:w="1125" w:type="dxa"/>
            <w:tcBorders>
              <w:top w:val="nil"/>
              <w:left w:val="nil"/>
              <w:bottom w:val="single" w:color="auto" w:sz="8" w:space="0"/>
              <w:right w:val="single" w:color="auto" w:sz="8" w:space="0"/>
            </w:tcBorders>
          </w:tcPr>
          <w:p w:rsidRPr="009A036B" w:rsidR="0096039C" w:rsidP="0096039C" w:rsidRDefault="0096039C" w14:paraId="4B3BB356" w14:textId="0C20CEA8">
            <w:r>
              <w:t>13,045</w:t>
            </w:r>
          </w:p>
        </w:tc>
      </w:tr>
      <w:tr w:rsidRPr="009A036B" w:rsidR="0096039C" w:rsidTr="00CC3C26" w14:paraId="1684075C"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769555C6" w14:textId="116A491F">
            <w:r>
              <w:t>Management Analyst</w:t>
            </w:r>
          </w:p>
        </w:tc>
        <w:tc>
          <w:tcPr>
            <w:tcW w:w="1354" w:type="dxa"/>
            <w:tcBorders>
              <w:top w:val="nil"/>
              <w:left w:val="nil"/>
              <w:bottom w:val="single" w:color="auto" w:sz="8" w:space="0"/>
              <w:right w:val="single" w:color="auto" w:sz="8" w:space="0"/>
            </w:tcBorders>
          </w:tcPr>
          <w:p w:rsidRPr="009A036B" w:rsidR="0096039C" w:rsidP="0096039C" w:rsidRDefault="0096039C" w14:paraId="5A088138" w14:textId="4A0158D7">
            <w:r>
              <w:t>GS 14-2</w:t>
            </w:r>
          </w:p>
        </w:tc>
        <w:tc>
          <w:tcPr>
            <w:tcW w:w="16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13521797" w14:textId="69EBD3CD">
            <w:r w:rsidRPr="005844AD">
              <w:t>130,441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4F5FB1F4" w14:textId="17295D35">
            <w:r>
              <w:t>10%</w:t>
            </w:r>
          </w:p>
        </w:tc>
        <w:tc>
          <w:tcPr>
            <w:tcW w:w="1290" w:type="dxa"/>
            <w:tcBorders>
              <w:top w:val="nil"/>
              <w:left w:val="nil"/>
              <w:bottom w:val="single" w:color="auto" w:sz="8" w:space="0"/>
              <w:right w:val="single" w:color="auto" w:sz="8" w:space="0"/>
            </w:tcBorders>
            <w:shd w:val="clear" w:color="auto" w:fill="BFBFBF"/>
          </w:tcPr>
          <w:p w:rsidRPr="009A036B" w:rsidR="0096039C" w:rsidP="0096039C" w:rsidRDefault="0096039C" w14:paraId="253ABD07" w14:textId="77777777"/>
        </w:tc>
        <w:tc>
          <w:tcPr>
            <w:tcW w:w="1125" w:type="dxa"/>
            <w:tcBorders>
              <w:top w:val="nil"/>
              <w:left w:val="nil"/>
              <w:bottom w:val="single" w:color="auto" w:sz="8" w:space="0"/>
              <w:right w:val="single" w:color="auto" w:sz="8" w:space="0"/>
            </w:tcBorders>
            <w:vAlign w:val="bottom"/>
          </w:tcPr>
          <w:p w:rsidRPr="009A036B" w:rsidR="0096039C" w:rsidP="0096039C" w:rsidRDefault="0096039C" w14:paraId="597271C9" w14:textId="71FDA08D">
            <w:r>
              <w:t>7,495</w:t>
            </w:r>
          </w:p>
        </w:tc>
      </w:tr>
      <w:tr w:rsidRPr="009A036B" w:rsidR="0096039C" w:rsidTr="00CC3C26" w14:paraId="77D2CEA7"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621B1801" w14:textId="77777777"/>
        </w:tc>
        <w:tc>
          <w:tcPr>
            <w:tcW w:w="1354" w:type="dxa"/>
            <w:tcBorders>
              <w:top w:val="nil"/>
              <w:left w:val="nil"/>
              <w:bottom w:val="single" w:color="auto" w:sz="8" w:space="0"/>
              <w:right w:val="single" w:color="auto" w:sz="8" w:space="0"/>
            </w:tcBorders>
            <w:vAlign w:val="bottom"/>
          </w:tcPr>
          <w:p w:rsidRPr="009A036B" w:rsidR="0096039C" w:rsidP="0096039C" w:rsidRDefault="0096039C" w14:paraId="4474D86C" w14:textId="6F02219F"/>
        </w:tc>
        <w:tc>
          <w:tcPr>
            <w:tcW w:w="16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519F7CF4" w14:textId="77937526"/>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6039C" w:rsidP="0096039C" w:rsidRDefault="0096039C" w14:paraId="6E896EAF" w14:textId="4D0FF0BE"/>
        </w:tc>
        <w:tc>
          <w:tcPr>
            <w:tcW w:w="1290" w:type="dxa"/>
            <w:tcBorders>
              <w:top w:val="nil"/>
              <w:left w:val="nil"/>
              <w:bottom w:val="single" w:color="auto" w:sz="8" w:space="0"/>
              <w:right w:val="single" w:color="auto" w:sz="8" w:space="0"/>
            </w:tcBorders>
            <w:shd w:val="clear" w:color="auto" w:fill="BFBFBF"/>
          </w:tcPr>
          <w:p w:rsidRPr="009A036B" w:rsidR="0096039C" w:rsidP="0096039C" w:rsidRDefault="0096039C" w14:paraId="29682BCF" w14:textId="77777777"/>
        </w:tc>
        <w:tc>
          <w:tcPr>
            <w:tcW w:w="1125" w:type="dxa"/>
            <w:tcBorders>
              <w:top w:val="nil"/>
              <w:left w:val="nil"/>
              <w:bottom w:val="single" w:color="auto" w:sz="8" w:space="0"/>
              <w:right w:val="single" w:color="auto" w:sz="8" w:space="0"/>
            </w:tcBorders>
            <w:vAlign w:val="bottom"/>
          </w:tcPr>
          <w:p w:rsidRPr="009A036B" w:rsidR="0096039C" w:rsidP="0096039C" w:rsidRDefault="0096039C" w14:paraId="1C655DF9" w14:textId="2A054240"/>
        </w:tc>
      </w:tr>
      <w:tr w:rsidRPr="009A036B" w:rsidR="009A036B" w:rsidTr="0096039C" w14:paraId="07686186"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D4EDB85" w14:textId="77777777">
            <w:pPr>
              <w:rPr>
                <w:b/>
              </w:rPr>
            </w:pPr>
            <w:r w:rsidRPr="009A036B">
              <w:rPr>
                <w:b/>
              </w:rPr>
              <w:t>Contractor Cost</w:t>
            </w:r>
          </w:p>
        </w:tc>
        <w:tc>
          <w:tcPr>
            <w:tcW w:w="1354" w:type="dxa"/>
            <w:tcBorders>
              <w:top w:val="nil"/>
              <w:left w:val="nil"/>
              <w:bottom w:val="single" w:color="auto" w:sz="8" w:space="0"/>
              <w:right w:val="single" w:color="auto" w:sz="8" w:space="0"/>
            </w:tcBorders>
            <w:shd w:val="clear" w:color="auto" w:fill="BFBFBF"/>
          </w:tcPr>
          <w:p w:rsidRPr="009A036B" w:rsidR="009A036B" w:rsidP="009A036B" w:rsidRDefault="009A036B" w14:paraId="05486B17" w14:textId="77777777"/>
        </w:tc>
        <w:tc>
          <w:tcPr>
            <w:tcW w:w="16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4108E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FE6A11" w14:textId="77777777"/>
        </w:tc>
        <w:tc>
          <w:tcPr>
            <w:tcW w:w="1290" w:type="dxa"/>
            <w:tcBorders>
              <w:top w:val="nil"/>
              <w:left w:val="nil"/>
              <w:bottom w:val="single" w:color="auto" w:sz="8" w:space="0"/>
              <w:right w:val="single" w:color="auto" w:sz="8" w:space="0"/>
            </w:tcBorders>
          </w:tcPr>
          <w:p w:rsidRPr="009A036B" w:rsidR="009A036B" w:rsidP="009A036B" w:rsidRDefault="009A036B" w14:paraId="0637EF36" w14:textId="77777777"/>
        </w:tc>
        <w:tc>
          <w:tcPr>
            <w:tcW w:w="1125" w:type="dxa"/>
            <w:tcBorders>
              <w:top w:val="nil"/>
              <w:left w:val="nil"/>
              <w:bottom w:val="single" w:color="auto" w:sz="8" w:space="0"/>
              <w:right w:val="single" w:color="auto" w:sz="8" w:space="0"/>
            </w:tcBorders>
          </w:tcPr>
          <w:p w:rsidRPr="009A036B" w:rsidR="009A036B" w:rsidP="009A036B" w:rsidRDefault="009A036B" w14:paraId="2AE0A6B6" w14:textId="6DE6BBFF"/>
        </w:tc>
      </w:tr>
      <w:tr w:rsidRPr="009A036B" w:rsidR="009A036B" w:rsidTr="0096039C" w14:paraId="3AC5AC45"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A71F725" w14:textId="77777777"/>
        </w:tc>
        <w:tc>
          <w:tcPr>
            <w:tcW w:w="1354" w:type="dxa"/>
            <w:tcBorders>
              <w:top w:val="nil"/>
              <w:left w:val="nil"/>
              <w:bottom w:val="single" w:color="auto" w:sz="8" w:space="0"/>
              <w:right w:val="single" w:color="auto" w:sz="8" w:space="0"/>
            </w:tcBorders>
          </w:tcPr>
          <w:p w:rsidRPr="009A036B" w:rsidR="009A036B" w:rsidP="009A036B" w:rsidRDefault="009A036B" w14:paraId="11231964" w14:textId="77777777"/>
        </w:tc>
        <w:tc>
          <w:tcPr>
            <w:tcW w:w="16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A91C7B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5A7FF78" w14:textId="77777777"/>
        </w:tc>
        <w:tc>
          <w:tcPr>
            <w:tcW w:w="1290" w:type="dxa"/>
            <w:tcBorders>
              <w:top w:val="nil"/>
              <w:left w:val="nil"/>
              <w:bottom w:val="single" w:color="auto" w:sz="8" w:space="0"/>
              <w:right w:val="single" w:color="auto" w:sz="8" w:space="0"/>
            </w:tcBorders>
          </w:tcPr>
          <w:p w:rsidRPr="009A036B" w:rsidR="009A036B" w:rsidP="009A036B" w:rsidRDefault="009A036B" w14:paraId="69004A5A" w14:textId="77777777"/>
        </w:tc>
        <w:tc>
          <w:tcPr>
            <w:tcW w:w="1125" w:type="dxa"/>
            <w:tcBorders>
              <w:top w:val="nil"/>
              <w:left w:val="nil"/>
              <w:bottom w:val="single" w:color="auto" w:sz="8" w:space="0"/>
              <w:right w:val="single" w:color="auto" w:sz="8" w:space="0"/>
            </w:tcBorders>
          </w:tcPr>
          <w:p w:rsidRPr="009A036B" w:rsidR="009A036B" w:rsidP="009A036B" w:rsidRDefault="009A036B" w14:paraId="4B313B88" w14:textId="77777777"/>
        </w:tc>
      </w:tr>
      <w:tr w:rsidRPr="009A036B" w:rsidR="009A036B" w:rsidTr="0096039C" w14:paraId="4CD7D27F"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6EA111" w14:textId="77777777">
            <w:r w:rsidRPr="009A036B">
              <w:t>Travel</w:t>
            </w:r>
          </w:p>
        </w:tc>
        <w:tc>
          <w:tcPr>
            <w:tcW w:w="1354" w:type="dxa"/>
            <w:tcBorders>
              <w:top w:val="nil"/>
              <w:left w:val="nil"/>
              <w:bottom w:val="single" w:color="auto" w:sz="8" w:space="0"/>
              <w:right w:val="single" w:color="auto" w:sz="8" w:space="0"/>
            </w:tcBorders>
            <w:shd w:val="clear" w:color="auto" w:fill="BFBFBF"/>
          </w:tcPr>
          <w:p w:rsidRPr="009A036B" w:rsidR="009A036B" w:rsidP="009A036B" w:rsidRDefault="009A036B" w14:paraId="4B25E663" w14:textId="77777777"/>
        </w:tc>
        <w:tc>
          <w:tcPr>
            <w:tcW w:w="165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8043C4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58A5C19" w14:textId="77777777"/>
        </w:tc>
        <w:tc>
          <w:tcPr>
            <w:tcW w:w="1290" w:type="dxa"/>
            <w:tcBorders>
              <w:top w:val="nil"/>
              <w:left w:val="nil"/>
              <w:bottom w:val="single" w:color="auto" w:sz="8" w:space="0"/>
              <w:right w:val="single" w:color="auto" w:sz="8" w:space="0"/>
            </w:tcBorders>
            <w:shd w:val="clear" w:color="auto" w:fill="BFBFBF"/>
          </w:tcPr>
          <w:p w:rsidRPr="009A036B" w:rsidR="009A036B" w:rsidP="009A036B" w:rsidRDefault="009A036B" w14:paraId="47FBE3CD" w14:textId="77777777"/>
        </w:tc>
        <w:tc>
          <w:tcPr>
            <w:tcW w:w="1125" w:type="dxa"/>
            <w:tcBorders>
              <w:top w:val="nil"/>
              <w:left w:val="nil"/>
              <w:bottom w:val="single" w:color="auto" w:sz="8" w:space="0"/>
              <w:right w:val="single" w:color="auto" w:sz="8" w:space="0"/>
            </w:tcBorders>
          </w:tcPr>
          <w:p w:rsidRPr="009A036B" w:rsidR="009A036B" w:rsidP="009A036B" w:rsidRDefault="009A036B" w14:paraId="255F1C92" w14:textId="77777777"/>
        </w:tc>
      </w:tr>
      <w:tr w:rsidRPr="009A036B" w:rsidR="009A036B" w:rsidTr="0096039C" w14:paraId="00BDD1C8"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B33A97" w14:textId="77777777">
            <w:r w:rsidRPr="009A036B">
              <w:t>Other Cost</w:t>
            </w:r>
          </w:p>
        </w:tc>
        <w:tc>
          <w:tcPr>
            <w:tcW w:w="1354" w:type="dxa"/>
            <w:tcBorders>
              <w:top w:val="nil"/>
              <w:left w:val="nil"/>
              <w:bottom w:val="single" w:color="auto" w:sz="8" w:space="0"/>
              <w:right w:val="single" w:color="auto" w:sz="8" w:space="0"/>
            </w:tcBorders>
            <w:shd w:val="clear" w:color="auto" w:fill="BFBFBF"/>
          </w:tcPr>
          <w:p w:rsidRPr="009A036B" w:rsidR="009A036B" w:rsidP="009A036B" w:rsidRDefault="009A036B" w14:paraId="0CDB6E47" w14:textId="77777777"/>
        </w:tc>
        <w:tc>
          <w:tcPr>
            <w:tcW w:w="165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9224ED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4377F07" w14:textId="77777777"/>
        </w:tc>
        <w:tc>
          <w:tcPr>
            <w:tcW w:w="1290" w:type="dxa"/>
            <w:tcBorders>
              <w:top w:val="nil"/>
              <w:left w:val="nil"/>
              <w:bottom w:val="single" w:color="auto" w:sz="8" w:space="0"/>
              <w:right w:val="single" w:color="auto" w:sz="8" w:space="0"/>
            </w:tcBorders>
            <w:shd w:val="clear" w:color="auto" w:fill="BFBFBF"/>
          </w:tcPr>
          <w:p w:rsidRPr="009A036B" w:rsidR="009A036B" w:rsidP="009A036B" w:rsidRDefault="009A036B" w14:paraId="3010D8C1" w14:textId="77777777"/>
        </w:tc>
        <w:tc>
          <w:tcPr>
            <w:tcW w:w="1125" w:type="dxa"/>
            <w:tcBorders>
              <w:top w:val="nil"/>
              <w:left w:val="nil"/>
              <w:bottom w:val="single" w:color="auto" w:sz="8" w:space="0"/>
              <w:right w:val="single" w:color="auto" w:sz="8" w:space="0"/>
            </w:tcBorders>
          </w:tcPr>
          <w:p w:rsidRPr="009A036B" w:rsidR="009A036B" w:rsidP="009A036B" w:rsidRDefault="009A036B" w14:paraId="11583A36" w14:textId="77777777"/>
        </w:tc>
      </w:tr>
      <w:tr w:rsidRPr="009A036B" w:rsidR="009A036B" w:rsidTr="0096039C" w14:paraId="5CE2546E"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D25A6EC" w14:textId="77777777">
            <w:pPr>
              <w:rPr>
                <w:bCs/>
              </w:rPr>
            </w:pPr>
          </w:p>
        </w:tc>
        <w:tc>
          <w:tcPr>
            <w:tcW w:w="1354" w:type="dxa"/>
            <w:tcBorders>
              <w:top w:val="nil"/>
              <w:left w:val="nil"/>
              <w:bottom w:val="single" w:color="auto" w:sz="8" w:space="0"/>
              <w:right w:val="single" w:color="auto" w:sz="8" w:space="0"/>
            </w:tcBorders>
            <w:shd w:val="clear" w:color="auto" w:fill="BFBFBF"/>
          </w:tcPr>
          <w:p w:rsidRPr="009A036B" w:rsidR="009A036B" w:rsidP="009A036B" w:rsidRDefault="009A036B" w14:paraId="7881673A" w14:textId="77777777"/>
        </w:tc>
        <w:tc>
          <w:tcPr>
            <w:tcW w:w="165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76209F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724AAD6" w14:textId="77777777">
            <w:pPr>
              <w:rPr>
                <w:b/>
              </w:rPr>
            </w:pPr>
          </w:p>
        </w:tc>
        <w:tc>
          <w:tcPr>
            <w:tcW w:w="1290" w:type="dxa"/>
            <w:tcBorders>
              <w:top w:val="nil"/>
              <w:left w:val="nil"/>
              <w:bottom w:val="single" w:color="auto" w:sz="8" w:space="0"/>
              <w:right w:val="single" w:color="auto" w:sz="8" w:space="0"/>
            </w:tcBorders>
            <w:shd w:val="clear" w:color="auto" w:fill="BFBFBF"/>
          </w:tcPr>
          <w:p w:rsidRPr="009A036B" w:rsidR="009A036B" w:rsidP="009A036B" w:rsidRDefault="009A036B" w14:paraId="44BA9B60" w14:textId="77777777">
            <w:pPr>
              <w:rPr>
                <w:b/>
              </w:rPr>
            </w:pPr>
          </w:p>
        </w:tc>
        <w:tc>
          <w:tcPr>
            <w:tcW w:w="1125" w:type="dxa"/>
            <w:tcBorders>
              <w:top w:val="nil"/>
              <w:left w:val="nil"/>
              <w:bottom w:val="single" w:color="auto" w:sz="8" w:space="0"/>
              <w:right w:val="single" w:color="auto" w:sz="8" w:space="0"/>
            </w:tcBorders>
          </w:tcPr>
          <w:p w:rsidRPr="009A036B" w:rsidR="009A036B" w:rsidP="009A036B" w:rsidRDefault="009A036B" w14:paraId="45E77E3A" w14:textId="77777777">
            <w:pPr>
              <w:rPr>
                <w:b/>
              </w:rPr>
            </w:pPr>
          </w:p>
        </w:tc>
      </w:tr>
      <w:tr w:rsidRPr="009A036B" w:rsidR="009A036B" w:rsidTr="0096039C" w14:paraId="1B4A7358"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71CDE63C" w14:textId="77777777">
            <w:pPr>
              <w:rPr>
                <w:b/>
              </w:rPr>
            </w:pPr>
            <w:r w:rsidRPr="004B1EB8">
              <w:rPr>
                <w:b/>
              </w:rPr>
              <w:t>Total</w:t>
            </w:r>
          </w:p>
        </w:tc>
        <w:tc>
          <w:tcPr>
            <w:tcW w:w="1354" w:type="dxa"/>
            <w:tcBorders>
              <w:top w:val="nil"/>
              <w:left w:val="nil"/>
              <w:bottom w:val="single" w:color="auto" w:sz="8" w:space="0"/>
              <w:right w:val="single" w:color="auto" w:sz="8" w:space="0"/>
            </w:tcBorders>
            <w:shd w:val="clear" w:color="auto" w:fill="A6A6A6"/>
          </w:tcPr>
          <w:p w:rsidRPr="009A036B" w:rsidR="009A036B" w:rsidP="009A036B" w:rsidRDefault="009A036B" w14:paraId="030689AE" w14:textId="77777777"/>
        </w:tc>
        <w:tc>
          <w:tcPr>
            <w:tcW w:w="1656"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CDC91A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4CDA645" w14:textId="77777777"/>
        </w:tc>
        <w:tc>
          <w:tcPr>
            <w:tcW w:w="1290" w:type="dxa"/>
            <w:tcBorders>
              <w:top w:val="nil"/>
              <w:left w:val="nil"/>
              <w:bottom w:val="single" w:color="auto" w:sz="8" w:space="0"/>
              <w:right w:val="single" w:color="auto" w:sz="8" w:space="0"/>
            </w:tcBorders>
            <w:shd w:val="clear" w:color="auto" w:fill="A6A6A6"/>
          </w:tcPr>
          <w:p w:rsidRPr="009A036B" w:rsidR="009A036B" w:rsidP="009A036B" w:rsidRDefault="009A036B" w14:paraId="00705852" w14:textId="77777777"/>
        </w:tc>
        <w:tc>
          <w:tcPr>
            <w:tcW w:w="1125" w:type="dxa"/>
            <w:tcBorders>
              <w:top w:val="nil"/>
              <w:left w:val="nil"/>
              <w:bottom w:val="single" w:color="auto" w:sz="8" w:space="0"/>
              <w:right w:val="single" w:color="auto" w:sz="8" w:space="0"/>
            </w:tcBorders>
          </w:tcPr>
          <w:p w:rsidRPr="009A036B" w:rsidR="009A036B" w:rsidP="009A036B" w:rsidRDefault="00186700" w14:paraId="70F8FE8E" w14:textId="23030FC6">
            <w:r>
              <w:t>20,540</w:t>
            </w:r>
          </w:p>
        </w:tc>
      </w:tr>
    </w:tbl>
    <w:p w:rsidRPr="009A036B" w:rsidR="009A036B" w:rsidP="009A036B" w:rsidRDefault="005844AD" w14:paraId="1237A940" w14:textId="44DD28BB">
      <w:r>
        <w:rPr>
          <w:rFonts w:ascii="Calibri" w:hAnsi="Calibri" w:cs="Calibri"/>
          <w:sz w:val="16"/>
          <w:szCs w:val="16"/>
        </w:rPr>
        <w:lastRenderedPageBreak/>
        <w:t>*</w:t>
      </w:r>
      <w:r w:rsidRPr="00795061">
        <w:rPr>
          <w:rFonts w:ascii="Calibri" w:hAnsi="Calibri" w:cs="Calibri"/>
          <w:sz w:val="16"/>
          <w:szCs w:val="16"/>
        </w:rPr>
        <w:t xml:space="preserve">The NIH Federal Employee </w:t>
      </w:r>
      <w:r>
        <w:rPr>
          <w:rFonts w:ascii="Calibri" w:hAnsi="Calibri" w:cs="Calibri"/>
          <w:sz w:val="16"/>
          <w:szCs w:val="16"/>
        </w:rPr>
        <w:t xml:space="preserve">salary </w:t>
      </w:r>
      <w:r w:rsidRPr="00795061">
        <w:rPr>
          <w:rFonts w:ascii="Calibri" w:hAnsi="Calibri" w:cs="Calibri"/>
          <w:sz w:val="16"/>
          <w:szCs w:val="16"/>
        </w:rPr>
        <w:t xml:space="preserve">estimated based on the locality pay for the DC-MD-VA-WV-PA salary table: </w:t>
      </w:r>
      <w:hyperlink w:history="1" r:id="rId9">
        <w:r w:rsidRPr="005F17B7">
          <w:rPr>
            <w:rStyle w:val="Hyperlink"/>
            <w:sz w:val="20"/>
            <w:szCs w:val="20"/>
          </w:rPr>
          <w:t>https://www.opm.gov/policy-data-oversight/pay-leave/salaries-wages/salary-tables/pdf/2022/DCB.pdf</w:t>
        </w:r>
      </w:hyperlink>
    </w:p>
    <w:p w:rsidR="009A036B" w:rsidRDefault="009A036B" w14:paraId="7C64AB27" w14:textId="77777777">
      <w:pPr>
        <w:rPr>
          <w:b/>
        </w:rPr>
      </w:pPr>
    </w:p>
    <w:p w:rsidR="00ED6492" w:rsidRDefault="00ED6492" w14:paraId="3D06EC22" w14:textId="77777777">
      <w:pPr>
        <w:rPr>
          <w:b/>
          <w:bCs/>
          <w:u w:val="single"/>
        </w:rPr>
      </w:pPr>
    </w:p>
    <w:p w:rsidR="0069403B" w:rsidP="00F06866" w:rsidRDefault="00ED6492" w14:paraId="4D9D9CA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28FBDBC" w14:textId="77777777">
      <w:pPr>
        <w:rPr>
          <w:b/>
        </w:rPr>
      </w:pPr>
    </w:p>
    <w:p w:rsidR="00F06866" w:rsidP="00F06866" w:rsidRDefault="00636621" w14:paraId="4F6EB3EE" w14:textId="77777777">
      <w:pPr>
        <w:rPr>
          <w:b/>
        </w:rPr>
      </w:pPr>
      <w:r>
        <w:rPr>
          <w:b/>
        </w:rPr>
        <w:t>The</w:t>
      </w:r>
      <w:r w:rsidR="0069403B">
        <w:rPr>
          <w:b/>
        </w:rPr>
        <w:t xml:space="preserve"> select</w:t>
      </w:r>
      <w:r>
        <w:rPr>
          <w:b/>
        </w:rPr>
        <w:t>ion of your targeted respondents</w:t>
      </w:r>
    </w:p>
    <w:p w:rsidR="0069403B" w:rsidP="0069403B" w:rsidRDefault="0069403B" w14:paraId="64F99B1C" w14:textId="451271F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B7B54">
        <w:t>x</w:t>
      </w:r>
      <w:r>
        <w:t>] Yes</w:t>
      </w:r>
      <w:r>
        <w:tab/>
        <w:t>[ ] No</w:t>
      </w:r>
    </w:p>
    <w:p w:rsidR="00636621" w:rsidP="00636621" w:rsidRDefault="00636621" w14:paraId="56C05F5B" w14:textId="77777777">
      <w:pPr>
        <w:pStyle w:val="ListParagraph"/>
      </w:pPr>
    </w:p>
    <w:p w:rsidR="00636621" w:rsidP="001B0AAA" w:rsidRDefault="00636621" w14:paraId="2D170C4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65058" w:rsidP="00A403BB" w:rsidRDefault="00865058" w14:paraId="7B83EEEC" w14:textId="77777777"/>
    <w:p w:rsidR="00A403BB" w:rsidP="00A403BB" w:rsidRDefault="00186700" w14:paraId="35CC866C" w14:textId="31436BDF">
      <w:r>
        <w:t xml:space="preserve">Respondents will primarily be identified through existing agency email distribution lists (OHR-OM-OHR-ALL, NIH Executive Officers, Deputy EO Routable Group, </w:t>
      </w:r>
      <w:r w:rsidRPr="00186700">
        <w:t>Intramural Administrative Management Council</w:t>
      </w:r>
      <w:r w:rsidR="00865058">
        <w:t xml:space="preserve">, and </w:t>
      </w:r>
      <w:r w:rsidRPr="00865058" w:rsidR="00865058">
        <w:t>Extramural Administrative Management Council</w:t>
      </w:r>
      <w:r w:rsidR="00865058">
        <w:t xml:space="preserve">). Some </w:t>
      </w:r>
      <w:r w:rsidRPr="00865058" w:rsidR="00865058">
        <w:t>NIH federal agency customers</w:t>
      </w:r>
      <w:r w:rsidR="00865058">
        <w:t xml:space="preserve"> may access the survey after utilizing one of the few OHR services that will be offered in person. </w:t>
      </w:r>
    </w:p>
    <w:p w:rsidR="00B115D4" w:rsidP="00A403BB" w:rsidRDefault="00B115D4" w14:paraId="7D26CAED" w14:textId="77777777"/>
    <w:p w:rsidR="00A403BB" w:rsidP="00A403BB" w:rsidRDefault="00A403BB" w14:paraId="024D9C8E" w14:textId="77777777">
      <w:pPr>
        <w:rPr>
          <w:b/>
        </w:rPr>
      </w:pPr>
      <w:r>
        <w:rPr>
          <w:b/>
        </w:rPr>
        <w:t>Administration of the Instrument</w:t>
      </w:r>
    </w:p>
    <w:p w:rsidR="00A403BB" w:rsidP="00A403BB" w:rsidRDefault="001B0AAA" w14:paraId="767B935A" w14:textId="77777777">
      <w:pPr>
        <w:pStyle w:val="ListParagraph"/>
        <w:numPr>
          <w:ilvl w:val="0"/>
          <w:numId w:val="17"/>
        </w:numPr>
      </w:pPr>
      <w:r>
        <w:t>H</w:t>
      </w:r>
      <w:r w:rsidR="00A403BB">
        <w:t>ow will you collect the information? (Check all that apply)</w:t>
      </w:r>
    </w:p>
    <w:p w:rsidR="001B0AAA" w:rsidP="001B0AAA" w:rsidRDefault="00A403BB" w14:paraId="7DD0E47F" w14:textId="1F7E50D7">
      <w:pPr>
        <w:ind w:left="720"/>
      </w:pPr>
      <w:r>
        <w:t>[</w:t>
      </w:r>
      <w:r w:rsidR="00865058">
        <w:t>X</w:t>
      </w:r>
      <w:r>
        <w:t>] Web-based</w:t>
      </w:r>
      <w:r w:rsidR="001B0AAA">
        <w:t xml:space="preserve"> or other forms of Social Media </w:t>
      </w:r>
    </w:p>
    <w:p w:rsidR="001B0AAA" w:rsidP="001B0AAA" w:rsidRDefault="00A403BB" w14:paraId="51DAD632" w14:textId="77777777">
      <w:pPr>
        <w:ind w:left="720"/>
      </w:pPr>
      <w:r>
        <w:t xml:space="preserve">[ </w:t>
      </w:r>
      <w:r w:rsidR="001B0AAA">
        <w:t xml:space="preserve"> </w:t>
      </w:r>
      <w:r>
        <w:t>] Telephone</w:t>
      </w:r>
      <w:r>
        <w:tab/>
      </w:r>
    </w:p>
    <w:p w:rsidR="001B0AAA" w:rsidP="001B0AAA" w:rsidRDefault="00A403BB" w14:paraId="535811F5" w14:textId="77777777">
      <w:pPr>
        <w:ind w:left="720"/>
      </w:pPr>
      <w:r>
        <w:t>[</w:t>
      </w:r>
      <w:r w:rsidR="001B0AAA">
        <w:t xml:space="preserve"> </w:t>
      </w:r>
      <w:r>
        <w:t xml:space="preserve"> ] In-person</w:t>
      </w:r>
      <w:r>
        <w:tab/>
      </w:r>
    </w:p>
    <w:p w:rsidR="001B0AAA" w:rsidP="001B0AAA" w:rsidRDefault="00A403BB" w14:paraId="74B5BD04" w14:textId="77777777">
      <w:pPr>
        <w:ind w:left="720"/>
      </w:pPr>
      <w:r>
        <w:t xml:space="preserve">[ </w:t>
      </w:r>
      <w:r w:rsidR="001B0AAA">
        <w:t xml:space="preserve"> </w:t>
      </w:r>
      <w:r>
        <w:t>] Mail</w:t>
      </w:r>
      <w:r w:rsidR="001B0AAA">
        <w:t xml:space="preserve"> </w:t>
      </w:r>
    </w:p>
    <w:p w:rsidR="001B0AAA" w:rsidP="001B0AAA" w:rsidRDefault="00A403BB" w14:paraId="7B213A8F" w14:textId="7FEB9E38">
      <w:pPr>
        <w:ind w:left="720"/>
      </w:pPr>
      <w:r>
        <w:t xml:space="preserve">[ </w:t>
      </w:r>
      <w:r w:rsidR="001B0AAA">
        <w:t xml:space="preserve"> </w:t>
      </w:r>
      <w:r>
        <w:t>] Other, Explain</w:t>
      </w:r>
    </w:p>
    <w:p w:rsidR="004652C3" w:rsidP="001B0AAA" w:rsidRDefault="004652C3" w14:paraId="0D21C827" w14:textId="1FCE912A">
      <w:pPr>
        <w:ind w:left="720"/>
      </w:pPr>
    </w:p>
    <w:p w:rsidR="00CF7D9F" w:rsidP="001B0AAA" w:rsidRDefault="00CF7D9F" w14:paraId="52A3AA89" w14:textId="2FDFDE0B">
      <w:pPr>
        <w:ind w:left="720"/>
      </w:pPr>
    </w:p>
    <w:p w:rsidR="00F24CFC" w:rsidP="00F24CFC" w:rsidRDefault="00F24CFC" w14:paraId="44D086BF" w14:textId="50DE2871">
      <w:pPr>
        <w:pStyle w:val="ListParagraph"/>
        <w:numPr>
          <w:ilvl w:val="0"/>
          <w:numId w:val="17"/>
        </w:numPr>
      </w:pPr>
      <w:r>
        <w:t>Will interviewers or facilitators be used?  [  ] Yes [</w:t>
      </w:r>
      <w:r w:rsidR="00865058">
        <w:t>X</w:t>
      </w:r>
      <w:r>
        <w:t>] No</w:t>
      </w:r>
    </w:p>
    <w:p w:rsidR="00F24CFC" w:rsidP="00F24CFC" w:rsidRDefault="00F24CFC" w14:paraId="0ECE1E8A" w14:textId="77777777">
      <w:pPr>
        <w:pStyle w:val="ListParagraph"/>
        <w:ind w:left="360"/>
      </w:pPr>
      <w:r>
        <w:t xml:space="preserve"> </w:t>
      </w:r>
    </w:p>
    <w:p w:rsidR="0024521E" w:rsidP="0024521E" w:rsidRDefault="00F24CFC" w14:paraId="14763CBF" w14:textId="77777777">
      <w:pPr>
        <w:rPr>
          <w:b/>
        </w:rPr>
      </w:pPr>
      <w:r w:rsidRPr="00F24CFC">
        <w:rPr>
          <w:b/>
        </w:rPr>
        <w:t>Please make sure that all instruments, instructions, and scripts are submitted with the request.</w:t>
      </w:r>
    </w:p>
    <w:p w:rsidR="003932D1" w:rsidP="0024521E" w:rsidRDefault="003932D1" w14:paraId="17053019" w14:textId="77777777">
      <w:pPr>
        <w:rPr>
          <w:b/>
        </w:rPr>
      </w:pPr>
    </w:p>
    <w:p w:rsidRPr="00F24CFC" w:rsidR="003932D1" w:rsidP="0024521E" w:rsidRDefault="003932D1" w14:paraId="3D12F836"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5B66" w14:textId="77777777" w:rsidR="00690B9B" w:rsidRDefault="00690B9B">
      <w:r>
        <w:separator/>
      </w:r>
    </w:p>
  </w:endnote>
  <w:endnote w:type="continuationSeparator" w:id="0">
    <w:p w14:paraId="23B65041" w14:textId="77777777" w:rsidR="00690B9B" w:rsidRDefault="0069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3735"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4E2F" w14:textId="77777777" w:rsidR="00690B9B" w:rsidRDefault="00690B9B">
      <w:r>
        <w:separator/>
      </w:r>
    </w:p>
  </w:footnote>
  <w:footnote w:type="continuationSeparator" w:id="0">
    <w:p w14:paraId="0695238B" w14:textId="77777777" w:rsidR="00690B9B" w:rsidRDefault="00690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3D22"/>
    <w:rsid w:val="00047A64"/>
    <w:rsid w:val="00067329"/>
    <w:rsid w:val="000722CE"/>
    <w:rsid w:val="000913EC"/>
    <w:rsid w:val="000A1C79"/>
    <w:rsid w:val="000B2838"/>
    <w:rsid w:val="000D44CA"/>
    <w:rsid w:val="000E200B"/>
    <w:rsid w:val="000F68BE"/>
    <w:rsid w:val="001039CA"/>
    <w:rsid w:val="00113A81"/>
    <w:rsid w:val="00116EBA"/>
    <w:rsid w:val="00162F83"/>
    <w:rsid w:val="00177AEA"/>
    <w:rsid w:val="001855D1"/>
    <w:rsid w:val="00186700"/>
    <w:rsid w:val="001927A4"/>
    <w:rsid w:val="00194AC6"/>
    <w:rsid w:val="001A23B0"/>
    <w:rsid w:val="001A25CC"/>
    <w:rsid w:val="001B0AAA"/>
    <w:rsid w:val="001C39F7"/>
    <w:rsid w:val="0020554A"/>
    <w:rsid w:val="002272BD"/>
    <w:rsid w:val="00237B48"/>
    <w:rsid w:val="0024521E"/>
    <w:rsid w:val="00263C3D"/>
    <w:rsid w:val="00274D0B"/>
    <w:rsid w:val="00284110"/>
    <w:rsid w:val="00297A6F"/>
    <w:rsid w:val="002B3C95"/>
    <w:rsid w:val="002B7B54"/>
    <w:rsid w:val="002C1153"/>
    <w:rsid w:val="002D0B92"/>
    <w:rsid w:val="002D26E2"/>
    <w:rsid w:val="002D74B4"/>
    <w:rsid w:val="002E31C5"/>
    <w:rsid w:val="002E48F5"/>
    <w:rsid w:val="0030585D"/>
    <w:rsid w:val="003668D6"/>
    <w:rsid w:val="0038201D"/>
    <w:rsid w:val="003932D1"/>
    <w:rsid w:val="003A7074"/>
    <w:rsid w:val="003D0D5A"/>
    <w:rsid w:val="003D5BBE"/>
    <w:rsid w:val="003E3C61"/>
    <w:rsid w:val="003F1C5B"/>
    <w:rsid w:val="00420E91"/>
    <w:rsid w:val="00422923"/>
    <w:rsid w:val="004256E7"/>
    <w:rsid w:val="00431EB1"/>
    <w:rsid w:val="00434E33"/>
    <w:rsid w:val="00441434"/>
    <w:rsid w:val="0045264C"/>
    <w:rsid w:val="00453BEF"/>
    <w:rsid w:val="004652C3"/>
    <w:rsid w:val="004876EC"/>
    <w:rsid w:val="00487973"/>
    <w:rsid w:val="004A44F3"/>
    <w:rsid w:val="004B1EB8"/>
    <w:rsid w:val="004D6E14"/>
    <w:rsid w:val="004F55BF"/>
    <w:rsid w:val="005009B0"/>
    <w:rsid w:val="005462F9"/>
    <w:rsid w:val="00554719"/>
    <w:rsid w:val="005844AD"/>
    <w:rsid w:val="005A1006"/>
    <w:rsid w:val="005A772A"/>
    <w:rsid w:val="005D423C"/>
    <w:rsid w:val="005E5BBE"/>
    <w:rsid w:val="005E714A"/>
    <w:rsid w:val="006140A0"/>
    <w:rsid w:val="00633F74"/>
    <w:rsid w:val="00636329"/>
    <w:rsid w:val="00636621"/>
    <w:rsid w:val="00642B49"/>
    <w:rsid w:val="00677742"/>
    <w:rsid w:val="006832D9"/>
    <w:rsid w:val="00686301"/>
    <w:rsid w:val="00690B9B"/>
    <w:rsid w:val="0069403B"/>
    <w:rsid w:val="006B7B34"/>
    <w:rsid w:val="006D5F47"/>
    <w:rsid w:val="006F3DDE"/>
    <w:rsid w:val="00704678"/>
    <w:rsid w:val="00711F94"/>
    <w:rsid w:val="007425E7"/>
    <w:rsid w:val="00766D95"/>
    <w:rsid w:val="0077703F"/>
    <w:rsid w:val="007C07BA"/>
    <w:rsid w:val="00802607"/>
    <w:rsid w:val="008101A5"/>
    <w:rsid w:val="00811789"/>
    <w:rsid w:val="00822664"/>
    <w:rsid w:val="00843796"/>
    <w:rsid w:val="0085116A"/>
    <w:rsid w:val="00865058"/>
    <w:rsid w:val="00887320"/>
    <w:rsid w:val="0089114E"/>
    <w:rsid w:val="00895229"/>
    <w:rsid w:val="0089555C"/>
    <w:rsid w:val="008F0203"/>
    <w:rsid w:val="008F50D4"/>
    <w:rsid w:val="009239AA"/>
    <w:rsid w:val="00935ADA"/>
    <w:rsid w:val="00946B6C"/>
    <w:rsid w:val="00955A71"/>
    <w:rsid w:val="0096039C"/>
    <w:rsid w:val="0096108F"/>
    <w:rsid w:val="00962AA5"/>
    <w:rsid w:val="009869D3"/>
    <w:rsid w:val="009A036B"/>
    <w:rsid w:val="009B497B"/>
    <w:rsid w:val="009C13B9"/>
    <w:rsid w:val="009C270E"/>
    <w:rsid w:val="009D01A2"/>
    <w:rsid w:val="009F117B"/>
    <w:rsid w:val="009F5923"/>
    <w:rsid w:val="00A229F1"/>
    <w:rsid w:val="00A403BB"/>
    <w:rsid w:val="00A50F89"/>
    <w:rsid w:val="00A674DF"/>
    <w:rsid w:val="00A771D9"/>
    <w:rsid w:val="00A83AA6"/>
    <w:rsid w:val="00A872AD"/>
    <w:rsid w:val="00AB1145"/>
    <w:rsid w:val="00AC58F0"/>
    <w:rsid w:val="00AC60E8"/>
    <w:rsid w:val="00AD17F1"/>
    <w:rsid w:val="00AE14B1"/>
    <w:rsid w:val="00AE1809"/>
    <w:rsid w:val="00B115D4"/>
    <w:rsid w:val="00B1223C"/>
    <w:rsid w:val="00B80D76"/>
    <w:rsid w:val="00BA2105"/>
    <w:rsid w:val="00BA7E06"/>
    <w:rsid w:val="00BB43B5"/>
    <w:rsid w:val="00BB6219"/>
    <w:rsid w:val="00BC676D"/>
    <w:rsid w:val="00BD07E9"/>
    <w:rsid w:val="00BD290F"/>
    <w:rsid w:val="00BE39A3"/>
    <w:rsid w:val="00C14CC4"/>
    <w:rsid w:val="00C33C52"/>
    <w:rsid w:val="00C40D8B"/>
    <w:rsid w:val="00C8407A"/>
    <w:rsid w:val="00C8488C"/>
    <w:rsid w:val="00C86E91"/>
    <w:rsid w:val="00CA19A3"/>
    <w:rsid w:val="00CA2010"/>
    <w:rsid w:val="00CA2650"/>
    <w:rsid w:val="00CB1078"/>
    <w:rsid w:val="00CC3C26"/>
    <w:rsid w:val="00CC6FAF"/>
    <w:rsid w:val="00CD3F0A"/>
    <w:rsid w:val="00CF7D9F"/>
    <w:rsid w:val="00D24698"/>
    <w:rsid w:val="00D6383F"/>
    <w:rsid w:val="00D662C8"/>
    <w:rsid w:val="00DB4A58"/>
    <w:rsid w:val="00DB59D0"/>
    <w:rsid w:val="00DC33D3"/>
    <w:rsid w:val="00E26329"/>
    <w:rsid w:val="00E40B50"/>
    <w:rsid w:val="00E50293"/>
    <w:rsid w:val="00E621FE"/>
    <w:rsid w:val="00E65FFC"/>
    <w:rsid w:val="00E670E2"/>
    <w:rsid w:val="00E762EE"/>
    <w:rsid w:val="00E80951"/>
    <w:rsid w:val="00E86CC6"/>
    <w:rsid w:val="00EA5F13"/>
    <w:rsid w:val="00EB56B3"/>
    <w:rsid w:val="00EC1458"/>
    <w:rsid w:val="00ED6492"/>
    <w:rsid w:val="00EF2095"/>
    <w:rsid w:val="00F06866"/>
    <w:rsid w:val="00F15956"/>
    <w:rsid w:val="00F233E0"/>
    <w:rsid w:val="00F24CFC"/>
    <w:rsid w:val="00F3170F"/>
    <w:rsid w:val="00F32183"/>
    <w:rsid w:val="00F37474"/>
    <w:rsid w:val="00F43C87"/>
    <w:rsid w:val="00F94D8C"/>
    <w:rsid w:val="00F976B0"/>
    <w:rsid w:val="00FA6DE7"/>
    <w:rsid w:val="00FB702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1E31F"/>
  <w15:chartTrackingRefBased/>
  <w15:docId w15:val="{B1F8B201-0F5B-45D0-8100-814898B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customStyle="1" w:styleId="APA">
    <w:name w:val="APA"/>
    <w:basedOn w:val="BodyText"/>
    <w:rsid w:val="0030585D"/>
    <w:pPr>
      <w:widowControl/>
      <w:spacing w:line="480" w:lineRule="auto"/>
      <w:ind w:firstLine="720"/>
    </w:pPr>
    <w:rPr>
      <w:i w:val="0"/>
      <w:iCs w:val="0"/>
      <w:snapToGrid/>
      <w:sz w:val="24"/>
      <w:szCs w:val="24"/>
    </w:rPr>
  </w:style>
  <w:style w:type="character" w:styleId="FollowedHyperlink">
    <w:name w:val="FollowedHyperlink"/>
    <w:basedOn w:val="DefaultParagraphFont"/>
    <w:rsid w:val="00584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5244</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2010-10-04T16:59:00Z</cp:lastPrinted>
  <dcterms:created xsi:type="dcterms:W3CDTF">2022-05-03T15:59:00Z</dcterms:created>
  <dcterms:modified xsi:type="dcterms:W3CDTF">2022-05-06T20:42:00Z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