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78CF" w:rsidP="00E878CF" w:rsidRDefault="00E878CF" w14:paraId="194EFF0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0648 Exp., date: 06/30/2024</w:t>
      </w:r>
      <w:r>
        <w:rPr>
          <w:sz w:val="28"/>
        </w:rPr>
        <w:t>)</w:t>
      </w:r>
    </w:p>
    <w:p w:rsidR="00067131" w:rsidP="00434E33" w:rsidRDefault="00E878CF" w14:paraId="3593AD3D" w14:textId="1738EB67">
      <w:pPr>
        <w:rPr>
          <w:b/>
        </w:rPr>
      </w:pPr>
      <w:r>
        <w:rPr>
          <w:b/>
          <w:noProof/>
        </w:rPr>
        <mc:AlternateContent>
          <mc:Choice Requires="wps">
            <w:drawing>
              <wp:anchor distT="0" distB="0" distL="114300" distR="114300" simplePos="0" relativeHeight="251659264" behindDoc="0" locked="0" layoutInCell="0" allowOverlap="1" wp14:editId="4E21D826" wp14:anchorId="636AF53D">
                <wp:simplePos x="0" y="0"/>
                <wp:positionH relativeFrom="column">
                  <wp:posOffset>0</wp:posOffset>
                </wp:positionH>
                <wp:positionV relativeFrom="paragraph">
                  <wp:posOffset>0</wp:posOffset>
                </wp:positionV>
                <wp:extent cx="59436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49B0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"/>
            </w:pict>
          </mc:Fallback>
        </mc:AlternateContent>
      </w:r>
    </w:p>
    <w:p w:rsidRPr="009239AA" w:rsidR="00E50293" w:rsidP="00434E33" w:rsidRDefault="005E714A" w14:paraId="7D69D6D9" w14:textId="25689136">
      <w:pPr>
        <w:rPr>
          <w:b/>
        </w:rPr>
      </w:pPr>
      <w:r w:rsidRPr="00434E33">
        <w:rPr>
          <w:b/>
        </w:rPr>
        <w:t>TITLE OF INFORMATION COLLECTION:</w:t>
      </w:r>
      <w:r>
        <w:t xml:space="preserve">  </w:t>
      </w:r>
      <w:r w:rsidRPr="00067131" w:rsidR="00067131">
        <w:t>202</w:t>
      </w:r>
      <w:r w:rsidR="00067131">
        <w:t>2</w:t>
      </w:r>
      <w:r w:rsidRPr="00067131" w:rsidR="00067131">
        <w:t xml:space="preserve"> NLM NIH MedlinePlus Magazine Reader Survey</w:t>
      </w:r>
      <w:r w:rsidR="00673EAE">
        <w:t xml:space="preserve"> (NLM)</w:t>
      </w:r>
    </w:p>
    <w:p w:rsidR="005E714A" w:rsidRDefault="005E714A" w14:paraId="60642CEE" w14:textId="77777777"/>
    <w:p w:rsidR="001B0AAA" w:rsidRDefault="00F15956" w14:paraId="279DCE32" w14:textId="77777777">
      <w:r>
        <w:rPr>
          <w:b/>
        </w:rPr>
        <w:t>PURPOSE</w:t>
      </w:r>
      <w:r w:rsidRPr="009239AA">
        <w:rPr>
          <w:b/>
        </w:rPr>
        <w:t>:</w:t>
      </w:r>
      <w:r w:rsidRPr="009239AA" w:rsidR="00C14CC4">
        <w:rPr>
          <w:b/>
        </w:rPr>
        <w:t xml:space="preserve">  </w:t>
      </w:r>
    </w:p>
    <w:p w:rsidR="00A12455" w:rsidP="00A12455" w:rsidRDefault="00A12455" w14:paraId="6F6E6957" w14:textId="3C0B09AB">
      <w:r w:rsidRPr="00067131">
        <w:t xml:space="preserve">The goal of this National Library of Medicine (NLM) survey is to collect qualitative reader feedback from users of the of the </w:t>
      </w:r>
      <w:r>
        <w:t xml:space="preserve">digital </w:t>
      </w:r>
      <w:r w:rsidRPr="00067131">
        <w:t>N</w:t>
      </w:r>
      <w:r>
        <w:t>IH</w:t>
      </w:r>
      <w:r w:rsidRPr="00067131">
        <w:t xml:space="preserve"> MedlinePlus magazin</w:t>
      </w:r>
      <w:r>
        <w:t>e</w:t>
      </w:r>
      <w:r w:rsidRPr="00067131">
        <w:t>. The survey seeks to measure how people are currently accessing and using the magazine and its impact on managing their health. The information from this survey will be used to inform strategic planning for improved the design, content</w:t>
      </w:r>
      <w:r>
        <w:t xml:space="preserve">, </w:t>
      </w:r>
      <w:r w:rsidRPr="00067131">
        <w:t xml:space="preserve">and </w:t>
      </w:r>
      <w:r>
        <w:t>direction</w:t>
      </w:r>
      <w:r w:rsidRPr="00067131">
        <w:t xml:space="preserve"> of the </w:t>
      </w:r>
      <w:r>
        <w:t xml:space="preserve">online </w:t>
      </w:r>
      <w:r w:rsidRPr="00067131">
        <w:t>magazine.</w:t>
      </w:r>
      <w:r>
        <w:t xml:space="preserve"> NLM is submitting </w:t>
      </w:r>
      <w:r w:rsidR="009A50D3">
        <w:t>one</w:t>
      </w:r>
      <w:r>
        <w:t xml:space="preserve"> survey</w:t>
      </w:r>
      <w:r w:rsidR="009A50D3">
        <w:t xml:space="preserve"> but two languages </w:t>
      </w:r>
      <w:r>
        <w:t xml:space="preserve">(one in English and one in Spanish) as NIH MedlinePlus magazine is one of very few Spanish-language sources of trusted health information. </w:t>
      </w:r>
    </w:p>
    <w:p w:rsidR="001B0AAA" w:rsidRDefault="001B0AAA" w14:paraId="6BFC271B" w14:textId="2EA0F1F1"/>
    <w:p w:rsidR="00C8488C" w:rsidRDefault="00C8488C" w14:paraId="437539EF" w14:textId="77777777"/>
    <w:p w:rsidRPr="00434E33" w:rsidR="00434E33" w:rsidP="00434E33" w:rsidRDefault="00434E33" w14:paraId="033C5ADF" w14:textId="77777777">
      <w:pPr>
        <w:pStyle w:val="Header"/>
        <w:tabs>
          <w:tab w:val="clear" w:pos="4320"/>
          <w:tab w:val="clear" w:pos="8640"/>
        </w:tabs>
        <w:rPr>
          <w:i/>
          <w:snapToGrid/>
        </w:rPr>
      </w:pPr>
      <w:r w:rsidRPr="00434E33">
        <w:rPr>
          <w:b/>
        </w:rPr>
        <w:t>DESCRIPTION OF RESPONDENTS</w:t>
      </w:r>
      <w:r>
        <w:t xml:space="preserve">: </w:t>
      </w:r>
    </w:p>
    <w:p w:rsidR="00F15956" w:rsidRDefault="00A0790E" w14:paraId="3D76D6B5" w14:textId="77777777">
      <w:r w:rsidRPr="00A0790E">
        <w:t xml:space="preserve">Respondents will be </w:t>
      </w:r>
      <w:r>
        <w:t xml:space="preserve">people </w:t>
      </w:r>
      <w:r w:rsidRPr="00A0790E">
        <w:t>who read the NIH MedlinePlus magazine (</w:t>
      </w:r>
      <w:r>
        <w:t xml:space="preserve">by email or the </w:t>
      </w:r>
      <w:r w:rsidRPr="00A0790E">
        <w:t xml:space="preserve">online editions) and voluntarily respond to </w:t>
      </w:r>
      <w:r>
        <w:t xml:space="preserve">a </w:t>
      </w:r>
      <w:r w:rsidRPr="00A0790E">
        <w:t>survey.</w:t>
      </w:r>
    </w:p>
    <w:p w:rsidR="00C8488C" w:rsidRDefault="00C8488C" w14:paraId="1317B25A" w14:textId="77777777"/>
    <w:p w:rsidRPr="00F06866" w:rsidR="00F06866" w:rsidRDefault="00F06866" w14:paraId="0F21F3F3" w14:textId="77777777">
      <w:pPr>
        <w:rPr>
          <w:b/>
        </w:rPr>
      </w:pPr>
      <w:r>
        <w:rPr>
          <w:b/>
        </w:rPr>
        <w:t>TYPE OF COLLECTION:</w:t>
      </w:r>
      <w:r w:rsidRPr="00F06866">
        <w:t xml:space="preserve"> (Check one)</w:t>
      </w:r>
    </w:p>
    <w:p w:rsidRPr="00434E33" w:rsidR="00441434" w:rsidP="0096108F" w:rsidRDefault="00441434" w14:paraId="24986F2C" w14:textId="77777777">
      <w:pPr>
        <w:pStyle w:val="BodyTextIndent"/>
        <w:tabs>
          <w:tab w:val="left" w:pos="360"/>
        </w:tabs>
        <w:ind w:left="0"/>
        <w:rPr>
          <w:bCs/>
          <w:sz w:val="16"/>
          <w:szCs w:val="16"/>
        </w:rPr>
      </w:pPr>
    </w:p>
    <w:p w:rsidRPr="00F06866" w:rsidR="00F06866" w:rsidP="0096108F" w:rsidRDefault="0096108F" w14:paraId="06ED9FD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A0790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518A43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D60878D"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B3D278D" w14:textId="77777777">
      <w:pPr>
        <w:pStyle w:val="Header"/>
        <w:tabs>
          <w:tab w:val="clear" w:pos="4320"/>
          <w:tab w:val="clear" w:pos="8640"/>
        </w:tabs>
      </w:pPr>
    </w:p>
    <w:p w:rsidR="00CA2650" w:rsidRDefault="00441434" w14:paraId="74234BD3" w14:textId="77777777">
      <w:pPr>
        <w:rPr>
          <w:b/>
        </w:rPr>
      </w:pPr>
      <w:r>
        <w:rPr>
          <w:b/>
        </w:rPr>
        <w:t>C</w:t>
      </w:r>
      <w:r w:rsidR="009C13B9">
        <w:rPr>
          <w:b/>
        </w:rPr>
        <w:t>ERTIFICATION:</w:t>
      </w:r>
    </w:p>
    <w:p w:rsidR="00441434" w:rsidRDefault="00441434" w14:paraId="0920C462" w14:textId="77777777">
      <w:pPr>
        <w:rPr>
          <w:sz w:val="16"/>
          <w:szCs w:val="16"/>
        </w:rPr>
      </w:pPr>
    </w:p>
    <w:p w:rsidRPr="009C13B9" w:rsidR="008101A5" w:rsidP="008101A5" w:rsidRDefault="008101A5" w14:paraId="491A9847" w14:textId="77777777">
      <w:r>
        <w:t xml:space="preserve">I certify the following to be true: </w:t>
      </w:r>
    </w:p>
    <w:p w:rsidR="008101A5" w:rsidP="008101A5" w:rsidRDefault="008101A5" w14:paraId="1C50A9DF" w14:textId="77777777">
      <w:pPr>
        <w:pStyle w:val="ListParagraph"/>
        <w:numPr>
          <w:ilvl w:val="0"/>
          <w:numId w:val="14"/>
        </w:numPr>
      </w:pPr>
      <w:r>
        <w:t>The collection is voluntary.</w:t>
      </w:r>
      <w:r w:rsidRPr="00C14CC4">
        <w:t xml:space="preserve"> </w:t>
      </w:r>
    </w:p>
    <w:p w:rsidR="008101A5" w:rsidP="008101A5" w:rsidRDefault="008101A5" w14:paraId="5D918DD3" w14:textId="77777777">
      <w:pPr>
        <w:pStyle w:val="ListParagraph"/>
        <w:numPr>
          <w:ilvl w:val="0"/>
          <w:numId w:val="14"/>
        </w:numPr>
      </w:pPr>
      <w:r>
        <w:t>The</w:t>
      </w:r>
      <w:r w:rsidRPr="00C14CC4">
        <w:t xml:space="preserve"> collection </w:t>
      </w:r>
      <w:r>
        <w:t xml:space="preserve">is </w:t>
      </w:r>
      <w:r w:rsidRPr="00C14CC4">
        <w:t>low</w:t>
      </w:r>
      <w:r w:rsidR="00A0790E">
        <w:t xml:space="preserve"> </w:t>
      </w:r>
      <w:r w:rsidRPr="00C14CC4">
        <w:t>burden for respondents and low-cost for the Federal Government</w:t>
      </w:r>
      <w:r>
        <w:t>.</w:t>
      </w:r>
    </w:p>
    <w:p w:rsidR="008101A5" w:rsidP="008101A5" w:rsidRDefault="008101A5" w14:paraId="33FAD23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86027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BE8B10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8DC0BA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CB88CD0" w14:textId="77777777"/>
    <w:p w:rsidRPr="00E878CF" w:rsidR="009C13B9" w:rsidP="009C13B9" w:rsidRDefault="009C13B9" w14:paraId="4EFF04C4" w14:textId="29269C6C">
      <w:pPr>
        <w:rPr>
          <w:u w:val="single"/>
        </w:rPr>
      </w:pPr>
      <w:r w:rsidRPr="003E6284">
        <w:t>Name</w:t>
      </w:r>
      <w:r w:rsidR="00E878CF">
        <w:t xml:space="preserve">: </w:t>
      </w:r>
      <w:r w:rsidRPr="00E878CF" w:rsidR="003E6284">
        <w:rPr>
          <w:u w:val="single"/>
        </w:rPr>
        <w:t xml:space="preserve">Anne R. </w:t>
      </w:r>
      <w:proofErr w:type="spellStart"/>
      <w:r w:rsidRPr="00E878CF" w:rsidR="003E6284">
        <w:rPr>
          <w:u w:val="single"/>
        </w:rPr>
        <w:t>Altemus</w:t>
      </w:r>
      <w:proofErr w:type="spellEnd"/>
      <w:r w:rsidRPr="00E878CF" w:rsidR="003E6284">
        <w:rPr>
          <w:u w:val="single"/>
        </w:rPr>
        <w:t>, MA, NLM OD OCPL</w:t>
      </w:r>
    </w:p>
    <w:p w:rsidR="009C13B9" w:rsidP="009C13B9" w:rsidRDefault="009C13B9" w14:paraId="2866C120" w14:textId="77777777">
      <w:pPr>
        <w:pStyle w:val="ListParagraph"/>
        <w:ind w:left="360"/>
      </w:pPr>
    </w:p>
    <w:p w:rsidR="009C13B9" w:rsidP="009C13B9" w:rsidRDefault="009C13B9" w14:paraId="090BAE03" w14:textId="77777777">
      <w:r>
        <w:t>To assist review, please provide answers to the following question:</w:t>
      </w:r>
    </w:p>
    <w:p w:rsidR="009C13B9" w:rsidP="009C13B9" w:rsidRDefault="009C13B9" w14:paraId="201F6436" w14:textId="77777777">
      <w:pPr>
        <w:pStyle w:val="ListParagraph"/>
        <w:ind w:left="360"/>
      </w:pPr>
    </w:p>
    <w:p w:rsidRPr="00C86E91" w:rsidR="009C13B9" w:rsidP="00C86E91" w:rsidRDefault="00C86E91" w14:paraId="6F542B27" w14:textId="77777777">
      <w:pPr>
        <w:rPr>
          <w:b/>
        </w:rPr>
      </w:pPr>
      <w:r w:rsidRPr="00C86E91">
        <w:rPr>
          <w:b/>
        </w:rPr>
        <w:t>Personally Identifiable Information:</w:t>
      </w:r>
    </w:p>
    <w:p w:rsidR="00C86E91" w:rsidP="00C86E91" w:rsidRDefault="009C13B9" w14:paraId="0B087893"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0790E">
        <w:t>X</w:t>
      </w:r>
      <w:r w:rsidR="009239AA">
        <w:t xml:space="preserve">]  No </w:t>
      </w:r>
    </w:p>
    <w:p w:rsidR="00C86E91" w:rsidP="00C86E91" w:rsidRDefault="009C13B9" w14:paraId="5F064730"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A0790E">
        <w:t>X</w:t>
      </w:r>
      <w:r w:rsidR="009239AA">
        <w:t>] No</w:t>
      </w:r>
      <w:r w:rsidR="00C86E91">
        <w:t xml:space="preserve">   </w:t>
      </w:r>
    </w:p>
    <w:p w:rsidR="00C86E91" w:rsidP="00C86E91" w:rsidRDefault="00C86E91" w14:paraId="0EE5E797"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00A0790E">
        <w:t>X</w:t>
      </w:r>
      <w:r>
        <w:t>] No</w:t>
      </w:r>
    </w:p>
    <w:p w:rsidR="00633F74" w:rsidP="00633F74" w:rsidRDefault="00633F74" w14:paraId="24F23598" w14:textId="77777777">
      <w:pPr>
        <w:pStyle w:val="ListParagraph"/>
        <w:ind w:left="360"/>
      </w:pPr>
    </w:p>
    <w:p w:rsidRPr="00C86E91" w:rsidR="00C86E91" w:rsidP="00C86E91" w:rsidRDefault="00CB1078" w14:paraId="7AFEC25C" w14:textId="77777777">
      <w:pPr>
        <w:pStyle w:val="ListParagraph"/>
        <w:ind w:left="0"/>
        <w:rPr>
          <w:b/>
        </w:rPr>
      </w:pPr>
      <w:r>
        <w:rPr>
          <w:b/>
        </w:rPr>
        <w:lastRenderedPageBreak/>
        <w:t>Gifts or Payments</w:t>
      </w:r>
      <w:r w:rsidR="00C86E91">
        <w:rPr>
          <w:b/>
        </w:rPr>
        <w:t>:</w:t>
      </w:r>
    </w:p>
    <w:p w:rsidR="00C86E91" w:rsidP="00C86E91" w:rsidRDefault="00C86E91" w14:paraId="1A7341D4" w14:textId="77777777">
      <w:r>
        <w:t xml:space="preserve">Is an incentive (e.g., money or reimbursement of expenses, token of appreciation) provided to participants?  </w:t>
      </w:r>
      <w:proofErr w:type="gramStart"/>
      <w:r>
        <w:t>[  ]</w:t>
      </w:r>
      <w:proofErr w:type="gramEnd"/>
      <w:r>
        <w:t xml:space="preserve"> Yes [</w:t>
      </w:r>
      <w:r w:rsidR="009E0666">
        <w:t>X</w:t>
      </w:r>
      <w:r>
        <w:t xml:space="preserve">] No  </w:t>
      </w:r>
    </w:p>
    <w:p w:rsidR="004D6E14" w:rsidRDefault="004D6E14" w14:paraId="52B125FA" w14:textId="77777777">
      <w:pPr>
        <w:rPr>
          <w:b/>
        </w:rPr>
      </w:pPr>
    </w:p>
    <w:p w:rsidR="00F24CFC" w:rsidRDefault="00F24CFC" w14:paraId="710AB7FE" w14:textId="77777777">
      <w:pPr>
        <w:rPr>
          <w:b/>
        </w:rPr>
      </w:pPr>
    </w:p>
    <w:p w:rsidRPr="00BC676D" w:rsidR="005E714A" w:rsidP="00C86E91" w:rsidRDefault="003668D6" w14:paraId="434172C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DC03BF"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Pr="003E6284" w:rsidR="003668D6" w:rsidTr="00D504C2" w14:paraId="52A635B1" w14:textId="77777777">
        <w:trPr>
          <w:trHeight w:val="274"/>
        </w:trPr>
        <w:tc>
          <w:tcPr>
            <w:tcW w:w="2520" w:type="dxa"/>
          </w:tcPr>
          <w:p w:rsidRPr="003E6284" w:rsidR="003668D6" w:rsidP="00C8488C" w:rsidRDefault="003668D6" w14:paraId="5388819D" w14:textId="77777777">
            <w:pPr>
              <w:rPr>
                <w:b/>
              </w:rPr>
            </w:pPr>
            <w:r w:rsidRPr="003E6284">
              <w:rPr>
                <w:b/>
              </w:rPr>
              <w:t xml:space="preserve">Category of Respondent </w:t>
            </w:r>
          </w:p>
        </w:tc>
        <w:tc>
          <w:tcPr>
            <w:tcW w:w="1980" w:type="dxa"/>
          </w:tcPr>
          <w:p w:rsidRPr="003E6284" w:rsidR="003668D6" w:rsidP="00843796" w:rsidRDefault="003668D6" w14:paraId="36E14BF6" w14:textId="77777777">
            <w:pPr>
              <w:rPr>
                <w:b/>
              </w:rPr>
            </w:pPr>
            <w:r w:rsidRPr="003E6284">
              <w:rPr>
                <w:b/>
              </w:rPr>
              <w:t>No. of Respondents</w:t>
            </w:r>
          </w:p>
        </w:tc>
        <w:tc>
          <w:tcPr>
            <w:tcW w:w="2070" w:type="dxa"/>
          </w:tcPr>
          <w:p w:rsidRPr="003E6284" w:rsidR="003668D6" w:rsidP="00843796" w:rsidRDefault="003668D6" w14:paraId="7C2BF3BB" w14:textId="77777777">
            <w:pPr>
              <w:rPr>
                <w:b/>
              </w:rPr>
            </w:pPr>
            <w:r w:rsidRPr="003E6284">
              <w:rPr>
                <w:b/>
              </w:rPr>
              <w:t xml:space="preserve">No. of Responses per Respondent </w:t>
            </w:r>
          </w:p>
        </w:tc>
        <w:tc>
          <w:tcPr>
            <w:tcW w:w="1620" w:type="dxa"/>
          </w:tcPr>
          <w:p w:rsidRPr="003E6284" w:rsidR="003668D6" w:rsidP="00843796" w:rsidRDefault="003668D6" w14:paraId="3D324532" w14:textId="77777777">
            <w:pPr>
              <w:rPr>
                <w:b/>
              </w:rPr>
            </w:pPr>
            <w:r w:rsidRPr="003E6284">
              <w:rPr>
                <w:b/>
              </w:rPr>
              <w:t xml:space="preserve">Time per </w:t>
            </w:r>
          </w:p>
          <w:p w:rsidRPr="003E6284" w:rsidR="003668D6" w:rsidP="00843796" w:rsidRDefault="003668D6" w14:paraId="4C95572B" w14:textId="77777777">
            <w:pPr>
              <w:rPr>
                <w:b/>
              </w:rPr>
            </w:pPr>
            <w:r w:rsidRPr="003E6284">
              <w:rPr>
                <w:b/>
              </w:rPr>
              <w:t xml:space="preserve">Response </w:t>
            </w:r>
          </w:p>
          <w:p w:rsidRPr="003E6284" w:rsidR="003668D6" w:rsidP="00843796" w:rsidRDefault="003668D6" w14:paraId="183DFBD1" w14:textId="77777777">
            <w:pPr>
              <w:rPr>
                <w:b/>
              </w:rPr>
            </w:pPr>
            <w:r w:rsidRPr="003E6284">
              <w:rPr>
                <w:b/>
              </w:rPr>
              <w:t>(</w:t>
            </w:r>
            <w:proofErr w:type="gramStart"/>
            <w:r w:rsidRPr="003E6284">
              <w:rPr>
                <w:b/>
              </w:rPr>
              <w:t>in</w:t>
            </w:r>
            <w:proofErr w:type="gramEnd"/>
            <w:r w:rsidRPr="003E6284">
              <w:rPr>
                <w:b/>
              </w:rPr>
              <w:t xml:space="preserve"> hours) </w:t>
            </w:r>
          </w:p>
        </w:tc>
        <w:tc>
          <w:tcPr>
            <w:tcW w:w="1530" w:type="dxa"/>
          </w:tcPr>
          <w:p w:rsidRPr="003E6284" w:rsidR="003668D6" w:rsidP="00843796" w:rsidRDefault="003668D6" w14:paraId="1CF249AF" w14:textId="77777777">
            <w:pPr>
              <w:rPr>
                <w:b/>
              </w:rPr>
            </w:pPr>
            <w:r w:rsidRPr="003E6284">
              <w:rPr>
                <w:b/>
              </w:rPr>
              <w:t>Total Burden</w:t>
            </w:r>
          </w:p>
          <w:p w:rsidRPr="003E6284" w:rsidR="003668D6" w:rsidP="00843796" w:rsidRDefault="003668D6" w14:paraId="1601805D" w14:textId="77777777">
            <w:pPr>
              <w:rPr>
                <w:b/>
              </w:rPr>
            </w:pPr>
            <w:r w:rsidRPr="003E6284">
              <w:rPr>
                <w:b/>
              </w:rPr>
              <w:t xml:space="preserve">Hours </w:t>
            </w:r>
          </w:p>
        </w:tc>
      </w:tr>
      <w:tr w:rsidRPr="003E6284" w:rsidR="003668D6" w:rsidTr="00D504C2" w14:paraId="12FF6392" w14:textId="77777777">
        <w:trPr>
          <w:trHeight w:val="260"/>
        </w:trPr>
        <w:tc>
          <w:tcPr>
            <w:tcW w:w="2520" w:type="dxa"/>
          </w:tcPr>
          <w:p w:rsidRPr="003E6284" w:rsidR="003668D6" w:rsidP="00843796" w:rsidRDefault="00E878CF" w14:paraId="4D66B332" w14:textId="6E1AE158">
            <w:r>
              <w:t>Individuals or Households</w:t>
            </w:r>
          </w:p>
        </w:tc>
        <w:tc>
          <w:tcPr>
            <w:tcW w:w="1980" w:type="dxa"/>
          </w:tcPr>
          <w:p w:rsidRPr="003E6284" w:rsidR="003668D6" w:rsidP="00843796" w:rsidRDefault="003E6284" w14:paraId="77F57494" w14:textId="104529A2">
            <w:r w:rsidRPr="003E6284">
              <w:t>15</w:t>
            </w:r>
            <w:r w:rsidR="00352E5D">
              <w:t>,</w:t>
            </w:r>
            <w:r w:rsidRPr="003E6284">
              <w:t>00</w:t>
            </w:r>
            <w:r w:rsidR="00352E5D">
              <w:t>0</w:t>
            </w:r>
          </w:p>
        </w:tc>
        <w:tc>
          <w:tcPr>
            <w:tcW w:w="2070" w:type="dxa"/>
          </w:tcPr>
          <w:p w:rsidRPr="003E6284" w:rsidR="003668D6" w:rsidP="00843796" w:rsidRDefault="009E0666" w14:paraId="1E8655CB" w14:textId="77777777">
            <w:r w:rsidRPr="003E6284">
              <w:t>1</w:t>
            </w:r>
          </w:p>
        </w:tc>
        <w:tc>
          <w:tcPr>
            <w:tcW w:w="1620" w:type="dxa"/>
          </w:tcPr>
          <w:p w:rsidRPr="003E6284" w:rsidR="003668D6" w:rsidP="00843796" w:rsidRDefault="003E6284" w14:paraId="22960252" w14:textId="77777777">
            <w:r w:rsidRPr="003E6284">
              <w:t>7/60</w:t>
            </w:r>
          </w:p>
        </w:tc>
        <w:tc>
          <w:tcPr>
            <w:tcW w:w="1530" w:type="dxa"/>
          </w:tcPr>
          <w:p w:rsidRPr="003E6284" w:rsidR="003668D6" w:rsidP="00843796" w:rsidRDefault="003E6284" w14:paraId="6FE3D8C1" w14:textId="621C60D7">
            <w:r w:rsidRPr="003E6284">
              <w:t>1</w:t>
            </w:r>
            <w:r w:rsidR="00352E5D">
              <w:t>,</w:t>
            </w:r>
            <w:r w:rsidRPr="003E6284">
              <w:t>75</w:t>
            </w:r>
            <w:r w:rsidR="00352E5D">
              <w:t>0</w:t>
            </w:r>
          </w:p>
        </w:tc>
      </w:tr>
      <w:tr w:rsidRPr="003E6284" w:rsidR="003668D6" w:rsidTr="00D504C2" w14:paraId="1A37CF90" w14:textId="77777777">
        <w:trPr>
          <w:trHeight w:val="274"/>
        </w:trPr>
        <w:tc>
          <w:tcPr>
            <w:tcW w:w="2520" w:type="dxa"/>
          </w:tcPr>
          <w:p w:rsidRPr="003E6284" w:rsidR="003668D6" w:rsidP="00843796" w:rsidRDefault="003668D6" w14:paraId="6A9B8A77" w14:textId="77777777"/>
        </w:tc>
        <w:tc>
          <w:tcPr>
            <w:tcW w:w="1980" w:type="dxa"/>
          </w:tcPr>
          <w:p w:rsidRPr="003E6284" w:rsidR="003668D6" w:rsidP="00843796" w:rsidRDefault="003668D6" w14:paraId="6C1BDA6F" w14:textId="77777777"/>
        </w:tc>
        <w:tc>
          <w:tcPr>
            <w:tcW w:w="2070" w:type="dxa"/>
          </w:tcPr>
          <w:p w:rsidRPr="003E6284" w:rsidR="003668D6" w:rsidP="00843796" w:rsidRDefault="003668D6" w14:paraId="0397C10D" w14:textId="77777777"/>
        </w:tc>
        <w:tc>
          <w:tcPr>
            <w:tcW w:w="1620" w:type="dxa"/>
          </w:tcPr>
          <w:p w:rsidRPr="003E6284" w:rsidR="003668D6" w:rsidP="00843796" w:rsidRDefault="003668D6" w14:paraId="6FD5B269" w14:textId="77777777"/>
        </w:tc>
        <w:tc>
          <w:tcPr>
            <w:tcW w:w="1530" w:type="dxa"/>
          </w:tcPr>
          <w:p w:rsidRPr="003E6284" w:rsidR="003668D6" w:rsidP="00843796" w:rsidRDefault="003668D6" w14:paraId="742A6A2A" w14:textId="77777777"/>
        </w:tc>
      </w:tr>
      <w:tr w:rsidRPr="003E6284" w:rsidR="009B34D2" w:rsidTr="00D504C2" w14:paraId="172F4001" w14:textId="77777777">
        <w:trPr>
          <w:trHeight w:val="289"/>
        </w:trPr>
        <w:tc>
          <w:tcPr>
            <w:tcW w:w="2520" w:type="dxa"/>
          </w:tcPr>
          <w:p w:rsidRPr="003E6284" w:rsidR="009B34D2" w:rsidP="009B34D2" w:rsidRDefault="009B34D2" w14:paraId="6A2275FE" w14:textId="77777777">
            <w:pPr>
              <w:rPr>
                <w:b/>
              </w:rPr>
            </w:pPr>
            <w:r w:rsidRPr="003E6284">
              <w:rPr>
                <w:b/>
              </w:rPr>
              <w:t>Totals</w:t>
            </w:r>
          </w:p>
        </w:tc>
        <w:tc>
          <w:tcPr>
            <w:tcW w:w="1980" w:type="dxa"/>
          </w:tcPr>
          <w:p w:rsidRPr="009B34D2" w:rsidR="009B34D2" w:rsidP="009B34D2" w:rsidRDefault="009B34D2" w14:paraId="47157155" w14:textId="4F7ADC80">
            <w:pPr>
              <w:rPr>
                <w:b/>
                <w:bCs/>
              </w:rPr>
            </w:pPr>
          </w:p>
        </w:tc>
        <w:tc>
          <w:tcPr>
            <w:tcW w:w="2070" w:type="dxa"/>
          </w:tcPr>
          <w:p w:rsidRPr="009B34D2" w:rsidR="009B34D2" w:rsidP="009B34D2" w:rsidRDefault="009B34D2" w14:paraId="1CA99E7A" w14:textId="776326B9">
            <w:pPr>
              <w:rPr>
                <w:b/>
                <w:bCs/>
              </w:rPr>
            </w:pPr>
            <w:r w:rsidRPr="009B34D2">
              <w:rPr>
                <w:b/>
                <w:bCs/>
              </w:rPr>
              <w:t>1</w:t>
            </w:r>
            <w:r w:rsidR="00352E5D">
              <w:rPr>
                <w:b/>
                <w:bCs/>
              </w:rPr>
              <w:t>5,0</w:t>
            </w:r>
            <w:r w:rsidRPr="009B34D2">
              <w:rPr>
                <w:b/>
                <w:bCs/>
              </w:rPr>
              <w:t>00</w:t>
            </w:r>
          </w:p>
        </w:tc>
        <w:tc>
          <w:tcPr>
            <w:tcW w:w="1620" w:type="dxa"/>
          </w:tcPr>
          <w:p w:rsidRPr="003E6284" w:rsidR="009B34D2" w:rsidP="009B34D2" w:rsidRDefault="009B34D2" w14:paraId="32316492" w14:textId="77777777"/>
        </w:tc>
        <w:tc>
          <w:tcPr>
            <w:tcW w:w="1530" w:type="dxa"/>
          </w:tcPr>
          <w:p w:rsidRPr="003E6284" w:rsidR="009B34D2" w:rsidP="009B34D2" w:rsidRDefault="009B34D2" w14:paraId="2BEBFBFF" w14:textId="4AE07FF3">
            <w:pPr>
              <w:rPr>
                <w:b/>
              </w:rPr>
            </w:pPr>
            <w:r>
              <w:rPr>
                <w:b/>
              </w:rPr>
              <w:t>1</w:t>
            </w:r>
            <w:r w:rsidR="00352E5D">
              <w:rPr>
                <w:b/>
              </w:rPr>
              <w:t>,</w:t>
            </w:r>
            <w:r>
              <w:rPr>
                <w:b/>
              </w:rPr>
              <w:t>75</w:t>
            </w:r>
            <w:r w:rsidR="00352E5D">
              <w:rPr>
                <w:b/>
              </w:rPr>
              <w:t>0</w:t>
            </w:r>
          </w:p>
        </w:tc>
      </w:tr>
    </w:tbl>
    <w:p w:rsidRPr="003E6284" w:rsidR="00F3170F" w:rsidP="00F3170F" w:rsidRDefault="00F3170F" w14:paraId="0AB71C17" w14:textId="77777777"/>
    <w:p w:rsidRPr="003E6284" w:rsidR="00F136F1" w:rsidP="00F3170F" w:rsidRDefault="00F136F1" w14:paraId="2DBD5AE6" w14:textId="77777777">
      <w:pPr>
        <w:rPr>
          <w:b/>
          <w:bCs/>
        </w:rPr>
      </w:pPr>
      <w:r w:rsidRPr="003E6284">
        <w:rPr>
          <w:b/>
          <w:bCs/>
        </w:rPr>
        <w:t>COST TO RESPONDENT</w:t>
      </w:r>
    </w:p>
    <w:p w:rsidRPr="003E6284" w:rsidR="009A036B" w:rsidP="009A036B" w:rsidRDefault="009A036B" w14:paraId="5454FA67"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3E6284" w:rsidR="00CA2010" w:rsidTr="00CA2010" w14:paraId="311C90EB" w14:textId="77777777">
        <w:trPr>
          <w:trHeight w:val="274"/>
        </w:trPr>
        <w:tc>
          <w:tcPr>
            <w:tcW w:w="2790" w:type="dxa"/>
          </w:tcPr>
          <w:p w:rsidRPr="003E6284" w:rsidR="00CA2010" w:rsidP="00CA2010" w:rsidRDefault="00CA2010" w14:paraId="5B171AE2" w14:textId="77777777">
            <w:pPr>
              <w:rPr>
                <w:b/>
              </w:rPr>
            </w:pPr>
            <w:r w:rsidRPr="003E6284">
              <w:rPr>
                <w:b/>
              </w:rPr>
              <w:t xml:space="preserve"> Category of Respondent</w:t>
            </w:r>
          </w:p>
          <w:p w:rsidRPr="003E6284" w:rsidR="00CA2010" w:rsidP="00CA2010" w:rsidRDefault="00CA2010" w14:paraId="206F254C" w14:textId="77777777">
            <w:pPr>
              <w:rPr>
                <w:b/>
              </w:rPr>
            </w:pPr>
          </w:p>
        </w:tc>
        <w:tc>
          <w:tcPr>
            <w:tcW w:w="2250" w:type="dxa"/>
          </w:tcPr>
          <w:p w:rsidRPr="003E6284" w:rsidR="00CA2010" w:rsidP="00CA2010" w:rsidRDefault="00CA2010" w14:paraId="62F69C3D" w14:textId="77777777">
            <w:pPr>
              <w:rPr>
                <w:b/>
              </w:rPr>
            </w:pPr>
            <w:r w:rsidRPr="003E6284">
              <w:rPr>
                <w:b/>
              </w:rPr>
              <w:t>Total Burden</w:t>
            </w:r>
          </w:p>
          <w:p w:rsidRPr="003E6284" w:rsidR="00CA2010" w:rsidP="00CA2010" w:rsidRDefault="00CA2010" w14:paraId="29D4C2E1" w14:textId="77777777">
            <w:pPr>
              <w:rPr>
                <w:b/>
              </w:rPr>
            </w:pPr>
            <w:r w:rsidRPr="003E6284">
              <w:rPr>
                <w:b/>
              </w:rPr>
              <w:t>Hours</w:t>
            </w:r>
          </w:p>
        </w:tc>
        <w:tc>
          <w:tcPr>
            <w:tcW w:w="2520" w:type="dxa"/>
          </w:tcPr>
          <w:p w:rsidRPr="003E6284" w:rsidR="00CA2010" w:rsidP="009A036B" w:rsidRDefault="00F94D8C" w14:paraId="6244E8BC" w14:textId="77777777">
            <w:pPr>
              <w:rPr>
                <w:b/>
              </w:rPr>
            </w:pPr>
            <w:r w:rsidRPr="003E6284">
              <w:rPr>
                <w:b/>
              </w:rPr>
              <w:t xml:space="preserve">Hourly </w:t>
            </w:r>
            <w:r w:rsidRPr="003E6284" w:rsidR="00CA2010">
              <w:rPr>
                <w:b/>
              </w:rPr>
              <w:t>Wage Rate*</w:t>
            </w:r>
          </w:p>
        </w:tc>
        <w:tc>
          <w:tcPr>
            <w:tcW w:w="1620" w:type="dxa"/>
          </w:tcPr>
          <w:p w:rsidRPr="003E6284" w:rsidR="00CA2010" w:rsidP="009A036B" w:rsidRDefault="00CA2010" w14:paraId="08A15A94" w14:textId="77777777">
            <w:pPr>
              <w:rPr>
                <w:b/>
              </w:rPr>
            </w:pPr>
            <w:r w:rsidRPr="003E6284">
              <w:rPr>
                <w:b/>
              </w:rPr>
              <w:t xml:space="preserve">Total Burden Cost </w:t>
            </w:r>
          </w:p>
        </w:tc>
      </w:tr>
      <w:tr w:rsidRPr="003E6284" w:rsidR="00CA2010" w:rsidTr="00CA2010" w14:paraId="5EB3B34D" w14:textId="77777777">
        <w:trPr>
          <w:trHeight w:val="260"/>
        </w:trPr>
        <w:tc>
          <w:tcPr>
            <w:tcW w:w="2790" w:type="dxa"/>
          </w:tcPr>
          <w:p w:rsidRPr="003E6284" w:rsidR="00CA2010" w:rsidP="009A036B" w:rsidRDefault="00E878CF" w14:paraId="2FF06735" w14:textId="6B05B5FE">
            <w:r>
              <w:t>Individuals or Households</w:t>
            </w:r>
          </w:p>
        </w:tc>
        <w:tc>
          <w:tcPr>
            <w:tcW w:w="2250" w:type="dxa"/>
          </w:tcPr>
          <w:p w:rsidRPr="003E6284" w:rsidR="00CA2010" w:rsidP="009A036B" w:rsidRDefault="003E6284" w14:paraId="34B41BF2" w14:textId="12D9B54F">
            <w:r>
              <w:t>1</w:t>
            </w:r>
            <w:r w:rsidR="00352E5D">
              <w:t>,</w:t>
            </w:r>
            <w:r>
              <w:t>75</w:t>
            </w:r>
            <w:r w:rsidR="00352E5D">
              <w:t>0</w:t>
            </w:r>
          </w:p>
        </w:tc>
        <w:tc>
          <w:tcPr>
            <w:tcW w:w="2520" w:type="dxa"/>
          </w:tcPr>
          <w:p w:rsidRPr="003E6284" w:rsidR="00CA2010" w:rsidP="009A036B" w:rsidRDefault="00D32BE5" w14:paraId="7CA0D586" w14:textId="77777777">
            <w:r>
              <w:t>28.01</w:t>
            </w:r>
          </w:p>
        </w:tc>
        <w:tc>
          <w:tcPr>
            <w:tcW w:w="1620" w:type="dxa"/>
          </w:tcPr>
          <w:p w:rsidRPr="003E6284" w:rsidR="00CA2010" w:rsidP="009A036B" w:rsidRDefault="00352E5D" w14:paraId="412C61E0" w14:textId="395F6273">
            <w:r>
              <w:t>$</w:t>
            </w:r>
            <w:r w:rsidR="009B34D2">
              <w:t>4</w:t>
            </w:r>
            <w:r>
              <w:t>9,</w:t>
            </w:r>
            <w:r w:rsidR="009B34D2">
              <w:t>017</w:t>
            </w:r>
            <w:r>
              <w:t>.</w:t>
            </w:r>
            <w:r w:rsidR="009B34D2">
              <w:t>5</w:t>
            </w:r>
            <w:r>
              <w:t>0</w:t>
            </w:r>
          </w:p>
        </w:tc>
      </w:tr>
      <w:tr w:rsidRPr="003E6284" w:rsidR="00CA2010" w:rsidTr="00CA2010" w14:paraId="20B7C214" w14:textId="77777777">
        <w:trPr>
          <w:trHeight w:val="274"/>
        </w:trPr>
        <w:tc>
          <w:tcPr>
            <w:tcW w:w="2790" w:type="dxa"/>
          </w:tcPr>
          <w:p w:rsidRPr="003E6284" w:rsidR="00CA2010" w:rsidP="009A036B" w:rsidRDefault="00CA2010" w14:paraId="2EF28483" w14:textId="77777777"/>
        </w:tc>
        <w:tc>
          <w:tcPr>
            <w:tcW w:w="2250" w:type="dxa"/>
          </w:tcPr>
          <w:p w:rsidRPr="003E6284" w:rsidR="00CA2010" w:rsidP="009A036B" w:rsidRDefault="00CA2010" w14:paraId="28D272E1" w14:textId="77777777"/>
        </w:tc>
        <w:tc>
          <w:tcPr>
            <w:tcW w:w="2520" w:type="dxa"/>
          </w:tcPr>
          <w:p w:rsidRPr="003E6284" w:rsidR="00CA2010" w:rsidP="009A036B" w:rsidRDefault="00CA2010" w14:paraId="2C8DDAAF" w14:textId="77777777"/>
        </w:tc>
        <w:tc>
          <w:tcPr>
            <w:tcW w:w="1620" w:type="dxa"/>
          </w:tcPr>
          <w:p w:rsidRPr="003E6284" w:rsidR="00CA2010" w:rsidP="009A036B" w:rsidRDefault="00CA2010" w14:paraId="590B4736" w14:textId="77777777"/>
        </w:tc>
      </w:tr>
      <w:tr w:rsidRPr="009A036B" w:rsidR="00352E5D" w:rsidTr="00CA2010" w14:paraId="1856F34F" w14:textId="77777777">
        <w:trPr>
          <w:trHeight w:val="289"/>
        </w:trPr>
        <w:tc>
          <w:tcPr>
            <w:tcW w:w="2790" w:type="dxa"/>
          </w:tcPr>
          <w:p w:rsidRPr="009A036B" w:rsidR="00352E5D" w:rsidP="00352E5D" w:rsidRDefault="00352E5D" w14:paraId="449D3C7A" w14:textId="77777777">
            <w:pPr>
              <w:rPr>
                <w:b/>
              </w:rPr>
            </w:pPr>
            <w:r w:rsidRPr="003E6284">
              <w:rPr>
                <w:b/>
              </w:rPr>
              <w:t>Totals</w:t>
            </w:r>
          </w:p>
        </w:tc>
        <w:tc>
          <w:tcPr>
            <w:tcW w:w="2250" w:type="dxa"/>
          </w:tcPr>
          <w:p w:rsidRPr="009B34D2" w:rsidR="00352E5D" w:rsidP="00352E5D" w:rsidRDefault="00352E5D" w14:paraId="5F25EB89" w14:textId="49A4B9DB">
            <w:pPr>
              <w:rPr>
                <w:b/>
                <w:bCs/>
              </w:rPr>
            </w:pPr>
          </w:p>
        </w:tc>
        <w:tc>
          <w:tcPr>
            <w:tcW w:w="2520" w:type="dxa"/>
          </w:tcPr>
          <w:p w:rsidRPr="009B34D2" w:rsidR="00352E5D" w:rsidP="00352E5D" w:rsidRDefault="00352E5D" w14:paraId="4CC9D118" w14:textId="37977D0A">
            <w:pPr>
              <w:rPr>
                <w:b/>
                <w:bCs/>
              </w:rPr>
            </w:pPr>
          </w:p>
        </w:tc>
        <w:tc>
          <w:tcPr>
            <w:tcW w:w="1620" w:type="dxa"/>
          </w:tcPr>
          <w:p w:rsidRPr="00352E5D" w:rsidR="00352E5D" w:rsidP="00352E5D" w:rsidRDefault="00352E5D" w14:paraId="756755E4" w14:textId="1B509E4F">
            <w:pPr>
              <w:rPr>
                <w:b/>
                <w:bCs/>
              </w:rPr>
            </w:pPr>
            <w:r>
              <w:rPr>
                <w:b/>
                <w:bCs/>
              </w:rPr>
              <w:t>$</w:t>
            </w:r>
            <w:r w:rsidRPr="00352E5D">
              <w:rPr>
                <w:b/>
                <w:bCs/>
              </w:rPr>
              <w:t>49,017.50</w:t>
            </w:r>
          </w:p>
        </w:tc>
      </w:tr>
    </w:tbl>
    <w:p w:rsidRPr="000748C4" w:rsidR="00E878CF" w:rsidP="00E878CF" w:rsidRDefault="00E878CF" w14:paraId="19EE6C54" w14:textId="77777777">
      <w:pPr>
        <w:rPr>
          <w:color w:val="0000FF"/>
          <w:kern w:val="36"/>
          <w:sz w:val="20"/>
          <w:szCs w:val="20"/>
          <w:u w:val="single"/>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 xml:space="preserve">was obtained from </w:t>
      </w:r>
      <w:r w:rsidRPr="000748C4">
        <w:rPr>
          <w:color w:val="0000FF"/>
          <w:sz w:val="20"/>
          <w:szCs w:val="20"/>
          <w:u w:val="single"/>
        </w:rPr>
        <w:fldChar w:fldCharType="begin"/>
      </w:r>
      <w:r w:rsidRPr="000748C4">
        <w:rPr>
          <w:color w:val="0000FF"/>
          <w:sz w:val="20"/>
          <w:szCs w:val="20"/>
          <w:u w:val="single"/>
        </w:rPr>
        <w:instrText xml:space="preserve"> HYPERLINK "https://www.bls.gov/oes/current/oes_nat.htm" \l "00-0000" </w:instrText>
      </w:r>
      <w:r w:rsidRPr="000748C4">
        <w:rPr>
          <w:color w:val="0000FF"/>
          <w:sz w:val="20"/>
          <w:szCs w:val="20"/>
          <w:u w:val="single"/>
        </w:rPr>
        <w:fldChar w:fldCharType="separate"/>
      </w:r>
      <w:r w:rsidRPr="000748C4">
        <w:rPr>
          <w:color w:val="0000FF"/>
          <w:sz w:val="20"/>
          <w:szCs w:val="20"/>
          <w:u w:val="single"/>
        </w:rPr>
        <w:t>May 202</w:t>
      </w:r>
      <w:r>
        <w:rPr>
          <w:color w:val="0000FF"/>
          <w:sz w:val="20"/>
          <w:szCs w:val="20"/>
          <w:u w:val="single"/>
        </w:rPr>
        <w:t>1</w:t>
      </w:r>
      <w:r w:rsidRPr="000748C4">
        <w:rPr>
          <w:color w:val="0000FF"/>
          <w:sz w:val="20"/>
          <w:szCs w:val="20"/>
          <w:u w:val="single"/>
        </w:rPr>
        <w:t xml:space="preserve"> National Occupational Employment and Wage Estimates (bls.gov)</w:t>
      </w:r>
      <w:r>
        <w:rPr>
          <w:color w:val="0000FF"/>
          <w:sz w:val="20"/>
          <w:szCs w:val="20"/>
          <w:u w:val="single"/>
        </w:rPr>
        <w:t xml:space="preserve"> </w:t>
      </w:r>
    </w:p>
    <w:p w:rsidR="009A036B" w:rsidP="00F3170F" w:rsidRDefault="00E878CF" w14:paraId="423309AA" w14:textId="092CD77C">
      <w:r w:rsidRPr="000748C4">
        <w:rPr>
          <w:color w:val="0000FF"/>
          <w:sz w:val="20"/>
          <w:szCs w:val="20"/>
          <w:u w:val="single"/>
        </w:rPr>
        <w:fldChar w:fldCharType="end"/>
      </w:r>
    </w:p>
    <w:p w:rsidR="00441434" w:rsidP="00F3170F" w:rsidRDefault="00441434" w14:paraId="3B0690A8" w14:textId="77777777"/>
    <w:p w:rsidRPr="0071397A" w:rsidR="00871047" w:rsidP="00871047" w:rsidRDefault="001C39F7" w14:paraId="68715C3F" w14:textId="5FECDB3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871047">
        <w:t xml:space="preserve"> </w:t>
      </w:r>
      <w:r w:rsidRPr="00871047" w:rsidR="00871047">
        <w:rPr>
          <w:u w:val="single"/>
        </w:rPr>
        <w:t>$7,902.50</w:t>
      </w:r>
    </w:p>
    <w:p w:rsidR="005E714A" w:rsidRDefault="005E714A" w14:paraId="05E844F7" w14:textId="56D06E9E"/>
    <w:p w:rsidRPr="009A036B" w:rsidR="009A036B" w:rsidP="009A036B" w:rsidRDefault="009A036B" w14:paraId="3AAA7998" w14:textId="77777777">
      <w:r>
        <w:rPr>
          <w:b/>
        </w:rPr>
        <w:t xml:space="preserve">                         </w:t>
      </w:r>
    </w:p>
    <w:tbl>
      <w:tblPr>
        <w:tblW w:w="9428" w:type="dxa"/>
        <w:jc w:val="center"/>
        <w:tblCellMar>
          <w:left w:w="0" w:type="dxa"/>
          <w:right w:w="0" w:type="dxa"/>
        </w:tblCellMar>
        <w:tblLook w:val="04A0" w:firstRow="1" w:lastRow="0" w:firstColumn="1" w:lastColumn="0" w:noHBand="0" w:noVBand="1"/>
      </w:tblPr>
      <w:tblGrid>
        <w:gridCol w:w="3070"/>
        <w:gridCol w:w="1630"/>
        <w:gridCol w:w="1139"/>
        <w:gridCol w:w="949"/>
        <w:gridCol w:w="1350"/>
        <w:gridCol w:w="1290"/>
      </w:tblGrid>
      <w:tr w:rsidRPr="0071397A" w:rsidR="009A036B" w:rsidTr="00E878CF" w14:paraId="1B0A2BFD" w14:textId="77777777">
        <w:trPr>
          <w:trHeight w:val="872"/>
          <w:jc w:val="center"/>
        </w:trPr>
        <w:tc>
          <w:tcPr>
            <w:tcW w:w="307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71397A" w:rsidR="009A036B" w:rsidP="009A036B" w:rsidRDefault="009A036B" w14:paraId="7123457E" w14:textId="77777777">
            <w:pPr>
              <w:rPr>
                <w:b/>
                <w:bCs/>
              </w:rPr>
            </w:pPr>
            <w:r w:rsidRPr="009A036B">
              <w:rPr>
                <w:i/>
              </w:rPr>
              <w:t xml:space="preserve"> </w:t>
            </w:r>
            <w:r w:rsidRPr="0071397A">
              <w:rPr>
                <w:b/>
                <w:bCs/>
              </w:rPr>
              <w:t>Staff</w:t>
            </w:r>
          </w:p>
        </w:tc>
        <w:tc>
          <w:tcPr>
            <w:tcW w:w="1630" w:type="dxa"/>
            <w:tcBorders>
              <w:top w:val="single" w:color="auto" w:sz="8" w:space="0"/>
              <w:left w:val="nil"/>
              <w:bottom w:val="single" w:color="auto" w:sz="8" w:space="0"/>
              <w:right w:val="single" w:color="auto" w:sz="8" w:space="0"/>
            </w:tcBorders>
            <w:shd w:val="clear" w:color="auto" w:fill="auto"/>
            <w:vAlign w:val="bottom"/>
          </w:tcPr>
          <w:p w:rsidRPr="0071397A" w:rsidR="009A036B" w:rsidP="009A036B" w:rsidRDefault="009A036B" w14:paraId="712DE290" w14:textId="77777777">
            <w:pPr>
              <w:rPr>
                <w:b/>
                <w:bCs/>
              </w:rPr>
            </w:pPr>
          </w:p>
          <w:p w:rsidRPr="0071397A" w:rsidR="009A036B" w:rsidP="009A036B" w:rsidRDefault="009A036B" w14:paraId="0859AED1" w14:textId="77777777">
            <w:pPr>
              <w:rPr>
                <w:b/>
                <w:bCs/>
              </w:rPr>
            </w:pPr>
            <w:r w:rsidRPr="0071397A">
              <w:rPr>
                <w:b/>
                <w:bCs/>
              </w:rPr>
              <w:t>Grade/Step</w:t>
            </w:r>
          </w:p>
        </w:tc>
        <w:tc>
          <w:tcPr>
            <w:tcW w:w="1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71397A" w:rsidR="009A036B" w:rsidP="009A036B" w:rsidRDefault="009A036B" w14:paraId="73944F2E" w14:textId="77777777">
            <w:pPr>
              <w:rPr>
                <w:b/>
                <w:bCs/>
              </w:rPr>
            </w:pPr>
            <w:r w:rsidRPr="0071397A">
              <w:rPr>
                <w:b/>
                <w:bCs/>
              </w:rPr>
              <w:t>Salary</w:t>
            </w:r>
            <w:r w:rsidRPr="0071397A" w:rsidR="002D74B4">
              <w:rPr>
                <w:b/>
                <w:bCs/>
              </w:rPr>
              <w:t>*</w:t>
            </w:r>
          </w:p>
        </w:tc>
        <w:tc>
          <w:tcPr>
            <w:tcW w:w="9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71397A" w:rsidR="009A036B" w:rsidP="009A036B" w:rsidRDefault="009A036B" w14:paraId="1BAE8DF3" w14:textId="77777777">
            <w:pPr>
              <w:rPr>
                <w:b/>
                <w:bCs/>
              </w:rPr>
            </w:pPr>
            <w:r w:rsidRPr="0071397A">
              <w:rPr>
                <w:b/>
                <w:bCs/>
              </w:rPr>
              <w:t xml:space="preserve">% </w:t>
            </w:r>
            <w:proofErr w:type="gramStart"/>
            <w:r w:rsidRPr="0071397A">
              <w:rPr>
                <w:b/>
                <w:bCs/>
              </w:rPr>
              <w:t>of</w:t>
            </w:r>
            <w:proofErr w:type="gramEnd"/>
            <w:r w:rsidRPr="0071397A">
              <w:rPr>
                <w:b/>
                <w:bCs/>
              </w:rPr>
              <w:t xml:space="preserve"> Effort</w:t>
            </w:r>
          </w:p>
        </w:tc>
        <w:tc>
          <w:tcPr>
            <w:tcW w:w="1350" w:type="dxa"/>
            <w:tcBorders>
              <w:top w:val="single" w:color="auto" w:sz="8" w:space="0"/>
              <w:left w:val="nil"/>
              <w:bottom w:val="single" w:color="auto" w:sz="8" w:space="0"/>
              <w:right w:val="single" w:color="auto" w:sz="8" w:space="0"/>
            </w:tcBorders>
            <w:shd w:val="clear" w:color="auto" w:fill="auto"/>
          </w:tcPr>
          <w:p w:rsidRPr="0071397A" w:rsidR="009A036B" w:rsidP="009A036B" w:rsidRDefault="009A036B" w14:paraId="12886F08" w14:textId="77777777">
            <w:pPr>
              <w:rPr>
                <w:b/>
                <w:bCs/>
              </w:rPr>
            </w:pPr>
            <w:r w:rsidRPr="0071397A">
              <w:rPr>
                <w:b/>
                <w:bCs/>
              </w:rPr>
              <w:t>Fringe (if applicable)</w:t>
            </w:r>
          </w:p>
        </w:tc>
        <w:tc>
          <w:tcPr>
            <w:tcW w:w="1290" w:type="dxa"/>
            <w:tcBorders>
              <w:top w:val="single" w:color="auto" w:sz="8" w:space="0"/>
              <w:left w:val="nil"/>
              <w:bottom w:val="single" w:color="auto" w:sz="8" w:space="0"/>
              <w:right w:val="single" w:color="auto" w:sz="8" w:space="0"/>
            </w:tcBorders>
            <w:shd w:val="clear" w:color="auto" w:fill="auto"/>
          </w:tcPr>
          <w:p w:rsidRPr="0071397A" w:rsidR="009A036B" w:rsidP="009A036B" w:rsidRDefault="009A036B" w14:paraId="171851E3" w14:textId="77777777">
            <w:pPr>
              <w:rPr>
                <w:b/>
                <w:bCs/>
              </w:rPr>
            </w:pPr>
            <w:r w:rsidRPr="0071397A">
              <w:rPr>
                <w:b/>
                <w:bCs/>
              </w:rPr>
              <w:t>Total Cost to Gov’t</w:t>
            </w:r>
          </w:p>
        </w:tc>
      </w:tr>
      <w:tr w:rsidRPr="0071397A" w:rsidR="009A036B" w:rsidTr="00E878CF" w14:paraId="5B0DEA51"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70463710" w14:textId="77777777">
            <w:pPr>
              <w:rPr>
                <w:b/>
              </w:rPr>
            </w:pPr>
            <w:r w:rsidRPr="0071397A">
              <w:rPr>
                <w:b/>
              </w:rPr>
              <w:t>Federal Oversight</w:t>
            </w:r>
          </w:p>
        </w:tc>
        <w:tc>
          <w:tcPr>
            <w:tcW w:w="1630" w:type="dxa"/>
            <w:tcBorders>
              <w:top w:val="nil"/>
              <w:left w:val="nil"/>
              <w:bottom w:val="single" w:color="auto" w:sz="8" w:space="0"/>
              <w:right w:val="single" w:color="auto" w:sz="8" w:space="0"/>
            </w:tcBorders>
          </w:tcPr>
          <w:p w:rsidRPr="0071397A" w:rsidR="009A036B" w:rsidP="009A036B" w:rsidRDefault="009A036B" w14:paraId="50BB5CD1" w14:textId="77777777"/>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3EE4AF71" w14:textId="77777777"/>
        </w:tc>
        <w:tc>
          <w:tcPr>
            <w:tcW w:w="94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662B6302" w14:textId="77777777"/>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29821F37" w14:textId="77777777"/>
        </w:tc>
        <w:tc>
          <w:tcPr>
            <w:tcW w:w="1290" w:type="dxa"/>
            <w:tcBorders>
              <w:top w:val="nil"/>
              <w:left w:val="nil"/>
              <w:bottom w:val="single" w:color="auto" w:sz="8" w:space="0"/>
              <w:right w:val="single" w:color="auto" w:sz="8" w:space="0"/>
            </w:tcBorders>
          </w:tcPr>
          <w:p w:rsidRPr="0071397A" w:rsidR="009A036B" w:rsidP="009A036B" w:rsidRDefault="009A036B" w14:paraId="7FF45280" w14:textId="77777777"/>
        </w:tc>
      </w:tr>
      <w:tr w:rsidRPr="0071397A" w:rsidR="009A036B" w:rsidTr="00E878CF" w14:paraId="3D9EEB44"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71397A" w14:paraId="3FE2FBF8" w14:textId="77777777">
            <w:r>
              <w:t>Senior Visual Information Specialist</w:t>
            </w:r>
          </w:p>
        </w:tc>
        <w:tc>
          <w:tcPr>
            <w:tcW w:w="1630" w:type="dxa"/>
            <w:tcBorders>
              <w:top w:val="nil"/>
              <w:left w:val="nil"/>
              <w:bottom w:val="single" w:color="auto" w:sz="8" w:space="0"/>
              <w:right w:val="single" w:color="auto" w:sz="8" w:space="0"/>
            </w:tcBorders>
          </w:tcPr>
          <w:p w:rsidRPr="0071397A" w:rsidR="009A036B" w:rsidP="009A036B" w:rsidRDefault="0071397A" w14:paraId="01E92B12" w14:textId="3D2ADDDE">
            <w:r>
              <w:t>14</w:t>
            </w:r>
            <w:r w:rsidR="00871047">
              <w:t>/</w:t>
            </w:r>
            <w:r>
              <w:t>10</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tcPr>
          <w:p w:rsidRPr="0071397A" w:rsidR="009A036B" w:rsidP="009A036B" w:rsidRDefault="00FD62B5" w14:paraId="6925FA13" w14:textId="76412A97">
            <w:r>
              <w:t>164</w:t>
            </w:r>
            <w:r w:rsidR="00871047">
              <w:t>,</w:t>
            </w:r>
            <w:r>
              <w:t>102</w:t>
            </w:r>
          </w:p>
        </w:tc>
        <w:tc>
          <w:tcPr>
            <w:tcW w:w="949"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1397A" w:rsidR="009A036B" w:rsidP="009A036B" w:rsidRDefault="0072637B" w14:paraId="70F78F02" w14:textId="77777777">
            <w:r>
              <w:t>2%</w:t>
            </w:r>
          </w:p>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643623FB" w14:textId="77777777"/>
        </w:tc>
        <w:tc>
          <w:tcPr>
            <w:tcW w:w="1290" w:type="dxa"/>
            <w:tcBorders>
              <w:top w:val="nil"/>
              <w:left w:val="nil"/>
              <w:bottom w:val="single" w:color="auto" w:sz="8" w:space="0"/>
              <w:right w:val="single" w:color="auto" w:sz="8" w:space="0"/>
            </w:tcBorders>
          </w:tcPr>
          <w:p w:rsidRPr="0071397A" w:rsidR="009A036B" w:rsidP="009A036B" w:rsidRDefault="0072637B" w14:paraId="0C0F2F86" w14:textId="1C30120D">
            <w:r>
              <w:t xml:space="preserve"> </w:t>
            </w:r>
            <w:r w:rsidR="00531403">
              <w:t xml:space="preserve">  </w:t>
            </w:r>
            <w:r w:rsidR="00871047">
              <w:t>$</w:t>
            </w:r>
            <w:r>
              <w:t>3</w:t>
            </w:r>
            <w:r w:rsidR="00871047">
              <w:t>,</w:t>
            </w:r>
            <w:r>
              <w:t>282.04</w:t>
            </w:r>
          </w:p>
        </w:tc>
      </w:tr>
      <w:tr w:rsidRPr="0071397A" w:rsidR="009A036B" w:rsidTr="00E878CF" w14:paraId="50508E16"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71397A" w14:paraId="14B46367" w14:textId="77777777">
            <w:r>
              <w:t>Writer/Editor</w:t>
            </w:r>
          </w:p>
        </w:tc>
        <w:tc>
          <w:tcPr>
            <w:tcW w:w="1630" w:type="dxa"/>
            <w:tcBorders>
              <w:top w:val="nil"/>
              <w:left w:val="nil"/>
              <w:bottom w:val="single" w:color="auto" w:sz="8" w:space="0"/>
              <w:right w:val="single" w:color="auto" w:sz="8" w:space="0"/>
            </w:tcBorders>
          </w:tcPr>
          <w:p w:rsidRPr="0071397A" w:rsidR="009A036B" w:rsidP="009A036B" w:rsidRDefault="0071397A" w14:paraId="675615C5" w14:textId="3A243A5C">
            <w:r>
              <w:t>13</w:t>
            </w:r>
            <w:r w:rsidR="00871047">
              <w:t>/</w:t>
            </w:r>
            <w:r>
              <w:t>7</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71397A" w14:paraId="6C8E1EF9" w14:textId="77777777">
            <w:r>
              <w:t>128,187</w:t>
            </w:r>
          </w:p>
        </w:tc>
        <w:tc>
          <w:tcPr>
            <w:tcW w:w="949"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1397A" w:rsidR="009A036B" w:rsidP="009A036B" w:rsidRDefault="0072637B" w14:paraId="234732B1" w14:textId="77777777">
            <w:r>
              <w:t>2%</w:t>
            </w:r>
          </w:p>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7D706A11" w14:textId="77777777"/>
        </w:tc>
        <w:tc>
          <w:tcPr>
            <w:tcW w:w="1290" w:type="dxa"/>
            <w:tcBorders>
              <w:top w:val="nil"/>
              <w:left w:val="nil"/>
              <w:bottom w:val="single" w:color="auto" w:sz="8" w:space="0"/>
              <w:right w:val="single" w:color="auto" w:sz="8" w:space="0"/>
            </w:tcBorders>
          </w:tcPr>
          <w:p w:rsidRPr="0071397A" w:rsidR="009A036B" w:rsidP="009A036B" w:rsidRDefault="0072637B" w14:paraId="5CA2101A" w14:textId="67863E89">
            <w:r>
              <w:t xml:space="preserve"> </w:t>
            </w:r>
            <w:r w:rsidR="00531403">
              <w:t xml:space="preserve">  </w:t>
            </w:r>
            <w:r w:rsidR="00871047">
              <w:t>$2,563.74</w:t>
            </w:r>
          </w:p>
        </w:tc>
      </w:tr>
      <w:tr w:rsidRPr="0071397A" w:rsidR="009A036B" w:rsidTr="00E878CF" w14:paraId="7148A69F"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3D67B743" w14:textId="77777777"/>
        </w:tc>
        <w:tc>
          <w:tcPr>
            <w:tcW w:w="1630" w:type="dxa"/>
            <w:tcBorders>
              <w:top w:val="nil"/>
              <w:left w:val="nil"/>
              <w:bottom w:val="single" w:color="auto" w:sz="8" w:space="0"/>
              <w:right w:val="single" w:color="auto" w:sz="8" w:space="0"/>
            </w:tcBorders>
          </w:tcPr>
          <w:p w:rsidRPr="0071397A" w:rsidR="009A036B" w:rsidP="009A036B" w:rsidRDefault="009A036B" w14:paraId="4EEE53F0" w14:textId="77777777"/>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28170CC9" w14:textId="77777777"/>
        </w:tc>
        <w:tc>
          <w:tcPr>
            <w:tcW w:w="94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17523265" w14:textId="77777777"/>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47640915" w14:textId="77777777"/>
        </w:tc>
        <w:tc>
          <w:tcPr>
            <w:tcW w:w="1290" w:type="dxa"/>
            <w:tcBorders>
              <w:top w:val="nil"/>
              <w:left w:val="nil"/>
              <w:bottom w:val="single" w:color="auto" w:sz="8" w:space="0"/>
              <w:right w:val="single" w:color="auto" w:sz="8" w:space="0"/>
            </w:tcBorders>
          </w:tcPr>
          <w:p w:rsidRPr="0071397A" w:rsidR="009A036B" w:rsidP="009A036B" w:rsidRDefault="009A036B" w14:paraId="63BD53E7" w14:textId="77777777"/>
        </w:tc>
      </w:tr>
      <w:tr w:rsidRPr="0071397A" w:rsidR="009A036B" w:rsidTr="00E878CF" w14:paraId="12B7413B"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0B2D1C93" w14:textId="77777777">
            <w:pPr>
              <w:rPr>
                <w:b/>
              </w:rPr>
            </w:pPr>
            <w:r w:rsidRPr="0071397A">
              <w:rPr>
                <w:b/>
              </w:rPr>
              <w:t>Contractor Cost</w:t>
            </w:r>
          </w:p>
        </w:tc>
        <w:tc>
          <w:tcPr>
            <w:tcW w:w="1630" w:type="dxa"/>
            <w:tcBorders>
              <w:top w:val="nil"/>
              <w:left w:val="nil"/>
              <w:bottom w:val="single" w:color="auto" w:sz="8" w:space="0"/>
              <w:right w:val="single" w:color="auto" w:sz="8" w:space="0"/>
            </w:tcBorders>
            <w:shd w:val="clear" w:color="auto" w:fill="BFBFBF"/>
          </w:tcPr>
          <w:p w:rsidRPr="0071397A" w:rsidR="009A036B" w:rsidP="009A036B" w:rsidRDefault="009A036B" w14:paraId="5CADDBCA" w14:textId="77777777"/>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14D5AA8E" w14:textId="77777777"/>
        </w:tc>
        <w:tc>
          <w:tcPr>
            <w:tcW w:w="94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63FCB8B7" w14:textId="77777777"/>
        </w:tc>
        <w:tc>
          <w:tcPr>
            <w:tcW w:w="1350" w:type="dxa"/>
            <w:tcBorders>
              <w:top w:val="nil"/>
              <w:left w:val="nil"/>
              <w:bottom w:val="single" w:color="auto" w:sz="8" w:space="0"/>
              <w:right w:val="single" w:color="auto" w:sz="8" w:space="0"/>
            </w:tcBorders>
          </w:tcPr>
          <w:p w:rsidRPr="0071397A" w:rsidR="009A036B" w:rsidP="009A036B" w:rsidRDefault="009A036B" w14:paraId="714727FC" w14:textId="77777777"/>
        </w:tc>
        <w:tc>
          <w:tcPr>
            <w:tcW w:w="1290" w:type="dxa"/>
            <w:tcBorders>
              <w:top w:val="nil"/>
              <w:left w:val="nil"/>
              <w:bottom w:val="single" w:color="auto" w:sz="8" w:space="0"/>
              <w:right w:val="single" w:color="auto" w:sz="8" w:space="0"/>
            </w:tcBorders>
          </w:tcPr>
          <w:p w:rsidRPr="0071397A" w:rsidR="009A036B" w:rsidP="009A036B" w:rsidRDefault="009A036B" w14:paraId="51D5D0C7" w14:textId="77777777"/>
        </w:tc>
      </w:tr>
      <w:tr w:rsidRPr="0071397A" w:rsidR="009A036B" w:rsidTr="00E878CF" w14:paraId="61B0890A"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E0666" w14:paraId="1B4E2D3B" w14:textId="77777777">
            <w:r w:rsidRPr="0071397A">
              <w:t>BLH</w:t>
            </w:r>
          </w:p>
        </w:tc>
        <w:tc>
          <w:tcPr>
            <w:tcW w:w="1630" w:type="dxa"/>
            <w:tcBorders>
              <w:top w:val="nil"/>
              <w:left w:val="nil"/>
              <w:bottom w:val="single" w:color="auto" w:sz="8" w:space="0"/>
              <w:right w:val="single" w:color="auto" w:sz="8" w:space="0"/>
            </w:tcBorders>
          </w:tcPr>
          <w:p w:rsidRPr="0071397A" w:rsidR="009A036B" w:rsidP="009A036B" w:rsidRDefault="009A036B" w14:paraId="2129FE23" w14:textId="77777777"/>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6307460D" w14:textId="77777777"/>
        </w:tc>
        <w:tc>
          <w:tcPr>
            <w:tcW w:w="94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F3186B" w14:paraId="2917498D" w14:textId="77777777">
            <w:r>
              <w:t>1%</w:t>
            </w:r>
          </w:p>
        </w:tc>
        <w:tc>
          <w:tcPr>
            <w:tcW w:w="1350" w:type="dxa"/>
            <w:tcBorders>
              <w:top w:val="nil"/>
              <w:left w:val="nil"/>
              <w:bottom w:val="single" w:color="auto" w:sz="8" w:space="0"/>
              <w:right w:val="single" w:color="auto" w:sz="8" w:space="0"/>
            </w:tcBorders>
          </w:tcPr>
          <w:p w:rsidRPr="0071397A" w:rsidR="009A036B" w:rsidP="009A036B" w:rsidRDefault="009A036B" w14:paraId="7D6D5E1E" w14:textId="77777777"/>
        </w:tc>
        <w:tc>
          <w:tcPr>
            <w:tcW w:w="1290" w:type="dxa"/>
            <w:tcBorders>
              <w:top w:val="nil"/>
              <w:left w:val="nil"/>
              <w:bottom w:val="single" w:color="auto" w:sz="8" w:space="0"/>
              <w:right w:val="single" w:color="auto" w:sz="8" w:space="0"/>
            </w:tcBorders>
          </w:tcPr>
          <w:p w:rsidRPr="0071397A" w:rsidR="009A036B" w:rsidP="009A036B" w:rsidRDefault="00F3186B" w14:paraId="67C09211" w14:textId="78ACBEDA">
            <w:r>
              <w:t xml:space="preserve">  </w:t>
            </w:r>
            <w:r w:rsidR="00871047">
              <w:t>$</w:t>
            </w:r>
            <w:r>
              <w:t>2</w:t>
            </w:r>
            <w:r w:rsidR="00871047">
              <w:t>,</w:t>
            </w:r>
            <w:r>
              <w:t>056.72</w:t>
            </w:r>
          </w:p>
        </w:tc>
      </w:tr>
      <w:tr w:rsidRPr="0071397A" w:rsidR="009A036B" w:rsidTr="00E878CF" w14:paraId="646E3620"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4C862FEE" w14:textId="77777777">
            <w:r w:rsidRPr="0071397A">
              <w:t>Travel</w:t>
            </w:r>
          </w:p>
        </w:tc>
        <w:tc>
          <w:tcPr>
            <w:tcW w:w="1630" w:type="dxa"/>
            <w:tcBorders>
              <w:top w:val="nil"/>
              <w:left w:val="nil"/>
              <w:bottom w:val="single" w:color="auto" w:sz="8" w:space="0"/>
              <w:right w:val="single" w:color="auto" w:sz="8" w:space="0"/>
            </w:tcBorders>
            <w:shd w:val="clear" w:color="auto" w:fill="BFBFBF"/>
          </w:tcPr>
          <w:p w:rsidRPr="0071397A" w:rsidR="009A036B" w:rsidP="009A036B" w:rsidRDefault="009A036B" w14:paraId="52E99B7F" w14:textId="77777777"/>
        </w:tc>
        <w:tc>
          <w:tcPr>
            <w:tcW w:w="113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1397A" w:rsidR="009A036B" w:rsidP="009A036B" w:rsidRDefault="009A036B" w14:paraId="66FF2F66" w14:textId="77777777"/>
        </w:tc>
        <w:tc>
          <w:tcPr>
            <w:tcW w:w="94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1397A" w:rsidR="009A036B" w:rsidP="009A036B" w:rsidRDefault="009A036B" w14:paraId="66CA5B35" w14:textId="77777777"/>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7C19E375" w14:textId="77777777"/>
        </w:tc>
        <w:tc>
          <w:tcPr>
            <w:tcW w:w="1290" w:type="dxa"/>
            <w:tcBorders>
              <w:top w:val="nil"/>
              <w:left w:val="nil"/>
              <w:bottom w:val="single" w:color="auto" w:sz="8" w:space="0"/>
              <w:right w:val="single" w:color="auto" w:sz="8" w:space="0"/>
            </w:tcBorders>
          </w:tcPr>
          <w:p w:rsidRPr="0071397A" w:rsidR="009A036B" w:rsidP="009A036B" w:rsidRDefault="009A036B" w14:paraId="0837EC3B" w14:textId="77777777"/>
        </w:tc>
      </w:tr>
      <w:tr w:rsidRPr="0071397A" w:rsidR="009A036B" w:rsidTr="00E878CF" w14:paraId="3D476E1D"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1397A" w:rsidR="009A036B" w:rsidP="009A036B" w:rsidRDefault="009A036B" w14:paraId="731F4748" w14:textId="77777777">
            <w:r w:rsidRPr="0071397A">
              <w:t>Other Cost</w:t>
            </w:r>
          </w:p>
        </w:tc>
        <w:tc>
          <w:tcPr>
            <w:tcW w:w="1630" w:type="dxa"/>
            <w:tcBorders>
              <w:top w:val="nil"/>
              <w:left w:val="nil"/>
              <w:bottom w:val="single" w:color="auto" w:sz="8" w:space="0"/>
              <w:right w:val="single" w:color="auto" w:sz="8" w:space="0"/>
            </w:tcBorders>
            <w:shd w:val="clear" w:color="auto" w:fill="BFBFBF"/>
          </w:tcPr>
          <w:p w:rsidRPr="0071397A" w:rsidR="009A036B" w:rsidP="009A036B" w:rsidRDefault="009A036B" w14:paraId="11FE974F" w14:textId="77777777"/>
        </w:tc>
        <w:tc>
          <w:tcPr>
            <w:tcW w:w="113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1397A" w:rsidR="009A036B" w:rsidP="009A036B" w:rsidRDefault="009A036B" w14:paraId="6EFF78CE" w14:textId="77777777"/>
        </w:tc>
        <w:tc>
          <w:tcPr>
            <w:tcW w:w="94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1397A" w:rsidR="009A036B" w:rsidP="009A036B" w:rsidRDefault="009A036B" w14:paraId="59CA5F23" w14:textId="77777777"/>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43B0958F" w14:textId="77777777"/>
        </w:tc>
        <w:tc>
          <w:tcPr>
            <w:tcW w:w="1290" w:type="dxa"/>
            <w:tcBorders>
              <w:top w:val="nil"/>
              <w:left w:val="nil"/>
              <w:bottom w:val="single" w:color="auto" w:sz="8" w:space="0"/>
              <w:right w:val="single" w:color="auto" w:sz="8" w:space="0"/>
            </w:tcBorders>
          </w:tcPr>
          <w:p w:rsidRPr="0071397A" w:rsidR="009A036B" w:rsidP="009A036B" w:rsidRDefault="009A036B" w14:paraId="6866729A" w14:textId="77777777"/>
        </w:tc>
      </w:tr>
      <w:tr w:rsidRPr="0071397A" w:rsidR="009A036B" w:rsidTr="00E878CF" w14:paraId="61418A59"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1397A" w:rsidR="009A036B" w:rsidP="009A036B" w:rsidRDefault="009A036B" w14:paraId="78582526" w14:textId="77777777">
            <w:pPr>
              <w:rPr>
                <w:bCs/>
              </w:rPr>
            </w:pPr>
          </w:p>
        </w:tc>
        <w:tc>
          <w:tcPr>
            <w:tcW w:w="1630" w:type="dxa"/>
            <w:tcBorders>
              <w:top w:val="nil"/>
              <w:left w:val="nil"/>
              <w:bottom w:val="single" w:color="auto" w:sz="8" w:space="0"/>
              <w:right w:val="single" w:color="auto" w:sz="8" w:space="0"/>
            </w:tcBorders>
            <w:shd w:val="clear" w:color="auto" w:fill="BFBFBF"/>
          </w:tcPr>
          <w:p w:rsidRPr="0071397A" w:rsidR="009A036B" w:rsidP="009A036B" w:rsidRDefault="009A036B" w14:paraId="6896221B" w14:textId="77777777"/>
        </w:tc>
        <w:tc>
          <w:tcPr>
            <w:tcW w:w="113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71397A" w:rsidR="009A036B" w:rsidP="009A036B" w:rsidRDefault="009A036B" w14:paraId="62A75706" w14:textId="77777777"/>
        </w:tc>
        <w:tc>
          <w:tcPr>
            <w:tcW w:w="949"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1397A" w:rsidR="009A036B" w:rsidP="009A036B" w:rsidRDefault="009A036B" w14:paraId="48C26CA0" w14:textId="77777777">
            <w:pPr>
              <w:rPr>
                <w:b/>
              </w:rPr>
            </w:pPr>
          </w:p>
        </w:tc>
        <w:tc>
          <w:tcPr>
            <w:tcW w:w="1350" w:type="dxa"/>
            <w:tcBorders>
              <w:top w:val="nil"/>
              <w:left w:val="nil"/>
              <w:bottom w:val="single" w:color="auto" w:sz="8" w:space="0"/>
              <w:right w:val="single" w:color="auto" w:sz="8" w:space="0"/>
            </w:tcBorders>
            <w:shd w:val="clear" w:color="auto" w:fill="BFBFBF"/>
          </w:tcPr>
          <w:p w:rsidRPr="0071397A" w:rsidR="009A036B" w:rsidP="009A036B" w:rsidRDefault="009A036B" w14:paraId="65CE2218" w14:textId="77777777">
            <w:pPr>
              <w:rPr>
                <w:b/>
              </w:rPr>
            </w:pPr>
          </w:p>
        </w:tc>
        <w:tc>
          <w:tcPr>
            <w:tcW w:w="1290" w:type="dxa"/>
            <w:tcBorders>
              <w:top w:val="nil"/>
              <w:left w:val="nil"/>
              <w:bottom w:val="single" w:color="auto" w:sz="8" w:space="0"/>
              <w:right w:val="single" w:color="auto" w:sz="8" w:space="0"/>
            </w:tcBorders>
          </w:tcPr>
          <w:p w:rsidRPr="0071397A" w:rsidR="009A036B" w:rsidP="009A036B" w:rsidRDefault="009A036B" w14:paraId="2FFEE91B" w14:textId="77777777">
            <w:pPr>
              <w:rPr>
                <w:b/>
              </w:rPr>
            </w:pPr>
          </w:p>
        </w:tc>
      </w:tr>
      <w:tr w:rsidRPr="0071397A" w:rsidR="009A036B" w:rsidTr="00E878CF" w14:paraId="3921943A" w14:textId="77777777">
        <w:trPr>
          <w:trHeight w:val="290"/>
          <w:jc w:val="center"/>
        </w:trPr>
        <w:tc>
          <w:tcPr>
            <w:tcW w:w="30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1397A" w:rsidR="009A036B" w:rsidP="009A036B" w:rsidRDefault="004B1EB8" w14:paraId="2A65547F" w14:textId="77777777">
            <w:pPr>
              <w:rPr>
                <w:b/>
              </w:rPr>
            </w:pPr>
            <w:r w:rsidRPr="0071397A">
              <w:rPr>
                <w:b/>
              </w:rPr>
              <w:t>Total</w:t>
            </w:r>
          </w:p>
        </w:tc>
        <w:tc>
          <w:tcPr>
            <w:tcW w:w="1630" w:type="dxa"/>
            <w:tcBorders>
              <w:top w:val="nil"/>
              <w:left w:val="nil"/>
              <w:bottom w:val="single" w:color="auto" w:sz="8" w:space="0"/>
              <w:right w:val="single" w:color="auto" w:sz="8" w:space="0"/>
            </w:tcBorders>
            <w:shd w:val="clear" w:color="auto" w:fill="A6A6A6"/>
          </w:tcPr>
          <w:p w:rsidRPr="0071397A" w:rsidR="009A036B" w:rsidP="009A036B" w:rsidRDefault="009A036B" w14:paraId="0C674FA7" w14:textId="77777777"/>
        </w:tc>
        <w:tc>
          <w:tcPr>
            <w:tcW w:w="1139"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71397A" w:rsidR="009A036B" w:rsidP="009A036B" w:rsidRDefault="009A036B" w14:paraId="72676007" w14:textId="77777777"/>
        </w:tc>
        <w:tc>
          <w:tcPr>
            <w:tcW w:w="949"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71397A" w:rsidR="009A036B" w:rsidP="009A036B" w:rsidRDefault="009A036B" w14:paraId="02DBECC0" w14:textId="77777777"/>
        </w:tc>
        <w:tc>
          <w:tcPr>
            <w:tcW w:w="1350" w:type="dxa"/>
            <w:tcBorders>
              <w:top w:val="nil"/>
              <w:left w:val="nil"/>
              <w:bottom w:val="single" w:color="auto" w:sz="8" w:space="0"/>
              <w:right w:val="single" w:color="auto" w:sz="8" w:space="0"/>
            </w:tcBorders>
            <w:shd w:val="clear" w:color="auto" w:fill="A6A6A6"/>
          </w:tcPr>
          <w:p w:rsidRPr="0071397A" w:rsidR="009A036B" w:rsidP="009A036B" w:rsidRDefault="009A036B" w14:paraId="4A162D22" w14:textId="77777777"/>
        </w:tc>
        <w:tc>
          <w:tcPr>
            <w:tcW w:w="1290" w:type="dxa"/>
            <w:tcBorders>
              <w:top w:val="nil"/>
              <w:left w:val="nil"/>
              <w:bottom w:val="single" w:color="auto" w:sz="8" w:space="0"/>
              <w:right w:val="single" w:color="auto" w:sz="8" w:space="0"/>
            </w:tcBorders>
          </w:tcPr>
          <w:p w:rsidRPr="00293D5C" w:rsidR="009A036B" w:rsidP="009A036B" w:rsidRDefault="00871047" w14:paraId="4FCE51B6" w14:textId="16445F51">
            <w:pPr>
              <w:rPr>
                <w:b/>
                <w:bCs/>
              </w:rPr>
            </w:pPr>
            <w:r w:rsidRPr="00293D5C">
              <w:rPr>
                <w:b/>
                <w:bCs/>
              </w:rPr>
              <w:t>$7,902.50</w:t>
            </w:r>
          </w:p>
        </w:tc>
      </w:tr>
    </w:tbl>
    <w:p w:rsidRPr="00E77707" w:rsidR="00871047" w:rsidP="00871047" w:rsidRDefault="00871047" w14:paraId="52FFE00C" w14:textId="11992A48">
      <w:pPr>
        <w:rPr>
          <w:rFonts w:ascii="Calibri" w:hAnsi="Calibri" w:eastAsia="Calibri" w:cs="Consolas"/>
          <w:color w:val="FF0000"/>
          <w:sz w:val="18"/>
          <w:szCs w:val="18"/>
          <w:u w:val="single"/>
        </w:rPr>
      </w:pPr>
      <w:r w:rsidRPr="00E77707">
        <w:rPr>
          <w:rFonts w:ascii="Calibri" w:hAnsi="Calibri" w:eastAsia="Calibri" w:cs="Consolas"/>
          <w:bCs/>
          <w:color w:val="000000"/>
          <w:sz w:val="18"/>
          <w:szCs w:val="18"/>
        </w:rPr>
        <w:t>*</w:t>
      </w:r>
      <w:r>
        <w:rPr>
          <w:rFonts w:ascii="Calibri" w:hAnsi="Calibri" w:eastAsia="Calibri" w:cs="Consolas"/>
          <w:bCs/>
          <w:color w:val="000000"/>
          <w:sz w:val="18"/>
          <w:szCs w:val="18"/>
        </w:rPr>
        <w:t>T</w:t>
      </w:r>
      <w:r w:rsidRPr="00E77707">
        <w:rPr>
          <w:rFonts w:ascii="Calibri" w:hAnsi="Calibri" w:eastAsia="Calibri" w:cs="Consolas"/>
          <w:bCs/>
          <w:color w:val="000000"/>
          <w:sz w:val="18"/>
          <w:szCs w:val="18"/>
        </w:rPr>
        <w:t xml:space="preserve">he Salary in table above is cited from: </w:t>
      </w:r>
    </w:p>
    <w:p w:rsidR="00871047" w:rsidP="00871047" w:rsidRDefault="007621EF" w14:paraId="3D42FBA2" w14:textId="77777777">
      <w:pPr>
        <w:rPr>
          <w:color w:val="FF0000"/>
          <w:sz w:val="16"/>
          <w:szCs w:val="16"/>
          <w:u w:val="single"/>
        </w:rPr>
      </w:pPr>
      <w:hyperlink w:history="1" r:id="rId8">
        <w:r w:rsidRPr="00656ED0" w:rsidR="00871047">
          <w:rPr>
            <w:rStyle w:val="Hyperlink"/>
            <w:sz w:val="16"/>
            <w:szCs w:val="16"/>
          </w:rPr>
          <w:t>https://www.opm.gov/policy-data-oversight/pay-leave/salaries-wages/salary-tables/22Tables/html/DCB.aspx</w:t>
        </w:r>
      </w:hyperlink>
    </w:p>
    <w:p w:rsidR="009A036B" w:rsidRDefault="009A036B" w14:paraId="32B639A2" w14:textId="77777777">
      <w:pPr>
        <w:rPr>
          <w:b/>
        </w:rPr>
      </w:pPr>
    </w:p>
    <w:p w:rsidR="00ED6492" w:rsidRDefault="00ED6492" w14:paraId="13CDC80F" w14:textId="5EE18F8B">
      <w:pPr>
        <w:rPr>
          <w:b/>
          <w:bCs/>
          <w:u w:val="single"/>
        </w:rPr>
      </w:pPr>
    </w:p>
    <w:p w:rsidR="00871047" w:rsidRDefault="00871047" w14:paraId="0E4CA6CF" w14:textId="3E071EA3">
      <w:pPr>
        <w:rPr>
          <w:b/>
          <w:bCs/>
          <w:u w:val="single"/>
        </w:rPr>
      </w:pPr>
    </w:p>
    <w:p w:rsidR="00871047" w:rsidRDefault="00871047" w14:paraId="322F31DA" w14:textId="57983B7B">
      <w:pPr>
        <w:rPr>
          <w:b/>
          <w:bCs/>
          <w:u w:val="single"/>
        </w:rPr>
      </w:pPr>
    </w:p>
    <w:p w:rsidR="00871047" w:rsidRDefault="00871047" w14:paraId="062EBBDF" w14:textId="77777777">
      <w:pPr>
        <w:rPr>
          <w:b/>
          <w:bCs/>
          <w:u w:val="single"/>
        </w:rPr>
      </w:pPr>
    </w:p>
    <w:p w:rsidR="0069403B" w:rsidP="00F06866" w:rsidRDefault="00ED6492" w14:paraId="58809082"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5734B9BF" w14:textId="77777777">
      <w:pPr>
        <w:rPr>
          <w:b/>
        </w:rPr>
      </w:pPr>
    </w:p>
    <w:p w:rsidR="00F06866" w:rsidP="00F06866" w:rsidRDefault="00636621" w14:paraId="1CC6AB28" w14:textId="77777777">
      <w:pPr>
        <w:rPr>
          <w:b/>
        </w:rPr>
      </w:pPr>
      <w:r>
        <w:rPr>
          <w:b/>
        </w:rPr>
        <w:t>The</w:t>
      </w:r>
      <w:r w:rsidR="0069403B">
        <w:rPr>
          <w:b/>
        </w:rPr>
        <w:t xml:space="preserve"> select</w:t>
      </w:r>
      <w:r>
        <w:rPr>
          <w:b/>
        </w:rPr>
        <w:t>ion of your targeted respondents</w:t>
      </w:r>
    </w:p>
    <w:p w:rsidR="0069403B" w:rsidP="0069403B" w:rsidRDefault="0069403B" w14:paraId="0CA0DE0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E0666">
        <w:t>X</w:t>
      </w:r>
      <w:r>
        <w:t>] Yes</w:t>
      </w:r>
      <w:r>
        <w:tab/>
      </w:r>
      <w:proofErr w:type="gramStart"/>
      <w:r>
        <w:t>[ ]</w:t>
      </w:r>
      <w:proofErr w:type="gramEnd"/>
      <w:r>
        <w:t xml:space="preserve"> No</w:t>
      </w:r>
    </w:p>
    <w:p w:rsidR="00636621" w:rsidP="00636621" w:rsidRDefault="00636621" w14:paraId="127334E6" w14:textId="77777777">
      <w:pPr>
        <w:pStyle w:val="ListParagraph"/>
      </w:pPr>
    </w:p>
    <w:p w:rsidR="00636621" w:rsidP="001B0AAA" w:rsidRDefault="00636621" w14:paraId="68C11A6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E0666" w:rsidP="001B0AAA" w:rsidRDefault="009E0666" w14:paraId="531F63EB" w14:textId="77777777"/>
    <w:p w:rsidR="00D536B3" w:rsidP="00D536B3" w:rsidRDefault="009E0666" w14:paraId="76492188" w14:textId="77777777">
      <w:r w:rsidRPr="00D536B3">
        <w:t xml:space="preserve">The NIH MedlinePlus </w:t>
      </w:r>
      <w:r w:rsidR="00D536B3">
        <w:t xml:space="preserve">digital </w:t>
      </w:r>
      <w:r w:rsidRPr="00D536B3">
        <w:t xml:space="preserve">magazine is </w:t>
      </w:r>
      <w:r w:rsidR="00D536B3">
        <w:t xml:space="preserve">an online monthly and </w:t>
      </w:r>
      <w:r w:rsidRPr="00D536B3">
        <w:t xml:space="preserve">quarterly </w:t>
      </w:r>
      <w:r w:rsidR="00D536B3">
        <w:t>product.</w:t>
      </w:r>
    </w:p>
    <w:p w:rsidR="00D536B3" w:rsidP="00D536B3" w:rsidRDefault="00D536B3" w14:paraId="6E986593" w14:textId="77777777">
      <w:pPr>
        <w:rPr>
          <w:color w:val="000000"/>
        </w:rPr>
      </w:pPr>
    </w:p>
    <w:p w:rsidRPr="00D536B3" w:rsidR="009E0666" w:rsidP="00D536B3" w:rsidRDefault="00D536B3" w14:paraId="677DAC50" w14:textId="77777777">
      <w:pPr>
        <w:rPr>
          <w:color w:val="000000"/>
        </w:rPr>
      </w:pPr>
      <w:r>
        <w:rPr>
          <w:color w:val="000000"/>
        </w:rPr>
        <w:t>Online</w:t>
      </w:r>
      <w:r w:rsidRPr="00D536B3" w:rsidR="009E0666">
        <w:rPr>
          <w:color w:val="000000"/>
        </w:rPr>
        <w:t xml:space="preserve"> subscribers: </w:t>
      </w:r>
      <w:r>
        <w:rPr>
          <w:color w:val="000000"/>
        </w:rPr>
        <w:t>42,801</w:t>
      </w:r>
    </w:p>
    <w:p w:rsidRPr="00D536B3" w:rsidR="009E0666" w:rsidP="009E0666" w:rsidRDefault="00D536B3" w14:paraId="5B487943" w14:textId="77777777">
      <w:pPr>
        <w:pStyle w:val="ListParagraph"/>
        <w:numPr>
          <w:ilvl w:val="0"/>
          <w:numId w:val="19"/>
        </w:numPr>
        <w:spacing w:before="100" w:beforeAutospacing="1" w:after="100" w:afterAutospacing="1"/>
        <w:contextualSpacing w:val="0"/>
        <w:rPr>
          <w:color w:val="000000"/>
        </w:rPr>
      </w:pPr>
      <w:r>
        <w:rPr>
          <w:color w:val="000000"/>
        </w:rPr>
        <w:t>English</w:t>
      </w:r>
      <w:r w:rsidRPr="00D536B3" w:rsidR="009E0666">
        <w:rPr>
          <w:color w:val="000000"/>
        </w:rPr>
        <w:t xml:space="preserve">: </w:t>
      </w:r>
      <w:r>
        <w:rPr>
          <w:color w:val="000000"/>
        </w:rPr>
        <w:t>38,023</w:t>
      </w:r>
    </w:p>
    <w:p w:rsidR="009E0666" w:rsidP="009E0666" w:rsidRDefault="00D536B3" w14:paraId="0660F761" w14:textId="77777777">
      <w:pPr>
        <w:pStyle w:val="ListParagraph"/>
        <w:numPr>
          <w:ilvl w:val="0"/>
          <w:numId w:val="19"/>
        </w:numPr>
        <w:spacing w:before="100" w:beforeAutospacing="1" w:after="100" w:afterAutospacing="1"/>
        <w:contextualSpacing w:val="0"/>
        <w:rPr>
          <w:color w:val="000000"/>
        </w:rPr>
      </w:pPr>
      <w:r>
        <w:rPr>
          <w:color w:val="000000"/>
        </w:rPr>
        <w:t>Spanish: 4,778</w:t>
      </w:r>
    </w:p>
    <w:p w:rsidRPr="00261ABD" w:rsidR="00261ABD" w:rsidP="00261ABD" w:rsidRDefault="00261ABD" w14:paraId="50FEF744" w14:textId="77777777">
      <w:pPr>
        <w:rPr>
          <w:color w:val="000000"/>
        </w:rPr>
      </w:pPr>
      <w:r w:rsidRPr="00261ABD">
        <w:rPr>
          <w:color w:val="000000"/>
        </w:rPr>
        <w:t>The 2022 NIH Medline Plus Magazine Readership Survey will be promoted through the following communication channels:</w:t>
      </w:r>
    </w:p>
    <w:p w:rsidRPr="00261ABD" w:rsidR="00261ABD" w:rsidP="00261ABD" w:rsidRDefault="00261ABD" w14:paraId="6060B9ED" w14:textId="77777777">
      <w:pPr>
        <w:numPr>
          <w:ilvl w:val="0"/>
          <w:numId w:val="20"/>
        </w:numPr>
        <w:rPr>
          <w:color w:val="000000"/>
        </w:rPr>
      </w:pPr>
      <w:r w:rsidRPr="00261ABD">
        <w:rPr>
          <w:color w:val="000000"/>
        </w:rPr>
        <w:t>Via a pop-up banner on the NIH MedlinePlus Magazine home page</w:t>
      </w:r>
    </w:p>
    <w:p w:rsidRPr="00261ABD" w:rsidR="00261ABD" w:rsidP="00261ABD" w:rsidRDefault="00261ABD" w14:paraId="79C9AB36" w14:textId="77777777">
      <w:pPr>
        <w:numPr>
          <w:ilvl w:val="0"/>
          <w:numId w:val="20"/>
        </w:numPr>
        <w:rPr>
          <w:color w:val="000000"/>
        </w:rPr>
      </w:pPr>
      <w:r w:rsidRPr="00261ABD">
        <w:rPr>
          <w:color w:val="000000"/>
        </w:rPr>
        <w:t>Via GovDelivery to current email subscribers</w:t>
      </w:r>
    </w:p>
    <w:p w:rsidRPr="00261ABD" w:rsidR="00261ABD" w:rsidP="00261ABD" w:rsidRDefault="00261ABD" w14:paraId="48BA28F5" w14:textId="77777777">
      <w:pPr>
        <w:numPr>
          <w:ilvl w:val="0"/>
          <w:numId w:val="20"/>
        </w:numPr>
        <w:rPr>
          <w:color w:val="000000"/>
        </w:rPr>
      </w:pPr>
      <w:r w:rsidRPr="00261ABD">
        <w:rPr>
          <w:color w:val="000000"/>
        </w:rPr>
        <w:t xml:space="preserve">Via NLM social media channels, </w:t>
      </w:r>
      <w:proofErr w:type="gramStart"/>
      <w:r w:rsidRPr="00261ABD">
        <w:rPr>
          <w:color w:val="000000"/>
        </w:rPr>
        <w:t>Facebook</w:t>
      </w:r>
      <w:proofErr w:type="gramEnd"/>
      <w:r w:rsidRPr="00261ABD">
        <w:rPr>
          <w:color w:val="000000"/>
        </w:rPr>
        <w:t xml:space="preserve"> and Twitter</w:t>
      </w:r>
    </w:p>
    <w:p w:rsidR="00261ABD" w:rsidP="00DD416A" w:rsidRDefault="00261ABD" w14:paraId="28C2200A" w14:textId="77777777">
      <w:pPr>
        <w:numPr>
          <w:ilvl w:val="0"/>
          <w:numId w:val="20"/>
        </w:numPr>
        <w:rPr>
          <w:color w:val="000000"/>
        </w:rPr>
      </w:pPr>
      <w:r w:rsidRPr="00261ABD">
        <w:rPr>
          <w:color w:val="000000"/>
        </w:rPr>
        <w:t>Via NIH IC social media promotion</w:t>
      </w:r>
    </w:p>
    <w:p w:rsidRPr="00DD416A" w:rsidR="00DD416A" w:rsidP="00DD416A" w:rsidRDefault="00DD416A" w14:paraId="3A53DBBA" w14:textId="77777777">
      <w:pPr>
        <w:ind w:left="720"/>
        <w:rPr>
          <w:color w:val="000000"/>
        </w:rPr>
      </w:pPr>
    </w:p>
    <w:p w:rsidR="00A403BB" w:rsidP="00A403BB" w:rsidRDefault="00A403BB" w14:paraId="3E213BF9" w14:textId="77777777">
      <w:pPr>
        <w:rPr>
          <w:b/>
        </w:rPr>
      </w:pPr>
      <w:r>
        <w:rPr>
          <w:b/>
        </w:rPr>
        <w:t>Administration of the Instrument</w:t>
      </w:r>
    </w:p>
    <w:p w:rsidR="00A403BB" w:rsidP="00A403BB" w:rsidRDefault="001B0AAA" w14:paraId="1C068B49" w14:textId="77777777">
      <w:pPr>
        <w:pStyle w:val="ListParagraph"/>
        <w:numPr>
          <w:ilvl w:val="0"/>
          <w:numId w:val="17"/>
        </w:numPr>
      </w:pPr>
      <w:r>
        <w:t>H</w:t>
      </w:r>
      <w:r w:rsidR="00A403BB">
        <w:t>ow will you collect the information? (Check all that apply)</w:t>
      </w:r>
    </w:p>
    <w:p w:rsidR="001B0AAA" w:rsidP="001B0AAA" w:rsidRDefault="00A403BB" w14:paraId="421A4277" w14:textId="77777777">
      <w:pPr>
        <w:ind w:left="720"/>
      </w:pPr>
      <w:r>
        <w:t>[</w:t>
      </w:r>
      <w:r w:rsidR="009E0666">
        <w:t>X</w:t>
      </w:r>
      <w:r>
        <w:t>] Web-based</w:t>
      </w:r>
      <w:r w:rsidR="001B0AAA">
        <w:t xml:space="preserve"> or other forms of </w:t>
      </w:r>
      <w:r w:rsidR="009E0666">
        <w:t>s</w:t>
      </w:r>
      <w:r w:rsidR="001B0AAA">
        <w:t xml:space="preserve">ocial </w:t>
      </w:r>
      <w:r w:rsidR="009E0666">
        <w:t>m</w:t>
      </w:r>
      <w:r w:rsidR="001B0AAA">
        <w:t xml:space="preserve">edia </w:t>
      </w:r>
    </w:p>
    <w:p w:rsidR="001B0AAA" w:rsidP="001B0AAA" w:rsidRDefault="00A403BB" w14:paraId="0474ABFF"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AF7042C"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4167B7B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300D0DC"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15963CA" w14:textId="77777777">
      <w:pPr>
        <w:pStyle w:val="ListParagraph"/>
        <w:numPr>
          <w:ilvl w:val="0"/>
          <w:numId w:val="17"/>
        </w:numPr>
      </w:pPr>
      <w:r>
        <w:t xml:space="preserve">Will interviewers or facilitators be used?  </w:t>
      </w:r>
      <w:proofErr w:type="gramStart"/>
      <w:r>
        <w:t>[  ]</w:t>
      </w:r>
      <w:proofErr w:type="gramEnd"/>
      <w:r>
        <w:t xml:space="preserve"> Yes [</w:t>
      </w:r>
      <w:r w:rsidR="009E0666">
        <w:t>X</w:t>
      </w:r>
      <w:r>
        <w:t>] No</w:t>
      </w:r>
    </w:p>
    <w:p w:rsidR="00F24CFC" w:rsidP="00F24CFC" w:rsidRDefault="00F24CFC" w14:paraId="2D55E405" w14:textId="77777777">
      <w:pPr>
        <w:pStyle w:val="ListParagraph"/>
        <w:ind w:left="360"/>
      </w:pPr>
      <w:r>
        <w:t xml:space="preserve"> </w:t>
      </w:r>
    </w:p>
    <w:p w:rsidR="0024521E" w:rsidP="0024521E" w:rsidRDefault="00F24CFC" w14:paraId="53197107" w14:textId="37A0D162">
      <w:pPr>
        <w:rPr>
          <w:b/>
        </w:rPr>
      </w:pPr>
      <w:r w:rsidRPr="00F24CFC">
        <w:rPr>
          <w:b/>
        </w:rPr>
        <w:t>.</w:t>
      </w:r>
    </w:p>
    <w:p w:rsidR="003932D1" w:rsidP="0024521E" w:rsidRDefault="003932D1" w14:paraId="1211F1E3" w14:textId="77777777">
      <w:pPr>
        <w:rPr>
          <w:b/>
        </w:rPr>
      </w:pPr>
    </w:p>
    <w:p w:rsidRPr="00F24CFC" w:rsidR="003932D1" w:rsidP="0024521E" w:rsidRDefault="003932D1" w14:paraId="55794ADC" w14:textId="77777777">
      <w:pPr>
        <w:rPr>
          <w:b/>
        </w:rPr>
      </w:pPr>
    </w:p>
    <w:p w:rsidR="005E714A" w:rsidP="00F24CFC" w:rsidRDefault="005E714A" w14:paraId="2939B902"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4AD4" w14:textId="77777777" w:rsidR="007621EF" w:rsidRDefault="007621EF">
      <w:r>
        <w:separator/>
      </w:r>
    </w:p>
  </w:endnote>
  <w:endnote w:type="continuationSeparator" w:id="0">
    <w:p w14:paraId="6F0F32A3" w14:textId="77777777" w:rsidR="007621EF" w:rsidRDefault="0076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6F7C"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3989" w14:textId="77777777" w:rsidR="007621EF" w:rsidRDefault="007621EF">
      <w:r>
        <w:separator/>
      </w:r>
    </w:p>
  </w:footnote>
  <w:footnote w:type="continuationSeparator" w:id="0">
    <w:p w14:paraId="5A841555" w14:textId="77777777" w:rsidR="007621EF" w:rsidRDefault="0076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519D7"/>
    <w:multiLevelType w:val="hybridMultilevel"/>
    <w:tmpl w:val="178A5F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554E2"/>
    <w:multiLevelType w:val="multilevel"/>
    <w:tmpl w:val="3208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5"/>
  </w:num>
  <w:num w:numId="18">
    <w:abstractNumId w:val="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131"/>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1F0592"/>
    <w:rsid w:val="00237B48"/>
    <w:rsid w:val="0024521E"/>
    <w:rsid w:val="00261ABD"/>
    <w:rsid w:val="00263C3D"/>
    <w:rsid w:val="00274D0B"/>
    <w:rsid w:val="00280BB9"/>
    <w:rsid w:val="00284110"/>
    <w:rsid w:val="00293D5C"/>
    <w:rsid w:val="002B3C95"/>
    <w:rsid w:val="002D0B92"/>
    <w:rsid w:val="002D26E2"/>
    <w:rsid w:val="002D74B4"/>
    <w:rsid w:val="002E48F5"/>
    <w:rsid w:val="002E580D"/>
    <w:rsid w:val="00302B1E"/>
    <w:rsid w:val="00352E5D"/>
    <w:rsid w:val="003668D6"/>
    <w:rsid w:val="003932D1"/>
    <w:rsid w:val="003A0BF0"/>
    <w:rsid w:val="003A7074"/>
    <w:rsid w:val="003D0B70"/>
    <w:rsid w:val="003D5BBE"/>
    <w:rsid w:val="003E3C61"/>
    <w:rsid w:val="003E6284"/>
    <w:rsid w:val="003F1C5B"/>
    <w:rsid w:val="00410967"/>
    <w:rsid w:val="00420E91"/>
    <w:rsid w:val="00431EB1"/>
    <w:rsid w:val="00434E33"/>
    <w:rsid w:val="00441434"/>
    <w:rsid w:val="0045264C"/>
    <w:rsid w:val="004876EC"/>
    <w:rsid w:val="004A44F3"/>
    <w:rsid w:val="004B1EB8"/>
    <w:rsid w:val="004D6E14"/>
    <w:rsid w:val="005009B0"/>
    <w:rsid w:val="00517106"/>
    <w:rsid w:val="00531403"/>
    <w:rsid w:val="005A1006"/>
    <w:rsid w:val="005A1580"/>
    <w:rsid w:val="005A772A"/>
    <w:rsid w:val="005E55EA"/>
    <w:rsid w:val="005E714A"/>
    <w:rsid w:val="006140A0"/>
    <w:rsid w:val="00631F52"/>
    <w:rsid w:val="00633F74"/>
    <w:rsid w:val="00636329"/>
    <w:rsid w:val="00636621"/>
    <w:rsid w:val="00642B49"/>
    <w:rsid w:val="00673EAE"/>
    <w:rsid w:val="006832D9"/>
    <w:rsid w:val="00686301"/>
    <w:rsid w:val="0069403B"/>
    <w:rsid w:val="006A4DD7"/>
    <w:rsid w:val="006B7B34"/>
    <w:rsid w:val="006D5F47"/>
    <w:rsid w:val="006E78DD"/>
    <w:rsid w:val="006F3DDE"/>
    <w:rsid w:val="00704678"/>
    <w:rsid w:val="0071397A"/>
    <w:rsid w:val="0072637B"/>
    <w:rsid w:val="007425E7"/>
    <w:rsid w:val="007621EF"/>
    <w:rsid w:val="00766D95"/>
    <w:rsid w:val="0077703F"/>
    <w:rsid w:val="00802607"/>
    <w:rsid w:val="00805445"/>
    <w:rsid w:val="008101A5"/>
    <w:rsid w:val="00811789"/>
    <w:rsid w:val="00822664"/>
    <w:rsid w:val="00843796"/>
    <w:rsid w:val="0085116A"/>
    <w:rsid w:val="008670DC"/>
    <w:rsid w:val="00871047"/>
    <w:rsid w:val="00887320"/>
    <w:rsid w:val="00895229"/>
    <w:rsid w:val="008C2765"/>
    <w:rsid w:val="008F0203"/>
    <w:rsid w:val="008F50D4"/>
    <w:rsid w:val="009239AA"/>
    <w:rsid w:val="00935ADA"/>
    <w:rsid w:val="00946B6C"/>
    <w:rsid w:val="00955A71"/>
    <w:rsid w:val="0096108F"/>
    <w:rsid w:val="009A036B"/>
    <w:rsid w:val="009A50D3"/>
    <w:rsid w:val="009B34D2"/>
    <w:rsid w:val="009C13B9"/>
    <w:rsid w:val="009D01A2"/>
    <w:rsid w:val="009D195B"/>
    <w:rsid w:val="009E0666"/>
    <w:rsid w:val="009F5923"/>
    <w:rsid w:val="00A0790E"/>
    <w:rsid w:val="00A12455"/>
    <w:rsid w:val="00A229F1"/>
    <w:rsid w:val="00A403BB"/>
    <w:rsid w:val="00A50F89"/>
    <w:rsid w:val="00A63C9E"/>
    <w:rsid w:val="00A674DF"/>
    <w:rsid w:val="00A827ED"/>
    <w:rsid w:val="00A83AA6"/>
    <w:rsid w:val="00AC60E8"/>
    <w:rsid w:val="00AD04D8"/>
    <w:rsid w:val="00AE14B1"/>
    <w:rsid w:val="00AE1809"/>
    <w:rsid w:val="00B80D76"/>
    <w:rsid w:val="00BA2105"/>
    <w:rsid w:val="00BA7E06"/>
    <w:rsid w:val="00BB43B5"/>
    <w:rsid w:val="00BB6219"/>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CE033F"/>
    <w:rsid w:val="00D15B64"/>
    <w:rsid w:val="00D235D7"/>
    <w:rsid w:val="00D24698"/>
    <w:rsid w:val="00D32BE5"/>
    <w:rsid w:val="00D504C2"/>
    <w:rsid w:val="00D51FB8"/>
    <w:rsid w:val="00D536B3"/>
    <w:rsid w:val="00D6383F"/>
    <w:rsid w:val="00D662C8"/>
    <w:rsid w:val="00D80A98"/>
    <w:rsid w:val="00DB4A58"/>
    <w:rsid w:val="00DB59D0"/>
    <w:rsid w:val="00DC2F2F"/>
    <w:rsid w:val="00DC33D3"/>
    <w:rsid w:val="00DC64D3"/>
    <w:rsid w:val="00DD416A"/>
    <w:rsid w:val="00E26329"/>
    <w:rsid w:val="00E40B50"/>
    <w:rsid w:val="00E46541"/>
    <w:rsid w:val="00E50293"/>
    <w:rsid w:val="00E65FFC"/>
    <w:rsid w:val="00E670E2"/>
    <w:rsid w:val="00E80951"/>
    <w:rsid w:val="00E83C64"/>
    <w:rsid w:val="00E86CC6"/>
    <w:rsid w:val="00E878CF"/>
    <w:rsid w:val="00EB56B3"/>
    <w:rsid w:val="00ED6492"/>
    <w:rsid w:val="00EF1171"/>
    <w:rsid w:val="00EF2095"/>
    <w:rsid w:val="00F06866"/>
    <w:rsid w:val="00F136F1"/>
    <w:rsid w:val="00F15956"/>
    <w:rsid w:val="00F24CFC"/>
    <w:rsid w:val="00F3170F"/>
    <w:rsid w:val="00F3186B"/>
    <w:rsid w:val="00F67BFA"/>
    <w:rsid w:val="00F94D8C"/>
    <w:rsid w:val="00F976B0"/>
    <w:rsid w:val="00FA0952"/>
    <w:rsid w:val="00FA6DE7"/>
    <w:rsid w:val="00FC0A8E"/>
    <w:rsid w:val="00FD62B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459B8"/>
  <w15:chartTrackingRefBased/>
  <w15:docId w15:val="{C85315C6-E39E-4F2E-ADC1-FCB66425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AD04D8"/>
    <w:rPr>
      <w:color w:val="605E5C"/>
      <w:shd w:val="clear" w:color="auto" w:fill="E1DFDD"/>
    </w:rPr>
  </w:style>
  <w:style w:type="character" w:styleId="FollowedHyperlink">
    <w:name w:val="FollowedHyperlink"/>
    <w:basedOn w:val="DefaultParagraphFont"/>
    <w:rsid w:val="00E87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83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2Tables/html/DCB.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F74E-C7D8-D940-95F2-5867DB7D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5174</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2022-08-11T21:06:00Z</dcterms:created>
  <dcterms:modified xsi:type="dcterms:W3CDTF">2022-08-11T21:06:00Z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