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A375F" w14:paraId="2D7E7D6D" w14:textId="12304A5F">
      <w:pPr>
        <w:rPr>
          <w:b/>
          <w:bCs/>
        </w:rPr>
      </w:pPr>
      <w:r>
        <w:rPr>
          <w:b/>
          <w:bCs/>
        </w:rPr>
        <w:t>2022-23 Principles of Pediatric Clinical Pharmacology Lecture Series</w:t>
      </w:r>
    </w:p>
    <w:p w:rsidR="003E4438" w:rsidRPr="009239AA" w:rsidP="003E4438" w14:paraId="054ED69E" w14:textId="77777777">
      <w:pPr>
        <w:rPr>
          <w:b/>
        </w:rPr>
      </w:pPr>
      <w:r>
        <w:rPr>
          <w:b/>
          <w:bCs/>
        </w:rPr>
        <w:t xml:space="preserve">Email Solicitation for </w:t>
      </w:r>
      <w:r w:rsidRPr="003E4438">
        <w:rPr>
          <w:b/>
          <w:bCs/>
        </w:rPr>
        <w:t>Principles of Pediatric Clinical Pharmacology and Therapeutics Course – Webinar Feedback Satisfaction Questionnaire (NICHD)</w:t>
      </w:r>
    </w:p>
    <w:p w:rsidR="00FA375F" w14:paraId="21FAB5EE" w14:textId="3C8C235F">
      <w:pPr>
        <w:rPr>
          <w:b/>
          <w:bCs/>
        </w:rPr>
      </w:pPr>
    </w:p>
    <w:p w:rsidR="00FA375F" w14:paraId="3189F2B8" w14:textId="77777777">
      <w:pPr>
        <w:rPr>
          <w:b/>
          <w:bCs/>
        </w:rPr>
      </w:pPr>
    </w:p>
    <w:p w:rsidR="003E4438" w14:paraId="4E0C62A7" w14:textId="540EE5A3">
      <w:pPr>
        <w:rPr>
          <w:color w:val="FF0000"/>
        </w:rPr>
      </w:pPr>
      <w:r>
        <w:rPr>
          <w:color w:val="FF0000"/>
        </w:rPr>
        <w:t>Please note that the lecture title highlighted below in yellow will be updated weekly to reflect each webinar.</w:t>
      </w:r>
    </w:p>
    <w:p w:rsidR="003E4438" w14:paraId="6F609BB3" w14:textId="77777777">
      <w:pPr>
        <w:rPr>
          <w:color w:val="FF0000"/>
        </w:rPr>
      </w:pPr>
    </w:p>
    <w:p w:rsidR="003E4438" w:rsidRPr="003E4438" w14:paraId="4BCC0752" w14:textId="66581B48">
      <w:pPr>
        <w:rPr>
          <w:color w:val="FF0000"/>
        </w:rPr>
      </w:pPr>
      <w:r>
        <w:rPr>
          <w:color w:val="FF0000"/>
        </w:rPr>
        <w:t xml:space="preserve">Please note that the Course Materials page highlighted below in green is not yet active as there are no speaker slides to share at this time. </w:t>
      </w:r>
      <w:r w:rsidR="008849F4">
        <w:rPr>
          <w:color w:val="FF0000"/>
        </w:rPr>
        <w:t>The link</w:t>
      </w:r>
      <w:r>
        <w:rPr>
          <w:color w:val="FF0000"/>
        </w:rPr>
        <w:t xml:space="preserve"> will take participants to </w:t>
      </w:r>
      <w:r w:rsidR="008849F4">
        <w:rPr>
          <w:color w:val="FF0000"/>
        </w:rPr>
        <w:t>a page with speaker slides and recordings.</w:t>
      </w:r>
    </w:p>
    <w:p w:rsidR="00FA375F" w14:paraId="26EBF6A1" w14:textId="77777777"/>
    <w:p w:rsidR="00FA375F" w14:paraId="3FD75F19" w14:textId="77777777"/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360"/>
      </w:tblGrid>
      <w:tr w14:paraId="5C2472E6" w14:textId="77777777" w:rsidTr="00F05300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F05300" w14:paraId="3C45C85D" w14:textId="77777777">
            <w:pPr>
              <w:spacing w:line="300" w:lineRule="atLeast"/>
              <w:rPr>
                <w:rFonts w:ascii="Arial" w:hAnsi="Arial" w:cs="Arial"/>
                <w:color w:val="273F69"/>
                <w:sz w:val="24"/>
                <w:szCs w:val="24"/>
              </w:rPr>
            </w:pPr>
            <w:r>
              <w:rPr>
                <w:rFonts w:ascii="Arial" w:hAnsi="Arial" w:cs="Arial"/>
                <w:color w:val="041532"/>
                <w:sz w:val="24"/>
                <w:szCs w:val="24"/>
              </w:rPr>
              <w:t>Good afternoon,</w:t>
            </w:r>
          </w:p>
        </w:tc>
      </w:tr>
      <w:tr w14:paraId="4F61EBA4" w14:textId="77777777" w:rsidTr="00F05300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F05300" w14:paraId="7D58B698" w14:textId="77777777">
            <w:pPr>
              <w:spacing w:line="300" w:lineRule="atLeast"/>
              <w:rPr>
                <w:rFonts w:ascii="Arial" w:hAnsi="Arial" w:cs="Arial"/>
                <w:color w:val="273F69"/>
                <w:sz w:val="24"/>
                <w:szCs w:val="24"/>
              </w:rPr>
            </w:pPr>
            <w:r>
              <w:rPr>
                <w:rFonts w:ascii="Arial" w:hAnsi="Arial" w:cs="Arial"/>
                <w:color w:val="041532"/>
                <w:sz w:val="24"/>
                <w:szCs w:val="24"/>
              </w:rPr>
              <w:t xml:space="preserve">Thank you for participating in the lecture </w:t>
            </w:r>
            <w:r w:rsidRPr="00FA375F">
              <w:rPr>
                <w:rFonts w:ascii="Arial" w:hAnsi="Arial" w:cs="Arial"/>
                <w:b/>
                <w:bCs/>
                <w:color w:val="041532"/>
                <w:sz w:val="24"/>
                <w:szCs w:val="24"/>
                <w:highlight w:val="yellow"/>
              </w:rPr>
              <w:t>Developing your Elevator Speeches and Negotiation Tips and Insights</w:t>
            </w:r>
            <w:r>
              <w:rPr>
                <w:rFonts w:ascii="Arial" w:hAnsi="Arial" w:cs="Arial"/>
                <w:color w:val="041532"/>
                <w:sz w:val="24"/>
                <w:szCs w:val="24"/>
              </w:rPr>
              <w:t xml:space="preserve">. </w:t>
            </w:r>
          </w:p>
        </w:tc>
      </w:tr>
      <w:tr w14:paraId="78807F55" w14:textId="77777777" w:rsidTr="00F05300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F05300" w14:paraId="7A99C752" w14:textId="77777777">
            <w:pPr>
              <w:spacing w:line="300" w:lineRule="atLeast"/>
              <w:rPr>
                <w:rFonts w:ascii="Arial" w:hAnsi="Arial" w:cs="Arial"/>
                <w:color w:val="273F69"/>
                <w:sz w:val="24"/>
                <w:szCs w:val="24"/>
              </w:rPr>
            </w:pPr>
            <w:r>
              <w:rPr>
                <w:rFonts w:ascii="Arial" w:hAnsi="Arial" w:cs="Arial"/>
                <w:color w:val="041532"/>
                <w:sz w:val="24"/>
                <w:szCs w:val="24"/>
              </w:rPr>
              <w:t>Please take a few minutes to provide us with your thoughts on today's session so we may enhance future Webinars. We value your feedback. Simply click the link below to begin.</w:t>
            </w:r>
          </w:p>
        </w:tc>
      </w:tr>
      <w:tr w14:paraId="02D343B9" w14:textId="77777777" w:rsidTr="00F05300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F05300" w14:paraId="74A1EB78" w14:textId="77777777">
            <w:pPr>
              <w:spacing w:line="300" w:lineRule="atLeast"/>
              <w:rPr>
                <w:rFonts w:ascii="Arial" w:hAnsi="Arial" w:cs="Arial"/>
                <w:color w:val="273F69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Click here to respond</w:t>
              </w:r>
            </w:hyperlink>
            <w:r>
              <w:rPr>
                <w:rFonts w:ascii="Arial" w:hAnsi="Arial" w:cs="Arial"/>
                <w:color w:val="041532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41532"/>
                <w:sz w:val="24"/>
                <w:szCs w:val="24"/>
              </w:rPr>
              <w:br/>
            </w:r>
            <w:r w:rsidRPr="003E4438">
              <w:rPr>
                <w:rFonts w:ascii="Arial" w:hAnsi="Arial" w:cs="Arial"/>
                <w:color w:val="041532"/>
                <w:sz w:val="24"/>
                <w:szCs w:val="24"/>
                <w:highlight w:val="green"/>
                <w:u w:val="single"/>
              </w:rPr>
              <w:t>Course Materials Page:</w:t>
            </w:r>
            <w:r w:rsidRPr="003E4438">
              <w:rPr>
                <w:rFonts w:ascii="Arial" w:hAnsi="Arial" w:cs="Arial"/>
                <w:color w:val="041532"/>
                <w:sz w:val="24"/>
                <w:szCs w:val="24"/>
                <w:highlight w:val="green"/>
              </w:rPr>
              <w:t xml:space="preserve"> When speaker permission is given, slides and webinar recordings can be found </w:t>
            </w:r>
            <w:hyperlink r:id="rId8" w:tgtFrame="_blank" w:history="1">
              <w:r w:rsidRPr="003E4438">
                <w:rPr>
                  <w:rStyle w:val="Hyperlink"/>
                  <w:rFonts w:ascii="Arial" w:hAnsi="Arial" w:cs="Arial"/>
                  <w:sz w:val="24"/>
                  <w:szCs w:val="24"/>
                  <w:highlight w:val="green"/>
                </w:rPr>
                <w:t>here</w:t>
              </w:r>
            </w:hyperlink>
            <w:r w:rsidRPr="003E4438">
              <w:rPr>
                <w:rFonts w:ascii="Arial" w:hAnsi="Arial" w:cs="Arial"/>
                <w:color w:val="041532"/>
                <w:sz w:val="24"/>
                <w:szCs w:val="24"/>
                <w:highlight w:val="green"/>
              </w:rPr>
              <w:t>.</w:t>
            </w:r>
          </w:p>
        </w:tc>
      </w:tr>
      <w:tr w14:paraId="254EEC99" w14:textId="77777777" w:rsidTr="00F05300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F05300" w14:paraId="7DD9BDAF" w14:textId="77777777">
            <w:pPr>
              <w:spacing w:line="300" w:lineRule="atLeast"/>
              <w:rPr>
                <w:rFonts w:ascii="Arial" w:hAnsi="Arial" w:cs="Arial"/>
                <w:color w:val="273F69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41532"/>
                <w:sz w:val="24"/>
                <w:szCs w:val="24"/>
              </w:rPr>
              <w:t xml:space="preserve">Please note that CME credits must be claimed within 8 hours of the webinar. If you have a time-sensitive question regarding CME credits, please send email to </w:t>
            </w:r>
            <w:hyperlink r:id="rId9" w:tgtFrame="_blank" w:history="1">
              <w:r>
                <w:rPr>
                  <w:rStyle w:val="Hyperlink"/>
                  <w:rFonts w:ascii="Arial" w:hAnsi="Arial" w:cs="Arial"/>
                  <w:i/>
                  <w:iCs/>
                  <w:color w:val="273F69"/>
                  <w:sz w:val="24"/>
                  <w:szCs w:val="24"/>
                </w:rPr>
                <w:t>pharmcourse@infinityconferences.com</w:t>
              </w:r>
            </w:hyperlink>
            <w:r>
              <w:rPr>
                <w:rFonts w:ascii="Arial" w:hAnsi="Arial" w:cs="Arial"/>
                <w:i/>
                <w:iCs/>
                <w:color w:val="041532"/>
                <w:sz w:val="24"/>
                <w:szCs w:val="24"/>
              </w:rPr>
              <w:t>.</w:t>
            </w:r>
          </w:p>
        </w:tc>
      </w:tr>
      <w:tr w14:paraId="65280DF6" w14:textId="77777777" w:rsidTr="00F05300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F05300" w14:paraId="5FD76419" w14:textId="77777777">
            <w:pPr>
              <w:spacing w:line="300" w:lineRule="atLeast"/>
              <w:rPr>
                <w:rFonts w:ascii="Arial" w:hAnsi="Arial" w:cs="Arial"/>
                <w:color w:val="273F69"/>
                <w:sz w:val="24"/>
                <w:szCs w:val="24"/>
              </w:rPr>
            </w:pPr>
            <w:r>
              <w:rPr>
                <w:rFonts w:ascii="Arial" w:hAnsi="Arial" w:cs="Arial"/>
                <w:color w:val="041532"/>
                <w:sz w:val="24"/>
                <w:szCs w:val="24"/>
              </w:rPr>
              <w:t>Thank you for your time!</w:t>
            </w:r>
          </w:p>
        </w:tc>
      </w:tr>
      <w:tr w14:paraId="137837F5" w14:textId="77777777" w:rsidTr="00F05300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F05300" w14:paraId="4CAC9260" w14:textId="77777777">
            <w:pPr>
              <w:spacing w:line="300" w:lineRule="atLeast"/>
              <w:rPr>
                <w:rFonts w:ascii="Arial" w:hAnsi="Arial" w:cs="Arial"/>
                <w:color w:val="273F69"/>
                <w:sz w:val="24"/>
                <w:szCs w:val="24"/>
              </w:rPr>
            </w:pPr>
            <w:r>
              <w:rPr>
                <w:rFonts w:ascii="Arial" w:hAnsi="Arial" w:cs="Arial"/>
                <w:color w:val="041532"/>
                <w:sz w:val="24"/>
                <w:szCs w:val="24"/>
              </w:rPr>
              <w:t>Sincerely,</w:t>
            </w:r>
          </w:p>
        </w:tc>
      </w:tr>
      <w:tr w14:paraId="64D2B118" w14:textId="77777777" w:rsidTr="00F05300"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tcMar>
              <w:top w:w="90" w:type="dxa"/>
              <w:left w:w="0" w:type="dxa"/>
              <w:bottom w:w="90" w:type="dxa"/>
              <w:right w:w="0" w:type="dxa"/>
            </w:tcMar>
            <w:vAlign w:val="center"/>
            <w:hideMark/>
          </w:tcPr>
          <w:p w:rsidR="00F05300" w14:paraId="060765A2" w14:textId="77777777">
            <w:pPr>
              <w:spacing w:line="300" w:lineRule="atLeast"/>
              <w:rPr>
                <w:rFonts w:ascii="Arial" w:hAnsi="Arial" w:cs="Arial"/>
                <w:color w:val="273F69"/>
                <w:sz w:val="24"/>
                <w:szCs w:val="24"/>
              </w:rPr>
            </w:pPr>
            <w:r>
              <w:rPr>
                <w:rFonts w:ascii="Arial" w:hAnsi="Arial" w:cs="Arial"/>
                <w:color w:val="041532"/>
                <w:sz w:val="24"/>
                <w:szCs w:val="24"/>
              </w:rPr>
              <w:t>BPCA Program</w:t>
            </w:r>
          </w:p>
        </w:tc>
      </w:tr>
    </w:tbl>
    <w:p w:rsidR="007E7B31" w14:paraId="138F77F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00"/>
    <w:rsid w:val="003E4438"/>
    <w:rsid w:val="00616312"/>
    <w:rsid w:val="007E7B31"/>
    <w:rsid w:val="008849F4"/>
    <w:rsid w:val="009239AA"/>
    <w:rsid w:val="009331A3"/>
    <w:rsid w:val="00F05300"/>
    <w:rsid w:val="00FA37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0CC62B"/>
  <w15:chartTrackingRefBased/>
  <w15:docId w15:val="{AFBC52F3-8C20-48F5-8680-BC649054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300"/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3E4438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300"/>
    <w:rPr>
      <w:color w:val="0099E0"/>
      <w:u w:val="single"/>
    </w:rPr>
  </w:style>
  <w:style w:type="character" w:customStyle="1" w:styleId="Heading2Char">
    <w:name w:val="Heading 2 Char"/>
    <w:basedOn w:val="DefaultParagraphFont"/>
    <w:link w:val="Heading2"/>
    <w:rsid w:val="003E443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849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infinityconferences.org/survey/b83f9e4d-7d09-49a4-b14d-7d7bf07c7999/questions?i=56203526-4a67-4002-94a5-389a68a183cf&amp;ae=invitee&amp;e=9dbb1cdf-b535-416e-a945-50e9fac4db07&amp;c=975FB372-BC69-442E-88BF-D5DEE1DA7D07&amp;l=en-US" TargetMode="External" /><Relationship Id="rId8" Type="http://schemas.openxmlformats.org/officeDocument/2006/relationships/hyperlink" Target="https://cvent.me/mEklWm" TargetMode="External" /><Relationship Id="rId9" Type="http://schemas.openxmlformats.org/officeDocument/2006/relationships/hyperlink" Target="mailto:pharmcourse@infinityconference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2" ma:contentTypeDescription="Create a new document." ma:contentTypeScope="" ma:versionID="b96ce44bb629f7d32bc2b1f8c8e8a9e8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2f12551301b05d3e87a85d4258381b1b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41BA63-3B6A-4F49-B51E-691393ECB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615E8E-D0B7-4053-80F7-19249E247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D1466-653C-41A4-95D9-60F7525CB7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Stein</dc:creator>
  <cp:lastModifiedBy>Abdelmouti, Tawanda (NIH/OD) [E]</cp:lastModifiedBy>
  <cp:revision>2</cp:revision>
  <dcterms:created xsi:type="dcterms:W3CDTF">2022-09-20T21:39:00Z</dcterms:created>
  <dcterms:modified xsi:type="dcterms:W3CDTF">2022-09-20T21:39:00Z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0x010100E784B9CC49B786428001CD4420FBBE9B</vt:lpwstr>
  </property>
</Properties>
</file>