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293" w:rsidRPr="008C1219" w:rsidP="008C1219" w14:paraId="25CB1762" w14:textId="7FA9ED1B">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3002B6">
        <w:t>6</w:t>
      </w:r>
      <w:r w:rsidR="0085116A">
        <w:t>/202</w:t>
      </w:r>
      <w:r w:rsidR="003002B6">
        <w:t>4</w:t>
      </w:r>
      <w:r>
        <w:rPr>
          <w:sz w:val="28"/>
        </w:rPr>
        <w:t>)</w:t>
      </w:r>
      <w:r w:rsidR="00DE7ADE">
        <w:rPr>
          <w:b w:val="0"/>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005E714A">
        <w:t xml:space="preserve"> </w:t>
      </w:r>
    </w:p>
    <w:p w:rsidR="005E714A" w14:paraId="7B4CDE4B" w14:textId="77777777"/>
    <w:p w:rsidR="0036361A" w14:paraId="4EF8DF54" w14:textId="77777777">
      <w:pPr>
        <w:rPr>
          <w:b/>
        </w:rPr>
      </w:pPr>
      <w:r w:rsidRPr="00434E33">
        <w:rPr>
          <w:b/>
        </w:rPr>
        <w:t>TITLE OF INFORMATION COLLECTION</w:t>
      </w:r>
      <w:r>
        <w:rPr>
          <w:b/>
        </w:rPr>
        <w:t>:</w:t>
      </w:r>
    </w:p>
    <w:p w:rsidR="00A50BAA" w:rsidP="00A50BAA" w14:paraId="3C9C6B90" w14:textId="77777777">
      <w:bookmarkStart w:id="0" w:name="OLE_LINK1"/>
      <w:r>
        <w:t>Principles of Pediatric Clinical Pharmacology and Therapeutics Course – Continuing Medical Education Customer Satisfaction Questionnaire (NICHD)</w:t>
      </w:r>
      <w:bookmarkEnd w:id="0"/>
    </w:p>
    <w:p w:rsidR="008C1219" w14:paraId="57D7492E" w14:textId="77777777">
      <w:pPr>
        <w:rPr>
          <w:b/>
        </w:rPr>
      </w:pPr>
    </w:p>
    <w:p w:rsidR="001B0AAA" w14:paraId="791F49B1" w14:textId="77777777">
      <w:r>
        <w:rPr>
          <w:b/>
        </w:rPr>
        <w:t>PURPOSE</w:t>
      </w:r>
      <w:r w:rsidRPr="009239AA">
        <w:rPr>
          <w:b/>
        </w:rPr>
        <w:t>:</w:t>
      </w:r>
      <w:r w:rsidRPr="009239AA" w:rsidR="00C14CC4">
        <w:rPr>
          <w:b/>
        </w:rPr>
        <w:t xml:space="preserve">  </w:t>
      </w:r>
    </w:p>
    <w:p w:rsidR="00C8488C" w:rsidP="00A50BAA" w14:paraId="405AFF4A" w14:textId="77777777">
      <w:pPr>
        <w:rPr>
          <w:b/>
        </w:rPr>
      </w:pPr>
      <w:bookmarkStart w:id="1" w:name="OLE_LINK2"/>
      <w:r w:rsidRPr="0012207B">
        <w:t xml:space="preserve">NICHD conducts weekly virtual webinars for its T32 Pediatric Pharmacology Training Program.  This course repeats annually. </w:t>
      </w:r>
      <w:r>
        <w:t xml:space="preserve">Starting with the 2020-21 course, Continuing Medical Education (CME) credits were offered to all participants. The CME certification was awarded through a collaboration with Johns Hopkins University (Hopkins). In order to continue offering CME credits in future years, Hopkins requires that an assessment be sent to all participants who attended one or more lectures in the course and claimed CME credit for those lectures. </w:t>
      </w:r>
      <w:bookmarkEnd w:id="1"/>
      <w:r>
        <w:t>Hopkins also requires that a second Outcomes survey be sent to physicians who give permission via the current survey, but in past years no permission was received and the Outcomes survey was not sent. If 10 or more participants give permission to receive the Outcomes survey, O</w:t>
      </w:r>
      <w:r w:rsidRPr="00914E1C">
        <w:t xml:space="preserve">MB approval will be sought </w:t>
      </w:r>
      <w:r>
        <w:t>prior to sending</w:t>
      </w:r>
      <w:r w:rsidRPr="00914E1C">
        <w:t>.</w:t>
      </w:r>
      <w:r>
        <w:t xml:space="preserve"> Customer feedback will be collected through Survey Monkey for the 2022-23 course that ended May 17, 2023.</w:t>
      </w:r>
    </w:p>
    <w:p w:rsidR="00C8488C" w:rsidP="00434E33" w14:paraId="7E009A9D" w14:textId="77777777">
      <w:pPr>
        <w:pStyle w:val="Header"/>
        <w:tabs>
          <w:tab w:val="clear" w:pos="4320"/>
          <w:tab w:val="clear" w:pos="8640"/>
        </w:tabs>
        <w:rPr>
          <w:b/>
        </w:rPr>
      </w:pPr>
    </w:p>
    <w:p w:rsidR="00434E33" w:rsidRPr="00434E33" w:rsidP="00434E33" w14:paraId="783865FA" w14:textId="77777777">
      <w:pPr>
        <w:pStyle w:val="Header"/>
        <w:tabs>
          <w:tab w:val="clear" w:pos="4320"/>
          <w:tab w:val="clear" w:pos="8640"/>
        </w:tabs>
        <w:rPr>
          <w:i/>
          <w:snapToGrid/>
        </w:rPr>
      </w:pPr>
      <w:r w:rsidRPr="00434E33">
        <w:rPr>
          <w:b/>
        </w:rPr>
        <w:t>DESCRIPTION OF RESPONDENTS</w:t>
      </w:r>
      <w:r>
        <w:t xml:space="preserve">: </w:t>
      </w:r>
    </w:p>
    <w:p w:rsidR="00A50BAA" w:rsidP="00A50BAA" w14:paraId="26AD2C38" w14:textId="77777777">
      <w:r w:rsidRPr="0012207B">
        <w:t xml:space="preserve">The questionnaire </w:t>
      </w:r>
      <w:r>
        <w:t>will be sent</w:t>
      </w:r>
      <w:r w:rsidRPr="0012207B">
        <w:t xml:space="preserve"> to all </w:t>
      </w:r>
      <w:r>
        <w:t>participants of one or more</w:t>
      </w:r>
      <w:r w:rsidRPr="0012207B">
        <w:t xml:space="preserve"> webinar</w:t>
      </w:r>
      <w:r>
        <w:t>s</w:t>
      </w:r>
      <w:r w:rsidRPr="0012207B">
        <w:t xml:space="preserve"> in the Principles of Pediatric Clinical Pharmacology </w:t>
      </w:r>
      <w:r>
        <w:t xml:space="preserve">and Therapeutics </w:t>
      </w:r>
      <w:r w:rsidRPr="0012207B">
        <w:t>Lecture Series</w:t>
      </w:r>
      <w:r>
        <w:t xml:space="preserve"> who claimed CME credit for those lectures</w:t>
      </w:r>
      <w:r w:rsidRPr="0012207B">
        <w:t>. Participants are T32 trainees, researchers, public health officials</w:t>
      </w:r>
      <w:r>
        <w:t>,</w:t>
      </w:r>
      <w:r w:rsidRPr="0012207B">
        <w:t xml:space="preserve"> and others with an interest in pediatric clinical pharmacology. </w:t>
      </w:r>
      <w:r>
        <w:t>79 unique participants claimed CME credit in the course.</w:t>
      </w:r>
    </w:p>
    <w:p w:rsidR="00E26329" w14:paraId="5C8638AF" w14:textId="77777777">
      <w:pPr>
        <w:rPr>
          <w:b/>
        </w:rPr>
      </w:pPr>
    </w:p>
    <w:p w:rsidR="00F06866" w:rsidRPr="00F06866" w14:paraId="24397156" w14:textId="77777777">
      <w:pPr>
        <w:rPr>
          <w:b/>
        </w:rPr>
      </w:pPr>
      <w:bookmarkStart w:id="2" w:name="_Hlk116978705"/>
      <w:r>
        <w:rPr>
          <w:b/>
        </w:rPr>
        <w:t>TYPE OF COLLECTION:</w:t>
      </w:r>
      <w:r w:rsidRPr="00F06866">
        <w:t xml:space="preserve"> (Check one)</w:t>
      </w:r>
    </w:p>
    <w:p w:rsidR="00441434" w:rsidRPr="00434E33" w:rsidP="0096108F" w14:paraId="4ABDA8F6" w14:textId="77777777">
      <w:pPr>
        <w:pStyle w:val="BodyTextIndent"/>
        <w:tabs>
          <w:tab w:val="left" w:pos="360"/>
        </w:tabs>
        <w:ind w:left="0"/>
        <w:rPr>
          <w:bCs/>
          <w:sz w:val="16"/>
          <w:szCs w:val="16"/>
        </w:rPr>
      </w:pPr>
    </w:p>
    <w:p w:rsidR="00F06866" w:rsidRPr="00F06866" w:rsidP="0096108F" w14:paraId="6907D276"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A50BAA">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6C21E4B0"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B4F1C63"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bookmarkEnd w:id="2"/>
      <w:r>
        <w:rPr>
          <w:bCs/>
          <w:sz w:val="24"/>
        </w:rPr>
        <w:t>:</w:t>
      </w:r>
      <w:r w:rsidRPr="00F06866">
        <w:rPr>
          <w:bCs/>
          <w:sz w:val="24"/>
          <w:u w:val="single"/>
        </w:rPr>
        <w:t xml:space="preserve"> ______________________</w:t>
      </w:r>
      <w:r>
        <w:rPr>
          <w:bCs/>
          <w:sz w:val="24"/>
          <w:u w:val="single"/>
        </w:rPr>
        <w:tab/>
      </w:r>
      <w:r>
        <w:rPr>
          <w:bCs/>
          <w:sz w:val="24"/>
          <w:u w:val="single"/>
        </w:rPr>
        <w:tab/>
      </w:r>
    </w:p>
    <w:p w:rsidR="003C27F6" w:rsidP="003C27F6" w14:paraId="5500E3E5" w14:textId="77777777">
      <w:pPr>
        <w:rPr>
          <w:b/>
        </w:rPr>
      </w:pPr>
    </w:p>
    <w:p w:rsidR="003C27F6" w:rsidP="003C27F6" w14:paraId="1E33B19E" w14:textId="77777777">
      <w:pPr>
        <w:rPr>
          <w:b/>
        </w:rPr>
      </w:pPr>
    </w:p>
    <w:p w:rsidR="003C27F6" w:rsidRPr="00F06866" w:rsidP="003C27F6" w14:paraId="4031C3AE" w14:textId="77777777">
      <w:pPr>
        <w:rPr>
          <w:b/>
        </w:rPr>
      </w:pPr>
      <w:r>
        <w:rPr>
          <w:b/>
        </w:rPr>
        <w:t>FREQUENCY OF REPORTING:</w:t>
      </w:r>
      <w:r w:rsidRPr="00F06866">
        <w:t xml:space="preserve"> (Check one)</w:t>
      </w:r>
    </w:p>
    <w:p w:rsidR="003C27F6" w:rsidRPr="00434E33" w:rsidP="003C27F6" w14:paraId="502CB66A" w14:textId="77777777">
      <w:pPr>
        <w:pStyle w:val="BodyTextIndent"/>
        <w:tabs>
          <w:tab w:val="left" w:pos="360"/>
        </w:tabs>
        <w:ind w:left="0"/>
        <w:rPr>
          <w:bCs/>
          <w:sz w:val="16"/>
          <w:szCs w:val="16"/>
        </w:rPr>
      </w:pPr>
    </w:p>
    <w:p w:rsidR="003C27F6" w:rsidRPr="00F06866" w:rsidP="003C27F6" w14:paraId="5E5ECFEE" w14:textId="77777777">
      <w:pPr>
        <w:pStyle w:val="BodyTextIndent"/>
        <w:tabs>
          <w:tab w:val="left" w:pos="360"/>
        </w:tabs>
        <w:ind w:left="0"/>
        <w:rPr>
          <w:bCs/>
          <w:sz w:val="24"/>
        </w:rPr>
      </w:pPr>
      <w:r w:rsidRPr="00F06866">
        <w:rPr>
          <w:bCs/>
          <w:sz w:val="24"/>
        </w:rPr>
        <w:t>[</w:t>
      </w:r>
      <w:r w:rsidR="00A50BAA">
        <w:rPr>
          <w:bCs/>
          <w:sz w:val="24"/>
        </w:rPr>
        <w:t>X</w:t>
      </w:r>
      <w:r w:rsidRPr="00F06866">
        <w:rPr>
          <w:bCs/>
          <w:sz w:val="24"/>
        </w:rPr>
        <w:t xml:space="preserve">] </w:t>
      </w:r>
      <w:r>
        <w:rPr>
          <w:bCs/>
          <w:sz w:val="24"/>
        </w:rPr>
        <w:t xml:space="preserve">Once </w:t>
      </w:r>
      <w:r w:rsidRPr="00F06866">
        <w:rPr>
          <w:bCs/>
          <w:sz w:val="24"/>
        </w:rPr>
        <w:tab/>
        <w:t xml:space="preserve">[ ] </w:t>
      </w:r>
      <w:r>
        <w:rPr>
          <w:bCs/>
          <w:sz w:val="24"/>
        </w:rPr>
        <w:t>Quarterly</w:t>
      </w:r>
      <w:r w:rsidRPr="00F06866">
        <w:rPr>
          <w:bCs/>
          <w:sz w:val="24"/>
        </w:rPr>
        <w:t xml:space="preserve">  </w:t>
      </w:r>
    </w:p>
    <w:p w:rsidR="003C27F6" w:rsidP="003C27F6" w14:paraId="765BCBFA" w14:textId="77777777">
      <w:pPr>
        <w:pStyle w:val="BodyTextIndent"/>
        <w:tabs>
          <w:tab w:val="left" w:pos="360"/>
        </w:tabs>
        <w:ind w:left="0"/>
        <w:rPr>
          <w:bCs/>
          <w:sz w:val="24"/>
        </w:rPr>
      </w:pPr>
      <w:r w:rsidRPr="00F06866">
        <w:rPr>
          <w:bCs/>
          <w:sz w:val="24"/>
        </w:rPr>
        <w:t xml:space="preserve">[ ] </w:t>
      </w:r>
      <w:r>
        <w:rPr>
          <w:bCs/>
          <w:sz w:val="24"/>
        </w:rPr>
        <w:t>Monthly</w:t>
      </w:r>
      <w:r>
        <w:rPr>
          <w:bCs/>
          <w:sz w:val="24"/>
        </w:rPr>
        <w:tab/>
        <w:t xml:space="preserve">[ ] On Occasion </w:t>
      </w:r>
    </w:p>
    <w:p w:rsidR="003C27F6" w:rsidP="003C27F6" w14:paraId="3AAD32F4" w14:textId="77777777">
      <w:pPr>
        <w:pStyle w:val="Header"/>
        <w:tabs>
          <w:tab w:val="clear" w:pos="4320"/>
          <w:tab w:val="clear" w:pos="8640"/>
        </w:tabs>
      </w:pPr>
      <w:r>
        <w:rPr>
          <w:bCs/>
        </w:rPr>
        <w:t xml:space="preserve">[ ] Annually    </w:t>
      </w:r>
      <w:r w:rsidRPr="00F06866">
        <w:rPr>
          <w:bCs/>
        </w:rPr>
        <w:t>[</w:t>
      </w:r>
      <w:r>
        <w:rPr>
          <w:bCs/>
        </w:rPr>
        <w:t xml:space="preserve"> </w:t>
      </w:r>
      <w:r w:rsidRPr="00F06866">
        <w:rPr>
          <w:bCs/>
        </w:rPr>
        <w:t>]</w:t>
      </w:r>
      <w:r>
        <w:rPr>
          <w:bCs/>
        </w:rPr>
        <w:t xml:space="preserve"> Other ___________________</w:t>
      </w:r>
    </w:p>
    <w:p w:rsidR="003C27F6" w14:paraId="21887B4E" w14:textId="77777777">
      <w:pPr>
        <w:pStyle w:val="Header"/>
        <w:tabs>
          <w:tab w:val="clear" w:pos="4320"/>
          <w:tab w:val="clear" w:pos="8640"/>
        </w:tabs>
      </w:pPr>
    </w:p>
    <w:p w:rsidR="003C27F6" w14:paraId="0BEF2FD0" w14:textId="77777777">
      <w:pPr>
        <w:pStyle w:val="Header"/>
        <w:tabs>
          <w:tab w:val="clear" w:pos="4320"/>
          <w:tab w:val="clear" w:pos="8640"/>
        </w:tabs>
      </w:pPr>
    </w:p>
    <w:p w:rsidR="003C27F6" w14:paraId="7209F52F" w14:textId="77777777">
      <w:pPr>
        <w:pStyle w:val="Header"/>
        <w:tabs>
          <w:tab w:val="clear" w:pos="4320"/>
          <w:tab w:val="clear" w:pos="8640"/>
        </w:tabs>
      </w:pPr>
    </w:p>
    <w:p w:rsidR="00CA2650" w14:paraId="030FF5E1" w14:textId="77777777">
      <w:pPr>
        <w:rPr>
          <w:b/>
        </w:rPr>
      </w:pPr>
      <w:r>
        <w:rPr>
          <w:b/>
        </w:rPr>
        <w:t>C</w:t>
      </w:r>
      <w:r w:rsidR="009C13B9">
        <w:rPr>
          <w:b/>
        </w:rPr>
        <w:t>ERTIFICATION:</w:t>
      </w:r>
    </w:p>
    <w:p w:rsidR="00441434" w14:paraId="16585823" w14:textId="77777777">
      <w:pPr>
        <w:rPr>
          <w:sz w:val="16"/>
          <w:szCs w:val="16"/>
        </w:rPr>
      </w:pPr>
    </w:p>
    <w:p w:rsidR="008101A5" w:rsidRPr="009C13B9" w:rsidP="008101A5" w14:paraId="5639EE50" w14:textId="77777777">
      <w:r>
        <w:t xml:space="preserve">I certify the following to be true: </w:t>
      </w:r>
    </w:p>
    <w:p w:rsidR="008101A5" w:rsidP="008101A5" w14:paraId="07785B5E" w14:textId="77777777">
      <w:pPr>
        <w:pStyle w:val="ListParagraph"/>
        <w:numPr>
          <w:ilvl w:val="0"/>
          <w:numId w:val="14"/>
        </w:numPr>
      </w:pPr>
      <w:r>
        <w:t>The collection is voluntary.</w:t>
      </w:r>
      <w:r w:rsidRPr="00C14CC4">
        <w:t xml:space="preserve"> </w:t>
      </w:r>
    </w:p>
    <w:p w:rsidR="008101A5" w:rsidP="008101A5" w14:paraId="2F55D2A2"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0A7E4E2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2A88AB3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581E668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14F3BC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77B6189C" w14:textId="77777777"/>
    <w:p w:rsidR="009C13B9" w:rsidP="009C13B9" w14:paraId="1FDB2384" w14:textId="77777777">
      <w:r>
        <w:t>Name:_</w:t>
      </w:r>
      <w:r w:rsidRPr="00A50BAA" w:rsidR="00A50BAA">
        <w:rPr>
          <w:u w:val="single"/>
        </w:rPr>
        <w:t xml:space="preserve"> </w:t>
      </w:r>
      <w:r w:rsidR="00A50BAA">
        <w:rPr>
          <w:u w:val="single"/>
        </w:rPr>
        <w:t>Lesly-Anne Samedy-Bates, Pharm.D., Ph.D., Program Officer, Obstetric and Pediatric Pharmacology and Therapeutics Branch, NICHD</w:t>
      </w:r>
    </w:p>
    <w:p w:rsidR="009C13B9" w:rsidP="009C13B9" w14:paraId="34EE48C2" w14:textId="77777777">
      <w:pPr>
        <w:pStyle w:val="ListParagraph"/>
        <w:ind w:left="360"/>
      </w:pPr>
    </w:p>
    <w:p w:rsidR="009C13B9" w:rsidP="009C13B9" w14:paraId="346A1118" w14:textId="77777777">
      <w:r>
        <w:t>To assist review, please provide answers to the following question:</w:t>
      </w:r>
    </w:p>
    <w:p w:rsidR="009C13B9" w:rsidP="009C13B9" w14:paraId="641E9EA8" w14:textId="77777777">
      <w:pPr>
        <w:pStyle w:val="ListParagraph"/>
        <w:ind w:left="360"/>
      </w:pPr>
    </w:p>
    <w:p w:rsidR="009C13B9" w:rsidRPr="00C86E91" w:rsidP="00C86E91" w14:paraId="05B9842D" w14:textId="77777777">
      <w:pPr>
        <w:rPr>
          <w:b/>
        </w:rPr>
      </w:pPr>
      <w:r w:rsidRPr="00C86E91">
        <w:rPr>
          <w:b/>
        </w:rPr>
        <w:t>Personally Identifiable Information:</w:t>
      </w:r>
    </w:p>
    <w:p w:rsidR="00C86E91" w:rsidP="00C86E91" w14:paraId="39107077" w14:textId="77777777">
      <w:pPr>
        <w:pStyle w:val="ListParagraph"/>
        <w:numPr>
          <w:ilvl w:val="0"/>
          <w:numId w:val="18"/>
        </w:numPr>
      </w:pPr>
      <w:r>
        <w:t>Is</w:t>
      </w:r>
      <w:r w:rsidR="00237B48">
        <w:t xml:space="preserve"> personally identifiable information (PII) collected</w:t>
      </w:r>
      <w:r>
        <w:t xml:space="preserve">?  </w:t>
      </w:r>
      <w:r w:rsidR="009239AA">
        <w:t>[</w:t>
      </w:r>
      <w:r w:rsidR="00A50BAA">
        <w:t>X</w:t>
      </w:r>
      <w:r w:rsidR="009239AA">
        <w:t xml:space="preserve">] Yes  [ ]  No </w:t>
      </w:r>
    </w:p>
    <w:p w:rsidR="00C86E91" w:rsidP="00C86E91" w14:paraId="46B74EF6"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A50BAA">
        <w:t>X</w:t>
      </w:r>
      <w:r w:rsidR="009239AA">
        <w:t>] Yes [  ] No</w:t>
      </w:r>
      <w:r>
        <w:t xml:space="preserve">   </w:t>
      </w:r>
    </w:p>
    <w:p w:rsidR="00C86E91" w:rsidP="00C86E91" w14:paraId="015D0305" w14:textId="77777777">
      <w:pPr>
        <w:pStyle w:val="ListParagraph"/>
        <w:numPr>
          <w:ilvl w:val="0"/>
          <w:numId w:val="18"/>
        </w:numPr>
      </w:pPr>
      <w:r>
        <w:t>If Applicable, has a System or Records Notice been published?  [</w:t>
      </w:r>
      <w:r w:rsidR="00A50BAA">
        <w:t>X</w:t>
      </w:r>
      <w:r>
        <w:t>] Yes  [  ] No</w:t>
      </w:r>
    </w:p>
    <w:p w:rsidR="0036361A" w:rsidP="008A379E" w14:paraId="68498D83" w14:textId="77777777">
      <w:pPr>
        <w:pStyle w:val="ColorfulList-Accent11"/>
        <w:numPr>
          <w:ilvl w:val="0"/>
          <w:numId w:val="18"/>
        </w:numPr>
      </w:pPr>
      <w:bookmarkStart w:id="3" w:name="OLE_LINK3"/>
      <w:r>
        <w:t>Privacy Act Systems of Records Title</w:t>
      </w:r>
      <w:bookmarkEnd w:id="3"/>
      <w:r>
        <w:t xml:space="preserve">: </w:t>
      </w:r>
      <w:r w:rsidRPr="00B40F4F" w:rsidR="00B40F4F">
        <w:rPr>
          <w:u w:val="single"/>
        </w:rPr>
        <w:t xml:space="preserve"> 09-25-0156 Records of Participants in Programs and Respondents in Surveys Used to Evaluate Programs of the Public Health Service</w:t>
      </w:r>
      <w:r w:rsidR="00B40F4F">
        <w:rPr>
          <w:u w:val="single"/>
        </w:rPr>
        <w:t xml:space="preserve">  </w:t>
      </w:r>
      <w:r>
        <w:t xml:space="preserve"> FR Citation </w:t>
      </w:r>
      <w:r w:rsidR="00B40F4F">
        <w:t xml:space="preserve"> </w:t>
      </w:r>
      <w:r w:rsidRPr="00B40F4F" w:rsidR="00B40F4F">
        <w:rPr>
          <w:u w:val="single"/>
        </w:rPr>
        <w:t xml:space="preserve">83 </w:t>
      </w:r>
      <w:r w:rsidRPr="00B40F4F">
        <w:rPr>
          <w:u w:val="single"/>
        </w:rPr>
        <w:t>FR</w:t>
      </w:r>
      <w:r w:rsidRPr="00B40F4F" w:rsidR="00B40F4F">
        <w:rPr>
          <w:u w:val="single"/>
        </w:rPr>
        <w:t xml:space="preserve"> 6591</w:t>
      </w:r>
    </w:p>
    <w:p w:rsidR="00633F74" w:rsidP="00633F74" w14:paraId="68C6CB5B" w14:textId="77777777">
      <w:pPr>
        <w:pStyle w:val="ListParagraph"/>
        <w:ind w:left="360"/>
      </w:pPr>
    </w:p>
    <w:p w:rsidR="00C86E91" w:rsidRPr="00C86E91" w:rsidP="00C86E91" w14:paraId="2D745586" w14:textId="77777777">
      <w:pPr>
        <w:pStyle w:val="ListParagraph"/>
        <w:ind w:left="0"/>
        <w:rPr>
          <w:b/>
        </w:rPr>
      </w:pPr>
      <w:r>
        <w:rPr>
          <w:b/>
        </w:rPr>
        <w:t>Gifts or Payments</w:t>
      </w:r>
      <w:r>
        <w:rPr>
          <w:b/>
        </w:rPr>
        <w:t>:</w:t>
      </w:r>
    </w:p>
    <w:p w:rsidR="00C86E91" w:rsidP="00C86E91" w14:paraId="6301CBFF" w14:textId="77777777">
      <w:r>
        <w:t>Is an incentive (e.g., money or reimbursement of expenses, token of appreciation) provided to participants?  [  ] Yes [</w:t>
      </w:r>
      <w:r w:rsidR="00B40F4F">
        <w:t>X</w:t>
      </w:r>
      <w:r>
        <w:t xml:space="preserve">] No  </w:t>
      </w:r>
    </w:p>
    <w:p w:rsidR="004D6E14" w14:paraId="56FBD911" w14:textId="77777777">
      <w:pPr>
        <w:rPr>
          <w:b/>
        </w:rPr>
      </w:pPr>
    </w:p>
    <w:p w:rsidR="00F24CFC" w14:paraId="16C33C71" w14:textId="77777777">
      <w:pPr>
        <w:rPr>
          <w:b/>
        </w:rPr>
      </w:pPr>
    </w:p>
    <w:p w:rsidR="005E714A" w:rsidRPr="00BC676D" w:rsidP="00C86E91" w14:paraId="5AF277AB"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22E5B2F0"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2AB68486" w14:textId="77777777" w:rsidTr="004F7E74">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2D2F2E" w:rsidRPr="002D26E2" w:rsidP="004F7E74" w14:paraId="610E7687" w14:textId="77777777">
            <w:pPr>
              <w:rPr>
                <w:b/>
              </w:rPr>
            </w:pPr>
            <w:r w:rsidRPr="002D26E2">
              <w:rPr>
                <w:b/>
              </w:rPr>
              <w:t xml:space="preserve">Category of Respondent </w:t>
            </w:r>
          </w:p>
        </w:tc>
        <w:tc>
          <w:tcPr>
            <w:tcW w:w="1980" w:type="dxa"/>
          </w:tcPr>
          <w:p w:rsidR="002D2F2E" w:rsidRPr="002D26E2" w:rsidP="004F7E74" w14:paraId="02E614FA" w14:textId="77777777">
            <w:pPr>
              <w:rPr>
                <w:b/>
              </w:rPr>
            </w:pPr>
            <w:r w:rsidRPr="002D26E2">
              <w:rPr>
                <w:b/>
              </w:rPr>
              <w:t>No. of Respondents</w:t>
            </w:r>
          </w:p>
        </w:tc>
        <w:tc>
          <w:tcPr>
            <w:tcW w:w="2070" w:type="dxa"/>
          </w:tcPr>
          <w:p w:rsidR="002D2F2E" w:rsidRPr="002D26E2" w:rsidP="004F7E74" w14:paraId="4FBF7EEE" w14:textId="77777777">
            <w:pPr>
              <w:rPr>
                <w:b/>
              </w:rPr>
            </w:pPr>
            <w:r>
              <w:rPr>
                <w:b/>
              </w:rPr>
              <w:t xml:space="preserve">No. of Responses per Respondent </w:t>
            </w:r>
          </w:p>
        </w:tc>
        <w:tc>
          <w:tcPr>
            <w:tcW w:w="1620" w:type="dxa"/>
          </w:tcPr>
          <w:p w:rsidR="002D2F2E" w:rsidP="004F7E74" w14:paraId="00754E94" w14:textId="77777777">
            <w:pPr>
              <w:rPr>
                <w:b/>
              </w:rPr>
            </w:pPr>
            <w:r>
              <w:rPr>
                <w:b/>
              </w:rPr>
              <w:t xml:space="preserve">Time per </w:t>
            </w:r>
          </w:p>
          <w:p w:rsidR="002D2F2E" w:rsidP="004F7E74" w14:paraId="2F542D47" w14:textId="77777777">
            <w:pPr>
              <w:rPr>
                <w:b/>
              </w:rPr>
            </w:pPr>
            <w:r>
              <w:rPr>
                <w:b/>
              </w:rPr>
              <w:t xml:space="preserve">Response </w:t>
            </w:r>
          </w:p>
          <w:p w:rsidR="002D2F2E" w:rsidRPr="002D26E2" w:rsidP="004F7E74" w14:paraId="4B59C865" w14:textId="77777777">
            <w:pPr>
              <w:rPr>
                <w:b/>
              </w:rPr>
            </w:pPr>
            <w:r>
              <w:rPr>
                <w:b/>
              </w:rPr>
              <w:t xml:space="preserve">(in hours) </w:t>
            </w:r>
          </w:p>
        </w:tc>
        <w:tc>
          <w:tcPr>
            <w:tcW w:w="1530" w:type="dxa"/>
          </w:tcPr>
          <w:p w:rsidR="002D2F2E" w:rsidP="004F7E74" w14:paraId="4E69BA99" w14:textId="77777777">
            <w:pPr>
              <w:rPr>
                <w:b/>
              </w:rPr>
            </w:pPr>
            <w:r>
              <w:rPr>
                <w:b/>
              </w:rPr>
              <w:t xml:space="preserve">Total </w:t>
            </w:r>
            <w:r w:rsidRPr="002D26E2">
              <w:rPr>
                <w:b/>
              </w:rPr>
              <w:t>Burden</w:t>
            </w:r>
          </w:p>
          <w:p w:rsidR="002D2F2E" w:rsidRPr="002D26E2" w:rsidP="004F7E74" w14:paraId="492850F4" w14:textId="77777777">
            <w:pPr>
              <w:rPr>
                <w:b/>
              </w:rPr>
            </w:pPr>
            <w:r>
              <w:rPr>
                <w:b/>
              </w:rPr>
              <w:t xml:space="preserve">Hours </w:t>
            </w:r>
          </w:p>
        </w:tc>
      </w:tr>
      <w:tr w14:paraId="2DEC82F5" w14:textId="77777777" w:rsidTr="004F7E74">
        <w:tblPrEx>
          <w:tblW w:w="9720" w:type="dxa"/>
          <w:tblInd w:w="18" w:type="dxa"/>
          <w:tblLayout w:type="fixed"/>
          <w:tblLook w:val="01E0"/>
        </w:tblPrEx>
        <w:trPr>
          <w:trHeight w:val="260"/>
        </w:trPr>
        <w:tc>
          <w:tcPr>
            <w:tcW w:w="2520" w:type="dxa"/>
          </w:tcPr>
          <w:p w:rsidR="002D2F2E" w:rsidP="004F7E74" w14:paraId="3706C107" w14:textId="77777777">
            <w:r>
              <w:t>Individuals</w:t>
            </w:r>
          </w:p>
        </w:tc>
        <w:tc>
          <w:tcPr>
            <w:tcW w:w="1980" w:type="dxa"/>
          </w:tcPr>
          <w:p w:rsidR="002D2F2E" w:rsidP="004F7E74" w14:paraId="1927F3CD" w14:textId="77777777">
            <w:r>
              <w:t>22</w:t>
            </w:r>
          </w:p>
        </w:tc>
        <w:tc>
          <w:tcPr>
            <w:tcW w:w="2070" w:type="dxa"/>
          </w:tcPr>
          <w:p w:rsidR="002D2F2E" w:rsidP="004F7E74" w14:paraId="2CC0B32D" w14:textId="77777777">
            <w:r>
              <w:t>1</w:t>
            </w:r>
          </w:p>
        </w:tc>
        <w:tc>
          <w:tcPr>
            <w:tcW w:w="1620" w:type="dxa"/>
          </w:tcPr>
          <w:p w:rsidR="002D2F2E" w:rsidP="004F7E74" w14:paraId="77A6858F" w14:textId="77777777">
            <w:r>
              <w:t>5/60</w:t>
            </w:r>
          </w:p>
        </w:tc>
        <w:tc>
          <w:tcPr>
            <w:tcW w:w="1530" w:type="dxa"/>
          </w:tcPr>
          <w:p w:rsidR="002D2F2E" w:rsidP="004F7E74" w14:paraId="4A5EB257" w14:textId="77777777">
            <w:r>
              <w:t>2</w:t>
            </w:r>
          </w:p>
        </w:tc>
      </w:tr>
      <w:tr w14:paraId="5FBA62C1" w14:textId="77777777" w:rsidTr="004F7E74">
        <w:tblPrEx>
          <w:tblW w:w="9720" w:type="dxa"/>
          <w:tblInd w:w="18" w:type="dxa"/>
          <w:tblLayout w:type="fixed"/>
          <w:tblLook w:val="01E0"/>
        </w:tblPrEx>
        <w:trPr>
          <w:trHeight w:val="274"/>
        </w:trPr>
        <w:tc>
          <w:tcPr>
            <w:tcW w:w="2520" w:type="dxa"/>
          </w:tcPr>
          <w:p w:rsidR="002D2F2E" w:rsidP="004F7E74" w14:paraId="6568B231" w14:textId="77777777"/>
        </w:tc>
        <w:tc>
          <w:tcPr>
            <w:tcW w:w="1980" w:type="dxa"/>
            <w:tcBorders>
              <w:bottom w:val="single" w:sz="4" w:space="0" w:color="auto"/>
            </w:tcBorders>
          </w:tcPr>
          <w:p w:rsidR="002D2F2E" w:rsidP="004F7E74" w14:paraId="7C88DCAF" w14:textId="77777777"/>
        </w:tc>
        <w:tc>
          <w:tcPr>
            <w:tcW w:w="2070" w:type="dxa"/>
          </w:tcPr>
          <w:p w:rsidR="002D2F2E" w:rsidP="004F7E74" w14:paraId="29873271" w14:textId="77777777"/>
        </w:tc>
        <w:tc>
          <w:tcPr>
            <w:tcW w:w="1620" w:type="dxa"/>
          </w:tcPr>
          <w:p w:rsidR="002D2F2E" w:rsidP="004F7E74" w14:paraId="42A6DF1C" w14:textId="77777777"/>
        </w:tc>
        <w:tc>
          <w:tcPr>
            <w:tcW w:w="1530" w:type="dxa"/>
          </w:tcPr>
          <w:p w:rsidR="002D2F2E" w:rsidP="004F7E74" w14:paraId="16CA08A5" w14:textId="77777777"/>
        </w:tc>
      </w:tr>
      <w:tr w14:paraId="2373CB10" w14:textId="77777777" w:rsidTr="004F7E74">
        <w:tblPrEx>
          <w:tblW w:w="9720" w:type="dxa"/>
          <w:tblInd w:w="18" w:type="dxa"/>
          <w:tblLayout w:type="fixed"/>
          <w:tblLook w:val="01E0"/>
        </w:tblPrEx>
        <w:trPr>
          <w:trHeight w:val="289"/>
        </w:trPr>
        <w:tc>
          <w:tcPr>
            <w:tcW w:w="2520" w:type="dxa"/>
          </w:tcPr>
          <w:p w:rsidR="002D2F2E" w:rsidRPr="002D26E2" w:rsidP="004F7E74" w14:paraId="0C6B6487" w14:textId="77777777">
            <w:pPr>
              <w:rPr>
                <w:b/>
              </w:rPr>
            </w:pPr>
            <w:r w:rsidRPr="002D26E2">
              <w:rPr>
                <w:b/>
              </w:rPr>
              <w:t>Totals</w:t>
            </w:r>
          </w:p>
        </w:tc>
        <w:tc>
          <w:tcPr>
            <w:tcW w:w="1980" w:type="dxa"/>
            <w:tcBorders>
              <w:bottom w:val="single" w:sz="4" w:space="0" w:color="auto"/>
            </w:tcBorders>
            <w:shd w:val="clear" w:color="auto" w:fill="808080"/>
          </w:tcPr>
          <w:p w:rsidR="002D2F2E" w:rsidRPr="002D26E2" w:rsidP="004F7E74" w14:paraId="0EFC3D6D" w14:textId="77777777">
            <w:pPr>
              <w:rPr>
                <w:b/>
              </w:rPr>
            </w:pPr>
          </w:p>
        </w:tc>
        <w:tc>
          <w:tcPr>
            <w:tcW w:w="2070" w:type="dxa"/>
          </w:tcPr>
          <w:p w:rsidR="002D2F2E" w:rsidP="004F7E74" w14:paraId="7DCD42C7" w14:textId="77777777">
            <w:r>
              <w:t>22</w:t>
            </w:r>
          </w:p>
        </w:tc>
        <w:tc>
          <w:tcPr>
            <w:tcW w:w="1620" w:type="dxa"/>
            <w:shd w:val="clear" w:color="auto" w:fill="808080"/>
          </w:tcPr>
          <w:p w:rsidR="002D2F2E" w:rsidP="004F7E74" w14:paraId="4687D7BC" w14:textId="77777777"/>
        </w:tc>
        <w:tc>
          <w:tcPr>
            <w:tcW w:w="1530" w:type="dxa"/>
          </w:tcPr>
          <w:p w:rsidR="002D2F2E" w:rsidRPr="002D26E2" w:rsidP="004F7E74" w14:paraId="646C227C" w14:textId="77777777">
            <w:pPr>
              <w:rPr>
                <w:b/>
              </w:rPr>
            </w:pPr>
            <w:r>
              <w:rPr>
                <w:b/>
              </w:rPr>
              <w:t>2</w:t>
            </w:r>
          </w:p>
        </w:tc>
      </w:tr>
    </w:tbl>
    <w:p w:rsidR="002D2F2E" w:rsidP="002D2F2E" w14:paraId="2C41DA63" w14:textId="77777777"/>
    <w:p w:rsidR="002D2F2E" w:rsidRPr="009A036B" w:rsidP="002D2F2E" w14:paraId="7563DCEE"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6C3BA035" w14:textId="77777777" w:rsidTr="004F7E74">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2D2F2E" w:rsidRPr="009A036B" w:rsidP="004F7E74" w14:paraId="131F95EB" w14:textId="77777777">
            <w:pPr>
              <w:rPr>
                <w:b/>
              </w:rPr>
            </w:pPr>
            <w:r w:rsidRPr="009A036B">
              <w:rPr>
                <w:b/>
              </w:rPr>
              <w:t xml:space="preserve"> </w:t>
            </w:r>
            <w:r w:rsidRPr="00CA2010">
              <w:rPr>
                <w:b/>
              </w:rPr>
              <w:t>Category of Respondent</w:t>
            </w:r>
          </w:p>
          <w:p w:rsidR="002D2F2E" w:rsidRPr="009A036B" w:rsidP="004F7E74" w14:paraId="3DC70ACC" w14:textId="77777777">
            <w:pPr>
              <w:rPr>
                <w:b/>
              </w:rPr>
            </w:pPr>
          </w:p>
        </w:tc>
        <w:tc>
          <w:tcPr>
            <w:tcW w:w="2250" w:type="dxa"/>
          </w:tcPr>
          <w:p w:rsidR="002D2F2E" w:rsidRPr="00CA2010" w:rsidP="004F7E74" w14:paraId="17F61751" w14:textId="77777777">
            <w:pPr>
              <w:rPr>
                <w:b/>
              </w:rPr>
            </w:pPr>
            <w:r w:rsidRPr="00CA2010">
              <w:rPr>
                <w:b/>
              </w:rPr>
              <w:t>Total Burden</w:t>
            </w:r>
          </w:p>
          <w:p w:rsidR="002D2F2E" w:rsidRPr="009A036B" w:rsidP="004F7E74" w14:paraId="56E944C8" w14:textId="77777777">
            <w:pPr>
              <w:rPr>
                <w:b/>
              </w:rPr>
            </w:pPr>
            <w:r w:rsidRPr="00CA2010">
              <w:rPr>
                <w:b/>
              </w:rPr>
              <w:t>Hours</w:t>
            </w:r>
          </w:p>
        </w:tc>
        <w:tc>
          <w:tcPr>
            <w:tcW w:w="2520" w:type="dxa"/>
          </w:tcPr>
          <w:p w:rsidR="002D2F2E" w:rsidRPr="009A036B" w:rsidP="004F7E74" w14:paraId="4E009C00" w14:textId="77777777">
            <w:pPr>
              <w:rPr>
                <w:b/>
              </w:rPr>
            </w:pPr>
            <w:r>
              <w:rPr>
                <w:b/>
              </w:rPr>
              <w:t>Hourly Wage Rate*</w:t>
            </w:r>
          </w:p>
        </w:tc>
        <w:tc>
          <w:tcPr>
            <w:tcW w:w="1620" w:type="dxa"/>
          </w:tcPr>
          <w:p w:rsidR="002D2F2E" w:rsidRPr="009A036B" w:rsidP="004F7E74" w14:paraId="086D82B2" w14:textId="77777777">
            <w:pPr>
              <w:rPr>
                <w:b/>
              </w:rPr>
            </w:pPr>
            <w:r>
              <w:rPr>
                <w:b/>
              </w:rPr>
              <w:t>Total Burden Cost</w:t>
            </w:r>
            <w:r w:rsidRPr="009A036B">
              <w:rPr>
                <w:b/>
              </w:rPr>
              <w:t xml:space="preserve"> </w:t>
            </w:r>
          </w:p>
        </w:tc>
      </w:tr>
      <w:tr w14:paraId="29DB93F5" w14:textId="77777777" w:rsidTr="004F7E74">
        <w:tblPrEx>
          <w:tblW w:w="9180" w:type="dxa"/>
          <w:tblInd w:w="18" w:type="dxa"/>
          <w:tblLayout w:type="fixed"/>
          <w:tblLook w:val="01E0"/>
        </w:tblPrEx>
        <w:trPr>
          <w:trHeight w:val="260"/>
        </w:trPr>
        <w:tc>
          <w:tcPr>
            <w:tcW w:w="2790" w:type="dxa"/>
          </w:tcPr>
          <w:p w:rsidR="002D2F2E" w:rsidRPr="009A036B" w:rsidP="004F7E74" w14:paraId="467DFE46" w14:textId="77777777">
            <w:r>
              <w:t>Individuals</w:t>
            </w:r>
          </w:p>
        </w:tc>
        <w:tc>
          <w:tcPr>
            <w:tcW w:w="2250" w:type="dxa"/>
          </w:tcPr>
          <w:p w:rsidR="002D2F2E" w:rsidRPr="009A036B" w:rsidP="004F7E74" w14:paraId="6A90A85B" w14:textId="77777777">
            <w:r>
              <w:t>2</w:t>
            </w:r>
          </w:p>
        </w:tc>
        <w:tc>
          <w:tcPr>
            <w:tcW w:w="2520" w:type="dxa"/>
          </w:tcPr>
          <w:p w:rsidR="002D2F2E" w:rsidRPr="009A036B" w:rsidP="004F7E74" w14:paraId="4A979E99" w14:textId="77777777">
            <w:r>
              <w:t>$32.11</w:t>
            </w:r>
          </w:p>
        </w:tc>
        <w:tc>
          <w:tcPr>
            <w:tcW w:w="1620" w:type="dxa"/>
          </w:tcPr>
          <w:p w:rsidR="002D2F2E" w:rsidRPr="009A036B" w:rsidP="004F7E74" w14:paraId="35AC30DE" w14:textId="77777777">
            <w:r>
              <w:t>$64.22</w:t>
            </w:r>
          </w:p>
        </w:tc>
      </w:tr>
      <w:tr w14:paraId="15649ED9" w14:textId="77777777" w:rsidTr="004F7E74">
        <w:tblPrEx>
          <w:tblW w:w="9180" w:type="dxa"/>
          <w:tblInd w:w="18" w:type="dxa"/>
          <w:tblLayout w:type="fixed"/>
          <w:tblLook w:val="01E0"/>
        </w:tblPrEx>
        <w:trPr>
          <w:trHeight w:val="274"/>
        </w:trPr>
        <w:tc>
          <w:tcPr>
            <w:tcW w:w="2790" w:type="dxa"/>
          </w:tcPr>
          <w:p w:rsidR="002D2F2E" w:rsidRPr="009A036B" w:rsidP="004F7E74" w14:paraId="67C7F9A4" w14:textId="77777777"/>
        </w:tc>
        <w:tc>
          <w:tcPr>
            <w:tcW w:w="2250" w:type="dxa"/>
          </w:tcPr>
          <w:p w:rsidR="002D2F2E" w:rsidRPr="009A036B" w:rsidP="004F7E74" w14:paraId="7DC0E809" w14:textId="77777777"/>
        </w:tc>
        <w:tc>
          <w:tcPr>
            <w:tcW w:w="2520" w:type="dxa"/>
            <w:tcBorders>
              <w:bottom w:val="single" w:sz="4" w:space="0" w:color="auto"/>
            </w:tcBorders>
          </w:tcPr>
          <w:p w:rsidR="002D2F2E" w:rsidRPr="009A036B" w:rsidP="004F7E74" w14:paraId="6C928AD7" w14:textId="77777777"/>
        </w:tc>
        <w:tc>
          <w:tcPr>
            <w:tcW w:w="1620" w:type="dxa"/>
          </w:tcPr>
          <w:p w:rsidR="002D2F2E" w:rsidRPr="009A036B" w:rsidP="004F7E74" w14:paraId="4CE557C2" w14:textId="77777777"/>
        </w:tc>
      </w:tr>
      <w:tr w14:paraId="5648C79D" w14:textId="77777777" w:rsidTr="004F7E74">
        <w:tblPrEx>
          <w:tblW w:w="9180" w:type="dxa"/>
          <w:tblInd w:w="18" w:type="dxa"/>
          <w:tblLayout w:type="fixed"/>
          <w:tblLook w:val="01E0"/>
        </w:tblPrEx>
        <w:trPr>
          <w:trHeight w:val="289"/>
        </w:trPr>
        <w:tc>
          <w:tcPr>
            <w:tcW w:w="2790" w:type="dxa"/>
          </w:tcPr>
          <w:p w:rsidR="002D2F2E" w:rsidRPr="009A036B" w:rsidP="004F7E74" w14:paraId="502E977D" w14:textId="77777777">
            <w:pPr>
              <w:rPr>
                <w:b/>
              </w:rPr>
            </w:pPr>
            <w:r w:rsidRPr="009A036B">
              <w:rPr>
                <w:b/>
              </w:rPr>
              <w:t>Totals</w:t>
            </w:r>
          </w:p>
        </w:tc>
        <w:tc>
          <w:tcPr>
            <w:tcW w:w="2250" w:type="dxa"/>
          </w:tcPr>
          <w:p w:rsidR="002D2F2E" w:rsidRPr="00344AF2" w:rsidP="004F7E74" w14:paraId="26767A24" w14:textId="77777777">
            <w:pPr>
              <w:rPr>
                <w:b/>
              </w:rPr>
            </w:pPr>
            <w:r>
              <w:rPr>
                <w:b/>
              </w:rPr>
              <w:t>2</w:t>
            </w:r>
          </w:p>
        </w:tc>
        <w:tc>
          <w:tcPr>
            <w:tcW w:w="2520" w:type="dxa"/>
            <w:tcBorders>
              <w:bottom w:val="single" w:sz="4" w:space="0" w:color="auto"/>
            </w:tcBorders>
            <w:shd w:val="clear" w:color="auto" w:fill="7F7F7F"/>
          </w:tcPr>
          <w:p w:rsidR="002D2F2E" w:rsidRPr="009A036B" w:rsidP="004F7E74" w14:paraId="2A3887DA" w14:textId="77777777"/>
        </w:tc>
        <w:tc>
          <w:tcPr>
            <w:tcW w:w="1620" w:type="dxa"/>
          </w:tcPr>
          <w:p w:rsidR="002D2F2E" w:rsidRPr="00344AF2" w:rsidP="004F7E74" w14:paraId="55C088B1" w14:textId="77777777">
            <w:pPr>
              <w:rPr>
                <w:b/>
                <w:bCs/>
              </w:rPr>
            </w:pPr>
            <w:r>
              <w:rPr>
                <w:b/>
                <w:bCs/>
              </w:rPr>
              <w:t>$64.22</w:t>
            </w:r>
          </w:p>
        </w:tc>
      </w:tr>
    </w:tbl>
    <w:p w:rsidR="002D2F2E" w:rsidRPr="009A036B" w:rsidP="002D2F2E" w14:paraId="411EBFA8" w14:textId="77777777"/>
    <w:p w:rsidR="00441434" w:rsidRPr="00B40F4F" w:rsidP="00F3170F" w14:paraId="53AB5FE7" w14:textId="77777777">
      <w:pPr>
        <w:rPr>
          <w:sz w:val="22"/>
          <w:szCs w:val="22"/>
        </w:rPr>
      </w:pPr>
      <w:r w:rsidRPr="0012207B">
        <w:rPr>
          <w:sz w:val="22"/>
          <w:szCs w:val="22"/>
        </w:rPr>
        <w:t xml:space="preserve">* Bureau of Labor Statistics/Occupational Employment and Wages, May </w:t>
      </w:r>
      <w:r>
        <w:rPr>
          <w:sz w:val="22"/>
          <w:szCs w:val="22"/>
        </w:rPr>
        <w:t>2022</w:t>
      </w:r>
      <w:r w:rsidRPr="0012207B">
        <w:rPr>
          <w:sz w:val="22"/>
          <w:szCs w:val="22"/>
        </w:rPr>
        <w:t>: Occupational Code 19-1042, Medical Scientists, national estimates for 25th percentile (https://www.bls.gov/oes/current/oes191042.htm).  This estimate falls within the range allowed for postdoctoral trainees on T32 grants (https://grants.nih.gov/grants/guide/notice-files/NOT-OD-20-070.html).</w:t>
      </w:r>
    </w:p>
    <w:p w:rsidR="0036361A" w:rsidP="00F3170F" w14:paraId="708B12E2" w14:textId="77777777"/>
    <w:p w:rsidR="005E714A" w14:paraId="22604C82"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B40F4F">
        <w:t>___</w:t>
      </w:r>
      <w:r w:rsidRPr="00AD0C0D" w:rsidR="00B40F4F">
        <w:rPr>
          <w:u w:val="single"/>
        </w:rPr>
        <w:t>$1,373.39</w:t>
      </w:r>
      <w:r w:rsidR="00B40F4F">
        <w:t>___</w:t>
      </w:r>
    </w:p>
    <w:p w:rsidR="009A036B" w:rsidRPr="009A036B" w:rsidP="009A036B" w14:paraId="6363D9FC" w14:textId="77777777">
      <w:r>
        <w:rPr>
          <w:b/>
        </w:rPr>
        <w:t xml:space="preserve">                         </w:t>
      </w:r>
    </w:p>
    <w:p w:rsidR="009A036B" w:rsidRPr="009A036B" w:rsidP="009A036B" w14:paraId="08AE92AF" w14:textId="77777777"/>
    <w:tbl>
      <w:tblPr>
        <w:tblW w:w="9522" w:type="dxa"/>
        <w:tblCellMar>
          <w:left w:w="0" w:type="dxa"/>
          <w:right w:w="0" w:type="dxa"/>
        </w:tblCellMar>
        <w:tblLook w:val="04A0"/>
      </w:tblPr>
      <w:tblGrid>
        <w:gridCol w:w="2733"/>
        <w:gridCol w:w="1440"/>
        <w:gridCol w:w="1260"/>
        <w:gridCol w:w="1363"/>
        <w:gridCol w:w="1363"/>
        <w:gridCol w:w="1363"/>
      </w:tblGrid>
      <w:tr w14:paraId="5A161F8D"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2C3DF9E6"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60A8BA7A" w14:textId="77777777">
            <w:pPr>
              <w:rPr>
                <w:b/>
                <w:bCs/>
              </w:rPr>
            </w:pPr>
          </w:p>
          <w:p w:rsidR="009A036B" w:rsidRPr="009A036B" w:rsidP="009A036B" w14:paraId="4406D6ED"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55701E8F"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49513355"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4B2B267C"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51703E62" w14:textId="77777777">
            <w:pPr>
              <w:rPr>
                <w:b/>
                <w:bCs/>
              </w:rPr>
            </w:pPr>
            <w:r w:rsidRPr="009A036B">
              <w:rPr>
                <w:b/>
                <w:bCs/>
              </w:rPr>
              <w:t>Total Cost to Gov’t</w:t>
            </w:r>
          </w:p>
        </w:tc>
      </w:tr>
      <w:tr w14:paraId="682D8B24"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DC537EC"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31FF0817"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FE62C67"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C424149"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4CF6D80" w14:textId="77777777"/>
        </w:tc>
        <w:tc>
          <w:tcPr>
            <w:tcW w:w="1363" w:type="dxa"/>
            <w:tcBorders>
              <w:top w:val="nil"/>
              <w:left w:val="nil"/>
              <w:bottom w:val="single" w:sz="8" w:space="0" w:color="auto"/>
              <w:right w:val="single" w:sz="8" w:space="0" w:color="auto"/>
            </w:tcBorders>
          </w:tcPr>
          <w:p w:rsidR="009A036B" w:rsidRPr="009A036B" w:rsidP="009A036B" w14:paraId="54A8BB7D" w14:textId="77777777"/>
        </w:tc>
      </w:tr>
      <w:tr w14:paraId="4B1DEB95" w14:textId="77777777" w:rsidTr="008A379E">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B40F4F" w:rsidRPr="009A036B" w:rsidP="00B40F4F" w14:paraId="363FD106" w14:textId="77777777">
            <w:r w:rsidRPr="0038764B">
              <w:t>Program Officer</w:t>
            </w:r>
          </w:p>
        </w:tc>
        <w:tc>
          <w:tcPr>
            <w:tcW w:w="1440" w:type="dxa"/>
            <w:tcBorders>
              <w:top w:val="nil"/>
              <w:left w:val="nil"/>
              <w:bottom w:val="single" w:sz="8" w:space="0" w:color="auto"/>
              <w:right w:val="single" w:sz="8" w:space="0" w:color="auto"/>
            </w:tcBorders>
          </w:tcPr>
          <w:p w:rsidR="00B40F4F" w:rsidRPr="009A036B" w:rsidP="00B40F4F" w14:paraId="4942B111" w14:textId="77777777">
            <w:r w:rsidRPr="0038764B">
              <w:t>GS-</w:t>
            </w:r>
            <w:r>
              <w:t>12</w:t>
            </w:r>
            <w:r w:rsidRPr="0038764B">
              <w:t xml:space="preserve">, Step </w:t>
            </w:r>
            <w:r>
              <w:t>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tcPr>
          <w:p w:rsidR="00B40F4F" w:rsidRPr="009A036B" w:rsidP="00B40F4F" w14:paraId="1E8FA382" w14:textId="77777777">
            <w:r w:rsidRPr="00394AA3">
              <w:t>$</w:t>
            </w:r>
            <w:r>
              <w:t>113,039</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rsidR="00B40F4F" w:rsidRPr="009A036B" w:rsidP="00B40F4F" w14:paraId="07806CE6" w14:textId="77777777">
            <w:r w:rsidRPr="0038764B">
              <w:t>1.0</w:t>
            </w:r>
          </w:p>
        </w:tc>
        <w:tc>
          <w:tcPr>
            <w:tcW w:w="1363" w:type="dxa"/>
            <w:tcBorders>
              <w:top w:val="nil"/>
              <w:left w:val="nil"/>
              <w:bottom w:val="single" w:sz="8" w:space="0" w:color="auto"/>
              <w:right w:val="single" w:sz="8" w:space="0" w:color="auto"/>
            </w:tcBorders>
            <w:shd w:val="clear" w:color="auto" w:fill="BFBFBF"/>
          </w:tcPr>
          <w:p w:rsidR="00B40F4F" w:rsidRPr="009A036B" w:rsidP="00B40F4F" w14:paraId="64DE6FA5" w14:textId="77777777"/>
        </w:tc>
        <w:tc>
          <w:tcPr>
            <w:tcW w:w="1363" w:type="dxa"/>
            <w:tcBorders>
              <w:top w:val="nil"/>
              <w:left w:val="nil"/>
              <w:bottom w:val="single" w:sz="8" w:space="0" w:color="auto"/>
              <w:right w:val="single" w:sz="8" w:space="0" w:color="auto"/>
            </w:tcBorders>
          </w:tcPr>
          <w:p w:rsidR="00B40F4F" w:rsidRPr="009A036B" w:rsidP="00B40F4F" w14:paraId="446E00B5" w14:textId="77777777">
            <w:r w:rsidRPr="00394AA3">
              <w:t>$</w:t>
            </w:r>
            <w:r>
              <w:t>1,130.39</w:t>
            </w:r>
          </w:p>
        </w:tc>
      </w:tr>
      <w:tr w14:paraId="12F83E4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40F4F" w:rsidRPr="009A036B" w:rsidP="00B40F4F" w14:paraId="55E38613" w14:textId="77777777"/>
        </w:tc>
        <w:tc>
          <w:tcPr>
            <w:tcW w:w="1440" w:type="dxa"/>
            <w:tcBorders>
              <w:top w:val="nil"/>
              <w:left w:val="nil"/>
              <w:bottom w:val="single" w:sz="8" w:space="0" w:color="auto"/>
              <w:right w:val="single" w:sz="8" w:space="0" w:color="auto"/>
            </w:tcBorders>
          </w:tcPr>
          <w:p w:rsidR="00B40F4F" w:rsidRPr="009A036B" w:rsidP="00B40F4F" w14:paraId="149B63AB"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40F4F" w:rsidRPr="009A036B" w:rsidP="00B40F4F" w14:paraId="284B45A7"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40F4F" w:rsidRPr="009A036B" w:rsidP="00B40F4F" w14:paraId="6ABBE9C9" w14:textId="77777777"/>
        </w:tc>
        <w:tc>
          <w:tcPr>
            <w:tcW w:w="1363" w:type="dxa"/>
            <w:tcBorders>
              <w:top w:val="nil"/>
              <w:left w:val="nil"/>
              <w:bottom w:val="single" w:sz="8" w:space="0" w:color="auto"/>
              <w:right w:val="single" w:sz="8" w:space="0" w:color="auto"/>
            </w:tcBorders>
            <w:shd w:val="clear" w:color="auto" w:fill="BFBFBF"/>
          </w:tcPr>
          <w:p w:rsidR="00B40F4F" w:rsidRPr="009A036B" w:rsidP="00B40F4F" w14:paraId="4604C738" w14:textId="77777777"/>
        </w:tc>
        <w:tc>
          <w:tcPr>
            <w:tcW w:w="1363" w:type="dxa"/>
            <w:tcBorders>
              <w:top w:val="nil"/>
              <w:left w:val="nil"/>
              <w:bottom w:val="single" w:sz="8" w:space="0" w:color="auto"/>
              <w:right w:val="single" w:sz="8" w:space="0" w:color="auto"/>
            </w:tcBorders>
          </w:tcPr>
          <w:p w:rsidR="00B40F4F" w:rsidRPr="009A036B" w:rsidP="00B40F4F" w14:paraId="405B8B35" w14:textId="77777777"/>
        </w:tc>
      </w:tr>
      <w:tr w14:paraId="177EEF8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40F4F" w:rsidRPr="009A036B" w:rsidP="00B40F4F" w14:paraId="587920D3" w14:textId="77777777"/>
        </w:tc>
        <w:tc>
          <w:tcPr>
            <w:tcW w:w="1440" w:type="dxa"/>
            <w:tcBorders>
              <w:top w:val="nil"/>
              <w:left w:val="nil"/>
              <w:bottom w:val="single" w:sz="8" w:space="0" w:color="auto"/>
              <w:right w:val="single" w:sz="8" w:space="0" w:color="auto"/>
            </w:tcBorders>
          </w:tcPr>
          <w:p w:rsidR="00B40F4F" w:rsidRPr="009A036B" w:rsidP="00B40F4F" w14:paraId="39ED16FE"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40F4F" w:rsidRPr="009A036B" w:rsidP="00B40F4F" w14:paraId="5797EE08"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40F4F" w:rsidRPr="009A036B" w:rsidP="00B40F4F" w14:paraId="7A9387FD" w14:textId="77777777"/>
        </w:tc>
        <w:tc>
          <w:tcPr>
            <w:tcW w:w="1363" w:type="dxa"/>
            <w:tcBorders>
              <w:top w:val="nil"/>
              <w:left w:val="nil"/>
              <w:bottom w:val="single" w:sz="8" w:space="0" w:color="auto"/>
              <w:right w:val="single" w:sz="8" w:space="0" w:color="auto"/>
            </w:tcBorders>
            <w:shd w:val="clear" w:color="auto" w:fill="BFBFBF"/>
          </w:tcPr>
          <w:p w:rsidR="00B40F4F" w:rsidRPr="009A036B" w:rsidP="00B40F4F" w14:paraId="08D4E202" w14:textId="77777777"/>
        </w:tc>
        <w:tc>
          <w:tcPr>
            <w:tcW w:w="1363" w:type="dxa"/>
            <w:tcBorders>
              <w:top w:val="nil"/>
              <w:left w:val="nil"/>
              <w:bottom w:val="single" w:sz="8" w:space="0" w:color="auto"/>
              <w:right w:val="single" w:sz="8" w:space="0" w:color="auto"/>
            </w:tcBorders>
          </w:tcPr>
          <w:p w:rsidR="00B40F4F" w:rsidRPr="009A036B" w:rsidP="00B40F4F" w14:paraId="69EF2C2F" w14:textId="77777777"/>
        </w:tc>
      </w:tr>
      <w:tr w14:paraId="0AB18E9C" w14:textId="77777777" w:rsidTr="008A379E">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A1D03" w:rsidRPr="009A036B" w:rsidP="006A1D03" w14:paraId="7BB7C975"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6A1D03" w:rsidRPr="009A036B" w:rsidP="006A1D03" w14:paraId="54B88F47"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A1D03" w:rsidRPr="009A036B" w:rsidP="006A1D03" w14:paraId="475D87B6" w14:textId="77777777">
            <w:r w:rsidRPr="00C26C70">
              <w:t>$</w:t>
            </w:r>
            <w:r>
              <w:t>60.75</w:t>
            </w:r>
            <w:r w:rsidRPr="00C26C70">
              <w:t xml:space="preserve"> per hour</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A1D03" w:rsidRPr="009A036B" w:rsidP="006A1D03" w14:paraId="6A2C20B0" w14:textId="77777777">
            <w:r>
              <w:t>4 hours</w:t>
            </w:r>
          </w:p>
        </w:tc>
        <w:tc>
          <w:tcPr>
            <w:tcW w:w="1363" w:type="dxa"/>
            <w:tcBorders>
              <w:top w:val="nil"/>
              <w:left w:val="nil"/>
              <w:bottom w:val="single" w:sz="8" w:space="0" w:color="auto"/>
              <w:right w:val="single" w:sz="8" w:space="0" w:color="auto"/>
            </w:tcBorders>
          </w:tcPr>
          <w:p w:rsidR="006A1D03" w:rsidRPr="009A036B" w:rsidP="006A1D03" w14:paraId="39EEFC65" w14:textId="77777777"/>
        </w:tc>
        <w:tc>
          <w:tcPr>
            <w:tcW w:w="1363" w:type="dxa"/>
            <w:tcBorders>
              <w:top w:val="nil"/>
              <w:left w:val="nil"/>
              <w:bottom w:val="single" w:sz="8" w:space="0" w:color="auto"/>
              <w:right w:val="single" w:sz="8" w:space="0" w:color="auto"/>
            </w:tcBorders>
          </w:tcPr>
          <w:p w:rsidR="006A1D03" w:rsidRPr="009A036B" w:rsidP="006A1D03" w14:paraId="20557D38" w14:textId="77777777">
            <w:r>
              <w:t>$243</w:t>
            </w:r>
          </w:p>
        </w:tc>
      </w:tr>
      <w:tr w14:paraId="7F84D67B"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A1D03" w:rsidRPr="009A036B" w:rsidP="006A1D03" w14:paraId="58B8B22A" w14:textId="77777777"/>
        </w:tc>
        <w:tc>
          <w:tcPr>
            <w:tcW w:w="1440" w:type="dxa"/>
            <w:tcBorders>
              <w:top w:val="nil"/>
              <w:left w:val="nil"/>
              <w:bottom w:val="single" w:sz="8" w:space="0" w:color="auto"/>
              <w:right w:val="single" w:sz="8" w:space="0" w:color="auto"/>
            </w:tcBorders>
          </w:tcPr>
          <w:p w:rsidR="006A1D03" w:rsidRPr="009A036B" w:rsidP="006A1D03" w14:paraId="4097D7A4"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A1D03" w:rsidRPr="009A036B" w:rsidP="006A1D03" w14:paraId="1C387503"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A1D03" w:rsidRPr="009A036B" w:rsidP="006A1D03" w14:paraId="3CEDC40A" w14:textId="77777777"/>
        </w:tc>
        <w:tc>
          <w:tcPr>
            <w:tcW w:w="1363" w:type="dxa"/>
            <w:tcBorders>
              <w:top w:val="nil"/>
              <w:left w:val="nil"/>
              <w:bottom w:val="single" w:sz="8" w:space="0" w:color="auto"/>
              <w:right w:val="single" w:sz="8" w:space="0" w:color="auto"/>
            </w:tcBorders>
          </w:tcPr>
          <w:p w:rsidR="006A1D03" w:rsidRPr="009A036B" w:rsidP="006A1D03" w14:paraId="08868635" w14:textId="77777777"/>
        </w:tc>
        <w:tc>
          <w:tcPr>
            <w:tcW w:w="1363" w:type="dxa"/>
            <w:tcBorders>
              <w:top w:val="nil"/>
              <w:left w:val="nil"/>
              <w:bottom w:val="single" w:sz="8" w:space="0" w:color="auto"/>
              <w:right w:val="single" w:sz="8" w:space="0" w:color="auto"/>
            </w:tcBorders>
          </w:tcPr>
          <w:p w:rsidR="006A1D03" w:rsidRPr="009A036B" w:rsidP="006A1D03" w14:paraId="2BD7592D" w14:textId="77777777"/>
        </w:tc>
      </w:tr>
      <w:tr w14:paraId="147AA9F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A1D03" w:rsidRPr="009A036B" w:rsidP="006A1D03" w14:paraId="2625234C"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6A1D03" w:rsidRPr="009A036B" w:rsidP="006A1D03" w14:paraId="79C7E2C3"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6A1D03" w:rsidRPr="009A036B" w:rsidP="006A1D03" w14:paraId="04534FF9"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6A1D03" w:rsidRPr="009A036B" w:rsidP="006A1D03" w14:paraId="0B2FC420" w14:textId="77777777"/>
        </w:tc>
        <w:tc>
          <w:tcPr>
            <w:tcW w:w="1363" w:type="dxa"/>
            <w:tcBorders>
              <w:top w:val="nil"/>
              <w:left w:val="nil"/>
              <w:bottom w:val="single" w:sz="8" w:space="0" w:color="auto"/>
              <w:right w:val="single" w:sz="8" w:space="0" w:color="auto"/>
            </w:tcBorders>
            <w:shd w:val="clear" w:color="auto" w:fill="BFBFBF"/>
          </w:tcPr>
          <w:p w:rsidR="006A1D03" w:rsidRPr="009A036B" w:rsidP="006A1D03" w14:paraId="4283A9BC" w14:textId="77777777"/>
        </w:tc>
        <w:tc>
          <w:tcPr>
            <w:tcW w:w="1363" w:type="dxa"/>
            <w:tcBorders>
              <w:top w:val="nil"/>
              <w:left w:val="nil"/>
              <w:bottom w:val="single" w:sz="8" w:space="0" w:color="auto"/>
              <w:right w:val="single" w:sz="8" w:space="0" w:color="auto"/>
            </w:tcBorders>
          </w:tcPr>
          <w:p w:rsidR="006A1D03" w:rsidRPr="009A036B" w:rsidP="006A1D03" w14:paraId="50136E48" w14:textId="77777777"/>
        </w:tc>
      </w:tr>
      <w:tr w14:paraId="280F60F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A1D03" w:rsidRPr="009A036B" w:rsidP="006A1D03" w14:paraId="40D6E1C3"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6A1D03" w:rsidRPr="009A036B" w:rsidP="006A1D03" w14:paraId="0E9FD3CE"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6A1D03" w:rsidRPr="009A036B" w:rsidP="006A1D03" w14:paraId="248D30C6"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6A1D03" w:rsidRPr="009A036B" w:rsidP="006A1D03" w14:paraId="5794D27A" w14:textId="77777777"/>
        </w:tc>
        <w:tc>
          <w:tcPr>
            <w:tcW w:w="1363" w:type="dxa"/>
            <w:tcBorders>
              <w:top w:val="nil"/>
              <w:left w:val="nil"/>
              <w:bottom w:val="single" w:sz="8" w:space="0" w:color="auto"/>
              <w:right w:val="single" w:sz="8" w:space="0" w:color="auto"/>
            </w:tcBorders>
            <w:shd w:val="clear" w:color="auto" w:fill="BFBFBF"/>
          </w:tcPr>
          <w:p w:rsidR="006A1D03" w:rsidRPr="009A036B" w:rsidP="006A1D03" w14:paraId="035B7528" w14:textId="77777777"/>
        </w:tc>
        <w:tc>
          <w:tcPr>
            <w:tcW w:w="1363" w:type="dxa"/>
            <w:tcBorders>
              <w:top w:val="nil"/>
              <w:left w:val="nil"/>
              <w:bottom w:val="single" w:sz="8" w:space="0" w:color="auto"/>
              <w:right w:val="single" w:sz="8" w:space="0" w:color="auto"/>
            </w:tcBorders>
          </w:tcPr>
          <w:p w:rsidR="006A1D03" w:rsidRPr="009A036B" w:rsidP="006A1D03" w14:paraId="66AA230C" w14:textId="77777777"/>
        </w:tc>
      </w:tr>
      <w:tr w14:paraId="31B300E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A1D03" w:rsidRPr="009A036B" w:rsidP="006A1D03" w14:paraId="7106F8BB" w14:textId="77777777">
            <w:pPr>
              <w:rPr>
                <w:bCs/>
              </w:rPr>
            </w:pPr>
          </w:p>
        </w:tc>
        <w:tc>
          <w:tcPr>
            <w:tcW w:w="1440" w:type="dxa"/>
            <w:tcBorders>
              <w:top w:val="nil"/>
              <w:left w:val="nil"/>
              <w:bottom w:val="single" w:sz="8" w:space="0" w:color="auto"/>
              <w:right w:val="single" w:sz="8" w:space="0" w:color="auto"/>
            </w:tcBorders>
            <w:shd w:val="clear" w:color="auto" w:fill="BFBFBF"/>
          </w:tcPr>
          <w:p w:rsidR="006A1D03" w:rsidRPr="009A036B" w:rsidP="006A1D03" w14:paraId="33810F73"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6A1D03" w:rsidRPr="009A036B" w:rsidP="006A1D03" w14:paraId="793A8FCE"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6A1D03" w:rsidRPr="009A036B" w:rsidP="006A1D03" w14:paraId="56ABDAA7" w14:textId="77777777">
            <w:pPr>
              <w:rPr>
                <w:b/>
              </w:rPr>
            </w:pPr>
          </w:p>
        </w:tc>
        <w:tc>
          <w:tcPr>
            <w:tcW w:w="1363" w:type="dxa"/>
            <w:tcBorders>
              <w:top w:val="nil"/>
              <w:left w:val="nil"/>
              <w:bottom w:val="single" w:sz="8" w:space="0" w:color="auto"/>
              <w:right w:val="single" w:sz="8" w:space="0" w:color="auto"/>
            </w:tcBorders>
            <w:shd w:val="clear" w:color="auto" w:fill="BFBFBF"/>
          </w:tcPr>
          <w:p w:rsidR="006A1D03" w:rsidRPr="009A036B" w:rsidP="006A1D03" w14:paraId="19F02C96" w14:textId="77777777">
            <w:pPr>
              <w:rPr>
                <w:b/>
              </w:rPr>
            </w:pPr>
          </w:p>
        </w:tc>
        <w:tc>
          <w:tcPr>
            <w:tcW w:w="1363" w:type="dxa"/>
            <w:tcBorders>
              <w:top w:val="nil"/>
              <w:left w:val="nil"/>
              <w:bottom w:val="single" w:sz="8" w:space="0" w:color="auto"/>
              <w:right w:val="single" w:sz="8" w:space="0" w:color="auto"/>
            </w:tcBorders>
          </w:tcPr>
          <w:p w:rsidR="006A1D03" w:rsidRPr="009A036B" w:rsidP="006A1D03" w14:paraId="2DEB29E5" w14:textId="77777777">
            <w:pPr>
              <w:rPr>
                <w:b/>
              </w:rPr>
            </w:pPr>
          </w:p>
        </w:tc>
      </w:tr>
      <w:tr w14:paraId="41348398"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A1D03" w:rsidRPr="004B1EB8" w:rsidP="006A1D03" w14:paraId="3B362EB4"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6A1D03" w:rsidRPr="009A036B" w:rsidP="006A1D03" w14:paraId="28AA7D3E"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6A1D03" w:rsidRPr="009A036B" w:rsidP="006A1D03" w14:paraId="2F9382CD"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6A1D03" w:rsidRPr="009A036B" w:rsidP="006A1D03" w14:paraId="490DACB1" w14:textId="77777777"/>
        </w:tc>
        <w:tc>
          <w:tcPr>
            <w:tcW w:w="1363" w:type="dxa"/>
            <w:tcBorders>
              <w:top w:val="nil"/>
              <w:left w:val="nil"/>
              <w:bottom w:val="single" w:sz="8" w:space="0" w:color="auto"/>
              <w:right w:val="single" w:sz="8" w:space="0" w:color="auto"/>
            </w:tcBorders>
            <w:shd w:val="clear" w:color="auto" w:fill="A6A6A6"/>
          </w:tcPr>
          <w:p w:rsidR="006A1D03" w:rsidRPr="009A036B" w:rsidP="006A1D03" w14:paraId="2CA6E150" w14:textId="77777777"/>
        </w:tc>
        <w:tc>
          <w:tcPr>
            <w:tcW w:w="1363" w:type="dxa"/>
            <w:tcBorders>
              <w:top w:val="nil"/>
              <w:left w:val="nil"/>
              <w:bottom w:val="single" w:sz="8" w:space="0" w:color="auto"/>
              <w:right w:val="single" w:sz="8" w:space="0" w:color="auto"/>
            </w:tcBorders>
          </w:tcPr>
          <w:p w:rsidR="006A1D03" w:rsidRPr="009A036B" w:rsidP="006A1D03" w14:paraId="191E79D4" w14:textId="77777777">
            <w:r w:rsidRPr="00AD0C0D">
              <w:rPr>
                <w:b/>
                <w:bCs/>
              </w:rPr>
              <w:t>$1,373.39</w:t>
            </w:r>
          </w:p>
        </w:tc>
      </w:tr>
    </w:tbl>
    <w:p w:rsidR="008C1219" w:rsidRPr="00897B4E" w:rsidP="008C1219" w14:paraId="16A9464C" w14:textId="77777777">
      <w:pPr>
        <w:rPr>
          <w:b/>
          <w:sz w:val="18"/>
          <w:szCs w:val="18"/>
        </w:rPr>
      </w:pPr>
      <w:r>
        <w:t>*</w:t>
      </w:r>
      <w:r w:rsidRPr="009747F4">
        <w:rPr>
          <w:sz w:val="18"/>
          <w:szCs w:val="18"/>
        </w:rPr>
        <w:t>the</w:t>
      </w:r>
      <w:r>
        <w:t xml:space="preserve"> </w:t>
      </w:r>
      <w:r w:rsidRPr="009747F4">
        <w:rPr>
          <w:sz w:val="18"/>
          <w:szCs w:val="18"/>
        </w:rPr>
        <w:t>Salary in table above is cited from</w:t>
      </w:r>
      <w:r>
        <w:t xml:space="preserve"> </w:t>
      </w:r>
      <w:hyperlink r:id="rId8" w:history="1"/>
      <w:hyperlink r:id="rId9" w:history="1">
        <w:r w:rsidRPr="00B05464">
          <w:rPr>
            <w:rStyle w:val="Hyperlink"/>
            <w:b/>
            <w:sz w:val="18"/>
            <w:szCs w:val="18"/>
          </w:rPr>
          <w:t>https://www.opm.gov/policy-data-ove</w:t>
        </w:r>
        <w:r w:rsidRPr="00B05464">
          <w:rPr>
            <w:rStyle w:val="Hyperlink"/>
            <w:b/>
            <w:sz w:val="18"/>
            <w:szCs w:val="18"/>
          </w:rPr>
          <w:t>r</w:t>
        </w:r>
        <w:r w:rsidRPr="00B05464">
          <w:rPr>
            <w:rStyle w:val="Hyperlink"/>
            <w:b/>
            <w:sz w:val="18"/>
            <w:szCs w:val="18"/>
          </w:rPr>
          <w:t>sight/pay-leave/salaries-wages/salary-tables/pdf/2023/DCB.pdf</w:t>
        </w:r>
      </w:hyperlink>
      <w:r>
        <w:rPr>
          <w:b/>
          <w:sz w:val="18"/>
          <w:szCs w:val="18"/>
        </w:rPr>
        <w:t xml:space="preserve"> </w:t>
      </w:r>
    </w:p>
    <w:p w:rsidR="00ED6492" w14:paraId="76FA908C" w14:textId="77777777">
      <w:pPr>
        <w:rPr>
          <w:b/>
          <w:bCs/>
          <w:u w:val="single"/>
        </w:rPr>
      </w:pPr>
    </w:p>
    <w:p w:rsidR="0069403B" w:rsidP="00F06866" w14:paraId="05883AE2"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5647927E" w14:textId="77777777">
      <w:pPr>
        <w:rPr>
          <w:b/>
        </w:rPr>
      </w:pPr>
    </w:p>
    <w:p w:rsidR="00F06866" w:rsidP="00F06866" w14:paraId="12CBD3ED" w14:textId="77777777">
      <w:pPr>
        <w:rPr>
          <w:b/>
        </w:rPr>
      </w:pPr>
      <w:r>
        <w:rPr>
          <w:b/>
        </w:rPr>
        <w:t>The</w:t>
      </w:r>
      <w:r w:rsidR="0069403B">
        <w:rPr>
          <w:b/>
        </w:rPr>
        <w:t xml:space="preserve"> select</w:t>
      </w:r>
      <w:r>
        <w:rPr>
          <w:b/>
        </w:rPr>
        <w:t>ion of your targeted respondents</w:t>
      </w:r>
    </w:p>
    <w:p w:rsidR="0069403B" w:rsidP="0069403B" w14:paraId="308DF102"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A1D03">
        <w:t>X</w:t>
      </w:r>
      <w:r>
        <w:t>] Yes</w:t>
      </w:r>
      <w:r>
        <w:tab/>
        <w:t>[ ] No</w:t>
      </w:r>
    </w:p>
    <w:p w:rsidR="00636621" w:rsidP="00636621" w14:paraId="50639F42" w14:textId="77777777">
      <w:pPr>
        <w:pStyle w:val="ListParagraph"/>
      </w:pPr>
    </w:p>
    <w:p w:rsidR="00636621" w:rsidP="001B0AAA" w14:paraId="18E19666"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2D2F2E" w:rsidP="002D2F2E" w14:paraId="21537E5B" w14:textId="77777777">
      <w:pPr>
        <w:pStyle w:val="ListParagraph"/>
      </w:pPr>
      <w:r>
        <w:t>The questionnaire will be sent to the 79 participants in the 2022-23 Principles of Pediatric Clinical Pharmacology and Therapeutics Lecture Series who claimed CME credit. Based on the response to previous year’s surveys, we anticipate a 28% response rate, with a total of 22 responses.</w:t>
      </w:r>
    </w:p>
    <w:p w:rsidR="002D2F2E" w:rsidP="002D2F2E" w14:paraId="1B231E7C" w14:textId="77777777">
      <w:pPr>
        <w:pStyle w:val="ListParagraph"/>
      </w:pPr>
      <w:r>
        <w:t xml:space="preserve">  </w:t>
      </w:r>
    </w:p>
    <w:p w:rsidR="002D2F2E" w:rsidP="002D2F2E" w14:paraId="2D554215" w14:textId="77777777">
      <w:pPr>
        <w:pStyle w:val="ListParagraph"/>
      </w:pPr>
      <w:r>
        <w:t>Of the 79 people who claimed CME credit, approximately 40 are physicians. The final question in the survey asks if physicians would be willing to receive a follow up survey to assess the usefulness of the activity. If 10 of more participants reply affirmatively, OMB approval will be sought to send the second survey.</w:t>
      </w:r>
    </w:p>
    <w:p w:rsidR="00A403BB" w:rsidP="00A403BB" w14:paraId="3AD4DA99" w14:textId="77777777">
      <w:pPr>
        <w:pStyle w:val="ListParagraph"/>
      </w:pPr>
    </w:p>
    <w:p w:rsidR="00A403BB" w:rsidP="00A403BB" w14:paraId="12D2F78D" w14:textId="77777777"/>
    <w:p w:rsidR="00A403BB" w:rsidP="00A403BB" w14:paraId="426F9924" w14:textId="77777777">
      <w:pPr>
        <w:rPr>
          <w:b/>
        </w:rPr>
      </w:pPr>
      <w:r>
        <w:rPr>
          <w:b/>
        </w:rPr>
        <w:t>Administration of the Instrument</w:t>
      </w:r>
    </w:p>
    <w:p w:rsidR="00A403BB" w:rsidP="00A403BB" w14:paraId="4E52C767" w14:textId="77777777">
      <w:pPr>
        <w:pStyle w:val="ListParagraph"/>
        <w:numPr>
          <w:ilvl w:val="0"/>
          <w:numId w:val="17"/>
        </w:numPr>
      </w:pPr>
      <w:r>
        <w:t>H</w:t>
      </w:r>
      <w:r>
        <w:t>ow will you collect the information? (Check all that apply)</w:t>
      </w:r>
    </w:p>
    <w:p w:rsidR="001B0AAA" w:rsidP="001B0AAA" w14:paraId="58B8A5A4" w14:textId="77777777">
      <w:pPr>
        <w:ind w:left="720"/>
      </w:pPr>
      <w:r>
        <w:t>[</w:t>
      </w:r>
      <w:r w:rsidR="006A1D03">
        <w:t>X</w:t>
      </w:r>
      <w:r>
        <w:t>] Web-based</w:t>
      </w:r>
      <w:r>
        <w:t xml:space="preserve"> or other forms of Social Media </w:t>
      </w:r>
    </w:p>
    <w:p w:rsidR="001B0AAA" w:rsidP="001B0AAA" w14:paraId="3EB75BA5" w14:textId="77777777">
      <w:pPr>
        <w:ind w:left="720"/>
      </w:pPr>
      <w:r>
        <w:t xml:space="preserve">[ </w:t>
      </w:r>
      <w:r>
        <w:t xml:space="preserve"> </w:t>
      </w:r>
      <w:r>
        <w:t>] Telephone</w:t>
      </w:r>
      <w:r>
        <w:tab/>
      </w:r>
    </w:p>
    <w:p w:rsidR="001B0AAA" w:rsidP="001B0AAA" w14:paraId="1B43A555" w14:textId="77777777">
      <w:pPr>
        <w:ind w:left="720"/>
      </w:pPr>
      <w:r>
        <w:t>[</w:t>
      </w:r>
      <w:r>
        <w:t xml:space="preserve"> </w:t>
      </w:r>
      <w:r>
        <w:t xml:space="preserve"> ] In-person</w:t>
      </w:r>
      <w:r>
        <w:tab/>
      </w:r>
    </w:p>
    <w:p w:rsidR="001B0AAA" w:rsidP="001B0AAA" w14:paraId="0D2A5FEF" w14:textId="77777777">
      <w:pPr>
        <w:ind w:left="720"/>
      </w:pPr>
      <w:r>
        <w:t xml:space="preserve">[ </w:t>
      </w:r>
      <w:r>
        <w:t xml:space="preserve"> </w:t>
      </w:r>
      <w:r>
        <w:t>] Mail</w:t>
      </w:r>
      <w:r>
        <w:t xml:space="preserve"> </w:t>
      </w:r>
    </w:p>
    <w:p w:rsidR="001B0AAA" w:rsidP="001B0AAA" w14:paraId="2DAF1430" w14:textId="77777777">
      <w:pPr>
        <w:ind w:left="720"/>
      </w:pPr>
      <w:r>
        <w:t xml:space="preserve">[ </w:t>
      </w:r>
      <w:r>
        <w:t xml:space="preserve"> </w:t>
      </w:r>
      <w:r>
        <w:t>] Other, Explain</w:t>
      </w:r>
    </w:p>
    <w:p w:rsidR="00F24CFC" w:rsidP="00F24CFC" w14:paraId="30A65067" w14:textId="77777777">
      <w:pPr>
        <w:pStyle w:val="ListParagraph"/>
        <w:numPr>
          <w:ilvl w:val="0"/>
          <w:numId w:val="17"/>
        </w:numPr>
      </w:pPr>
      <w:r>
        <w:t>Will interviewers or facilitators be used?  [  ] Yes [</w:t>
      </w:r>
      <w:r w:rsidR="006A1D03">
        <w:t>X</w:t>
      </w:r>
      <w:r>
        <w:t>] No</w:t>
      </w:r>
    </w:p>
    <w:p w:rsidR="00F24CFC" w:rsidP="00F24CFC" w14:paraId="77674686" w14:textId="77777777">
      <w:pPr>
        <w:pStyle w:val="ListParagraph"/>
        <w:ind w:left="360"/>
      </w:pPr>
      <w:r>
        <w:t xml:space="preserve"> </w:t>
      </w:r>
    </w:p>
    <w:p w:rsidR="003932D1" w:rsidRPr="00F24CFC" w:rsidP="0024521E" w14:paraId="50096AFB" w14:textId="77777777">
      <w:pPr>
        <w:rPr>
          <w:b/>
        </w:rPr>
      </w:pPr>
      <w:r w:rsidRPr="00F24CFC">
        <w:rPr>
          <w:b/>
        </w:rPr>
        <w:t>Please make sure that all instruments, instructions, and scripts are submitted with the request.</w:t>
      </w:r>
    </w:p>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740209E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4471876">
    <w:abstractNumId w:val="10"/>
  </w:num>
  <w:num w:numId="2" w16cid:durableId="752122022">
    <w:abstractNumId w:val="16"/>
  </w:num>
  <w:num w:numId="3" w16cid:durableId="1403332268">
    <w:abstractNumId w:val="15"/>
  </w:num>
  <w:num w:numId="4" w16cid:durableId="1046755579">
    <w:abstractNumId w:val="17"/>
  </w:num>
  <w:num w:numId="5" w16cid:durableId="938947671">
    <w:abstractNumId w:val="3"/>
  </w:num>
  <w:num w:numId="6" w16cid:durableId="592205596">
    <w:abstractNumId w:val="1"/>
  </w:num>
  <w:num w:numId="7" w16cid:durableId="209150151">
    <w:abstractNumId w:val="8"/>
  </w:num>
  <w:num w:numId="8" w16cid:durableId="1800294270">
    <w:abstractNumId w:val="13"/>
  </w:num>
  <w:num w:numId="9" w16cid:durableId="1564484891">
    <w:abstractNumId w:val="9"/>
  </w:num>
  <w:num w:numId="10" w16cid:durableId="646402846">
    <w:abstractNumId w:val="2"/>
  </w:num>
  <w:num w:numId="11" w16cid:durableId="1980764509">
    <w:abstractNumId w:val="6"/>
  </w:num>
  <w:num w:numId="12" w16cid:durableId="1408111880">
    <w:abstractNumId w:val="7"/>
  </w:num>
  <w:num w:numId="13" w16cid:durableId="313529241">
    <w:abstractNumId w:val="0"/>
  </w:num>
  <w:num w:numId="14" w16cid:durableId="64183908">
    <w:abstractNumId w:val="14"/>
  </w:num>
  <w:num w:numId="15" w16cid:durableId="1883857977">
    <w:abstractNumId w:val="12"/>
  </w:num>
  <w:num w:numId="16" w16cid:durableId="772289047">
    <w:abstractNumId w:val="11"/>
  </w:num>
  <w:num w:numId="17" w16cid:durableId="1423723770">
    <w:abstractNumId w:val="4"/>
  </w:num>
  <w:num w:numId="18" w16cid:durableId="1688825363">
    <w:abstractNumId w:val="5"/>
  </w:num>
  <w:num w:numId="19" w16cid:durableId="8139825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12B"/>
    <w:rsid w:val="00023A57"/>
    <w:rsid w:val="00047A64"/>
    <w:rsid w:val="00067329"/>
    <w:rsid w:val="000722CE"/>
    <w:rsid w:val="000913EC"/>
    <w:rsid w:val="000B2838"/>
    <w:rsid w:val="000D44CA"/>
    <w:rsid w:val="000E200B"/>
    <w:rsid w:val="000F68BE"/>
    <w:rsid w:val="00113A81"/>
    <w:rsid w:val="0012207B"/>
    <w:rsid w:val="00162F83"/>
    <w:rsid w:val="00177AEA"/>
    <w:rsid w:val="001855D1"/>
    <w:rsid w:val="001927A4"/>
    <w:rsid w:val="00194AC6"/>
    <w:rsid w:val="001A23B0"/>
    <w:rsid w:val="001A25CC"/>
    <w:rsid w:val="001B0AAA"/>
    <w:rsid w:val="001C39F7"/>
    <w:rsid w:val="00237B48"/>
    <w:rsid w:val="0024521E"/>
    <w:rsid w:val="00263C3D"/>
    <w:rsid w:val="00274D0B"/>
    <w:rsid w:val="00284110"/>
    <w:rsid w:val="002B3C95"/>
    <w:rsid w:val="002D0B92"/>
    <w:rsid w:val="002D26E2"/>
    <w:rsid w:val="002D2F2E"/>
    <w:rsid w:val="002D74B4"/>
    <w:rsid w:val="002E48F5"/>
    <w:rsid w:val="003002B6"/>
    <w:rsid w:val="00344AF2"/>
    <w:rsid w:val="0036361A"/>
    <w:rsid w:val="003668D6"/>
    <w:rsid w:val="0038764B"/>
    <w:rsid w:val="003932D1"/>
    <w:rsid w:val="00394AA3"/>
    <w:rsid w:val="003A7074"/>
    <w:rsid w:val="003C27F6"/>
    <w:rsid w:val="003D5BBE"/>
    <w:rsid w:val="003E3C61"/>
    <w:rsid w:val="003F1C5B"/>
    <w:rsid w:val="003F3119"/>
    <w:rsid w:val="00420E91"/>
    <w:rsid w:val="00431EB1"/>
    <w:rsid w:val="00434E33"/>
    <w:rsid w:val="00441434"/>
    <w:rsid w:val="0045264C"/>
    <w:rsid w:val="004876EC"/>
    <w:rsid w:val="004A44F3"/>
    <w:rsid w:val="004B1EB8"/>
    <w:rsid w:val="004D6CC9"/>
    <w:rsid w:val="004D6E14"/>
    <w:rsid w:val="004F7E74"/>
    <w:rsid w:val="005009B0"/>
    <w:rsid w:val="005A1006"/>
    <w:rsid w:val="005A772A"/>
    <w:rsid w:val="005A7A10"/>
    <w:rsid w:val="005E714A"/>
    <w:rsid w:val="006140A0"/>
    <w:rsid w:val="00633F74"/>
    <w:rsid w:val="00636329"/>
    <w:rsid w:val="00636621"/>
    <w:rsid w:val="00642B49"/>
    <w:rsid w:val="0065005D"/>
    <w:rsid w:val="006832D9"/>
    <w:rsid w:val="00686301"/>
    <w:rsid w:val="0069403B"/>
    <w:rsid w:val="006A1D03"/>
    <w:rsid w:val="006B7B34"/>
    <w:rsid w:val="006D5F47"/>
    <w:rsid w:val="006F3DDE"/>
    <w:rsid w:val="00704678"/>
    <w:rsid w:val="007425E7"/>
    <w:rsid w:val="00766D95"/>
    <w:rsid w:val="0077703F"/>
    <w:rsid w:val="00802607"/>
    <w:rsid w:val="008101A5"/>
    <w:rsid w:val="00811789"/>
    <w:rsid w:val="00822664"/>
    <w:rsid w:val="00843796"/>
    <w:rsid w:val="0085116A"/>
    <w:rsid w:val="00887320"/>
    <w:rsid w:val="00895229"/>
    <w:rsid w:val="00897B4E"/>
    <w:rsid w:val="008A379E"/>
    <w:rsid w:val="008C1219"/>
    <w:rsid w:val="008F0203"/>
    <w:rsid w:val="008F50D4"/>
    <w:rsid w:val="00914E1C"/>
    <w:rsid w:val="009239AA"/>
    <w:rsid w:val="00935ADA"/>
    <w:rsid w:val="00946B6C"/>
    <w:rsid w:val="00955A71"/>
    <w:rsid w:val="0096108F"/>
    <w:rsid w:val="009747F4"/>
    <w:rsid w:val="009765CA"/>
    <w:rsid w:val="009A036B"/>
    <w:rsid w:val="009A1275"/>
    <w:rsid w:val="009C13B9"/>
    <w:rsid w:val="009D01A2"/>
    <w:rsid w:val="009F5923"/>
    <w:rsid w:val="00A229F1"/>
    <w:rsid w:val="00A403BB"/>
    <w:rsid w:val="00A40967"/>
    <w:rsid w:val="00A50BAA"/>
    <w:rsid w:val="00A50F89"/>
    <w:rsid w:val="00A674DF"/>
    <w:rsid w:val="00A83AA6"/>
    <w:rsid w:val="00AC60E8"/>
    <w:rsid w:val="00AD0C0D"/>
    <w:rsid w:val="00AE14B1"/>
    <w:rsid w:val="00AE1809"/>
    <w:rsid w:val="00B05464"/>
    <w:rsid w:val="00B40F4F"/>
    <w:rsid w:val="00B80D76"/>
    <w:rsid w:val="00BA2105"/>
    <w:rsid w:val="00BA7E06"/>
    <w:rsid w:val="00BB43B5"/>
    <w:rsid w:val="00BB6219"/>
    <w:rsid w:val="00BC676D"/>
    <w:rsid w:val="00BD290F"/>
    <w:rsid w:val="00BF6223"/>
    <w:rsid w:val="00C07114"/>
    <w:rsid w:val="00C07F1C"/>
    <w:rsid w:val="00C14CC4"/>
    <w:rsid w:val="00C26C70"/>
    <w:rsid w:val="00C33C52"/>
    <w:rsid w:val="00C40D8B"/>
    <w:rsid w:val="00C828FD"/>
    <w:rsid w:val="00C8407A"/>
    <w:rsid w:val="00C8488C"/>
    <w:rsid w:val="00C86E91"/>
    <w:rsid w:val="00C9542F"/>
    <w:rsid w:val="00CA19A3"/>
    <w:rsid w:val="00CA2010"/>
    <w:rsid w:val="00CA2650"/>
    <w:rsid w:val="00CB1078"/>
    <w:rsid w:val="00CC6FAF"/>
    <w:rsid w:val="00CD3F0A"/>
    <w:rsid w:val="00CF4A46"/>
    <w:rsid w:val="00D24698"/>
    <w:rsid w:val="00D504C2"/>
    <w:rsid w:val="00D6383F"/>
    <w:rsid w:val="00D662C8"/>
    <w:rsid w:val="00DB4A58"/>
    <w:rsid w:val="00DB59D0"/>
    <w:rsid w:val="00DB6F59"/>
    <w:rsid w:val="00DC2F2F"/>
    <w:rsid w:val="00DC33D3"/>
    <w:rsid w:val="00DC64D3"/>
    <w:rsid w:val="00DE7ADE"/>
    <w:rsid w:val="00E26329"/>
    <w:rsid w:val="00E40B50"/>
    <w:rsid w:val="00E50293"/>
    <w:rsid w:val="00E65FFC"/>
    <w:rsid w:val="00E670E2"/>
    <w:rsid w:val="00E80951"/>
    <w:rsid w:val="00E854FE"/>
    <w:rsid w:val="00E86CC6"/>
    <w:rsid w:val="00EB56B3"/>
    <w:rsid w:val="00ED6492"/>
    <w:rsid w:val="00EF2095"/>
    <w:rsid w:val="00F06866"/>
    <w:rsid w:val="00F15956"/>
    <w:rsid w:val="00F24CFC"/>
    <w:rsid w:val="00F25372"/>
    <w:rsid w:val="00F3170F"/>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96F52A"/>
  <w15:chartTrackingRefBased/>
  <w15:docId w15:val="{E680009C-4FFC-4B24-9DA2-42890AD5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F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paragraph" w:customStyle="1" w:styleId="ColorfulList-Accent11">
    <w:name w:val="Colorful List - Accent 11"/>
    <w:basedOn w:val="Normal"/>
    <w:uiPriority w:val="34"/>
    <w:qFormat/>
    <w:rsid w:val="0036361A"/>
    <w:pPr>
      <w:ind w:left="720"/>
      <w:contextualSpacing/>
    </w:pPr>
  </w:style>
  <w:style w:type="character" w:styleId="UnresolvedMention">
    <w:name w:val="Unresolved Mention"/>
    <w:uiPriority w:val="99"/>
    <w:semiHidden/>
    <w:unhideWhenUsed/>
    <w:rsid w:val="008C1219"/>
    <w:rPr>
      <w:color w:val="605E5C"/>
      <w:shd w:val="clear" w:color="auto" w:fill="E1DFDD"/>
    </w:rPr>
  </w:style>
  <w:style w:type="character" w:styleId="FollowedHyperlink">
    <w:name w:val="FollowedHyperlink"/>
    <w:rsid w:val="00B40F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 TargetMode="External" /><Relationship Id="rId9" Type="http://schemas.openxmlformats.org/officeDocument/2006/relationships/hyperlink" Target="https://www.opm.gov/policy-data-oversight/pay-leave/salaries-wages/salary-tables/pdf/2023/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5" ma:contentTypeDescription="Create a new document." ma:contentTypeScope="" ma:versionID="3932513f1fd132cb4c7fda076fcd7450">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2b3e8e1ade97ecca14e22ade7c927d40"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7d699a-ea44-4011-9829-5a7f5799e541}" ma:internalName="TaxCatchAll" ma:showField="CatchAllData" ma:web="79d9c318-3622-4b6e-871a-06c30101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829193-b200-4c79-89ad-5d963afec298">
      <Terms xmlns="http://schemas.microsoft.com/office/infopath/2007/PartnerControls"/>
    </lcf76f155ced4ddcb4097134ff3c332f>
    <TaxCatchAll xmlns="79d9c318-3622-4b6e-871a-06c30101b4a0"/>
  </documentManagement>
</p:properties>
</file>

<file path=customXml/itemProps1.xml><?xml version="1.0" encoding="utf-8"?>
<ds:datastoreItem xmlns:ds="http://schemas.openxmlformats.org/officeDocument/2006/customXml" ds:itemID="{F475DAB0-4FBA-4D0F-8232-1D1B36A86DE8}">
  <ds:schemaRefs>
    <ds:schemaRef ds:uri="http://schemas.microsoft.com/sharepoint/v3/contenttype/forms"/>
  </ds:schemaRefs>
</ds:datastoreItem>
</file>

<file path=customXml/itemProps2.xml><?xml version="1.0" encoding="utf-8"?>
<ds:datastoreItem xmlns:ds="http://schemas.openxmlformats.org/officeDocument/2006/customXml" ds:itemID="{D01191BD-0356-4378-9433-395451B07050}">
  <ds:schemaRefs>
    <ds:schemaRef ds:uri="http://schemas.openxmlformats.org/officeDocument/2006/bibliography"/>
  </ds:schemaRefs>
</ds:datastoreItem>
</file>

<file path=customXml/itemProps3.xml><?xml version="1.0" encoding="utf-8"?>
<ds:datastoreItem xmlns:ds="http://schemas.openxmlformats.org/officeDocument/2006/customXml" ds:itemID="{BFC80BCA-D567-40E4-901B-9B618A589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29D162-F72E-4CB3-8286-41B05715BFD8}">
  <ds:schemaRefs>
    <ds:schemaRef ds:uri="http://schemas.microsoft.com/office/2006/metadata/properties"/>
    <ds:schemaRef ds:uri="http://schemas.microsoft.com/office/infopath/2007/PartnerControls"/>
    <ds:schemaRef ds:uri="50829193-b200-4c79-89ad-5d963afec298"/>
    <ds:schemaRef ds:uri="79d9c318-3622-4b6e-871a-06c30101b4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2023-06-26T12:10:00Z</dcterms:created>
  <dcterms:modified xsi:type="dcterms:W3CDTF">2023-06-26T12:10:00Z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