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131D8B">
      <w:pPr>
        <w:spacing w:before="79"/>
        <w:ind w:left="111" w:right="272"/>
        <w:jc w:val="center"/>
        <w:rPr>
          <w:b/>
          <w:sz w:val="24"/>
        </w:rPr>
      </w:pPr>
      <w:r>
        <w:rPr>
          <w:b/>
          <w:sz w:val="24"/>
          <w:u w:val="single"/>
        </w:rPr>
        <w:t>Supporting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z w:val="24"/>
          <w:u w:val="single"/>
        </w:rPr>
        <w:t>Statement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z w:val="24"/>
          <w:u w:val="single"/>
        </w:rPr>
        <w:t>-</w:t>
      </w:r>
      <w:r>
        <w:rPr>
          <w:b/>
          <w:spacing w:val="-2"/>
          <w:sz w:val="24"/>
          <w:u w:val="single"/>
        </w:rPr>
        <w:t xml:space="preserve"> </w:t>
      </w:r>
      <w:r>
        <w:rPr>
          <w:b/>
          <w:sz w:val="24"/>
          <w:u w:val="single"/>
        </w:rPr>
        <w:t>Part</w:t>
      </w:r>
      <w:r>
        <w:rPr>
          <w:b/>
          <w:spacing w:val="-4"/>
          <w:sz w:val="24"/>
          <w:u w:val="single"/>
        </w:rPr>
        <w:t xml:space="preserve"> </w:t>
      </w:r>
      <w:r>
        <w:rPr>
          <w:b/>
          <w:spacing w:val="-10"/>
          <w:sz w:val="24"/>
          <w:u w:val="single"/>
        </w:rPr>
        <w:t>B</w:t>
      </w:r>
    </w:p>
    <w:p w:rsidR="00131D8B">
      <w:pPr>
        <w:pStyle w:val="BodyText"/>
        <w:spacing w:before="2"/>
        <w:rPr>
          <w:b/>
          <w:sz w:val="16"/>
        </w:rPr>
      </w:pPr>
    </w:p>
    <w:p w:rsidR="00131D8B">
      <w:pPr>
        <w:pStyle w:val="Heading1"/>
        <w:spacing w:before="90"/>
      </w:pPr>
      <w:r>
        <w:t>External Quality Review (EQR) of Medicaid and Children Health Insurance Program (CHIP)</w:t>
      </w:r>
      <w:r>
        <w:rPr>
          <w:spacing w:val="-5"/>
        </w:rPr>
        <w:t xml:space="preserve"> </w:t>
      </w:r>
      <w:r>
        <w:t>Managed</w:t>
      </w:r>
      <w:r>
        <w:rPr>
          <w:spacing w:val="-4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EQR</w:t>
      </w:r>
      <w:r>
        <w:rPr>
          <w:spacing w:val="-5"/>
        </w:rPr>
        <w:t xml:space="preserve"> </w:t>
      </w:r>
      <w:r>
        <w:t>Protocols,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Supporting</w:t>
      </w:r>
      <w:r>
        <w:rPr>
          <w:spacing w:val="-5"/>
        </w:rPr>
        <w:t xml:space="preserve"> </w:t>
      </w:r>
      <w:r>
        <w:t>Regulations</w:t>
      </w:r>
      <w:r>
        <w:rPr>
          <w:spacing w:val="-4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42</w:t>
      </w:r>
      <w:r>
        <w:rPr>
          <w:spacing w:val="-4"/>
        </w:rPr>
        <w:t xml:space="preserve"> </w:t>
      </w:r>
      <w:r>
        <w:t>CFR</w:t>
      </w:r>
      <w:r>
        <w:rPr>
          <w:spacing w:val="-5"/>
        </w:rPr>
        <w:t xml:space="preserve"> </w:t>
      </w:r>
      <w:r>
        <w:t>438.350, 438.352, 438.354, 438.356, 438.358, 438.360, 438.362, 438.364, and 438.370</w:t>
      </w:r>
    </w:p>
    <w:p w:rsidR="00131D8B">
      <w:pPr>
        <w:ind w:left="114" w:right="271"/>
        <w:jc w:val="center"/>
        <w:rPr>
          <w:b/>
          <w:sz w:val="24"/>
        </w:rPr>
      </w:pPr>
      <w:r>
        <w:rPr>
          <w:b/>
          <w:sz w:val="24"/>
        </w:rPr>
        <w:t>CMS-R-305,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OMB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0938-</w:t>
      </w:r>
      <w:r>
        <w:rPr>
          <w:b/>
          <w:spacing w:val="-4"/>
          <w:sz w:val="24"/>
        </w:rPr>
        <w:t>0786</w:t>
      </w:r>
    </w:p>
    <w:p w:rsidR="00131D8B">
      <w:pPr>
        <w:pStyle w:val="BodyText"/>
        <w:rPr>
          <w:b/>
        </w:rPr>
      </w:pPr>
    </w:p>
    <w:p w:rsidR="00131D8B">
      <w:pPr>
        <w:pStyle w:val="BodyText"/>
        <w:ind w:left="391" w:right="124"/>
      </w:pPr>
      <w:r>
        <w:rPr>
          <w:b/>
        </w:rPr>
        <w:t xml:space="preserve">Collection of Information Employing Statistical Methods </w:t>
      </w:r>
      <w:r>
        <w:t>- The eight currently</w:t>
      </w:r>
      <w:r>
        <w:rPr>
          <w:spacing w:val="-1"/>
        </w:rPr>
        <w:t xml:space="preserve"> </w:t>
      </w:r>
      <w:r>
        <w:t xml:space="preserve">approved protocols were drafted in 2010 by Provider Resources, Inc. </w:t>
      </w:r>
      <w:r>
        <w:t>and the National Commission</w:t>
      </w:r>
      <w:r>
        <w:rPr>
          <w:spacing w:val="40"/>
        </w:rPr>
        <w:t xml:space="preserve"> </w:t>
      </w:r>
      <w:r>
        <w:t>for Quality Assurance with the intention of providing updated guidance to states, their contractors that are not managed care organizations (MCOs), prepaid inpatient health plans (PIHPs),</w:t>
      </w:r>
      <w:r>
        <w:rPr>
          <w:spacing w:val="-4"/>
        </w:rPr>
        <w:t xml:space="preserve"> </w:t>
      </w:r>
      <w:r>
        <w:t>prepaid</w:t>
      </w:r>
      <w:r>
        <w:rPr>
          <w:spacing w:val="-1"/>
        </w:rPr>
        <w:t xml:space="preserve"> </w:t>
      </w:r>
      <w:r>
        <w:t>ambulatory</w:t>
      </w:r>
      <w:r>
        <w:rPr>
          <w:spacing w:val="-8"/>
        </w:rPr>
        <w:t xml:space="preserve"> </w:t>
      </w:r>
      <w:r>
        <w:t>health</w:t>
      </w:r>
      <w:r>
        <w:rPr>
          <w:spacing w:val="-3"/>
        </w:rPr>
        <w:t xml:space="preserve"> </w:t>
      </w:r>
      <w:r>
        <w:t>plans</w:t>
      </w:r>
      <w:r>
        <w:rPr>
          <w:spacing w:val="-3"/>
        </w:rPr>
        <w:t xml:space="preserve"> </w:t>
      </w:r>
      <w:r>
        <w:t>(PAHPs),</w:t>
      </w:r>
      <w:r>
        <w:rPr>
          <w:spacing w:val="-3"/>
        </w:rPr>
        <w:t xml:space="preserve"> </w:t>
      </w:r>
      <w:r>
        <w:t>primary</w:t>
      </w:r>
      <w:r>
        <w:rPr>
          <w:spacing w:val="-8"/>
        </w:rPr>
        <w:t xml:space="preserve"> </w:t>
      </w:r>
      <w:r>
        <w:t>care</w:t>
      </w:r>
      <w:r>
        <w:rPr>
          <w:spacing w:val="-2"/>
        </w:rPr>
        <w:t xml:space="preserve"> </w:t>
      </w:r>
      <w:r>
        <w:t>case</w:t>
      </w:r>
      <w:r>
        <w:rPr>
          <w:spacing w:val="-4"/>
        </w:rPr>
        <w:t xml:space="preserve"> </w:t>
      </w:r>
      <w:r>
        <w:t>management</w:t>
      </w:r>
      <w:r>
        <w:rPr>
          <w:spacing w:val="-3"/>
        </w:rPr>
        <w:t xml:space="preserve"> </w:t>
      </w:r>
      <w:r>
        <w:t>(PCCM) entities (described in §438.310(c)(2)), or external quality review organizations (EQROs) hired</w:t>
      </w:r>
      <w:r>
        <w:rPr>
          <w:spacing w:val="-1"/>
        </w:rPr>
        <w:t xml:space="preserve"> </w:t>
      </w:r>
      <w:r>
        <w:t>by</w:t>
      </w:r>
      <w:r>
        <w:rPr>
          <w:spacing w:val="-6"/>
        </w:rPr>
        <w:t xml:space="preserve"> </w:t>
      </w:r>
      <w:r>
        <w:t>states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how</w:t>
      </w:r>
      <w:r>
        <w:rPr>
          <w:spacing w:val="-2"/>
        </w:rPr>
        <w:t xml:space="preserve"> </w:t>
      </w:r>
      <w:r>
        <w:t>to properly</w:t>
      </w:r>
      <w:r>
        <w:rPr>
          <w:spacing w:val="-6"/>
        </w:rPr>
        <w:t xml:space="preserve"> </w:t>
      </w:r>
      <w:r>
        <w:t>conduct</w:t>
      </w:r>
      <w:r>
        <w:rPr>
          <w:spacing w:val="-1"/>
        </w:rPr>
        <w:t xml:space="preserve"> </w:t>
      </w:r>
      <w:r>
        <w:t>three mandatory</w:t>
      </w:r>
      <w:r>
        <w:rPr>
          <w:spacing w:val="-6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five</w:t>
      </w:r>
      <w:r>
        <w:rPr>
          <w:spacing w:val="-2"/>
        </w:rPr>
        <w:t xml:space="preserve"> </w:t>
      </w:r>
      <w:r>
        <w:t>optional</w:t>
      </w:r>
      <w:r>
        <w:rPr>
          <w:spacing w:val="-1"/>
        </w:rPr>
        <w:t xml:space="preserve"> </w:t>
      </w:r>
      <w:r>
        <w:t>EQR</w:t>
      </w:r>
      <w:r>
        <w:rPr>
          <w:spacing w:val="-1"/>
        </w:rPr>
        <w:t xml:space="preserve"> </w:t>
      </w:r>
      <w:r>
        <w:t>activities listed in 42 CFR 438.358.</w:t>
      </w:r>
      <w:r>
        <w:rPr>
          <w:spacing w:val="40"/>
        </w:rPr>
        <w:t xml:space="preserve"> </w:t>
      </w:r>
      <w:r>
        <w:t>The regulati</w:t>
      </w:r>
      <w:r>
        <w:t>ons required the initial drafting and promulgation of these protocols in 2003; the 2012 revision incorporated changes in law and quality</w:t>
      </w:r>
      <w:r>
        <w:rPr>
          <w:spacing w:val="-3"/>
        </w:rPr>
        <w:t xml:space="preserve"> </w:t>
      </w:r>
      <w:r>
        <w:t>practices since the original version was published.</w:t>
      </w:r>
      <w:r>
        <w:rPr>
          <w:spacing w:val="40"/>
        </w:rPr>
        <w:t xml:space="preserve"> </w:t>
      </w:r>
      <w:r>
        <w:t>CMS updated the information collection (but not the included protoc</w:t>
      </w:r>
      <w:r>
        <w:t xml:space="preserve">ols) to align with the EQR provisions of the final rule; this update was approved by OMB on June 16, 2017 with an expiration date of June 20, 2020 (ICR Reference Number 201611-0938-016). CMS updated the eight protocols in 2019 to align with the 2016 final </w:t>
      </w:r>
      <w:r>
        <w:t>rule; this update was approved by OMB on October 31, 2019 with an expiration date of October 31, 2022 (OMB Control Number 0938-0786).</w:t>
      </w:r>
    </w:p>
    <w:p w:rsidR="00131D8B">
      <w:pPr>
        <w:pStyle w:val="BodyText"/>
      </w:pPr>
    </w:p>
    <w:p w:rsidR="00131D8B">
      <w:pPr>
        <w:pStyle w:val="BodyText"/>
        <w:ind w:left="391" w:right="124"/>
      </w:pPr>
      <w:r>
        <w:t xml:space="preserve">The </w:t>
      </w:r>
      <w:r w:rsidR="002F2600">
        <w:t>information</w:t>
      </w:r>
      <w:r w:rsidR="002F2600">
        <w:rPr>
          <w:spacing w:val="-4"/>
        </w:rPr>
        <w:t xml:space="preserve"> </w:t>
      </w:r>
      <w:r w:rsidR="002F2600">
        <w:t>collection</w:t>
      </w:r>
      <w:r w:rsidR="002F2600">
        <w:rPr>
          <w:spacing w:val="-4"/>
        </w:rPr>
        <w:t xml:space="preserve"> </w:t>
      </w:r>
      <w:r w:rsidR="002F2600">
        <w:t>request</w:t>
      </w:r>
      <w:r w:rsidR="002F2600">
        <w:rPr>
          <w:spacing w:val="-4"/>
        </w:rPr>
        <w:t xml:space="preserve"> </w:t>
      </w:r>
      <w:r>
        <w:rPr>
          <w:spacing w:val="-4"/>
        </w:rPr>
        <w:t xml:space="preserve">was last </w:t>
      </w:r>
      <w:r w:rsidR="002F2600">
        <w:t>revis</w:t>
      </w:r>
      <w:r>
        <w:t>ed</w:t>
      </w:r>
      <w:r w:rsidR="002F2600">
        <w:rPr>
          <w:spacing w:val="-4"/>
        </w:rPr>
        <w:t xml:space="preserve"> </w:t>
      </w:r>
      <w:r>
        <w:t xml:space="preserve">in 2022 with </w:t>
      </w:r>
      <w:r w:rsidR="002F2600">
        <w:t>revisions to the EQR protocols</w:t>
      </w:r>
      <w:r>
        <w:t>, and</w:t>
      </w:r>
      <w:r w:rsidR="002F2600">
        <w:t xml:space="preserve"> include</w:t>
      </w:r>
      <w:r>
        <w:t>d</w:t>
      </w:r>
      <w:r w:rsidR="002F2600">
        <w:t>: (1) aligning the existing protocols, appendices, and worksheets with the 2020 final rule, and (2) adding a new protocol, Validation of Network Adequacy (RIN 0938-AS25, CMS-2390-F).</w:t>
      </w:r>
    </w:p>
    <w:p w:rsidR="001264F9">
      <w:pPr>
        <w:pStyle w:val="BodyText"/>
        <w:ind w:left="391" w:right="124"/>
      </w:pPr>
    </w:p>
    <w:p w:rsidR="001264F9">
      <w:pPr>
        <w:pStyle w:val="BodyText"/>
        <w:ind w:left="391" w:right="124"/>
      </w:pPr>
      <w:r>
        <w:t>The current information collection request is not revising the current protocols. If finalized, the rules promulgated by this rulemaking (CMS 2439-P) would result in revisions to protocols.</w:t>
      </w:r>
    </w:p>
    <w:p w:rsidR="00131D8B">
      <w:pPr>
        <w:pStyle w:val="BodyText"/>
      </w:pPr>
    </w:p>
    <w:p w:rsidR="00131D8B">
      <w:pPr>
        <w:pStyle w:val="ListParagraph"/>
        <w:numPr>
          <w:ilvl w:val="0"/>
          <w:numId w:val="1"/>
        </w:numPr>
        <w:tabs>
          <w:tab w:val="left" w:pos="660"/>
        </w:tabs>
        <w:rPr>
          <w:sz w:val="24"/>
        </w:rPr>
      </w:pPr>
      <w:r>
        <w:rPr>
          <w:sz w:val="24"/>
        </w:rPr>
        <w:t xml:space="preserve">States and/or their contractors </w:t>
      </w:r>
      <w:r>
        <w:rPr>
          <w:sz w:val="24"/>
        </w:rPr>
        <w:t>are not required to follow these protocols exactly, but are required to use “methods consistent with the Protocols.”</w:t>
      </w:r>
      <w:r>
        <w:rPr>
          <w:spacing w:val="40"/>
          <w:sz w:val="24"/>
        </w:rPr>
        <w:t xml:space="preserve"> </w:t>
      </w:r>
      <w:r>
        <w:rPr>
          <w:sz w:val="24"/>
        </w:rPr>
        <w:t>Taken together, the protocols could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4"/>
          <w:sz w:val="24"/>
        </w:rPr>
        <w:t xml:space="preserve"> </w:t>
      </w:r>
      <w:r>
        <w:rPr>
          <w:sz w:val="24"/>
        </w:rPr>
        <w:t>considered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be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textbook</w:t>
      </w:r>
      <w:r>
        <w:rPr>
          <w:spacing w:val="-3"/>
          <w:sz w:val="24"/>
        </w:rPr>
        <w:t xml:space="preserve"> </w:t>
      </w:r>
      <w:r>
        <w:rPr>
          <w:sz w:val="24"/>
        </w:rPr>
        <w:t>on</w:t>
      </w:r>
      <w:r>
        <w:rPr>
          <w:spacing w:val="-3"/>
          <w:sz w:val="24"/>
        </w:rPr>
        <w:t xml:space="preserve"> </w:t>
      </w:r>
      <w:r>
        <w:rPr>
          <w:sz w:val="24"/>
        </w:rPr>
        <w:t>statistical</w:t>
      </w:r>
      <w:r>
        <w:rPr>
          <w:spacing w:val="-5"/>
          <w:sz w:val="24"/>
        </w:rPr>
        <w:t xml:space="preserve"> </w:t>
      </w:r>
      <w:r>
        <w:rPr>
          <w:sz w:val="24"/>
        </w:rPr>
        <w:t>methods</w:t>
      </w:r>
      <w:r>
        <w:rPr>
          <w:spacing w:val="-3"/>
          <w:sz w:val="24"/>
        </w:rPr>
        <w:t xml:space="preserve"> </w:t>
      </w:r>
      <w:r>
        <w:rPr>
          <w:sz w:val="24"/>
        </w:rPr>
        <w:t>in</w:t>
      </w:r>
      <w:r>
        <w:rPr>
          <w:spacing w:val="-3"/>
          <w:sz w:val="24"/>
        </w:rPr>
        <w:t xml:space="preserve"> </w:t>
      </w:r>
      <w:r>
        <w:rPr>
          <w:sz w:val="24"/>
        </w:rPr>
        <w:t>health</w:t>
      </w:r>
      <w:r>
        <w:rPr>
          <w:spacing w:val="-3"/>
          <w:sz w:val="24"/>
        </w:rPr>
        <w:t xml:space="preserve"> </w:t>
      </w:r>
      <w:r>
        <w:rPr>
          <w:sz w:val="24"/>
        </w:rPr>
        <w:t>care</w:t>
      </w:r>
      <w:r>
        <w:rPr>
          <w:spacing w:val="-4"/>
          <w:sz w:val="24"/>
        </w:rPr>
        <w:t xml:space="preserve"> </w:t>
      </w:r>
      <w:r>
        <w:rPr>
          <w:sz w:val="24"/>
        </w:rPr>
        <w:t>quality</w:t>
      </w:r>
      <w:r>
        <w:rPr>
          <w:spacing w:val="-7"/>
          <w:sz w:val="24"/>
        </w:rPr>
        <w:t xml:space="preserve"> </w:t>
      </w:r>
      <w:r>
        <w:rPr>
          <w:sz w:val="24"/>
        </w:rPr>
        <w:t>control. Often, several statistically valid methods are offered to states and/or their contractors conducting a specific EQR task.</w:t>
      </w:r>
      <w:r>
        <w:rPr>
          <w:spacing w:val="40"/>
          <w:sz w:val="24"/>
        </w:rPr>
        <w:t xml:space="preserve"> </w:t>
      </w:r>
      <w:r>
        <w:rPr>
          <w:sz w:val="24"/>
        </w:rPr>
        <w:t>The protocols offer general statistical guidelines for states and/or their contractors to apply and do not dictate specifics.</w:t>
      </w:r>
      <w:r>
        <w:rPr>
          <w:spacing w:val="40"/>
          <w:sz w:val="24"/>
        </w:rPr>
        <w:t xml:space="preserve"> </w:t>
      </w:r>
      <w:r>
        <w:rPr>
          <w:sz w:val="24"/>
        </w:rPr>
        <w:t>The states and territories that utilize MCOs, PIHPs, PAHPs, or certain PCCM entities are therefore required to submit Medicaid EQR technical reports.</w:t>
      </w:r>
    </w:p>
    <w:p w:rsidR="00131D8B">
      <w:pPr>
        <w:pStyle w:val="BodyText"/>
        <w:spacing w:before="1"/>
      </w:pPr>
    </w:p>
    <w:p w:rsidR="00131D8B">
      <w:pPr>
        <w:pStyle w:val="ListParagraph"/>
        <w:numPr>
          <w:ilvl w:val="0"/>
          <w:numId w:val="1"/>
        </w:numPr>
        <w:tabs>
          <w:tab w:val="left" w:pos="660"/>
        </w:tabs>
        <w:ind w:right="382" w:hanging="361"/>
        <w:rPr>
          <w:sz w:val="23"/>
        </w:rPr>
      </w:pPr>
      <w:r>
        <w:rPr>
          <w:b/>
          <w:sz w:val="24"/>
        </w:rPr>
        <w:t>Procedures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for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collection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See</w:t>
      </w:r>
      <w:r>
        <w:rPr>
          <w:spacing w:val="-4"/>
          <w:sz w:val="24"/>
        </w:rPr>
        <w:t xml:space="preserve"> </w:t>
      </w:r>
      <w:r>
        <w:rPr>
          <w:sz w:val="24"/>
        </w:rPr>
        <w:t>answer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enclosed</w:t>
      </w:r>
      <w:r>
        <w:rPr>
          <w:spacing w:val="-3"/>
          <w:sz w:val="24"/>
        </w:rPr>
        <w:t xml:space="preserve"> </w:t>
      </w:r>
      <w:r>
        <w:rPr>
          <w:sz w:val="24"/>
        </w:rPr>
        <w:t>Protocols.</w:t>
      </w:r>
      <w:r>
        <w:rPr>
          <w:spacing w:val="40"/>
          <w:sz w:val="24"/>
        </w:rPr>
        <w:t xml:space="preserve"> </w:t>
      </w:r>
      <w:r>
        <w:rPr>
          <w:sz w:val="23"/>
        </w:rPr>
        <w:t>As required under 42 CF</w:t>
      </w:r>
      <w:r>
        <w:rPr>
          <w:sz w:val="23"/>
        </w:rPr>
        <w:t>R 438.10(c)(3), the state must post its finalized annual technical report(s) on its website by April 30th of each year</w:t>
      </w:r>
      <w:r w:rsidR="001264F9">
        <w:rPr>
          <w:sz w:val="23"/>
        </w:rPr>
        <w:t xml:space="preserve"> </w:t>
      </w:r>
      <w:r w:rsidR="001264F9">
        <w:rPr>
          <w:sz w:val="24"/>
        </w:rPr>
        <w:t>(proposed in CMS 2439-P to be changed to December 31)</w:t>
      </w:r>
      <w:r>
        <w:rPr>
          <w:sz w:val="23"/>
        </w:rPr>
        <w:t xml:space="preserve">. CMS also requests states submit their </w:t>
      </w:r>
      <w:r w:rsidR="001264F9">
        <w:rPr>
          <w:sz w:val="23"/>
        </w:rPr>
        <w:t xml:space="preserve">completed </w:t>
      </w:r>
      <w:r>
        <w:rPr>
          <w:sz w:val="23"/>
        </w:rPr>
        <w:t xml:space="preserve">EQR technical report(s) to CMS via email </w:t>
      </w:r>
      <w:r>
        <w:rPr>
          <w:sz w:val="23"/>
        </w:rPr>
        <w:t>each year</w:t>
      </w:r>
      <w:r w:rsidR="001264F9">
        <w:rPr>
          <w:sz w:val="23"/>
        </w:rPr>
        <w:t xml:space="preserve"> (notifying CMS is proposed as a requirement in CMS 2439-P)</w:t>
      </w:r>
      <w:r>
        <w:rPr>
          <w:sz w:val="23"/>
        </w:rPr>
        <w:t>.</w:t>
      </w:r>
    </w:p>
    <w:p w:rsidR="00131D8B">
      <w:pPr>
        <w:pStyle w:val="BodyText"/>
        <w:spacing w:before="10"/>
        <w:rPr>
          <w:sz w:val="23"/>
        </w:rPr>
      </w:pPr>
    </w:p>
    <w:p w:rsidR="00131D8B" w:rsidP="002F2600">
      <w:pPr>
        <w:pStyle w:val="ListParagraph"/>
        <w:numPr>
          <w:ilvl w:val="0"/>
          <w:numId w:val="1"/>
        </w:numPr>
        <w:tabs>
          <w:tab w:val="left" w:pos="660"/>
        </w:tabs>
        <w:ind w:left="659" w:right="258"/>
      </w:pPr>
      <w:r>
        <w:rPr>
          <w:b/>
          <w:sz w:val="24"/>
        </w:rPr>
        <w:t>Methods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to maximize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response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rates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address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non-response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States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-3"/>
          <w:sz w:val="24"/>
        </w:rPr>
        <w:t xml:space="preserve"> </w:t>
      </w:r>
      <w:r>
        <w:rPr>
          <w:sz w:val="24"/>
        </w:rPr>
        <w:t>required by</w:t>
      </w:r>
      <w:r>
        <w:rPr>
          <w:spacing w:val="-7"/>
          <w:sz w:val="24"/>
        </w:rPr>
        <w:t xml:space="preserve"> </w:t>
      </w:r>
      <w:r>
        <w:rPr>
          <w:sz w:val="24"/>
        </w:rPr>
        <w:t>regulation</w:t>
      </w:r>
      <w:r>
        <w:rPr>
          <w:spacing w:val="-2"/>
          <w:sz w:val="24"/>
        </w:rPr>
        <w:t xml:space="preserve"> </w:t>
      </w:r>
      <w:r>
        <w:rPr>
          <w:sz w:val="24"/>
        </w:rPr>
        <w:t>(see</w:t>
      </w:r>
      <w:r>
        <w:rPr>
          <w:spacing w:val="-3"/>
          <w:sz w:val="24"/>
        </w:rPr>
        <w:t xml:space="preserve"> </w:t>
      </w:r>
      <w:r>
        <w:rPr>
          <w:sz w:val="24"/>
        </w:rPr>
        <w:t>42</w:t>
      </w:r>
      <w:r>
        <w:rPr>
          <w:spacing w:val="-2"/>
          <w:sz w:val="24"/>
        </w:rPr>
        <w:t xml:space="preserve"> </w:t>
      </w:r>
      <w:r>
        <w:rPr>
          <w:sz w:val="24"/>
        </w:rPr>
        <w:t>CFR</w:t>
      </w:r>
      <w:r>
        <w:rPr>
          <w:spacing w:val="-2"/>
          <w:sz w:val="24"/>
        </w:rPr>
        <w:t xml:space="preserve"> </w:t>
      </w:r>
      <w:r>
        <w:rPr>
          <w:sz w:val="24"/>
        </w:rPr>
        <w:t>438.364(c)(1))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2"/>
          <w:sz w:val="24"/>
        </w:rPr>
        <w:t xml:space="preserve"> </w:t>
      </w:r>
      <w:r>
        <w:rPr>
          <w:sz w:val="24"/>
        </w:rPr>
        <w:t>finalize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3"/>
          <w:sz w:val="24"/>
        </w:rPr>
        <w:t xml:space="preserve"> </w:t>
      </w:r>
      <w:r>
        <w:rPr>
          <w:sz w:val="24"/>
        </w:rPr>
        <w:t>annual</w:t>
      </w:r>
      <w:r>
        <w:rPr>
          <w:spacing w:val="-2"/>
          <w:sz w:val="24"/>
        </w:rPr>
        <w:t xml:space="preserve"> </w:t>
      </w:r>
      <w:r>
        <w:rPr>
          <w:sz w:val="24"/>
        </w:rPr>
        <w:t>EQR</w:t>
      </w:r>
      <w:r>
        <w:rPr>
          <w:spacing w:val="-2"/>
          <w:sz w:val="24"/>
        </w:rPr>
        <w:t xml:space="preserve"> </w:t>
      </w:r>
      <w:r>
        <w:rPr>
          <w:sz w:val="24"/>
        </w:rPr>
        <w:t>technical</w:t>
      </w:r>
      <w:r>
        <w:rPr>
          <w:spacing w:val="-2"/>
          <w:sz w:val="24"/>
        </w:rPr>
        <w:t xml:space="preserve"> </w:t>
      </w:r>
      <w:r>
        <w:rPr>
          <w:sz w:val="24"/>
        </w:rPr>
        <w:t>report</w:t>
      </w:r>
      <w:r>
        <w:rPr>
          <w:spacing w:val="-2"/>
          <w:sz w:val="24"/>
        </w:rPr>
        <w:t xml:space="preserve"> </w:t>
      </w:r>
      <w:r>
        <w:rPr>
          <w:sz w:val="24"/>
        </w:rPr>
        <w:t>by April 30</w:t>
      </w:r>
      <w:r>
        <w:rPr>
          <w:sz w:val="24"/>
          <w:vertAlign w:val="superscript"/>
        </w:rPr>
        <w:t>th</w:t>
      </w:r>
      <w:r>
        <w:rPr>
          <w:sz w:val="24"/>
        </w:rPr>
        <w:t xml:space="preserve"> each year</w:t>
      </w:r>
      <w:r w:rsidR="001264F9">
        <w:rPr>
          <w:sz w:val="24"/>
        </w:rPr>
        <w:t xml:space="preserve"> (proposed in CMS 2439-P to be changed to December 31)</w:t>
      </w:r>
      <w:r>
        <w:rPr>
          <w:sz w:val="24"/>
        </w:rPr>
        <w:t>.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CMS </w:t>
      </w:r>
      <w:r>
        <w:rPr>
          <w:sz w:val="24"/>
        </w:rPr>
        <w:t>proactively reaches out to states to solicit annual report submission.</w:t>
      </w:r>
      <w:r>
        <w:rPr>
          <w:spacing w:val="40"/>
          <w:sz w:val="24"/>
        </w:rPr>
        <w:t xml:space="preserve"> </w:t>
      </w:r>
      <w:r>
        <w:rPr>
          <w:sz w:val="24"/>
        </w:rPr>
        <w:t>Following initial outreach, the CMS conducts state-specific follow-up to address non-response.</w:t>
      </w:r>
      <w:r>
        <w:rPr>
          <w:spacing w:val="40"/>
          <w:sz w:val="24"/>
        </w:rPr>
        <w:t xml:space="preserve"> </w:t>
      </w:r>
      <w:r>
        <w:rPr>
          <w:sz w:val="24"/>
        </w:rPr>
        <w:t>We work with states and/or their contractors to improv</w:t>
      </w:r>
      <w:r w:rsidR="001264F9">
        <w:rPr>
          <w:sz w:val="24"/>
        </w:rPr>
        <w:t xml:space="preserve">e </w:t>
      </w:r>
      <w:r>
        <w:t>compliance</w:t>
      </w:r>
      <w:r>
        <w:rPr>
          <w:spacing w:val="-3"/>
        </w:rPr>
        <w:t xml:space="preserve"> </w:t>
      </w:r>
      <w:r>
        <w:t>and address requests</w:t>
      </w:r>
      <w:r>
        <w:rPr>
          <w:spacing w:val="-2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technical</w:t>
      </w:r>
      <w:r>
        <w:rPr>
          <w:spacing w:val="-1"/>
        </w:rPr>
        <w:t xml:space="preserve"> </w:t>
      </w:r>
      <w:r>
        <w:rPr>
          <w:spacing w:val="-2"/>
        </w:rPr>
        <w:t>assistance.</w:t>
      </w:r>
    </w:p>
    <w:p w:rsidR="00131D8B">
      <w:pPr>
        <w:pStyle w:val="BodyText"/>
      </w:pPr>
    </w:p>
    <w:p w:rsidR="00131D8B">
      <w:pPr>
        <w:pStyle w:val="ListParagraph"/>
        <w:numPr>
          <w:ilvl w:val="0"/>
          <w:numId w:val="1"/>
        </w:numPr>
        <w:tabs>
          <w:tab w:val="left" w:pos="660"/>
        </w:tabs>
        <w:ind w:right="783"/>
        <w:rPr>
          <w:sz w:val="24"/>
        </w:rPr>
      </w:pPr>
      <w:r>
        <w:rPr>
          <w:b/>
          <w:sz w:val="24"/>
        </w:rPr>
        <w:t>Tests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procedures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methods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undertaken</w:t>
      </w:r>
      <w:r>
        <w:rPr>
          <w:b/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See</w:t>
      </w:r>
      <w:r>
        <w:rPr>
          <w:spacing w:val="-4"/>
          <w:sz w:val="24"/>
        </w:rPr>
        <w:t xml:space="preserve"> </w:t>
      </w:r>
      <w:r>
        <w:rPr>
          <w:sz w:val="24"/>
        </w:rPr>
        <w:t>answer</w:t>
      </w:r>
      <w:r>
        <w:rPr>
          <w:spacing w:val="-4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number</w:t>
      </w:r>
      <w:r>
        <w:rPr>
          <w:spacing w:val="-4"/>
          <w:sz w:val="24"/>
        </w:rPr>
        <w:t xml:space="preserve"> </w:t>
      </w:r>
      <w:r>
        <w:rPr>
          <w:sz w:val="24"/>
        </w:rPr>
        <w:t>one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3"/>
          <w:sz w:val="24"/>
        </w:rPr>
        <w:t xml:space="preserve"> </w:t>
      </w:r>
      <w:r>
        <w:rPr>
          <w:sz w:val="24"/>
        </w:rPr>
        <w:t>the enclosed Protocols.</w:t>
      </w:r>
    </w:p>
    <w:p w:rsidR="00131D8B">
      <w:pPr>
        <w:pStyle w:val="BodyText"/>
      </w:pPr>
    </w:p>
    <w:p w:rsidR="00131D8B">
      <w:pPr>
        <w:pStyle w:val="ListParagraph"/>
        <w:numPr>
          <w:ilvl w:val="0"/>
          <w:numId w:val="1"/>
        </w:numPr>
        <w:tabs>
          <w:tab w:val="left" w:pos="660"/>
        </w:tabs>
        <w:ind w:right="235"/>
        <w:jc w:val="both"/>
        <w:rPr>
          <w:sz w:val="24"/>
        </w:rPr>
      </w:pPr>
      <w:r>
        <w:rPr>
          <w:b/>
          <w:sz w:val="24"/>
        </w:rPr>
        <w:t>Individuals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consulted</w:t>
      </w:r>
      <w:r>
        <w:rPr>
          <w:b/>
          <w:spacing w:val="-1"/>
          <w:sz w:val="24"/>
        </w:rPr>
        <w:t xml:space="preserve"> </w:t>
      </w:r>
      <w:r>
        <w:rPr>
          <w:sz w:val="24"/>
        </w:rPr>
        <w:t>–</w:t>
      </w:r>
      <w:r>
        <w:rPr>
          <w:spacing w:val="-4"/>
          <w:sz w:val="24"/>
        </w:rPr>
        <w:t xml:space="preserve"> </w:t>
      </w:r>
      <w:r w:rsidR="001264F9">
        <w:rPr>
          <w:spacing w:val="-4"/>
          <w:sz w:val="24"/>
        </w:rPr>
        <w:t>Not applicable with this information collection request, since the protocols are not being revised</w:t>
      </w:r>
      <w:bookmarkStart w:id="0" w:name="_GoBack"/>
      <w:bookmarkEnd w:id="0"/>
      <w:r w:rsidR="001264F9">
        <w:rPr>
          <w:spacing w:val="-4"/>
          <w:sz w:val="24"/>
        </w:rPr>
        <w:t xml:space="preserve">. </w:t>
      </w:r>
    </w:p>
    <w:sectPr>
      <w:pgSz w:w="12240" w:h="15840"/>
      <w:pgMar w:top="1360" w:right="1340" w:bottom="280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8244AE4"/>
    <w:multiLevelType w:val="hybridMultilevel"/>
    <w:tmpl w:val="ABF0B298"/>
    <w:lvl w:ilvl="0">
      <w:start w:val="1"/>
      <w:numFmt w:val="decimal"/>
      <w:lvlText w:val="%1)"/>
      <w:lvlJc w:val="left"/>
      <w:pPr>
        <w:ind w:left="660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8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3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5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1D8B"/>
    <w:rsid w:val="001264F9"/>
    <w:rsid w:val="00131D8B"/>
    <w:rsid w:val="002F2600"/>
    <w:rsid w:val="0058744C"/>
    <w:rsid w:val="00EC65EA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759330CC"/>
  <w15:docId w15:val="{AF016A77-E30C-400E-90C7-C0A047A03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14" w:right="272"/>
      <w:jc w:val="center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660" w:right="201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1264F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64F9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Supporting Statement Part B- CMS-R-305</vt:lpstr>
    </vt:vector>
  </TitlesOfParts>
  <Company>CMS</Company>
  <LinksUpToDate>false</LinksUpToDate>
  <CharactersWithSpaces>3938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Supporting Statement Part B- CMS-R-305</dc:title>
  <dc:creator>CMS</dc:creator>
  <cp:lastModifiedBy>Carlye Burd</cp:lastModifiedBy>
  <cp:revision>2</cp:revision>
  <dcterms:created xsi:type="dcterms:W3CDTF">2023-04-25T13:30:00Z</dcterms:created>
  <dcterms:modified xsi:type="dcterms:W3CDTF">2023-04-25T13:30:00Z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0x010100FFC6E7C9108470409868AFD661107E3B</vt:lpwstr>
  </property>
  <property fmtid="{D5CDD505-2E9C-101B-9397-08002B2CF9AE}" pid="3" name="Created">
    <vt:filetime>2022-04-14T00:00:00Z</vt:filetime>
  </property>
  <property fmtid="{D5CDD505-2E9C-101B-9397-08002B2CF9AE}" pid="4" name="Creator">
    <vt:lpwstr>Acrobat PDFMaker 21 for Word</vt:lpwstr>
  </property>
  <property fmtid="{D5CDD505-2E9C-101B-9397-08002B2CF9AE}" pid="5" name="LastSaved">
    <vt:filetime>2023-04-20T00:00:00Z</vt:filetime>
  </property>
  <property fmtid="{D5CDD505-2E9C-101B-9397-08002B2CF9AE}" pid="6" name="Producer">
    <vt:lpwstr>Adobe PDF Library 21.7.131</vt:lpwstr>
  </property>
  <property fmtid="{D5CDD505-2E9C-101B-9397-08002B2CF9AE}" pid="7" name="SourceModified">
    <vt:lpwstr>D:20220414203157</vt:lpwstr>
  </property>
  <property fmtid="{D5CDD505-2E9C-101B-9397-08002B2CF9AE}" pid="8" name="_dlc_DocIdItemGuid">
    <vt:lpwstr>4223d668-af54-4486-86a3-5d8958b7a0a5</vt:lpwstr>
  </property>
  <property fmtid="{D5CDD505-2E9C-101B-9397-08002B2CF9AE}" pid="9" name="_NewReviewCycle">
    <vt:lpwstr/>
  </property>
</Properties>
</file>