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A21B8" w:rsidP="00DB1275" w14:paraId="6D4D50F1" w14:textId="608A9B38">
      <w:pPr>
        <w:pStyle w:val="Heading1"/>
        <w:spacing w:before="0"/>
      </w:pPr>
      <w:r w:rsidRPr="00FA1ED3">
        <w:t>STAKEHOLDER SUBMISSIONS OF MIPS VALUE PATHWAYS (MVP) CANDIDATES: INSTRUCTIONS AND TEMPLATE</w:t>
      </w:r>
    </w:p>
    <w:p w:rsidR="0059652E" w:rsidRPr="00D12443" w:rsidP="00BF1CDD" w14:paraId="4678388F" w14:textId="36A8302F">
      <w:pPr>
        <w:pStyle w:val="Heading2"/>
        <w:spacing w:before="0" w:line="240" w:lineRule="auto"/>
      </w:pPr>
      <w:r w:rsidRPr="00C4670F">
        <w:t>Background</w:t>
      </w:r>
    </w:p>
    <w:p w:rsidR="0059652E" w:rsidRPr="00212068" w:rsidP="00EC60D9" w14:paraId="0D1EAE8D" w14:textId="77777777">
      <w:pPr>
        <w:pStyle w:val="Heading3"/>
        <w:spacing w:line="240" w:lineRule="auto"/>
      </w:pPr>
      <w:r w:rsidRPr="00C4670F">
        <w:t>Purpose</w:t>
      </w:r>
    </w:p>
    <w:p w:rsidR="00EC2806" w:rsidP="00363C94" w14:paraId="6D1B2093" w14:textId="7FABB666">
      <w:pPr>
        <w:pStyle w:val="Bodycopy"/>
      </w:pPr>
      <w:bookmarkStart w:id="0" w:name="OLE_LINK9"/>
      <w:r w:rsidRPr="00C4670F">
        <w:t xml:space="preserve">The Centers for Medicare &amp; Medicaid Services (CMS) invites </w:t>
      </w:r>
      <w:r w:rsidR="00A16271">
        <w:t xml:space="preserve">the </w:t>
      </w:r>
      <w:r w:rsidR="00A16271">
        <w:t>general public</w:t>
      </w:r>
      <w:r w:rsidRPr="00C4670F">
        <w:t xml:space="preserve"> to submit Merit-based Incentive Payment System (MIPS) Value Pathways (MVP) candidates for </w:t>
      </w:r>
      <w:r w:rsidR="00CA7C7F">
        <w:t xml:space="preserve">CMS consideration </w:t>
      </w:r>
      <w:r w:rsidRPr="00C4670F">
        <w:t xml:space="preserve">and potential </w:t>
      </w:r>
      <w:r w:rsidR="00CA7C7F">
        <w:t>implementation through</w:t>
      </w:r>
      <w:r w:rsidRPr="00C4670F">
        <w:t xml:space="preserve"> future rulemaking.</w:t>
      </w:r>
    </w:p>
    <w:bookmarkEnd w:id="0"/>
    <w:p w:rsidR="00EF298A" w:rsidRPr="00C4670F" w:rsidP="00363C94" w14:paraId="6C6F9C6B" w14:textId="77777777">
      <w:pPr>
        <w:pStyle w:val="Bodycopy"/>
      </w:pPr>
    </w:p>
    <w:p w:rsidR="00E2145D" w:rsidP="00EF298A" w14:paraId="44BDA0F0" w14:textId="614E9A36">
      <w:pPr>
        <w:rPr>
          <w:rFonts w:ascii="Arial" w:hAnsi="Arial" w:cs="Arial"/>
          <w:i/>
          <w:iCs/>
          <w:sz w:val="22"/>
          <w:szCs w:val="22"/>
        </w:rPr>
      </w:pPr>
      <w:r w:rsidRPr="00224030">
        <w:rPr>
          <w:rFonts w:ascii="Arial" w:hAnsi="Arial" w:cs="Arial"/>
          <w:i/>
          <w:iCs/>
          <w:sz w:val="22"/>
          <w:szCs w:val="22"/>
        </w:rPr>
        <w:t xml:space="preserve">Please note that this solicitation is separate from the annual Call for Quality Measures, Call for Improvement Activities, and Solicitation for Specialty Set </w:t>
      </w:r>
      <w:r w:rsidRPr="00224030" w:rsidR="0067197C">
        <w:rPr>
          <w:rFonts w:ascii="Arial" w:hAnsi="Arial" w:cs="Arial"/>
          <w:i/>
          <w:iCs/>
          <w:sz w:val="22"/>
          <w:szCs w:val="22"/>
        </w:rPr>
        <w:t>R</w:t>
      </w:r>
      <w:r w:rsidRPr="00224030">
        <w:rPr>
          <w:rFonts w:ascii="Arial" w:hAnsi="Arial" w:cs="Arial"/>
          <w:i/>
          <w:iCs/>
          <w:sz w:val="22"/>
          <w:szCs w:val="22"/>
        </w:rPr>
        <w:t>ecommendations.</w:t>
      </w:r>
    </w:p>
    <w:p w:rsidR="00EF298A" w:rsidRPr="00224030" w:rsidP="00EF298A" w14:paraId="1F7F0207" w14:textId="77777777">
      <w:pPr>
        <w:rPr>
          <w:rFonts w:ascii="Arial" w:hAnsi="Arial" w:cs="Arial"/>
          <w:i/>
          <w:iCs/>
          <w:sz w:val="22"/>
          <w:szCs w:val="22"/>
        </w:rPr>
      </w:pPr>
    </w:p>
    <w:p w:rsidR="00E2145D" w:rsidRPr="00BD4D79" w:rsidP="00BF1CDD" w14:paraId="39D3E2A4" w14:textId="77777777">
      <w:pPr>
        <w:pStyle w:val="Heading3"/>
        <w:spacing w:before="0" w:line="240" w:lineRule="auto"/>
      </w:pPr>
      <w:bookmarkStart w:id="1" w:name="OLE_LINK12"/>
      <w:r w:rsidRPr="00C4670F">
        <w:t>About MVPs</w:t>
      </w:r>
    </w:p>
    <w:p w:rsidR="00EC2806" w:rsidP="00363C94" w14:paraId="10AA840C" w14:textId="77FFE9CC">
      <w:pPr>
        <w:pStyle w:val="Bodycopy"/>
      </w:pPr>
      <w:r>
        <w:t xml:space="preserve">Through MVP implementation and reporting, </w:t>
      </w:r>
      <w:r w:rsidRPr="00C4670F" w:rsidR="00C4670F">
        <w:t xml:space="preserve">CMS </w:t>
      </w:r>
      <w:r w:rsidR="00266778">
        <w:t xml:space="preserve">aims </w:t>
      </w:r>
      <w:r w:rsidRPr="00C4670F" w:rsidR="00C4670F">
        <w:t xml:space="preserve">to </w:t>
      </w:r>
      <w:r w:rsidR="00266778">
        <w:t xml:space="preserve">improve patient outcomes, </w:t>
      </w:r>
      <w:r>
        <w:t>allow for more meaningful reporting by specialists and other MIPS eligible clinicians,</w:t>
      </w:r>
      <w:r w:rsidR="00430289">
        <w:t xml:space="preserve"> and</w:t>
      </w:r>
      <w:r>
        <w:t xml:space="preserve"> </w:t>
      </w:r>
      <w:r w:rsidRPr="00C4670F" w:rsidR="00C4670F">
        <w:t>reduce burden and complexity associated with selecting from a large inventory of measures</w:t>
      </w:r>
      <w:r>
        <w:t xml:space="preserve"> and activities</w:t>
      </w:r>
      <w:r w:rsidR="00C9716C">
        <w:t xml:space="preserve"> found under traditional MIPS</w:t>
      </w:r>
      <w:r w:rsidRPr="00C4670F" w:rsidR="00C4670F">
        <w:t>.</w:t>
      </w:r>
    </w:p>
    <w:p w:rsidR="00EF298A" w:rsidP="00363C94" w14:paraId="2FB930A5" w14:textId="77777777">
      <w:pPr>
        <w:pStyle w:val="Bodycopy"/>
      </w:pPr>
    </w:p>
    <w:p w:rsidR="00D708D5" w:rsidP="00363C94" w14:paraId="075245E3" w14:textId="21C788C1">
      <w:pPr>
        <w:pStyle w:val="Bodycopy"/>
      </w:pPr>
      <w:bookmarkStart w:id="2" w:name="_Hlk85464010"/>
      <w:r>
        <w:t xml:space="preserve">MVPs should be focused on a given specialty, condition, and/or episode of care. </w:t>
      </w:r>
      <w:r w:rsidR="00224030">
        <w:t xml:space="preserve">CMS </w:t>
      </w:r>
      <w:r w:rsidR="00EF6F24">
        <w:t>has identified</w:t>
      </w:r>
      <w:r w:rsidR="00BF48EC">
        <w:t xml:space="preserve"> </w:t>
      </w:r>
      <w:r w:rsidR="00190A86">
        <w:t>a list of specialties</w:t>
      </w:r>
      <w:r w:rsidR="00A829A1">
        <w:t>/clinical topics</w:t>
      </w:r>
      <w:r w:rsidR="00190A86">
        <w:t xml:space="preserve"> that are considered priorities for MVP development</w:t>
      </w:r>
      <w:r w:rsidR="00D97A33">
        <w:t xml:space="preserve"> and </w:t>
      </w:r>
      <w:r w:rsidR="00BC2E04">
        <w:t>e</w:t>
      </w:r>
      <w:r w:rsidR="00D97A33">
        <w:t xml:space="preserve">ncourages </w:t>
      </w:r>
      <w:r w:rsidR="00F0512C">
        <w:t xml:space="preserve">the </w:t>
      </w:r>
      <w:r w:rsidR="00F0512C">
        <w:t>general public</w:t>
      </w:r>
      <w:r w:rsidR="00D97A33">
        <w:t xml:space="preserve"> to </w:t>
      </w:r>
      <w:r w:rsidR="00437144">
        <w:t>submit</w:t>
      </w:r>
      <w:r w:rsidR="00D97A33">
        <w:t xml:space="preserve"> MVPs tha</w:t>
      </w:r>
      <w:r w:rsidR="00437144">
        <w:t>t incorporat</w:t>
      </w:r>
      <w:r w:rsidR="001F330B">
        <w:t xml:space="preserve">e the identified </w:t>
      </w:r>
      <w:r w:rsidRPr="000019B4" w:rsidR="001F330B">
        <w:t>specialties</w:t>
      </w:r>
      <w:r w:rsidR="001F330B">
        <w:t xml:space="preserve">. Please review the MVP Needs and Priorities document found within the </w:t>
      </w:r>
      <w:r w:rsidR="0018293C">
        <w:t>MVPs Development Resources ZIP file</w:t>
      </w:r>
      <w:r w:rsidR="00542E8F">
        <w:t xml:space="preserve"> for additional </w:t>
      </w:r>
      <w:r w:rsidR="00AC1E73">
        <w:t>information</w:t>
      </w:r>
      <w:r w:rsidR="0018293C">
        <w:t xml:space="preserve">, available on the </w:t>
      </w:r>
      <w:hyperlink r:id="rId8" w:history="1">
        <w:r w:rsidRPr="0018293C" w:rsidR="0018293C">
          <w:rPr>
            <w:rStyle w:val="Hyperlink"/>
          </w:rPr>
          <w:t>MVP Candidate Development &amp; Submission webpage</w:t>
        </w:r>
      </w:hyperlink>
      <w:r w:rsidR="0018293C">
        <w:t>.</w:t>
      </w:r>
    </w:p>
    <w:p w:rsidR="00EF298A" w:rsidP="00363C94" w14:paraId="665FDBC8" w14:textId="77777777">
      <w:pPr>
        <w:pStyle w:val="Bodycopy"/>
      </w:pPr>
    </w:p>
    <w:p w:rsidR="005226E8" w:rsidP="00363C94" w14:paraId="3EDF79C6" w14:textId="67FEC4D1">
      <w:pPr>
        <w:pStyle w:val="Bodycopy"/>
      </w:pPr>
      <w:r w:rsidRPr="00002DB8">
        <w:t>CMS is</w:t>
      </w:r>
      <w:r w:rsidR="00CB571F">
        <w:t xml:space="preserve"> also</w:t>
      </w:r>
      <w:r w:rsidRPr="00002DB8">
        <w:t xml:space="preserve"> interested in MVPs that measure the patient journey and care experience </w:t>
      </w:r>
      <w:r w:rsidR="00C06743">
        <w:t xml:space="preserve">over time </w:t>
      </w:r>
      <w:r w:rsidR="00D708D5">
        <w:t>and</w:t>
      </w:r>
      <w:r w:rsidRPr="00CC23D4">
        <w:t xml:space="preserve"> would like to explore how</w:t>
      </w:r>
      <w:r w:rsidRPr="00002DB8">
        <w:t xml:space="preserve"> MVPs could best measure the value of</w:t>
      </w:r>
      <w:r w:rsidR="00D708D5">
        <w:t xml:space="preserve"> and be </w:t>
      </w:r>
      <w:r w:rsidR="004F0BA9">
        <w:t xml:space="preserve">used </w:t>
      </w:r>
      <w:r w:rsidR="00D708D5">
        <w:t>within a</w:t>
      </w:r>
      <w:r w:rsidRPr="00002DB8">
        <w:t xml:space="preserve"> multi-disciplinary</w:t>
      </w:r>
      <w:r w:rsidR="004F0BA9">
        <w:t>,</w:t>
      </w:r>
      <w:r w:rsidRPr="00002DB8">
        <w:t xml:space="preserve"> team</w:t>
      </w:r>
      <w:r w:rsidR="00C36AE9">
        <w:t>-</w:t>
      </w:r>
      <w:r w:rsidRPr="00002DB8">
        <w:t>based care</w:t>
      </w:r>
      <w:r w:rsidR="00F855CE">
        <w:t xml:space="preserve"> model</w:t>
      </w:r>
      <w:r w:rsidRPr="00002DB8">
        <w:t>.</w:t>
      </w:r>
      <w:r w:rsidRPr="00CB571F" w:rsidR="00CB571F">
        <w:t xml:space="preserve"> </w:t>
      </w:r>
    </w:p>
    <w:p w:rsidR="00EF298A" w:rsidP="00363C94" w14:paraId="4C315BB8" w14:textId="77777777">
      <w:pPr>
        <w:pStyle w:val="Bodycopy"/>
      </w:pPr>
    </w:p>
    <w:p w:rsidR="008A5AEF" w:rsidP="00363C94" w14:paraId="70145F90" w14:textId="19595F44">
      <w:pPr>
        <w:pStyle w:val="Bodycopy"/>
      </w:pPr>
      <w:r w:rsidRPr="00C4670F">
        <w:t xml:space="preserve">As noted in the </w:t>
      </w:r>
      <w:bookmarkStart w:id="3" w:name="_Hlk85727430"/>
      <w:r w:rsidRPr="00C4670F">
        <w:t xml:space="preserve">CY </w:t>
      </w:r>
      <w:r w:rsidRPr="00AC1E73" w:rsidR="00847AEC">
        <w:t>2021</w:t>
      </w:r>
      <w:r w:rsidRPr="00C4670F">
        <w:t xml:space="preserve"> </w:t>
      </w:r>
      <w:bookmarkEnd w:id="3"/>
      <w:r>
        <w:t xml:space="preserve">and CY 2022 </w:t>
      </w:r>
      <w:r w:rsidRPr="00C4670F">
        <w:t xml:space="preserve">Physician Fee Schedule </w:t>
      </w:r>
      <w:r w:rsidR="00C06743">
        <w:t>f</w:t>
      </w:r>
      <w:r w:rsidRPr="00C4670F">
        <w:t xml:space="preserve">inal </w:t>
      </w:r>
      <w:r w:rsidR="00C06743">
        <w:t>r</w:t>
      </w:r>
      <w:r w:rsidRPr="00C4670F">
        <w:t>ule</w:t>
      </w:r>
      <w:r>
        <w:t>s</w:t>
      </w:r>
      <w:r w:rsidRPr="00C4670F">
        <w:t xml:space="preserve">, the MVP framework strives to link measures and improvement activities that address a common clinical theme across the four MIPS performance categories. </w:t>
      </w:r>
      <w:bookmarkStart w:id="4" w:name="OLE_LINK30"/>
      <w:r w:rsidRPr="00C4670F">
        <w:t xml:space="preserve">More details regarding the intent of the MVP framework and the latest </w:t>
      </w:r>
      <w:r w:rsidR="005F0073">
        <w:t>20</w:t>
      </w:r>
      <w:r w:rsidR="00820042">
        <w:t>23</w:t>
      </w:r>
      <w:r w:rsidRPr="00C4670F" w:rsidR="005F0073">
        <w:t xml:space="preserve"> </w:t>
      </w:r>
      <w:r>
        <w:t>F</w:t>
      </w:r>
      <w:r w:rsidRPr="00C4670F">
        <w:t xml:space="preserve">inal </w:t>
      </w:r>
      <w:r>
        <w:t>R</w:t>
      </w:r>
      <w:r w:rsidRPr="00C4670F">
        <w:t xml:space="preserve">ule </w:t>
      </w:r>
      <w:r>
        <w:t>F</w:t>
      </w:r>
      <w:r w:rsidRPr="00C4670F">
        <w:t xml:space="preserve">act </w:t>
      </w:r>
      <w:r>
        <w:t>S</w:t>
      </w:r>
      <w:r w:rsidRPr="00C4670F">
        <w:t>heet can be accessed on the</w:t>
      </w:r>
      <w:bookmarkEnd w:id="4"/>
      <w:r w:rsidRPr="00C4670F">
        <w:t xml:space="preserve"> </w:t>
      </w:r>
      <w:hyperlink r:id="rId9" w:history="1">
        <w:r w:rsidRPr="00C4670F">
          <w:rPr>
            <w:rStyle w:val="Hyperlink"/>
            <w:iCs w:val="0"/>
          </w:rPr>
          <w:t>MVP website</w:t>
        </w:r>
      </w:hyperlink>
      <w:r w:rsidRPr="00C4670F">
        <w:t>.</w:t>
      </w:r>
    </w:p>
    <w:p w:rsidR="00EF298A" w:rsidP="00363C94" w14:paraId="20924F4F" w14:textId="77777777">
      <w:pPr>
        <w:pStyle w:val="Bodycopy"/>
      </w:pPr>
    </w:p>
    <w:p w:rsidR="00B12D77" w:rsidP="00363C94" w14:paraId="08FFC2FF" w14:textId="338A848A">
      <w:pPr>
        <w:pStyle w:val="Bodycopy"/>
      </w:pPr>
      <w:bookmarkStart w:id="5" w:name="OLE_LINK20"/>
      <w:bookmarkStart w:id="6" w:name="_Hlk85615509"/>
      <w:r>
        <w:t xml:space="preserve">While MVP development is collaborative by nature, including having </w:t>
      </w:r>
      <w:r w:rsidR="000A1AA2">
        <w:t xml:space="preserve">the </w:t>
      </w:r>
      <w:r w:rsidR="000A1AA2">
        <w:t>general public</w:t>
      </w:r>
      <w:r>
        <w:t xml:space="preserve"> </w:t>
      </w:r>
      <w:r w:rsidR="003A7025">
        <w:t>work together</w:t>
      </w:r>
      <w:r>
        <w:t xml:space="preserve"> with </w:t>
      </w:r>
      <w:r w:rsidR="00AF03C0">
        <w:t>other groups</w:t>
      </w:r>
      <w:r>
        <w:t xml:space="preserve"> and with patients, ultimately CMS will determine if the MVP is appropriate and responsive to CMS and </w:t>
      </w:r>
      <w:r w:rsidR="00C06743">
        <w:t>Department of Health and Human Service</w:t>
      </w:r>
      <w:r w:rsidR="00774E1D">
        <w:t>s</w:t>
      </w:r>
      <w:r w:rsidR="00C06743">
        <w:t xml:space="preserve"> (</w:t>
      </w:r>
      <w:r>
        <w:t>HHS</w:t>
      </w:r>
      <w:r w:rsidR="00C06743">
        <w:t>)</w:t>
      </w:r>
      <w:r>
        <w:t xml:space="preserve"> priorities, and</w:t>
      </w:r>
      <w:r w:rsidR="00183B44">
        <w:t xml:space="preserve"> if so,</w:t>
      </w:r>
      <w:r>
        <w:t xml:space="preserve"> what the timing for implementation of the MVP should be. </w:t>
      </w:r>
    </w:p>
    <w:bookmarkEnd w:id="5"/>
    <w:p w:rsidR="00C7411F" w:rsidP="00363C94" w14:paraId="1F083563" w14:textId="77777777">
      <w:pPr>
        <w:pStyle w:val="Bodycopy"/>
      </w:pPr>
    </w:p>
    <w:p w:rsidR="00A21BF1" w:rsidP="00363C94" w14:paraId="28E8B64F" w14:textId="16D7254E">
      <w:pPr>
        <w:pStyle w:val="Bodycopy"/>
      </w:pPr>
      <w:bookmarkStart w:id="7" w:name="OLE_LINK31"/>
      <w:r>
        <w:t xml:space="preserve">In </w:t>
      </w:r>
      <w:r w:rsidR="007A4AAA">
        <w:t>the</w:t>
      </w:r>
      <w:r>
        <w:t xml:space="preserve"> CY 2023 PFS Final Rule, we </w:t>
      </w:r>
      <w:r w:rsidR="00C76156">
        <w:t>finalized</w:t>
      </w:r>
      <w:r w:rsidR="00523B0B">
        <w:t xml:space="preserve"> the modification of</w:t>
      </w:r>
      <w:r>
        <w:t xml:space="preserve"> the MVP development process to include</w:t>
      </w:r>
      <w:r w:rsidR="00A73A39">
        <w:t xml:space="preserve"> a 30</w:t>
      </w:r>
      <w:r w:rsidR="003E770C">
        <w:t>-day comment period</w:t>
      </w:r>
      <w:r w:rsidR="009948F7">
        <w:t xml:space="preserve"> </w:t>
      </w:r>
      <w:r>
        <w:t xml:space="preserve">for the </w:t>
      </w:r>
      <w:r>
        <w:t>general public</w:t>
      </w:r>
      <w:r>
        <w:t xml:space="preserve"> to submit feedback on candidate MVPs </w:t>
      </w:r>
      <w:r w:rsidR="00907BC8">
        <w:t xml:space="preserve">prior </w:t>
      </w:r>
      <w:r w:rsidR="0087741C">
        <w:t xml:space="preserve">to potentially including </w:t>
      </w:r>
      <w:r w:rsidR="002642F3">
        <w:t>an</w:t>
      </w:r>
      <w:r w:rsidR="0087741C">
        <w:t xml:space="preserve"> MVP in a notice of proposed rulemaking. </w:t>
      </w:r>
      <w:bookmarkStart w:id="8" w:name="OLE_LINK18"/>
      <w:bookmarkEnd w:id="7"/>
      <w:r w:rsidR="001A3F84">
        <w:t>All</w:t>
      </w:r>
      <w:r w:rsidR="00426555">
        <w:t xml:space="preserve"> MVPs, whether they are new or existing MVPs with updates, must undergo notice and comment rulemaking and are subject to the public comment period. </w:t>
      </w:r>
      <w:r w:rsidR="00AB725F">
        <w:t>If</w:t>
      </w:r>
      <w:r w:rsidR="009006B0">
        <w:t xml:space="preserve"> CMS determines that additional </w:t>
      </w:r>
      <w:r w:rsidR="009006B0">
        <w:t xml:space="preserve">changes are needed for an MVP once it is implemented, CMS may take additional steps through notice and comment rulemaking to make updates. </w:t>
      </w:r>
    </w:p>
    <w:bookmarkEnd w:id="8"/>
    <w:p w:rsidR="000A12FC" w:rsidP="00363C94" w14:paraId="7EE91BF2" w14:textId="77777777">
      <w:pPr>
        <w:pStyle w:val="Bodycopy"/>
      </w:pPr>
    </w:p>
    <w:p w:rsidR="009006B0" w:rsidP="00363C94" w14:paraId="4079D392" w14:textId="44EF033B">
      <w:pPr>
        <w:pStyle w:val="Bodycopy"/>
      </w:pPr>
      <w:r>
        <w:t xml:space="preserve">We ask that </w:t>
      </w:r>
      <w:r w:rsidR="00853F3B">
        <w:t xml:space="preserve">the </w:t>
      </w:r>
      <w:r w:rsidR="00853F3B">
        <w:t>general public</w:t>
      </w:r>
      <w:r w:rsidR="00D27396">
        <w:t xml:space="preserve"> keep in mind</w:t>
      </w:r>
      <w:r>
        <w:t xml:space="preserve"> as they collaborate on</w:t>
      </w:r>
      <w:r w:rsidR="00D27396">
        <w:t xml:space="preserve"> and submit</w:t>
      </w:r>
      <w:r>
        <w:t xml:space="preserve"> MVP</w:t>
      </w:r>
      <w:r w:rsidR="00D27396">
        <w:t xml:space="preserve"> candidates,</w:t>
      </w:r>
      <w:r>
        <w:t xml:space="preserve"> that </w:t>
      </w:r>
      <w:r>
        <w:t>CMS is considered the lead</w:t>
      </w:r>
      <w:r w:rsidR="00D27396">
        <w:t xml:space="preserve"> (</w:t>
      </w:r>
      <w:r>
        <w:t>and ultimately the owner</w:t>
      </w:r>
      <w:r w:rsidR="00D27396">
        <w:t>)</w:t>
      </w:r>
      <w:r>
        <w:t xml:space="preserve"> of all MVPs established through the rulemaking process. </w:t>
      </w:r>
    </w:p>
    <w:bookmarkEnd w:id="1"/>
    <w:p w:rsidR="00EF298A" w:rsidP="00363C94" w14:paraId="1737C2D4" w14:textId="77777777">
      <w:pPr>
        <w:pStyle w:val="Bodycopy"/>
      </w:pPr>
    </w:p>
    <w:bookmarkEnd w:id="2"/>
    <w:bookmarkEnd w:id="6"/>
    <w:p w:rsidR="0059652E" w:rsidRPr="00212068" w:rsidP="00BF1CDD" w14:paraId="56782A7C" w14:textId="77777777">
      <w:pPr>
        <w:pStyle w:val="Heading2"/>
        <w:spacing w:before="0" w:line="240" w:lineRule="auto"/>
      </w:pPr>
      <w:r w:rsidRPr="00C4670F">
        <w:t>MVP Candidate Submission Instructions and Template</w:t>
      </w:r>
    </w:p>
    <w:p w:rsidR="0059652E" w:rsidRPr="00C4670F" w:rsidP="00BF1CDD" w14:paraId="5B02BC6D" w14:textId="77777777">
      <w:pPr>
        <w:pStyle w:val="Heading3"/>
        <w:spacing w:before="0" w:line="240" w:lineRule="auto"/>
      </w:pPr>
      <w:bookmarkStart w:id="9" w:name="OLE_LINK13"/>
      <w:r w:rsidRPr="00C4670F">
        <w:t>Introduction</w:t>
      </w:r>
    </w:p>
    <w:p w:rsidR="00C4670F" w:rsidP="00EF298A" w14:paraId="1303893A" w14:textId="0620D50C">
      <w:pPr>
        <w:keepLines/>
        <w:rPr>
          <w:rFonts w:ascii="Arial" w:eastAsia="Yu Gothic Light" w:hAnsi="Arial" w:cs="Arial"/>
          <w:bCs/>
          <w:iCs/>
          <w:sz w:val="22"/>
          <w:szCs w:val="22"/>
        </w:rPr>
      </w:pPr>
      <w:bookmarkStart w:id="10" w:name="OLE_LINK4"/>
      <w:r w:rsidRPr="00DB2944">
        <w:rPr>
          <w:rFonts w:ascii="Arial" w:eastAsia="Yu Gothic Light" w:hAnsi="Arial" w:cs="Arial"/>
          <w:bCs/>
          <w:iCs/>
          <w:sz w:val="22"/>
          <w:szCs w:val="22"/>
        </w:rPr>
        <w:t xml:space="preserve">These instructions identify the information that should be submitted, </w:t>
      </w:r>
      <w:r w:rsidR="00EB3D97">
        <w:rPr>
          <w:rFonts w:ascii="Arial" w:eastAsia="Yu Gothic Light" w:hAnsi="Arial" w:cs="Arial"/>
          <w:bCs/>
          <w:iCs/>
          <w:sz w:val="22"/>
          <w:szCs w:val="22"/>
        </w:rPr>
        <w:t>using</w:t>
      </w:r>
      <w:r w:rsidRPr="00DB2944" w:rsidR="00EB3D97">
        <w:rPr>
          <w:rFonts w:ascii="Arial" w:eastAsia="Yu Gothic Light" w:hAnsi="Arial" w:cs="Arial"/>
          <w:bCs/>
          <w:iCs/>
          <w:sz w:val="22"/>
          <w:szCs w:val="22"/>
        </w:rPr>
        <w:t xml:space="preserve"> </w:t>
      </w:r>
      <w:r w:rsidRPr="00DB2944">
        <w:rPr>
          <w:rFonts w:ascii="Arial" w:eastAsia="Yu Gothic Light" w:hAnsi="Arial" w:cs="Arial"/>
          <w:bCs/>
          <w:iCs/>
          <w:sz w:val="22"/>
          <w:szCs w:val="22"/>
        </w:rPr>
        <w:t xml:space="preserve">the standardized template below, by </w:t>
      </w:r>
      <w:r w:rsidR="00BE583F">
        <w:rPr>
          <w:rFonts w:ascii="Arial" w:eastAsia="Yu Gothic Light" w:hAnsi="Arial" w:cs="Arial"/>
          <w:bCs/>
          <w:iCs/>
          <w:sz w:val="22"/>
          <w:szCs w:val="22"/>
        </w:rPr>
        <w:t xml:space="preserve">the </w:t>
      </w:r>
      <w:r w:rsidR="00BE583F">
        <w:rPr>
          <w:rFonts w:ascii="Arial" w:eastAsia="Yu Gothic Light" w:hAnsi="Arial" w:cs="Arial"/>
          <w:bCs/>
          <w:iCs/>
          <w:sz w:val="22"/>
          <w:szCs w:val="22"/>
        </w:rPr>
        <w:t>general public</w:t>
      </w:r>
      <w:r w:rsidRPr="00DB2944">
        <w:rPr>
          <w:rFonts w:ascii="Arial" w:eastAsia="Yu Gothic Light" w:hAnsi="Arial" w:cs="Arial"/>
          <w:bCs/>
          <w:iCs/>
          <w:sz w:val="22"/>
          <w:szCs w:val="22"/>
        </w:rPr>
        <w:t xml:space="preserve"> who wish to have </w:t>
      </w:r>
      <w:r w:rsidR="00082072">
        <w:rPr>
          <w:rFonts w:ascii="Arial" w:eastAsia="Yu Gothic Light" w:hAnsi="Arial" w:cs="Arial"/>
          <w:bCs/>
          <w:iCs/>
          <w:sz w:val="22"/>
          <w:szCs w:val="22"/>
        </w:rPr>
        <w:t>an</w:t>
      </w:r>
      <w:r w:rsidRPr="00DB2944" w:rsidR="00082072">
        <w:rPr>
          <w:rFonts w:ascii="Arial" w:eastAsia="Yu Gothic Light" w:hAnsi="Arial" w:cs="Arial"/>
          <w:bCs/>
          <w:iCs/>
          <w:sz w:val="22"/>
          <w:szCs w:val="22"/>
        </w:rPr>
        <w:t xml:space="preserve"> </w:t>
      </w:r>
      <w:r w:rsidRPr="00DB2944">
        <w:rPr>
          <w:rFonts w:ascii="Arial" w:eastAsia="Yu Gothic Light" w:hAnsi="Arial" w:cs="Arial"/>
          <w:bCs/>
          <w:iCs/>
          <w:sz w:val="22"/>
          <w:szCs w:val="22"/>
        </w:rPr>
        <w:t xml:space="preserve">MVP candidate considered by CMS for potential implementation. </w:t>
      </w:r>
    </w:p>
    <w:bookmarkEnd w:id="10"/>
    <w:p w:rsidR="00EF298A" w:rsidRPr="00DB2944" w:rsidP="00BF1CDD" w14:paraId="71751D3E" w14:textId="77777777">
      <w:pPr>
        <w:keepLines/>
        <w:rPr>
          <w:rFonts w:ascii="Arial" w:eastAsia="Yu Gothic Light" w:hAnsi="Arial" w:cs="Arial"/>
          <w:bCs/>
          <w:iCs/>
          <w:sz w:val="22"/>
          <w:szCs w:val="22"/>
        </w:rPr>
      </w:pPr>
    </w:p>
    <w:p w:rsidR="000969A9" w:rsidP="00EF298A" w14:paraId="09B43191" w14:textId="3F2CC749">
      <w:pPr>
        <w:keepLines/>
        <w:rPr>
          <w:rFonts w:ascii="Arial" w:eastAsia="Yu Gothic Light" w:hAnsi="Arial" w:cs="Arial"/>
          <w:bCs/>
          <w:iCs/>
          <w:sz w:val="22"/>
          <w:szCs w:val="22"/>
        </w:rPr>
      </w:pPr>
      <w:r w:rsidRPr="00DB2944">
        <w:rPr>
          <w:rFonts w:ascii="Arial" w:eastAsia="Yu Gothic Light" w:hAnsi="Arial" w:cs="Arial"/>
          <w:bCs/>
          <w:iCs/>
          <w:sz w:val="22"/>
          <w:szCs w:val="22"/>
        </w:rPr>
        <w:t>MVP candidates include measures and activities from across the</w:t>
      </w:r>
      <w:r>
        <w:rPr>
          <w:rFonts w:ascii="Arial" w:eastAsia="Yu Gothic Light" w:hAnsi="Arial" w:cs="Arial"/>
          <w:bCs/>
          <w:iCs/>
          <w:sz w:val="22"/>
          <w:szCs w:val="22"/>
        </w:rPr>
        <w:t xml:space="preserve"> four performance categories. MVP candidate </w:t>
      </w:r>
      <w:r w:rsidR="00F42125">
        <w:rPr>
          <w:rFonts w:ascii="Arial" w:eastAsia="Yu Gothic Light" w:hAnsi="Arial" w:cs="Arial"/>
          <w:bCs/>
          <w:iCs/>
          <w:sz w:val="22"/>
          <w:szCs w:val="22"/>
        </w:rPr>
        <w:t>submission</w:t>
      </w:r>
      <w:r w:rsidR="00F5593B">
        <w:rPr>
          <w:rFonts w:ascii="Arial" w:eastAsia="Yu Gothic Light" w:hAnsi="Arial" w:cs="Arial"/>
          <w:bCs/>
          <w:iCs/>
          <w:sz w:val="22"/>
          <w:szCs w:val="22"/>
        </w:rPr>
        <w:t xml:space="preserve">s by </w:t>
      </w:r>
      <w:r w:rsidR="003A18F3">
        <w:rPr>
          <w:rFonts w:ascii="Arial" w:eastAsia="Yu Gothic Light" w:hAnsi="Arial" w:cs="Arial"/>
          <w:bCs/>
          <w:iCs/>
          <w:sz w:val="22"/>
          <w:szCs w:val="22"/>
        </w:rPr>
        <w:t xml:space="preserve">the </w:t>
      </w:r>
      <w:r w:rsidR="003A18F3">
        <w:rPr>
          <w:rFonts w:ascii="Arial" w:eastAsia="Yu Gothic Light" w:hAnsi="Arial" w:cs="Arial"/>
          <w:bCs/>
          <w:iCs/>
          <w:sz w:val="22"/>
          <w:szCs w:val="22"/>
        </w:rPr>
        <w:t>general public</w:t>
      </w:r>
      <w:r w:rsidR="00F42125">
        <w:rPr>
          <w:rFonts w:ascii="Arial" w:eastAsia="Yu Gothic Light" w:hAnsi="Arial" w:cs="Arial"/>
          <w:bCs/>
          <w:iCs/>
          <w:sz w:val="22"/>
          <w:szCs w:val="22"/>
        </w:rPr>
        <w:t xml:space="preserve"> </w:t>
      </w:r>
      <w:r>
        <w:rPr>
          <w:rFonts w:ascii="Arial" w:eastAsia="Yu Gothic Light" w:hAnsi="Arial" w:cs="Arial"/>
          <w:bCs/>
          <w:iCs/>
          <w:sz w:val="22"/>
          <w:szCs w:val="22"/>
        </w:rPr>
        <w:t>should include measures and activities across the</w:t>
      </w:r>
      <w:r w:rsidRPr="00DB2944">
        <w:rPr>
          <w:rFonts w:ascii="Arial" w:eastAsia="Yu Gothic Light" w:hAnsi="Arial" w:cs="Arial"/>
          <w:bCs/>
          <w:iCs/>
          <w:sz w:val="22"/>
          <w:szCs w:val="22"/>
        </w:rPr>
        <w:t xml:space="preserve"> </w:t>
      </w:r>
      <w:r w:rsidR="00294690">
        <w:rPr>
          <w:rFonts w:ascii="Arial" w:eastAsia="Yu Gothic Light" w:hAnsi="Arial" w:cs="Arial"/>
          <w:bCs/>
          <w:iCs/>
          <w:sz w:val="22"/>
          <w:szCs w:val="22"/>
        </w:rPr>
        <w:t>q</w:t>
      </w:r>
      <w:r w:rsidRPr="00DB2944" w:rsidR="00294690">
        <w:rPr>
          <w:rFonts w:ascii="Arial" w:eastAsia="Yu Gothic Light" w:hAnsi="Arial" w:cs="Arial"/>
          <w:bCs/>
          <w:iCs/>
          <w:sz w:val="22"/>
          <w:szCs w:val="22"/>
        </w:rPr>
        <w:t>uality</w:t>
      </w:r>
      <w:r w:rsidRPr="00DB2944">
        <w:rPr>
          <w:rFonts w:ascii="Arial" w:eastAsia="Yu Gothic Light" w:hAnsi="Arial" w:cs="Arial"/>
          <w:bCs/>
          <w:iCs/>
          <w:sz w:val="22"/>
          <w:szCs w:val="22"/>
        </w:rPr>
        <w:t xml:space="preserve">, </w:t>
      </w:r>
      <w:r w:rsidR="00294690">
        <w:rPr>
          <w:rFonts w:ascii="Arial" w:eastAsia="Yu Gothic Light" w:hAnsi="Arial" w:cs="Arial"/>
          <w:bCs/>
          <w:iCs/>
          <w:sz w:val="22"/>
          <w:szCs w:val="22"/>
        </w:rPr>
        <w:t>c</w:t>
      </w:r>
      <w:r w:rsidRPr="00DB2944" w:rsidR="00294690">
        <w:rPr>
          <w:rFonts w:ascii="Arial" w:eastAsia="Yu Gothic Light" w:hAnsi="Arial" w:cs="Arial"/>
          <w:bCs/>
          <w:iCs/>
          <w:sz w:val="22"/>
          <w:szCs w:val="22"/>
        </w:rPr>
        <w:t>ost</w:t>
      </w:r>
      <w:r w:rsidRPr="00DB2944">
        <w:rPr>
          <w:rFonts w:ascii="Arial" w:eastAsia="Yu Gothic Light" w:hAnsi="Arial" w:cs="Arial"/>
          <w:bCs/>
          <w:iCs/>
          <w:sz w:val="22"/>
          <w:szCs w:val="22"/>
        </w:rPr>
        <w:t xml:space="preserve">, and </w:t>
      </w:r>
      <w:r w:rsidR="00294690">
        <w:rPr>
          <w:rFonts w:ascii="Arial" w:eastAsia="Yu Gothic Light" w:hAnsi="Arial" w:cs="Arial"/>
          <w:bCs/>
          <w:iCs/>
          <w:sz w:val="22"/>
          <w:szCs w:val="22"/>
        </w:rPr>
        <w:t>i</w:t>
      </w:r>
      <w:r w:rsidRPr="00DB2944" w:rsidR="00294690">
        <w:rPr>
          <w:rFonts w:ascii="Arial" w:eastAsia="Yu Gothic Light" w:hAnsi="Arial" w:cs="Arial"/>
          <w:bCs/>
          <w:iCs/>
          <w:sz w:val="22"/>
          <w:szCs w:val="22"/>
        </w:rPr>
        <w:t xml:space="preserve">mprovement </w:t>
      </w:r>
      <w:r w:rsidR="00294690">
        <w:rPr>
          <w:rFonts w:ascii="Arial" w:eastAsia="Yu Gothic Light" w:hAnsi="Arial" w:cs="Arial"/>
          <w:bCs/>
          <w:iCs/>
          <w:sz w:val="22"/>
          <w:szCs w:val="22"/>
        </w:rPr>
        <w:t>a</w:t>
      </w:r>
      <w:r w:rsidRPr="00DB2944" w:rsidR="00294690">
        <w:rPr>
          <w:rFonts w:ascii="Arial" w:eastAsia="Yu Gothic Light" w:hAnsi="Arial" w:cs="Arial"/>
          <w:bCs/>
          <w:iCs/>
          <w:sz w:val="22"/>
          <w:szCs w:val="22"/>
        </w:rPr>
        <w:t xml:space="preserve">ctivities </w:t>
      </w:r>
      <w:r w:rsidRPr="00DB2944">
        <w:rPr>
          <w:rFonts w:ascii="Arial" w:eastAsia="Yu Gothic Light" w:hAnsi="Arial" w:cs="Arial"/>
          <w:bCs/>
          <w:iCs/>
          <w:sz w:val="22"/>
          <w:szCs w:val="22"/>
        </w:rPr>
        <w:t xml:space="preserve">performance categories. </w:t>
      </w:r>
    </w:p>
    <w:p w:rsidR="00EF298A" w:rsidP="00BF1CDD" w14:paraId="1C7EE3D1" w14:textId="77777777">
      <w:pPr>
        <w:keepLines/>
        <w:rPr>
          <w:rFonts w:ascii="Arial" w:eastAsia="Yu Gothic Light" w:hAnsi="Arial" w:cs="Arial"/>
          <w:bCs/>
          <w:iCs/>
          <w:sz w:val="22"/>
          <w:szCs w:val="22"/>
        </w:rPr>
      </w:pPr>
    </w:p>
    <w:p w:rsidR="00293A65" w:rsidP="00EF298A" w14:paraId="2EAF087F" w14:textId="4EE43D3D">
      <w:pPr>
        <w:keepLines/>
        <w:rPr>
          <w:rFonts w:ascii="Arial" w:eastAsia="Yu Gothic Light" w:hAnsi="Arial" w:cs="Arial"/>
          <w:bCs/>
          <w:iCs/>
          <w:sz w:val="22"/>
          <w:szCs w:val="22"/>
        </w:rPr>
      </w:pPr>
      <w:r>
        <w:rPr>
          <w:rFonts w:ascii="Arial" w:eastAsia="Yu Gothic Light" w:hAnsi="Arial" w:cs="Arial"/>
          <w:bCs/>
          <w:iCs/>
          <w:sz w:val="22"/>
          <w:szCs w:val="22"/>
        </w:rPr>
        <w:t>In</w:t>
      </w:r>
      <w:r w:rsidRPr="00DB2944" w:rsidR="00C4670F">
        <w:rPr>
          <w:rFonts w:ascii="Arial" w:eastAsia="Yu Gothic Light" w:hAnsi="Arial" w:cs="Arial"/>
          <w:bCs/>
          <w:iCs/>
          <w:sz w:val="22"/>
          <w:szCs w:val="22"/>
        </w:rPr>
        <w:t xml:space="preserve"> the foundational layer</w:t>
      </w:r>
      <w:r>
        <w:rPr>
          <w:rFonts w:ascii="Arial" w:eastAsia="Yu Gothic Light" w:hAnsi="Arial" w:cs="Arial"/>
          <w:bCs/>
          <w:iCs/>
          <w:sz w:val="22"/>
          <w:szCs w:val="22"/>
        </w:rPr>
        <w:t>,</w:t>
      </w:r>
      <w:r w:rsidRPr="00DB2944" w:rsidR="00C4670F">
        <w:rPr>
          <w:rFonts w:ascii="Arial" w:eastAsia="Yu Gothic Light" w:hAnsi="Arial" w:cs="Arial"/>
          <w:bCs/>
          <w:iCs/>
          <w:sz w:val="22"/>
          <w:szCs w:val="22"/>
        </w:rPr>
        <w:t xml:space="preserve"> each MVP candidate include</w:t>
      </w:r>
      <w:r>
        <w:rPr>
          <w:rFonts w:ascii="Arial" w:eastAsia="Yu Gothic Light" w:hAnsi="Arial" w:cs="Arial"/>
          <w:bCs/>
          <w:iCs/>
          <w:sz w:val="22"/>
          <w:szCs w:val="22"/>
        </w:rPr>
        <w:t>s</w:t>
      </w:r>
      <w:r w:rsidRPr="00DB2944" w:rsidR="00C4670F">
        <w:rPr>
          <w:rFonts w:ascii="Arial" w:eastAsia="Yu Gothic Light" w:hAnsi="Arial" w:cs="Arial"/>
          <w:bCs/>
          <w:iCs/>
          <w:sz w:val="22"/>
          <w:szCs w:val="22"/>
        </w:rPr>
        <w:t xml:space="preserve"> the entire set of Promoting Interoperability </w:t>
      </w:r>
      <w:r w:rsidR="00C670BC">
        <w:rPr>
          <w:rFonts w:ascii="Arial" w:eastAsia="Yu Gothic Light" w:hAnsi="Arial" w:cs="Arial"/>
          <w:bCs/>
          <w:iCs/>
          <w:sz w:val="22"/>
          <w:szCs w:val="22"/>
        </w:rPr>
        <w:t xml:space="preserve">performance category </w:t>
      </w:r>
      <w:r w:rsidRPr="00DB2944" w:rsidR="00C4670F">
        <w:rPr>
          <w:rFonts w:ascii="Arial" w:eastAsia="Yu Gothic Light" w:hAnsi="Arial" w:cs="Arial"/>
          <w:bCs/>
          <w:iCs/>
          <w:sz w:val="22"/>
          <w:szCs w:val="22"/>
        </w:rPr>
        <w:t>measures</w:t>
      </w:r>
      <w:r w:rsidR="007772DA">
        <w:rPr>
          <w:rFonts w:ascii="Arial" w:eastAsia="Yu Gothic Light" w:hAnsi="Arial" w:cs="Arial"/>
          <w:bCs/>
          <w:iCs/>
          <w:sz w:val="22"/>
          <w:szCs w:val="22"/>
        </w:rPr>
        <w:t xml:space="preserve">. </w:t>
      </w:r>
      <w:r>
        <w:rPr>
          <w:rFonts w:ascii="Arial" w:eastAsia="Yu Gothic Light" w:hAnsi="Arial" w:cs="Arial"/>
          <w:bCs/>
          <w:iCs/>
          <w:sz w:val="22"/>
          <w:szCs w:val="22"/>
        </w:rPr>
        <w:t>Furthermore,</w:t>
      </w:r>
      <w:r w:rsidR="000B7089">
        <w:rPr>
          <w:rFonts w:ascii="Arial" w:eastAsia="Yu Gothic Light" w:hAnsi="Arial" w:cs="Arial"/>
          <w:bCs/>
          <w:iCs/>
          <w:sz w:val="22"/>
          <w:szCs w:val="22"/>
        </w:rPr>
        <w:t xml:space="preserve"> </w:t>
      </w:r>
      <w:r w:rsidRPr="00DB2944" w:rsidR="00C4670F">
        <w:rPr>
          <w:rFonts w:ascii="Arial" w:eastAsia="Yu Gothic Light" w:hAnsi="Arial" w:cs="Arial"/>
          <w:bCs/>
          <w:iCs/>
          <w:sz w:val="22"/>
          <w:szCs w:val="22"/>
        </w:rPr>
        <w:t xml:space="preserve">the </w:t>
      </w:r>
      <w:r>
        <w:rPr>
          <w:rFonts w:ascii="Arial" w:eastAsia="Yu Gothic Light" w:hAnsi="Arial" w:cs="Arial"/>
          <w:bCs/>
          <w:iCs/>
          <w:sz w:val="22"/>
          <w:szCs w:val="22"/>
        </w:rPr>
        <w:t>foundational layer includes</w:t>
      </w:r>
      <w:r w:rsidR="007772DA">
        <w:rPr>
          <w:rFonts w:ascii="Arial" w:eastAsia="Yu Gothic Light" w:hAnsi="Arial" w:cs="Arial"/>
          <w:bCs/>
          <w:iCs/>
          <w:sz w:val="22"/>
          <w:szCs w:val="22"/>
        </w:rPr>
        <w:t xml:space="preserve"> </w:t>
      </w:r>
      <w:r w:rsidR="0013368A">
        <w:rPr>
          <w:rFonts w:ascii="Arial" w:eastAsia="Yu Gothic Light" w:hAnsi="Arial" w:cs="Arial"/>
          <w:bCs/>
          <w:iCs/>
          <w:sz w:val="22"/>
          <w:szCs w:val="22"/>
        </w:rPr>
        <w:t xml:space="preserve">two population health measures: </w:t>
      </w:r>
    </w:p>
    <w:p w:rsidR="00293A65" w:rsidP="009D7A35" w14:paraId="17BF7E12" w14:textId="332CB8EC">
      <w:pPr>
        <w:pStyle w:val="ListParagraph"/>
        <w:keepLines/>
        <w:numPr>
          <w:ilvl w:val="0"/>
          <w:numId w:val="12"/>
        </w:numPr>
        <w:rPr>
          <w:rFonts w:eastAsia="Yu Gothic Light"/>
          <w:bCs/>
          <w:iCs/>
          <w:sz w:val="22"/>
          <w:szCs w:val="22"/>
        </w:rPr>
      </w:pPr>
      <w:r w:rsidRPr="00AC1E73">
        <w:rPr>
          <w:rFonts w:eastAsia="Yu Gothic Light"/>
          <w:bCs/>
          <w:iCs/>
          <w:sz w:val="22"/>
          <w:szCs w:val="22"/>
        </w:rPr>
        <w:t xml:space="preserve">Q479: </w:t>
      </w:r>
      <w:r w:rsidRPr="00AC1E73" w:rsidR="00C4670F">
        <w:rPr>
          <w:rFonts w:eastAsia="Yu Gothic Light"/>
          <w:bCs/>
          <w:iCs/>
          <w:sz w:val="22"/>
          <w:szCs w:val="22"/>
        </w:rPr>
        <w:t>Hospital-Wide</w:t>
      </w:r>
      <w:r w:rsidRPr="00AC1E73" w:rsidR="00B0712C">
        <w:rPr>
          <w:rFonts w:eastAsia="Yu Gothic Light"/>
          <w:bCs/>
          <w:iCs/>
          <w:sz w:val="22"/>
          <w:szCs w:val="22"/>
        </w:rPr>
        <w:t>,</w:t>
      </w:r>
      <w:r w:rsidRPr="00AC1E73" w:rsidR="00C4670F">
        <w:rPr>
          <w:rFonts w:eastAsia="Yu Gothic Light"/>
          <w:bCs/>
          <w:iCs/>
          <w:sz w:val="22"/>
          <w:szCs w:val="22"/>
        </w:rPr>
        <w:t xml:space="preserve"> 30-Day</w:t>
      </w:r>
      <w:r w:rsidRPr="00AC1E73" w:rsidR="00B0712C">
        <w:rPr>
          <w:rFonts w:eastAsia="Yu Gothic Light"/>
          <w:bCs/>
          <w:iCs/>
          <w:sz w:val="22"/>
          <w:szCs w:val="22"/>
        </w:rPr>
        <w:t>,</w:t>
      </w:r>
      <w:r w:rsidRPr="00AC1E73" w:rsidR="00C4670F">
        <w:rPr>
          <w:rFonts w:eastAsia="Yu Gothic Light"/>
          <w:bCs/>
          <w:iCs/>
          <w:sz w:val="22"/>
          <w:szCs w:val="22"/>
        </w:rPr>
        <w:t xml:space="preserve"> All-Cause Unplanned Readmission (HWR) </w:t>
      </w:r>
      <w:r w:rsidRPr="00AC1E73" w:rsidR="00B0712C">
        <w:rPr>
          <w:rFonts w:eastAsia="Yu Gothic Light"/>
          <w:bCs/>
          <w:iCs/>
          <w:sz w:val="22"/>
          <w:szCs w:val="22"/>
        </w:rPr>
        <w:t>Rate for the Merit-based Incentive Payment Program (MIPS) Groups</w:t>
      </w:r>
      <w:r>
        <w:rPr>
          <w:rFonts w:eastAsia="Yu Gothic Light"/>
          <w:bCs/>
          <w:iCs/>
          <w:sz w:val="22"/>
          <w:szCs w:val="22"/>
        </w:rPr>
        <w:t>;</w:t>
      </w:r>
      <w:r w:rsidRPr="00AC1E73" w:rsidR="00B0712C">
        <w:rPr>
          <w:rFonts w:eastAsia="Yu Gothic Light"/>
          <w:bCs/>
          <w:iCs/>
          <w:sz w:val="22"/>
          <w:szCs w:val="22"/>
        </w:rPr>
        <w:t xml:space="preserve"> </w:t>
      </w:r>
      <w:r w:rsidRPr="00AC1E73" w:rsidR="00447AA4">
        <w:rPr>
          <w:rFonts w:eastAsia="Yu Gothic Light"/>
          <w:bCs/>
          <w:iCs/>
          <w:sz w:val="22"/>
          <w:szCs w:val="22"/>
        </w:rPr>
        <w:t>and</w:t>
      </w:r>
      <w:r w:rsidR="001F32E3">
        <w:rPr>
          <w:rFonts w:eastAsia="Yu Gothic Light"/>
          <w:bCs/>
          <w:iCs/>
          <w:sz w:val="22"/>
          <w:szCs w:val="22"/>
        </w:rPr>
        <w:t>,</w:t>
      </w:r>
      <w:r w:rsidRPr="00AC1E73" w:rsidR="00447AA4">
        <w:rPr>
          <w:rFonts w:eastAsia="Yu Gothic Light"/>
          <w:bCs/>
          <w:iCs/>
          <w:sz w:val="22"/>
          <w:szCs w:val="22"/>
        </w:rPr>
        <w:t xml:space="preserve"> </w:t>
      </w:r>
    </w:p>
    <w:p w:rsidR="00275967" w:rsidRPr="00AC1E73" w:rsidP="25546F51" w14:paraId="318E591D" w14:textId="4E4A6989">
      <w:pPr>
        <w:pStyle w:val="ListParagraph"/>
        <w:keepLines/>
        <w:numPr>
          <w:ilvl w:val="0"/>
          <w:numId w:val="12"/>
        </w:numPr>
        <w:rPr>
          <w:rFonts w:eastAsia="Yu Gothic Light"/>
          <w:sz w:val="22"/>
          <w:szCs w:val="22"/>
        </w:rPr>
      </w:pPr>
      <w:r w:rsidRPr="0D91AA7B">
        <w:rPr>
          <w:rFonts w:eastAsia="Yu Gothic Light"/>
          <w:sz w:val="22"/>
          <w:szCs w:val="22"/>
        </w:rPr>
        <w:t>Q484:</w:t>
      </w:r>
      <w:r w:rsidRPr="0D91AA7B" w:rsidR="00F25BBF">
        <w:rPr>
          <w:rFonts w:eastAsia="Yu Gothic Light"/>
          <w:sz w:val="22"/>
          <w:szCs w:val="22"/>
        </w:rPr>
        <w:t xml:space="preserve"> </w:t>
      </w:r>
      <w:r w:rsidRPr="0D91AA7B" w:rsidR="00AC147A">
        <w:rPr>
          <w:rFonts w:eastAsia="Yu Gothic Light"/>
          <w:sz w:val="22"/>
          <w:szCs w:val="22"/>
        </w:rPr>
        <w:t>Clinician and Clinician Group Risk-standardized Hospital Admission Rates for Patients with Multiple Chronic Conditions</w:t>
      </w:r>
      <w:r w:rsidRPr="0D91AA7B" w:rsidR="00C4670F">
        <w:rPr>
          <w:rFonts w:eastAsia="Yu Gothic Light"/>
          <w:sz w:val="22"/>
          <w:szCs w:val="22"/>
        </w:rPr>
        <w:t>.</w:t>
      </w:r>
      <w:r w:rsidRPr="0D91AA7B" w:rsidR="00447AA4">
        <w:rPr>
          <w:rFonts w:eastAsia="Yu Gothic Light"/>
          <w:sz w:val="22"/>
          <w:szCs w:val="22"/>
        </w:rPr>
        <w:t xml:space="preserve"> </w:t>
      </w:r>
    </w:p>
    <w:p w:rsidR="00275967" w:rsidP="00EF298A" w14:paraId="368737BD" w14:textId="77777777">
      <w:pPr>
        <w:keepLines/>
        <w:rPr>
          <w:rFonts w:ascii="Arial" w:eastAsia="Yu Gothic Light" w:hAnsi="Arial" w:cs="Arial"/>
          <w:bCs/>
          <w:iCs/>
          <w:sz w:val="22"/>
          <w:szCs w:val="22"/>
        </w:rPr>
      </w:pPr>
    </w:p>
    <w:p w:rsidR="00C4670F" w:rsidP="00EF298A" w14:paraId="60DE43B1" w14:textId="275F7036">
      <w:pPr>
        <w:keepLines/>
        <w:rPr>
          <w:rFonts w:ascii="Arial" w:eastAsia="Yu Gothic Light" w:hAnsi="Arial" w:cs="Arial"/>
          <w:bCs/>
          <w:iCs/>
          <w:sz w:val="22"/>
          <w:szCs w:val="22"/>
        </w:rPr>
      </w:pPr>
      <w:bookmarkStart w:id="11" w:name="OLE_LINK32"/>
      <w:r w:rsidRPr="00BF1CDD">
        <w:rPr>
          <w:rFonts w:ascii="Arial" w:eastAsia="Yu Gothic Light" w:hAnsi="Arial" w:cs="Arial"/>
          <w:b/>
          <w:bCs/>
          <w:iCs/>
          <w:sz w:val="22"/>
          <w:szCs w:val="22"/>
        </w:rPr>
        <w:t>Note:</w:t>
      </w:r>
      <w:r>
        <w:rPr>
          <w:rFonts w:ascii="Arial" w:eastAsia="Yu Gothic Light" w:hAnsi="Arial" w:cs="Arial"/>
          <w:bCs/>
          <w:iCs/>
          <w:sz w:val="22"/>
          <w:szCs w:val="22"/>
        </w:rPr>
        <w:t xml:space="preserve"> </w:t>
      </w:r>
      <w:r w:rsidR="0013368A">
        <w:rPr>
          <w:rFonts w:ascii="Arial" w:eastAsia="Yu Gothic Light" w:hAnsi="Arial" w:cs="Arial"/>
          <w:bCs/>
          <w:iCs/>
          <w:sz w:val="22"/>
          <w:szCs w:val="22"/>
        </w:rPr>
        <w:t>In this template, submitters do</w:t>
      </w:r>
      <w:r w:rsidR="001F32E3">
        <w:rPr>
          <w:rFonts w:ascii="Arial" w:eastAsia="Yu Gothic Light" w:hAnsi="Arial" w:cs="Arial"/>
          <w:bCs/>
          <w:iCs/>
          <w:sz w:val="22"/>
          <w:szCs w:val="22"/>
        </w:rPr>
        <w:t>n’t</w:t>
      </w:r>
      <w:r w:rsidR="0013368A">
        <w:rPr>
          <w:rFonts w:ascii="Arial" w:eastAsia="Yu Gothic Light" w:hAnsi="Arial" w:cs="Arial"/>
          <w:bCs/>
          <w:iCs/>
          <w:sz w:val="22"/>
          <w:szCs w:val="22"/>
        </w:rPr>
        <w:t xml:space="preserve"> need to submit</w:t>
      </w:r>
      <w:r w:rsidR="00AC147A">
        <w:rPr>
          <w:rFonts w:ascii="Arial" w:eastAsia="Yu Gothic Light" w:hAnsi="Arial" w:cs="Arial"/>
          <w:bCs/>
          <w:iCs/>
          <w:sz w:val="22"/>
          <w:szCs w:val="22"/>
        </w:rPr>
        <w:t xml:space="preserve"> </w:t>
      </w:r>
      <w:r w:rsidR="007772DA">
        <w:rPr>
          <w:rFonts w:ascii="Arial" w:eastAsia="Yu Gothic Light" w:hAnsi="Arial" w:cs="Arial"/>
          <w:bCs/>
          <w:iCs/>
          <w:sz w:val="22"/>
          <w:szCs w:val="22"/>
        </w:rPr>
        <w:t xml:space="preserve">the </w:t>
      </w:r>
      <w:r w:rsidR="0013368A">
        <w:rPr>
          <w:rFonts w:ascii="Arial" w:eastAsia="Yu Gothic Light" w:hAnsi="Arial" w:cs="Arial"/>
          <w:bCs/>
          <w:iCs/>
          <w:sz w:val="22"/>
          <w:szCs w:val="22"/>
        </w:rPr>
        <w:t xml:space="preserve">Promoting Interoperability </w:t>
      </w:r>
      <w:r w:rsidR="00830908">
        <w:rPr>
          <w:rFonts w:ascii="Arial" w:eastAsia="Yu Gothic Light" w:hAnsi="Arial" w:cs="Arial"/>
          <w:bCs/>
          <w:iCs/>
          <w:sz w:val="22"/>
          <w:szCs w:val="22"/>
        </w:rPr>
        <w:t>performance category</w:t>
      </w:r>
      <w:r w:rsidR="0013368A">
        <w:rPr>
          <w:rFonts w:ascii="Arial" w:eastAsia="Yu Gothic Light" w:hAnsi="Arial" w:cs="Arial"/>
          <w:bCs/>
          <w:iCs/>
          <w:sz w:val="22"/>
          <w:szCs w:val="22"/>
        </w:rPr>
        <w:t xml:space="preserve"> </w:t>
      </w:r>
      <w:r w:rsidR="00383A8A">
        <w:rPr>
          <w:rFonts w:ascii="Arial" w:eastAsia="Yu Gothic Light" w:hAnsi="Arial" w:cs="Arial"/>
          <w:bCs/>
          <w:iCs/>
          <w:sz w:val="22"/>
          <w:szCs w:val="22"/>
        </w:rPr>
        <w:t>measures,</w:t>
      </w:r>
      <w:r w:rsidR="000B7089">
        <w:rPr>
          <w:rFonts w:ascii="Arial" w:eastAsia="Yu Gothic Light" w:hAnsi="Arial" w:cs="Arial"/>
          <w:bCs/>
          <w:iCs/>
          <w:sz w:val="22"/>
          <w:szCs w:val="22"/>
        </w:rPr>
        <w:t xml:space="preserve"> </w:t>
      </w:r>
      <w:r w:rsidR="008605D6">
        <w:rPr>
          <w:rFonts w:ascii="Arial" w:eastAsia="Yu Gothic Light" w:hAnsi="Arial" w:cs="Arial"/>
          <w:bCs/>
          <w:iCs/>
          <w:sz w:val="22"/>
          <w:szCs w:val="22"/>
        </w:rPr>
        <w:t xml:space="preserve">or </w:t>
      </w:r>
      <w:r w:rsidR="0013368A">
        <w:rPr>
          <w:rFonts w:ascii="Arial" w:eastAsia="Yu Gothic Light" w:hAnsi="Arial" w:cs="Arial"/>
          <w:bCs/>
          <w:iCs/>
          <w:sz w:val="22"/>
          <w:szCs w:val="22"/>
        </w:rPr>
        <w:t>the population health measures</w:t>
      </w:r>
      <w:r w:rsidR="00F15310">
        <w:rPr>
          <w:rFonts w:ascii="Arial" w:eastAsia="Yu Gothic Light" w:hAnsi="Arial" w:cs="Arial"/>
          <w:bCs/>
          <w:iCs/>
          <w:sz w:val="22"/>
          <w:szCs w:val="22"/>
        </w:rPr>
        <w:t>.</w:t>
      </w:r>
      <w:r w:rsidRPr="00EB54BC" w:rsidR="00F15310">
        <w:t xml:space="preserve"> </w:t>
      </w:r>
      <w:r w:rsidRPr="004B38D7" w:rsidR="00563E90">
        <w:rPr>
          <w:rFonts w:ascii="Arial" w:hAnsi="Arial" w:cs="Arial"/>
          <w:sz w:val="22"/>
          <w:szCs w:val="22"/>
        </w:rPr>
        <w:t>The</w:t>
      </w:r>
      <w:r w:rsidR="00563E90">
        <w:t xml:space="preserve"> </w:t>
      </w:r>
      <w:r w:rsidR="00B33772">
        <w:rPr>
          <w:rFonts w:ascii="Arial" w:eastAsia="Yu Gothic Light" w:hAnsi="Arial" w:cs="Arial"/>
          <w:bCs/>
          <w:iCs/>
          <w:sz w:val="22"/>
          <w:szCs w:val="22"/>
        </w:rPr>
        <w:t>Promoting Interoperability performance category measure specifications</w:t>
      </w:r>
      <w:r w:rsidR="00667D7D">
        <w:rPr>
          <w:rFonts w:ascii="Arial" w:eastAsia="Yu Gothic Light" w:hAnsi="Arial" w:cs="Arial"/>
          <w:bCs/>
          <w:iCs/>
          <w:sz w:val="22"/>
          <w:szCs w:val="22"/>
        </w:rPr>
        <w:t xml:space="preserve"> </w:t>
      </w:r>
      <w:r w:rsidR="00563E90">
        <w:rPr>
          <w:rFonts w:ascii="Arial" w:eastAsia="Yu Gothic Light" w:hAnsi="Arial" w:cs="Arial"/>
          <w:bCs/>
          <w:iCs/>
          <w:sz w:val="22"/>
          <w:szCs w:val="22"/>
        </w:rPr>
        <w:t>are</w:t>
      </w:r>
      <w:r w:rsidR="009548EF">
        <w:rPr>
          <w:rFonts w:ascii="Arial" w:eastAsia="Yu Gothic Light" w:hAnsi="Arial" w:cs="Arial"/>
          <w:bCs/>
          <w:iCs/>
          <w:sz w:val="22"/>
          <w:szCs w:val="22"/>
        </w:rPr>
        <w:t xml:space="preserve"> available on the </w:t>
      </w:r>
      <w:hyperlink r:id="rId10" w:history="1">
        <w:r w:rsidRPr="000D0C5D" w:rsidR="000D0C5D">
          <w:rPr>
            <w:rStyle w:val="Hyperlink"/>
            <w:rFonts w:ascii="Arial" w:eastAsia="Yu Gothic Light" w:hAnsi="Arial" w:cs="Arial"/>
            <w:bCs/>
            <w:iCs/>
            <w:sz w:val="22"/>
            <w:szCs w:val="22"/>
          </w:rPr>
          <w:t>Promoting Interoperability Performance Category Webpage</w:t>
        </w:r>
      </w:hyperlink>
      <w:r w:rsidR="000D0C5D">
        <w:rPr>
          <w:rFonts w:ascii="Arial" w:eastAsia="Yu Gothic Light" w:hAnsi="Arial" w:cs="Arial"/>
          <w:bCs/>
          <w:iCs/>
          <w:sz w:val="22"/>
          <w:szCs w:val="22"/>
        </w:rPr>
        <w:t>.</w:t>
      </w:r>
      <w:r w:rsidR="003B2EEB">
        <w:rPr>
          <w:rFonts w:ascii="Arial" w:eastAsia="Yu Gothic Light" w:hAnsi="Arial" w:cs="Arial"/>
          <w:bCs/>
          <w:iCs/>
          <w:sz w:val="22"/>
          <w:szCs w:val="22"/>
        </w:rPr>
        <w:t xml:space="preserve"> </w:t>
      </w:r>
      <w:r w:rsidR="00F15310">
        <w:rPr>
          <w:rFonts w:ascii="Arial" w:eastAsia="Yu Gothic Light" w:hAnsi="Arial" w:cs="Arial"/>
          <w:bCs/>
          <w:iCs/>
          <w:sz w:val="22"/>
          <w:szCs w:val="22"/>
        </w:rPr>
        <w:t>The</w:t>
      </w:r>
      <w:r w:rsidR="001152B9">
        <w:rPr>
          <w:rFonts w:ascii="Arial" w:eastAsia="Yu Gothic Light" w:hAnsi="Arial" w:cs="Arial"/>
          <w:bCs/>
          <w:iCs/>
          <w:sz w:val="22"/>
          <w:szCs w:val="22"/>
        </w:rPr>
        <w:t>se</w:t>
      </w:r>
      <w:r w:rsidR="00F15310">
        <w:rPr>
          <w:rFonts w:ascii="Arial" w:eastAsia="Yu Gothic Light" w:hAnsi="Arial" w:cs="Arial"/>
          <w:bCs/>
          <w:iCs/>
          <w:sz w:val="22"/>
          <w:szCs w:val="22"/>
        </w:rPr>
        <w:t xml:space="preserve"> </w:t>
      </w:r>
      <w:r w:rsidR="0021131B">
        <w:rPr>
          <w:rFonts w:ascii="Arial" w:eastAsia="Yu Gothic Light" w:hAnsi="Arial" w:cs="Arial"/>
          <w:bCs/>
          <w:iCs/>
          <w:sz w:val="22"/>
          <w:szCs w:val="22"/>
        </w:rPr>
        <w:t xml:space="preserve">foundational </w:t>
      </w:r>
      <w:r w:rsidR="00FD0A94">
        <w:rPr>
          <w:rFonts w:ascii="Arial" w:eastAsia="Yu Gothic Light" w:hAnsi="Arial" w:cs="Arial"/>
          <w:bCs/>
          <w:iCs/>
          <w:sz w:val="22"/>
          <w:szCs w:val="22"/>
        </w:rPr>
        <w:t>layer measures are prefilled</w:t>
      </w:r>
      <w:r w:rsidR="0013368A">
        <w:rPr>
          <w:rFonts w:ascii="Arial" w:eastAsia="Yu Gothic Light" w:hAnsi="Arial" w:cs="Arial"/>
          <w:bCs/>
          <w:iCs/>
          <w:sz w:val="22"/>
          <w:szCs w:val="22"/>
        </w:rPr>
        <w:t xml:space="preserve"> because they are </w:t>
      </w:r>
      <w:r w:rsidR="000969A9">
        <w:rPr>
          <w:rFonts w:ascii="Arial" w:eastAsia="Yu Gothic Light" w:hAnsi="Arial" w:cs="Arial"/>
          <w:bCs/>
          <w:iCs/>
          <w:sz w:val="22"/>
          <w:szCs w:val="22"/>
        </w:rPr>
        <w:t xml:space="preserve">required </w:t>
      </w:r>
      <w:r w:rsidR="0013368A">
        <w:rPr>
          <w:rFonts w:ascii="Arial" w:eastAsia="Yu Gothic Light" w:hAnsi="Arial" w:cs="Arial"/>
          <w:bCs/>
          <w:iCs/>
          <w:sz w:val="22"/>
          <w:szCs w:val="22"/>
        </w:rPr>
        <w:t>across all</w:t>
      </w:r>
      <w:r w:rsidR="007772DA">
        <w:rPr>
          <w:rFonts w:ascii="Arial" w:eastAsia="Yu Gothic Light" w:hAnsi="Arial" w:cs="Arial"/>
          <w:bCs/>
          <w:iCs/>
          <w:sz w:val="22"/>
          <w:szCs w:val="22"/>
        </w:rPr>
        <w:t xml:space="preserve"> MVP </w:t>
      </w:r>
      <w:r w:rsidR="0013368A">
        <w:rPr>
          <w:rFonts w:ascii="Arial" w:eastAsia="Yu Gothic Light" w:hAnsi="Arial" w:cs="Arial"/>
          <w:bCs/>
          <w:iCs/>
          <w:sz w:val="22"/>
          <w:szCs w:val="22"/>
        </w:rPr>
        <w:t>candidates</w:t>
      </w:r>
      <w:r w:rsidR="000969A9">
        <w:rPr>
          <w:rFonts w:ascii="Arial" w:eastAsia="Yu Gothic Light" w:hAnsi="Arial" w:cs="Arial"/>
          <w:bCs/>
          <w:iCs/>
          <w:sz w:val="22"/>
          <w:szCs w:val="22"/>
        </w:rPr>
        <w:t xml:space="preserve"> and </w:t>
      </w:r>
      <w:r w:rsidR="00ED2B4A">
        <w:rPr>
          <w:rFonts w:ascii="Arial" w:eastAsia="Yu Gothic Light" w:hAnsi="Arial" w:cs="Arial"/>
          <w:bCs/>
          <w:iCs/>
          <w:sz w:val="22"/>
          <w:szCs w:val="22"/>
        </w:rPr>
        <w:t xml:space="preserve">can’t </w:t>
      </w:r>
      <w:r w:rsidR="000969A9">
        <w:rPr>
          <w:rFonts w:ascii="Arial" w:eastAsia="Yu Gothic Light" w:hAnsi="Arial" w:cs="Arial"/>
          <w:bCs/>
          <w:iCs/>
          <w:sz w:val="22"/>
          <w:szCs w:val="22"/>
        </w:rPr>
        <w:t>be changed</w:t>
      </w:r>
      <w:r w:rsidRPr="00DB2944">
        <w:rPr>
          <w:rFonts w:ascii="Arial" w:eastAsia="Yu Gothic Light" w:hAnsi="Arial" w:cs="Arial"/>
          <w:bCs/>
          <w:iCs/>
          <w:sz w:val="22"/>
          <w:szCs w:val="22"/>
        </w:rPr>
        <w:t>.</w:t>
      </w:r>
    </w:p>
    <w:bookmarkEnd w:id="11"/>
    <w:p w:rsidR="00EF298A" w:rsidRPr="00DB2944" w:rsidP="00BF1CDD" w14:paraId="74F49E8B" w14:textId="77777777">
      <w:pPr>
        <w:keepLines/>
        <w:rPr>
          <w:rFonts w:ascii="Arial" w:eastAsia="Yu Gothic Light" w:hAnsi="Arial" w:cs="Arial"/>
          <w:bCs/>
          <w:iCs/>
          <w:sz w:val="22"/>
          <w:szCs w:val="22"/>
        </w:rPr>
      </w:pPr>
    </w:p>
    <w:p w:rsidR="00C4670F" w:rsidRPr="00DB2944" w:rsidP="00BF1CDD" w14:paraId="49D7CA19" w14:textId="5BE159F0">
      <w:pPr>
        <w:keepLines/>
        <w:rPr>
          <w:rFonts w:ascii="Arial" w:eastAsia="Yu Gothic Light" w:hAnsi="Arial" w:cs="Arial"/>
          <w:bCs/>
          <w:iCs/>
          <w:sz w:val="22"/>
          <w:szCs w:val="22"/>
        </w:rPr>
      </w:pPr>
      <w:bookmarkStart w:id="12" w:name="OLE_LINK5"/>
      <w:r>
        <w:rPr>
          <w:rFonts w:ascii="Arial" w:eastAsia="Yu Gothic Light" w:hAnsi="Arial" w:cs="Arial"/>
          <w:bCs/>
          <w:iCs/>
          <w:sz w:val="22"/>
          <w:szCs w:val="22"/>
        </w:rPr>
        <w:t>P</w:t>
      </w:r>
      <w:r w:rsidRPr="00DB2944">
        <w:rPr>
          <w:rFonts w:ascii="Arial" w:eastAsia="Yu Gothic Light" w:hAnsi="Arial" w:cs="Arial"/>
          <w:bCs/>
          <w:iCs/>
          <w:sz w:val="22"/>
          <w:szCs w:val="22"/>
        </w:rPr>
        <w:t xml:space="preserve">lease complete and submit </w:t>
      </w:r>
      <w:r w:rsidRPr="00EB0216">
        <w:rPr>
          <w:rFonts w:ascii="Arial" w:eastAsia="Yu Gothic Light" w:hAnsi="Arial" w:cs="Arial"/>
          <w:b/>
          <w:bCs/>
          <w:iCs/>
          <w:sz w:val="22"/>
          <w:szCs w:val="22"/>
          <w:u w:val="single"/>
        </w:rPr>
        <w:t>both</w:t>
      </w:r>
      <w:r w:rsidRPr="00D45934">
        <w:rPr>
          <w:rFonts w:ascii="Arial" w:eastAsia="Yu Gothic Light" w:hAnsi="Arial" w:cs="Arial"/>
          <w:b/>
          <w:bCs/>
          <w:iCs/>
          <w:sz w:val="22"/>
          <w:szCs w:val="22"/>
        </w:rPr>
        <w:t xml:space="preserve"> </w:t>
      </w:r>
      <w:r w:rsidRPr="00DB2944">
        <w:rPr>
          <w:rFonts w:ascii="Arial" w:eastAsia="Yu Gothic Light" w:hAnsi="Arial" w:cs="Arial"/>
          <w:bCs/>
          <w:iCs/>
          <w:sz w:val="22"/>
          <w:szCs w:val="22"/>
        </w:rPr>
        <w:t>Table 1 and Table 2</w:t>
      </w:r>
      <w:r>
        <w:rPr>
          <w:rFonts w:ascii="Arial" w:eastAsia="Yu Gothic Light" w:hAnsi="Arial" w:cs="Arial"/>
          <w:bCs/>
          <w:iCs/>
          <w:sz w:val="22"/>
          <w:szCs w:val="22"/>
        </w:rPr>
        <w:t>a</w:t>
      </w:r>
      <w:r w:rsidRPr="00DB2944">
        <w:rPr>
          <w:rFonts w:ascii="Arial" w:eastAsia="Yu Gothic Light" w:hAnsi="Arial" w:cs="Arial"/>
          <w:bCs/>
          <w:iCs/>
          <w:sz w:val="22"/>
          <w:szCs w:val="22"/>
        </w:rPr>
        <w:t xml:space="preserve"> of the template below for each intended MVP candidate.</w:t>
      </w:r>
      <w:r w:rsidR="000969A9">
        <w:rPr>
          <w:rFonts w:ascii="Arial" w:eastAsia="Yu Gothic Light" w:hAnsi="Arial" w:cs="Arial"/>
          <w:bCs/>
          <w:iCs/>
          <w:sz w:val="22"/>
          <w:szCs w:val="22"/>
        </w:rPr>
        <w:t xml:space="preserve"> </w:t>
      </w:r>
      <w:r w:rsidR="00ED2B4A">
        <w:rPr>
          <w:rFonts w:ascii="Arial" w:eastAsia="Yu Gothic Light" w:hAnsi="Arial" w:cs="Arial"/>
          <w:b/>
          <w:bCs/>
          <w:iCs/>
          <w:sz w:val="22"/>
          <w:szCs w:val="22"/>
        </w:rPr>
        <w:t xml:space="preserve">Both tables must be completed for </w:t>
      </w:r>
      <w:r>
        <w:rPr>
          <w:rFonts w:ascii="Arial" w:eastAsia="Yu Gothic Light" w:hAnsi="Arial" w:cs="Arial"/>
          <w:b/>
          <w:bCs/>
          <w:iCs/>
          <w:sz w:val="22"/>
          <w:szCs w:val="22"/>
        </w:rPr>
        <w:t xml:space="preserve">CMS </w:t>
      </w:r>
      <w:r w:rsidRPr="00EB0216" w:rsidR="000969A9">
        <w:rPr>
          <w:rFonts w:ascii="Arial" w:eastAsia="Yu Gothic Light" w:hAnsi="Arial" w:cs="Arial"/>
          <w:b/>
          <w:bCs/>
          <w:iCs/>
          <w:sz w:val="22"/>
          <w:szCs w:val="22"/>
        </w:rPr>
        <w:t>to consider your submission.</w:t>
      </w:r>
      <w:r w:rsidR="000969A9">
        <w:rPr>
          <w:rFonts w:ascii="Arial" w:eastAsia="Yu Gothic Light" w:hAnsi="Arial" w:cs="Arial"/>
          <w:bCs/>
          <w:iCs/>
          <w:sz w:val="22"/>
          <w:szCs w:val="22"/>
        </w:rPr>
        <w:t xml:space="preserve"> </w:t>
      </w:r>
    </w:p>
    <w:p w:rsidR="00C4670F" w:rsidP="00BF1CDD" w14:paraId="7670F107" w14:textId="77777777">
      <w:pPr>
        <w:pStyle w:val="Bullet1"/>
        <w:spacing w:before="0" w:after="0"/>
      </w:pPr>
      <w:r>
        <w:t xml:space="preserve">Table 1 should include high-level descriptive information as outlined below. </w:t>
      </w:r>
    </w:p>
    <w:p w:rsidR="00EC2806" w:rsidRPr="00212068" w:rsidP="00BF1CDD" w14:paraId="65DB927A" w14:textId="7CE53BE0">
      <w:pPr>
        <w:pStyle w:val="Bullet1"/>
        <w:spacing w:before="0" w:after="0"/>
      </w:pPr>
      <w:r>
        <w:t>Table 2</w:t>
      </w:r>
      <w:r w:rsidR="00224030">
        <w:t>a</w:t>
      </w:r>
      <w:r>
        <w:t xml:space="preserve"> should include the specific quality measures, improvement activities, and cost measures for the MVP candidate submission. </w:t>
      </w:r>
    </w:p>
    <w:p w:rsidR="00E03C5F" w:rsidP="00BF1CDD" w14:paraId="338F32C1" w14:textId="6F4444F8">
      <w:pPr>
        <w:pStyle w:val="Bullet1"/>
        <w:numPr>
          <w:ilvl w:val="1"/>
          <w:numId w:val="2"/>
        </w:numPr>
        <w:spacing w:before="0" w:after="0"/>
      </w:pPr>
      <w:bookmarkStart w:id="13" w:name="_Hlk56684458"/>
      <w:r>
        <w:t>P</w:t>
      </w:r>
      <w:r w:rsidRPr="00C4670F" w:rsidR="00C4670F">
        <w:t xml:space="preserve">lease note that CMS </w:t>
      </w:r>
      <w:r w:rsidR="00ED2B4A">
        <w:t>isn’t</w:t>
      </w:r>
      <w:r w:rsidRPr="00C4670F" w:rsidR="00C4670F">
        <w:t xml:space="preserve"> prescriptive regarding the number of measures and activities that may be included in an MVP; therefore, when completing Table 2</w:t>
      </w:r>
      <w:r w:rsidR="00224030">
        <w:t>a</w:t>
      </w:r>
      <w:r w:rsidRPr="00C4670F" w:rsidR="00C4670F">
        <w:t>, the number of rows included should reflect the number of measures/activities that are necessary to describe the MVP candidate submission.</w:t>
      </w:r>
    </w:p>
    <w:bookmarkEnd w:id="12"/>
    <w:bookmarkEnd w:id="13"/>
    <w:p w:rsidR="00275967" w:rsidP="00EF298A" w14:paraId="660B140B" w14:textId="77777777">
      <w:pPr>
        <w:rPr>
          <w:rFonts w:ascii="Arial" w:eastAsia="Calibri" w:hAnsi="Arial" w:cs="Arial"/>
          <w:sz w:val="22"/>
          <w:szCs w:val="22"/>
        </w:rPr>
      </w:pPr>
    </w:p>
    <w:p w:rsidR="00E03C5F" w:rsidP="00EF298A" w14:paraId="179AE730" w14:textId="218F8BB3">
      <w:pPr>
        <w:rPr>
          <w:rFonts w:ascii="Arial" w:eastAsia="Calibri" w:hAnsi="Arial" w:cs="Arial"/>
          <w:sz w:val="22"/>
          <w:szCs w:val="22"/>
        </w:rPr>
      </w:pPr>
      <w:r>
        <w:rPr>
          <w:rFonts w:ascii="Arial" w:eastAsia="Calibri" w:hAnsi="Arial" w:cs="Arial"/>
          <w:sz w:val="22"/>
          <w:szCs w:val="22"/>
        </w:rPr>
        <w:t>A</w:t>
      </w:r>
      <w:r w:rsidRPr="00145B94">
        <w:rPr>
          <w:rFonts w:ascii="Arial" w:eastAsia="Calibri" w:hAnsi="Arial" w:cs="Arial"/>
          <w:sz w:val="22"/>
          <w:szCs w:val="22"/>
        </w:rPr>
        <w:t>dditional guidance and considerations for completing Table 2</w:t>
      </w:r>
      <w:r w:rsidR="000C7BD3">
        <w:rPr>
          <w:rFonts w:ascii="Arial" w:eastAsia="Calibri" w:hAnsi="Arial" w:cs="Arial"/>
          <w:sz w:val="22"/>
          <w:szCs w:val="22"/>
        </w:rPr>
        <w:t>a</w:t>
      </w:r>
      <w:r w:rsidRPr="00145B94">
        <w:rPr>
          <w:rFonts w:ascii="Arial" w:eastAsia="Calibri" w:hAnsi="Arial" w:cs="Arial"/>
          <w:sz w:val="22"/>
          <w:szCs w:val="22"/>
        </w:rPr>
        <w:t xml:space="preserve"> can be found in the </w:t>
      </w:r>
      <w:r>
        <w:rPr>
          <w:rFonts w:ascii="Arial" w:eastAsia="Calibri" w:hAnsi="Arial" w:cs="Arial"/>
          <w:sz w:val="22"/>
          <w:szCs w:val="22"/>
        </w:rPr>
        <w:t>a</w:t>
      </w:r>
      <w:r w:rsidRPr="00145B94">
        <w:rPr>
          <w:rFonts w:ascii="Arial" w:eastAsia="Calibri" w:hAnsi="Arial" w:cs="Arial"/>
          <w:sz w:val="22"/>
          <w:szCs w:val="22"/>
        </w:rPr>
        <w:t xml:space="preserve">ppendix of this document. </w:t>
      </w:r>
    </w:p>
    <w:bookmarkEnd w:id="9"/>
    <w:p w:rsidR="00275967" w:rsidP="00BF1CDD" w14:paraId="1AEF15D7" w14:textId="77777777">
      <w:pPr>
        <w:rPr>
          <w:rFonts w:ascii="Arial" w:eastAsia="Calibri" w:hAnsi="Arial" w:cs="Arial"/>
          <w:sz w:val="22"/>
          <w:szCs w:val="22"/>
        </w:rPr>
      </w:pPr>
    </w:p>
    <w:p w:rsidR="00E03C5F" w:rsidRPr="00145B94" w:rsidP="00BF1CDD" w14:paraId="2CA3E472" w14:textId="5B6E4DCA">
      <w:pPr>
        <w:pStyle w:val="Heading3"/>
        <w:spacing w:before="0" w:line="240" w:lineRule="auto"/>
      </w:pPr>
      <w:r>
        <w:br w:type="page"/>
      </w:r>
      <w:r w:rsidRPr="00145B94">
        <w:t>MVP Candidate Content and Review Process</w:t>
      </w:r>
    </w:p>
    <w:p w:rsidR="00E03C5F" w:rsidP="00EF298A" w14:paraId="267FB23F" w14:textId="4C329876">
      <w:pPr>
        <w:rPr>
          <w:rFonts w:ascii="Arial" w:eastAsia="Calibri" w:hAnsi="Arial" w:cs="Arial"/>
          <w:color w:val="000000" w:themeColor="text1"/>
          <w:sz w:val="22"/>
          <w:szCs w:val="22"/>
        </w:rPr>
      </w:pPr>
      <w:bookmarkStart w:id="14" w:name="OLE_LINK14"/>
      <w:r w:rsidRPr="1910F967">
        <w:rPr>
          <w:rFonts w:ascii="Arial" w:eastAsia="Calibri" w:hAnsi="Arial" w:cs="Arial"/>
          <w:color w:val="000000" w:themeColor="text1"/>
          <w:sz w:val="22"/>
          <w:szCs w:val="22"/>
        </w:rPr>
        <w:t xml:space="preserve">CMS encourages </w:t>
      </w:r>
      <w:r w:rsidR="005153B6">
        <w:rPr>
          <w:rFonts w:ascii="Arial" w:eastAsia="Calibri" w:hAnsi="Arial" w:cs="Arial"/>
          <w:color w:val="000000" w:themeColor="text1"/>
          <w:sz w:val="22"/>
          <w:szCs w:val="22"/>
        </w:rPr>
        <w:t xml:space="preserve">MVP </w:t>
      </w:r>
      <w:r w:rsidRPr="1910F967">
        <w:rPr>
          <w:rFonts w:ascii="Arial" w:eastAsia="Calibri" w:hAnsi="Arial" w:cs="Arial"/>
          <w:color w:val="000000" w:themeColor="text1"/>
          <w:sz w:val="22"/>
          <w:szCs w:val="22"/>
        </w:rPr>
        <w:t xml:space="preserve">submissions to include </w:t>
      </w:r>
      <w:r w:rsidR="00716C5F">
        <w:rPr>
          <w:rFonts w:ascii="Arial" w:eastAsia="Calibri" w:hAnsi="Arial" w:cs="Arial"/>
          <w:color w:val="000000" w:themeColor="text1"/>
          <w:sz w:val="22"/>
          <w:szCs w:val="22"/>
        </w:rPr>
        <w:t xml:space="preserve">quality/cost </w:t>
      </w:r>
      <w:r w:rsidRPr="1910F967">
        <w:rPr>
          <w:rFonts w:ascii="Arial" w:eastAsia="Calibri" w:hAnsi="Arial" w:cs="Arial"/>
          <w:color w:val="000000" w:themeColor="text1"/>
          <w:sz w:val="22"/>
          <w:szCs w:val="22"/>
        </w:rPr>
        <w:t xml:space="preserve">measures and improvement activities that are currently available in MIPS. To view all </w:t>
      </w:r>
      <w:r w:rsidRPr="1910F967" w:rsidR="00B05EA7">
        <w:rPr>
          <w:rFonts w:ascii="Arial" w:eastAsia="Calibri" w:hAnsi="Arial" w:cs="Arial"/>
          <w:color w:val="000000" w:themeColor="text1"/>
          <w:sz w:val="22"/>
          <w:szCs w:val="22"/>
        </w:rPr>
        <w:t xml:space="preserve">MIPS </w:t>
      </w:r>
      <w:r w:rsidRPr="1910F967">
        <w:rPr>
          <w:rFonts w:ascii="Arial" w:eastAsia="Calibri" w:hAnsi="Arial" w:cs="Arial"/>
          <w:color w:val="000000" w:themeColor="text1"/>
          <w:sz w:val="22"/>
          <w:szCs w:val="22"/>
        </w:rPr>
        <w:t xml:space="preserve">measures and </w:t>
      </w:r>
      <w:r w:rsidRPr="1910F967" w:rsidR="00B05EA7">
        <w:rPr>
          <w:rFonts w:ascii="Arial" w:eastAsia="Calibri" w:hAnsi="Arial" w:cs="Arial"/>
          <w:color w:val="000000" w:themeColor="text1"/>
          <w:sz w:val="22"/>
          <w:szCs w:val="22"/>
        </w:rPr>
        <w:t xml:space="preserve">improvement </w:t>
      </w:r>
      <w:r w:rsidRPr="1910F967">
        <w:rPr>
          <w:rFonts w:ascii="Arial" w:eastAsia="Calibri" w:hAnsi="Arial" w:cs="Arial"/>
          <w:color w:val="000000" w:themeColor="text1"/>
          <w:sz w:val="22"/>
          <w:szCs w:val="22"/>
        </w:rPr>
        <w:t xml:space="preserve">activities, please visit </w:t>
      </w:r>
      <w:r w:rsidRPr="00145B94">
        <w:rPr>
          <w:rFonts w:ascii="Arial" w:eastAsia="Calibri" w:hAnsi="Arial" w:cs="Arial"/>
          <w:sz w:val="22"/>
          <w:szCs w:val="22"/>
        </w:rPr>
        <w:t xml:space="preserve">the </w:t>
      </w:r>
      <w:hyperlink r:id="rId11">
        <w:r w:rsidRPr="1910F967" w:rsidR="2DEA9966">
          <w:rPr>
            <w:rStyle w:val="Hyperlink"/>
            <w:rFonts w:ascii="Arial" w:eastAsia="Calibri" w:hAnsi="Arial" w:cs="Arial"/>
            <w:sz w:val="22"/>
            <w:szCs w:val="22"/>
          </w:rPr>
          <w:t>Quality Payment Program Resource Library</w:t>
        </w:r>
      </w:hyperlink>
      <w:r w:rsidRPr="00145B94">
        <w:rPr>
          <w:rFonts w:ascii="Arial" w:eastAsia="Calibri" w:hAnsi="Arial" w:cs="Arial"/>
          <w:sz w:val="22"/>
          <w:szCs w:val="22"/>
        </w:rPr>
        <w:t xml:space="preserve"> </w:t>
      </w:r>
      <w:r>
        <w:rPr>
          <w:rFonts w:ascii="Arial" w:eastAsia="Calibri" w:hAnsi="Arial" w:cs="Arial"/>
          <w:sz w:val="22"/>
          <w:szCs w:val="22"/>
        </w:rPr>
        <w:t xml:space="preserve">or review the most recent </w:t>
      </w:r>
      <w:hyperlink r:id="rId12" w:history="1">
        <w:r w:rsidRPr="009918A3" w:rsidR="009E26CC">
          <w:rPr>
            <w:rStyle w:val="Hyperlink"/>
            <w:rFonts w:ascii="Arial" w:eastAsia="Calibri" w:hAnsi="Arial" w:cs="Arial"/>
            <w:sz w:val="22"/>
            <w:szCs w:val="22"/>
          </w:rPr>
          <w:t>Measures under Consideration (MUC)</w:t>
        </w:r>
      </w:hyperlink>
      <w:r w:rsidR="009E26CC">
        <w:rPr>
          <w:rFonts w:ascii="Arial" w:eastAsia="Calibri" w:hAnsi="Arial" w:cs="Arial"/>
          <w:color w:val="000000" w:themeColor="text1"/>
          <w:sz w:val="22"/>
          <w:szCs w:val="22"/>
        </w:rPr>
        <w:t xml:space="preserve"> list.</w:t>
      </w:r>
      <w:r w:rsidRPr="1910F967">
        <w:rPr>
          <w:rFonts w:ascii="Arial" w:eastAsia="Calibri" w:hAnsi="Arial" w:cs="Arial"/>
          <w:color w:val="000000" w:themeColor="text1"/>
          <w:sz w:val="22"/>
          <w:szCs w:val="22"/>
        </w:rPr>
        <w:t xml:space="preserve"> Measures and/or improvement activities not currently in the MIPS inventory will be required to follow the existing pre-rulemaking processes </w:t>
      </w:r>
      <w:r w:rsidRPr="1910F967">
        <w:rPr>
          <w:rFonts w:ascii="Arial" w:eastAsia="Calibri" w:hAnsi="Arial" w:cs="Arial"/>
          <w:color w:val="000000" w:themeColor="text1"/>
          <w:sz w:val="22"/>
          <w:szCs w:val="22"/>
        </w:rPr>
        <w:t>in order to</w:t>
      </w:r>
      <w:r w:rsidRPr="1910F967">
        <w:rPr>
          <w:rFonts w:ascii="Arial" w:eastAsia="Calibri" w:hAnsi="Arial" w:cs="Arial"/>
          <w:color w:val="000000" w:themeColor="text1"/>
          <w:sz w:val="22"/>
          <w:szCs w:val="22"/>
        </w:rPr>
        <w:t xml:space="preserve"> be considered for inclusion within an MVP. </w:t>
      </w:r>
    </w:p>
    <w:bookmarkEnd w:id="14"/>
    <w:p w:rsidR="00275967" w:rsidRPr="00DB2944" w:rsidP="00BF1CDD" w14:paraId="51333439" w14:textId="77777777">
      <w:pPr>
        <w:rPr>
          <w:rFonts w:ascii="Arial" w:eastAsia="Calibri" w:hAnsi="Arial" w:cs="Arial"/>
          <w:color w:val="000000"/>
          <w:sz w:val="22"/>
          <w:szCs w:val="22"/>
        </w:rPr>
      </w:pPr>
    </w:p>
    <w:p w:rsidR="00E03C5F" w:rsidRPr="00145B94" w:rsidP="00BF1CDD" w14:paraId="0BE5E3A5" w14:textId="77777777">
      <w:pPr>
        <w:pStyle w:val="Heading4"/>
      </w:pPr>
      <w:bookmarkStart w:id="15" w:name="OLE_LINK15"/>
      <w:r w:rsidRPr="00145B94">
        <w:t>Quality Measures</w:t>
      </w:r>
    </w:p>
    <w:p w:rsidR="00E03C5F" w:rsidP="00BF1CDD" w14:paraId="0D5AF2BB" w14:textId="39DCF045">
      <w:pPr>
        <w:rPr>
          <w:rFonts w:ascii="Arial" w:eastAsia="Calibri" w:hAnsi="Arial" w:cs="Arial"/>
          <w:color w:val="000000"/>
          <w:sz w:val="22"/>
          <w:szCs w:val="22"/>
        </w:rPr>
      </w:pPr>
      <w:r w:rsidRPr="05A889A3">
        <w:rPr>
          <w:rFonts w:ascii="Arial" w:eastAsia="Calibri" w:hAnsi="Arial" w:cs="Arial"/>
          <w:color w:val="000000" w:themeColor="text1"/>
          <w:sz w:val="22"/>
          <w:szCs w:val="22"/>
        </w:rPr>
        <w:t xml:space="preserve">The </w:t>
      </w:r>
      <w:r w:rsidRPr="05A889A3" w:rsidR="009B2DCE">
        <w:rPr>
          <w:rFonts w:ascii="Arial" w:eastAsia="Calibri" w:hAnsi="Arial" w:cs="Arial"/>
          <w:color w:val="000000" w:themeColor="text1"/>
          <w:sz w:val="22"/>
          <w:szCs w:val="22"/>
        </w:rPr>
        <w:t xml:space="preserve">current inventory of </w:t>
      </w:r>
      <w:r w:rsidRPr="05A889A3">
        <w:rPr>
          <w:rFonts w:ascii="Arial" w:eastAsia="Calibri" w:hAnsi="Arial" w:cs="Arial"/>
          <w:color w:val="000000" w:themeColor="text1"/>
          <w:sz w:val="22"/>
          <w:szCs w:val="22"/>
        </w:rPr>
        <w:t>MIPS quality measures</w:t>
      </w:r>
      <w:r w:rsidRPr="05A889A3" w:rsidR="009B2DCE">
        <w:rPr>
          <w:rFonts w:ascii="Arial" w:eastAsia="Calibri" w:hAnsi="Arial" w:cs="Arial"/>
          <w:color w:val="000000" w:themeColor="text1"/>
          <w:sz w:val="22"/>
          <w:szCs w:val="22"/>
        </w:rPr>
        <w:t xml:space="preserve"> and Quality Clinical Data Registry (QCDR) measures include both </w:t>
      </w:r>
      <w:r w:rsidRPr="05A889A3" w:rsidR="00BE7391">
        <w:rPr>
          <w:rFonts w:ascii="Arial" w:eastAsia="Calibri" w:hAnsi="Arial" w:cs="Arial"/>
          <w:color w:val="000000" w:themeColor="text1"/>
          <w:sz w:val="22"/>
          <w:szCs w:val="22"/>
        </w:rPr>
        <w:t>cross</w:t>
      </w:r>
      <w:r w:rsidRPr="05A889A3" w:rsidR="00A330AE">
        <w:rPr>
          <w:rFonts w:ascii="Arial" w:eastAsia="Calibri" w:hAnsi="Arial" w:cs="Arial"/>
          <w:color w:val="000000" w:themeColor="text1"/>
          <w:sz w:val="22"/>
          <w:szCs w:val="22"/>
        </w:rPr>
        <w:t>-</w:t>
      </w:r>
      <w:r w:rsidRPr="05A889A3" w:rsidR="00BE7391">
        <w:rPr>
          <w:rFonts w:ascii="Arial" w:eastAsia="Calibri" w:hAnsi="Arial" w:cs="Arial"/>
          <w:color w:val="000000" w:themeColor="text1"/>
          <w:sz w:val="22"/>
          <w:szCs w:val="22"/>
        </w:rPr>
        <w:t>cutting</w:t>
      </w:r>
      <w:r w:rsidRPr="05A889A3" w:rsidR="009B2DCE">
        <w:rPr>
          <w:rFonts w:ascii="Arial" w:eastAsia="Calibri" w:hAnsi="Arial" w:cs="Arial"/>
          <w:color w:val="000000" w:themeColor="text1"/>
          <w:sz w:val="22"/>
          <w:szCs w:val="22"/>
        </w:rPr>
        <w:t xml:space="preserve"> and specialty/clinical topic specific </w:t>
      </w:r>
      <w:r w:rsidRPr="05A889A3" w:rsidR="00BE7391">
        <w:rPr>
          <w:rFonts w:ascii="Arial" w:eastAsia="Calibri" w:hAnsi="Arial" w:cs="Arial"/>
          <w:color w:val="000000" w:themeColor="text1"/>
          <w:sz w:val="22"/>
          <w:szCs w:val="22"/>
        </w:rPr>
        <w:t xml:space="preserve">quality </w:t>
      </w:r>
      <w:r w:rsidRPr="05A889A3" w:rsidR="009B2DCE">
        <w:rPr>
          <w:rFonts w:ascii="Arial" w:eastAsia="Calibri" w:hAnsi="Arial" w:cs="Arial"/>
          <w:color w:val="000000" w:themeColor="text1"/>
          <w:sz w:val="22"/>
          <w:szCs w:val="22"/>
        </w:rPr>
        <w:t>measures.</w:t>
      </w:r>
      <w:r w:rsidRPr="05A889A3">
        <w:rPr>
          <w:rFonts w:ascii="Arial" w:eastAsia="Calibri" w:hAnsi="Arial" w:cs="Arial"/>
          <w:color w:val="000000" w:themeColor="text1"/>
          <w:sz w:val="22"/>
          <w:szCs w:val="22"/>
        </w:rPr>
        <w:t xml:space="preserve"> Please view the current MIPS quality measures</w:t>
      </w:r>
      <w:r w:rsidRPr="05A889A3" w:rsidR="00BF4A56">
        <w:rPr>
          <w:rFonts w:ascii="Arial" w:eastAsia="Calibri" w:hAnsi="Arial" w:cs="Arial"/>
          <w:color w:val="000000" w:themeColor="text1"/>
          <w:sz w:val="22"/>
          <w:szCs w:val="22"/>
        </w:rPr>
        <w:t>, including</w:t>
      </w:r>
      <w:r w:rsidRPr="05A889A3">
        <w:rPr>
          <w:rFonts w:ascii="Arial" w:eastAsia="Calibri" w:hAnsi="Arial" w:cs="Arial"/>
          <w:color w:val="000000" w:themeColor="text1"/>
          <w:sz w:val="22"/>
          <w:szCs w:val="22"/>
        </w:rPr>
        <w:t xml:space="preserve"> associated specialty set</w:t>
      </w:r>
      <w:r w:rsidRPr="05A889A3" w:rsidR="00BF4A56">
        <w:rPr>
          <w:rFonts w:ascii="Arial" w:eastAsia="Calibri" w:hAnsi="Arial" w:cs="Arial"/>
          <w:color w:val="000000" w:themeColor="text1"/>
          <w:sz w:val="22"/>
          <w:szCs w:val="22"/>
        </w:rPr>
        <w:t>(s)</w:t>
      </w:r>
      <w:r w:rsidRPr="05A889A3" w:rsidR="009B2DCE">
        <w:rPr>
          <w:rFonts w:ascii="Arial" w:eastAsia="Calibri" w:hAnsi="Arial" w:cs="Arial"/>
          <w:color w:val="000000" w:themeColor="text1"/>
          <w:sz w:val="22"/>
          <w:szCs w:val="22"/>
        </w:rPr>
        <w:t xml:space="preserve"> and measure properties</w:t>
      </w:r>
      <w:r w:rsidRPr="05A889A3">
        <w:rPr>
          <w:rFonts w:ascii="Arial" w:eastAsia="Calibri" w:hAnsi="Arial" w:cs="Arial"/>
          <w:color w:val="000000" w:themeColor="text1"/>
          <w:sz w:val="22"/>
          <w:szCs w:val="22"/>
        </w:rPr>
        <w:t xml:space="preserve"> in the </w:t>
      </w:r>
      <w:hyperlink r:id="rId13" w:history="1">
        <w:r w:rsidR="00F940A3">
          <w:rPr>
            <w:rStyle w:val="Hyperlink"/>
            <w:rFonts w:ascii="Arial" w:eastAsia="Calibri" w:hAnsi="Arial" w:cs="Arial"/>
            <w:sz w:val="22"/>
            <w:szCs w:val="22"/>
          </w:rPr>
          <w:t>2022 MIPS Quality Measures List</w:t>
        </w:r>
      </w:hyperlink>
      <w:r w:rsidRPr="05A889A3">
        <w:rPr>
          <w:rFonts w:ascii="Arial" w:eastAsia="Calibri" w:hAnsi="Arial" w:cs="Arial"/>
          <w:color w:val="000000" w:themeColor="text1"/>
          <w:sz w:val="22"/>
          <w:szCs w:val="22"/>
        </w:rPr>
        <w:t xml:space="preserve"> </w:t>
      </w:r>
      <w:r w:rsidRPr="05A889A3" w:rsidR="00725AED">
        <w:rPr>
          <w:rFonts w:ascii="Arial" w:eastAsia="Calibri" w:hAnsi="Arial" w:cs="Arial"/>
          <w:color w:val="000000" w:themeColor="text1"/>
          <w:sz w:val="22"/>
          <w:szCs w:val="22"/>
        </w:rPr>
        <w:t xml:space="preserve">and </w:t>
      </w:r>
      <w:hyperlink r:id="rId14" w:history="1">
        <w:r w:rsidR="00B511A9">
          <w:rPr>
            <w:rStyle w:val="Hyperlink"/>
            <w:rFonts w:ascii="Arial" w:eastAsia="Calibri" w:hAnsi="Arial" w:cs="Arial"/>
            <w:sz w:val="22"/>
            <w:szCs w:val="22"/>
          </w:rPr>
          <w:t>2022 Cross-Cutting Quality Measures</w:t>
        </w:r>
      </w:hyperlink>
      <w:r w:rsidR="00725AED">
        <w:rPr>
          <w:rStyle w:val="Hyperlink"/>
          <w:rFonts w:ascii="Arial" w:eastAsia="Calibri" w:hAnsi="Arial" w:cs="Arial"/>
          <w:sz w:val="22"/>
          <w:szCs w:val="22"/>
        </w:rPr>
        <w:t xml:space="preserve"> </w:t>
      </w:r>
      <w:r w:rsidRPr="05A889A3">
        <w:rPr>
          <w:rFonts w:ascii="Arial" w:eastAsia="Calibri" w:hAnsi="Arial" w:cs="Arial"/>
          <w:color w:val="000000" w:themeColor="text1"/>
          <w:sz w:val="22"/>
          <w:szCs w:val="22"/>
        </w:rPr>
        <w:t xml:space="preserve">on the </w:t>
      </w:r>
      <w:hyperlink r:id="rId11">
        <w:r w:rsidRPr="05A889A3" w:rsidR="285EBC0B">
          <w:rPr>
            <w:rStyle w:val="Hyperlink"/>
            <w:rFonts w:ascii="Arial" w:eastAsia="Calibri" w:hAnsi="Arial" w:cs="Arial"/>
            <w:sz w:val="22"/>
            <w:szCs w:val="22"/>
          </w:rPr>
          <w:t>Quality Payment Program Resource Library</w:t>
        </w:r>
      </w:hyperlink>
      <w:r w:rsidRPr="05A889A3" w:rsidR="285EBC0B">
        <w:rPr>
          <w:rFonts w:ascii="Arial" w:eastAsia="Calibri" w:hAnsi="Arial" w:cs="Arial"/>
          <w:color w:val="000000" w:themeColor="text1"/>
          <w:sz w:val="22"/>
          <w:szCs w:val="22"/>
        </w:rPr>
        <w:t xml:space="preserve"> for more information.</w:t>
      </w:r>
      <w:r w:rsidRPr="05A889A3" w:rsidR="009B2DCE">
        <w:rPr>
          <w:rFonts w:ascii="Arial" w:eastAsia="Calibri" w:hAnsi="Arial" w:cs="Arial"/>
          <w:color w:val="000000" w:themeColor="text1"/>
          <w:sz w:val="22"/>
          <w:szCs w:val="22"/>
        </w:rPr>
        <w:t xml:space="preserve"> Please view the current QCDR measures list and measure properties in the </w:t>
      </w:r>
      <w:hyperlink r:id="rId15" w:history="1">
        <w:r w:rsidRPr="005808BB" w:rsidR="00F26784">
          <w:rPr>
            <w:rStyle w:val="Hyperlink"/>
            <w:rFonts w:ascii="Arial" w:hAnsi="Arial" w:cs="Arial"/>
            <w:sz w:val="22"/>
            <w:szCs w:val="22"/>
          </w:rPr>
          <w:t>2022 QCDR Measure Specifications</w:t>
        </w:r>
      </w:hyperlink>
      <w:r w:rsidRPr="05A889A3" w:rsidR="003114D6">
        <w:rPr>
          <w:rFonts w:ascii="Arial" w:eastAsia="Calibri" w:hAnsi="Arial" w:cs="Arial"/>
          <w:color w:val="000000" w:themeColor="text1"/>
          <w:sz w:val="22"/>
          <w:szCs w:val="22"/>
        </w:rPr>
        <w:t xml:space="preserve"> on the </w:t>
      </w:r>
      <w:hyperlink r:id="rId11">
        <w:r w:rsidRPr="05A889A3" w:rsidR="7FE9EE09">
          <w:rPr>
            <w:rStyle w:val="Hyperlink"/>
            <w:rFonts w:ascii="Arial" w:eastAsia="Calibri" w:hAnsi="Arial" w:cs="Arial"/>
            <w:sz w:val="22"/>
            <w:szCs w:val="22"/>
          </w:rPr>
          <w:t>Quality Payment Program Resource Library</w:t>
        </w:r>
      </w:hyperlink>
      <w:r w:rsidRPr="05A889A3" w:rsidR="7FE9EE09">
        <w:rPr>
          <w:rFonts w:ascii="Arial" w:eastAsia="Calibri" w:hAnsi="Arial" w:cs="Arial"/>
          <w:color w:val="000000" w:themeColor="text1"/>
          <w:sz w:val="22"/>
          <w:szCs w:val="22"/>
        </w:rPr>
        <w:t xml:space="preserve"> for more information.</w:t>
      </w:r>
    </w:p>
    <w:p w:rsidR="00E16C2E" w:rsidRPr="000B7089" w:rsidP="00EF298A" w14:paraId="751EB5D7" w14:textId="77777777">
      <w:pPr>
        <w:numPr>
          <w:ilvl w:val="0"/>
          <w:numId w:val="8"/>
        </w:numPr>
        <w:rPr>
          <w:rFonts w:ascii="Arial" w:eastAsia="Calibri" w:hAnsi="Arial" w:cs="Arial"/>
          <w:color w:val="000000"/>
          <w:sz w:val="22"/>
          <w:szCs w:val="22"/>
        </w:rPr>
      </w:pPr>
      <w:r w:rsidRPr="000B7089">
        <w:rPr>
          <w:rFonts w:ascii="Arial" w:eastAsia="Calibri" w:hAnsi="Arial" w:cs="Arial"/>
          <w:color w:val="000000"/>
          <w:sz w:val="22"/>
          <w:szCs w:val="22"/>
        </w:rPr>
        <w:t>Measures that are currently outside the MIPS program need to follow the pre-rulemaking process (i.e., Call for Measures and rulemaking) before they may be included in an MVP.</w:t>
      </w:r>
    </w:p>
    <w:p w:rsidR="00E16C2E" w:rsidRPr="000B7089" w:rsidP="00EF298A" w14:paraId="3632E501" w14:textId="26B3DAC0">
      <w:pPr>
        <w:numPr>
          <w:ilvl w:val="0"/>
          <w:numId w:val="8"/>
        </w:numPr>
        <w:rPr>
          <w:rFonts w:ascii="Arial" w:eastAsia="Calibri" w:hAnsi="Arial" w:cs="Arial"/>
          <w:color w:val="000000"/>
          <w:sz w:val="22"/>
          <w:szCs w:val="22"/>
        </w:rPr>
      </w:pPr>
      <w:r w:rsidRPr="000B7089">
        <w:rPr>
          <w:rFonts w:ascii="Arial" w:eastAsia="Calibri" w:hAnsi="Arial" w:cs="Arial"/>
          <w:color w:val="000000"/>
          <w:sz w:val="22"/>
          <w:szCs w:val="22"/>
        </w:rPr>
        <w:t xml:space="preserve">QDCR measures may also be considered for inclusion in an MVP </w:t>
      </w:r>
      <w:r w:rsidRPr="000B7089" w:rsidR="00DA5408">
        <w:rPr>
          <w:rFonts w:ascii="Arial" w:eastAsia="Calibri" w:hAnsi="Arial" w:cs="Arial"/>
          <w:color w:val="000000"/>
          <w:sz w:val="22"/>
          <w:szCs w:val="22"/>
        </w:rPr>
        <w:t>if</w:t>
      </w:r>
      <w:r w:rsidRPr="000B7089">
        <w:rPr>
          <w:rFonts w:ascii="Arial" w:eastAsia="Calibri" w:hAnsi="Arial" w:cs="Arial"/>
          <w:color w:val="000000"/>
          <w:sz w:val="22"/>
          <w:szCs w:val="22"/>
        </w:rPr>
        <w:t xml:space="preserve"> the measure has met all requirements, including being fully tested at the clinician level</w:t>
      </w:r>
      <w:r w:rsidR="00C86730">
        <w:rPr>
          <w:rFonts w:ascii="Arial" w:eastAsia="Calibri" w:hAnsi="Arial" w:cs="Arial"/>
          <w:color w:val="000000"/>
          <w:sz w:val="22"/>
          <w:szCs w:val="22"/>
        </w:rPr>
        <w:t>,</w:t>
      </w:r>
      <w:r w:rsidRPr="000B7089">
        <w:rPr>
          <w:rFonts w:ascii="Arial" w:eastAsia="Calibri" w:hAnsi="Arial" w:cs="Arial"/>
          <w:color w:val="000000"/>
          <w:sz w:val="22"/>
          <w:szCs w:val="22"/>
        </w:rPr>
        <w:t xml:space="preserve"> and approved through the self-nomination process.</w:t>
      </w:r>
    </w:p>
    <w:p w:rsidR="00E03C5F" w:rsidRPr="00536C0C" w:rsidP="00BF1CDD" w14:paraId="175CA433" w14:textId="3305A3EA">
      <w:pPr>
        <w:rPr>
          <w:rFonts w:eastAsia="Calibri"/>
        </w:rPr>
      </w:pPr>
      <w:bookmarkStart w:id="16" w:name="_Hlk56688911"/>
    </w:p>
    <w:bookmarkEnd w:id="16"/>
    <w:p w:rsidR="00E06FF0" w:rsidRPr="00EE59B6" w:rsidP="00EF298A" w14:paraId="5FF5F3B9" w14:textId="49B392DB">
      <w:pPr>
        <w:rPr>
          <w:rFonts w:ascii="Arial" w:eastAsia="Calibri" w:hAnsi="Arial" w:cs="Arial"/>
          <w:sz w:val="22"/>
          <w:szCs w:val="22"/>
        </w:rPr>
      </w:pPr>
      <w:r>
        <w:rPr>
          <w:rFonts w:ascii="Arial" w:eastAsia="Calibri" w:hAnsi="Arial" w:cs="Arial"/>
          <w:sz w:val="22"/>
          <w:szCs w:val="22"/>
        </w:rPr>
        <w:t xml:space="preserve">In addition, </w:t>
      </w:r>
      <w:r w:rsidR="00C043C6">
        <w:rPr>
          <w:rFonts w:ascii="Arial" w:eastAsia="Calibri" w:hAnsi="Arial" w:cs="Arial"/>
          <w:sz w:val="22"/>
          <w:szCs w:val="22"/>
        </w:rPr>
        <w:t xml:space="preserve">as described in the CY 2022 </w:t>
      </w:r>
      <w:r w:rsidRPr="007457F6" w:rsidR="007457F6">
        <w:rPr>
          <w:rFonts w:ascii="Arial" w:eastAsia="Calibri" w:hAnsi="Arial" w:cs="Arial"/>
          <w:sz w:val="22"/>
          <w:szCs w:val="22"/>
        </w:rPr>
        <w:t xml:space="preserve">Physician Fee Schedule </w:t>
      </w:r>
      <w:r w:rsidR="007457F6">
        <w:rPr>
          <w:rFonts w:ascii="Arial" w:eastAsia="Calibri" w:hAnsi="Arial" w:cs="Arial"/>
          <w:sz w:val="22"/>
          <w:szCs w:val="22"/>
        </w:rPr>
        <w:t>(</w:t>
      </w:r>
      <w:r w:rsidR="00C043C6">
        <w:rPr>
          <w:rFonts w:ascii="Arial" w:eastAsia="Calibri" w:hAnsi="Arial" w:cs="Arial"/>
          <w:sz w:val="22"/>
          <w:szCs w:val="22"/>
        </w:rPr>
        <w:t>PFS</w:t>
      </w:r>
      <w:r w:rsidR="007457F6">
        <w:rPr>
          <w:rFonts w:ascii="Arial" w:eastAsia="Calibri" w:hAnsi="Arial" w:cs="Arial"/>
          <w:sz w:val="22"/>
          <w:szCs w:val="22"/>
        </w:rPr>
        <w:t>)</w:t>
      </w:r>
      <w:r w:rsidR="00C043C6">
        <w:rPr>
          <w:rFonts w:ascii="Arial" w:eastAsia="Calibri" w:hAnsi="Arial" w:cs="Arial"/>
          <w:sz w:val="22"/>
          <w:szCs w:val="22"/>
        </w:rPr>
        <w:t xml:space="preserve"> final rule, </w:t>
      </w:r>
      <w:r>
        <w:rPr>
          <w:rFonts w:ascii="Arial" w:eastAsia="Calibri" w:hAnsi="Arial" w:cs="Arial"/>
          <w:sz w:val="22"/>
          <w:szCs w:val="22"/>
        </w:rPr>
        <w:t>w</w:t>
      </w:r>
      <w:r w:rsidRPr="00EE59B6" w:rsidR="0031319D">
        <w:rPr>
          <w:rFonts w:ascii="Arial" w:eastAsia="Calibri" w:hAnsi="Arial" w:cs="Arial"/>
          <w:sz w:val="22"/>
          <w:szCs w:val="22"/>
        </w:rPr>
        <w:t>hen developing MVP</w:t>
      </w:r>
      <w:r w:rsidR="00C043C6">
        <w:rPr>
          <w:rFonts w:ascii="Arial" w:eastAsia="Calibri" w:hAnsi="Arial" w:cs="Arial"/>
          <w:sz w:val="22"/>
          <w:szCs w:val="22"/>
        </w:rPr>
        <w:t xml:space="preserve"> candidates, </w:t>
      </w:r>
      <w:r w:rsidR="00E45834">
        <w:rPr>
          <w:rFonts w:ascii="Arial" w:eastAsia="Calibri" w:hAnsi="Arial" w:cs="Arial"/>
          <w:sz w:val="22"/>
          <w:szCs w:val="22"/>
        </w:rPr>
        <w:t xml:space="preserve">the </w:t>
      </w:r>
      <w:r w:rsidR="00E45834">
        <w:rPr>
          <w:rFonts w:ascii="Arial" w:eastAsia="Calibri" w:hAnsi="Arial" w:cs="Arial"/>
          <w:sz w:val="22"/>
          <w:szCs w:val="22"/>
        </w:rPr>
        <w:t>general public</w:t>
      </w:r>
      <w:r w:rsidR="00C043C6">
        <w:rPr>
          <w:rFonts w:ascii="Arial" w:eastAsia="Calibri" w:hAnsi="Arial" w:cs="Arial"/>
          <w:sz w:val="22"/>
          <w:szCs w:val="22"/>
        </w:rPr>
        <w:t xml:space="preserve"> </w:t>
      </w:r>
      <w:r w:rsidR="00BD59C1">
        <w:rPr>
          <w:rFonts w:ascii="Arial" w:eastAsia="Calibri" w:hAnsi="Arial" w:cs="Arial"/>
          <w:sz w:val="22"/>
          <w:szCs w:val="22"/>
        </w:rPr>
        <w:t xml:space="preserve">should </w:t>
      </w:r>
      <w:r w:rsidR="00C043C6">
        <w:rPr>
          <w:rFonts w:ascii="Arial" w:eastAsia="Calibri" w:hAnsi="Arial" w:cs="Arial"/>
          <w:sz w:val="22"/>
          <w:szCs w:val="22"/>
        </w:rPr>
        <w:t>consider that:</w:t>
      </w:r>
      <w:r w:rsidRPr="00EE59B6" w:rsidR="0031319D">
        <w:rPr>
          <w:rFonts w:ascii="Arial" w:eastAsia="Calibri" w:hAnsi="Arial" w:cs="Arial"/>
          <w:sz w:val="22"/>
          <w:szCs w:val="22"/>
        </w:rPr>
        <w:t xml:space="preserve"> </w:t>
      </w:r>
    </w:p>
    <w:p w:rsidR="00C043C6" w:rsidP="00EF298A" w14:paraId="7993F3E5" w14:textId="0C3B355E">
      <w:pPr>
        <w:numPr>
          <w:ilvl w:val="0"/>
          <w:numId w:val="6"/>
        </w:numPr>
        <w:rPr>
          <w:rFonts w:ascii="Arial" w:eastAsia="Calibri" w:hAnsi="Arial" w:cs="Arial"/>
          <w:sz w:val="22"/>
          <w:szCs w:val="22"/>
        </w:rPr>
      </w:pPr>
      <w:r w:rsidRPr="00EE59B6">
        <w:rPr>
          <w:rFonts w:ascii="Arial" w:eastAsia="Calibri" w:hAnsi="Arial" w:cs="Arial"/>
          <w:sz w:val="22"/>
          <w:szCs w:val="22"/>
        </w:rPr>
        <w:t>MVPs must include at least one outcome measure that is relevant to the MVP topic</w:t>
      </w:r>
      <w:r w:rsidR="003114D6">
        <w:rPr>
          <w:rFonts w:ascii="Arial" w:eastAsia="Calibri" w:hAnsi="Arial" w:cs="Arial"/>
          <w:sz w:val="22"/>
          <w:szCs w:val="22"/>
        </w:rPr>
        <w:t xml:space="preserve"> and each clinician specialty</w:t>
      </w:r>
      <w:r w:rsidR="006D6B2B">
        <w:rPr>
          <w:rFonts w:ascii="Arial" w:eastAsia="Calibri" w:hAnsi="Arial" w:cs="Arial"/>
          <w:sz w:val="22"/>
          <w:szCs w:val="22"/>
        </w:rPr>
        <w:t>:</w:t>
      </w:r>
    </w:p>
    <w:p w:rsidR="00E06FF0" w:rsidRPr="00977DA9" w:rsidP="00EF298A" w14:paraId="3C00836A" w14:textId="0915C9EF">
      <w:pPr>
        <w:numPr>
          <w:ilvl w:val="1"/>
          <w:numId w:val="6"/>
        </w:numPr>
        <w:rPr>
          <w:rFonts w:ascii="Arial" w:eastAsia="Calibri" w:hAnsi="Arial" w:cs="Arial"/>
          <w:sz w:val="22"/>
          <w:szCs w:val="22"/>
        </w:rPr>
      </w:pPr>
      <w:r>
        <w:rPr>
          <w:rFonts w:ascii="Arial" w:eastAsia="Calibri" w:hAnsi="Arial" w:cs="Arial"/>
          <w:sz w:val="22"/>
          <w:szCs w:val="22"/>
        </w:rPr>
        <w:t xml:space="preserve">An outcome measure may </w:t>
      </w:r>
      <w:r w:rsidR="009E5F9D">
        <w:rPr>
          <w:rFonts w:ascii="Arial" w:eastAsia="Calibri" w:hAnsi="Arial" w:cs="Arial"/>
          <w:sz w:val="22"/>
          <w:szCs w:val="22"/>
        </w:rPr>
        <w:t>include</w:t>
      </w:r>
      <w:r>
        <w:rPr>
          <w:rFonts w:ascii="Arial" w:eastAsia="Calibri" w:hAnsi="Arial" w:cs="Arial"/>
          <w:sz w:val="22"/>
          <w:szCs w:val="22"/>
        </w:rPr>
        <w:t xml:space="preserve"> the following measure types:</w:t>
      </w:r>
      <w:r w:rsidR="009E5F9D">
        <w:rPr>
          <w:rFonts w:ascii="Arial" w:eastAsia="Calibri" w:hAnsi="Arial" w:cs="Arial"/>
          <w:sz w:val="22"/>
          <w:szCs w:val="22"/>
        </w:rPr>
        <w:t xml:space="preserve"> Outcome, Intermediate Outcome, and Patient</w:t>
      </w:r>
      <w:r w:rsidR="00467E0C">
        <w:rPr>
          <w:rFonts w:ascii="Arial" w:eastAsia="Calibri" w:hAnsi="Arial" w:cs="Arial"/>
          <w:sz w:val="22"/>
          <w:szCs w:val="22"/>
        </w:rPr>
        <w:t>-</w:t>
      </w:r>
      <w:r w:rsidR="009E5F9D">
        <w:rPr>
          <w:rFonts w:ascii="Arial" w:eastAsia="Calibri" w:hAnsi="Arial" w:cs="Arial"/>
          <w:sz w:val="22"/>
          <w:szCs w:val="22"/>
        </w:rPr>
        <w:t xml:space="preserve">Reported Outcome-based Performance </w:t>
      </w:r>
      <w:r w:rsidRPr="00977DA9" w:rsidR="009E5F9D">
        <w:rPr>
          <w:rFonts w:ascii="Arial" w:eastAsia="Calibri" w:hAnsi="Arial" w:cs="Arial"/>
          <w:sz w:val="22"/>
          <w:szCs w:val="22"/>
        </w:rPr>
        <w:t>Measure.</w:t>
      </w:r>
    </w:p>
    <w:p w:rsidR="00C17498" w:rsidRPr="008D55B4" w:rsidP="00363C94" w14:paraId="31341ECE" w14:textId="23F0784B">
      <w:pPr>
        <w:pStyle w:val="Tablebullets"/>
        <w:numPr>
          <w:ilvl w:val="2"/>
          <w:numId w:val="6"/>
        </w:numPr>
        <w:rPr>
          <w:color w:val="auto"/>
        </w:rPr>
      </w:pPr>
      <w:r w:rsidRPr="008D55B4">
        <w:rPr>
          <w:rFonts w:eastAsia="Calibri"/>
          <w:color w:val="auto"/>
        </w:rPr>
        <w:t>For example</w:t>
      </w:r>
      <w:r w:rsidRPr="008D55B4">
        <w:rPr>
          <w:rFonts w:eastAsia="Calibri"/>
          <w:color w:val="auto"/>
        </w:rPr>
        <w:t xml:space="preserve">, </w:t>
      </w:r>
      <w:r w:rsidRPr="008D55B4">
        <w:rPr>
          <w:rFonts w:eastAsia="Calibri"/>
          <w:color w:val="auto"/>
        </w:rPr>
        <w:t xml:space="preserve">a single specialty MVP is the </w:t>
      </w:r>
      <w:r w:rsidRPr="005C2EE5">
        <w:rPr>
          <w:rFonts w:eastAsia="Calibri"/>
          <w:i/>
          <w:iCs w:val="0"/>
          <w:color w:val="auto"/>
        </w:rPr>
        <w:t>Advancing Rheumatology Patient Care MVP</w:t>
      </w:r>
      <w:r w:rsidRPr="008D55B4">
        <w:rPr>
          <w:rFonts w:eastAsia="Calibri"/>
          <w:color w:val="auto"/>
        </w:rPr>
        <w:t>,</w:t>
      </w:r>
      <w:r w:rsidRPr="008D55B4">
        <w:rPr>
          <w:rFonts w:eastAsia="Calibri"/>
          <w:color w:val="auto"/>
        </w:rPr>
        <w:t xml:space="preserve"> as finalized in the</w:t>
      </w:r>
      <w:r w:rsidRPr="008D55B4">
        <w:rPr>
          <w:color w:val="auto"/>
        </w:rPr>
        <w:t xml:space="preserve"> </w:t>
      </w:r>
      <w:r w:rsidRPr="008D55B4" w:rsidR="00E43B2C">
        <w:rPr>
          <w:color w:val="auto"/>
        </w:rPr>
        <w:t xml:space="preserve">2023 </w:t>
      </w:r>
      <w:r w:rsidRPr="008D55B4">
        <w:rPr>
          <w:color w:val="auto"/>
        </w:rPr>
        <w:t xml:space="preserve">PFS Final Rule. </w:t>
      </w:r>
      <w:r w:rsidRPr="008D55B4">
        <w:rPr>
          <w:color w:val="auto"/>
        </w:rPr>
        <w:t xml:space="preserve">This MVP was developed to include outcome measures for this single specialty. </w:t>
      </w:r>
    </w:p>
    <w:p w:rsidR="00C17498" w:rsidRPr="00977DA9" w:rsidP="00EF298A" w14:paraId="290879DD" w14:textId="4BD117EF">
      <w:pPr>
        <w:numPr>
          <w:ilvl w:val="1"/>
          <w:numId w:val="6"/>
        </w:numPr>
        <w:rPr>
          <w:rFonts w:ascii="Arial" w:eastAsia="Calibri" w:hAnsi="Arial" w:cs="Arial"/>
          <w:sz w:val="22"/>
          <w:szCs w:val="22"/>
        </w:rPr>
      </w:pPr>
      <w:r w:rsidRPr="00977DA9">
        <w:rPr>
          <w:rFonts w:ascii="Arial" w:eastAsia="Calibri" w:hAnsi="Arial" w:cs="Arial"/>
          <w:sz w:val="22"/>
          <w:szCs w:val="22"/>
        </w:rPr>
        <w:t>If an outcome measure is not available</w:t>
      </w:r>
      <w:r w:rsidRPr="00977DA9" w:rsidR="00C043C6">
        <w:rPr>
          <w:rFonts w:ascii="Arial" w:eastAsia="Calibri" w:hAnsi="Arial" w:cs="Arial"/>
          <w:sz w:val="22"/>
          <w:szCs w:val="22"/>
        </w:rPr>
        <w:t xml:space="preserve"> for a given clinician specialty,</w:t>
      </w:r>
      <w:r w:rsidRPr="00977DA9">
        <w:rPr>
          <w:rFonts w:ascii="Arial" w:eastAsia="Calibri" w:hAnsi="Arial" w:cs="Arial"/>
          <w:sz w:val="22"/>
          <w:szCs w:val="22"/>
        </w:rPr>
        <w:t xml:space="preserve"> a High Priority measure must be included and available for each clinician specialty included.</w:t>
      </w:r>
      <w:r w:rsidRPr="00977DA9" w:rsidR="00704245">
        <w:rPr>
          <w:rFonts w:ascii="Arial" w:eastAsia="Calibri" w:hAnsi="Arial" w:cs="Arial"/>
          <w:sz w:val="22"/>
          <w:szCs w:val="22"/>
        </w:rPr>
        <w:t xml:space="preserve"> </w:t>
      </w:r>
    </w:p>
    <w:p w:rsidR="003114D6" w:rsidRPr="00977DA9" w:rsidP="00EF298A" w14:paraId="7ABE50A5" w14:textId="5B439E00">
      <w:pPr>
        <w:numPr>
          <w:ilvl w:val="2"/>
          <w:numId w:val="6"/>
        </w:numPr>
        <w:rPr>
          <w:rFonts w:ascii="Arial" w:eastAsia="Calibri" w:hAnsi="Arial" w:cs="Arial"/>
          <w:bCs/>
          <w:iCs/>
          <w:sz w:val="22"/>
          <w:szCs w:val="22"/>
        </w:rPr>
      </w:pPr>
      <w:r w:rsidRPr="00977DA9">
        <w:rPr>
          <w:rFonts w:ascii="Arial" w:eastAsia="Calibri" w:hAnsi="Arial" w:cs="Arial"/>
          <w:bCs/>
          <w:iCs/>
          <w:sz w:val="22"/>
          <w:szCs w:val="22"/>
        </w:rPr>
        <w:t xml:space="preserve">For example, an MVP that contains High Priority measures is the </w:t>
      </w:r>
      <w:r w:rsidRPr="00977DA9">
        <w:rPr>
          <w:rFonts w:ascii="Arial" w:eastAsia="Calibri" w:hAnsi="Arial" w:cs="Arial"/>
          <w:bCs/>
          <w:i/>
          <w:iCs/>
          <w:sz w:val="22"/>
          <w:szCs w:val="22"/>
        </w:rPr>
        <w:t>Adopting Best Practices and Promoting Patient Safety within Emergency Medicine MVP</w:t>
      </w:r>
      <w:r w:rsidRPr="00977DA9">
        <w:rPr>
          <w:rFonts w:ascii="Arial" w:eastAsia="Calibri" w:hAnsi="Arial" w:cs="Arial"/>
          <w:bCs/>
          <w:iCs/>
          <w:sz w:val="22"/>
          <w:szCs w:val="22"/>
        </w:rPr>
        <w:t xml:space="preserve"> as finalized in the </w:t>
      </w:r>
      <w:r w:rsidRPr="00977DA9" w:rsidR="00202A81">
        <w:rPr>
          <w:rFonts w:ascii="Arial" w:eastAsia="Calibri" w:hAnsi="Arial" w:cs="Arial"/>
          <w:bCs/>
          <w:iCs/>
          <w:sz w:val="22"/>
          <w:szCs w:val="22"/>
        </w:rPr>
        <w:t>202</w:t>
      </w:r>
      <w:r w:rsidR="00202A81">
        <w:rPr>
          <w:rFonts w:ascii="Arial" w:eastAsia="Calibri" w:hAnsi="Arial" w:cs="Arial"/>
          <w:bCs/>
          <w:iCs/>
          <w:sz w:val="22"/>
          <w:szCs w:val="22"/>
        </w:rPr>
        <w:t xml:space="preserve">3 </w:t>
      </w:r>
      <w:r w:rsidRPr="00977DA9">
        <w:rPr>
          <w:rFonts w:ascii="Arial" w:eastAsia="Calibri" w:hAnsi="Arial" w:cs="Arial"/>
          <w:bCs/>
          <w:iCs/>
          <w:sz w:val="22"/>
          <w:szCs w:val="22"/>
        </w:rPr>
        <w:t>PFS Final Rule. This MVP contains one outcome measure, but also includes quality measures that are categorized as High Priority in the instance the outcome measure is not applicable.</w:t>
      </w:r>
    </w:p>
    <w:p w:rsidR="00E06FF0" w:rsidRPr="0054777D" w:rsidP="00363C94" w14:paraId="46D093BA" w14:textId="2B799DB4">
      <w:pPr>
        <w:pStyle w:val="Tablebullets"/>
        <w:numPr>
          <w:ilvl w:val="0"/>
          <w:numId w:val="6"/>
        </w:numPr>
      </w:pPr>
      <w:r w:rsidRPr="00F437D0">
        <w:rPr>
          <w:color w:val="auto"/>
        </w:rPr>
        <w:t xml:space="preserve">Outcome-based administrative claims measures may be included to support the quality performance category of an MVP </w:t>
      </w:r>
      <w:r w:rsidRPr="00F437D0" w:rsidR="004D0633">
        <w:rPr>
          <w:color w:val="auto"/>
        </w:rPr>
        <w:t>candidate</w:t>
      </w:r>
      <w:r w:rsidRPr="0054777D" w:rsidR="004D0633">
        <w:t xml:space="preserve">. </w:t>
      </w:r>
      <w:r w:rsidRPr="0054777D">
        <w:t xml:space="preserve">  </w:t>
      </w:r>
      <w:bookmarkEnd w:id="15"/>
    </w:p>
    <w:p w:rsidR="0008391B" w:rsidP="00BF1CDD" w14:paraId="6A469D03" w14:textId="48C3D7AA">
      <w:pPr>
        <w:ind w:left="720"/>
      </w:pPr>
    </w:p>
    <w:p w:rsidR="00E03C5F" w:rsidRPr="00145B94" w:rsidP="00BF1CDD" w14:paraId="0D683806" w14:textId="77777777">
      <w:pPr>
        <w:pStyle w:val="Heading4"/>
      </w:pPr>
      <w:bookmarkStart w:id="17" w:name="OLE_LINK16"/>
      <w:r w:rsidRPr="00145B94">
        <w:t>Improvement Activities</w:t>
      </w:r>
    </w:p>
    <w:p w:rsidR="00275967" w:rsidP="00EF298A" w14:paraId="08B28D6B" w14:textId="77777777">
      <w:pPr>
        <w:rPr>
          <w:rFonts w:ascii="Arial" w:eastAsia="Arial" w:hAnsi="Arial" w:cs="Arial"/>
          <w:color w:val="000000" w:themeColor="text1"/>
          <w:sz w:val="22"/>
          <w:szCs w:val="22"/>
        </w:rPr>
      </w:pPr>
      <w:r w:rsidRPr="4199714E">
        <w:rPr>
          <w:rFonts w:ascii="Arial" w:eastAsia="Arial" w:hAnsi="Arial" w:cs="Arial"/>
          <w:color w:val="000000" w:themeColor="text1"/>
          <w:sz w:val="22"/>
          <w:szCs w:val="22"/>
        </w:rPr>
        <w:t xml:space="preserve">Improvement activities are broader in application and cover a wide range of clinician types and health conditions. Improvement activities that best drive the quality of care addressed in the </w:t>
      </w:r>
      <w:r w:rsidRPr="4199714E">
        <w:rPr>
          <w:rFonts w:ascii="Arial" w:eastAsia="Arial" w:hAnsi="Arial" w:cs="Arial"/>
          <w:color w:val="000000" w:themeColor="text1"/>
          <w:sz w:val="22"/>
          <w:szCs w:val="22"/>
        </w:rPr>
        <w:t xml:space="preserve">MVP topic should be prioritized. Improvement activities should complement and/or supplement the quality action of the measures in the MVP candidate submission, rather than duplicate it. </w:t>
      </w:r>
    </w:p>
    <w:p w:rsidR="00275967" w:rsidP="00EF298A" w14:paraId="590B3801" w14:textId="77777777">
      <w:pPr>
        <w:rPr>
          <w:rFonts w:ascii="Arial" w:eastAsia="Arial" w:hAnsi="Arial" w:cs="Arial"/>
          <w:color w:val="000000" w:themeColor="text1"/>
          <w:sz w:val="22"/>
          <w:szCs w:val="22"/>
        </w:rPr>
      </w:pPr>
    </w:p>
    <w:p w:rsidR="00E03C5F" w:rsidP="00EF298A" w14:paraId="176A4767" w14:textId="0F3D7D47">
      <w:bookmarkStart w:id="18" w:name="OLE_LINK2"/>
      <w:r w:rsidRPr="4199714E">
        <w:rPr>
          <w:rFonts w:ascii="Arial" w:eastAsia="Arial" w:hAnsi="Arial" w:cs="Arial"/>
          <w:color w:val="000000" w:themeColor="text1"/>
          <w:sz w:val="22"/>
          <w:szCs w:val="22"/>
        </w:rPr>
        <w:t xml:space="preserve">In addition, MVPs should seek to identify/incorporate opportunities to promote diversity, equity, and inclusion by selecting health equity focused improvement activities; there are </w:t>
      </w:r>
      <w:bookmarkStart w:id="19" w:name="OLE_LINK6"/>
      <w:r w:rsidRPr="4199714E" w:rsidR="004610BA">
        <w:rPr>
          <w:rFonts w:ascii="Arial" w:eastAsia="Arial" w:hAnsi="Arial" w:cs="Arial"/>
          <w:color w:val="000000" w:themeColor="text1"/>
          <w:sz w:val="22"/>
          <w:szCs w:val="22"/>
        </w:rPr>
        <w:t>2</w:t>
      </w:r>
      <w:r w:rsidR="004610BA">
        <w:rPr>
          <w:rFonts w:ascii="Arial" w:eastAsia="Arial" w:hAnsi="Arial" w:cs="Arial"/>
          <w:color w:val="000000" w:themeColor="text1"/>
          <w:sz w:val="22"/>
          <w:szCs w:val="22"/>
        </w:rPr>
        <w:t>7</w:t>
      </w:r>
      <w:r w:rsidRPr="4199714E" w:rsidR="004610BA">
        <w:rPr>
          <w:rFonts w:ascii="Arial" w:eastAsia="Arial" w:hAnsi="Arial" w:cs="Arial"/>
          <w:color w:val="000000" w:themeColor="text1"/>
          <w:sz w:val="22"/>
          <w:szCs w:val="22"/>
        </w:rPr>
        <w:t xml:space="preserve"> </w:t>
      </w:r>
      <w:r w:rsidRPr="4199714E">
        <w:rPr>
          <w:rFonts w:ascii="Arial" w:eastAsia="Arial" w:hAnsi="Arial" w:cs="Arial"/>
          <w:color w:val="000000" w:themeColor="text1"/>
          <w:sz w:val="22"/>
          <w:szCs w:val="22"/>
        </w:rPr>
        <w:t>health equity focused improvement activities</w:t>
      </w:r>
      <w:bookmarkEnd w:id="19"/>
      <w:r w:rsidRPr="4199714E">
        <w:rPr>
          <w:rFonts w:ascii="Arial" w:eastAsia="Arial" w:hAnsi="Arial" w:cs="Arial"/>
          <w:color w:val="000000" w:themeColor="text1"/>
          <w:sz w:val="22"/>
          <w:szCs w:val="22"/>
        </w:rPr>
        <w:t xml:space="preserve"> in the current inventory: </w:t>
      </w:r>
      <w:hyperlink r:id="rId16" w:history="1">
        <w:r w:rsidR="00DE2295">
          <w:rPr>
            <w:rStyle w:val="Hyperlink"/>
            <w:rFonts w:ascii="Arial" w:eastAsia="Arial" w:hAnsi="Arial" w:cs="Arial"/>
            <w:sz w:val="22"/>
            <w:szCs w:val="22"/>
          </w:rPr>
          <w:t>2022 Improvement Activities Inventory</w:t>
        </w:r>
      </w:hyperlink>
      <w:r w:rsidR="00CA219D">
        <w:t>.</w:t>
      </w:r>
    </w:p>
    <w:bookmarkEnd w:id="18"/>
    <w:p w:rsidR="00DA03EB" w:rsidP="00EF298A" w14:paraId="20B8118D" w14:textId="77777777">
      <w:pPr>
        <w:rPr>
          <w:rFonts w:ascii="Arial" w:eastAsia="Arial" w:hAnsi="Arial" w:cs="Arial"/>
          <w:sz w:val="22"/>
          <w:szCs w:val="22"/>
        </w:rPr>
      </w:pPr>
    </w:p>
    <w:p w:rsidR="00E03C5F" w:rsidP="00EF298A" w14:paraId="7239E9A3" w14:textId="0825F317">
      <w:pPr>
        <w:rPr>
          <w:rFonts w:ascii="Arial" w:eastAsia="Calibri" w:hAnsi="Arial" w:cs="Arial"/>
          <w:color w:val="000000" w:themeColor="text1"/>
          <w:sz w:val="22"/>
          <w:szCs w:val="22"/>
        </w:rPr>
      </w:pPr>
      <w:r w:rsidRPr="001B0CCC">
        <w:rPr>
          <w:rFonts w:ascii="Arial" w:eastAsia="Arial" w:hAnsi="Arial" w:cs="Arial"/>
          <w:sz w:val="22"/>
          <w:szCs w:val="22"/>
        </w:rPr>
        <w:t xml:space="preserve">New improvement activities may be submitted using the </w:t>
      </w:r>
      <w:hyperlink r:id="rId17" w:history="1">
        <w:r w:rsidR="00ED2CE2">
          <w:rPr>
            <w:rStyle w:val="Hyperlink"/>
            <w:rFonts w:ascii="Arial" w:eastAsia="Calibri" w:hAnsi="Arial" w:cs="Arial"/>
            <w:sz w:val="22"/>
            <w:szCs w:val="22"/>
          </w:rPr>
          <w:t>2022 Call for Measures and Activities</w:t>
        </w:r>
      </w:hyperlink>
      <w:r w:rsidR="00CC23D4">
        <w:rPr>
          <w:rFonts w:ascii="Arial" w:eastAsia="Calibri" w:hAnsi="Arial" w:cs="Arial"/>
          <w:color w:val="000000" w:themeColor="text1"/>
          <w:sz w:val="22"/>
          <w:szCs w:val="22"/>
        </w:rPr>
        <w:t xml:space="preserve"> </w:t>
      </w:r>
      <w:r w:rsidRPr="001B0CCC">
        <w:rPr>
          <w:rFonts w:ascii="Arial" w:eastAsia="Arial" w:hAnsi="Arial" w:cs="Arial"/>
          <w:sz w:val="22"/>
          <w:szCs w:val="22"/>
        </w:rPr>
        <w:t>process outlined on the Quality Payment Program Resource Library</w:t>
      </w:r>
      <w:r w:rsidR="00CC23D4">
        <w:rPr>
          <w:rFonts w:ascii="Arial" w:eastAsia="Calibri" w:hAnsi="Arial" w:cs="Arial"/>
          <w:color w:val="000000" w:themeColor="text1"/>
          <w:sz w:val="22"/>
          <w:szCs w:val="22"/>
        </w:rPr>
        <w:t>.</w:t>
      </w:r>
      <w:r w:rsidRPr="00CC23D4" w:rsidR="00CC23D4">
        <w:rPr>
          <w:rFonts w:ascii="Arial" w:eastAsia="Arial" w:hAnsi="Arial" w:cs="Arial"/>
          <w:sz w:val="22"/>
          <w:szCs w:val="22"/>
        </w:rPr>
        <w:t xml:space="preserve"> </w:t>
      </w:r>
    </w:p>
    <w:p w:rsidR="007B5CE7" w:rsidRPr="00DB2944" w:rsidP="00EF298A" w14:paraId="492B91DE" w14:textId="77777777">
      <w:pPr>
        <w:rPr>
          <w:rFonts w:ascii="Arial" w:eastAsia="Calibri" w:hAnsi="Arial" w:cs="Arial"/>
          <w:color w:val="000000"/>
          <w:sz w:val="22"/>
          <w:szCs w:val="22"/>
        </w:rPr>
      </w:pPr>
    </w:p>
    <w:p w:rsidR="00E03C5F" w:rsidRPr="00145B94" w:rsidP="00BF1CDD" w14:paraId="32C4F98B" w14:textId="77777777">
      <w:pPr>
        <w:pStyle w:val="Heading4"/>
        <w:keepNext/>
        <w:keepLines/>
      </w:pPr>
      <w:bookmarkStart w:id="20" w:name="OLE_LINK1"/>
      <w:bookmarkStart w:id="21" w:name="OLE_LINK17"/>
      <w:bookmarkEnd w:id="17"/>
      <w:r w:rsidRPr="00145B94">
        <w:t>Cost Measures</w:t>
      </w:r>
    </w:p>
    <w:p w:rsidR="00275967" w:rsidP="00EF298A" w14:paraId="340E1866" w14:textId="32EB5CCC">
      <w:pPr>
        <w:keepNext/>
        <w:keepLines/>
        <w:rPr>
          <w:rFonts w:ascii="Times New Roman" w:hAnsi="Times New Roman"/>
        </w:rPr>
      </w:pPr>
      <w:r w:rsidRPr="00DB2944">
        <w:rPr>
          <w:rFonts w:ascii="Arial" w:eastAsia="Calibri" w:hAnsi="Arial" w:cs="Arial"/>
          <w:color w:val="000000"/>
          <w:sz w:val="22"/>
          <w:szCs w:val="22"/>
        </w:rPr>
        <w:t>The current inventory of cost measures covers different types of care. Procedural episode-based cost measures apply to specialties</w:t>
      </w:r>
      <w:r w:rsidRPr="00DB2944" w:rsidR="00676630">
        <w:rPr>
          <w:rFonts w:ascii="Arial" w:eastAsia="Calibri" w:hAnsi="Arial" w:cs="Arial"/>
          <w:color w:val="000000"/>
          <w:sz w:val="22"/>
          <w:szCs w:val="22"/>
        </w:rPr>
        <w:t xml:space="preserve"> (</w:t>
      </w:r>
      <w:r w:rsidRPr="00DB2944">
        <w:rPr>
          <w:rFonts w:ascii="Arial" w:eastAsia="Calibri" w:hAnsi="Arial" w:cs="Arial"/>
          <w:color w:val="000000"/>
          <w:sz w:val="22"/>
          <w:szCs w:val="22"/>
        </w:rPr>
        <w:t>such as orthopedic surgeons</w:t>
      </w:r>
      <w:r w:rsidRPr="00DB2944" w:rsidR="00676630">
        <w:rPr>
          <w:rFonts w:ascii="Arial" w:eastAsia="Calibri" w:hAnsi="Arial" w:cs="Arial"/>
          <w:color w:val="000000"/>
          <w:sz w:val="22"/>
          <w:szCs w:val="22"/>
        </w:rPr>
        <w:t>)</w:t>
      </w:r>
      <w:r w:rsidRPr="00DB2944">
        <w:rPr>
          <w:rFonts w:ascii="Arial" w:eastAsia="Calibri" w:hAnsi="Arial" w:cs="Arial"/>
          <w:color w:val="000000"/>
          <w:sz w:val="22"/>
          <w:szCs w:val="22"/>
        </w:rPr>
        <w:t xml:space="preserve"> </w:t>
      </w:r>
      <w:r w:rsidRPr="00DB2944" w:rsidR="00676630">
        <w:rPr>
          <w:rFonts w:ascii="Arial" w:eastAsia="Calibri" w:hAnsi="Arial" w:cs="Arial"/>
          <w:color w:val="000000"/>
          <w:sz w:val="22"/>
          <w:szCs w:val="22"/>
        </w:rPr>
        <w:t xml:space="preserve">that </w:t>
      </w:r>
      <w:r w:rsidRPr="00DB2944">
        <w:rPr>
          <w:rFonts w:ascii="Arial" w:eastAsia="Calibri" w:hAnsi="Arial" w:cs="Arial"/>
          <w:color w:val="000000"/>
          <w:sz w:val="22"/>
          <w:szCs w:val="22"/>
        </w:rPr>
        <w:t>perform procedures of a defined purpose or type, acute episode-based cost measures cover clinicians</w:t>
      </w:r>
      <w:r w:rsidRPr="00DB2944" w:rsidR="00676630">
        <w:rPr>
          <w:rFonts w:ascii="Arial" w:eastAsia="Calibri" w:hAnsi="Arial" w:cs="Arial"/>
          <w:color w:val="000000"/>
          <w:sz w:val="22"/>
          <w:szCs w:val="22"/>
        </w:rPr>
        <w:t xml:space="preserve"> (</w:t>
      </w:r>
      <w:r w:rsidRPr="00DB2944">
        <w:rPr>
          <w:rFonts w:ascii="Arial" w:eastAsia="Calibri" w:hAnsi="Arial" w:cs="Arial"/>
          <w:color w:val="000000"/>
          <w:sz w:val="22"/>
          <w:szCs w:val="22"/>
        </w:rPr>
        <w:t>such as hospitalists</w:t>
      </w:r>
      <w:r w:rsidRPr="00DB2944" w:rsidR="00676630">
        <w:rPr>
          <w:rFonts w:ascii="Arial" w:eastAsia="Calibri" w:hAnsi="Arial" w:cs="Arial"/>
          <w:color w:val="000000"/>
          <w:sz w:val="22"/>
          <w:szCs w:val="22"/>
        </w:rPr>
        <w:t>)</w:t>
      </w:r>
      <w:r w:rsidRPr="00DB2944">
        <w:rPr>
          <w:rFonts w:ascii="Arial" w:eastAsia="Calibri" w:hAnsi="Arial" w:cs="Arial"/>
          <w:color w:val="000000"/>
          <w:sz w:val="22"/>
          <w:szCs w:val="22"/>
        </w:rPr>
        <w:t xml:space="preserve"> who provide care for specific acute inpatient conditions</w:t>
      </w:r>
      <w:r w:rsidR="00F87B96">
        <w:rPr>
          <w:rFonts w:ascii="Arial" w:eastAsia="Calibri" w:hAnsi="Arial" w:cs="Arial"/>
          <w:color w:val="000000"/>
          <w:sz w:val="22"/>
          <w:szCs w:val="22"/>
        </w:rPr>
        <w:t xml:space="preserve">, and chronic condition episode-based cost measures </w:t>
      </w:r>
      <w:r w:rsidR="00F87B96">
        <w:rPr>
          <w:rFonts w:ascii="Arial" w:eastAsia="Times New Roman" w:hAnsi="Arial" w:cs="Arial"/>
          <w:spacing w:val="-2"/>
          <w:sz w:val="22"/>
          <w:szCs w:val="22"/>
        </w:rPr>
        <w:t>account for the ongoing management of a disease or condition</w:t>
      </w:r>
      <w:r w:rsidR="00F87B96">
        <w:rPr>
          <w:rFonts w:ascii="Arial" w:eastAsia="Calibri" w:hAnsi="Arial" w:cs="Arial"/>
          <w:color w:val="000000"/>
          <w:sz w:val="22"/>
          <w:szCs w:val="22"/>
        </w:rPr>
        <w:t xml:space="preserve">. </w:t>
      </w:r>
      <w:r w:rsidR="00F87B96">
        <w:rPr>
          <w:rFonts w:ascii="Times New Roman" w:hAnsi="Times New Roman"/>
        </w:rPr>
        <w:t xml:space="preserve"> </w:t>
      </w:r>
    </w:p>
    <w:p w:rsidR="00275967" w:rsidP="00EF298A" w14:paraId="6E3E6B28" w14:textId="77777777">
      <w:pPr>
        <w:keepNext/>
        <w:keepLines/>
        <w:rPr>
          <w:rFonts w:ascii="Times New Roman" w:hAnsi="Times New Roman"/>
        </w:rPr>
      </w:pPr>
    </w:p>
    <w:p w:rsidR="00E03C5F" w:rsidP="00BF1CDD" w14:paraId="49A60F8E" w14:textId="6C385FA9">
      <w:pPr>
        <w:keepNext/>
        <w:keepLines/>
        <w:rPr>
          <w:color w:val="1F497D"/>
        </w:rPr>
      </w:pPr>
      <w:r w:rsidRPr="00DB2944">
        <w:rPr>
          <w:rFonts w:ascii="Arial" w:eastAsia="Calibri" w:hAnsi="Arial" w:cs="Arial"/>
          <w:color w:val="000000"/>
          <w:sz w:val="22"/>
          <w:szCs w:val="22"/>
        </w:rPr>
        <w:t>There are also two broader types of measures (population-based cost measures) that assess overall costs of care for a patient’s admission to an inpatient hospital (</w:t>
      </w:r>
      <w:r w:rsidRPr="00AC147A" w:rsidR="00AC147A">
        <w:rPr>
          <w:rFonts w:ascii="Arial" w:eastAsia="Calibri" w:hAnsi="Arial" w:cs="Arial"/>
          <w:color w:val="000000"/>
          <w:sz w:val="22"/>
          <w:szCs w:val="22"/>
        </w:rPr>
        <w:t xml:space="preserve">Medicare Spending Per Beneficiary </w:t>
      </w:r>
      <w:r w:rsidR="00AD0430">
        <w:rPr>
          <w:rFonts w:ascii="Arial" w:eastAsia="Calibri" w:hAnsi="Arial" w:cs="Arial"/>
          <w:color w:val="000000"/>
          <w:sz w:val="22"/>
          <w:szCs w:val="22"/>
        </w:rPr>
        <w:t>[</w:t>
      </w:r>
      <w:r w:rsidRPr="00AC147A" w:rsidR="00AC147A">
        <w:rPr>
          <w:rFonts w:ascii="Arial" w:eastAsia="Calibri" w:hAnsi="Arial" w:cs="Arial"/>
          <w:color w:val="000000"/>
          <w:sz w:val="22"/>
          <w:szCs w:val="22"/>
        </w:rPr>
        <w:t>MSPB</w:t>
      </w:r>
      <w:r w:rsidR="00AD0430">
        <w:rPr>
          <w:rFonts w:ascii="Arial" w:eastAsia="Calibri" w:hAnsi="Arial" w:cs="Arial"/>
          <w:color w:val="000000"/>
          <w:sz w:val="22"/>
          <w:szCs w:val="22"/>
        </w:rPr>
        <w:t>]</w:t>
      </w:r>
      <w:r w:rsidRPr="00AC147A" w:rsidR="00AC147A">
        <w:rPr>
          <w:rFonts w:ascii="Arial" w:eastAsia="Calibri" w:hAnsi="Arial" w:cs="Arial"/>
          <w:color w:val="000000"/>
          <w:sz w:val="22"/>
          <w:szCs w:val="22"/>
        </w:rPr>
        <w:t xml:space="preserve"> </w:t>
      </w:r>
      <w:r w:rsidR="001D6D4B">
        <w:rPr>
          <w:rFonts w:ascii="Arial" w:eastAsia="Calibri" w:hAnsi="Arial" w:cs="Arial"/>
          <w:color w:val="000000"/>
          <w:sz w:val="22"/>
          <w:szCs w:val="22"/>
        </w:rPr>
        <w:t xml:space="preserve">Clinician </w:t>
      </w:r>
      <w:r w:rsidRPr="00AC147A" w:rsidR="00AC147A">
        <w:rPr>
          <w:rFonts w:ascii="Arial" w:eastAsia="Calibri" w:hAnsi="Arial" w:cs="Arial"/>
          <w:color w:val="000000"/>
          <w:sz w:val="22"/>
          <w:szCs w:val="22"/>
        </w:rPr>
        <w:t>measure</w:t>
      </w:r>
      <w:r w:rsidRPr="00DB2944">
        <w:rPr>
          <w:rFonts w:ascii="Arial" w:eastAsia="Calibri" w:hAnsi="Arial" w:cs="Arial"/>
          <w:color w:val="000000"/>
          <w:sz w:val="22"/>
          <w:szCs w:val="22"/>
        </w:rPr>
        <w:t>) and for primary care services that a patient receives (</w:t>
      </w:r>
      <w:r w:rsidR="00AC147A">
        <w:rPr>
          <w:rFonts w:ascii="Arial" w:eastAsia="Calibri" w:hAnsi="Arial" w:cs="Arial"/>
          <w:color w:val="000000"/>
          <w:sz w:val="22"/>
          <w:szCs w:val="22"/>
        </w:rPr>
        <w:t xml:space="preserve">Total Per Capita Cost </w:t>
      </w:r>
      <w:r w:rsidR="00AD0430">
        <w:rPr>
          <w:rFonts w:ascii="Arial" w:eastAsia="Calibri" w:hAnsi="Arial" w:cs="Arial"/>
          <w:color w:val="000000"/>
          <w:sz w:val="22"/>
          <w:szCs w:val="22"/>
        </w:rPr>
        <w:t>[</w:t>
      </w:r>
      <w:r w:rsidRPr="00DB2944">
        <w:rPr>
          <w:rFonts w:ascii="Arial" w:eastAsia="Calibri" w:hAnsi="Arial" w:cs="Arial"/>
          <w:color w:val="000000"/>
          <w:sz w:val="22"/>
          <w:szCs w:val="22"/>
        </w:rPr>
        <w:t>TPCC</w:t>
      </w:r>
      <w:r w:rsidR="00AD0430">
        <w:rPr>
          <w:rFonts w:ascii="Arial" w:eastAsia="Calibri" w:hAnsi="Arial" w:cs="Arial"/>
          <w:color w:val="000000"/>
          <w:sz w:val="22"/>
          <w:szCs w:val="22"/>
        </w:rPr>
        <w:t>]</w:t>
      </w:r>
      <w:r w:rsidRPr="00DB2944">
        <w:rPr>
          <w:rFonts w:ascii="Arial" w:eastAsia="Calibri" w:hAnsi="Arial" w:cs="Arial"/>
          <w:color w:val="000000"/>
          <w:sz w:val="22"/>
          <w:szCs w:val="22"/>
        </w:rPr>
        <w:t xml:space="preserve"> measure). In addition, </w:t>
      </w:r>
      <w:r w:rsidRPr="00145B94">
        <w:rPr>
          <w:rFonts w:ascii="Arial" w:hAnsi="Arial" w:cs="Arial"/>
          <w:bCs/>
          <w:sz w:val="22"/>
          <w:szCs w:val="22"/>
        </w:rPr>
        <w:t>the MIPS cost measures are calculated for clinicians and clinician groups based on administrative claims data.</w:t>
      </w:r>
      <w:r w:rsidR="001F2FB1">
        <w:rPr>
          <w:rFonts w:ascii="Arial" w:hAnsi="Arial" w:cs="Arial"/>
          <w:bCs/>
          <w:sz w:val="22"/>
          <w:szCs w:val="22"/>
        </w:rPr>
        <w:t xml:space="preserve"> </w:t>
      </w:r>
      <w:bookmarkStart w:id="22" w:name="OLE_LINK8"/>
      <w:r w:rsidR="001F2FB1">
        <w:rPr>
          <w:rFonts w:ascii="Arial" w:hAnsi="Arial" w:cs="Arial"/>
          <w:bCs/>
          <w:sz w:val="22"/>
          <w:szCs w:val="22"/>
        </w:rPr>
        <w:t>Cost measure information can be located</w:t>
      </w:r>
      <w:r w:rsidR="00CA219D">
        <w:rPr>
          <w:rFonts w:ascii="Arial" w:hAnsi="Arial" w:cs="Arial"/>
          <w:bCs/>
          <w:sz w:val="22"/>
          <w:szCs w:val="22"/>
        </w:rPr>
        <w:t xml:space="preserve"> on </w:t>
      </w:r>
      <w:bookmarkStart w:id="23" w:name="OLE_LINK11"/>
      <w:r w:rsidR="00CA219D">
        <w:rPr>
          <w:rFonts w:ascii="Arial" w:hAnsi="Arial" w:cs="Arial"/>
          <w:bCs/>
          <w:sz w:val="22"/>
          <w:szCs w:val="22"/>
        </w:rPr>
        <w:t xml:space="preserve">the </w:t>
      </w:r>
      <w:hyperlink r:id="rId18" w:history="1">
        <w:r w:rsidR="00660E7F">
          <w:rPr>
            <w:rStyle w:val="Hyperlink"/>
            <w:rFonts w:ascii="Arial" w:hAnsi="Arial" w:cs="Arial"/>
            <w:sz w:val="22"/>
            <w:szCs w:val="22"/>
          </w:rPr>
          <w:t>MACRA Feedback Page</w:t>
        </w:r>
      </w:hyperlink>
      <w:bookmarkEnd w:id="23"/>
      <w:r w:rsidR="00CA219D">
        <w:rPr>
          <w:color w:val="1F497D"/>
        </w:rPr>
        <w:t>.</w:t>
      </w:r>
    </w:p>
    <w:bookmarkEnd w:id="20"/>
    <w:bookmarkEnd w:id="22"/>
    <w:p w:rsidR="001B4810" w:rsidP="00BF1CDD" w14:paraId="02083E35" w14:textId="77777777">
      <w:pPr>
        <w:keepNext/>
        <w:keepLines/>
        <w:rPr>
          <w:color w:val="1F497D"/>
        </w:rPr>
      </w:pPr>
    </w:p>
    <w:p w:rsidR="001B4810" w:rsidP="00BF1CDD" w14:paraId="25187F58" w14:textId="1637E789">
      <w:pPr>
        <w:keepNext/>
        <w:keepLines/>
        <w:rPr>
          <w:rFonts w:ascii="Arial" w:hAnsi="Arial" w:cs="Arial"/>
          <w:bCs/>
          <w:sz w:val="22"/>
          <w:szCs w:val="22"/>
        </w:rPr>
      </w:pPr>
      <w:r w:rsidRPr="001B4810">
        <w:rPr>
          <w:rFonts w:ascii="Arial" w:hAnsi="Arial" w:cs="Arial"/>
          <w:bCs/>
          <w:sz w:val="22"/>
          <w:szCs w:val="22"/>
        </w:rPr>
        <w:t>New cost measures may be submitted for consideration for use in the MIPS program using the 2022 Call for Measures and Activities process outlined on the Quality Payment Program Resource Library.</w:t>
      </w:r>
    </w:p>
    <w:bookmarkEnd w:id="21"/>
    <w:p w:rsidR="000C7BD3" w:rsidP="00EF298A" w14:paraId="02AF8E0F" w14:textId="77777777">
      <w:pPr>
        <w:rPr>
          <w:rFonts w:ascii="Arial" w:hAnsi="Arial" w:cs="Arial"/>
          <w:b/>
          <w:bCs/>
          <w:i/>
          <w:sz w:val="22"/>
          <w:szCs w:val="22"/>
        </w:rPr>
      </w:pPr>
    </w:p>
    <w:p w:rsidR="00BA0630" w:rsidRPr="00BA0630" w:rsidP="00EF298A" w14:paraId="23E99644" w14:textId="77777777">
      <w:pPr>
        <w:rPr>
          <w:rFonts w:ascii="Arial" w:hAnsi="Arial" w:cs="Arial"/>
          <w:b/>
          <w:bCs/>
          <w:i/>
          <w:sz w:val="22"/>
          <w:szCs w:val="22"/>
        </w:rPr>
      </w:pPr>
      <w:bookmarkStart w:id="24" w:name="OLE_LINK21"/>
      <w:r w:rsidRPr="00BA0630">
        <w:rPr>
          <w:rFonts w:ascii="Arial" w:hAnsi="Arial" w:cs="Arial"/>
          <w:b/>
          <w:bCs/>
          <w:i/>
          <w:sz w:val="22"/>
          <w:szCs w:val="22"/>
        </w:rPr>
        <w:t>Submission and Review Process</w:t>
      </w:r>
    </w:p>
    <w:p w:rsidR="00EF298A" w:rsidP="00EF298A" w14:paraId="7F854675" w14:textId="763B4868">
      <w:pPr>
        <w:rPr>
          <w:rFonts w:ascii="Arial" w:hAnsi="Arial" w:cs="Arial"/>
          <w:bCs/>
          <w:sz w:val="22"/>
          <w:szCs w:val="22"/>
        </w:rPr>
      </w:pPr>
      <w:bookmarkStart w:id="25" w:name="OLE_LINK19"/>
      <w:r w:rsidRPr="00BA0630">
        <w:rPr>
          <w:rFonts w:ascii="Arial" w:hAnsi="Arial" w:cs="Arial"/>
          <w:bCs/>
          <w:sz w:val="22"/>
          <w:szCs w:val="22"/>
        </w:rPr>
        <w:t xml:space="preserve">On an annual basis, CMS intends to host a public-facing MVP development webinar to remind </w:t>
      </w:r>
      <w:r w:rsidR="00B72114">
        <w:rPr>
          <w:rFonts w:ascii="Arial" w:hAnsi="Arial" w:cs="Arial"/>
          <w:bCs/>
          <w:sz w:val="22"/>
          <w:szCs w:val="22"/>
        </w:rPr>
        <w:t xml:space="preserve">the </w:t>
      </w:r>
      <w:r w:rsidR="00B72114">
        <w:rPr>
          <w:rFonts w:ascii="Arial" w:hAnsi="Arial" w:cs="Arial"/>
          <w:bCs/>
          <w:sz w:val="22"/>
          <w:szCs w:val="22"/>
        </w:rPr>
        <w:t>general public</w:t>
      </w:r>
      <w:r w:rsidRPr="00BA0630">
        <w:rPr>
          <w:rFonts w:ascii="Arial" w:hAnsi="Arial" w:cs="Arial"/>
          <w:bCs/>
          <w:sz w:val="22"/>
          <w:szCs w:val="22"/>
        </w:rPr>
        <w:t xml:space="preserve"> of MVP development criteria as well as the timeline and process to submit a candidate MVP. </w:t>
      </w:r>
    </w:p>
    <w:p w:rsidR="00275967" w:rsidP="00BF1CDD" w14:paraId="65FF7E2E" w14:textId="77777777">
      <w:pPr>
        <w:rPr>
          <w:rFonts w:ascii="Arial" w:hAnsi="Arial" w:cs="Arial"/>
          <w:bCs/>
          <w:sz w:val="22"/>
          <w:szCs w:val="22"/>
        </w:rPr>
      </w:pPr>
    </w:p>
    <w:p w:rsidR="00BF59E7" w:rsidRPr="00BF59E7" w:rsidP="00BF59E7" w14:paraId="74329F61" w14:textId="3BB709BE">
      <w:pPr>
        <w:rPr>
          <w:rFonts w:ascii="Arial" w:hAnsi="Arial" w:cs="Arial"/>
          <w:bCs/>
          <w:sz w:val="22"/>
          <w:szCs w:val="22"/>
        </w:rPr>
      </w:pPr>
      <w:r w:rsidRPr="00BF59E7">
        <w:rPr>
          <w:rFonts w:ascii="Arial" w:hAnsi="Arial" w:cs="Arial"/>
          <w:bCs/>
          <w:sz w:val="22"/>
          <w:szCs w:val="22"/>
        </w:rPr>
        <w:t xml:space="preserve">Candidate MVP submissions can be submitted on a rolling basis throughout the year through the Call for MVP process to be considered for potential inclusion in the upcoming notice of proposed rulemaking and, if finalized, subsequent implementation beginning with the CY </w:t>
      </w:r>
      <w:r w:rsidRPr="00BF59E7" w:rsidR="009C06C2">
        <w:rPr>
          <w:rFonts w:ascii="Arial" w:hAnsi="Arial" w:cs="Arial"/>
          <w:bCs/>
          <w:sz w:val="22"/>
          <w:szCs w:val="22"/>
        </w:rPr>
        <w:t>202</w:t>
      </w:r>
      <w:r w:rsidR="009C06C2">
        <w:rPr>
          <w:rFonts w:ascii="Arial" w:hAnsi="Arial" w:cs="Arial"/>
          <w:bCs/>
          <w:sz w:val="22"/>
          <w:szCs w:val="22"/>
        </w:rPr>
        <w:t>4</w:t>
      </w:r>
      <w:r w:rsidRPr="00BF59E7" w:rsidR="009C06C2">
        <w:rPr>
          <w:rFonts w:ascii="Arial" w:hAnsi="Arial" w:cs="Arial"/>
          <w:bCs/>
          <w:sz w:val="22"/>
          <w:szCs w:val="22"/>
        </w:rPr>
        <w:t xml:space="preserve"> </w:t>
      </w:r>
      <w:r w:rsidRPr="00BF59E7">
        <w:rPr>
          <w:rFonts w:ascii="Arial" w:hAnsi="Arial" w:cs="Arial"/>
          <w:bCs/>
          <w:sz w:val="22"/>
          <w:szCs w:val="22"/>
        </w:rPr>
        <w:t>performance period/</w:t>
      </w:r>
      <w:r w:rsidRPr="00BF59E7" w:rsidR="009C06C2">
        <w:rPr>
          <w:rFonts w:ascii="Arial" w:hAnsi="Arial" w:cs="Arial"/>
          <w:bCs/>
          <w:sz w:val="22"/>
          <w:szCs w:val="22"/>
        </w:rPr>
        <w:t>202</w:t>
      </w:r>
      <w:r w:rsidR="009C06C2">
        <w:rPr>
          <w:rFonts w:ascii="Arial" w:hAnsi="Arial" w:cs="Arial"/>
          <w:bCs/>
          <w:sz w:val="22"/>
          <w:szCs w:val="22"/>
        </w:rPr>
        <w:t>6</w:t>
      </w:r>
      <w:r w:rsidRPr="00BF59E7" w:rsidR="009C06C2">
        <w:rPr>
          <w:rFonts w:ascii="Arial" w:hAnsi="Arial" w:cs="Arial"/>
          <w:bCs/>
          <w:sz w:val="22"/>
          <w:szCs w:val="22"/>
        </w:rPr>
        <w:t xml:space="preserve"> </w:t>
      </w:r>
      <w:r w:rsidRPr="00BF59E7">
        <w:rPr>
          <w:rFonts w:ascii="Arial" w:hAnsi="Arial" w:cs="Arial"/>
          <w:bCs/>
          <w:sz w:val="22"/>
          <w:szCs w:val="22"/>
        </w:rPr>
        <w:t>MIPS payment year.</w:t>
      </w:r>
    </w:p>
    <w:p w:rsidR="00BF59E7" w:rsidRPr="00BF59E7" w:rsidP="00BF59E7" w14:paraId="55194E17" w14:textId="77777777">
      <w:pPr>
        <w:rPr>
          <w:rFonts w:ascii="Arial" w:hAnsi="Arial" w:cs="Arial"/>
          <w:bCs/>
          <w:sz w:val="22"/>
          <w:szCs w:val="22"/>
        </w:rPr>
      </w:pPr>
    </w:p>
    <w:p w:rsidR="00BF59E7" w:rsidRPr="00BF59E7" w:rsidP="00BF59E7" w14:paraId="46D599F4" w14:textId="77777777">
      <w:pPr>
        <w:rPr>
          <w:rFonts w:ascii="Arial" w:hAnsi="Arial" w:cs="Arial"/>
          <w:bCs/>
          <w:sz w:val="22"/>
          <w:szCs w:val="22"/>
        </w:rPr>
      </w:pPr>
      <w:r w:rsidRPr="00BF59E7">
        <w:rPr>
          <w:rFonts w:ascii="Arial" w:hAnsi="Arial" w:cs="Arial"/>
          <w:bCs/>
          <w:sz w:val="22"/>
          <w:szCs w:val="22"/>
        </w:rPr>
        <w:t xml:space="preserve">As MVP candidates are received, they will be reviewed, vetted, and evaluated by CMS and its contractors. CMS will use the MVP development criteria (see Appendix below) to determine if the candidate MVP is feasible. </w:t>
      </w:r>
    </w:p>
    <w:p w:rsidR="00EF298A" w:rsidP="00EF298A" w14:paraId="2D9C5C4F" w14:textId="77777777">
      <w:pPr>
        <w:rPr>
          <w:rFonts w:ascii="Arial" w:hAnsi="Arial" w:cs="Arial"/>
          <w:bCs/>
          <w:sz w:val="22"/>
          <w:szCs w:val="22"/>
        </w:rPr>
      </w:pPr>
    </w:p>
    <w:p w:rsidR="00BA0630" w:rsidRPr="00BA0630" w:rsidP="00EF298A" w14:paraId="6910BF7F" w14:textId="025B5BC6">
      <w:pPr>
        <w:rPr>
          <w:rFonts w:ascii="Arial" w:hAnsi="Arial" w:cs="Arial"/>
          <w:bCs/>
          <w:sz w:val="22"/>
          <w:szCs w:val="22"/>
        </w:rPr>
      </w:pPr>
      <w:r w:rsidRPr="00BA0630">
        <w:rPr>
          <w:rFonts w:ascii="Arial" w:hAnsi="Arial" w:cs="Arial"/>
          <w:bCs/>
          <w:sz w:val="22"/>
          <w:szCs w:val="22"/>
        </w:rPr>
        <w:t xml:space="preserve">In addition to the MVP development criteria, CMS will also vet the quality and cost measures from a technical perspective to validate </w:t>
      </w:r>
      <w:r w:rsidR="00F36B55">
        <w:rPr>
          <w:rFonts w:ascii="Arial" w:hAnsi="Arial" w:cs="Arial"/>
          <w:bCs/>
          <w:sz w:val="22"/>
          <w:szCs w:val="22"/>
        </w:rPr>
        <w:t>applicability</w:t>
      </w:r>
      <w:r w:rsidR="00467BFA">
        <w:rPr>
          <w:rFonts w:ascii="Arial" w:hAnsi="Arial" w:cs="Arial"/>
          <w:bCs/>
          <w:sz w:val="22"/>
          <w:szCs w:val="22"/>
        </w:rPr>
        <w:t xml:space="preserve"> to</w:t>
      </w:r>
      <w:r w:rsidRPr="00BA0630" w:rsidR="00467BFA">
        <w:rPr>
          <w:rFonts w:ascii="Arial" w:hAnsi="Arial" w:cs="Arial"/>
          <w:bCs/>
          <w:sz w:val="22"/>
          <w:szCs w:val="22"/>
        </w:rPr>
        <w:t xml:space="preserve"> </w:t>
      </w:r>
      <w:r w:rsidRPr="00BA0630">
        <w:rPr>
          <w:rFonts w:ascii="Arial" w:hAnsi="Arial" w:cs="Arial"/>
          <w:bCs/>
          <w:sz w:val="22"/>
          <w:szCs w:val="22"/>
        </w:rPr>
        <w:t xml:space="preserve">the clinician being measured </w:t>
      </w:r>
      <w:r w:rsidR="005E323E">
        <w:rPr>
          <w:rFonts w:ascii="Arial" w:hAnsi="Arial" w:cs="Arial"/>
          <w:bCs/>
          <w:sz w:val="22"/>
          <w:szCs w:val="22"/>
        </w:rPr>
        <w:t>for performance</w:t>
      </w:r>
      <w:r w:rsidR="00733AC8">
        <w:rPr>
          <w:rFonts w:ascii="Arial" w:hAnsi="Arial" w:cs="Arial"/>
          <w:bCs/>
          <w:sz w:val="22"/>
          <w:szCs w:val="22"/>
        </w:rPr>
        <w:t>. In addition</w:t>
      </w:r>
      <w:r w:rsidR="005800FF">
        <w:rPr>
          <w:rFonts w:ascii="Arial" w:hAnsi="Arial" w:cs="Arial"/>
          <w:bCs/>
          <w:sz w:val="22"/>
          <w:szCs w:val="22"/>
        </w:rPr>
        <w:t xml:space="preserve">, CMS will </w:t>
      </w:r>
      <w:r w:rsidR="00A3729B">
        <w:rPr>
          <w:rFonts w:ascii="Arial" w:hAnsi="Arial" w:cs="Arial"/>
          <w:bCs/>
          <w:sz w:val="22"/>
          <w:szCs w:val="22"/>
        </w:rPr>
        <w:t>review</w:t>
      </w:r>
      <w:r w:rsidRPr="00BA0630">
        <w:rPr>
          <w:rFonts w:ascii="Arial" w:hAnsi="Arial" w:cs="Arial"/>
          <w:bCs/>
          <w:sz w:val="22"/>
          <w:szCs w:val="22"/>
        </w:rPr>
        <w:t xml:space="preserve"> all potential specialty-specific quality or cost </w:t>
      </w:r>
      <w:r w:rsidRPr="00BA0630">
        <w:rPr>
          <w:rFonts w:ascii="Arial" w:hAnsi="Arial" w:cs="Arial"/>
          <w:bCs/>
          <w:sz w:val="22"/>
          <w:szCs w:val="22"/>
        </w:rPr>
        <w:t>measures</w:t>
      </w:r>
      <w:r w:rsidR="0058322D">
        <w:rPr>
          <w:rFonts w:ascii="Arial" w:hAnsi="Arial" w:cs="Arial"/>
          <w:bCs/>
          <w:sz w:val="22"/>
          <w:szCs w:val="22"/>
        </w:rPr>
        <w:t xml:space="preserve"> available in the MIPS inventory </w:t>
      </w:r>
      <w:r w:rsidR="007211A1">
        <w:rPr>
          <w:rFonts w:ascii="Arial" w:hAnsi="Arial" w:cs="Arial"/>
          <w:bCs/>
          <w:sz w:val="22"/>
          <w:szCs w:val="22"/>
        </w:rPr>
        <w:t>to ensure</w:t>
      </w:r>
      <w:r w:rsidR="00985E28">
        <w:rPr>
          <w:rFonts w:ascii="Arial" w:hAnsi="Arial" w:cs="Arial"/>
          <w:bCs/>
          <w:sz w:val="22"/>
          <w:szCs w:val="22"/>
        </w:rPr>
        <w:t xml:space="preserve"> </w:t>
      </w:r>
      <w:r w:rsidR="005E323E">
        <w:rPr>
          <w:rFonts w:ascii="Arial" w:hAnsi="Arial" w:cs="Arial"/>
          <w:bCs/>
          <w:sz w:val="22"/>
          <w:szCs w:val="22"/>
        </w:rPr>
        <w:t xml:space="preserve">only </w:t>
      </w:r>
      <w:r w:rsidRPr="00BA0630">
        <w:rPr>
          <w:rFonts w:ascii="Arial" w:hAnsi="Arial" w:cs="Arial"/>
          <w:bCs/>
          <w:sz w:val="22"/>
          <w:szCs w:val="22"/>
        </w:rPr>
        <w:t xml:space="preserve">the most appropriate </w:t>
      </w:r>
      <w:r w:rsidR="004111DA">
        <w:rPr>
          <w:rFonts w:ascii="Arial" w:hAnsi="Arial" w:cs="Arial"/>
          <w:bCs/>
          <w:sz w:val="22"/>
          <w:szCs w:val="22"/>
        </w:rPr>
        <w:t>measures</w:t>
      </w:r>
      <w:r w:rsidRPr="00BA0630">
        <w:rPr>
          <w:rFonts w:ascii="Arial" w:hAnsi="Arial" w:cs="Arial"/>
          <w:bCs/>
          <w:sz w:val="22"/>
          <w:szCs w:val="22"/>
        </w:rPr>
        <w:t xml:space="preserve"> </w:t>
      </w:r>
      <w:r w:rsidR="007211A1">
        <w:rPr>
          <w:rFonts w:ascii="Arial" w:hAnsi="Arial" w:cs="Arial"/>
          <w:bCs/>
          <w:sz w:val="22"/>
          <w:szCs w:val="22"/>
        </w:rPr>
        <w:t xml:space="preserve">are </w:t>
      </w:r>
      <w:r w:rsidRPr="00BA0630">
        <w:rPr>
          <w:rFonts w:ascii="Arial" w:hAnsi="Arial" w:cs="Arial"/>
          <w:bCs/>
          <w:sz w:val="22"/>
          <w:szCs w:val="22"/>
        </w:rPr>
        <w:t>included</w:t>
      </w:r>
      <w:r w:rsidR="00586BD9">
        <w:rPr>
          <w:rFonts w:ascii="Arial" w:hAnsi="Arial" w:cs="Arial"/>
          <w:bCs/>
          <w:sz w:val="22"/>
          <w:szCs w:val="22"/>
        </w:rPr>
        <w:t xml:space="preserve"> </w:t>
      </w:r>
      <w:r w:rsidR="00E72AE7">
        <w:rPr>
          <w:rFonts w:ascii="Arial" w:hAnsi="Arial" w:cs="Arial"/>
          <w:bCs/>
          <w:sz w:val="22"/>
          <w:szCs w:val="22"/>
        </w:rPr>
        <w:t>in</w:t>
      </w:r>
      <w:r w:rsidR="00586BD9">
        <w:rPr>
          <w:rFonts w:ascii="Arial" w:hAnsi="Arial" w:cs="Arial"/>
          <w:bCs/>
          <w:sz w:val="22"/>
          <w:szCs w:val="22"/>
        </w:rPr>
        <w:t xml:space="preserve"> the MVP candidate</w:t>
      </w:r>
      <w:r w:rsidRPr="00BA0630">
        <w:rPr>
          <w:rFonts w:ascii="Arial" w:hAnsi="Arial" w:cs="Arial"/>
          <w:bCs/>
          <w:sz w:val="22"/>
          <w:szCs w:val="22"/>
        </w:rPr>
        <w:t xml:space="preserve">. </w:t>
      </w:r>
    </w:p>
    <w:bookmarkEnd w:id="25"/>
    <w:p w:rsidR="001D6D4B" w:rsidRPr="00BA0630" w:rsidP="00EF298A" w14:paraId="428F4C9E" w14:textId="77777777">
      <w:pPr>
        <w:rPr>
          <w:rFonts w:ascii="Arial" w:hAnsi="Arial" w:cs="Arial"/>
          <w:bCs/>
          <w:sz w:val="22"/>
          <w:szCs w:val="22"/>
        </w:rPr>
      </w:pPr>
    </w:p>
    <w:p w:rsidR="001F0248" w:rsidP="00EF298A" w14:paraId="0E7B2F4E" w14:textId="0B2E532C">
      <w:pPr>
        <w:rPr>
          <w:rFonts w:ascii="Arial" w:hAnsi="Arial" w:cs="Arial"/>
          <w:bCs/>
          <w:sz w:val="22"/>
          <w:szCs w:val="22"/>
        </w:rPr>
      </w:pPr>
      <w:r>
        <w:rPr>
          <w:rFonts w:ascii="Arial" w:hAnsi="Arial" w:cs="Arial"/>
          <w:bCs/>
          <w:sz w:val="22"/>
          <w:szCs w:val="22"/>
        </w:rPr>
        <w:t>CMS</w:t>
      </w:r>
      <w:r w:rsidRPr="00BA0630">
        <w:rPr>
          <w:rFonts w:ascii="Arial" w:hAnsi="Arial" w:cs="Arial"/>
          <w:bCs/>
          <w:sz w:val="22"/>
          <w:szCs w:val="22"/>
        </w:rPr>
        <w:t xml:space="preserve"> </w:t>
      </w:r>
      <w:r w:rsidRPr="00BA0630" w:rsidR="00BA0630">
        <w:rPr>
          <w:rFonts w:ascii="Arial" w:hAnsi="Arial" w:cs="Arial"/>
          <w:bCs/>
          <w:sz w:val="22"/>
          <w:szCs w:val="22"/>
        </w:rPr>
        <w:t xml:space="preserve">may reach out to </w:t>
      </w:r>
      <w:r w:rsidR="00F16CAC">
        <w:rPr>
          <w:rFonts w:ascii="Arial" w:hAnsi="Arial" w:cs="Arial"/>
          <w:bCs/>
          <w:sz w:val="22"/>
          <w:szCs w:val="22"/>
        </w:rPr>
        <w:t>submitters</w:t>
      </w:r>
      <w:r w:rsidRPr="00BA0630" w:rsidR="00BA0630">
        <w:rPr>
          <w:rFonts w:ascii="Arial" w:hAnsi="Arial" w:cs="Arial"/>
          <w:bCs/>
          <w:sz w:val="22"/>
          <w:szCs w:val="22"/>
        </w:rPr>
        <w:t xml:space="preserve"> </w:t>
      </w:r>
      <w:r w:rsidR="0030723F">
        <w:rPr>
          <w:rFonts w:ascii="Arial" w:hAnsi="Arial" w:cs="Arial"/>
          <w:bCs/>
          <w:sz w:val="22"/>
          <w:szCs w:val="22"/>
        </w:rPr>
        <w:t xml:space="preserve">of </w:t>
      </w:r>
      <w:r w:rsidR="00CE4552">
        <w:rPr>
          <w:rFonts w:ascii="Arial" w:hAnsi="Arial" w:cs="Arial"/>
          <w:bCs/>
          <w:sz w:val="22"/>
          <w:szCs w:val="22"/>
        </w:rPr>
        <w:t>MVP</w:t>
      </w:r>
      <w:r w:rsidR="007D64D8">
        <w:rPr>
          <w:rFonts w:ascii="Arial" w:hAnsi="Arial" w:cs="Arial"/>
          <w:bCs/>
          <w:sz w:val="22"/>
          <w:szCs w:val="22"/>
        </w:rPr>
        <w:t xml:space="preserve"> </w:t>
      </w:r>
      <w:r w:rsidR="005B178F">
        <w:rPr>
          <w:rFonts w:ascii="Arial" w:hAnsi="Arial" w:cs="Arial"/>
          <w:bCs/>
          <w:sz w:val="22"/>
          <w:szCs w:val="22"/>
        </w:rPr>
        <w:t>candida</w:t>
      </w:r>
      <w:r w:rsidR="008903D0">
        <w:rPr>
          <w:rFonts w:ascii="Arial" w:hAnsi="Arial" w:cs="Arial"/>
          <w:bCs/>
          <w:sz w:val="22"/>
          <w:szCs w:val="22"/>
        </w:rPr>
        <w:t>tes</w:t>
      </w:r>
      <w:r w:rsidRPr="00BA0630" w:rsidR="00BA0630">
        <w:rPr>
          <w:rFonts w:ascii="Arial" w:hAnsi="Arial" w:cs="Arial"/>
          <w:bCs/>
          <w:sz w:val="22"/>
          <w:szCs w:val="22"/>
        </w:rPr>
        <w:t xml:space="preserve"> on an as-needed basis should questions arise during the review process. Please note that submitting an MVP candidate does not guarantee it will be </w:t>
      </w:r>
      <w:r w:rsidR="00017ABE">
        <w:rPr>
          <w:rFonts w:ascii="Arial" w:hAnsi="Arial" w:cs="Arial"/>
          <w:bCs/>
          <w:sz w:val="22"/>
          <w:szCs w:val="22"/>
        </w:rPr>
        <w:t xml:space="preserve">considered or </w:t>
      </w:r>
      <w:r w:rsidRPr="00BA0630" w:rsidR="00BA0630">
        <w:rPr>
          <w:rFonts w:ascii="Arial" w:hAnsi="Arial" w:cs="Arial"/>
          <w:bCs/>
          <w:sz w:val="22"/>
          <w:szCs w:val="22"/>
        </w:rPr>
        <w:t xml:space="preserve">accepted for the rulemaking process. To ensure a fair and transparent rulemaking process, CMS </w:t>
      </w:r>
      <w:r w:rsidR="009C5CDB">
        <w:rPr>
          <w:rFonts w:ascii="Arial" w:hAnsi="Arial" w:cs="Arial"/>
          <w:bCs/>
          <w:sz w:val="22"/>
          <w:szCs w:val="22"/>
        </w:rPr>
        <w:t xml:space="preserve">won’t </w:t>
      </w:r>
      <w:r w:rsidRPr="00BA0630" w:rsidR="00BA0630">
        <w:rPr>
          <w:rFonts w:ascii="Arial" w:hAnsi="Arial" w:cs="Arial"/>
          <w:bCs/>
          <w:sz w:val="22"/>
          <w:szCs w:val="22"/>
        </w:rPr>
        <w:t xml:space="preserve">communicate (to those who submit MVP candidates) whether an MVP candidate has been approved, disapproved, or </w:t>
      </w:r>
      <w:r w:rsidR="00586BD9">
        <w:rPr>
          <w:rFonts w:ascii="Arial" w:hAnsi="Arial" w:cs="Arial"/>
          <w:bCs/>
          <w:sz w:val="22"/>
          <w:szCs w:val="22"/>
        </w:rPr>
        <w:t>will</w:t>
      </w:r>
      <w:r w:rsidRPr="00BA0630" w:rsidR="00586BD9">
        <w:rPr>
          <w:rFonts w:ascii="Arial" w:hAnsi="Arial" w:cs="Arial"/>
          <w:bCs/>
          <w:sz w:val="22"/>
          <w:szCs w:val="22"/>
        </w:rPr>
        <w:t xml:space="preserve"> </w:t>
      </w:r>
      <w:r w:rsidRPr="00BA0630" w:rsidR="00BA0630">
        <w:rPr>
          <w:rFonts w:ascii="Arial" w:hAnsi="Arial" w:cs="Arial"/>
          <w:bCs/>
          <w:sz w:val="22"/>
          <w:szCs w:val="22"/>
        </w:rPr>
        <w:t>be considered for a future year, prior to the publication of the proposed rule.</w:t>
      </w:r>
    </w:p>
    <w:p w:rsidR="00275967" w:rsidRPr="001F0248" w:rsidP="00BF1CDD" w14:paraId="385C3759" w14:textId="77777777">
      <w:pPr>
        <w:rPr>
          <w:rFonts w:ascii="Arial" w:hAnsi="Arial" w:cs="Arial"/>
          <w:bCs/>
          <w:sz w:val="22"/>
          <w:szCs w:val="22"/>
        </w:rPr>
      </w:pPr>
    </w:p>
    <w:p w:rsidR="00EC2806" w:rsidP="00EF298A" w14:paraId="26D27803" w14:textId="0B3972C3">
      <w:pPr>
        <w:rPr>
          <w:rFonts w:ascii="Arial" w:hAnsi="Arial" w:cs="Arial"/>
          <w:b/>
          <w:sz w:val="22"/>
          <w:szCs w:val="22"/>
        </w:rPr>
      </w:pPr>
      <w:r w:rsidRPr="003D05EE">
        <w:rPr>
          <w:rFonts w:ascii="Arial" w:hAnsi="Arial" w:cs="Arial"/>
          <w:b/>
          <w:sz w:val="22"/>
          <w:szCs w:val="22"/>
        </w:rPr>
        <w:t>Completed MVP candidate templates (inclusive of Table 1 and Table 2</w:t>
      </w:r>
      <w:r w:rsidRPr="003D05EE" w:rsidR="000E13D4">
        <w:rPr>
          <w:rFonts w:ascii="Arial" w:hAnsi="Arial" w:cs="Arial"/>
          <w:b/>
          <w:sz w:val="22"/>
          <w:szCs w:val="22"/>
        </w:rPr>
        <w:t>a</w:t>
      </w:r>
      <w:r w:rsidRPr="003D05EE">
        <w:rPr>
          <w:rFonts w:ascii="Arial" w:hAnsi="Arial" w:cs="Arial"/>
          <w:b/>
          <w:sz w:val="22"/>
          <w:szCs w:val="22"/>
        </w:rPr>
        <w:t>) should be submitted to</w:t>
      </w:r>
      <w:r>
        <w:rPr>
          <w:rFonts w:ascii="Arial" w:hAnsi="Arial" w:cs="Arial"/>
          <w:b/>
          <w:sz w:val="22"/>
          <w:szCs w:val="22"/>
        </w:rPr>
        <w:t xml:space="preserve"> </w:t>
      </w:r>
      <w:hyperlink r:id="rId19" w:history="1"/>
      <w:hyperlink r:id="rId20" w:history="1">
        <w:r w:rsidRPr="00BA0630" w:rsidR="000E13D4">
          <w:rPr>
            <w:rStyle w:val="Hyperlink"/>
            <w:rFonts w:ascii="Arial" w:hAnsi="Arial" w:cs="Arial"/>
            <w:b/>
            <w:bCs/>
            <w:sz w:val="22"/>
            <w:szCs w:val="22"/>
          </w:rPr>
          <w:t>PIMMS</w:t>
        </w:r>
        <w:r w:rsidR="000E13D4">
          <w:rPr>
            <w:rStyle w:val="Hyperlink"/>
            <w:rFonts w:ascii="Arial" w:hAnsi="Arial" w:cs="Arial"/>
            <w:b/>
            <w:bCs/>
            <w:sz w:val="22"/>
            <w:szCs w:val="22"/>
          </w:rPr>
          <w:t>MVP</w:t>
        </w:r>
        <w:r w:rsidRPr="00BA0630" w:rsidR="000E13D4">
          <w:rPr>
            <w:rStyle w:val="Hyperlink"/>
            <w:rFonts w:ascii="Arial" w:hAnsi="Arial" w:cs="Arial"/>
            <w:b/>
            <w:bCs/>
            <w:sz w:val="22"/>
            <w:szCs w:val="22"/>
          </w:rPr>
          <w:t>Support@gdit.com</w:t>
        </w:r>
      </w:hyperlink>
      <w:r>
        <w:rPr>
          <w:rFonts w:ascii="Arial" w:hAnsi="Arial" w:cs="Arial"/>
          <w:b/>
          <w:sz w:val="22"/>
          <w:szCs w:val="22"/>
        </w:rPr>
        <w:t xml:space="preserve"> </w:t>
      </w:r>
      <w:r w:rsidRPr="003D05EE">
        <w:rPr>
          <w:rFonts w:ascii="Arial" w:hAnsi="Arial" w:cs="Arial"/>
          <w:b/>
          <w:sz w:val="22"/>
          <w:szCs w:val="22"/>
        </w:rPr>
        <w:t>for CMS evaluation.</w:t>
      </w:r>
    </w:p>
    <w:p w:rsidR="00275967" w:rsidP="00BF1CDD" w14:paraId="54534428" w14:textId="77777777">
      <w:pPr>
        <w:rPr>
          <w:rFonts w:ascii="Arial" w:hAnsi="Arial" w:cs="Arial"/>
          <w:b/>
          <w:bCs/>
          <w:sz w:val="22"/>
          <w:szCs w:val="22"/>
          <w:u w:val="single"/>
        </w:rPr>
      </w:pPr>
    </w:p>
    <w:bookmarkEnd w:id="24"/>
    <w:p w:rsidR="00E03C5F" w:rsidRPr="00145B94" w:rsidP="00BF1CDD" w14:paraId="7352D92A" w14:textId="77777777">
      <w:pPr>
        <w:pStyle w:val="Heading3"/>
        <w:spacing w:before="0" w:line="240" w:lineRule="auto"/>
      </w:pPr>
      <w:r w:rsidRPr="00145B94">
        <w:t>Table 1</w:t>
      </w:r>
      <w:r>
        <w:t>:</w:t>
      </w:r>
      <w:r w:rsidRPr="00145B94">
        <w:t xml:space="preserve"> Instructions and Template</w:t>
      </w:r>
    </w:p>
    <w:p w:rsidR="00E03C5F" w:rsidP="00BF1CDD" w14:paraId="4C620470" w14:textId="1F90A088">
      <w:pPr>
        <w:contextualSpacing/>
        <w:rPr>
          <w:rFonts w:ascii="Arial" w:eastAsia="Calibri" w:hAnsi="Arial" w:cs="Arial"/>
          <w:sz w:val="22"/>
          <w:szCs w:val="22"/>
        </w:rPr>
      </w:pPr>
      <w:r w:rsidRPr="00145B94">
        <w:rPr>
          <w:rFonts w:ascii="Arial" w:eastAsia="Calibri" w:hAnsi="Arial" w:cs="Arial"/>
          <w:sz w:val="22"/>
          <w:szCs w:val="22"/>
        </w:rPr>
        <w:t xml:space="preserve">Please describe high-level information </w:t>
      </w:r>
      <w:r>
        <w:rPr>
          <w:rFonts w:ascii="Arial" w:eastAsia="Calibri" w:hAnsi="Arial" w:cs="Arial"/>
          <w:sz w:val="22"/>
          <w:szCs w:val="22"/>
        </w:rPr>
        <w:t>to</w:t>
      </w:r>
      <w:r w:rsidRPr="00145B94">
        <w:rPr>
          <w:rFonts w:ascii="Arial" w:eastAsia="Calibri" w:hAnsi="Arial" w:cs="Arial"/>
          <w:sz w:val="22"/>
          <w:szCs w:val="22"/>
        </w:rPr>
        <w:t xml:space="preserve"> address the following general topics: MVP Name, Primary/Alternative Point</w:t>
      </w:r>
      <w:r>
        <w:rPr>
          <w:rFonts w:ascii="Arial" w:eastAsia="Calibri" w:hAnsi="Arial" w:cs="Arial"/>
          <w:sz w:val="22"/>
          <w:szCs w:val="22"/>
        </w:rPr>
        <w:t xml:space="preserve">s </w:t>
      </w:r>
      <w:r w:rsidRPr="00145B94">
        <w:rPr>
          <w:rFonts w:ascii="Arial" w:eastAsia="Calibri" w:hAnsi="Arial" w:cs="Arial"/>
          <w:sz w:val="22"/>
          <w:szCs w:val="22"/>
        </w:rPr>
        <w:t>of</w:t>
      </w:r>
      <w:r>
        <w:rPr>
          <w:rFonts w:ascii="Arial" w:eastAsia="Calibri" w:hAnsi="Arial" w:cs="Arial"/>
          <w:sz w:val="22"/>
          <w:szCs w:val="22"/>
        </w:rPr>
        <w:t xml:space="preserve"> </w:t>
      </w:r>
      <w:r w:rsidRPr="00145B94">
        <w:rPr>
          <w:rFonts w:ascii="Arial" w:eastAsia="Calibri" w:hAnsi="Arial" w:cs="Arial"/>
          <w:sz w:val="22"/>
          <w:szCs w:val="22"/>
        </w:rPr>
        <w:t xml:space="preserve">Contact, Intent of Measurement, Measure and Activity Linkages with the MVP, Appropriateness, Comprehensibility, and Incorporation of the Patient Voice. </w:t>
      </w:r>
      <w:r>
        <w:rPr>
          <w:rFonts w:ascii="Arial" w:eastAsia="Calibri" w:hAnsi="Arial" w:cs="Arial"/>
          <w:sz w:val="22"/>
          <w:szCs w:val="22"/>
        </w:rPr>
        <w:t>A c</w:t>
      </w:r>
      <w:r w:rsidRPr="00145B94">
        <w:rPr>
          <w:rFonts w:ascii="Arial" w:eastAsia="Calibri" w:hAnsi="Arial" w:cs="Arial"/>
          <w:sz w:val="22"/>
          <w:szCs w:val="22"/>
        </w:rPr>
        <w:t>hecklist</w:t>
      </w:r>
      <w:r>
        <w:rPr>
          <w:rFonts w:ascii="Arial" w:eastAsia="Calibri" w:hAnsi="Arial" w:cs="Arial"/>
          <w:sz w:val="22"/>
          <w:szCs w:val="22"/>
        </w:rPr>
        <w:t xml:space="preserve"> of</w:t>
      </w:r>
      <w:r w:rsidRPr="00145B94">
        <w:rPr>
          <w:rFonts w:ascii="Arial" w:eastAsia="Calibri" w:hAnsi="Arial" w:cs="Arial"/>
          <w:sz w:val="22"/>
          <w:szCs w:val="22"/>
        </w:rPr>
        <w:t xml:space="preserve"> items </w:t>
      </w:r>
      <w:r w:rsidRPr="00145B94" w:rsidR="00A80B88">
        <w:rPr>
          <w:rFonts w:ascii="Arial" w:eastAsia="Calibri" w:hAnsi="Arial" w:cs="Arial"/>
          <w:sz w:val="22"/>
          <w:szCs w:val="22"/>
        </w:rPr>
        <w:t>is</w:t>
      </w:r>
      <w:r w:rsidRPr="00145B94">
        <w:rPr>
          <w:rFonts w:ascii="Arial" w:eastAsia="Calibri" w:hAnsi="Arial" w:cs="Arial"/>
          <w:sz w:val="22"/>
          <w:szCs w:val="22"/>
        </w:rPr>
        <w:t xml:space="preserve"> provided in Table 1 to provide further </w:t>
      </w:r>
      <w:r>
        <w:rPr>
          <w:rFonts w:ascii="Arial" w:eastAsia="Calibri" w:hAnsi="Arial" w:cs="Arial"/>
          <w:sz w:val="22"/>
          <w:szCs w:val="22"/>
        </w:rPr>
        <w:t xml:space="preserve">guidance. </w:t>
      </w:r>
      <w:bookmarkStart w:id="26" w:name="OLE_LINK22"/>
    </w:p>
    <w:p w:rsidR="00E53EDA" w:rsidP="00BF1CDD" w14:paraId="0A6B4FC9" w14:textId="51E08558">
      <w:pPr>
        <w:contextualSpacing/>
        <w:rPr>
          <w:rFonts w:ascii="Arial" w:eastAsia="Calibri" w:hAnsi="Arial" w:cs="Arial"/>
          <w:sz w:val="22"/>
          <w:szCs w:val="22"/>
        </w:rPr>
      </w:pPr>
    </w:p>
    <w:p w:rsidR="00E53EDA" w:rsidRPr="00145B94" w:rsidP="00E53EDA" w14:paraId="2D686B12" w14:textId="56899725">
      <w:pPr>
        <w:contextualSpacing/>
        <w:jc w:val="center"/>
        <w:rPr>
          <w:rFonts w:ascii="Arial" w:eastAsia="Calibri" w:hAnsi="Arial" w:cs="Arial"/>
          <w:sz w:val="22"/>
          <w:szCs w:val="22"/>
        </w:rPr>
      </w:pPr>
      <w:r>
        <w:rPr>
          <w:rFonts w:ascii="Arial" w:eastAsia="Calibri" w:hAnsi="Arial" w:cs="Arial"/>
          <w:sz w:val="22"/>
          <w:szCs w:val="22"/>
        </w:rPr>
        <w:t>Table 1: MVP Descriptive Information</w:t>
      </w:r>
    </w:p>
    <w:p w:rsidR="00EC2806" w:rsidRPr="00145B94" w:rsidP="00BF1CDD" w14:paraId="2591F53C" w14:textId="77777777">
      <w:pPr>
        <w:contextualSpacing/>
        <w:rPr>
          <w:rFonts w:ascii="Arial" w:eastAsia="Calibri" w:hAnsi="Arial" w:cs="Arial"/>
          <w:sz w:val="22"/>
          <w:szCs w:val="22"/>
        </w:rPr>
      </w:pPr>
    </w:p>
    <w:tbl>
      <w:tblPr>
        <w:tblStyle w:val="TableGrid"/>
        <w:tblW w:w="9355" w:type="dxa"/>
        <w:tblBorders>
          <w:top w:val="single" w:sz="4" w:space="0" w:color="BFBFBF"/>
          <w:left w:val="single" w:sz="4" w:space="0" w:color="BFBFBF"/>
          <w:bottom w:val="single" w:sz="4" w:space="0" w:color="BFBFBF"/>
          <w:right w:val="single" w:sz="4" w:space="0" w:color="BFBFBF"/>
          <w:insideH w:val="single" w:sz="4" w:space="0" w:color="BFBFBF"/>
          <w:insideV w:val="single" w:sz="48" w:space="0" w:color="FFFFFF"/>
        </w:tblBorders>
        <w:tblLook w:val="0420"/>
      </w:tblPr>
      <w:tblGrid>
        <w:gridCol w:w="3690"/>
        <w:gridCol w:w="5665"/>
      </w:tblGrid>
      <w:tr w14:paraId="76206A49" w14:textId="77777777" w:rsidTr="00E53EDA">
        <w:tblPrEx>
          <w:tblW w:w="9355" w:type="dxa"/>
          <w:tblBorders>
            <w:top w:val="single" w:sz="4" w:space="0" w:color="BFBFBF"/>
            <w:left w:val="single" w:sz="4" w:space="0" w:color="BFBFBF"/>
            <w:bottom w:val="single" w:sz="4" w:space="0" w:color="BFBFBF"/>
            <w:right w:val="single" w:sz="4" w:space="0" w:color="BFBFBF"/>
            <w:insideH w:val="single" w:sz="4" w:space="0" w:color="BFBFBF"/>
            <w:insideV w:val="single" w:sz="48" w:space="0" w:color="FFFFFF"/>
          </w:tblBorders>
          <w:tblLook w:val="0420"/>
        </w:tblPrEx>
        <w:trPr>
          <w:cantSplit/>
          <w:trHeight w:val="1511"/>
        </w:trPr>
        <w:tc>
          <w:tcPr>
            <w:tcW w:w="3690" w:type="dxa"/>
            <w:tcBorders>
              <w:left w:val="nil"/>
              <w:bottom w:val="single" w:sz="4" w:space="0" w:color="FFFFFF" w:themeColor="background1"/>
            </w:tcBorders>
            <w:shd w:val="clear" w:color="auto" w:fill="F2F2F2" w:themeFill="background1" w:themeFillShade="F2"/>
            <w:tcMar>
              <w:top w:w="144" w:type="dxa"/>
              <w:left w:w="144" w:type="dxa"/>
              <w:bottom w:w="144" w:type="dxa"/>
              <w:right w:w="115" w:type="dxa"/>
            </w:tcMar>
          </w:tcPr>
          <w:p w:rsidR="00E03C5F" w:rsidRPr="00DB2944" w:rsidP="004B38D7" w14:paraId="592F6000" w14:textId="77777777">
            <w:pPr>
              <w:pStyle w:val="Tablebullets"/>
              <w:numPr>
                <w:ilvl w:val="0"/>
                <w:numId w:val="0"/>
              </w:numPr>
            </w:pPr>
            <w:bookmarkStart w:id="27" w:name="OLE_LINK416"/>
            <w:r>
              <w:t>MVP Name</w:t>
            </w:r>
          </w:p>
        </w:tc>
        <w:tc>
          <w:tcPr>
            <w:tcW w:w="5665" w:type="dxa"/>
            <w:tcBorders>
              <w:bottom w:val="single" w:sz="4" w:space="0" w:color="FFFFFF" w:themeColor="background1"/>
              <w:right w:val="nil"/>
            </w:tcBorders>
            <w:shd w:val="clear" w:color="auto" w:fill="F2F2F2" w:themeFill="background1" w:themeFillShade="F2"/>
            <w:tcMar>
              <w:top w:w="144" w:type="dxa"/>
              <w:left w:w="144" w:type="dxa"/>
              <w:bottom w:w="144" w:type="dxa"/>
              <w:right w:w="115" w:type="dxa"/>
            </w:tcMar>
          </w:tcPr>
          <w:p w:rsidR="00554B57" w:rsidP="004B38D7" w14:paraId="49182E22" w14:textId="05D829A0">
            <w:pPr>
              <w:pStyle w:val="Tablebullets"/>
              <w:numPr>
                <w:ilvl w:val="0"/>
                <w:numId w:val="11"/>
              </w:numPr>
              <w:tabs>
                <w:tab w:val="clear" w:pos="288"/>
              </w:tabs>
              <w:ind w:left="480"/>
            </w:pPr>
            <w:r w:rsidRPr="00DB2944">
              <w:t xml:space="preserve">Provide title that succinctly describes the proposed MVP. </w:t>
            </w:r>
          </w:p>
          <w:p w:rsidR="00E03C5F" w:rsidRPr="00DB2944" w:rsidP="004B38D7" w14:paraId="0982B32D" w14:textId="3A6D76C1">
            <w:pPr>
              <w:pStyle w:val="Tablebullets"/>
              <w:numPr>
                <w:ilvl w:val="0"/>
                <w:numId w:val="11"/>
              </w:numPr>
              <w:tabs>
                <w:tab w:val="clear" w:pos="288"/>
              </w:tabs>
              <w:ind w:left="480"/>
            </w:pPr>
            <w:r w:rsidRPr="00DB2944">
              <w:t>CMS encourages a title suggesting action (for example: Improving Disease Prevention Management).</w:t>
            </w:r>
          </w:p>
        </w:tc>
      </w:tr>
      <w:tr w14:paraId="6770A25F" w14:textId="77777777" w:rsidTr="00E53EDA">
        <w:tblPrEx>
          <w:tblW w:w="9355" w:type="dxa"/>
          <w:tblLook w:val="0420"/>
        </w:tblPrEx>
        <w:trPr>
          <w:cantSplit/>
        </w:trPr>
        <w:tc>
          <w:tcPr>
            <w:tcW w:w="3690" w:type="dxa"/>
            <w:tcBorders>
              <w:top w:val="single" w:sz="4" w:space="0" w:color="FFFFFF" w:themeColor="background1"/>
              <w:left w:val="nil"/>
              <w:bottom w:val="single" w:sz="4" w:space="0" w:color="FFFFFF" w:themeColor="background1"/>
            </w:tcBorders>
            <w:shd w:val="clear" w:color="auto" w:fill="F2F2F2" w:themeFill="background1" w:themeFillShade="F2"/>
            <w:tcMar>
              <w:top w:w="144" w:type="dxa"/>
              <w:left w:w="144" w:type="dxa"/>
              <w:bottom w:w="144" w:type="dxa"/>
              <w:right w:w="115" w:type="dxa"/>
            </w:tcMar>
          </w:tcPr>
          <w:p w:rsidR="00E03C5F" w:rsidRPr="00DB2944" w:rsidP="00363C94" w14:paraId="549A616A" w14:textId="3635F4AD">
            <w:pPr>
              <w:pStyle w:val="Tablebody"/>
            </w:pPr>
            <w:r w:rsidRPr="00DB2944">
              <w:t>Primary/Alternative Contact Names</w:t>
            </w:r>
          </w:p>
        </w:tc>
        <w:tc>
          <w:tcPr>
            <w:tcW w:w="5665" w:type="dxa"/>
            <w:tcBorders>
              <w:top w:val="single" w:sz="4" w:space="0" w:color="FFFFFF" w:themeColor="background1"/>
              <w:bottom w:val="single" w:sz="4" w:space="0" w:color="FFFFFF" w:themeColor="background1"/>
              <w:right w:val="nil"/>
            </w:tcBorders>
            <w:shd w:val="clear" w:color="auto" w:fill="F2F2F2" w:themeFill="background1" w:themeFillShade="F2"/>
            <w:tcMar>
              <w:top w:w="144" w:type="dxa"/>
              <w:left w:w="144" w:type="dxa"/>
              <w:bottom w:w="144" w:type="dxa"/>
              <w:right w:w="115" w:type="dxa"/>
            </w:tcMar>
          </w:tcPr>
          <w:p w:rsidR="00CD5D93" w:rsidRPr="00DB2944" w:rsidP="004D3793" w14:paraId="4197F2C1" w14:textId="77777777">
            <w:pPr>
              <w:pStyle w:val="Tablebullets"/>
              <w:tabs>
                <w:tab w:val="clear" w:pos="288"/>
              </w:tabs>
            </w:pPr>
            <w:r w:rsidRPr="00DB2944">
              <w:t>Primary point of contact: Provide full name, organization name, email, and phone number.</w:t>
            </w:r>
          </w:p>
          <w:p w:rsidR="00E03C5F" w:rsidRPr="00DB2944" w:rsidP="004D3793" w14:paraId="7D48A862" w14:textId="77777777">
            <w:pPr>
              <w:pStyle w:val="Tablebullets"/>
              <w:tabs>
                <w:tab w:val="clear" w:pos="288"/>
              </w:tabs>
            </w:pPr>
            <w:r w:rsidRPr="00DB2944">
              <w:t>One or more alternative points of contact: Provide full name, email, and phone number.</w:t>
            </w:r>
          </w:p>
        </w:tc>
      </w:tr>
      <w:tr w14:paraId="4472DA18" w14:textId="77777777" w:rsidTr="00E53EDA">
        <w:tblPrEx>
          <w:tblW w:w="9355" w:type="dxa"/>
          <w:tblLook w:val="0420"/>
        </w:tblPrEx>
        <w:trPr>
          <w:cantSplit/>
        </w:trPr>
        <w:tc>
          <w:tcPr>
            <w:tcW w:w="3690" w:type="dxa"/>
            <w:tcBorders>
              <w:top w:val="single" w:sz="4" w:space="0" w:color="FFFFFF" w:themeColor="background1"/>
              <w:left w:val="nil"/>
              <w:bottom w:val="single" w:sz="4" w:space="0" w:color="FFFFFF" w:themeColor="background1"/>
            </w:tcBorders>
            <w:shd w:val="clear" w:color="auto" w:fill="F2F2F2" w:themeFill="background1" w:themeFillShade="F2"/>
            <w:tcMar>
              <w:top w:w="144" w:type="dxa"/>
              <w:left w:w="144" w:type="dxa"/>
              <w:bottom w:w="144" w:type="dxa"/>
              <w:right w:w="115" w:type="dxa"/>
            </w:tcMar>
          </w:tcPr>
          <w:p w:rsidR="00E03C5F" w:rsidRPr="00DB2944" w:rsidP="004B38D7" w14:paraId="67121091" w14:textId="77777777">
            <w:pPr>
              <w:pStyle w:val="Tablebullets"/>
              <w:numPr>
                <w:ilvl w:val="0"/>
                <w:numId w:val="0"/>
              </w:numPr>
              <w:tabs>
                <w:tab w:val="clear" w:pos="288"/>
              </w:tabs>
            </w:pPr>
            <w:r>
              <w:t>Intent of Measurement</w:t>
            </w:r>
          </w:p>
        </w:tc>
        <w:tc>
          <w:tcPr>
            <w:tcW w:w="5665" w:type="dxa"/>
            <w:tcBorders>
              <w:top w:val="single" w:sz="4" w:space="0" w:color="FFFFFF" w:themeColor="background1"/>
              <w:bottom w:val="single" w:sz="4" w:space="0" w:color="FFFFFF" w:themeColor="background1"/>
              <w:right w:val="nil"/>
            </w:tcBorders>
            <w:shd w:val="clear" w:color="auto" w:fill="F2F2F2" w:themeFill="background1" w:themeFillShade="F2"/>
            <w:tcMar>
              <w:top w:w="144" w:type="dxa"/>
              <w:left w:w="144" w:type="dxa"/>
              <w:bottom w:w="144" w:type="dxa"/>
              <w:right w:w="115" w:type="dxa"/>
            </w:tcMar>
          </w:tcPr>
          <w:p w:rsidR="00CD5D93" w:rsidRPr="00DB2944" w:rsidP="004D3793" w14:paraId="3B1286C2" w14:textId="77777777">
            <w:pPr>
              <w:pStyle w:val="Tablebullets"/>
              <w:tabs>
                <w:tab w:val="clear" w:pos="288"/>
              </w:tabs>
            </w:pPr>
            <w:r w:rsidRPr="00DB2944">
              <w:t>What is the intent of the MVP?</w:t>
            </w:r>
          </w:p>
          <w:p w:rsidR="00CD5D93" w:rsidRPr="00DB2944" w:rsidP="004D3793" w14:paraId="50C89286" w14:textId="77777777">
            <w:pPr>
              <w:pStyle w:val="Tablebullets"/>
              <w:tabs>
                <w:tab w:val="clear" w:pos="288"/>
              </w:tabs>
            </w:pPr>
            <w:r w:rsidRPr="00DB2944">
              <w:t>Is the intent of the MVP the same at the individual clinician and group level?</w:t>
            </w:r>
          </w:p>
          <w:p w:rsidR="00CD5D93" w:rsidRPr="00DB2944" w:rsidP="004D3793" w14:paraId="39A9F48C" w14:textId="77777777">
            <w:pPr>
              <w:pStyle w:val="Tablebullets"/>
              <w:tabs>
                <w:tab w:val="clear" w:pos="288"/>
              </w:tabs>
            </w:pPr>
            <w:r w:rsidRPr="00DB2944">
              <w:t>Are there opportunities to improve the quality of care and value in the area being measured?</w:t>
            </w:r>
          </w:p>
          <w:p w:rsidR="00CD5D93" w:rsidRPr="00DB2944" w:rsidP="009F52E9" w14:paraId="48177ED8" w14:textId="77777777">
            <w:pPr>
              <w:pStyle w:val="Tablebullets"/>
              <w:tabs>
                <w:tab w:val="clear" w:pos="288"/>
              </w:tabs>
            </w:pPr>
            <w:r w:rsidRPr="00DB2944">
              <w:t>Why is the topic of measurement meaningful to clinicians?</w:t>
            </w:r>
          </w:p>
          <w:p w:rsidR="00CD5D93" w:rsidRPr="00DB2944" w:rsidP="00AB58A8" w14:paraId="4869F218" w14:textId="77777777">
            <w:pPr>
              <w:pStyle w:val="Tablebullets"/>
              <w:tabs>
                <w:tab w:val="clear" w:pos="288"/>
              </w:tabs>
            </w:pPr>
            <w:r w:rsidRPr="00DB2944">
              <w:t>Does the MVP act as a vehicle to incrementally phase clinicians into APMs? How so?</w:t>
            </w:r>
          </w:p>
          <w:p w:rsidR="00CD5D93" w:rsidRPr="00DB2944" w:rsidP="00AB58A8" w14:paraId="23796374" w14:textId="77777777">
            <w:pPr>
              <w:pStyle w:val="Tablebullets"/>
              <w:tabs>
                <w:tab w:val="clear" w:pos="288"/>
              </w:tabs>
            </w:pPr>
            <w:r w:rsidRPr="00DB2944">
              <w:t>Is the MVP reportable by small and rural practices? Does the MVP consider reporting burden to those small and rural practices?</w:t>
            </w:r>
          </w:p>
          <w:p w:rsidR="00E03C5F" w:rsidRPr="00DB2944" w:rsidP="00AB58A8" w14:paraId="02E91FBA" w14:textId="77777777">
            <w:pPr>
              <w:pStyle w:val="Tablebullets"/>
              <w:tabs>
                <w:tab w:val="clear" w:pos="288"/>
              </w:tabs>
            </w:pPr>
            <w:r w:rsidRPr="00DB2944">
              <w:t>Which Meaningful Measure Domain(s) does the MVP address?</w:t>
            </w:r>
          </w:p>
        </w:tc>
      </w:tr>
      <w:tr w14:paraId="531B394F" w14:textId="77777777" w:rsidTr="00E53EDA">
        <w:tblPrEx>
          <w:tblW w:w="9355" w:type="dxa"/>
          <w:tblLook w:val="0420"/>
        </w:tblPrEx>
        <w:trPr>
          <w:cantSplit/>
        </w:trPr>
        <w:tc>
          <w:tcPr>
            <w:tcW w:w="3690" w:type="dxa"/>
            <w:tcBorders>
              <w:top w:val="single" w:sz="4" w:space="0" w:color="FFFFFF" w:themeColor="background1"/>
              <w:left w:val="nil"/>
              <w:bottom w:val="single" w:sz="4" w:space="0" w:color="FFFFFF" w:themeColor="background1"/>
            </w:tcBorders>
            <w:shd w:val="clear" w:color="auto" w:fill="F2F2F2" w:themeFill="background1" w:themeFillShade="F2"/>
            <w:tcMar>
              <w:top w:w="144" w:type="dxa"/>
              <w:left w:w="144" w:type="dxa"/>
              <w:bottom w:w="144" w:type="dxa"/>
              <w:right w:w="115" w:type="dxa"/>
            </w:tcMar>
          </w:tcPr>
          <w:p w:rsidR="00E03C5F" w:rsidRPr="00DB2944" w:rsidP="004B38D7" w14:paraId="0525950E" w14:textId="6938A0B8">
            <w:pPr>
              <w:pStyle w:val="Tablebullets"/>
              <w:numPr>
                <w:ilvl w:val="0"/>
                <w:numId w:val="0"/>
              </w:numPr>
            </w:pPr>
            <w:r>
              <w:t>Measure and Activity Linkages</w:t>
            </w:r>
            <w:r w:rsidR="7E459D1C">
              <w:t xml:space="preserve"> </w:t>
            </w:r>
            <w:r>
              <w:t>with the MVP</w:t>
            </w:r>
          </w:p>
        </w:tc>
        <w:tc>
          <w:tcPr>
            <w:tcW w:w="5665" w:type="dxa"/>
            <w:tcBorders>
              <w:top w:val="single" w:sz="4" w:space="0" w:color="FFFFFF" w:themeColor="background1"/>
              <w:bottom w:val="single" w:sz="4" w:space="0" w:color="FFFFFF" w:themeColor="background1"/>
              <w:right w:val="nil"/>
            </w:tcBorders>
            <w:shd w:val="clear" w:color="auto" w:fill="F2F2F2" w:themeFill="background1" w:themeFillShade="F2"/>
            <w:tcMar>
              <w:top w:w="144" w:type="dxa"/>
              <w:left w:w="144" w:type="dxa"/>
              <w:bottom w:w="144" w:type="dxa"/>
              <w:right w:w="115" w:type="dxa"/>
            </w:tcMar>
          </w:tcPr>
          <w:p w:rsidR="00CD5D93" w:rsidRPr="00DB2944" w:rsidP="00AB58A8" w14:paraId="0DD3E566" w14:textId="77777777">
            <w:pPr>
              <w:pStyle w:val="Tablebullets"/>
              <w:tabs>
                <w:tab w:val="clear" w:pos="288"/>
              </w:tabs>
            </w:pPr>
            <w:r w:rsidRPr="00DB2944">
              <w:t>How do the measures and activities within the proposed MVP link to one another? (For example, do the measures and activities assess different dimensions of care provided by the clinician?). Linkages between measures and activities should be considered as complementary relationships.</w:t>
            </w:r>
          </w:p>
          <w:p w:rsidR="00CD5D93" w:rsidRPr="00DB2944" w:rsidP="00AB58A8" w14:paraId="15142D15" w14:textId="77777777">
            <w:pPr>
              <w:pStyle w:val="Tablebullets"/>
              <w:tabs>
                <w:tab w:val="clear" w:pos="288"/>
              </w:tabs>
            </w:pPr>
            <w:r w:rsidRPr="00DB2944">
              <w:t>Are the measures and activities related or a part of the care cycle or continuum of care offered by the clinicians?</w:t>
            </w:r>
          </w:p>
          <w:p w:rsidR="00E03C5F" w:rsidRPr="00DB2944" w:rsidP="00AB58A8" w14:paraId="42124CDB" w14:textId="77777777">
            <w:pPr>
              <w:pStyle w:val="Tablebullets"/>
              <w:tabs>
                <w:tab w:val="clear" w:pos="288"/>
              </w:tabs>
            </w:pPr>
            <w:r w:rsidRPr="00DB2944">
              <w:t>Why are the chosen measures and activities most meaningful to the specialty?</w:t>
            </w:r>
          </w:p>
        </w:tc>
      </w:tr>
      <w:tr w14:paraId="4454A248" w14:textId="77777777" w:rsidTr="00E53EDA">
        <w:tblPrEx>
          <w:tblW w:w="9355" w:type="dxa"/>
          <w:tblLook w:val="0420"/>
        </w:tblPrEx>
        <w:trPr>
          <w:cantSplit/>
        </w:trPr>
        <w:tc>
          <w:tcPr>
            <w:tcW w:w="3690" w:type="dxa"/>
            <w:tcBorders>
              <w:top w:val="single" w:sz="4" w:space="0" w:color="FFFFFF" w:themeColor="background1"/>
              <w:left w:val="nil"/>
              <w:bottom w:val="single" w:sz="4" w:space="0" w:color="FFFFFF" w:themeColor="background1"/>
            </w:tcBorders>
            <w:shd w:val="clear" w:color="auto" w:fill="F2F2F2" w:themeFill="background1" w:themeFillShade="F2"/>
            <w:tcMar>
              <w:top w:w="144" w:type="dxa"/>
              <w:left w:w="144" w:type="dxa"/>
              <w:bottom w:w="144" w:type="dxa"/>
              <w:right w:w="115" w:type="dxa"/>
            </w:tcMar>
          </w:tcPr>
          <w:p w:rsidR="00E03C5F" w:rsidRPr="00DB2944" w:rsidP="00363C94" w14:paraId="56727E0A" w14:textId="77777777">
            <w:pPr>
              <w:pStyle w:val="Tablebody"/>
            </w:pPr>
            <w:r w:rsidRPr="00DB2944">
              <w:t>Appropriateness</w:t>
            </w:r>
          </w:p>
        </w:tc>
        <w:tc>
          <w:tcPr>
            <w:tcW w:w="5665" w:type="dxa"/>
            <w:tcBorders>
              <w:top w:val="single" w:sz="4" w:space="0" w:color="FFFFFF" w:themeColor="background1"/>
              <w:bottom w:val="single" w:sz="4" w:space="0" w:color="FFFFFF" w:themeColor="background1"/>
              <w:right w:val="nil"/>
            </w:tcBorders>
            <w:shd w:val="clear" w:color="auto" w:fill="F2F2F2" w:themeFill="background1" w:themeFillShade="F2"/>
            <w:tcMar>
              <w:top w:w="144" w:type="dxa"/>
              <w:left w:w="144" w:type="dxa"/>
              <w:bottom w:w="144" w:type="dxa"/>
              <w:right w:w="115" w:type="dxa"/>
            </w:tcMar>
          </w:tcPr>
          <w:p w:rsidR="00CD5D93" w:rsidRPr="00DB2944" w:rsidP="00AB58A8" w14:paraId="015A2685" w14:textId="401E9FE6">
            <w:pPr>
              <w:pStyle w:val="Tablebullets"/>
              <w:tabs>
                <w:tab w:val="clear" w:pos="288"/>
              </w:tabs>
            </w:pPr>
            <w:r>
              <w:t>Is the MVP candid</w:t>
            </w:r>
            <w:r w:rsidR="00917D84">
              <w:t xml:space="preserve">ate developed for </w:t>
            </w:r>
            <w:r w:rsidRPr="00DB2944">
              <w:t>multiple specialties</w:t>
            </w:r>
            <w:r w:rsidR="00DC77C8">
              <w:t xml:space="preserve"> to report</w:t>
            </w:r>
            <w:r w:rsidRPr="00DB2944">
              <w:t xml:space="preserve">? If so, has the MVP been developed collaboratively across specialties? </w:t>
            </w:r>
          </w:p>
          <w:p w:rsidR="00CD5D93" w:rsidRPr="00DB2944" w:rsidP="00AB58A8" w14:paraId="7A846A78" w14:textId="77777777">
            <w:pPr>
              <w:pStyle w:val="Tablebullets"/>
              <w:tabs>
                <w:tab w:val="clear" w:pos="288"/>
              </w:tabs>
            </w:pPr>
            <w:r w:rsidRPr="00DB2944">
              <w:t xml:space="preserve">Are the measures clinically appropriate for the clinicians being measured? </w:t>
            </w:r>
          </w:p>
          <w:p w:rsidR="00CD5D93" w:rsidRPr="00DB2944" w:rsidP="00AB58A8" w14:paraId="44F5799A" w14:textId="77777777">
            <w:pPr>
              <w:pStyle w:val="Tablebullets"/>
              <w:tabs>
                <w:tab w:val="clear" w:pos="288"/>
              </w:tabs>
            </w:pPr>
            <w:r w:rsidRPr="00DB2944">
              <w:t>Do the measures capture a clinically definable population of clinicians and patients?</w:t>
            </w:r>
          </w:p>
          <w:p w:rsidR="00CD5D93" w:rsidRPr="00DB2944" w:rsidP="00AB58A8" w14:paraId="1846DFA4" w14:textId="77777777">
            <w:pPr>
              <w:pStyle w:val="Tablebullets"/>
              <w:tabs>
                <w:tab w:val="clear" w:pos="288"/>
              </w:tabs>
            </w:pPr>
            <w:r w:rsidRPr="00DB2944">
              <w:t>Do the measures capture the care settings of the clinicians being measured?</w:t>
            </w:r>
          </w:p>
          <w:p w:rsidR="00E03C5F" w:rsidRPr="00DB2944" w:rsidP="00AB58A8" w14:paraId="71FE501F" w14:textId="1B8B9883">
            <w:pPr>
              <w:pStyle w:val="Tablebullets"/>
              <w:tabs>
                <w:tab w:val="clear" w:pos="288"/>
              </w:tabs>
            </w:pPr>
            <w:r w:rsidRPr="00DB2944">
              <w:t>Prior to incorporating a measure in an MVP, is the measure specification evaluated to ensure that the measure is inclusive of the specialty or sub-specialty?</w:t>
            </w:r>
          </w:p>
        </w:tc>
      </w:tr>
      <w:tr w14:paraId="735A0767" w14:textId="77777777" w:rsidTr="00E53EDA">
        <w:tblPrEx>
          <w:tblW w:w="9355" w:type="dxa"/>
          <w:tblLook w:val="0420"/>
        </w:tblPrEx>
        <w:trPr>
          <w:cantSplit/>
        </w:trPr>
        <w:tc>
          <w:tcPr>
            <w:tcW w:w="3690" w:type="dxa"/>
            <w:tcBorders>
              <w:top w:val="single" w:sz="4" w:space="0" w:color="FFFFFF" w:themeColor="background1"/>
              <w:left w:val="nil"/>
              <w:bottom w:val="single" w:sz="4" w:space="0" w:color="FFFFFF" w:themeColor="background1"/>
            </w:tcBorders>
            <w:shd w:val="clear" w:color="auto" w:fill="F2F2F2" w:themeFill="background1" w:themeFillShade="F2"/>
            <w:tcMar>
              <w:top w:w="144" w:type="dxa"/>
              <w:left w:w="144" w:type="dxa"/>
              <w:bottom w:w="144" w:type="dxa"/>
              <w:right w:w="115" w:type="dxa"/>
            </w:tcMar>
          </w:tcPr>
          <w:p w:rsidR="00CD5D93" w:rsidRPr="00DB2944" w:rsidP="00363C94" w14:paraId="7DE28915" w14:textId="77777777">
            <w:pPr>
              <w:pStyle w:val="Tablebody"/>
            </w:pPr>
            <w:r w:rsidRPr="00DB2944">
              <w:t>Comprehensibility</w:t>
            </w:r>
          </w:p>
        </w:tc>
        <w:tc>
          <w:tcPr>
            <w:tcW w:w="5665" w:type="dxa"/>
            <w:tcBorders>
              <w:top w:val="single" w:sz="4" w:space="0" w:color="FFFFFF" w:themeColor="background1"/>
              <w:bottom w:val="single" w:sz="4" w:space="0" w:color="FFFFFF" w:themeColor="background1"/>
              <w:right w:val="nil"/>
            </w:tcBorders>
            <w:shd w:val="clear" w:color="auto" w:fill="F2F2F2" w:themeFill="background1" w:themeFillShade="F2"/>
            <w:tcMar>
              <w:top w:w="144" w:type="dxa"/>
              <w:left w:w="144" w:type="dxa"/>
              <w:bottom w:w="144" w:type="dxa"/>
              <w:right w:w="115" w:type="dxa"/>
            </w:tcMar>
          </w:tcPr>
          <w:p w:rsidR="00CD5D93" w:rsidRPr="00DB2944" w:rsidP="00AB58A8" w14:paraId="76B1DE2A" w14:textId="77777777">
            <w:pPr>
              <w:pStyle w:val="Tablebullets"/>
              <w:tabs>
                <w:tab w:val="clear" w:pos="288"/>
              </w:tabs>
            </w:pPr>
            <w:r w:rsidRPr="00DB2944">
              <w:t>Is the MVP comprehensive and understandable by the clinician or group?</w:t>
            </w:r>
          </w:p>
          <w:p w:rsidR="00CD5D93" w:rsidRPr="00DB2944" w:rsidP="00AB58A8" w14:paraId="20A4F50F" w14:textId="77777777">
            <w:pPr>
              <w:pStyle w:val="Tablebullets"/>
              <w:tabs>
                <w:tab w:val="clear" w:pos="288"/>
              </w:tabs>
            </w:pPr>
            <w:r w:rsidRPr="00DB2944">
              <w:t>Is the MVP comprehensive and understandable by patients?</w:t>
            </w:r>
          </w:p>
        </w:tc>
      </w:tr>
      <w:tr w14:paraId="06CF1512" w14:textId="77777777" w:rsidTr="00E53EDA">
        <w:tblPrEx>
          <w:tblW w:w="9355" w:type="dxa"/>
          <w:tblLook w:val="0420"/>
        </w:tblPrEx>
        <w:trPr>
          <w:cantSplit/>
        </w:trPr>
        <w:tc>
          <w:tcPr>
            <w:tcW w:w="3690" w:type="dxa"/>
            <w:tcBorders>
              <w:top w:val="single" w:sz="4" w:space="0" w:color="FFFFFF" w:themeColor="background1"/>
              <w:left w:val="nil"/>
              <w:bottom w:val="single" w:sz="4" w:space="0" w:color="FFFFFF" w:themeColor="background1"/>
            </w:tcBorders>
            <w:shd w:val="clear" w:color="auto" w:fill="F2F2F2" w:themeFill="background1" w:themeFillShade="F2"/>
            <w:tcMar>
              <w:top w:w="144" w:type="dxa"/>
              <w:left w:w="144" w:type="dxa"/>
              <w:bottom w:w="144" w:type="dxa"/>
              <w:right w:w="115" w:type="dxa"/>
            </w:tcMar>
          </w:tcPr>
          <w:p w:rsidR="00CD5D93" w:rsidRPr="00DB2944" w:rsidP="00363C94" w14:paraId="5FDAFB25" w14:textId="77777777">
            <w:pPr>
              <w:pStyle w:val="Tablebody"/>
            </w:pPr>
            <w:r w:rsidRPr="00DB2944">
              <w:t>Incorporation of the Patient Voice</w:t>
            </w:r>
          </w:p>
        </w:tc>
        <w:tc>
          <w:tcPr>
            <w:tcW w:w="5665" w:type="dxa"/>
            <w:tcBorders>
              <w:top w:val="single" w:sz="4" w:space="0" w:color="FFFFFF" w:themeColor="background1"/>
              <w:bottom w:val="single" w:sz="4" w:space="0" w:color="FFFFFF" w:themeColor="background1"/>
              <w:right w:val="nil"/>
            </w:tcBorders>
            <w:shd w:val="clear" w:color="auto" w:fill="F2F2F2" w:themeFill="background1" w:themeFillShade="F2"/>
            <w:tcMar>
              <w:top w:w="144" w:type="dxa"/>
              <w:left w:w="144" w:type="dxa"/>
              <w:bottom w:w="144" w:type="dxa"/>
              <w:right w:w="115" w:type="dxa"/>
            </w:tcMar>
          </w:tcPr>
          <w:p w:rsidR="00CD5D93" w:rsidRPr="00DB2944" w:rsidP="00AB58A8" w14:paraId="6EE196AD" w14:textId="77777777">
            <w:pPr>
              <w:pStyle w:val="Tablebullets"/>
              <w:tabs>
                <w:tab w:val="clear" w:pos="288"/>
              </w:tabs>
            </w:pPr>
            <w:r w:rsidRPr="00DB2944">
              <w:t>Does the MVP take into consideration the patient voice? How?</w:t>
            </w:r>
          </w:p>
          <w:p w:rsidR="00CD5D93" w:rsidRPr="00DB2944" w:rsidP="00AB58A8" w14:paraId="5F5E5BB0" w14:textId="77777777">
            <w:pPr>
              <w:pStyle w:val="Tablebullets"/>
              <w:tabs>
                <w:tab w:val="clear" w:pos="288"/>
              </w:tabs>
            </w:pPr>
            <w:r w:rsidRPr="00DB2944">
              <w:t>Does the MVP take into consideration patients in rural and underserved areas?</w:t>
            </w:r>
          </w:p>
          <w:p w:rsidR="00CD5D93" w:rsidRPr="00DB2944" w:rsidP="00AB58A8" w14:paraId="41F05E0E" w14:textId="5D101663">
            <w:pPr>
              <w:pStyle w:val="Tablebullets"/>
              <w:tabs>
                <w:tab w:val="clear" w:pos="288"/>
              </w:tabs>
            </w:pPr>
            <w:r>
              <w:t>W</w:t>
            </w:r>
            <w:r w:rsidR="00017ABE">
              <w:t>ere</w:t>
            </w:r>
            <w:r w:rsidRPr="00DB2944" w:rsidR="00017ABE">
              <w:t xml:space="preserve"> </w:t>
            </w:r>
            <w:r w:rsidRPr="00DB2944">
              <w:t>patients involved in the MVP development process?</w:t>
            </w:r>
            <w:r>
              <w:t xml:space="preserve"> If so, how was their voice included in development of the MVP candidate?</w:t>
            </w:r>
          </w:p>
          <w:p w:rsidR="00CD5D93" w:rsidRPr="00DB2944" w:rsidP="00AB58A8" w14:paraId="3D55273D" w14:textId="77777777">
            <w:pPr>
              <w:pStyle w:val="Tablebullets"/>
              <w:tabs>
                <w:tab w:val="clear" w:pos="288"/>
              </w:tabs>
            </w:pPr>
            <w:r w:rsidRPr="00DB2944">
              <w:t>To the extent feasible, does the MVP include patient-reported outcome measures, patient experience measures, and/or patient satisfaction measures?</w:t>
            </w:r>
          </w:p>
        </w:tc>
      </w:tr>
      <w:bookmarkEnd w:id="27"/>
    </w:tbl>
    <w:p w:rsidR="00CD5D93" w:rsidP="00BF1CDD" w14:paraId="51681912" w14:textId="77777777">
      <w:pPr>
        <w:contextualSpacing/>
        <w:rPr>
          <w:rFonts w:ascii="Arial" w:eastAsia="Calibri" w:hAnsi="Arial" w:cs="Arial"/>
          <w:b/>
          <w:bCs/>
          <w:i/>
          <w:iCs/>
          <w:sz w:val="22"/>
          <w:szCs w:val="22"/>
        </w:rPr>
      </w:pPr>
    </w:p>
    <w:p w:rsidR="00324127" w:rsidRPr="00324127" w:rsidP="00BF1CDD" w14:paraId="2196B6F6" w14:textId="7E0201B4">
      <w:pPr>
        <w:pStyle w:val="Heading3"/>
        <w:spacing w:before="0" w:line="240" w:lineRule="auto"/>
        <w:rPr>
          <w:rFonts w:eastAsia="Times New Roman"/>
        </w:rPr>
      </w:pPr>
      <w:bookmarkStart w:id="28" w:name="OLE_LINK23"/>
      <w:bookmarkEnd w:id="26"/>
      <w:r w:rsidRPr="00485AB6">
        <w:t>Table 2</w:t>
      </w:r>
      <w:r w:rsidR="00183773">
        <w:rPr>
          <w:rFonts w:eastAsia="Times New Roman"/>
        </w:rPr>
        <w:t>a</w:t>
      </w:r>
      <w:r w:rsidRPr="00324127">
        <w:rPr>
          <w:rFonts w:eastAsia="Times New Roman"/>
        </w:rPr>
        <w:t>: Instructions and Template</w:t>
      </w:r>
    </w:p>
    <w:p w:rsidR="00324127" w:rsidP="00EF298A" w14:paraId="2DF5B2AA" w14:textId="4D37AEC7">
      <w:pPr>
        <w:keepNext/>
        <w:keepLines/>
        <w:rPr>
          <w:rFonts w:ascii="Arial" w:eastAsia="Times New Roman" w:hAnsi="Arial" w:cs="Arial"/>
          <w:sz w:val="22"/>
          <w:szCs w:val="22"/>
        </w:rPr>
      </w:pPr>
      <w:r w:rsidRPr="00324127">
        <w:rPr>
          <w:rFonts w:ascii="Arial" w:eastAsia="Times New Roman" w:hAnsi="Arial" w:cs="Arial"/>
          <w:sz w:val="22"/>
          <w:szCs w:val="22"/>
        </w:rPr>
        <w:t>Please use the Table 2</w:t>
      </w:r>
      <w:r w:rsidR="00A02988">
        <w:rPr>
          <w:rFonts w:ascii="Arial" w:eastAsia="Times New Roman" w:hAnsi="Arial" w:cs="Arial"/>
          <w:sz w:val="22"/>
          <w:szCs w:val="22"/>
        </w:rPr>
        <w:t>a</w:t>
      </w:r>
      <w:r w:rsidRPr="00324127">
        <w:rPr>
          <w:rFonts w:ascii="Arial" w:eastAsia="Times New Roman" w:hAnsi="Arial" w:cs="Arial"/>
          <w:sz w:val="22"/>
          <w:szCs w:val="22"/>
        </w:rPr>
        <w:t xml:space="preserve"> template format below to identify the quality measures, improvement activities, and cost measures for your MVP candidate. Specifically, at a minimum, Table 2</w:t>
      </w:r>
      <w:r w:rsidR="00A02988">
        <w:rPr>
          <w:rFonts w:ascii="Arial" w:eastAsia="Times New Roman" w:hAnsi="Arial" w:cs="Arial"/>
          <w:sz w:val="22"/>
          <w:szCs w:val="22"/>
        </w:rPr>
        <w:t>a</w:t>
      </w:r>
      <w:r w:rsidRPr="00324127">
        <w:rPr>
          <w:rFonts w:ascii="Arial" w:eastAsia="Times New Roman" w:hAnsi="Arial" w:cs="Arial"/>
          <w:sz w:val="22"/>
          <w:szCs w:val="22"/>
        </w:rPr>
        <w:t xml:space="preserve"> should include measure/activity IDs, measure/activity titles, measure collection types, and rationale for inclusion. </w:t>
      </w:r>
    </w:p>
    <w:p w:rsidR="00275967" w:rsidRPr="00324127" w:rsidP="00BF1CDD" w14:paraId="043B3DA3" w14:textId="77777777">
      <w:pPr>
        <w:keepNext/>
        <w:keepLines/>
        <w:rPr>
          <w:rFonts w:ascii="Arial" w:eastAsia="Times New Roman" w:hAnsi="Arial" w:cs="Arial"/>
          <w:sz w:val="22"/>
          <w:szCs w:val="22"/>
        </w:rPr>
      </w:pPr>
    </w:p>
    <w:p w:rsidR="00275967" w:rsidP="00EF298A" w14:paraId="5EC7FE67" w14:textId="7CBE4BD2">
      <w:pPr>
        <w:rPr>
          <w:rFonts w:ascii="Arial" w:eastAsia="Times New Roman" w:hAnsi="Arial" w:cs="Arial"/>
          <w:sz w:val="22"/>
          <w:szCs w:val="22"/>
        </w:rPr>
      </w:pPr>
      <w:r w:rsidRPr="00D82F66">
        <w:rPr>
          <w:rFonts w:ascii="Arial" w:eastAsia="Times New Roman" w:hAnsi="Arial" w:cs="Arial"/>
          <w:sz w:val="22"/>
          <w:szCs w:val="22"/>
        </w:rPr>
        <w:t xml:space="preserve">Generally, an MVP should include </w:t>
      </w:r>
      <w:r w:rsidRPr="00D82F66">
        <w:rPr>
          <w:rFonts w:ascii="Arial" w:eastAsia="Times New Roman" w:hAnsi="Arial" w:cs="Arial"/>
          <w:sz w:val="22"/>
          <w:szCs w:val="22"/>
        </w:rPr>
        <w:t>a sufficient number of</w:t>
      </w:r>
      <w:r w:rsidRPr="00D82F66">
        <w:rPr>
          <w:rFonts w:ascii="Arial" w:eastAsia="Times New Roman" w:hAnsi="Arial" w:cs="Arial"/>
          <w:sz w:val="22"/>
          <w:szCs w:val="22"/>
        </w:rPr>
        <w:t xml:space="preserve"> quality measures and improvement activities to allow MVP </w:t>
      </w:r>
      <w:r w:rsidR="00905C80">
        <w:rPr>
          <w:rFonts w:ascii="Arial" w:eastAsia="Times New Roman" w:hAnsi="Arial" w:cs="Arial"/>
          <w:sz w:val="22"/>
          <w:szCs w:val="22"/>
        </w:rPr>
        <w:t>p</w:t>
      </w:r>
      <w:r w:rsidRPr="00D82F66" w:rsidR="00905C80">
        <w:rPr>
          <w:rFonts w:ascii="Arial" w:eastAsia="Times New Roman" w:hAnsi="Arial" w:cs="Arial"/>
          <w:sz w:val="22"/>
          <w:szCs w:val="22"/>
        </w:rPr>
        <w:t xml:space="preserve">articipants </w:t>
      </w:r>
      <w:r w:rsidRPr="00D82F66">
        <w:rPr>
          <w:rFonts w:ascii="Arial" w:eastAsia="Times New Roman" w:hAnsi="Arial" w:cs="Arial"/>
          <w:sz w:val="22"/>
          <w:szCs w:val="22"/>
        </w:rPr>
        <w:t xml:space="preserve">to select measures and activities to meet </w:t>
      </w:r>
      <w:r w:rsidR="009B6C57">
        <w:rPr>
          <w:rFonts w:ascii="Arial" w:eastAsia="Times New Roman" w:hAnsi="Arial" w:cs="Arial"/>
          <w:sz w:val="22"/>
          <w:szCs w:val="22"/>
        </w:rPr>
        <w:t>MIPS</w:t>
      </w:r>
      <w:r w:rsidRPr="00D82F66" w:rsidR="009B6C57">
        <w:rPr>
          <w:rFonts w:ascii="Arial" w:eastAsia="Times New Roman" w:hAnsi="Arial" w:cs="Arial"/>
          <w:sz w:val="22"/>
          <w:szCs w:val="22"/>
        </w:rPr>
        <w:t xml:space="preserve"> </w:t>
      </w:r>
      <w:r w:rsidRPr="00D82F66">
        <w:rPr>
          <w:rFonts w:ascii="Arial" w:eastAsia="Times New Roman" w:hAnsi="Arial" w:cs="Arial"/>
          <w:sz w:val="22"/>
          <w:szCs w:val="22"/>
        </w:rPr>
        <w:t xml:space="preserve">requirements. To the extent feasible, MVPs should include a maximum of 10 quality measures and 10 improvement activities to offer MVP </w:t>
      </w:r>
      <w:r w:rsidR="00905C80">
        <w:rPr>
          <w:rFonts w:ascii="Arial" w:eastAsia="Times New Roman" w:hAnsi="Arial" w:cs="Arial"/>
          <w:sz w:val="22"/>
          <w:szCs w:val="22"/>
        </w:rPr>
        <w:t>p</w:t>
      </w:r>
      <w:r w:rsidRPr="00D82F66" w:rsidR="00905C80">
        <w:rPr>
          <w:rFonts w:ascii="Arial" w:eastAsia="Times New Roman" w:hAnsi="Arial" w:cs="Arial"/>
          <w:sz w:val="22"/>
          <w:szCs w:val="22"/>
        </w:rPr>
        <w:t xml:space="preserve">articipants </w:t>
      </w:r>
      <w:r w:rsidRPr="00D82F66">
        <w:rPr>
          <w:rFonts w:ascii="Arial" w:eastAsia="Times New Roman" w:hAnsi="Arial" w:cs="Arial"/>
          <w:sz w:val="22"/>
          <w:szCs w:val="22"/>
        </w:rPr>
        <w:t xml:space="preserve">some choice without being overwhelming. However, </w:t>
      </w:r>
      <w:r w:rsidR="00625726">
        <w:rPr>
          <w:rFonts w:ascii="Arial" w:eastAsia="Times New Roman" w:hAnsi="Arial" w:cs="Arial"/>
          <w:sz w:val="22"/>
          <w:szCs w:val="22"/>
        </w:rPr>
        <w:t>CMS</w:t>
      </w:r>
      <w:r w:rsidRPr="00D82F66">
        <w:rPr>
          <w:rFonts w:ascii="Arial" w:eastAsia="Times New Roman" w:hAnsi="Arial" w:cs="Arial"/>
          <w:sz w:val="22"/>
          <w:szCs w:val="22"/>
        </w:rPr>
        <w:t xml:space="preserve"> understand</w:t>
      </w:r>
      <w:r w:rsidR="00625726">
        <w:rPr>
          <w:rFonts w:ascii="Arial" w:eastAsia="Times New Roman" w:hAnsi="Arial" w:cs="Arial"/>
          <w:sz w:val="22"/>
          <w:szCs w:val="22"/>
        </w:rPr>
        <w:t>s</w:t>
      </w:r>
      <w:r w:rsidRPr="00D82F66">
        <w:rPr>
          <w:rFonts w:ascii="Arial" w:eastAsia="Times New Roman" w:hAnsi="Arial" w:cs="Arial"/>
          <w:sz w:val="22"/>
          <w:szCs w:val="22"/>
        </w:rPr>
        <w:t xml:space="preserve"> that the total number of quality measures and activities </w:t>
      </w:r>
      <w:r w:rsidR="002A10EE">
        <w:rPr>
          <w:rFonts w:ascii="Arial" w:eastAsia="Times New Roman" w:hAnsi="Arial" w:cs="Arial"/>
          <w:sz w:val="22"/>
          <w:szCs w:val="22"/>
        </w:rPr>
        <w:t>represented</w:t>
      </w:r>
      <w:r w:rsidR="00A627C6">
        <w:rPr>
          <w:rFonts w:ascii="Arial" w:eastAsia="Times New Roman" w:hAnsi="Arial" w:cs="Arial"/>
          <w:sz w:val="22"/>
          <w:szCs w:val="22"/>
        </w:rPr>
        <w:t xml:space="preserve"> within the MVP candidate</w:t>
      </w:r>
      <w:r w:rsidR="007C0909">
        <w:rPr>
          <w:rFonts w:ascii="Arial" w:eastAsia="Times New Roman" w:hAnsi="Arial" w:cs="Arial"/>
          <w:sz w:val="22"/>
          <w:szCs w:val="22"/>
        </w:rPr>
        <w:t xml:space="preserve"> ma</w:t>
      </w:r>
      <w:r w:rsidR="002031F5">
        <w:rPr>
          <w:rFonts w:ascii="Arial" w:eastAsia="Times New Roman" w:hAnsi="Arial" w:cs="Arial"/>
          <w:sz w:val="22"/>
          <w:szCs w:val="22"/>
        </w:rPr>
        <w:t xml:space="preserve">y </w:t>
      </w:r>
      <w:r w:rsidRPr="00D82F66">
        <w:rPr>
          <w:rFonts w:ascii="Arial" w:eastAsia="Times New Roman" w:hAnsi="Arial" w:cs="Arial"/>
          <w:sz w:val="22"/>
          <w:szCs w:val="22"/>
        </w:rPr>
        <w:t xml:space="preserve">depend on </w:t>
      </w:r>
      <w:r w:rsidR="00D449EC">
        <w:rPr>
          <w:rFonts w:ascii="Arial" w:eastAsia="Times New Roman" w:hAnsi="Arial" w:cs="Arial"/>
          <w:sz w:val="22"/>
          <w:szCs w:val="22"/>
        </w:rPr>
        <w:t xml:space="preserve">availability </w:t>
      </w:r>
      <w:r w:rsidR="004A50C9">
        <w:rPr>
          <w:rFonts w:ascii="Arial" w:eastAsia="Times New Roman" w:hAnsi="Arial" w:cs="Arial"/>
          <w:sz w:val="22"/>
          <w:szCs w:val="22"/>
        </w:rPr>
        <w:t>within MIPS</w:t>
      </w:r>
      <w:r w:rsidR="00474CDD">
        <w:rPr>
          <w:rFonts w:ascii="Arial" w:eastAsia="Times New Roman" w:hAnsi="Arial" w:cs="Arial"/>
          <w:sz w:val="22"/>
          <w:szCs w:val="22"/>
        </w:rPr>
        <w:t>.</w:t>
      </w:r>
      <w:r w:rsidRPr="00D82F66">
        <w:rPr>
          <w:rFonts w:ascii="Arial" w:eastAsia="Times New Roman" w:hAnsi="Arial" w:cs="Arial"/>
          <w:sz w:val="22"/>
          <w:szCs w:val="22"/>
        </w:rPr>
        <w:t xml:space="preserve"> </w:t>
      </w:r>
    </w:p>
    <w:p w:rsidR="00C45B13" w:rsidP="00724F96" w14:paraId="3FE5DCA2" w14:textId="2B6FB492">
      <w:pPr>
        <w:pStyle w:val="ListParagraph"/>
        <w:numPr>
          <w:ilvl w:val="0"/>
          <w:numId w:val="25"/>
        </w:numPr>
        <w:rPr>
          <w:sz w:val="22"/>
          <w:szCs w:val="22"/>
        </w:rPr>
      </w:pPr>
      <w:r w:rsidRPr="00EE6850">
        <w:rPr>
          <w:sz w:val="22"/>
          <w:szCs w:val="22"/>
        </w:rPr>
        <w:t xml:space="preserve">For example, the </w:t>
      </w:r>
      <w:r w:rsidRPr="00EE6850">
        <w:rPr>
          <w:i/>
          <w:iCs/>
          <w:sz w:val="22"/>
          <w:szCs w:val="22"/>
        </w:rPr>
        <w:t>Optimizing Chronic Disease Management MVP</w:t>
      </w:r>
      <w:r w:rsidRPr="00EE6850">
        <w:rPr>
          <w:sz w:val="22"/>
          <w:szCs w:val="22"/>
        </w:rPr>
        <w:t xml:space="preserve"> includes 9 quality measures and 1</w:t>
      </w:r>
      <w:r w:rsidRPr="00EE6850" w:rsidR="00405906">
        <w:rPr>
          <w:sz w:val="22"/>
          <w:szCs w:val="22"/>
        </w:rPr>
        <w:t>5</w:t>
      </w:r>
      <w:r w:rsidRPr="00EE6850">
        <w:rPr>
          <w:sz w:val="22"/>
          <w:szCs w:val="22"/>
        </w:rPr>
        <w:t xml:space="preserve"> improvement activities. Chronic disease can broadly encompass several conditions; therefore, </w:t>
      </w:r>
      <w:r w:rsidRPr="00EE6850" w:rsidR="00A461AA">
        <w:rPr>
          <w:sz w:val="22"/>
          <w:szCs w:val="22"/>
        </w:rPr>
        <w:t>CMS has</w:t>
      </w:r>
      <w:r w:rsidRPr="00EE6850">
        <w:rPr>
          <w:sz w:val="22"/>
          <w:szCs w:val="22"/>
        </w:rPr>
        <w:t xml:space="preserve"> selected measures and improvement activities that are closely aligned to the topic and offer clinicians some choice. </w:t>
      </w:r>
    </w:p>
    <w:p w:rsidR="00C62231" w:rsidP="00C45B13" w14:paraId="791BE733" w14:textId="77777777">
      <w:pPr>
        <w:rPr>
          <w:sz w:val="22"/>
          <w:szCs w:val="22"/>
        </w:rPr>
      </w:pPr>
    </w:p>
    <w:p w:rsidR="00975368" w:rsidRPr="00EE6850" w:rsidP="00C45B13" w14:paraId="74957BDE" w14:textId="7C919C08">
      <w:pPr>
        <w:rPr>
          <w:rFonts w:ascii="Arial" w:hAnsi="Arial" w:cs="Arial"/>
          <w:sz w:val="22"/>
          <w:szCs w:val="22"/>
        </w:rPr>
      </w:pPr>
      <w:r w:rsidRPr="00EE6850">
        <w:rPr>
          <w:rFonts w:ascii="Arial" w:hAnsi="Arial" w:cs="Arial"/>
          <w:sz w:val="22"/>
          <w:szCs w:val="22"/>
        </w:rPr>
        <w:t xml:space="preserve">Additionally, each MVP must include at least one cost measure relevant and applicable to the MVP topic. The number of cost measures </w:t>
      </w:r>
      <w:r w:rsidRPr="00EE6850">
        <w:rPr>
          <w:rFonts w:ascii="Arial" w:hAnsi="Arial" w:cs="Arial"/>
          <w:sz w:val="22"/>
          <w:szCs w:val="22"/>
        </w:rPr>
        <w:t>in a given</w:t>
      </w:r>
      <w:r w:rsidRPr="00EE6850">
        <w:rPr>
          <w:rFonts w:ascii="Arial" w:hAnsi="Arial" w:cs="Arial"/>
          <w:sz w:val="22"/>
          <w:szCs w:val="22"/>
        </w:rPr>
        <w:t xml:space="preserve"> MVP may vary depending on the clinical topic of the MVP.  </w:t>
      </w:r>
    </w:p>
    <w:p w:rsidR="00975368" w:rsidP="00EF298A" w14:paraId="0354E31E" w14:textId="77777777">
      <w:pPr>
        <w:rPr>
          <w:rFonts w:ascii="Arial" w:hAnsi="Arial" w:cs="Arial"/>
          <w:sz w:val="22"/>
          <w:szCs w:val="22"/>
        </w:rPr>
      </w:pPr>
    </w:p>
    <w:p w:rsidR="00F37277" w:rsidP="00EF298A" w14:paraId="10CE602A" w14:textId="390FA028">
      <w:pPr>
        <w:rPr>
          <w:rFonts w:ascii="Times New Roman" w:hAnsi="Times New Roman"/>
        </w:rPr>
      </w:pPr>
      <w:r w:rsidRPr="00CE6FC4">
        <w:rPr>
          <w:rFonts w:ascii="Arial" w:eastAsia="Times New Roman" w:hAnsi="Arial" w:cs="Arial"/>
          <w:sz w:val="22"/>
          <w:szCs w:val="22"/>
        </w:rPr>
        <w:t>As</w:t>
      </w:r>
      <w:r w:rsidRPr="00D82F66">
        <w:rPr>
          <w:rFonts w:ascii="Arial" w:eastAsia="Times New Roman" w:hAnsi="Arial" w:cs="Arial"/>
          <w:sz w:val="22"/>
          <w:szCs w:val="22"/>
        </w:rPr>
        <w:t xml:space="preserve"> CMS is not prescriptive regarding the number of measures and activities that may be included in an MVP when completing Table 2</w:t>
      </w:r>
      <w:r w:rsidR="006D5A9D">
        <w:rPr>
          <w:rFonts w:ascii="Arial" w:eastAsia="Times New Roman" w:hAnsi="Arial" w:cs="Arial"/>
          <w:sz w:val="22"/>
          <w:szCs w:val="22"/>
        </w:rPr>
        <w:t>a,</w:t>
      </w:r>
      <w:r w:rsidRPr="00D82F66">
        <w:rPr>
          <w:rFonts w:ascii="Arial" w:eastAsia="Times New Roman" w:hAnsi="Arial" w:cs="Arial"/>
          <w:sz w:val="22"/>
          <w:szCs w:val="22"/>
        </w:rPr>
        <w:t xml:space="preserve"> the number of rows included should reflect the number of measures/activities that are necessary to describe the MVP candidate submission.</w:t>
      </w:r>
      <w:r w:rsidR="00027B10">
        <w:rPr>
          <w:rFonts w:ascii="Arial" w:eastAsia="Times New Roman" w:hAnsi="Arial" w:cs="Arial"/>
          <w:sz w:val="22"/>
          <w:szCs w:val="22"/>
        </w:rPr>
        <w:t xml:space="preserve"> </w:t>
      </w:r>
    </w:p>
    <w:p w:rsidR="00956172" w:rsidP="00EF298A" w14:paraId="07B3D158" w14:textId="77777777">
      <w:pPr>
        <w:rPr>
          <w:rFonts w:ascii="Times New Roman" w:hAnsi="Times New Roman"/>
        </w:rPr>
      </w:pPr>
    </w:p>
    <w:p w:rsidR="00324127" w:rsidP="00EF298A" w14:paraId="584BDCEF" w14:textId="776F137C">
      <w:pPr>
        <w:rPr>
          <w:rFonts w:ascii="Arial" w:eastAsia="Times New Roman" w:hAnsi="Arial" w:cs="Arial"/>
          <w:sz w:val="22"/>
          <w:szCs w:val="22"/>
        </w:rPr>
      </w:pPr>
      <w:r w:rsidRPr="00324127">
        <w:rPr>
          <w:rFonts w:ascii="Arial" w:eastAsia="Times New Roman" w:hAnsi="Arial" w:cs="Arial"/>
          <w:sz w:val="22"/>
          <w:szCs w:val="22"/>
        </w:rPr>
        <w:t xml:space="preserve">The foundational layer of measures </w:t>
      </w:r>
      <w:r w:rsidR="0067197C">
        <w:rPr>
          <w:rFonts w:ascii="Arial" w:eastAsia="Times New Roman" w:hAnsi="Arial" w:cs="Arial"/>
          <w:sz w:val="22"/>
          <w:szCs w:val="22"/>
        </w:rPr>
        <w:t>is</w:t>
      </w:r>
      <w:r w:rsidR="00F37277">
        <w:rPr>
          <w:rFonts w:ascii="Arial" w:eastAsia="Times New Roman" w:hAnsi="Arial" w:cs="Arial"/>
          <w:sz w:val="22"/>
          <w:szCs w:val="22"/>
        </w:rPr>
        <w:t xml:space="preserve"> </w:t>
      </w:r>
      <w:r w:rsidRPr="00324127">
        <w:rPr>
          <w:rFonts w:ascii="Arial" w:eastAsia="Times New Roman" w:hAnsi="Arial" w:cs="Arial"/>
          <w:sz w:val="22"/>
          <w:szCs w:val="22"/>
        </w:rPr>
        <w:t>included below (Table</w:t>
      </w:r>
      <w:r w:rsidR="00975368">
        <w:rPr>
          <w:rFonts w:ascii="Arial" w:eastAsia="Times New Roman" w:hAnsi="Arial" w:cs="Arial"/>
          <w:sz w:val="22"/>
          <w:szCs w:val="22"/>
        </w:rPr>
        <w:t>s</w:t>
      </w:r>
      <w:r w:rsidRPr="00324127">
        <w:rPr>
          <w:rFonts w:ascii="Arial" w:eastAsia="Times New Roman" w:hAnsi="Arial" w:cs="Arial"/>
          <w:sz w:val="22"/>
          <w:szCs w:val="22"/>
        </w:rPr>
        <w:t xml:space="preserve"> 2b and 2c) and </w:t>
      </w:r>
      <w:r w:rsidR="0067197C">
        <w:rPr>
          <w:rFonts w:ascii="Arial" w:eastAsia="Times New Roman" w:hAnsi="Arial" w:cs="Arial"/>
          <w:sz w:val="22"/>
          <w:szCs w:val="22"/>
        </w:rPr>
        <w:t>is</w:t>
      </w:r>
      <w:r w:rsidR="00F37277">
        <w:rPr>
          <w:rFonts w:ascii="Arial" w:eastAsia="Times New Roman" w:hAnsi="Arial" w:cs="Arial"/>
          <w:sz w:val="22"/>
          <w:szCs w:val="22"/>
        </w:rPr>
        <w:t xml:space="preserve"> </w:t>
      </w:r>
      <w:r w:rsidRPr="00324127">
        <w:rPr>
          <w:rFonts w:ascii="Arial" w:eastAsia="Times New Roman" w:hAnsi="Arial" w:cs="Arial"/>
          <w:sz w:val="22"/>
          <w:szCs w:val="22"/>
        </w:rPr>
        <w:t>pre-filled for each MVP candidate submission</w:t>
      </w:r>
      <w:r w:rsidR="004E1E77">
        <w:rPr>
          <w:rFonts w:ascii="Arial" w:eastAsia="Times New Roman" w:hAnsi="Arial" w:cs="Arial"/>
          <w:sz w:val="22"/>
          <w:szCs w:val="22"/>
        </w:rPr>
        <w:t xml:space="preserve"> and </w:t>
      </w:r>
      <w:r w:rsidR="00753783">
        <w:rPr>
          <w:rFonts w:ascii="Arial" w:eastAsia="Times New Roman" w:hAnsi="Arial" w:cs="Arial"/>
          <w:sz w:val="22"/>
          <w:szCs w:val="22"/>
        </w:rPr>
        <w:t xml:space="preserve">can’t </w:t>
      </w:r>
      <w:r w:rsidR="00FB43CC">
        <w:rPr>
          <w:rFonts w:ascii="Arial" w:eastAsia="Times New Roman" w:hAnsi="Arial" w:cs="Arial"/>
          <w:sz w:val="22"/>
          <w:szCs w:val="22"/>
        </w:rPr>
        <w:t>be changed</w:t>
      </w:r>
      <w:r w:rsidRPr="00324127">
        <w:rPr>
          <w:rFonts w:ascii="Arial" w:eastAsia="Times New Roman" w:hAnsi="Arial" w:cs="Arial"/>
          <w:sz w:val="22"/>
          <w:szCs w:val="22"/>
        </w:rPr>
        <w:t>.</w:t>
      </w:r>
    </w:p>
    <w:p w:rsidR="00F37277" w:rsidRPr="00324127" w:rsidP="00EF298A" w14:paraId="7167A712" w14:textId="77777777">
      <w:pPr>
        <w:rPr>
          <w:rFonts w:ascii="Arial" w:eastAsia="Times New Roman" w:hAnsi="Arial" w:cs="Arial"/>
          <w:sz w:val="22"/>
          <w:szCs w:val="22"/>
        </w:rPr>
      </w:pPr>
    </w:p>
    <w:p w:rsidR="00BA0630" w:rsidP="00EF298A" w14:paraId="30814D1C" w14:textId="14CF20E5">
      <w:pPr>
        <w:rPr>
          <w:rFonts w:ascii="Arial" w:eastAsia="Times New Roman" w:hAnsi="Arial" w:cs="Arial"/>
          <w:sz w:val="22"/>
          <w:szCs w:val="22"/>
        </w:rPr>
      </w:pPr>
      <w:r w:rsidRPr="00324127">
        <w:rPr>
          <w:rFonts w:ascii="Arial" w:eastAsia="Times New Roman" w:hAnsi="Arial" w:cs="Arial"/>
          <w:sz w:val="22"/>
          <w:szCs w:val="22"/>
        </w:rPr>
        <w:t>Please refer to the Appendix</w:t>
      </w:r>
      <w:r w:rsidR="00975368">
        <w:rPr>
          <w:rFonts w:ascii="Arial" w:eastAsia="Times New Roman" w:hAnsi="Arial" w:cs="Arial"/>
          <w:sz w:val="22"/>
          <w:szCs w:val="22"/>
        </w:rPr>
        <w:t xml:space="preserve"> below</w:t>
      </w:r>
      <w:r w:rsidRPr="00324127">
        <w:rPr>
          <w:rFonts w:ascii="Arial" w:eastAsia="Times New Roman" w:hAnsi="Arial" w:cs="Arial"/>
          <w:sz w:val="22"/>
          <w:szCs w:val="22"/>
        </w:rPr>
        <w:t xml:space="preserve"> for further guidance regarding measure and activity selection.</w:t>
      </w:r>
    </w:p>
    <w:bookmarkEnd w:id="28"/>
    <w:p w:rsidR="005D43DE" w:rsidP="00EF298A" w14:paraId="692DB227" w14:textId="0A6D24A1">
      <w:pPr>
        <w:rPr>
          <w:rFonts w:ascii="Arial" w:eastAsia="Times New Roman" w:hAnsi="Arial" w:cs="Arial"/>
          <w:sz w:val="22"/>
          <w:szCs w:val="22"/>
        </w:rPr>
      </w:pPr>
    </w:p>
    <w:p w:rsidR="00E53EDA" w:rsidRPr="00E53EDA" w:rsidP="00E53EDA" w14:paraId="1822E9D7" w14:textId="3830E6F4">
      <w:pPr>
        <w:jc w:val="center"/>
        <w:rPr>
          <w:rFonts w:ascii="Arial" w:eastAsia="Times New Roman" w:hAnsi="Arial" w:cs="Arial"/>
          <w:b/>
          <w:bCs/>
          <w:sz w:val="22"/>
          <w:szCs w:val="22"/>
        </w:rPr>
      </w:pPr>
      <w:r w:rsidRPr="00E53EDA">
        <w:rPr>
          <w:rFonts w:ascii="Arial" w:eastAsia="Times New Roman" w:hAnsi="Arial" w:cs="Arial"/>
          <w:b/>
          <w:bCs/>
          <w:sz w:val="22"/>
          <w:szCs w:val="22"/>
        </w:rPr>
        <w:t>Table 2A: Quality Measures, Improvement Activities, and Cost Measures</w:t>
      </w:r>
    </w:p>
    <w:p w:rsidR="00E53EDA" w:rsidRPr="005D43DE" w:rsidP="00EF298A" w14:paraId="5F3D8E2D" w14:textId="77777777">
      <w:pPr>
        <w:rPr>
          <w:rFonts w:ascii="Arial" w:eastAsia="Times New Roman" w:hAnsi="Arial" w:cs="Arial"/>
          <w:sz w:val="22"/>
          <w:szCs w:val="22"/>
        </w:rPr>
      </w:pPr>
    </w:p>
    <w:tbl>
      <w:tblPr>
        <w:tblStyle w:val="TableGrid"/>
        <w:tblW w:w="9528" w:type="dxa"/>
        <w:tblInd w:w="-150" w:type="dxa"/>
        <w:tblLook w:val="0420"/>
      </w:tblPr>
      <w:tblGrid>
        <w:gridCol w:w="3214"/>
        <w:gridCol w:w="3124"/>
        <w:gridCol w:w="3190"/>
      </w:tblGrid>
      <w:tr w14:paraId="1B039A76" w14:textId="77777777" w:rsidTr="004B38D7">
        <w:tblPrEx>
          <w:tblW w:w="9528" w:type="dxa"/>
          <w:tblInd w:w="-150" w:type="dxa"/>
          <w:tblLook w:val="0420"/>
        </w:tblPrEx>
        <w:trPr>
          <w:trHeight w:val="504"/>
          <w:tblHeader/>
        </w:trPr>
        <w:tc>
          <w:tcPr>
            <w:tcW w:w="3214" w:type="dxa"/>
            <w:tcBorders>
              <w:left w:val="single" w:sz="48" w:space="0" w:color="FFFFFF" w:themeColor="background1"/>
              <w:right w:val="single" w:sz="48" w:space="0" w:color="FFFFFF" w:themeColor="background1"/>
            </w:tcBorders>
            <w:shd w:val="clear" w:color="auto" w:fill="00838A"/>
          </w:tcPr>
          <w:p w:rsidR="00CD5D93" w:rsidRPr="00DB2944" w:rsidP="00363C94" w14:paraId="17A35D31" w14:textId="77777777">
            <w:pPr>
              <w:pStyle w:val="TableHeader"/>
            </w:pPr>
            <w:bookmarkStart w:id="29" w:name="OLE_LINK24"/>
            <w:r w:rsidRPr="00DB2944">
              <w:t>QUALITY MEASURES</w:t>
            </w:r>
          </w:p>
        </w:tc>
        <w:tc>
          <w:tcPr>
            <w:tcW w:w="3124" w:type="dxa"/>
            <w:tcBorders>
              <w:left w:val="single" w:sz="48" w:space="0" w:color="FFFFFF" w:themeColor="background1"/>
              <w:right w:val="single" w:sz="48" w:space="0" w:color="FFFFFF" w:themeColor="background1"/>
            </w:tcBorders>
            <w:shd w:val="clear" w:color="auto" w:fill="843C0B" w:themeFill="accent2" w:themeFillShade="80"/>
          </w:tcPr>
          <w:p w:rsidR="00CD5D93" w:rsidRPr="00DB2944" w:rsidP="00363C94" w14:paraId="713AD52C" w14:textId="77777777">
            <w:pPr>
              <w:pStyle w:val="TableHeader"/>
            </w:pPr>
            <w:r w:rsidRPr="00DB2944">
              <w:t>IMPROVEMENT ACTIVITIES</w:t>
            </w:r>
          </w:p>
        </w:tc>
        <w:tc>
          <w:tcPr>
            <w:tcW w:w="3190" w:type="dxa"/>
            <w:tcBorders>
              <w:left w:val="single" w:sz="48" w:space="0" w:color="FFFFFF" w:themeColor="background1"/>
              <w:bottom w:val="single" w:sz="4" w:space="0" w:color="auto"/>
              <w:right w:val="nil"/>
            </w:tcBorders>
            <w:shd w:val="clear" w:color="auto" w:fill="4C7625"/>
          </w:tcPr>
          <w:p w:rsidR="00CD5D93" w:rsidRPr="00DB2944" w:rsidP="00363C94" w14:paraId="7910F7E9" w14:textId="77777777">
            <w:pPr>
              <w:pStyle w:val="TableHeader"/>
            </w:pPr>
            <w:r w:rsidRPr="00DB2944">
              <w:t>COST MEASURES</w:t>
            </w:r>
          </w:p>
        </w:tc>
      </w:tr>
      <w:tr w14:paraId="079AAB56" w14:textId="77777777" w:rsidTr="004B38D7">
        <w:tblPrEx>
          <w:tblW w:w="9528" w:type="dxa"/>
          <w:tblInd w:w="-150" w:type="dxa"/>
          <w:tblLook w:val="0420"/>
        </w:tblPrEx>
        <w:trPr>
          <w:trHeight w:val="1283"/>
        </w:trPr>
        <w:tc>
          <w:tcPr>
            <w:tcW w:w="3214" w:type="dxa"/>
            <w:tcBorders>
              <w:left w:val="single" w:sz="48" w:space="0" w:color="FFFFFF" w:themeColor="background1"/>
              <w:bottom w:val="single" w:sz="4" w:space="0" w:color="FFFFFF" w:themeColor="background1"/>
              <w:right w:val="single" w:sz="48" w:space="0" w:color="FFFFFF" w:themeColor="background1"/>
            </w:tcBorders>
            <w:shd w:val="clear" w:color="auto" w:fill="F2F2F2" w:themeFill="background1" w:themeFillShade="F2"/>
            <w:tcMar>
              <w:top w:w="144" w:type="dxa"/>
              <w:left w:w="144" w:type="dxa"/>
              <w:bottom w:w="144" w:type="dxa"/>
              <w:right w:w="115" w:type="dxa"/>
            </w:tcMar>
          </w:tcPr>
          <w:p w:rsidR="00CD5D93" w:rsidRPr="001D2450" w:rsidP="00363C94" w14:paraId="74495B3C" w14:textId="77777777">
            <w:pPr>
              <w:pStyle w:val="Tablebody"/>
              <w:rPr>
                <w:b/>
                <w:bCs w:val="0"/>
              </w:rPr>
            </w:pPr>
            <w:r w:rsidRPr="001D2450">
              <w:rPr>
                <w:b/>
                <w:bCs w:val="0"/>
              </w:rPr>
              <w:t>For each measure, provide:</w:t>
            </w:r>
          </w:p>
          <w:p w:rsidR="00CD5D93" w:rsidRPr="00DB2944" w:rsidP="00363C94" w14:paraId="3D3DF9BE" w14:textId="77777777">
            <w:pPr>
              <w:pStyle w:val="Tablebody"/>
            </w:pPr>
            <w:r w:rsidRPr="00DB2944">
              <w:t>&lt;Measure ID&gt;</w:t>
            </w:r>
          </w:p>
          <w:p w:rsidR="00CD5D93" w:rsidRPr="00DB2944" w:rsidP="00363C94" w14:paraId="0DA2CC10" w14:textId="77777777">
            <w:pPr>
              <w:pStyle w:val="Tablebody"/>
            </w:pPr>
            <w:r w:rsidRPr="00DB2944">
              <w:t>&lt;NQF#, if applicable&gt;</w:t>
            </w:r>
          </w:p>
          <w:p w:rsidR="00CD5D93" w:rsidRPr="00DB2944" w:rsidP="00363C94" w14:paraId="397B33B7" w14:textId="77777777">
            <w:pPr>
              <w:pStyle w:val="Tablebody"/>
            </w:pPr>
            <w:r w:rsidRPr="00DB2944">
              <w:t>&lt;Measure Title&gt;</w:t>
            </w:r>
          </w:p>
          <w:p w:rsidR="00CD5D93" w:rsidRPr="00DB2944" w:rsidP="00363C94" w14:paraId="467BCC45" w14:textId="77777777">
            <w:pPr>
              <w:pStyle w:val="Tablebody"/>
            </w:pPr>
            <w:r w:rsidRPr="00DB2944">
              <w:t>&lt;Collection Type(s)&gt;</w:t>
            </w:r>
          </w:p>
          <w:p w:rsidR="00CD5D93" w:rsidRPr="00DB2944" w:rsidP="00363C94" w14:paraId="16585646" w14:textId="77777777">
            <w:pPr>
              <w:pStyle w:val="Tablebody"/>
            </w:pPr>
            <w:r w:rsidRPr="00DB2944">
              <w:t>&lt;Rationale for Inclusion&gt;</w:t>
            </w:r>
          </w:p>
        </w:tc>
        <w:tc>
          <w:tcPr>
            <w:tcW w:w="3124" w:type="dxa"/>
            <w:tcBorders>
              <w:left w:val="single" w:sz="48" w:space="0" w:color="FFFFFF" w:themeColor="background1"/>
              <w:bottom w:val="single" w:sz="4" w:space="0" w:color="FFFFFF" w:themeColor="background1"/>
              <w:right w:val="single" w:sz="48" w:space="0" w:color="FFFFFF" w:themeColor="background1"/>
            </w:tcBorders>
            <w:shd w:val="clear" w:color="auto" w:fill="F2F2F2" w:themeFill="background1" w:themeFillShade="F2"/>
            <w:tcMar>
              <w:top w:w="144" w:type="dxa"/>
              <w:left w:w="144" w:type="dxa"/>
              <w:bottom w:w="144" w:type="dxa"/>
              <w:right w:w="115" w:type="dxa"/>
            </w:tcMar>
          </w:tcPr>
          <w:p w:rsidR="00DB3D1D" w:rsidRPr="001D2450" w:rsidP="00363C94" w14:paraId="55F281C9" w14:textId="77777777">
            <w:pPr>
              <w:pStyle w:val="Tablebody"/>
              <w:rPr>
                <w:b/>
                <w:bCs w:val="0"/>
              </w:rPr>
            </w:pPr>
            <w:r w:rsidRPr="001D2450">
              <w:rPr>
                <w:b/>
                <w:bCs w:val="0"/>
              </w:rPr>
              <w:t>For each activity, provide:</w:t>
            </w:r>
          </w:p>
          <w:p w:rsidR="00DB3D1D" w:rsidRPr="00DB2944" w:rsidP="00363C94" w14:paraId="5369EB5D" w14:textId="77777777">
            <w:pPr>
              <w:pStyle w:val="Tablebody"/>
            </w:pPr>
            <w:r w:rsidRPr="00396612">
              <w:t>&lt;Improvement</w:t>
            </w:r>
            <w:r w:rsidRPr="00DB2944">
              <w:t xml:space="preserve"> Activity ID&gt;</w:t>
            </w:r>
          </w:p>
          <w:p w:rsidR="00DB3D1D" w:rsidRPr="00DB2944" w:rsidP="00363C94" w14:paraId="2177257B" w14:textId="77777777">
            <w:pPr>
              <w:pStyle w:val="Tablebody"/>
            </w:pPr>
            <w:r w:rsidRPr="00DB2944">
              <w:t>&lt;Improvement Activity Title&gt;</w:t>
            </w:r>
          </w:p>
          <w:p w:rsidR="00CD5D93" w:rsidRPr="00DB2944" w:rsidP="004B38D7" w14:paraId="72E5993A" w14:textId="77777777">
            <w:pPr>
              <w:pStyle w:val="Tablebullets"/>
              <w:numPr>
                <w:ilvl w:val="0"/>
                <w:numId w:val="0"/>
              </w:numPr>
            </w:pPr>
            <w:r>
              <w:t>&lt;Rationale for Inclusion&gt;</w:t>
            </w:r>
          </w:p>
        </w:tc>
        <w:tc>
          <w:tcPr>
            <w:tcW w:w="3190" w:type="dxa"/>
            <w:tcBorders>
              <w:left w:val="single" w:sz="48" w:space="0" w:color="FFFFFF" w:themeColor="background1"/>
              <w:bottom w:val="single" w:sz="4" w:space="0" w:color="FFFFFF" w:themeColor="background1"/>
              <w:right w:val="nil"/>
            </w:tcBorders>
            <w:shd w:val="clear" w:color="auto" w:fill="F2F2F2" w:themeFill="background1" w:themeFillShade="F2"/>
            <w:tcMar>
              <w:top w:w="144" w:type="dxa"/>
              <w:left w:w="144" w:type="dxa"/>
              <w:bottom w:w="144" w:type="dxa"/>
              <w:right w:w="115" w:type="dxa"/>
            </w:tcMar>
          </w:tcPr>
          <w:p w:rsidR="00CD5D93" w:rsidRPr="001D2450" w:rsidP="00363C94" w14:paraId="6D343317" w14:textId="77777777">
            <w:pPr>
              <w:pStyle w:val="Tablebody"/>
              <w:rPr>
                <w:b/>
                <w:bCs w:val="0"/>
              </w:rPr>
            </w:pPr>
            <w:r w:rsidRPr="001D2450">
              <w:rPr>
                <w:b/>
                <w:bCs w:val="0"/>
              </w:rPr>
              <w:t>For each measure, provide:</w:t>
            </w:r>
          </w:p>
          <w:p w:rsidR="00CD5D93" w:rsidRPr="00DB2944" w:rsidP="00363C94" w14:paraId="0698DE4A" w14:textId="77777777">
            <w:pPr>
              <w:pStyle w:val="Tablebody"/>
            </w:pPr>
            <w:r w:rsidRPr="00DB2944">
              <w:t>&lt;Measure ID, if applicable&gt;</w:t>
            </w:r>
          </w:p>
          <w:p w:rsidR="00CD5D93" w:rsidRPr="00DB2944" w:rsidP="00363C94" w14:paraId="319463C6" w14:textId="77777777">
            <w:pPr>
              <w:pStyle w:val="Tablebody"/>
            </w:pPr>
            <w:r w:rsidRPr="00DB2944">
              <w:t>&lt;Measure Title&gt;</w:t>
            </w:r>
          </w:p>
          <w:p w:rsidR="00CD5D93" w:rsidRPr="00DB2944" w:rsidP="00363C94" w14:paraId="24C460D3" w14:textId="77777777">
            <w:pPr>
              <w:pStyle w:val="Tablebody"/>
            </w:pPr>
            <w:r w:rsidRPr="00DB2944">
              <w:t>&lt;Rationale for Inclusion&gt;</w:t>
            </w:r>
          </w:p>
          <w:p w:rsidR="00CD5D93" w:rsidRPr="00DB2944" w:rsidP="00363C94" w14:paraId="1CC3337B" w14:textId="77777777">
            <w:pPr>
              <w:pStyle w:val="Tablebody"/>
            </w:pPr>
          </w:p>
        </w:tc>
      </w:tr>
      <w:tr w14:paraId="7D91F8B8" w14:textId="77777777" w:rsidTr="004B38D7">
        <w:tblPrEx>
          <w:tblW w:w="9528" w:type="dxa"/>
          <w:tblInd w:w="-150" w:type="dxa"/>
          <w:tblLook w:val="0420"/>
        </w:tblPrEx>
        <w:trPr>
          <w:trHeight w:val="323"/>
        </w:trPr>
        <w:tc>
          <w:tcPr>
            <w:tcW w:w="3214" w:type="dxa"/>
            <w:tcBorders>
              <w:top w:val="single" w:sz="4" w:space="0" w:color="FFFFFF" w:themeColor="background1"/>
              <w:left w:val="single" w:sz="48" w:space="0" w:color="FFFFFF" w:themeColor="background1"/>
              <w:bottom w:val="single" w:sz="4" w:space="0" w:color="FFFFFF" w:themeColor="background1"/>
              <w:right w:val="single" w:sz="48" w:space="0" w:color="FFFFFF" w:themeColor="background1"/>
            </w:tcBorders>
            <w:shd w:val="clear" w:color="auto" w:fill="F2F2F2" w:themeFill="background1" w:themeFillShade="F2"/>
            <w:tcMar>
              <w:top w:w="144" w:type="dxa"/>
              <w:left w:w="144" w:type="dxa"/>
              <w:bottom w:w="144" w:type="dxa"/>
              <w:right w:w="115" w:type="dxa"/>
            </w:tcMar>
          </w:tcPr>
          <w:p w:rsidR="00D82597" w:rsidRPr="00DB2944" w:rsidP="004B38D7" w14:paraId="53ABB7D1" w14:textId="77777777">
            <w:pPr>
              <w:pStyle w:val="Tablebullets"/>
              <w:numPr>
                <w:ilvl w:val="0"/>
                <w:numId w:val="0"/>
              </w:numPr>
            </w:pPr>
            <w:r>
              <w:t>&lt;Measure ID&gt;</w:t>
            </w:r>
          </w:p>
          <w:p w:rsidR="00D82597" w:rsidRPr="00DB2944" w:rsidP="004B38D7" w14:paraId="7DB7A1E4" w14:textId="77777777">
            <w:pPr>
              <w:pStyle w:val="Tablebullets"/>
              <w:numPr>
                <w:ilvl w:val="0"/>
                <w:numId w:val="0"/>
              </w:numPr>
            </w:pPr>
            <w:r>
              <w:t>&lt;NQF#, if applicable&gt;</w:t>
            </w:r>
          </w:p>
          <w:p w:rsidR="00D82597" w:rsidRPr="00DB2944" w:rsidP="004B38D7" w14:paraId="08CAA749" w14:textId="77777777">
            <w:pPr>
              <w:pStyle w:val="Tablebullets"/>
              <w:numPr>
                <w:ilvl w:val="0"/>
                <w:numId w:val="0"/>
              </w:numPr>
            </w:pPr>
            <w:r>
              <w:t>&lt;Measure Title&gt;</w:t>
            </w:r>
          </w:p>
          <w:p w:rsidR="00D82597" w:rsidRPr="00DB2944" w:rsidP="004B38D7" w14:paraId="61804DF2" w14:textId="77777777">
            <w:pPr>
              <w:pStyle w:val="Tablebullets"/>
              <w:numPr>
                <w:ilvl w:val="0"/>
                <w:numId w:val="0"/>
              </w:numPr>
            </w:pPr>
            <w:r>
              <w:t>&lt;Collection Type(s)&gt;</w:t>
            </w:r>
          </w:p>
          <w:p w:rsidR="00CD5D93" w:rsidRPr="00DB2944" w:rsidP="004B38D7" w14:paraId="123B201F" w14:textId="77777777">
            <w:pPr>
              <w:pStyle w:val="Tablebullets"/>
              <w:numPr>
                <w:ilvl w:val="0"/>
                <w:numId w:val="0"/>
              </w:numPr>
            </w:pPr>
            <w:r>
              <w:t>&lt;Rationale for Inclusion&gt;</w:t>
            </w:r>
          </w:p>
        </w:tc>
        <w:tc>
          <w:tcPr>
            <w:tcW w:w="3124" w:type="dxa"/>
            <w:tcBorders>
              <w:top w:val="single" w:sz="4" w:space="0" w:color="FFFFFF" w:themeColor="background1"/>
              <w:left w:val="single" w:sz="48" w:space="0" w:color="FFFFFF" w:themeColor="background1"/>
              <w:bottom w:val="single" w:sz="4" w:space="0" w:color="FFFFFF" w:themeColor="background1"/>
              <w:right w:val="single" w:sz="48" w:space="0" w:color="FFFFFF" w:themeColor="background1"/>
            </w:tcBorders>
            <w:shd w:val="clear" w:color="auto" w:fill="F2F2F2" w:themeFill="background1" w:themeFillShade="F2"/>
            <w:tcMar>
              <w:top w:w="144" w:type="dxa"/>
              <w:left w:w="144" w:type="dxa"/>
              <w:bottom w:w="144" w:type="dxa"/>
              <w:right w:w="115" w:type="dxa"/>
            </w:tcMar>
          </w:tcPr>
          <w:p w:rsidR="00D82597" w:rsidRPr="00DB2944" w:rsidP="00363C94" w14:paraId="014C0BA0" w14:textId="77777777">
            <w:pPr>
              <w:pStyle w:val="Tablebody"/>
            </w:pPr>
            <w:r w:rsidRPr="00DB2944">
              <w:t>&lt;Improvement Activity ID&gt;</w:t>
            </w:r>
          </w:p>
          <w:p w:rsidR="00D82597" w:rsidRPr="00DB2944" w:rsidP="00363C94" w14:paraId="5D669BBE" w14:textId="77777777">
            <w:pPr>
              <w:pStyle w:val="Tablebody"/>
            </w:pPr>
            <w:r w:rsidRPr="00DB2944">
              <w:t>&lt;Improvement Activity Title&gt;</w:t>
            </w:r>
          </w:p>
          <w:p w:rsidR="00CD5D93" w:rsidRPr="00DB2944" w:rsidP="00363C94" w14:paraId="44719EB7" w14:textId="77777777">
            <w:pPr>
              <w:pStyle w:val="Tablebody"/>
            </w:pPr>
            <w:r w:rsidRPr="00DB2944">
              <w:t>&lt;Rationale for Inclusion&gt;</w:t>
            </w:r>
          </w:p>
        </w:tc>
        <w:tc>
          <w:tcPr>
            <w:tcW w:w="3190" w:type="dxa"/>
            <w:tcBorders>
              <w:top w:val="single" w:sz="4" w:space="0" w:color="FFFFFF" w:themeColor="background1"/>
              <w:left w:val="single" w:sz="48" w:space="0" w:color="FFFFFF" w:themeColor="background1"/>
              <w:bottom w:val="single" w:sz="4" w:space="0" w:color="FFFFFF" w:themeColor="background1"/>
              <w:right w:val="nil"/>
            </w:tcBorders>
            <w:shd w:val="clear" w:color="auto" w:fill="F2F2F2" w:themeFill="background1" w:themeFillShade="F2"/>
            <w:tcMar>
              <w:top w:w="144" w:type="dxa"/>
              <w:left w:w="144" w:type="dxa"/>
              <w:bottom w:w="144" w:type="dxa"/>
              <w:right w:w="115" w:type="dxa"/>
            </w:tcMar>
          </w:tcPr>
          <w:p w:rsidR="00D82597" w:rsidRPr="00DB2944" w:rsidP="004B38D7" w14:paraId="55E2BDDA" w14:textId="77777777">
            <w:pPr>
              <w:pStyle w:val="Tablebullets"/>
              <w:numPr>
                <w:ilvl w:val="0"/>
                <w:numId w:val="0"/>
              </w:numPr>
            </w:pPr>
            <w:r>
              <w:t>&lt;Measure ID, if applicable&gt;</w:t>
            </w:r>
          </w:p>
          <w:p w:rsidR="00D82597" w:rsidRPr="00DB2944" w:rsidP="004B38D7" w14:paraId="769A3932" w14:textId="77777777">
            <w:pPr>
              <w:pStyle w:val="Tablebullets"/>
              <w:numPr>
                <w:ilvl w:val="0"/>
                <w:numId w:val="0"/>
              </w:numPr>
            </w:pPr>
            <w:r>
              <w:t>&lt;Measure Title&gt;</w:t>
            </w:r>
          </w:p>
          <w:p w:rsidR="00CD5D93" w:rsidRPr="00DB2944" w:rsidP="004B38D7" w14:paraId="15912DAD" w14:textId="77777777">
            <w:pPr>
              <w:pStyle w:val="Tablebullets"/>
              <w:numPr>
                <w:ilvl w:val="0"/>
                <w:numId w:val="0"/>
              </w:numPr>
            </w:pPr>
            <w:r>
              <w:t>&lt;Rationale for Inclusion&gt;</w:t>
            </w:r>
          </w:p>
        </w:tc>
      </w:tr>
      <w:tr w14:paraId="7F2E7359" w14:textId="77777777" w:rsidTr="004B38D7">
        <w:tblPrEx>
          <w:tblW w:w="9528" w:type="dxa"/>
          <w:tblInd w:w="-150" w:type="dxa"/>
          <w:tblLook w:val="0420"/>
        </w:tblPrEx>
        <w:trPr>
          <w:trHeight w:val="710"/>
        </w:trPr>
        <w:tc>
          <w:tcPr>
            <w:tcW w:w="3214" w:type="dxa"/>
            <w:tcBorders>
              <w:top w:val="single" w:sz="4" w:space="0" w:color="FFFFFF" w:themeColor="background1"/>
              <w:left w:val="single" w:sz="48" w:space="0" w:color="FFFFFF" w:themeColor="background1"/>
              <w:bottom w:val="single" w:sz="4" w:space="0" w:color="FFFFFF" w:themeColor="background1"/>
              <w:right w:val="single" w:sz="48" w:space="0" w:color="FFFFFF" w:themeColor="background1"/>
            </w:tcBorders>
            <w:shd w:val="clear" w:color="auto" w:fill="F2F2F2" w:themeFill="background1" w:themeFillShade="F2"/>
            <w:tcMar>
              <w:top w:w="144" w:type="dxa"/>
              <w:left w:w="144" w:type="dxa"/>
              <w:bottom w:w="144" w:type="dxa"/>
              <w:right w:w="115" w:type="dxa"/>
            </w:tcMar>
          </w:tcPr>
          <w:p w:rsidR="00D82597" w:rsidRPr="00DB2944" w:rsidP="00363C94" w14:paraId="63FFB7DB" w14:textId="77777777">
            <w:pPr>
              <w:pStyle w:val="Tablebody"/>
            </w:pPr>
            <w:r w:rsidRPr="00DB2944">
              <w:t>&lt;Measure ID&gt;</w:t>
            </w:r>
          </w:p>
          <w:p w:rsidR="00D82597" w:rsidRPr="00DB2944" w:rsidP="00363C94" w14:paraId="643D4711" w14:textId="77777777">
            <w:pPr>
              <w:pStyle w:val="Tablebody"/>
            </w:pPr>
            <w:r w:rsidRPr="00DB2944">
              <w:t>&lt;NQF#, if applicable&gt;</w:t>
            </w:r>
          </w:p>
          <w:p w:rsidR="00D82597" w:rsidRPr="00DB2944" w:rsidP="00363C94" w14:paraId="1DDC3058" w14:textId="77777777">
            <w:pPr>
              <w:pStyle w:val="Tablebody"/>
            </w:pPr>
            <w:r w:rsidRPr="00DB2944">
              <w:t>&lt;Measure Title&gt;</w:t>
            </w:r>
          </w:p>
          <w:p w:rsidR="00D82597" w:rsidRPr="00DB2944" w:rsidP="00363C94" w14:paraId="2337594A" w14:textId="77777777">
            <w:pPr>
              <w:pStyle w:val="Tablebody"/>
            </w:pPr>
            <w:r w:rsidRPr="00DB2944">
              <w:t>&lt;Collection Type(s)&gt;</w:t>
            </w:r>
          </w:p>
          <w:p w:rsidR="00CD5D93" w:rsidRPr="00DB2944" w:rsidP="00363C94" w14:paraId="1D694400" w14:textId="77777777">
            <w:pPr>
              <w:pStyle w:val="Tablebody"/>
            </w:pPr>
            <w:r w:rsidRPr="00DB2944">
              <w:t>&lt;Rationale for Inclusion&gt;</w:t>
            </w:r>
          </w:p>
        </w:tc>
        <w:tc>
          <w:tcPr>
            <w:tcW w:w="3124" w:type="dxa"/>
            <w:tcBorders>
              <w:top w:val="single" w:sz="4" w:space="0" w:color="FFFFFF" w:themeColor="background1"/>
              <w:left w:val="single" w:sz="48" w:space="0" w:color="FFFFFF" w:themeColor="background1"/>
              <w:bottom w:val="single" w:sz="4" w:space="0" w:color="FFFFFF" w:themeColor="background1"/>
              <w:right w:val="single" w:sz="48" w:space="0" w:color="FFFFFF" w:themeColor="background1"/>
            </w:tcBorders>
            <w:shd w:val="clear" w:color="auto" w:fill="F2F2F2" w:themeFill="background1" w:themeFillShade="F2"/>
            <w:tcMar>
              <w:top w:w="144" w:type="dxa"/>
              <w:left w:w="144" w:type="dxa"/>
              <w:bottom w:w="144" w:type="dxa"/>
              <w:right w:w="115" w:type="dxa"/>
            </w:tcMar>
          </w:tcPr>
          <w:p w:rsidR="00D82597" w:rsidRPr="00DB2944" w:rsidP="00363C94" w14:paraId="6A627EDA" w14:textId="77777777">
            <w:pPr>
              <w:pStyle w:val="Tablebody"/>
            </w:pPr>
            <w:r w:rsidRPr="00DB2944">
              <w:t>&lt;Improvement Activity ID&gt;</w:t>
            </w:r>
          </w:p>
          <w:p w:rsidR="00D82597" w:rsidRPr="00DB2944" w:rsidP="00363C94" w14:paraId="5FA95CA4" w14:textId="77777777">
            <w:pPr>
              <w:pStyle w:val="Tablebody"/>
            </w:pPr>
            <w:r w:rsidRPr="00DB2944">
              <w:t>&lt;Improvement Activity Title&gt;</w:t>
            </w:r>
          </w:p>
          <w:p w:rsidR="00CD5D93" w:rsidRPr="00DB2944" w:rsidP="00363C94" w14:paraId="7F53EB8C" w14:textId="77777777">
            <w:pPr>
              <w:pStyle w:val="Tablebody"/>
            </w:pPr>
            <w:r w:rsidRPr="00DB2944">
              <w:t>&lt;Rationale for Inclusion&gt;</w:t>
            </w:r>
          </w:p>
        </w:tc>
        <w:tc>
          <w:tcPr>
            <w:tcW w:w="3190" w:type="dxa"/>
            <w:tcBorders>
              <w:top w:val="single" w:sz="4" w:space="0" w:color="FFFFFF" w:themeColor="background1"/>
              <w:left w:val="single" w:sz="48" w:space="0" w:color="FFFFFF" w:themeColor="background1"/>
              <w:bottom w:val="single" w:sz="4" w:space="0" w:color="FFFFFF" w:themeColor="background1"/>
              <w:right w:val="nil"/>
            </w:tcBorders>
            <w:shd w:val="clear" w:color="auto" w:fill="F2F2F2" w:themeFill="background1" w:themeFillShade="F2"/>
            <w:tcMar>
              <w:top w:w="144" w:type="dxa"/>
              <w:left w:w="144" w:type="dxa"/>
              <w:bottom w:w="144" w:type="dxa"/>
              <w:right w:w="115" w:type="dxa"/>
            </w:tcMar>
          </w:tcPr>
          <w:p w:rsidR="00D82597" w:rsidRPr="00DB2944" w:rsidP="00363C94" w14:paraId="5180503F" w14:textId="77777777">
            <w:pPr>
              <w:pStyle w:val="Tablebody"/>
            </w:pPr>
            <w:r w:rsidRPr="00DB2944">
              <w:t>&lt;Measure ID, if applicable&gt;</w:t>
            </w:r>
          </w:p>
          <w:p w:rsidR="00D82597" w:rsidRPr="00DB2944" w:rsidP="00363C94" w14:paraId="42935A6D" w14:textId="77777777">
            <w:pPr>
              <w:pStyle w:val="Tablebody"/>
            </w:pPr>
            <w:r w:rsidRPr="00DB2944">
              <w:t>&lt;Measure Title&gt;</w:t>
            </w:r>
          </w:p>
          <w:p w:rsidR="00CD5D93" w:rsidRPr="00DB2944" w:rsidP="00363C94" w14:paraId="2A00E3C3" w14:textId="77777777">
            <w:pPr>
              <w:pStyle w:val="Tablebody"/>
            </w:pPr>
            <w:r w:rsidRPr="00DB2944">
              <w:t>&lt;Rationale for Inclusion&gt;</w:t>
            </w:r>
          </w:p>
        </w:tc>
      </w:tr>
      <w:tr w14:paraId="186F09A1" w14:textId="77777777" w:rsidTr="004B38D7">
        <w:tblPrEx>
          <w:tblW w:w="9528" w:type="dxa"/>
          <w:tblInd w:w="-150" w:type="dxa"/>
          <w:tblLook w:val="0420"/>
        </w:tblPrEx>
        <w:trPr>
          <w:trHeight w:val="1283"/>
        </w:trPr>
        <w:tc>
          <w:tcPr>
            <w:tcW w:w="3214" w:type="dxa"/>
            <w:tcBorders>
              <w:top w:val="single" w:sz="4" w:space="0" w:color="FFFFFF" w:themeColor="background1"/>
              <w:left w:val="single" w:sz="48" w:space="0" w:color="FFFFFF" w:themeColor="background1"/>
              <w:bottom w:val="nil"/>
              <w:right w:val="single" w:sz="48" w:space="0" w:color="FFFFFF" w:themeColor="background1"/>
            </w:tcBorders>
            <w:shd w:val="clear" w:color="auto" w:fill="F2F2F2" w:themeFill="background1" w:themeFillShade="F2"/>
            <w:tcMar>
              <w:top w:w="144" w:type="dxa"/>
              <w:left w:w="144" w:type="dxa"/>
              <w:bottom w:w="144" w:type="dxa"/>
              <w:right w:w="115" w:type="dxa"/>
            </w:tcMar>
          </w:tcPr>
          <w:p w:rsidR="00D82597" w:rsidRPr="00DB2944" w:rsidP="00363C94" w14:paraId="340C106C" w14:textId="77777777">
            <w:pPr>
              <w:pStyle w:val="Tablebody"/>
            </w:pPr>
            <w:r w:rsidRPr="00DB2944">
              <w:t>&lt;Measure ID&gt;</w:t>
            </w:r>
          </w:p>
          <w:p w:rsidR="00D82597" w:rsidRPr="00DB2944" w:rsidP="00363C94" w14:paraId="4DDED913" w14:textId="77777777">
            <w:pPr>
              <w:pStyle w:val="Tablebody"/>
            </w:pPr>
            <w:r w:rsidRPr="00DB2944">
              <w:t>&lt;NQF#, if applicable&gt;</w:t>
            </w:r>
          </w:p>
          <w:p w:rsidR="00D82597" w:rsidRPr="00DB2944" w:rsidP="00363C94" w14:paraId="793A7F92" w14:textId="77777777">
            <w:pPr>
              <w:pStyle w:val="Tablebody"/>
            </w:pPr>
            <w:r w:rsidRPr="00DB2944">
              <w:t>&lt;Measure Title&gt;</w:t>
            </w:r>
          </w:p>
          <w:p w:rsidR="00D82597" w:rsidRPr="00DB2944" w:rsidP="00363C94" w14:paraId="543D03CA" w14:textId="77777777">
            <w:pPr>
              <w:pStyle w:val="Tablebody"/>
            </w:pPr>
            <w:r w:rsidRPr="00DB2944">
              <w:t>&lt;Collection Type(s)&gt;</w:t>
            </w:r>
          </w:p>
          <w:p w:rsidR="00D82597" w:rsidRPr="00DB2944" w:rsidP="00363C94" w14:paraId="43C7510C" w14:textId="77777777">
            <w:pPr>
              <w:pStyle w:val="Tablebody"/>
            </w:pPr>
            <w:r w:rsidRPr="00DB2944">
              <w:t>&lt;Rationale for Inclusion&gt;</w:t>
            </w:r>
          </w:p>
        </w:tc>
        <w:tc>
          <w:tcPr>
            <w:tcW w:w="3124" w:type="dxa"/>
            <w:tcBorders>
              <w:top w:val="single" w:sz="4" w:space="0" w:color="FFFFFF" w:themeColor="background1"/>
              <w:left w:val="single" w:sz="48" w:space="0" w:color="FFFFFF" w:themeColor="background1"/>
              <w:bottom w:val="nil"/>
              <w:right w:val="single" w:sz="48" w:space="0" w:color="FFFFFF" w:themeColor="background1"/>
            </w:tcBorders>
            <w:shd w:val="clear" w:color="auto" w:fill="F2F2F2" w:themeFill="background1" w:themeFillShade="F2"/>
            <w:tcMar>
              <w:top w:w="144" w:type="dxa"/>
              <w:left w:w="144" w:type="dxa"/>
              <w:bottom w:w="144" w:type="dxa"/>
              <w:right w:w="115" w:type="dxa"/>
            </w:tcMar>
          </w:tcPr>
          <w:p w:rsidR="00D82597" w:rsidRPr="00DB2944" w:rsidP="00363C94" w14:paraId="507D0C14" w14:textId="77777777">
            <w:pPr>
              <w:pStyle w:val="Tablebody"/>
            </w:pPr>
            <w:r w:rsidRPr="00DB2944">
              <w:t>&lt;Improvement Activity ID&gt;</w:t>
            </w:r>
          </w:p>
          <w:p w:rsidR="00D82597" w:rsidRPr="00DB2944" w:rsidP="00363C94" w14:paraId="6845497C" w14:textId="77777777">
            <w:pPr>
              <w:pStyle w:val="Tablebody"/>
            </w:pPr>
            <w:r w:rsidRPr="00DB2944">
              <w:t>&lt;Improvement Activity Title&gt;</w:t>
            </w:r>
          </w:p>
          <w:p w:rsidR="00D82597" w:rsidRPr="00DB2944" w:rsidP="00363C94" w14:paraId="4520FB4E" w14:textId="77777777">
            <w:pPr>
              <w:pStyle w:val="Tablebody"/>
            </w:pPr>
            <w:r w:rsidRPr="00DB2944">
              <w:t>&lt;Rationale for Inclusion&gt;</w:t>
            </w:r>
          </w:p>
        </w:tc>
        <w:tc>
          <w:tcPr>
            <w:tcW w:w="3190" w:type="dxa"/>
            <w:tcBorders>
              <w:top w:val="single" w:sz="4" w:space="0" w:color="FFFFFF" w:themeColor="background1"/>
              <w:left w:val="single" w:sz="48" w:space="0" w:color="FFFFFF" w:themeColor="background1"/>
              <w:bottom w:val="nil"/>
              <w:right w:val="nil"/>
            </w:tcBorders>
            <w:shd w:val="clear" w:color="auto" w:fill="F2F2F2" w:themeFill="background1" w:themeFillShade="F2"/>
            <w:tcMar>
              <w:top w:w="144" w:type="dxa"/>
              <w:left w:w="144" w:type="dxa"/>
              <w:bottom w:w="144" w:type="dxa"/>
              <w:right w:w="115" w:type="dxa"/>
            </w:tcMar>
          </w:tcPr>
          <w:p w:rsidR="00D82597" w:rsidRPr="00DB2944" w:rsidP="00363C94" w14:paraId="1D55B056" w14:textId="77777777">
            <w:pPr>
              <w:pStyle w:val="Tablebody"/>
            </w:pPr>
            <w:r w:rsidRPr="00DB2944">
              <w:t>&lt;Measure ID, if applicable&gt;</w:t>
            </w:r>
          </w:p>
          <w:p w:rsidR="00D82597" w:rsidRPr="00DB2944" w:rsidP="00363C94" w14:paraId="7B5A9447" w14:textId="77777777">
            <w:pPr>
              <w:pStyle w:val="Tablebody"/>
            </w:pPr>
            <w:r w:rsidRPr="00DB2944">
              <w:t>&lt;Measure Title&gt;</w:t>
            </w:r>
          </w:p>
          <w:p w:rsidR="00D82597" w:rsidRPr="00DB2944" w:rsidP="00363C94" w14:paraId="5CF75B1B" w14:textId="77777777">
            <w:pPr>
              <w:pStyle w:val="Tablebody"/>
            </w:pPr>
            <w:r w:rsidRPr="00DB2944">
              <w:t>&lt;Rationale for Inclusion&gt;</w:t>
            </w:r>
          </w:p>
        </w:tc>
      </w:tr>
      <w:bookmarkEnd w:id="29"/>
    </w:tbl>
    <w:p w:rsidR="00C4713A" w:rsidP="00BF1CDD" w14:paraId="04B1F262" w14:textId="4718EEBD">
      <w:pPr>
        <w:rPr>
          <w:rFonts w:ascii="Arial" w:eastAsia="Times New Roman" w:hAnsi="Arial" w:cs="Arial"/>
          <w:b/>
          <w:bCs/>
          <w:sz w:val="22"/>
          <w:szCs w:val="22"/>
        </w:rPr>
      </w:pPr>
    </w:p>
    <w:p w:rsidR="00E53EDA" w:rsidP="00E53EDA" w14:paraId="228BA92B" w14:textId="1A6B9080">
      <w:pPr>
        <w:keepNext/>
        <w:keepLines/>
        <w:jc w:val="center"/>
        <w:rPr>
          <w:rFonts w:ascii="Arial" w:eastAsia="Times New Roman" w:hAnsi="Arial" w:cs="Arial"/>
          <w:b/>
          <w:bCs/>
          <w:sz w:val="22"/>
          <w:szCs w:val="22"/>
        </w:rPr>
      </w:pPr>
      <w:r>
        <w:rPr>
          <w:rFonts w:ascii="Arial" w:eastAsia="Times New Roman" w:hAnsi="Arial" w:cs="Arial"/>
          <w:b/>
          <w:bCs/>
          <w:sz w:val="22"/>
          <w:szCs w:val="22"/>
        </w:rPr>
        <w:t>Table 2B: Foundational Layer – Population Health Measures</w:t>
      </w:r>
    </w:p>
    <w:p w:rsidR="00E53EDA" w:rsidRPr="005D43DE" w:rsidP="00E53EDA" w14:paraId="206A73A5" w14:textId="77777777">
      <w:pPr>
        <w:keepNext/>
        <w:keepLines/>
        <w:rPr>
          <w:rFonts w:ascii="Arial" w:eastAsia="Times New Roman" w:hAnsi="Arial" w:cs="Arial"/>
          <w:b/>
          <w:bCs/>
          <w:sz w:val="22"/>
          <w:szCs w:val="22"/>
        </w:rPr>
      </w:pPr>
    </w:p>
    <w:tbl>
      <w:tblPr>
        <w:tblStyle w:val="TableGrid"/>
        <w:tblW w:w="11410" w:type="dxa"/>
        <w:tblInd w:w="-1060" w:type="dxa"/>
        <w:tblLayout w:type="fixed"/>
        <w:tblLook w:val="0420"/>
      </w:tblPr>
      <w:tblGrid>
        <w:gridCol w:w="1240"/>
        <w:gridCol w:w="2268"/>
        <w:gridCol w:w="1710"/>
        <w:gridCol w:w="1350"/>
        <w:gridCol w:w="1782"/>
        <w:gridCol w:w="1728"/>
        <w:gridCol w:w="1332"/>
      </w:tblGrid>
      <w:tr w14:paraId="317D871D" w14:textId="77777777" w:rsidTr="00E53EDA">
        <w:tblPrEx>
          <w:tblW w:w="11410" w:type="dxa"/>
          <w:tblInd w:w="-1060" w:type="dxa"/>
          <w:tblLayout w:type="fixed"/>
          <w:tblLook w:val="0420"/>
        </w:tblPrEx>
        <w:trPr>
          <w:cantSplit/>
          <w:trHeight w:val="945"/>
          <w:tblHeader/>
        </w:trPr>
        <w:tc>
          <w:tcPr>
            <w:tcW w:w="1240" w:type="dxa"/>
            <w:tcBorders>
              <w:top w:val="nil"/>
              <w:left w:val="nil"/>
              <w:bottom w:val="nil"/>
              <w:right w:val="single" w:sz="48" w:space="0" w:color="FFFFFF" w:themeColor="background1"/>
            </w:tcBorders>
            <w:shd w:val="clear" w:color="auto" w:fill="00838A"/>
            <w:hideMark/>
          </w:tcPr>
          <w:p w:rsidR="00C4713A" w:rsidRPr="00DB2944" w:rsidP="00363C94" w14:paraId="6E3CB502" w14:textId="77777777">
            <w:pPr>
              <w:pStyle w:val="TableHeader"/>
              <w:rPr>
                <w:sz w:val="20"/>
                <w:szCs w:val="20"/>
              </w:rPr>
            </w:pPr>
            <w:bookmarkStart w:id="30" w:name="OLE_LINK26"/>
            <w:r w:rsidRPr="004B38D7">
              <w:t>qualiTY #</w:t>
            </w:r>
          </w:p>
        </w:tc>
        <w:tc>
          <w:tcPr>
            <w:tcW w:w="2268" w:type="dxa"/>
            <w:tcBorders>
              <w:top w:val="nil"/>
              <w:left w:val="single" w:sz="48" w:space="0" w:color="FFFFFF" w:themeColor="background1"/>
              <w:bottom w:val="nil"/>
              <w:right w:val="single" w:sz="48" w:space="0" w:color="FFFFFF" w:themeColor="background1"/>
            </w:tcBorders>
            <w:shd w:val="clear" w:color="auto" w:fill="843C0B" w:themeFill="accent2" w:themeFillShade="80"/>
            <w:hideMark/>
          </w:tcPr>
          <w:p w:rsidR="00C4713A" w:rsidRPr="00DB2944" w:rsidP="00363C94" w14:paraId="29F90F34" w14:textId="77777777">
            <w:pPr>
              <w:pStyle w:val="TableHeader"/>
              <w:rPr>
                <w:sz w:val="20"/>
                <w:szCs w:val="20"/>
              </w:rPr>
            </w:pPr>
            <w:r w:rsidRPr="004B38D7">
              <w:t>mEASURE TITLE AND DESCRIPTION</w:t>
            </w:r>
          </w:p>
        </w:tc>
        <w:tc>
          <w:tcPr>
            <w:tcW w:w="1710" w:type="dxa"/>
            <w:tcBorders>
              <w:top w:val="nil"/>
              <w:left w:val="single" w:sz="48" w:space="0" w:color="FFFFFF" w:themeColor="background1"/>
              <w:bottom w:val="nil"/>
              <w:right w:val="single" w:sz="48" w:space="0" w:color="FFFFFF" w:themeColor="background1"/>
            </w:tcBorders>
            <w:shd w:val="clear" w:color="auto" w:fill="4C7625"/>
            <w:hideMark/>
          </w:tcPr>
          <w:p w:rsidR="00C4713A" w:rsidRPr="00DB2944" w:rsidP="00363C94" w14:paraId="52C912EF" w14:textId="77777777">
            <w:pPr>
              <w:pStyle w:val="TableHeader"/>
              <w:rPr>
                <w:sz w:val="20"/>
                <w:szCs w:val="20"/>
              </w:rPr>
            </w:pPr>
            <w:r w:rsidRPr="004B38D7">
              <w:t>COLLECTION TYPE</w:t>
            </w:r>
          </w:p>
        </w:tc>
        <w:tc>
          <w:tcPr>
            <w:tcW w:w="1350" w:type="dxa"/>
            <w:tcBorders>
              <w:top w:val="nil"/>
              <w:left w:val="single" w:sz="48" w:space="0" w:color="FFFFFF" w:themeColor="background1"/>
              <w:bottom w:val="nil"/>
              <w:right w:val="nil"/>
            </w:tcBorders>
            <w:shd w:val="clear" w:color="auto" w:fill="00838A"/>
            <w:hideMark/>
          </w:tcPr>
          <w:p w:rsidR="00C4713A" w:rsidRPr="00DB2944" w:rsidP="00363C94" w14:paraId="06E83AE3" w14:textId="77777777">
            <w:pPr>
              <w:pStyle w:val="TableHeader"/>
              <w:rPr>
                <w:sz w:val="20"/>
                <w:szCs w:val="20"/>
              </w:rPr>
            </w:pPr>
            <w:r w:rsidRPr="00FC77EF">
              <w:t>MEASURE TYPE / hIGH PRIORITY</w:t>
            </w:r>
          </w:p>
        </w:tc>
        <w:tc>
          <w:tcPr>
            <w:tcW w:w="1782" w:type="dxa"/>
            <w:tcBorders>
              <w:top w:val="nil"/>
              <w:left w:val="single" w:sz="48" w:space="0" w:color="FFFFFF" w:themeColor="background1"/>
              <w:bottom w:val="nil"/>
              <w:right w:val="nil"/>
            </w:tcBorders>
            <w:shd w:val="clear" w:color="auto" w:fill="843C0B" w:themeFill="accent2" w:themeFillShade="80"/>
          </w:tcPr>
          <w:p w:rsidR="00C4713A" w:rsidRPr="00DB2944" w:rsidP="00363C94" w14:paraId="1627C4B3" w14:textId="77777777">
            <w:pPr>
              <w:pStyle w:val="TableHeader"/>
              <w:rPr>
                <w:sz w:val="20"/>
                <w:szCs w:val="20"/>
              </w:rPr>
            </w:pPr>
            <w:r w:rsidRPr="00FC77EF">
              <w:t>NQS DOMAIN</w:t>
            </w:r>
          </w:p>
        </w:tc>
        <w:tc>
          <w:tcPr>
            <w:tcW w:w="1728" w:type="dxa"/>
            <w:tcBorders>
              <w:top w:val="nil"/>
              <w:left w:val="single" w:sz="48" w:space="0" w:color="FFFFFF" w:themeColor="background1"/>
              <w:bottom w:val="nil"/>
              <w:right w:val="nil"/>
            </w:tcBorders>
            <w:shd w:val="clear" w:color="auto" w:fill="4C7625"/>
          </w:tcPr>
          <w:p w:rsidR="00C4713A" w:rsidRPr="00DB2944" w:rsidP="00363C94" w14:paraId="0EB1BD47" w14:textId="77777777">
            <w:pPr>
              <w:pStyle w:val="TableHeader"/>
              <w:rPr>
                <w:sz w:val="20"/>
                <w:szCs w:val="20"/>
              </w:rPr>
            </w:pPr>
            <w:r w:rsidRPr="00FC77EF">
              <w:t>HEALTH CARE PRIORITY</w:t>
            </w:r>
          </w:p>
        </w:tc>
        <w:tc>
          <w:tcPr>
            <w:tcW w:w="1332" w:type="dxa"/>
            <w:tcBorders>
              <w:top w:val="nil"/>
              <w:left w:val="single" w:sz="48" w:space="0" w:color="FFFFFF" w:themeColor="background1"/>
              <w:bottom w:val="nil"/>
              <w:right w:val="single" w:sz="4" w:space="0" w:color="FFFFFF" w:themeColor="background1"/>
            </w:tcBorders>
            <w:shd w:val="clear" w:color="auto" w:fill="00838A"/>
          </w:tcPr>
          <w:p w:rsidR="00C4713A" w:rsidRPr="00DB2944" w:rsidP="00363C94" w14:paraId="53B713C0" w14:textId="77777777">
            <w:pPr>
              <w:pStyle w:val="TableHeader"/>
              <w:rPr>
                <w:sz w:val="20"/>
                <w:szCs w:val="20"/>
              </w:rPr>
            </w:pPr>
            <w:r w:rsidRPr="00FC77EF">
              <w:t>MEASURE STEWARD</w:t>
            </w:r>
          </w:p>
        </w:tc>
      </w:tr>
      <w:tr w14:paraId="7B7B2131" w14:textId="77777777" w:rsidTr="00E53EDA">
        <w:tblPrEx>
          <w:tblW w:w="11410" w:type="dxa"/>
          <w:tblInd w:w="-1060" w:type="dxa"/>
          <w:tblLayout w:type="fixed"/>
          <w:tblLook w:val="0420"/>
        </w:tblPrEx>
        <w:trPr>
          <w:cantSplit/>
          <w:trHeight w:val="873"/>
        </w:trPr>
        <w:tc>
          <w:tcPr>
            <w:tcW w:w="1240" w:type="dxa"/>
            <w:tcBorders>
              <w:top w:val="nil"/>
              <w:left w:val="nil"/>
              <w:bottom w:val="single" w:sz="4" w:space="0" w:color="FFFFFF" w:themeColor="background1"/>
              <w:right w:val="single" w:sz="48" w:space="0" w:color="FFFFFF" w:themeColor="background1"/>
            </w:tcBorders>
            <w:shd w:val="clear" w:color="auto" w:fill="F2F2F2" w:themeFill="background1" w:themeFillShade="F2"/>
            <w:tcMar>
              <w:top w:w="144" w:type="dxa"/>
              <w:left w:w="144" w:type="dxa"/>
              <w:bottom w:w="144" w:type="dxa"/>
              <w:right w:w="115" w:type="dxa"/>
            </w:tcMar>
            <w:hideMark/>
          </w:tcPr>
          <w:p w:rsidR="00A57664" w:rsidP="00363C94" w14:paraId="37B53F9F" w14:textId="77777777">
            <w:pPr>
              <w:pStyle w:val="Tablebody"/>
            </w:pPr>
            <w:r w:rsidRPr="00DB2944">
              <w:t>479</w:t>
            </w:r>
          </w:p>
          <w:p w:rsidR="00372624" w:rsidRPr="00DB2944" w:rsidP="00363C94" w14:paraId="545D9FFE" w14:textId="77777777">
            <w:pPr>
              <w:pStyle w:val="Tablebody"/>
            </w:pPr>
          </w:p>
        </w:tc>
        <w:tc>
          <w:tcPr>
            <w:tcW w:w="2268" w:type="dxa"/>
            <w:tcBorders>
              <w:top w:val="nil"/>
              <w:left w:val="single" w:sz="48" w:space="0" w:color="FFFFFF" w:themeColor="background1"/>
              <w:bottom w:val="single" w:sz="4" w:space="0" w:color="FFFFFF" w:themeColor="background1"/>
              <w:right w:val="single" w:sz="48" w:space="0" w:color="FFFFFF" w:themeColor="background1"/>
            </w:tcBorders>
            <w:shd w:val="clear" w:color="auto" w:fill="F2F2F2" w:themeFill="background1" w:themeFillShade="F2"/>
            <w:tcMar>
              <w:top w:w="144" w:type="dxa"/>
              <w:left w:w="144" w:type="dxa"/>
              <w:bottom w:w="144" w:type="dxa"/>
              <w:right w:w="115" w:type="dxa"/>
            </w:tcMar>
            <w:hideMark/>
          </w:tcPr>
          <w:p w:rsidR="00E06FF0" w:rsidRPr="00DB2944" w:rsidP="00363C94" w14:paraId="20134F64" w14:textId="311F96B5">
            <w:pPr>
              <w:pStyle w:val="Tablebody"/>
            </w:pPr>
            <w:r w:rsidRPr="00CA09C0">
              <w:t>Hospital-Wide, 30-Day, All-Cause Unplanned Readmission (HWR) Rate for the Merit-Based Incentive Payment Program (MIPS Groups</w:t>
            </w:r>
            <w:r w:rsidR="00D956A2">
              <w:t>)</w:t>
            </w:r>
            <w:r w:rsidRPr="00CA09C0">
              <w:t xml:space="preserve"> </w:t>
            </w:r>
          </w:p>
        </w:tc>
        <w:tc>
          <w:tcPr>
            <w:tcW w:w="1710" w:type="dxa"/>
            <w:tcBorders>
              <w:top w:val="nil"/>
              <w:left w:val="single" w:sz="48" w:space="0" w:color="FFFFFF" w:themeColor="background1"/>
              <w:bottom w:val="single" w:sz="4" w:space="0" w:color="FFFFFF" w:themeColor="background1"/>
              <w:right w:val="single" w:sz="48" w:space="0" w:color="FFFFFF" w:themeColor="background1"/>
            </w:tcBorders>
            <w:shd w:val="clear" w:color="auto" w:fill="F2F2F2" w:themeFill="background1" w:themeFillShade="F2"/>
            <w:tcMar>
              <w:top w:w="144" w:type="dxa"/>
              <w:left w:w="144" w:type="dxa"/>
              <w:bottom w:w="144" w:type="dxa"/>
              <w:right w:w="115" w:type="dxa"/>
            </w:tcMar>
            <w:hideMark/>
          </w:tcPr>
          <w:p w:rsidR="00372624" w:rsidRPr="00DB2944" w:rsidP="001D2450" w14:paraId="38A7EA56" w14:textId="7B1DA5F3">
            <w:pPr>
              <w:pStyle w:val="Tablebullets"/>
              <w:numPr>
                <w:ilvl w:val="0"/>
                <w:numId w:val="0"/>
              </w:numPr>
              <w:tabs>
                <w:tab w:val="clear" w:pos="288"/>
              </w:tabs>
            </w:pPr>
            <w:r>
              <w:t>Administrativ</w:t>
            </w:r>
            <w:r w:rsidR="72FB7AD5">
              <w:t>e</w:t>
            </w:r>
            <w:r w:rsidR="79F63D97">
              <w:t xml:space="preserve"> </w:t>
            </w:r>
            <w:r>
              <w:t>Claims</w:t>
            </w:r>
          </w:p>
        </w:tc>
        <w:tc>
          <w:tcPr>
            <w:tcW w:w="1350" w:type="dxa"/>
            <w:tcBorders>
              <w:top w:val="nil"/>
              <w:left w:val="single" w:sz="48" w:space="0" w:color="FFFFFF" w:themeColor="background1"/>
              <w:bottom w:val="single" w:sz="4" w:space="0" w:color="FFFFFF" w:themeColor="background1"/>
              <w:right w:val="nil"/>
            </w:tcBorders>
            <w:shd w:val="clear" w:color="auto" w:fill="F2F2F2" w:themeFill="background1" w:themeFillShade="F2"/>
            <w:tcMar>
              <w:top w:w="144" w:type="dxa"/>
              <w:left w:w="144" w:type="dxa"/>
              <w:bottom w:w="144" w:type="dxa"/>
              <w:right w:w="115" w:type="dxa"/>
            </w:tcMar>
            <w:hideMark/>
          </w:tcPr>
          <w:p w:rsidR="007E31F8" w:rsidRPr="00DB2944" w:rsidP="00363C94" w14:paraId="381339CD" w14:textId="1BE86B48">
            <w:pPr>
              <w:pStyle w:val="Tablebody"/>
            </w:pPr>
            <w:r w:rsidRPr="00DB2944">
              <w:t>Outcome</w:t>
            </w:r>
          </w:p>
        </w:tc>
        <w:tc>
          <w:tcPr>
            <w:tcW w:w="1782" w:type="dxa"/>
            <w:tcBorders>
              <w:top w:val="nil"/>
              <w:left w:val="single" w:sz="48" w:space="0" w:color="FFFFFF" w:themeColor="background1"/>
              <w:bottom w:val="single" w:sz="4" w:space="0" w:color="FFFFFF" w:themeColor="background1"/>
              <w:right w:val="nil"/>
            </w:tcBorders>
            <w:shd w:val="clear" w:color="auto" w:fill="F2F2F2" w:themeFill="background1" w:themeFillShade="F2"/>
          </w:tcPr>
          <w:p w:rsidR="007E31F8" w:rsidRPr="00151F7A" w:rsidP="00363C94" w14:paraId="4B2F82DD" w14:textId="6DB44A77">
            <w:pPr>
              <w:pStyle w:val="Tablebody"/>
            </w:pPr>
            <w:r w:rsidRPr="00151F7A">
              <w:t>Communication and Care Coordination</w:t>
            </w:r>
          </w:p>
        </w:tc>
        <w:tc>
          <w:tcPr>
            <w:tcW w:w="1728" w:type="dxa"/>
            <w:tcBorders>
              <w:top w:val="nil"/>
              <w:left w:val="single" w:sz="48" w:space="0" w:color="FFFFFF" w:themeColor="background1"/>
              <w:bottom w:val="single" w:sz="4" w:space="0" w:color="FFFFFF" w:themeColor="background1"/>
              <w:right w:val="nil"/>
            </w:tcBorders>
            <w:shd w:val="clear" w:color="auto" w:fill="F2F2F2" w:themeFill="background1" w:themeFillShade="F2"/>
          </w:tcPr>
          <w:p w:rsidR="005E4AD1" w:rsidRPr="00DB2944" w:rsidP="00363C94" w14:paraId="77BAF385" w14:textId="3EC50EB2">
            <w:pPr>
              <w:pStyle w:val="Tablebody"/>
            </w:pPr>
            <w:r w:rsidRPr="00DB2944">
              <w:t>Promote Effective Communication &amp; Coordination of Care</w:t>
            </w:r>
          </w:p>
        </w:tc>
        <w:tc>
          <w:tcPr>
            <w:tcW w:w="1332" w:type="dxa"/>
            <w:tcBorders>
              <w:top w:val="nil"/>
              <w:left w:val="single" w:sz="48" w:space="0" w:color="FFFFFF" w:themeColor="background1"/>
              <w:bottom w:val="single" w:sz="4" w:space="0" w:color="FFFFFF" w:themeColor="background1"/>
              <w:right w:val="nil"/>
            </w:tcBorders>
            <w:shd w:val="clear" w:color="auto" w:fill="F2F2F2" w:themeFill="background1" w:themeFillShade="F2"/>
          </w:tcPr>
          <w:p w:rsidR="00372624" w:rsidRPr="00DB2944" w:rsidP="00363C94" w14:paraId="26D60499" w14:textId="7E00A8FA">
            <w:pPr>
              <w:pStyle w:val="Tablebody"/>
            </w:pPr>
            <w:r>
              <w:t>CMS</w:t>
            </w:r>
          </w:p>
        </w:tc>
      </w:tr>
      <w:tr w14:paraId="68EF78A9" w14:textId="77777777" w:rsidTr="00E53EDA">
        <w:tblPrEx>
          <w:tblW w:w="11410" w:type="dxa"/>
          <w:tblInd w:w="-1060" w:type="dxa"/>
          <w:tblLayout w:type="fixed"/>
          <w:tblLook w:val="0420"/>
        </w:tblPrEx>
        <w:trPr>
          <w:cantSplit/>
          <w:trHeight w:val="896"/>
        </w:trPr>
        <w:tc>
          <w:tcPr>
            <w:tcW w:w="1240" w:type="dxa"/>
            <w:tcBorders>
              <w:top w:val="single" w:sz="4" w:space="0" w:color="FFFFFF" w:themeColor="background1"/>
              <w:left w:val="nil"/>
              <w:bottom w:val="single" w:sz="4" w:space="0" w:color="FFFFFF" w:themeColor="background1"/>
              <w:right w:val="single" w:sz="48" w:space="0" w:color="FFFFFF" w:themeColor="background1"/>
            </w:tcBorders>
            <w:shd w:val="clear" w:color="auto" w:fill="F2F2F2" w:themeFill="background1" w:themeFillShade="F2"/>
            <w:tcMar>
              <w:top w:w="144" w:type="dxa"/>
              <w:left w:w="144" w:type="dxa"/>
              <w:bottom w:w="144" w:type="dxa"/>
              <w:right w:w="115" w:type="dxa"/>
            </w:tcMar>
          </w:tcPr>
          <w:p w:rsidR="002715FF" w:rsidRPr="00DB2944" w:rsidP="00363C94" w14:paraId="0908FBC0" w14:textId="2933D435">
            <w:pPr>
              <w:pStyle w:val="Tablebody"/>
            </w:pPr>
            <w:r>
              <w:t>484</w:t>
            </w:r>
          </w:p>
        </w:tc>
        <w:tc>
          <w:tcPr>
            <w:tcW w:w="2268" w:type="dxa"/>
            <w:tcBorders>
              <w:top w:val="single" w:sz="4" w:space="0" w:color="FFFFFF" w:themeColor="background1"/>
              <w:left w:val="single" w:sz="48" w:space="0" w:color="FFFFFF" w:themeColor="background1"/>
              <w:bottom w:val="single" w:sz="4" w:space="0" w:color="FFFFFF" w:themeColor="background1"/>
              <w:right w:val="single" w:sz="48" w:space="0" w:color="FFFFFF" w:themeColor="background1"/>
            </w:tcBorders>
            <w:shd w:val="clear" w:color="auto" w:fill="F2F2F2" w:themeFill="background1" w:themeFillShade="F2"/>
            <w:tcMar>
              <w:top w:w="144" w:type="dxa"/>
              <w:left w:w="144" w:type="dxa"/>
              <w:bottom w:w="144" w:type="dxa"/>
              <w:right w:w="115" w:type="dxa"/>
            </w:tcMar>
          </w:tcPr>
          <w:p w:rsidR="002715FF" w:rsidRPr="00CA09C0" w:rsidP="00363C94" w14:paraId="38AEB916" w14:textId="6C0DFA63">
            <w:pPr>
              <w:pStyle w:val="Tablebody"/>
            </w:pPr>
            <w:r w:rsidRPr="00B2676C">
              <w:t>Clinician and Clinician Group Risk-standardized Hospital Admission Rates for Patients with Multiple Chronic Conditions</w:t>
            </w:r>
          </w:p>
        </w:tc>
        <w:tc>
          <w:tcPr>
            <w:tcW w:w="1710" w:type="dxa"/>
            <w:tcBorders>
              <w:top w:val="single" w:sz="4" w:space="0" w:color="FFFFFF" w:themeColor="background1"/>
              <w:left w:val="single" w:sz="48" w:space="0" w:color="FFFFFF" w:themeColor="background1"/>
              <w:bottom w:val="single" w:sz="4" w:space="0" w:color="FFFFFF" w:themeColor="background1"/>
              <w:right w:val="single" w:sz="48" w:space="0" w:color="FFFFFF" w:themeColor="background1"/>
            </w:tcBorders>
            <w:shd w:val="clear" w:color="auto" w:fill="F2F2F2" w:themeFill="background1" w:themeFillShade="F2"/>
            <w:tcMar>
              <w:top w:w="144" w:type="dxa"/>
              <w:left w:w="144" w:type="dxa"/>
              <w:bottom w:w="144" w:type="dxa"/>
              <w:right w:w="115" w:type="dxa"/>
            </w:tcMar>
          </w:tcPr>
          <w:p w:rsidR="002715FF" w:rsidRPr="00DB2944" w:rsidP="00B20C7D" w14:paraId="21FF4DA5" w14:textId="42B5CCEB">
            <w:pPr>
              <w:pStyle w:val="Tablebullets"/>
              <w:numPr>
                <w:ilvl w:val="0"/>
                <w:numId w:val="0"/>
              </w:numPr>
              <w:tabs>
                <w:tab w:val="clear" w:pos="288"/>
              </w:tabs>
            </w:pPr>
            <w:r>
              <w:t>Administrative Claims</w:t>
            </w:r>
          </w:p>
        </w:tc>
        <w:tc>
          <w:tcPr>
            <w:tcW w:w="1350" w:type="dxa"/>
            <w:tcBorders>
              <w:top w:val="single" w:sz="4" w:space="0" w:color="FFFFFF" w:themeColor="background1"/>
              <w:left w:val="single" w:sz="48" w:space="0" w:color="FFFFFF" w:themeColor="background1"/>
              <w:bottom w:val="single" w:sz="4" w:space="0" w:color="FFFFFF" w:themeColor="background1"/>
              <w:right w:val="nil"/>
            </w:tcBorders>
            <w:shd w:val="clear" w:color="auto" w:fill="F2F2F2" w:themeFill="background1" w:themeFillShade="F2"/>
            <w:tcMar>
              <w:top w:w="144" w:type="dxa"/>
              <w:left w:w="144" w:type="dxa"/>
              <w:bottom w:w="144" w:type="dxa"/>
              <w:right w:w="115" w:type="dxa"/>
            </w:tcMar>
          </w:tcPr>
          <w:p w:rsidR="002715FF" w:rsidRPr="00DB2944" w:rsidP="00363C94" w14:paraId="5A5285D0" w14:textId="060B4CE9">
            <w:pPr>
              <w:pStyle w:val="Tablebody"/>
            </w:pPr>
            <w:r>
              <w:t>Outcome</w:t>
            </w:r>
          </w:p>
        </w:tc>
        <w:tc>
          <w:tcPr>
            <w:tcW w:w="1782" w:type="dxa"/>
            <w:tcBorders>
              <w:top w:val="single" w:sz="4" w:space="0" w:color="FFFFFF" w:themeColor="background1"/>
              <w:left w:val="single" w:sz="48" w:space="0" w:color="FFFFFF" w:themeColor="background1"/>
              <w:bottom w:val="single" w:sz="4" w:space="0" w:color="FFFFFF" w:themeColor="background1"/>
              <w:right w:val="nil"/>
            </w:tcBorders>
            <w:shd w:val="clear" w:color="auto" w:fill="F2F2F2" w:themeFill="background1" w:themeFillShade="F2"/>
          </w:tcPr>
          <w:p w:rsidR="002715FF" w:rsidP="00363C94" w14:paraId="3001031D" w14:textId="77777777">
            <w:pPr>
              <w:pStyle w:val="Tablebody"/>
            </w:pPr>
            <w:r>
              <w:t>Effective Clinical Care</w:t>
            </w:r>
          </w:p>
          <w:p w:rsidR="002715FF" w:rsidRPr="00151F7A" w:rsidP="00363C94" w14:paraId="2AE4525B" w14:textId="77777777">
            <w:pPr>
              <w:pStyle w:val="Tablebody"/>
            </w:pPr>
          </w:p>
        </w:tc>
        <w:tc>
          <w:tcPr>
            <w:tcW w:w="1728" w:type="dxa"/>
            <w:tcBorders>
              <w:top w:val="single" w:sz="4" w:space="0" w:color="FFFFFF" w:themeColor="background1"/>
              <w:left w:val="single" w:sz="48" w:space="0" w:color="FFFFFF" w:themeColor="background1"/>
              <w:bottom w:val="single" w:sz="4" w:space="0" w:color="FFFFFF" w:themeColor="background1"/>
              <w:right w:val="nil"/>
            </w:tcBorders>
            <w:shd w:val="clear" w:color="auto" w:fill="F2F2F2" w:themeFill="background1" w:themeFillShade="F2"/>
          </w:tcPr>
          <w:p w:rsidR="002715FF" w:rsidRPr="00DB2944" w:rsidP="00363C94" w14:paraId="14384614" w14:textId="33F0790F">
            <w:pPr>
              <w:pStyle w:val="Tablebody"/>
            </w:pPr>
            <w:r>
              <w:t>Promote Effective Prevention and Treatment of Chronic Disease</w:t>
            </w:r>
          </w:p>
        </w:tc>
        <w:tc>
          <w:tcPr>
            <w:tcW w:w="1332" w:type="dxa"/>
            <w:tcBorders>
              <w:top w:val="nil"/>
              <w:left w:val="single" w:sz="48" w:space="0" w:color="FFFFFF" w:themeColor="background1"/>
              <w:bottom w:val="single" w:sz="4" w:space="0" w:color="FFFFFF" w:themeColor="background1"/>
              <w:right w:val="nil"/>
            </w:tcBorders>
            <w:shd w:val="clear" w:color="auto" w:fill="F2F2F2" w:themeFill="background1" w:themeFillShade="F2"/>
          </w:tcPr>
          <w:p w:rsidR="002715FF" w:rsidRPr="00DB2944" w:rsidP="00363C94" w14:paraId="4DE518A6" w14:textId="46065B6E">
            <w:pPr>
              <w:pStyle w:val="Tablebody"/>
            </w:pPr>
            <w:r>
              <w:t>CMS</w:t>
            </w:r>
          </w:p>
        </w:tc>
      </w:tr>
    </w:tbl>
    <w:bookmarkEnd w:id="30"/>
    <w:p w:rsidR="005625E2" w:rsidP="00E53EDA" w14:paraId="71C42AF0" w14:textId="1C7D5756">
      <w:pPr>
        <w:keepNext/>
        <w:keepLines/>
        <w:jc w:val="center"/>
        <w:rPr>
          <w:rFonts w:ascii="Arial" w:eastAsia="Times New Roman" w:hAnsi="Arial" w:cs="Arial"/>
          <w:b/>
          <w:bCs/>
          <w:sz w:val="22"/>
          <w:szCs w:val="22"/>
        </w:rPr>
      </w:pPr>
      <w:r>
        <w:rPr>
          <w:rFonts w:ascii="Arial" w:eastAsia="Times New Roman" w:hAnsi="Arial" w:cs="Arial"/>
          <w:b/>
          <w:bCs/>
          <w:sz w:val="22"/>
          <w:szCs w:val="22"/>
        </w:rPr>
        <w:t>Table 2C: Foundational Layer – Promoting Interoperability Measures</w:t>
      </w:r>
    </w:p>
    <w:p w:rsidR="00E53EDA" w:rsidRPr="00E53EDA" w:rsidP="00E53EDA" w14:paraId="0F8C4F05" w14:textId="77777777">
      <w:pPr>
        <w:keepNext/>
        <w:keepLines/>
        <w:rPr>
          <w:rFonts w:ascii="Arial" w:eastAsia="Times New Roman" w:hAnsi="Arial" w:cs="Arial"/>
          <w:b/>
          <w:bCs/>
          <w:sz w:val="22"/>
          <w:szCs w:val="22"/>
        </w:rPr>
      </w:pPr>
    </w:p>
    <w:tbl>
      <w:tblPr>
        <w:tblStyle w:val="TableGrid"/>
        <w:tblW w:w="11340" w:type="dxa"/>
        <w:tblInd w:w="-990" w:type="dxa"/>
        <w:tblLayout w:type="fixed"/>
        <w:tblLook w:val="0420"/>
      </w:tblPr>
      <w:tblGrid>
        <w:gridCol w:w="6"/>
        <w:gridCol w:w="1596"/>
        <w:gridCol w:w="7"/>
        <w:gridCol w:w="3704"/>
        <w:gridCol w:w="1577"/>
        <w:gridCol w:w="7"/>
        <w:gridCol w:w="1666"/>
        <w:gridCol w:w="2777"/>
      </w:tblGrid>
      <w:tr w14:paraId="13585CCC" w14:textId="77777777" w:rsidTr="00E53EDA">
        <w:tblPrEx>
          <w:tblW w:w="11340" w:type="dxa"/>
          <w:tblInd w:w="-990" w:type="dxa"/>
          <w:tblLayout w:type="fixed"/>
          <w:tblLook w:val="0420"/>
        </w:tblPrEx>
        <w:trPr>
          <w:cantSplit/>
          <w:trHeight w:val="695"/>
          <w:tblHeader/>
        </w:trPr>
        <w:tc>
          <w:tcPr>
            <w:tcW w:w="1609" w:type="dxa"/>
            <w:gridSpan w:val="3"/>
            <w:tcBorders>
              <w:top w:val="nil"/>
              <w:left w:val="nil"/>
              <w:bottom w:val="single" w:sz="48" w:space="0" w:color="FFFFFF" w:themeColor="background1"/>
              <w:right w:val="single" w:sz="48" w:space="0" w:color="FFFFFF" w:themeColor="background1"/>
            </w:tcBorders>
            <w:shd w:val="clear" w:color="auto" w:fill="00838A"/>
          </w:tcPr>
          <w:p w:rsidR="00387031" w:rsidRPr="00DB2944" w:rsidP="00363C94" w14:paraId="606DB383" w14:textId="77777777">
            <w:pPr>
              <w:pStyle w:val="TableHeader"/>
            </w:pPr>
            <w:bookmarkStart w:id="31" w:name="OLE_LINK25"/>
            <w:r w:rsidRPr="00DB2944">
              <w:t>O</w:t>
            </w:r>
            <w:r w:rsidRPr="00DB2944">
              <w:t>BJECTIVE</w:t>
            </w:r>
          </w:p>
        </w:tc>
        <w:tc>
          <w:tcPr>
            <w:tcW w:w="3704" w:type="dxa"/>
            <w:tcBorders>
              <w:top w:val="nil"/>
              <w:left w:val="single" w:sz="48" w:space="0" w:color="FFFFFF" w:themeColor="background1"/>
              <w:bottom w:val="single" w:sz="48" w:space="0" w:color="FFFFFF" w:themeColor="background1"/>
              <w:right w:val="single" w:sz="48" w:space="0" w:color="FFFFFF" w:themeColor="background1"/>
            </w:tcBorders>
            <w:shd w:val="clear" w:color="auto" w:fill="843C0B" w:themeFill="accent2" w:themeFillShade="80"/>
          </w:tcPr>
          <w:p w:rsidR="00387031" w:rsidRPr="00DB2944" w:rsidP="00363C94" w14:paraId="6B8C9696" w14:textId="77777777">
            <w:pPr>
              <w:pStyle w:val="TableHeader"/>
            </w:pPr>
            <w:r w:rsidRPr="00DB2944">
              <w:t>MEASURE ID, TITLE, AND DESCRIPTION</w:t>
            </w:r>
          </w:p>
        </w:tc>
        <w:tc>
          <w:tcPr>
            <w:tcW w:w="1584" w:type="dxa"/>
            <w:gridSpan w:val="2"/>
            <w:tcBorders>
              <w:top w:val="nil"/>
              <w:left w:val="single" w:sz="48" w:space="0" w:color="FFFFFF" w:themeColor="background1"/>
              <w:bottom w:val="single" w:sz="4" w:space="0" w:color="FFFFFF" w:themeColor="background1"/>
            </w:tcBorders>
            <w:shd w:val="clear" w:color="auto" w:fill="4C7625"/>
          </w:tcPr>
          <w:p w:rsidR="00387031" w:rsidRPr="00DB2944" w:rsidP="00363C94" w14:paraId="0B79DBDA" w14:textId="77777777">
            <w:pPr>
              <w:pStyle w:val="TableHeader"/>
            </w:pPr>
            <w:r w:rsidRPr="00DB2944">
              <w:t>EXCLUSION AVAILABLE</w:t>
            </w:r>
          </w:p>
        </w:tc>
        <w:tc>
          <w:tcPr>
            <w:tcW w:w="1666" w:type="dxa"/>
            <w:tcBorders>
              <w:top w:val="nil"/>
              <w:left w:val="single" w:sz="48" w:space="0" w:color="FFFFFF" w:themeColor="background1"/>
              <w:bottom w:val="single" w:sz="48" w:space="0" w:color="FFFFFF" w:themeColor="background1"/>
            </w:tcBorders>
            <w:shd w:val="clear" w:color="auto" w:fill="00838A"/>
          </w:tcPr>
          <w:p w:rsidR="00387031" w:rsidRPr="003D64AA" w:rsidP="00363C94" w14:paraId="5CF3E846" w14:textId="13EAC67F">
            <w:pPr>
              <w:pStyle w:val="TableHeader"/>
            </w:pPr>
            <w:r w:rsidRPr="003D64AA">
              <w:t>REQUIRED FOR P</w:t>
            </w:r>
            <w:r w:rsidRPr="003D64AA" w:rsidR="00705B86">
              <w:t xml:space="preserve">romoting </w:t>
            </w:r>
            <w:r w:rsidRPr="003D64AA">
              <w:t>I</w:t>
            </w:r>
            <w:r w:rsidRPr="003D64AA" w:rsidR="00705B86">
              <w:t>nteroperability</w:t>
            </w:r>
          </w:p>
        </w:tc>
        <w:tc>
          <w:tcPr>
            <w:tcW w:w="2777" w:type="dxa"/>
            <w:tcBorders>
              <w:top w:val="nil"/>
              <w:left w:val="single" w:sz="48" w:space="0" w:color="FFFFFF" w:themeColor="background1"/>
              <w:bottom w:val="single" w:sz="48" w:space="0" w:color="FFFFFF" w:themeColor="background1"/>
            </w:tcBorders>
            <w:shd w:val="clear" w:color="auto" w:fill="843C0B" w:themeFill="accent2" w:themeFillShade="80"/>
          </w:tcPr>
          <w:p w:rsidR="00387031" w:rsidRPr="00DB2944" w:rsidP="00363C94" w14:paraId="1422BA78" w14:textId="77777777">
            <w:pPr>
              <w:pStyle w:val="TableHeader"/>
            </w:pPr>
            <w:r w:rsidRPr="00DB2944">
              <w:t>ADDITIONAL INFORMATION</w:t>
            </w:r>
          </w:p>
        </w:tc>
      </w:tr>
      <w:tr w14:paraId="1A829FD7" w14:textId="24DCCE89" w:rsidTr="00E53EDA">
        <w:tblPrEx>
          <w:tblW w:w="11340" w:type="dxa"/>
          <w:tblInd w:w="-990" w:type="dxa"/>
          <w:tblLayout w:type="fixed"/>
          <w:tblLook w:val="0420"/>
        </w:tblPrEx>
        <w:trPr>
          <w:cantSplit/>
          <w:trHeight w:val="3717"/>
        </w:trPr>
        <w:tc>
          <w:tcPr>
            <w:tcW w:w="1602" w:type="dxa"/>
            <w:gridSpan w:val="2"/>
            <w:tcBorders>
              <w:top w:val="single" w:sz="48" w:space="0" w:color="FFFFFF" w:themeColor="background1"/>
              <w:left w:val="single" w:sz="48" w:space="0" w:color="FFFFFF" w:themeColor="background1"/>
              <w:bottom w:val="single" w:sz="4" w:space="0" w:color="FFFFFF" w:themeColor="background1"/>
              <w:right w:val="single" w:sz="48" w:space="0" w:color="FFFFFF" w:themeColor="background1"/>
            </w:tcBorders>
            <w:shd w:val="clear" w:color="auto" w:fill="F2F2F2" w:themeFill="background1" w:themeFillShade="F2"/>
            <w:tcMar>
              <w:top w:w="144" w:type="dxa"/>
              <w:left w:w="144" w:type="dxa"/>
              <w:bottom w:w="144" w:type="dxa"/>
              <w:right w:w="115" w:type="dxa"/>
            </w:tcMar>
          </w:tcPr>
          <w:p w:rsidR="00387031" w:rsidRPr="00DB2944" w:rsidP="00B20C7D" w14:paraId="3FECB15C" w14:textId="77777777">
            <w:pPr>
              <w:pStyle w:val="Tablebullets"/>
              <w:numPr>
                <w:ilvl w:val="0"/>
                <w:numId w:val="0"/>
              </w:numPr>
              <w:tabs>
                <w:tab w:val="clear" w:pos="288"/>
              </w:tabs>
              <w:ind w:left="-60"/>
            </w:pPr>
            <w:bookmarkStart w:id="32" w:name="_Hlk117606956"/>
            <w:r>
              <w:t>Protect Patient Health Information</w:t>
            </w:r>
          </w:p>
        </w:tc>
        <w:tc>
          <w:tcPr>
            <w:tcW w:w="3711" w:type="dxa"/>
            <w:gridSpan w:val="2"/>
            <w:tcBorders>
              <w:left w:val="single" w:sz="48" w:space="0" w:color="FFFFFF" w:themeColor="background1"/>
              <w:bottom w:val="single" w:sz="4" w:space="0" w:color="FFFFFF" w:themeColor="background1"/>
              <w:right w:val="single" w:sz="48" w:space="0" w:color="FFFFFF" w:themeColor="background1"/>
            </w:tcBorders>
            <w:shd w:val="clear" w:color="auto" w:fill="F2F2F2" w:themeFill="background1" w:themeFillShade="F2"/>
            <w:tcMar>
              <w:top w:w="144" w:type="dxa"/>
              <w:left w:w="144" w:type="dxa"/>
              <w:bottom w:w="144" w:type="dxa"/>
              <w:right w:w="115" w:type="dxa"/>
            </w:tcMar>
          </w:tcPr>
          <w:p w:rsidR="00387031" w:rsidRPr="00DB2944" w:rsidP="00E6023C" w14:paraId="765CF98D" w14:textId="2243378B">
            <w:pPr>
              <w:rPr>
                <w:rFonts w:ascii="Arial" w:hAnsi="Arial" w:cs="Arial"/>
                <w:color w:val="003067"/>
                <w:sz w:val="22"/>
                <w:szCs w:val="22"/>
              </w:rPr>
            </w:pPr>
            <w:r w:rsidRPr="00DB2944">
              <w:rPr>
                <w:rFonts w:ascii="Arial" w:hAnsi="Arial" w:cs="Arial"/>
                <w:b/>
                <w:color w:val="003067"/>
                <w:sz w:val="22"/>
                <w:szCs w:val="22"/>
              </w:rPr>
              <w:t>PI_PPHI_1:</w:t>
            </w:r>
            <w:r w:rsidRPr="00DB2944">
              <w:rPr>
                <w:rFonts w:ascii="Arial" w:hAnsi="Arial" w:cs="Arial"/>
                <w:color w:val="003067"/>
                <w:sz w:val="22"/>
                <w:szCs w:val="22"/>
              </w:rPr>
              <w:t xml:space="preserve"> </w:t>
            </w:r>
            <w:r w:rsidRPr="00DB2944">
              <w:rPr>
                <w:rFonts w:ascii="Arial" w:hAnsi="Arial" w:cs="Arial"/>
                <w:b/>
                <w:color w:val="003067"/>
                <w:sz w:val="22"/>
                <w:szCs w:val="22"/>
              </w:rPr>
              <w:t>Security Risk Analysis</w:t>
            </w:r>
            <w:r w:rsidRPr="00BD49B5">
              <w:rPr>
                <w:rFonts w:ascii="Arial" w:hAnsi="Arial" w:cs="Arial"/>
                <w:b/>
                <w:color w:val="003067"/>
                <w:sz w:val="22"/>
                <w:szCs w:val="22"/>
              </w:rPr>
              <w:t>:</w:t>
            </w:r>
          </w:p>
          <w:p w:rsidR="00387031" w:rsidRPr="00DB2944" w:rsidP="00B20C7D" w14:paraId="67DE7BF9" w14:textId="471DB64F">
            <w:pPr>
              <w:pStyle w:val="Tablebullets"/>
              <w:numPr>
                <w:ilvl w:val="0"/>
                <w:numId w:val="0"/>
              </w:numPr>
              <w:tabs>
                <w:tab w:val="clear" w:pos="288"/>
              </w:tabs>
            </w:pPr>
            <w:r>
              <w:t>Conduct or review a security risk analysis in</w:t>
            </w:r>
            <w:r w:rsidR="51D3916F">
              <w:t xml:space="preserve"> </w:t>
            </w:r>
            <w:r>
              <w:t>accordance with the requirements in 45 CFR 164.308(a)(1), including addressing the security (to include encryption) of ePHI data created or maintained by certified electronic health record technology (CEHRT) in accordance with requirements in 45 CFR 164.312(a)(2)(iv) and 45 CFR 164.306(d)(3), implement security updates as necessary, and correct identified security deficiencies as part of the MIPS eligible clinician’s risk management process.</w:t>
            </w:r>
          </w:p>
        </w:tc>
        <w:tc>
          <w:tcPr>
            <w:tcW w:w="1577" w:type="dxa"/>
            <w:tcBorders>
              <w:top w:val="single" w:sz="48" w:space="0" w:color="FFFFFF" w:themeColor="background1"/>
              <w:left w:val="single" w:sz="48" w:space="0" w:color="FFFFFF" w:themeColor="background1"/>
              <w:bottom w:val="single" w:sz="4" w:space="0" w:color="FFFFFF" w:themeColor="background1"/>
            </w:tcBorders>
            <w:shd w:val="clear" w:color="auto" w:fill="F2F2F2" w:themeFill="background1" w:themeFillShade="F2"/>
            <w:tcMar>
              <w:top w:w="144" w:type="dxa"/>
              <w:left w:w="144" w:type="dxa"/>
              <w:bottom w:w="144" w:type="dxa"/>
              <w:right w:w="115" w:type="dxa"/>
            </w:tcMar>
          </w:tcPr>
          <w:p w:rsidR="00387031" w:rsidRPr="00DB2944" w:rsidP="0095626E" w14:paraId="5D46F312" w14:textId="77777777">
            <w:pPr>
              <w:pStyle w:val="Tablebullets"/>
              <w:numPr>
                <w:ilvl w:val="0"/>
                <w:numId w:val="0"/>
              </w:numPr>
              <w:tabs>
                <w:tab w:val="clear" w:pos="288"/>
              </w:tabs>
              <w:ind w:left="90"/>
            </w:pPr>
            <w:r>
              <w:t>No</w:t>
            </w:r>
          </w:p>
        </w:tc>
        <w:tc>
          <w:tcPr>
            <w:tcW w:w="1673" w:type="dxa"/>
            <w:gridSpan w:val="2"/>
            <w:tcBorders>
              <w:left w:val="single" w:sz="48" w:space="0" w:color="FFFFFF" w:themeColor="background1"/>
              <w:bottom w:val="single" w:sz="4" w:space="0" w:color="FFFFFF" w:themeColor="background1"/>
            </w:tcBorders>
            <w:shd w:val="clear" w:color="auto" w:fill="F2F2F2" w:themeFill="background1" w:themeFillShade="F2"/>
          </w:tcPr>
          <w:p w:rsidR="00387031" w:rsidRPr="00DB2944" w:rsidP="00711C7B" w14:paraId="05E7DDCC" w14:textId="77777777">
            <w:pPr>
              <w:pStyle w:val="Tablebullets"/>
              <w:numPr>
                <w:ilvl w:val="0"/>
                <w:numId w:val="0"/>
              </w:numPr>
              <w:tabs>
                <w:tab w:val="clear" w:pos="288"/>
              </w:tabs>
              <w:ind w:left="90"/>
            </w:pPr>
            <w:r>
              <w:t>Yes</w:t>
            </w:r>
          </w:p>
        </w:tc>
        <w:tc>
          <w:tcPr>
            <w:tcW w:w="2777" w:type="dxa"/>
            <w:tcBorders>
              <w:top w:val="single" w:sz="48" w:space="0" w:color="FFFFFF" w:themeColor="background1"/>
              <w:left w:val="single" w:sz="48" w:space="0" w:color="FFFFFF" w:themeColor="background1"/>
              <w:bottom w:val="single" w:sz="4" w:space="0" w:color="FFFFFF" w:themeColor="background1"/>
              <w:right w:val="nil"/>
            </w:tcBorders>
            <w:shd w:val="clear" w:color="auto" w:fill="F2F2F2" w:themeFill="background1" w:themeFillShade="F2"/>
          </w:tcPr>
          <w:p w:rsidR="00387031" w:rsidRPr="00DB2944" w:rsidP="00711C7B" w14:paraId="2B348FEF" w14:textId="3BD67A23">
            <w:pPr>
              <w:pStyle w:val="Tablebullets"/>
              <w:numPr>
                <w:ilvl w:val="0"/>
                <w:numId w:val="0"/>
              </w:numPr>
              <w:tabs>
                <w:tab w:val="clear" w:pos="288"/>
              </w:tabs>
              <w:ind w:left="90"/>
              <w:rPr>
                <w:b/>
              </w:rPr>
            </w:pPr>
            <w:r>
              <w:t xml:space="preserve">Annual requirement for </w:t>
            </w:r>
            <w:r w:rsidR="210C966A">
              <w:t>Promoting Interoperability</w:t>
            </w:r>
            <w:r>
              <w:t xml:space="preserve"> submission but not scored.</w:t>
            </w:r>
          </w:p>
        </w:tc>
      </w:tr>
      <w:bookmarkEnd w:id="32"/>
      <w:tr w14:paraId="6193CE12" w14:textId="77777777" w:rsidTr="00E53EDA">
        <w:tblPrEx>
          <w:tblW w:w="11340" w:type="dxa"/>
          <w:tblInd w:w="-990" w:type="dxa"/>
          <w:tblLayout w:type="fixed"/>
          <w:tblLook w:val="0420"/>
        </w:tblPrEx>
        <w:trPr>
          <w:gridBefore w:val="1"/>
          <w:wBefore w:w="6" w:type="dxa"/>
          <w:cantSplit/>
          <w:trHeight w:val="1310"/>
        </w:trPr>
        <w:tc>
          <w:tcPr>
            <w:tcW w:w="1596" w:type="dxa"/>
            <w:tcBorders>
              <w:top w:val="single" w:sz="4" w:space="0" w:color="FFFFFF" w:themeColor="background1"/>
              <w:left w:val="single" w:sz="48" w:space="0" w:color="FFFFFF" w:themeColor="background1"/>
              <w:bottom w:val="single" w:sz="4" w:space="0" w:color="FFFFFF" w:themeColor="background1"/>
              <w:right w:val="single" w:sz="48" w:space="0" w:color="FFFFFF" w:themeColor="background1"/>
            </w:tcBorders>
            <w:shd w:val="clear" w:color="auto" w:fill="F2F2F2" w:themeFill="background1" w:themeFillShade="F2"/>
            <w:tcMar>
              <w:top w:w="144" w:type="dxa"/>
              <w:left w:w="144" w:type="dxa"/>
              <w:bottom w:w="144" w:type="dxa"/>
              <w:right w:w="115" w:type="dxa"/>
            </w:tcMar>
          </w:tcPr>
          <w:p w:rsidR="00D12F36" w:rsidRPr="00D12F36" w:rsidP="00711C7B" w14:paraId="20D0E29E" w14:textId="77777777">
            <w:pPr>
              <w:pStyle w:val="Tablebullets"/>
              <w:numPr>
                <w:ilvl w:val="0"/>
                <w:numId w:val="0"/>
              </w:numPr>
              <w:tabs>
                <w:tab w:val="clear" w:pos="288"/>
              </w:tabs>
              <w:ind w:left="-60"/>
            </w:pPr>
            <w:r>
              <w:t>Protect Patient Health Information</w:t>
            </w:r>
          </w:p>
        </w:tc>
        <w:tc>
          <w:tcPr>
            <w:tcW w:w="3711" w:type="dxa"/>
            <w:gridSpan w:val="2"/>
            <w:tcBorders>
              <w:top w:val="single" w:sz="4" w:space="0" w:color="FFFFFF" w:themeColor="background1"/>
              <w:left w:val="single" w:sz="48" w:space="0" w:color="FFFFFF" w:themeColor="background1"/>
              <w:bottom w:val="single" w:sz="4" w:space="0" w:color="FFFFFF" w:themeColor="background1"/>
              <w:right w:val="single" w:sz="48" w:space="0" w:color="FFFFFF" w:themeColor="background1"/>
            </w:tcBorders>
            <w:shd w:val="clear" w:color="auto" w:fill="F2F2F2" w:themeFill="background1" w:themeFillShade="F2"/>
            <w:tcMar>
              <w:top w:w="144" w:type="dxa"/>
              <w:left w:w="144" w:type="dxa"/>
              <w:bottom w:w="144" w:type="dxa"/>
              <w:right w:w="115" w:type="dxa"/>
            </w:tcMar>
          </w:tcPr>
          <w:p w:rsidR="00D12F36" w:rsidRPr="0095626E" w:rsidP="00363C94" w14:paraId="08928FDC" w14:textId="77777777">
            <w:pPr>
              <w:pStyle w:val="Tablebody"/>
              <w:rPr>
                <w:b/>
              </w:rPr>
            </w:pPr>
            <w:r w:rsidRPr="0095626E">
              <w:rPr>
                <w:b/>
              </w:rPr>
              <w:t>PI_PPHI_2: Safety Assurance Factors for EHR Resilience Guide (SAFER Guide):</w:t>
            </w:r>
          </w:p>
          <w:p w:rsidR="00D12F36" w:rsidRPr="00D12F36" w:rsidP="004B38D7" w14:paraId="79A590D5" w14:textId="77777777">
            <w:pPr>
              <w:pStyle w:val="Tablebullets"/>
              <w:numPr>
                <w:ilvl w:val="0"/>
                <w:numId w:val="0"/>
              </w:numPr>
            </w:pPr>
            <w:r>
              <w:t>Conduct an annual self-assessment using the High Priority Practices Guide at any point during the calendar year in which the performance period occurs.</w:t>
            </w:r>
          </w:p>
        </w:tc>
        <w:tc>
          <w:tcPr>
            <w:tcW w:w="1577" w:type="dxa"/>
            <w:tcBorders>
              <w:top w:val="single" w:sz="4" w:space="0" w:color="FFFFFF" w:themeColor="background1"/>
              <w:left w:val="single" w:sz="48" w:space="0" w:color="FFFFFF" w:themeColor="background1"/>
              <w:bottom w:val="single" w:sz="4" w:space="0" w:color="FFFFFF" w:themeColor="background1"/>
            </w:tcBorders>
            <w:shd w:val="clear" w:color="auto" w:fill="F2F2F2" w:themeFill="background1" w:themeFillShade="F2"/>
            <w:tcMar>
              <w:top w:w="144" w:type="dxa"/>
              <w:left w:w="144" w:type="dxa"/>
              <w:bottom w:w="144" w:type="dxa"/>
              <w:right w:w="115" w:type="dxa"/>
            </w:tcMar>
          </w:tcPr>
          <w:p w:rsidR="00D12F36" w:rsidRPr="00D12F36" w:rsidP="007B3649" w14:paraId="5FB23822" w14:textId="77777777">
            <w:pPr>
              <w:pStyle w:val="Tablebullets"/>
              <w:numPr>
                <w:ilvl w:val="0"/>
                <w:numId w:val="0"/>
              </w:numPr>
              <w:tabs>
                <w:tab w:val="clear" w:pos="288"/>
              </w:tabs>
              <w:ind w:left="90"/>
            </w:pPr>
            <w:r>
              <w:t>No</w:t>
            </w:r>
          </w:p>
        </w:tc>
        <w:tc>
          <w:tcPr>
            <w:tcW w:w="1673" w:type="dxa"/>
            <w:gridSpan w:val="2"/>
            <w:tcBorders>
              <w:top w:val="single" w:sz="4" w:space="0" w:color="FFFFFF" w:themeColor="background1"/>
              <w:left w:val="single" w:sz="48" w:space="0" w:color="FFFFFF" w:themeColor="background1"/>
              <w:bottom w:val="single" w:sz="4" w:space="0" w:color="FFFFFF" w:themeColor="background1"/>
            </w:tcBorders>
            <w:shd w:val="clear" w:color="auto" w:fill="F2F2F2" w:themeFill="background1" w:themeFillShade="F2"/>
          </w:tcPr>
          <w:p w:rsidR="00D12F36" w:rsidRPr="00D12F36" w:rsidP="004B38D7" w14:paraId="53205AD3" w14:textId="77777777">
            <w:pPr>
              <w:pStyle w:val="Tablebullets"/>
              <w:numPr>
                <w:ilvl w:val="0"/>
                <w:numId w:val="0"/>
              </w:numPr>
            </w:pPr>
            <w:r>
              <w:t>Yes</w:t>
            </w:r>
          </w:p>
        </w:tc>
        <w:tc>
          <w:tcPr>
            <w:tcW w:w="2777" w:type="dxa"/>
            <w:tcBorders>
              <w:top w:val="single" w:sz="4" w:space="0" w:color="FFFFFF" w:themeColor="background1"/>
              <w:left w:val="single" w:sz="48" w:space="0" w:color="FFFFFF" w:themeColor="background1"/>
              <w:bottom w:val="single" w:sz="4" w:space="0" w:color="FFFFFF" w:themeColor="background1"/>
              <w:right w:val="nil"/>
            </w:tcBorders>
            <w:shd w:val="clear" w:color="auto" w:fill="F2F2F2" w:themeFill="background1" w:themeFillShade="F2"/>
          </w:tcPr>
          <w:p w:rsidR="00D12F36" w:rsidRPr="00D12F36" w:rsidP="00711C7B" w14:paraId="1B492EC4" w14:textId="0DF068D8">
            <w:pPr>
              <w:pStyle w:val="Tablebullets"/>
              <w:numPr>
                <w:ilvl w:val="0"/>
                <w:numId w:val="0"/>
              </w:numPr>
              <w:tabs>
                <w:tab w:val="clear" w:pos="288"/>
              </w:tabs>
              <w:ind w:left="90"/>
            </w:pPr>
            <w:r>
              <w:t>Annual</w:t>
            </w:r>
            <w:r w:rsidR="51D3916F">
              <w:t xml:space="preserve"> </w:t>
            </w:r>
            <w:r>
              <w:t>requirement for Promoting Interoperability submission but not scored.</w:t>
            </w:r>
          </w:p>
        </w:tc>
      </w:tr>
      <w:tr w14:paraId="0D73C289" w14:textId="77777777" w:rsidTr="00E53EDA">
        <w:tblPrEx>
          <w:tblW w:w="11340" w:type="dxa"/>
          <w:tblInd w:w="-990" w:type="dxa"/>
          <w:tblLayout w:type="fixed"/>
          <w:tblLook w:val="0420"/>
        </w:tblPrEx>
        <w:trPr>
          <w:gridBefore w:val="1"/>
          <w:wBefore w:w="6" w:type="dxa"/>
          <w:cantSplit/>
          <w:trHeight w:val="1283"/>
        </w:trPr>
        <w:tc>
          <w:tcPr>
            <w:tcW w:w="1596" w:type="dxa"/>
            <w:tcBorders>
              <w:top w:val="single" w:sz="4"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rsidR="00824C79" w:rsidP="00E53EDA" w14:paraId="4264218F" w14:textId="0FD471CD">
            <w:pPr>
              <w:pStyle w:val="Tablebody"/>
              <w:spacing w:before="200"/>
            </w:pPr>
            <w:bookmarkStart w:id="33" w:name="OLE_LINK10"/>
            <w:r>
              <w:t>Attestation</w:t>
            </w:r>
            <w:bookmarkEnd w:id="33"/>
          </w:p>
        </w:tc>
        <w:tc>
          <w:tcPr>
            <w:tcW w:w="3711" w:type="dxa"/>
            <w:gridSpan w:val="2"/>
            <w:tcBorders>
              <w:top w:val="single" w:sz="4"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hideMark/>
          </w:tcPr>
          <w:p w:rsidR="00824C79" w:rsidRPr="0095626E" w:rsidP="00E53EDA" w14:paraId="16684384" w14:textId="77777777">
            <w:pPr>
              <w:pStyle w:val="Tablebody"/>
              <w:spacing w:before="200" w:after="200"/>
              <w:rPr>
                <w:b/>
              </w:rPr>
            </w:pPr>
            <w:r w:rsidRPr="0095626E">
              <w:rPr>
                <w:b/>
              </w:rPr>
              <w:t xml:space="preserve">PI_ONCDIR_1: ONC-Direct Review Attestation: </w:t>
            </w:r>
          </w:p>
          <w:p w:rsidR="00824C79" w:rsidP="00363C94" w14:paraId="38F2ED41" w14:textId="77777777">
            <w:pPr>
              <w:pStyle w:val="Tablebody"/>
            </w:pPr>
            <w:r>
              <w:t>I attest that I - (1) Acknowledge the requirement to cooperate in good faith with ONC direct review of his or her health information technology certified under the ONC Health IT Certification Program if a request to assist in ONC direct review is received; and (2) If requested, cooperated in good faith with ONC direct review of his or her health information technology certified under the ONC Health IT Certification Program as authorized by 45 CFR part 170, subpart E, to the extent that such technology meets (or can be used to meet) the definition of CEHRT, including by permitting timely access to such technology and demonstrating its capabilities as implemented and used by the MIPS eligible clinician in the field.</w:t>
            </w:r>
          </w:p>
        </w:tc>
        <w:tc>
          <w:tcPr>
            <w:tcW w:w="1577" w:type="dxa"/>
            <w:tcBorders>
              <w:top w:val="single" w:sz="4"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hideMark/>
          </w:tcPr>
          <w:p w:rsidR="00824C79" w:rsidP="00E53EDA" w14:paraId="5A84A955" w14:textId="77777777">
            <w:pPr>
              <w:pStyle w:val="Tablebody"/>
              <w:spacing w:before="200"/>
            </w:pPr>
            <w:r>
              <w:t>No</w:t>
            </w:r>
          </w:p>
        </w:tc>
        <w:tc>
          <w:tcPr>
            <w:tcW w:w="1673" w:type="dxa"/>
            <w:gridSpan w:val="2"/>
            <w:tcBorders>
              <w:top w:val="single" w:sz="4"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hideMark/>
          </w:tcPr>
          <w:p w:rsidR="00824C79" w:rsidP="00E53EDA" w14:paraId="2E61101A" w14:textId="77777777">
            <w:pPr>
              <w:pStyle w:val="Tablebody"/>
              <w:spacing w:before="200"/>
            </w:pPr>
            <w:r>
              <w:t>Yes</w:t>
            </w:r>
          </w:p>
        </w:tc>
        <w:tc>
          <w:tcPr>
            <w:tcW w:w="2777" w:type="dxa"/>
            <w:tcBorders>
              <w:top w:val="single" w:sz="4"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rsidR="00824C79" w:rsidP="00E53EDA" w14:paraId="6AE98A9A" w14:textId="7858992A">
            <w:pPr>
              <w:pStyle w:val="Tablebullets"/>
              <w:numPr>
                <w:ilvl w:val="0"/>
                <w:numId w:val="0"/>
              </w:numPr>
              <w:tabs>
                <w:tab w:val="clear" w:pos="288"/>
              </w:tabs>
              <w:spacing w:before="200"/>
              <w:ind w:left="90"/>
            </w:pPr>
            <w:bookmarkStart w:id="34" w:name="OLE_LINK99"/>
            <w:r>
              <w:t>Annual requirement for Promoting Interoperability submission but not scored.</w:t>
            </w:r>
            <w:bookmarkEnd w:id="34"/>
          </w:p>
        </w:tc>
      </w:tr>
      <w:tr w14:paraId="7CAF7CF2" w14:textId="77777777" w:rsidTr="00E53EDA">
        <w:tblPrEx>
          <w:tblW w:w="11340" w:type="dxa"/>
          <w:tblInd w:w="-990" w:type="dxa"/>
          <w:tblLayout w:type="fixed"/>
          <w:tblLook w:val="0420"/>
        </w:tblPrEx>
        <w:trPr>
          <w:gridBefore w:val="1"/>
          <w:wBefore w:w="6" w:type="dxa"/>
          <w:cantSplit/>
          <w:trHeight w:val="1310"/>
        </w:trPr>
        <w:tc>
          <w:tcPr>
            <w:tcW w:w="1596" w:type="dxa"/>
            <w:tcBorders>
              <w:top w:val="single" w:sz="4" w:space="0" w:color="FFFFFF" w:themeColor="background1"/>
              <w:left w:val="single" w:sz="48" w:space="0" w:color="FFFFFF" w:themeColor="background1"/>
              <w:bottom w:val="single" w:sz="4" w:space="0" w:color="FFFFFF" w:themeColor="background1"/>
              <w:right w:val="single" w:sz="48" w:space="0" w:color="FFFFFF" w:themeColor="background1"/>
            </w:tcBorders>
            <w:shd w:val="clear" w:color="auto" w:fill="F2F2F2" w:themeFill="background1" w:themeFillShade="F2"/>
          </w:tcPr>
          <w:p w:rsidR="009877D3" w:rsidRPr="00DB2944" w:rsidP="00214246" w14:paraId="19F34889" w14:textId="4CDCD8BB">
            <w:pPr>
              <w:pStyle w:val="Tablebullets"/>
              <w:numPr>
                <w:ilvl w:val="0"/>
                <w:numId w:val="0"/>
              </w:numPr>
              <w:tabs>
                <w:tab w:val="clear" w:pos="288"/>
              </w:tabs>
              <w:ind w:left="-60"/>
            </w:pPr>
            <w:r>
              <w:t>Attestation</w:t>
            </w:r>
          </w:p>
        </w:tc>
        <w:tc>
          <w:tcPr>
            <w:tcW w:w="3711" w:type="dxa"/>
            <w:gridSpan w:val="2"/>
            <w:tcBorders>
              <w:top w:val="single" w:sz="48" w:space="0" w:color="FFFFFF" w:themeColor="background1"/>
              <w:left w:val="single" w:sz="48" w:space="0" w:color="FFFFFF" w:themeColor="background1"/>
              <w:bottom w:val="single" w:sz="4" w:space="0" w:color="FFFFFF" w:themeColor="background1"/>
              <w:right w:val="single" w:sz="48" w:space="0" w:color="FFFFFF" w:themeColor="background1"/>
            </w:tcBorders>
            <w:shd w:val="clear" w:color="auto" w:fill="F2F2F2" w:themeFill="background1" w:themeFillShade="F2"/>
          </w:tcPr>
          <w:p w:rsidR="009877D3" w:rsidRPr="0095626E" w:rsidP="00363C94" w14:paraId="219B78EA" w14:textId="73C6E706">
            <w:pPr>
              <w:pStyle w:val="Tablebody"/>
              <w:rPr>
                <w:b/>
              </w:rPr>
            </w:pPr>
            <w:r w:rsidRPr="0095626E">
              <w:rPr>
                <w:b/>
              </w:rPr>
              <w:t>PI_INFBLO_2</w:t>
            </w:r>
            <w:r w:rsidRPr="0095626E" w:rsidR="007E14CF">
              <w:rPr>
                <w:b/>
              </w:rPr>
              <w:t>:</w:t>
            </w:r>
            <w:r w:rsidRPr="0095626E" w:rsidR="003A0E8A">
              <w:rPr>
                <w:b/>
              </w:rPr>
              <w:t xml:space="preserve"> </w:t>
            </w:r>
            <w:r w:rsidRPr="0095626E" w:rsidR="00701C64">
              <w:rPr>
                <w:b/>
              </w:rPr>
              <w:t>Actions to Limit or Restrict Compatibility or Interoperability of CEHRT</w:t>
            </w:r>
            <w:r w:rsidRPr="0095626E" w:rsidR="0073223F">
              <w:rPr>
                <w:b/>
              </w:rPr>
              <w:t xml:space="preserve">: </w:t>
            </w:r>
          </w:p>
          <w:p w:rsidR="006D5683" w:rsidRPr="00E6023C" w:rsidP="00363C94" w14:paraId="25326D23" w14:textId="7CD12C33">
            <w:pPr>
              <w:pStyle w:val="Tablebody"/>
            </w:pPr>
            <w:r w:rsidRPr="006D5683">
              <w:t xml:space="preserve">I attest to CMS that I did not knowingly and willfully </w:t>
            </w:r>
            <w:r w:rsidRPr="006D5683">
              <w:t>take action</w:t>
            </w:r>
            <w:r w:rsidRPr="006D5683">
              <w:t xml:space="preserve"> (such as to disable functionality) to limit or restrict the compatibility or interoperability of certified EHR technology.</w:t>
            </w:r>
          </w:p>
        </w:tc>
        <w:tc>
          <w:tcPr>
            <w:tcW w:w="1577" w:type="dxa"/>
            <w:tcBorders>
              <w:top w:val="single" w:sz="48" w:space="0" w:color="FFFFFF" w:themeColor="background1"/>
              <w:left w:val="single" w:sz="48" w:space="0" w:color="FFFFFF" w:themeColor="background1"/>
              <w:bottom w:val="single" w:sz="4" w:space="0" w:color="FFFFFF" w:themeColor="background1"/>
              <w:right w:val="single" w:sz="48" w:space="0" w:color="FFFFFF" w:themeColor="background1"/>
            </w:tcBorders>
            <w:shd w:val="clear" w:color="auto" w:fill="F2F2F2" w:themeFill="background1" w:themeFillShade="F2"/>
          </w:tcPr>
          <w:p w:rsidR="009877D3" w:rsidRPr="00DB2944" w:rsidP="00214246" w14:paraId="1A91A87D" w14:textId="40C37F8B">
            <w:pPr>
              <w:pStyle w:val="Tablebullets"/>
              <w:numPr>
                <w:ilvl w:val="0"/>
                <w:numId w:val="0"/>
              </w:numPr>
              <w:tabs>
                <w:tab w:val="clear" w:pos="288"/>
              </w:tabs>
              <w:ind w:left="90"/>
            </w:pPr>
            <w:r>
              <w:t>No</w:t>
            </w:r>
          </w:p>
        </w:tc>
        <w:tc>
          <w:tcPr>
            <w:tcW w:w="1673" w:type="dxa"/>
            <w:gridSpan w:val="2"/>
            <w:tcBorders>
              <w:top w:val="single" w:sz="4" w:space="0" w:color="FFFFFF" w:themeColor="background1"/>
              <w:left w:val="single" w:sz="48" w:space="0" w:color="FFFFFF" w:themeColor="background1"/>
              <w:bottom w:val="single" w:sz="4" w:space="0" w:color="FFFFFF" w:themeColor="background1"/>
              <w:right w:val="single" w:sz="48" w:space="0" w:color="FFFFFF" w:themeColor="background1"/>
            </w:tcBorders>
            <w:shd w:val="clear" w:color="auto" w:fill="F2F2F2" w:themeFill="background1" w:themeFillShade="F2"/>
          </w:tcPr>
          <w:p w:rsidR="009877D3" w:rsidRPr="00DB2944" w:rsidP="00214246" w14:paraId="60F995E8" w14:textId="7E4A8EC5">
            <w:pPr>
              <w:pStyle w:val="Tablebullets"/>
              <w:numPr>
                <w:ilvl w:val="0"/>
                <w:numId w:val="0"/>
              </w:numPr>
              <w:ind w:left="90"/>
            </w:pPr>
            <w:r>
              <w:t>Yes</w:t>
            </w:r>
          </w:p>
        </w:tc>
        <w:tc>
          <w:tcPr>
            <w:tcW w:w="2777" w:type="dxa"/>
            <w:tcBorders>
              <w:top w:val="single" w:sz="4" w:space="0" w:color="FFFFFF" w:themeColor="background1"/>
              <w:left w:val="single" w:sz="48" w:space="0" w:color="FFFFFF" w:themeColor="background1"/>
              <w:bottom w:val="single" w:sz="4" w:space="0" w:color="FFFFFF" w:themeColor="background1"/>
              <w:right w:val="single" w:sz="48" w:space="0" w:color="FFFFFF" w:themeColor="background1"/>
            </w:tcBorders>
            <w:shd w:val="clear" w:color="auto" w:fill="F2F2F2" w:themeFill="background1" w:themeFillShade="F2"/>
          </w:tcPr>
          <w:p w:rsidR="009877D3" w:rsidRPr="00DB2944" w:rsidP="00E53EDA" w14:paraId="61F8BE98" w14:textId="412CA983">
            <w:pPr>
              <w:pStyle w:val="Tablebullets"/>
              <w:numPr>
                <w:ilvl w:val="0"/>
                <w:numId w:val="0"/>
              </w:numPr>
              <w:tabs>
                <w:tab w:val="clear" w:pos="288"/>
              </w:tabs>
              <w:ind w:left="90"/>
            </w:pPr>
            <w:r>
              <w:t>Annual requirement for Promoting Interoperability submission but not scored.</w:t>
            </w:r>
          </w:p>
        </w:tc>
      </w:tr>
      <w:tr w14:paraId="6515291F" w14:textId="77777777" w:rsidTr="00E53EDA">
        <w:tblPrEx>
          <w:tblW w:w="11340" w:type="dxa"/>
          <w:tblInd w:w="-990" w:type="dxa"/>
          <w:tblLayout w:type="fixed"/>
          <w:tblLook w:val="0420"/>
        </w:tblPrEx>
        <w:trPr>
          <w:gridBefore w:val="1"/>
          <w:wBefore w:w="6" w:type="dxa"/>
          <w:cantSplit/>
          <w:trHeight w:val="1310"/>
        </w:trPr>
        <w:tc>
          <w:tcPr>
            <w:tcW w:w="1596" w:type="dxa"/>
            <w:tcBorders>
              <w:top w:val="single" w:sz="4" w:space="0" w:color="FFFFFF" w:themeColor="background1"/>
              <w:left w:val="single" w:sz="48" w:space="0" w:color="FFFFFF" w:themeColor="background1"/>
              <w:bottom w:val="single" w:sz="4" w:space="0" w:color="FFFFFF" w:themeColor="background1"/>
              <w:right w:val="single" w:sz="48" w:space="0" w:color="FFFFFF" w:themeColor="background1"/>
            </w:tcBorders>
            <w:shd w:val="clear" w:color="auto" w:fill="F2F2F2" w:themeFill="background1" w:themeFillShade="F2"/>
            <w:tcMar>
              <w:top w:w="144" w:type="dxa"/>
              <w:left w:w="144" w:type="dxa"/>
              <w:bottom w:w="144" w:type="dxa"/>
              <w:right w:w="115" w:type="dxa"/>
            </w:tcMar>
          </w:tcPr>
          <w:p w:rsidR="00387031" w:rsidRPr="00DB2944" w:rsidP="00214246" w14:paraId="203AB0AE" w14:textId="77777777">
            <w:pPr>
              <w:pStyle w:val="Tablebullets"/>
              <w:numPr>
                <w:ilvl w:val="0"/>
                <w:numId w:val="0"/>
              </w:numPr>
              <w:tabs>
                <w:tab w:val="clear" w:pos="288"/>
              </w:tabs>
              <w:ind w:left="-60"/>
            </w:pPr>
            <w:r>
              <w:t>e-Prescribing</w:t>
            </w:r>
          </w:p>
        </w:tc>
        <w:tc>
          <w:tcPr>
            <w:tcW w:w="3711" w:type="dxa"/>
            <w:gridSpan w:val="2"/>
            <w:tcBorders>
              <w:top w:val="single" w:sz="4" w:space="0" w:color="FFFFFF" w:themeColor="background1"/>
              <w:left w:val="single" w:sz="48" w:space="0" w:color="FFFFFF" w:themeColor="background1"/>
              <w:bottom w:val="single" w:sz="4" w:space="0" w:color="FFFFFF" w:themeColor="background1"/>
              <w:right w:val="single" w:sz="48" w:space="0" w:color="FFFFFF" w:themeColor="background1"/>
            </w:tcBorders>
            <w:shd w:val="clear" w:color="auto" w:fill="F2F2F2" w:themeFill="background1" w:themeFillShade="F2"/>
            <w:tcMar>
              <w:top w:w="144" w:type="dxa"/>
              <w:left w:w="144" w:type="dxa"/>
              <w:bottom w:w="144" w:type="dxa"/>
              <w:right w:w="115" w:type="dxa"/>
            </w:tcMar>
          </w:tcPr>
          <w:p w:rsidR="00387031" w:rsidRPr="0095626E" w:rsidP="00363C94" w14:paraId="0698D82F" w14:textId="77777777">
            <w:pPr>
              <w:pStyle w:val="Tablebody"/>
              <w:rPr>
                <w:b/>
              </w:rPr>
            </w:pPr>
            <w:r w:rsidRPr="0095626E">
              <w:rPr>
                <w:b/>
              </w:rPr>
              <w:t>PI_EP_1: e-Prescribing:</w:t>
            </w:r>
          </w:p>
          <w:p w:rsidR="00387031" w:rsidRPr="00DB2944" w:rsidP="00363C94" w14:paraId="30AA35CD" w14:textId="77777777">
            <w:pPr>
              <w:pStyle w:val="Tablebody"/>
            </w:pPr>
            <w:r w:rsidRPr="00DB2944">
              <w:t>At least one permissible prescription written by the MIPS eligible clinician is queried for a drug formulary and transmitted electronically</w:t>
            </w:r>
          </w:p>
        </w:tc>
        <w:tc>
          <w:tcPr>
            <w:tcW w:w="1577" w:type="dxa"/>
            <w:tcBorders>
              <w:top w:val="single" w:sz="4" w:space="0" w:color="FFFFFF" w:themeColor="background1"/>
              <w:left w:val="single" w:sz="48" w:space="0" w:color="FFFFFF" w:themeColor="background1"/>
              <w:bottom w:val="single" w:sz="4" w:space="0" w:color="FFFFFF" w:themeColor="background1"/>
            </w:tcBorders>
            <w:shd w:val="clear" w:color="auto" w:fill="F2F2F2" w:themeFill="background1" w:themeFillShade="F2"/>
            <w:tcMar>
              <w:top w:w="144" w:type="dxa"/>
              <w:left w:w="144" w:type="dxa"/>
              <w:bottom w:w="144" w:type="dxa"/>
              <w:right w:w="115" w:type="dxa"/>
            </w:tcMar>
          </w:tcPr>
          <w:p w:rsidR="00387031" w:rsidRPr="00DB2944" w:rsidP="00214246" w14:paraId="0CDED231" w14:textId="77777777">
            <w:pPr>
              <w:pStyle w:val="Tablebullets"/>
              <w:numPr>
                <w:ilvl w:val="0"/>
                <w:numId w:val="0"/>
              </w:numPr>
              <w:tabs>
                <w:tab w:val="clear" w:pos="288"/>
              </w:tabs>
              <w:ind w:left="90"/>
            </w:pPr>
            <w:r>
              <w:t>Yes</w:t>
            </w:r>
          </w:p>
        </w:tc>
        <w:tc>
          <w:tcPr>
            <w:tcW w:w="1673" w:type="dxa"/>
            <w:gridSpan w:val="2"/>
            <w:tcBorders>
              <w:top w:val="single" w:sz="4" w:space="0" w:color="FFFFFF" w:themeColor="background1"/>
              <w:left w:val="single" w:sz="48" w:space="0" w:color="FFFFFF" w:themeColor="background1"/>
              <w:bottom w:val="single" w:sz="4" w:space="0" w:color="FFFFFF" w:themeColor="background1"/>
            </w:tcBorders>
            <w:shd w:val="clear" w:color="auto" w:fill="F2F2F2" w:themeFill="background1" w:themeFillShade="F2"/>
          </w:tcPr>
          <w:p w:rsidR="00387031" w:rsidRPr="00DB2944" w:rsidP="00214246" w14:paraId="5B3257AC" w14:textId="77777777">
            <w:pPr>
              <w:pStyle w:val="Tablebullets"/>
              <w:numPr>
                <w:ilvl w:val="0"/>
                <w:numId w:val="0"/>
              </w:numPr>
              <w:ind w:left="90"/>
            </w:pPr>
            <w:r>
              <w:t>Yes</w:t>
            </w:r>
          </w:p>
        </w:tc>
        <w:tc>
          <w:tcPr>
            <w:tcW w:w="2777" w:type="dxa"/>
            <w:tcBorders>
              <w:top w:val="single" w:sz="4" w:space="0" w:color="FFFFFF" w:themeColor="background1"/>
              <w:left w:val="single" w:sz="48" w:space="0" w:color="FFFFFF" w:themeColor="background1"/>
              <w:bottom w:val="single" w:sz="4" w:space="0" w:color="FFFFFF" w:themeColor="background1"/>
              <w:right w:val="nil"/>
            </w:tcBorders>
            <w:shd w:val="clear" w:color="auto" w:fill="F2F2F2" w:themeFill="background1" w:themeFillShade="F2"/>
          </w:tcPr>
          <w:p w:rsidR="00387031" w:rsidRPr="00DB2944" w:rsidP="00214246" w14:paraId="355A5254" w14:textId="77777777">
            <w:pPr>
              <w:pStyle w:val="Tablebullets"/>
              <w:numPr>
                <w:ilvl w:val="0"/>
                <w:numId w:val="0"/>
              </w:numPr>
              <w:ind w:left="450"/>
            </w:pPr>
          </w:p>
        </w:tc>
      </w:tr>
      <w:tr w14:paraId="08BB86EE" w14:textId="77777777" w:rsidTr="00E53EDA">
        <w:tblPrEx>
          <w:tblW w:w="11340" w:type="dxa"/>
          <w:tblInd w:w="-990" w:type="dxa"/>
          <w:tblLayout w:type="fixed"/>
          <w:tblLook w:val="0420"/>
        </w:tblPrEx>
        <w:trPr>
          <w:gridBefore w:val="1"/>
          <w:wBefore w:w="6" w:type="dxa"/>
          <w:cantSplit/>
          <w:trHeight w:val="773"/>
        </w:trPr>
        <w:tc>
          <w:tcPr>
            <w:tcW w:w="1596" w:type="dxa"/>
            <w:tcBorders>
              <w:top w:val="single" w:sz="4" w:space="0" w:color="FFFFFF" w:themeColor="background1"/>
              <w:left w:val="single" w:sz="48" w:space="0" w:color="FFFFFF" w:themeColor="background1"/>
              <w:bottom w:val="single" w:sz="4" w:space="0" w:color="FFFFFF" w:themeColor="background1"/>
              <w:right w:val="single" w:sz="48" w:space="0" w:color="FFFFFF" w:themeColor="background1"/>
            </w:tcBorders>
            <w:shd w:val="clear" w:color="auto" w:fill="F2F2F2" w:themeFill="background1" w:themeFillShade="F2"/>
            <w:tcMar>
              <w:top w:w="144" w:type="dxa"/>
              <w:left w:w="144" w:type="dxa"/>
              <w:bottom w:w="144" w:type="dxa"/>
              <w:right w:w="115" w:type="dxa"/>
            </w:tcMar>
          </w:tcPr>
          <w:p w:rsidR="00387031" w:rsidRPr="00DB2944" w:rsidP="00214246" w14:paraId="77D76479" w14:textId="77777777">
            <w:pPr>
              <w:pStyle w:val="Tablebullets"/>
              <w:numPr>
                <w:ilvl w:val="0"/>
                <w:numId w:val="0"/>
              </w:numPr>
              <w:tabs>
                <w:tab w:val="clear" w:pos="288"/>
              </w:tabs>
              <w:ind w:left="-60"/>
            </w:pPr>
            <w:r>
              <w:t>e-Prescribing</w:t>
            </w:r>
          </w:p>
        </w:tc>
        <w:tc>
          <w:tcPr>
            <w:tcW w:w="3711" w:type="dxa"/>
            <w:gridSpan w:val="2"/>
            <w:tcBorders>
              <w:top w:val="single" w:sz="4" w:space="0" w:color="FFFFFF" w:themeColor="background1"/>
              <w:left w:val="single" w:sz="48" w:space="0" w:color="FFFFFF" w:themeColor="background1"/>
              <w:bottom w:val="single" w:sz="4" w:space="0" w:color="FFFFFF" w:themeColor="background1"/>
              <w:right w:val="single" w:sz="48" w:space="0" w:color="FFFFFF" w:themeColor="background1"/>
            </w:tcBorders>
            <w:shd w:val="clear" w:color="auto" w:fill="F2F2F2" w:themeFill="background1" w:themeFillShade="F2"/>
            <w:tcMar>
              <w:top w:w="144" w:type="dxa"/>
              <w:left w:w="144" w:type="dxa"/>
              <w:bottom w:w="144" w:type="dxa"/>
              <w:right w:w="115" w:type="dxa"/>
            </w:tcMar>
          </w:tcPr>
          <w:p w:rsidR="00387031" w:rsidRPr="0095626E" w:rsidP="00363C94" w14:paraId="1D366A79" w14:textId="77777777">
            <w:pPr>
              <w:pStyle w:val="Tablebody"/>
              <w:rPr>
                <w:b/>
              </w:rPr>
            </w:pPr>
            <w:r w:rsidRPr="0095626E">
              <w:rPr>
                <w:b/>
              </w:rPr>
              <w:t xml:space="preserve">PI_EP_2: Query of Prescription Drug Monitoring Program (PDMP): </w:t>
            </w:r>
          </w:p>
          <w:p w:rsidR="00387031" w:rsidRPr="00DB2944" w:rsidP="00363C94" w14:paraId="4B9F68D1" w14:textId="23514DF8">
            <w:pPr>
              <w:pStyle w:val="Tablebody"/>
            </w:pPr>
            <w:r w:rsidRPr="000C440C">
              <w:t xml:space="preserve">For at least one Schedule II opioid or </w:t>
            </w:r>
            <w:r w:rsidRPr="000C440C">
              <w:t>Schedule</w:t>
            </w:r>
            <w:r w:rsidRPr="000C440C">
              <w:t xml:space="preserve"> III or IV drug electronically prescribed using CEHRT during the performance period, the MIPS eligible clinician uses data from CEHRT to conduct a query of a PDMP for prescription drug history.</w:t>
            </w:r>
          </w:p>
        </w:tc>
        <w:tc>
          <w:tcPr>
            <w:tcW w:w="1577" w:type="dxa"/>
            <w:tcBorders>
              <w:top w:val="single" w:sz="4" w:space="0" w:color="FFFFFF" w:themeColor="background1"/>
              <w:left w:val="single" w:sz="48" w:space="0" w:color="FFFFFF" w:themeColor="background1"/>
              <w:bottom w:val="single" w:sz="4" w:space="0" w:color="FFFFFF" w:themeColor="background1"/>
            </w:tcBorders>
            <w:shd w:val="clear" w:color="auto" w:fill="F2F2F2" w:themeFill="background1" w:themeFillShade="F2"/>
            <w:tcMar>
              <w:top w:w="144" w:type="dxa"/>
              <w:left w:w="144" w:type="dxa"/>
              <w:bottom w:w="144" w:type="dxa"/>
              <w:right w:w="115" w:type="dxa"/>
            </w:tcMar>
          </w:tcPr>
          <w:p w:rsidR="00387031" w:rsidRPr="00DB2944" w:rsidP="00214246" w14:paraId="3D84F0FE" w14:textId="0128D9F2">
            <w:pPr>
              <w:pStyle w:val="Tablebullets"/>
              <w:numPr>
                <w:ilvl w:val="0"/>
                <w:numId w:val="0"/>
              </w:numPr>
              <w:tabs>
                <w:tab w:val="clear" w:pos="288"/>
              </w:tabs>
              <w:ind w:left="90"/>
            </w:pPr>
            <w:r>
              <w:t>Yes</w:t>
            </w:r>
          </w:p>
        </w:tc>
        <w:tc>
          <w:tcPr>
            <w:tcW w:w="1673" w:type="dxa"/>
            <w:gridSpan w:val="2"/>
            <w:tcBorders>
              <w:top w:val="single" w:sz="4" w:space="0" w:color="FFFFFF" w:themeColor="background1"/>
              <w:left w:val="single" w:sz="48" w:space="0" w:color="FFFFFF" w:themeColor="background1"/>
              <w:bottom w:val="single" w:sz="4" w:space="0" w:color="FFFFFF" w:themeColor="background1"/>
            </w:tcBorders>
            <w:shd w:val="clear" w:color="auto" w:fill="F2F2F2" w:themeFill="background1" w:themeFillShade="F2"/>
          </w:tcPr>
          <w:p w:rsidR="00387031" w:rsidRPr="00DB2944" w:rsidP="00214246" w14:paraId="301E1CA9" w14:textId="173DCAE5">
            <w:pPr>
              <w:pStyle w:val="Tablebullets"/>
              <w:numPr>
                <w:ilvl w:val="0"/>
                <w:numId w:val="0"/>
              </w:numPr>
              <w:ind w:left="90"/>
            </w:pPr>
            <w:r>
              <w:t>Yes</w:t>
            </w:r>
          </w:p>
        </w:tc>
        <w:tc>
          <w:tcPr>
            <w:tcW w:w="2777" w:type="dxa"/>
            <w:tcBorders>
              <w:top w:val="single" w:sz="4" w:space="0" w:color="FFFFFF" w:themeColor="background1"/>
              <w:left w:val="single" w:sz="48" w:space="0" w:color="FFFFFF" w:themeColor="background1"/>
              <w:bottom w:val="single" w:sz="4" w:space="0" w:color="FFFFFF" w:themeColor="background1"/>
              <w:right w:val="nil"/>
            </w:tcBorders>
            <w:shd w:val="clear" w:color="auto" w:fill="F2F2F2" w:themeFill="background1" w:themeFillShade="F2"/>
          </w:tcPr>
          <w:p w:rsidR="00387031" w:rsidRPr="00DB2944" w:rsidP="00214246" w14:paraId="0E3E57D0" w14:textId="389D6C97">
            <w:pPr>
              <w:pStyle w:val="Tablebullets"/>
              <w:numPr>
                <w:ilvl w:val="0"/>
                <w:numId w:val="0"/>
              </w:numPr>
              <w:ind w:left="450"/>
            </w:pPr>
          </w:p>
        </w:tc>
      </w:tr>
      <w:tr w14:paraId="798274FF" w14:textId="77777777" w:rsidTr="00E53EDA">
        <w:tblPrEx>
          <w:tblW w:w="11340" w:type="dxa"/>
          <w:tblInd w:w="-990" w:type="dxa"/>
          <w:tblLayout w:type="fixed"/>
          <w:tblLook w:val="0420"/>
        </w:tblPrEx>
        <w:trPr>
          <w:gridBefore w:val="1"/>
          <w:wBefore w:w="6" w:type="dxa"/>
          <w:cantSplit/>
          <w:trHeight w:val="1283"/>
        </w:trPr>
        <w:tc>
          <w:tcPr>
            <w:tcW w:w="1596" w:type="dxa"/>
            <w:tcBorders>
              <w:top w:val="single" w:sz="4" w:space="0" w:color="FFFFFF" w:themeColor="background1"/>
              <w:left w:val="single" w:sz="48" w:space="0" w:color="FFFFFF" w:themeColor="background1"/>
              <w:bottom w:val="single" w:sz="4" w:space="0" w:color="FFFFFF" w:themeColor="background1"/>
              <w:right w:val="single" w:sz="48" w:space="0" w:color="FFFFFF" w:themeColor="background1"/>
            </w:tcBorders>
            <w:shd w:val="clear" w:color="auto" w:fill="F2F2F2" w:themeFill="background1" w:themeFillShade="F2"/>
            <w:tcMar>
              <w:top w:w="144" w:type="dxa"/>
              <w:left w:w="144" w:type="dxa"/>
              <w:bottom w:w="144" w:type="dxa"/>
              <w:right w:w="115" w:type="dxa"/>
            </w:tcMar>
          </w:tcPr>
          <w:p w:rsidR="00387031" w:rsidRPr="00DB2944" w:rsidP="00363C94" w14:paraId="1D340D10" w14:textId="77777777">
            <w:pPr>
              <w:pStyle w:val="Tablebody"/>
            </w:pPr>
            <w:r w:rsidRPr="00DB2944">
              <w:t>Provider to Patient Exchange</w:t>
            </w:r>
          </w:p>
        </w:tc>
        <w:tc>
          <w:tcPr>
            <w:tcW w:w="3711" w:type="dxa"/>
            <w:gridSpan w:val="2"/>
            <w:tcBorders>
              <w:top w:val="single" w:sz="4" w:space="0" w:color="FFFFFF" w:themeColor="background1"/>
              <w:left w:val="single" w:sz="48" w:space="0" w:color="FFFFFF" w:themeColor="background1"/>
              <w:bottom w:val="single" w:sz="4" w:space="0" w:color="FFFFFF" w:themeColor="background1"/>
              <w:right w:val="single" w:sz="48" w:space="0" w:color="FFFFFF" w:themeColor="background1"/>
            </w:tcBorders>
            <w:shd w:val="clear" w:color="auto" w:fill="F2F2F2" w:themeFill="background1" w:themeFillShade="F2"/>
            <w:tcMar>
              <w:top w:w="144" w:type="dxa"/>
              <w:left w:w="144" w:type="dxa"/>
              <w:bottom w:w="144" w:type="dxa"/>
              <w:right w:w="115" w:type="dxa"/>
            </w:tcMar>
          </w:tcPr>
          <w:p w:rsidR="00800E8D" w:rsidRPr="0095626E" w:rsidP="00363C94" w14:paraId="70E5E5EB" w14:textId="77777777">
            <w:pPr>
              <w:pStyle w:val="Tablebody"/>
              <w:rPr>
                <w:b/>
              </w:rPr>
            </w:pPr>
            <w:r w:rsidRPr="0095626E">
              <w:rPr>
                <w:b/>
              </w:rPr>
              <w:t>PI_PEA_1: Provide Patients Electronic Access to Their Health Information:</w:t>
            </w:r>
          </w:p>
          <w:p w:rsidR="00387031" w:rsidRPr="00DB2944" w:rsidP="00363C94" w14:paraId="3EB250AC" w14:textId="77777777">
            <w:pPr>
              <w:pStyle w:val="Tablebody"/>
            </w:pPr>
            <w:r w:rsidRPr="00DB2944">
              <w:t>For at least one unique patient seen by the MIPS eligible clinician: (1) The patient (or the patient-authorized representative) is provided timely access to view online, download, and transmit his or her health information; and (2) The MIPS eligible clinician ensures the patient's health information is available for the patient (or patient-authorized representative) to access using any application of their choice that is configured to meet the technical specifications of the Application Programming Interface (API) in the MIPS eligible clinician's certified electronic health record technology (CEHRT).</w:t>
            </w:r>
          </w:p>
        </w:tc>
        <w:tc>
          <w:tcPr>
            <w:tcW w:w="1577" w:type="dxa"/>
            <w:tcBorders>
              <w:top w:val="single" w:sz="4" w:space="0" w:color="FFFFFF" w:themeColor="background1"/>
              <w:left w:val="single" w:sz="48" w:space="0" w:color="FFFFFF" w:themeColor="background1"/>
              <w:bottom w:val="single" w:sz="4" w:space="0" w:color="FFFFFF" w:themeColor="background1"/>
            </w:tcBorders>
            <w:shd w:val="clear" w:color="auto" w:fill="F2F2F2" w:themeFill="background1" w:themeFillShade="F2"/>
            <w:tcMar>
              <w:top w:w="144" w:type="dxa"/>
              <w:left w:w="144" w:type="dxa"/>
              <w:bottom w:w="144" w:type="dxa"/>
              <w:right w:w="115" w:type="dxa"/>
            </w:tcMar>
          </w:tcPr>
          <w:p w:rsidR="00387031" w:rsidRPr="00DB2944" w:rsidP="00363C94" w14:paraId="59CDAA54" w14:textId="77777777">
            <w:pPr>
              <w:pStyle w:val="Tablebody"/>
            </w:pPr>
            <w:r w:rsidRPr="00DB2944">
              <w:t>No</w:t>
            </w:r>
          </w:p>
        </w:tc>
        <w:tc>
          <w:tcPr>
            <w:tcW w:w="1673" w:type="dxa"/>
            <w:gridSpan w:val="2"/>
            <w:tcBorders>
              <w:top w:val="single" w:sz="4" w:space="0" w:color="FFFFFF" w:themeColor="background1"/>
              <w:left w:val="single" w:sz="48" w:space="0" w:color="FFFFFF" w:themeColor="background1"/>
              <w:bottom w:val="single" w:sz="4" w:space="0" w:color="FFFFFF" w:themeColor="background1"/>
            </w:tcBorders>
            <w:shd w:val="clear" w:color="auto" w:fill="F2F2F2" w:themeFill="background1" w:themeFillShade="F2"/>
          </w:tcPr>
          <w:p w:rsidR="00387031" w:rsidRPr="00DB2944" w:rsidP="00363C94" w14:paraId="420C3C2C" w14:textId="77777777">
            <w:pPr>
              <w:pStyle w:val="Tablebody"/>
            </w:pPr>
            <w:r w:rsidRPr="00DB2944">
              <w:t>Yes</w:t>
            </w:r>
          </w:p>
        </w:tc>
        <w:tc>
          <w:tcPr>
            <w:tcW w:w="2777" w:type="dxa"/>
            <w:tcBorders>
              <w:top w:val="single" w:sz="4" w:space="0" w:color="FFFFFF" w:themeColor="background1"/>
              <w:left w:val="single" w:sz="48" w:space="0" w:color="FFFFFF" w:themeColor="background1"/>
              <w:bottom w:val="single" w:sz="4" w:space="0" w:color="FFFFFF" w:themeColor="background1"/>
              <w:right w:val="nil"/>
            </w:tcBorders>
            <w:shd w:val="clear" w:color="auto" w:fill="F2F2F2" w:themeFill="background1" w:themeFillShade="F2"/>
          </w:tcPr>
          <w:p w:rsidR="00387031" w:rsidRPr="00DB2944" w:rsidP="00363C94" w14:paraId="6A6D2DC9" w14:textId="77777777">
            <w:pPr>
              <w:pStyle w:val="Tablebody"/>
            </w:pPr>
          </w:p>
        </w:tc>
      </w:tr>
      <w:tr w14:paraId="458C3510" w14:textId="77777777" w:rsidTr="00E53EDA">
        <w:tblPrEx>
          <w:tblW w:w="11340" w:type="dxa"/>
          <w:tblInd w:w="-990" w:type="dxa"/>
          <w:tblLayout w:type="fixed"/>
          <w:tblLook w:val="0420"/>
        </w:tblPrEx>
        <w:trPr>
          <w:gridBefore w:val="1"/>
          <w:wBefore w:w="6" w:type="dxa"/>
          <w:cantSplit/>
          <w:trHeight w:val="746"/>
        </w:trPr>
        <w:tc>
          <w:tcPr>
            <w:tcW w:w="1596" w:type="dxa"/>
            <w:tcBorders>
              <w:top w:val="single" w:sz="4" w:space="0" w:color="FFFFFF" w:themeColor="background1"/>
              <w:left w:val="single" w:sz="48" w:space="0" w:color="FFFFFF" w:themeColor="background1"/>
              <w:bottom w:val="single" w:sz="4" w:space="0" w:color="FFFFFF" w:themeColor="background1"/>
              <w:right w:val="single" w:sz="48" w:space="0" w:color="FFFFFF" w:themeColor="background1"/>
            </w:tcBorders>
            <w:shd w:val="clear" w:color="auto" w:fill="F2F2F2" w:themeFill="background1" w:themeFillShade="F2"/>
            <w:tcMar>
              <w:top w:w="144" w:type="dxa"/>
              <w:left w:w="144" w:type="dxa"/>
              <w:bottom w:w="144" w:type="dxa"/>
              <w:right w:w="115" w:type="dxa"/>
            </w:tcMar>
          </w:tcPr>
          <w:p w:rsidR="00800E8D" w:rsidRPr="00DB2944" w:rsidP="00363C94" w14:paraId="1CCF59F1" w14:textId="77777777">
            <w:pPr>
              <w:pStyle w:val="Tablebody"/>
            </w:pPr>
            <w:bookmarkStart w:id="35" w:name="_Hlk117606396"/>
            <w:r w:rsidRPr="00DB2944">
              <w:t>Health Information Exchange</w:t>
            </w:r>
          </w:p>
        </w:tc>
        <w:tc>
          <w:tcPr>
            <w:tcW w:w="3711" w:type="dxa"/>
            <w:gridSpan w:val="2"/>
            <w:tcBorders>
              <w:top w:val="single" w:sz="4" w:space="0" w:color="FFFFFF" w:themeColor="background1"/>
              <w:left w:val="single" w:sz="48" w:space="0" w:color="FFFFFF" w:themeColor="background1"/>
              <w:bottom w:val="single" w:sz="4" w:space="0" w:color="FFFFFF" w:themeColor="background1"/>
              <w:right w:val="single" w:sz="48" w:space="0" w:color="FFFFFF" w:themeColor="background1"/>
            </w:tcBorders>
            <w:shd w:val="clear" w:color="auto" w:fill="F2F2F2" w:themeFill="background1" w:themeFillShade="F2"/>
            <w:tcMar>
              <w:top w:w="144" w:type="dxa"/>
              <w:left w:w="144" w:type="dxa"/>
              <w:bottom w:w="144" w:type="dxa"/>
              <w:right w:w="115" w:type="dxa"/>
            </w:tcMar>
          </w:tcPr>
          <w:p w:rsidR="00800E8D" w:rsidRPr="0095626E" w:rsidP="00363C94" w14:paraId="59BA3D67" w14:textId="77777777">
            <w:pPr>
              <w:pStyle w:val="Tablebody"/>
              <w:rPr>
                <w:b/>
              </w:rPr>
            </w:pPr>
            <w:r w:rsidRPr="0095626E">
              <w:rPr>
                <w:b/>
              </w:rPr>
              <w:t xml:space="preserve">PI_HIE_1: Support Electronic Referral Loops by Sending Health Information: </w:t>
            </w:r>
          </w:p>
          <w:p w:rsidR="00800E8D" w:rsidRPr="00DB2944" w:rsidP="00363C94" w14:paraId="58D283DD" w14:textId="77777777">
            <w:pPr>
              <w:pStyle w:val="Tablebody"/>
            </w:pPr>
            <w:r w:rsidRPr="00DB2944">
              <w:t>For at least one transition of care or referral, the MIPS eligible clinician that transitions or refers their patient to another setting of care or health care provider — (1) creates a summary of care record using certified electronic health record technology (CEHRT); and (2) electronically exchanges the summary of care record.</w:t>
            </w:r>
          </w:p>
        </w:tc>
        <w:tc>
          <w:tcPr>
            <w:tcW w:w="1577" w:type="dxa"/>
            <w:tcBorders>
              <w:top w:val="single" w:sz="4" w:space="0" w:color="FFFFFF" w:themeColor="background1"/>
              <w:left w:val="single" w:sz="48" w:space="0" w:color="FFFFFF" w:themeColor="background1"/>
              <w:bottom w:val="single" w:sz="4" w:space="0" w:color="FFFFFF" w:themeColor="background1"/>
            </w:tcBorders>
            <w:shd w:val="clear" w:color="auto" w:fill="F2F2F2" w:themeFill="background1" w:themeFillShade="F2"/>
            <w:tcMar>
              <w:top w:w="144" w:type="dxa"/>
              <w:left w:w="144" w:type="dxa"/>
              <w:bottom w:w="144" w:type="dxa"/>
              <w:right w:w="115" w:type="dxa"/>
            </w:tcMar>
          </w:tcPr>
          <w:p w:rsidR="00800E8D" w:rsidRPr="00DB2944" w:rsidP="00363C94" w14:paraId="1F19A142" w14:textId="77777777">
            <w:pPr>
              <w:pStyle w:val="Tablebody"/>
            </w:pPr>
            <w:r w:rsidRPr="00DB2944">
              <w:t>Yes</w:t>
            </w:r>
          </w:p>
        </w:tc>
        <w:tc>
          <w:tcPr>
            <w:tcW w:w="1673" w:type="dxa"/>
            <w:gridSpan w:val="2"/>
            <w:tcBorders>
              <w:top w:val="single" w:sz="4" w:space="0" w:color="FFFFFF" w:themeColor="background1"/>
              <w:left w:val="single" w:sz="48" w:space="0" w:color="FFFFFF" w:themeColor="background1"/>
              <w:bottom w:val="single" w:sz="4" w:space="0" w:color="FFFFFF" w:themeColor="background1"/>
            </w:tcBorders>
            <w:shd w:val="clear" w:color="auto" w:fill="F2F2F2" w:themeFill="background1" w:themeFillShade="F2"/>
          </w:tcPr>
          <w:p w:rsidR="00800E8D" w:rsidRPr="00127CAA" w:rsidP="00363C94" w14:paraId="354C3100" w14:textId="77777777">
            <w:pPr>
              <w:pStyle w:val="Tablebody"/>
            </w:pPr>
            <w:r w:rsidRPr="00127CAA">
              <w:t>Yes</w:t>
            </w:r>
          </w:p>
        </w:tc>
        <w:tc>
          <w:tcPr>
            <w:tcW w:w="2777" w:type="dxa"/>
            <w:tcBorders>
              <w:top w:val="single" w:sz="4" w:space="0" w:color="FFFFFF" w:themeColor="background1"/>
              <w:left w:val="single" w:sz="48" w:space="0" w:color="FFFFFF" w:themeColor="background1"/>
              <w:bottom w:val="single" w:sz="4" w:space="0" w:color="FFFFFF" w:themeColor="background1"/>
              <w:right w:val="nil"/>
            </w:tcBorders>
            <w:shd w:val="clear" w:color="auto" w:fill="F2F2F2" w:themeFill="background1" w:themeFillShade="F2"/>
          </w:tcPr>
          <w:p w:rsidR="00800E8D" w:rsidRPr="00642BAF" w:rsidP="00EF298A" w14:paraId="04D39F20" w14:textId="245C6609">
            <w:pPr>
              <w:pStyle w:val="ListParagraph"/>
              <w:numPr>
                <w:ilvl w:val="0"/>
                <w:numId w:val="0"/>
              </w:numPr>
              <w:rPr>
                <w:color w:val="002060"/>
                <w:sz w:val="22"/>
                <w:szCs w:val="22"/>
              </w:rPr>
            </w:pPr>
            <w:r w:rsidRPr="005D43DE">
              <w:rPr>
                <w:color w:val="002060"/>
                <w:sz w:val="22"/>
                <w:szCs w:val="22"/>
              </w:rPr>
              <w:t xml:space="preserve">The optional PI_HIE_5 </w:t>
            </w:r>
            <w:r w:rsidR="00B67955">
              <w:rPr>
                <w:color w:val="002060"/>
                <w:sz w:val="22"/>
                <w:szCs w:val="22"/>
              </w:rPr>
              <w:t>or PI_HIE_6</w:t>
            </w:r>
            <w:r w:rsidRPr="005D43DE">
              <w:rPr>
                <w:color w:val="002060"/>
                <w:sz w:val="22"/>
                <w:szCs w:val="22"/>
              </w:rPr>
              <w:t xml:space="preserve"> </w:t>
            </w:r>
            <w:r w:rsidR="00BE6BEA">
              <w:rPr>
                <w:color w:val="002060"/>
                <w:sz w:val="22"/>
                <w:szCs w:val="22"/>
              </w:rPr>
              <w:t xml:space="preserve">Health Information Exchange </w:t>
            </w:r>
            <w:r w:rsidR="00AA39B4">
              <w:rPr>
                <w:color w:val="002060"/>
                <w:sz w:val="22"/>
                <w:szCs w:val="22"/>
              </w:rPr>
              <w:t xml:space="preserve">measure </w:t>
            </w:r>
            <w:r w:rsidRPr="005D43DE">
              <w:rPr>
                <w:color w:val="002060"/>
                <w:sz w:val="22"/>
                <w:szCs w:val="22"/>
              </w:rPr>
              <w:t>may be reported as an alternative reporting option to PI_HIE_1 and PI_HIE_4</w:t>
            </w:r>
            <w:r w:rsidRPr="000E2254">
              <w:rPr>
                <w:color w:val="002060"/>
                <w:sz w:val="22"/>
                <w:szCs w:val="22"/>
              </w:rPr>
              <w:t>.</w:t>
            </w:r>
          </w:p>
        </w:tc>
      </w:tr>
      <w:bookmarkEnd w:id="35"/>
      <w:tr w14:paraId="401310A6" w14:textId="77777777" w:rsidTr="00E53EDA">
        <w:tblPrEx>
          <w:tblW w:w="11340" w:type="dxa"/>
          <w:tblInd w:w="-990" w:type="dxa"/>
          <w:tblLayout w:type="fixed"/>
          <w:tblLook w:val="0420"/>
        </w:tblPrEx>
        <w:trPr>
          <w:gridBefore w:val="1"/>
          <w:wBefore w:w="6" w:type="dxa"/>
          <w:cantSplit/>
          <w:trHeight w:val="791"/>
        </w:trPr>
        <w:tc>
          <w:tcPr>
            <w:tcW w:w="1596" w:type="dxa"/>
            <w:tcBorders>
              <w:top w:val="single" w:sz="4" w:space="0" w:color="FFFFFF" w:themeColor="background1"/>
              <w:left w:val="single" w:sz="48" w:space="0" w:color="FFFFFF" w:themeColor="background1"/>
              <w:bottom w:val="single" w:sz="4" w:space="0" w:color="FFFFFF" w:themeColor="background1"/>
              <w:right w:val="single" w:sz="48" w:space="0" w:color="FFFFFF" w:themeColor="background1"/>
            </w:tcBorders>
            <w:shd w:val="clear" w:color="auto" w:fill="F2F2F2" w:themeFill="background1" w:themeFillShade="F2"/>
            <w:tcMar>
              <w:top w:w="144" w:type="dxa"/>
              <w:left w:w="144" w:type="dxa"/>
              <w:bottom w:w="144" w:type="dxa"/>
              <w:right w:w="115" w:type="dxa"/>
            </w:tcMar>
          </w:tcPr>
          <w:p w:rsidR="004640EA" w:rsidRPr="00DB2944" w:rsidP="00363C94" w14:paraId="2EDC879F" w14:textId="77777777">
            <w:pPr>
              <w:pStyle w:val="Tablebody"/>
            </w:pPr>
            <w:r w:rsidRPr="00DB2944">
              <w:t>Health Information Exchange</w:t>
            </w:r>
          </w:p>
        </w:tc>
        <w:tc>
          <w:tcPr>
            <w:tcW w:w="3711" w:type="dxa"/>
            <w:gridSpan w:val="2"/>
            <w:tcBorders>
              <w:top w:val="single" w:sz="4" w:space="0" w:color="FFFFFF" w:themeColor="background1"/>
              <w:left w:val="single" w:sz="48" w:space="0" w:color="FFFFFF" w:themeColor="background1"/>
              <w:bottom w:val="single" w:sz="4" w:space="0" w:color="FFFFFF" w:themeColor="background1"/>
              <w:right w:val="single" w:sz="48" w:space="0" w:color="FFFFFF" w:themeColor="background1"/>
            </w:tcBorders>
            <w:shd w:val="clear" w:color="auto" w:fill="F2F2F2" w:themeFill="background1" w:themeFillShade="F2"/>
            <w:tcMar>
              <w:top w:w="144" w:type="dxa"/>
              <w:left w:w="144" w:type="dxa"/>
              <w:bottom w:w="144" w:type="dxa"/>
              <w:right w:w="115" w:type="dxa"/>
            </w:tcMar>
          </w:tcPr>
          <w:p w:rsidR="004640EA" w:rsidRPr="00DB2944" w:rsidP="00BF1CDD" w14:paraId="5D4BAC50" w14:textId="77777777">
            <w:pPr>
              <w:rPr>
                <w:rFonts w:ascii="Arial" w:hAnsi="Arial" w:cs="Arial"/>
                <w:b/>
                <w:color w:val="003067"/>
                <w:sz w:val="22"/>
                <w:szCs w:val="22"/>
              </w:rPr>
            </w:pPr>
            <w:r w:rsidRPr="00DB2944">
              <w:rPr>
                <w:rFonts w:ascii="Arial" w:hAnsi="Arial" w:cs="Arial"/>
                <w:b/>
                <w:color w:val="003067"/>
                <w:sz w:val="22"/>
                <w:szCs w:val="22"/>
              </w:rPr>
              <w:t xml:space="preserve">PI_HIE_4: Support Electronic Referral Loops by Receiving and Reconciling Health Information: </w:t>
            </w:r>
          </w:p>
          <w:p w:rsidR="004640EA" w:rsidRPr="00DB2944" w:rsidP="00363C94" w14:paraId="3B1E52D4" w14:textId="77777777">
            <w:pPr>
              <w:pStyle w:val="Tablebody"/>
              <w:rPr>
                <w:b/>
              </w:rPr>
            </w:pPr>
            <w:r w:rsidRPr="00DB2944">
              <w:t xml:space="preserve">For at least one electronic summary of care record received for patient encounters during the performance period for which a MIPS eligible clinician was the receiving party of a transition of care or referral, or for patient encounters during the performance period in which the MIPS eligible clinician has </w:t>
            </w:r>
            <w:r w:rsidRPr="00DB2944">
              <w:t>never before</w:t>
            </w:r>
            <w:r w:rsidRPr="00DB2944">
              <w:t xml:space="preserve"> encountered the patient, the MIPS eligible clinician conducts clinical information reconciliation for medication, medication allergy, and current problem list.</w:t>
            </w:r>
          </w:p>
        </w:tc>
        <w:tc>
          <w:tcPr>
            <w:tcW w:w="1577" w:type="dxa"/>
            <w:tcBorders>
              <w:top w:val="single" w:sz="4" w:space="0" w:color="FFFFFF" w:themeColor="background1"/>
              <w:left w:val="single" w:sz="48" w:space="0" w:color="FFFFFF" w:themeColor="background1"/>
              <w:bottom w:val="single" w:sz="4" w:space="0" w:color="FFFFFF" w:themeColor="background1"/>
            </w:tcBorders>
            <w:shd w:val="clear" w:color="auto" w:fill="F2F2F2" w:themeFill="background1" w:themeFillShade="F2"/>
            <w:tcMar>
              <w:top w:w="144" w:type="dxa"/>
              <w:left w:w="144" w:type="dxa"/>
              <w:bottom w:w="144" w:type="dxa"/>
              <w:right w:w="115" w:type="dxa"/>
            </w:tcMar>
          </w:tcPr>
          <w:p w:rsidR="004640EA" w:rsidRPr="00DB2944" w:rsidP="00363C94" w14:paraId="155C59B9" w14:textId="77777777">
            <w:pPr>
              <w:pStyle w:val="Tablebody"/>
            </w:pPr>
            <w:r w:rsidRPr="00DB2944">
              <w:t>Yes</w:t>
            </w:r>
          </w:p>
        </w:tc>
        <w:tc>
          <w:tcPr>
            <w:tcW w:w="1673" w:type="dxa"/>
            <w:gridSpan w:val="2"/>
            <w:tcBorders>
              <w:top w:val="single" w:sz="4" w:space="0" w:color="FFFFFF" w:themeColor="background1"/>
              <w:left w:val="single" w:sz="48" w:space="0" w:color="FFFFFF" w:themeColor="background1"/>
              <w:bottom w:val="single" w:sz="4" w:space="0" w:color="FFFFFF" w:themeColor="background1"/>
            </w:tcBorders>
            <w:shd w:val="clear" w:color="auto" w:fill="F2F2F2" w:themeFill="background1" w:themeFillShade="F2"/>
          </w:tcPr>
          <w:p w:rsidR="004640EA" w:rsidRPr="00DB2944" w:rsidP="00363C94" w14:paraId="12EAC55B" w14:textId="77777777">
            <w:pPr>
              <w:pStyle w:val="Tablebody"/>
            </w:pPr>
            <w:r w:rsidRPr="00DB2944">
              <w:t>Yes</w:t>
            </w:r>
          </w:p>
        </w:tc>
        <w:tc>
          <w:tcPr>
            <w:tcW w:w="2777" w:type="dxa"/>
            <w:tcBorders>
              <w:top w:val="single" w:sz="4" w:space="0" w:color="FFFFFF" w:themeColor="background1"/>
              <w:left w:val="single" w:sz="48" w:space="0" w:color="FFFFFF" w:themeColor="background1"/>
              <w:bottom w:val="single" w:sz="4" w:space="0" w:color="FFFFFF" w:themeColor="background1"/>
              <w:right w:val="nil"/>
            </w:tcBorders>
            <w:shd w:val="clear" w:color="auto" w:fill="F2F2F2" w:themeFill="background1" w:themeFillShade="F2"/>
          </w:tcPr>
          <w:p w:rsidR="004640EA" w:rsidRPr="00DB2944" w:rsidP="00E53EDA" w14:paraId="14EC15F5" w14:textId="1C30ADDE">
            <w:pPr>
              <w:pStyle w:val="ListParagraph"/>
              <w:numPr>
                <w:ilvl w:val="0"/>
                <w:numId w:val="0"/>
              </w:numPr>
            </w:pPr>
            <w:r>
              <w:rPr>
                <w:color w:val="002060"/>
                <w:sz w:val="22"/>
                <w:szCs w:val="22"/>
              </w:rPr>
              <w:t xml:space="preserve">The optional PI_HIE_5 or PI_HIE_6 </w:t>
            </w:r>
            <w:r w:rsidR="009638EA">
              <w:rPr>
                <w:color w:val="002060"/>
                <w:sz w:val="22"/>
                <w:szCs w:val="22"/>
              </w:rPr>
              <w:t xml:space="preserve">Health Information Exchange </w:t>
            </w:r>
            <w:r>
              <w:rPr>
                <w:color w:val="002060"/>
                <w:sz w:val="22"/>
                <w:szCs w:val="22"/>
              </w:rPr>
              <w:t>measure may be reported as an alternative reporting option to PI_HIE_1 and PI_HIE_4.</w:t>
            </w:r>
          </w:p>
        </w:tc>
      </w:tr>
      <w:tr w14:paraId="338F5CC5" w14:textId="77777777" w:rsidTr="00E53EDA">
        <w:tblPrEx>
          <w:tblW w:w="11340" w:type="dxa"/>
          <w:tblInd w:w="-990" w:type="dxa"/>
          <w:tblLayout w:type="fixed"/>
          <w:tblLook w:val="0420"/>
        </w:tblPrEx>
        <w:trPr>
          <w:gridBefore w:val="1"/>
          <w:wBefore w:w="6" w:type="dxa"/>
          <w:cantSplit/>
          <w:trHeight w:val="791"/>
        </w:trPr>
        <w:tc>
          <w:tcPr>
            <w:tcW w:w="1596" w:type="dxa"/>
            <w:tcBorders>
              <w:top w:val="single" w:sz="4" w:space="0" w:color="FFFFFF" w:themeColor="background1"/>
              <w:left w:val="single" w:sz="48" w:space="0" w:color="FFFFFF" w:themeColor="background1"/>
              <w:bottom w:val="nil"/>
              <w:right w:val="single" w:sz="48" w:space="0" w:color="FFFFFF" w:themeColor="background1"/>
            </w:tcBorders>
            <w:shd w:val="clear" w:color="auto" w:fill="F2F2F2" w:themeFill="background1" w:themeFillShade="F2"/>
            <w:tcMar>
              <w:top w:w="144" w:type="dxa"/>
              <w:left w:w="144" w:type="dxa"/>
              <w:bottom w:w="144" w:type="dxa"/>
              <w:right w:w="115" w:type="dxa"/>
            </w:tcMar>
          </w:tcPr>
          <w:p w:rsidR="000E2254" w:rsidRPr="00DB2944" w:rsidP="00363C94" w14:paraId="742E1813" w14:textId="228F8AAC">
            <w:pPr>
              <w:pStyle w:val="Tablebody"/>
            </w:pPr>
            <w:bookmarkStart w:id="36" w:name="OLE_LINK3"/>
            <w:bookmarkStart w:id="37" w:name="_Hlk117606487"/>
            <w:r>
              <w:t>Health Information Exchange</w:t>
            </w:r>
            <w:bookmarkEnd w:id="36"/>
          </w:p>
        </w:tc>
        <w:tc>
          <w:tcPr>
            <w:tcW w:w="3711" w:type="dxa"/>
            <w:gridSpan w:val="2"/>
            <w:tcBorders>
              <w:top w:val="single" w:sz="4" w:space="0" w:color="FFFFFF" w:themeColor="background1"/>
              <w:left w:val="single" w:sz="48" w:space="0" w:color="FFFFFF" w:themeColor="background1"/>
              <w:bottom w:val="nil"/>
              <w:right w:val="single" w:sz="48" w:space="0" w:color="FFFFFF" w:themeColor="background1"/>
            </w:tcBorders>
            <w:shd w:val="clear" w:color="auto" w:fill="F2F2F2" w:themeFill="background1" w:themeFillShade="F2"/>
            <w:tcMar>
              <w:top w:w="144" w:type="dxa"/>
              <w:left w:w="144" w:type="dxa"/>
              <w:bottom w:w="144" w:type="dxa"/>
              <w:right w:w="115" w:type="dxa"/>
            </w:tcMar>
          </w:tcPr>
          <w:p w:rsidR="000E2254" w:rsidRPr="000E2254" w:rsidP="00BF1CDD" w14:paraId="66EEC473" w14:textId="57B8CB18">
            <w:pPr>
              <w:rPr>
                <w:rFonts w:ascii="Arial" w:hAnsi="Arial" w:cs="Arial"/>
                <w:b/>
                <w:color w:val="003067"/>
                <w:sz w:val="22"/>
                <w:szCs w:val="22"/>
              </w:rPr>
            </w:pPr>
            <w:bookmarkStart w:id="38" w:name="OLE_LINK7"/>
            <w:r w:rsidRPr="000E2254">
              <w:rPr>
                <w:rFonts w:ascii="Arial" w:hAnsi="Arial" w:cs="Arial"/>
                <w:b/>
                <w:color w:val="003067"/>
                <w:sz w:val="22"/>
                <w:szCs w:val="22"/>
              </w:rPr>
              <w:t xml:space="preserve">PI_HIE_5: </w:t>
            </w:r>
            <w:bookmarkEnd w:id="38"/>
            <w:r w:rsidRPr="000E2254">
              <w:rPr>
                <w:rFonts w:ascii="Arial" w:hAnsi="Arial" w:cs="Arial"/>
                <w:b/>
                <w:color w:val="003067"/>
                <w:sz w:val="22"/>
                <w:szCs w:val="22"/>
              </w:rPr>
              <w:t xml:space="preserve">Health Information Exchange (HIE) Bi-Directional Exchange: </w:t>
            </w:r>
          </w:p>
          <w:p w:rsidR="000E2254" w:rsidRPr="001B0CCC" w:rsidP="00BF1CDD" w14:paraId="275E8485" w14:textId="70F352D4">
            <w:pPr>
              <w:rPr>
                <w:rFonts w:ascii="Arial" w:hAnsi="Arial" w:cs="Arial"/>
                <w:color w:val="003067"/>
                <w:sz w:val="22"/>
                <w:szCs w:val="22"/>
              </w:rPr>
            </w:pPr>
            <w:r w:rsidRPr="001B0CCC">
              <w:rPr>
                <w:rFonts w:ascii="Arial" w:hAnsi="Arial" w:cs="Arial"/>
                <w:color w:val="003067"/>
                <w:sz w:val="22"/>
                <w:szCs w:val="22"/>
              </w:rPr>
              <w:t>The MIPS eligible clinician or group must attest that they engage in bidirectional exchange with an HIE to support transitions of care.</w:t>
            </w:r>
          </w:p>
        </w:tc>
        <w:tc>
          <w:tcPr>
            <w:tcW w:w="1577" w:type="dxa"/>
            <w:tcBorders>
              <w:top w:val="single" w:sz="4" w:space="0" w:color="FFFFFF" w:themeColor="background1"/>
              <w:left w:val="single" w:sz="48" w:space="0" w:color="FFFFFF" w:themeColor="background1"/>
              <w:bottom w:val="nil"/>
            </w:tcBorders>
            <w:shd w:val="clear" w:color="auto" w:fill="F2F2F2" w:themeFill="background1" w:themeFillShade="F2"/>
            <w:tcMar>
              <w:top w:w="144" w:type="dxa"/>
              <w:left w:w="144" w:type="dxa"/>
              <w:bottom w:w="144" w:type="dxa"/>
              <w:right w:w="115" w:type="dxa"/>
            </w:tcMar>
          </w:tcPr>
          <w:p w:rsidR="000E2254" w:rsidRPr="00DB2944" w:rsidP="00363C94" w14:paraId="700EA048" w14:textId="712E705C">
            <w:pPr>
              <w:pStyle w:val="Tablebody"/>
            </w:pPr>
            <w:r>
              <w:t>No</w:t>
            </w:r>
          </w:p>
        </w:tc>
        <w:tc>
          <w:tcPr>
            <w:tcW w:w="1673" w:type="dxa"/>
            <w:gridSpan w:val="2"/>
            <w:tcBorders>
              <w:top w:val="single" w:sz="4" w:space="0" w:color="FFFFFF" w:themeColor="background1"/>
              <w:left w:val="single" w:sz="48" w:space="0" w:color="FFFFFF" w:themeColor="background1"/>
              <w:bottom w:val="nil"/>
            </w:tcBorders>
            <w:shd w:val="clear" w:color="auto" w:fill="F2F2F2" w:themeFill="background1" w:themeFillShade="F2"/>
          </w:tcPr>
          <w:p w:rsidR="000E2254" w:rsidRPr="00DB2944" w:rsidP="00363C94" w14:paraId="7C27CC4F" w14:textId="24C7ACA5">
            <w:pPr>
              <w:pStyle w:val="Tablebody"/>
            </w:pPr>
            <w:r>
              <w:t>Yes</w:t>
            </w:r>
          </w:p>
        </w:tc>
        <w:tc>
          <w:tcPr>
            <w:tcW w:w="2777" w:type="dxa"/>
            <w:tcBorders>
              <w:top w:val="single" w:sz="4" w:space="0" w:color="FFFFFF" w:themeColor="background1"/>
              <w:left w:val="single" w:sz="48" w:space="0" w:color="FFFFFF" w:themeColor="background1"/>
              <w:bottom w:val="nil"/>
              <w:right w:val="nil"/>
            </w:tcBorders>
            <w:shd w:val="clear" w:color="auto" w:fill="F2F2F2" w:themeFill="background1" w:themeFillShade="F2"/>
          </w:tcPr>
          <w:p w:rsidR="000E2254" w:rsidRPr="000E2254" w:rsidP="00EF298A" w14:paraId="1DD5F11B" w14:textId="51FBF4BC">
            <w:pPr>
              <w:pStyle w:val="ListParagraph"/>
              <w:numPr>
                <w:ilvl w:val="0"/>
                <w:numId w:val="0"/>
              </w:numPr>
              <w:contextualSpacing w:val="0"/>
              <w:rPr>
                <w:color w:val="002060"/>
                <w:sz w:val="22"/>
                <w:szCs w:val="22"/>
              </w:rPr>
            </w:pPr>
            <w:r w:rsidRPr="000E2254">
              <w:rPr>
                <w:color w:val="002060"/>
                <w:sz w:val="22"/>
                <w:szCs w:val="22"/>
              </w:rPr>
              <w:t>This measure is an optional alternative Health Information Exchange measure and may be reported as an alternative reporting option in place of PI_HIE_1 and PI_HIE_4</w:t>
            </w:r>
            <w:r w:rsidR="00400D03">
              <w:rPr>
                <w:color w:val="002060"/>
                <w:sz w:val="22"/>
                <w:szCs w:val="22"/>
              </w:rPr>
              <w:t xml:space="preserve"> OR PI_HIE_6</w:t>
            </w:r>
            <w:r w:rsidRPr="000E2254">
              <w:rPr>
                <w:color w:val="002060"/>
                <w:sz w:val="22"/>
                <w:szCs w:val="22"/>
              </w:rPr>
              <w:t>.</w:t>
            </w:r>
          </w:p>
        </w:tc>
      </w:tr>
      <w:tr w14:paraId="285B1017" w14:textId="77777777" w:rsidTr="00E53EDA">
        <w:tblPrEx>
          <w:tblW w:w="11340" w:type="dxa"/>
          <w:tblInd w:w="-990" w:type="dxa"/>
          <w:tblLayout w:type="fixed"/>
          <w:tblLook w:val="0420"/>
        </w:tblPrEx>
        <w:trPr>
          <w:gridBefore w:val="1"/>
          <w:wBefore w:w="6" w:type="dxa"/>
          <w:cantSplit/>
          <w:trHeight w:val="791"/>
        </w:trPr>
        <w:tc>
          <w:tcPr>
            <w:tcW w:w="1596" w:type="dxa"/>
            <w:tcBorders>
              <w:top w:val="nil"/>
              <w:left w:val="nil"/>
              <w:bottom w:val="nil"/>
              <w:right w:val="single" w:sz="48" w:space="0" w:color="FFFFFF" w:themeColor="background1"/>
            </w:tcBorders>
            <w:shd w:val="clear" w:color="auto" w:fill="F2F2F2" w:themeFill="background1" w:themeFillShade="F2"/>
          </w:tcPr>
          <w:p w:rsidR="0008671A" w:rsidP="001F281B" w14:paraId="48BCED4C" w14:textId="00E65576">
            <w:pPr>
              <w:pStyle w:val="Tablebody"/>
              <w:spacing w:before="200"/>
            </w:pPr>
            <w:r>
              <w:t>Health Information Exchange</w:t>
            </w:r>
          </w:p>
        </w:tc>
        <w:tc>
          <w:tcPr>
            <w:tcW w:w="3711" w:type="dxa"/>
            <w:gridSpan w:val="2"/>
            <w:tcBorders>
              <w:top w:val="nil"/>
              <w:left w:val="single" w:sz="48" w:space="0" w:color="FFFFFF" w:themeColor="background1"/>
              <w:bottom w:val="nil"/>
              <w:right w:val="single" w:sz="48" w:space="0" w:color="FFFFFF" w:themeColor="background1"/>
            </w:tcBorders>
            <w:shd w:val="clear" w:color="auto" w:fill="F2F2F2" w:themeFill="background1" w:themeFillShade="F2"/>
          </w:tcPr>
          <w:p w:rsidR="0008671A" w:rsidP="001F281B" w14:paraId="0C8812AF" w14:textId="77777777">
            <w:pPr>
              <w:spacing w:before="200"/>
              <w:rPr>
                <w:rFonts w:ascii="Arial" w:hAnsi="Arial" w:cs="Arial"/>
                <w:b/>
                <w:bCs/>
                <w:color w:val="002060"/>
                <w:sz w:val="22"/>
                <w:szCs w:val="22"/>
              </w:rPr>
            </w:pPr>
            <w:r w:rsidRPr="00E6023C">
              <w:rPr>
                <w:rFonts w:ascii="Arial" w:hAnsi="Arial" w:cs="Arial"/>
                <w:b/>
                <w:bCs/>
                <w:color w:val="002060"/>
                <w:sz w:val="22"/>
                <w:szCs w:val="22"/>
              </w:rPr>
              <w:t>PI_HIE_6:</w:t>
            </w:r>
            <w:r w:rsidR="00E03A17">
              <w:rPr>
                <w:rFonts w:ascii="Arial" w:hAnsi="Arial" w:cs="Arial"/>
                <w:b/>
                <w:bCs/>
                <w:color w:val="002060"/>
                <w:sz w:val="22"/>
                <w:szCs w:val="22"/>
              </w:rPr>
              <w:t xml:space="preserve"> </w:t>
            </w:r>
            <w:r w:rsidRPr="00E03A17" w:rsidR="00E03A17">
              <w:rPr>
                <w:rFonts w:ascii="Arial" w:hAnsi="Arial" w:cs="Arial"/>
                <w:b/>
                <w:bCs/>
                <w:color w:val="002060"/>
                <w:sz w:val="22"/>
                <w:szCs w:val="22"/>
              </w:rPr>
              <w:t>Enabling Exchange Under TEFCA</w:t>
            </w:r>
            <w:r w:rsidR="00A4062B">
              <w:rPr>
                <w:rFonts w:ascii="Arial" w:hAnsi="Arial" w:cs="Arial"/>
                <w:b/>
                <w:bCs/>
                <w:color w:val="002060"/>
                <w:sz w:val="22"/>
                <w:szCs w:val="22"/>
              </w:rPr>
              <w:t xml:space="preserve">: </w:t>
            </w:r>
          </w:p>
          <w:p w:rsidR="00A4062B" w:rsidRPr="00303485" w:rsidP="001F281B" w14:paraId="12E8613E" w14:textId="46192773">
            <w:pPr>
              <w:spacing w:before="200"/>
              <w:rPr>
                <w:rFonts w:ascii="Arial" w:hAnsi="Arial" w:cs="Arial"/>
                <w:sz w:val="22"/>
                <w:szCs w:val="22"/>
              </w:rPr>
            </w:pPr>
            <w:r w:rsidRPr="00303485">
              <w:rPr>
                <w:rFonts w:ascii="Arial" w:hAnsi="Arial" w:cs="Arial"/>
                <w:color w:val="002060"/>
                <w:sz w:val="22"/>
                <w:szCs w:val="22"/>
              </w:rPr>
              <w:t xml:space="preserve">Provide eligible clinicians with the opportunity to earn credit for the Health Information exchange objective if </w:t>
            </w:r>
            <w:r w:rsidRPr="00303485">
              <w:rPr>
                <w:rFonts w:ascii="Arial" w:hAnsi="Arial" w:cs="Arial"/>
                <w:color w:val="002060"/>
                <w:sz w:val="22"/>
                <w:szCs w:val="22"/>
              </w:rPr>
              <w:t>they:</w:t>
            </w:r>
            <w:r w:rsidRPr="00303485">
              <w:rPr>
                <w:rFonts w:ascii="Arial" w:hAnsi="Arial" w:cs="Arial"/>
                <w:color w:val="002060"/>
                <w:sz w:val="22"/>
                <w:szCs w:val="22"/>
              </w:rPr>
              <w:t xml:space="preserve"> are a signatory to a “Framework Agreement” as that term is defined in the Common Agreement; enable secure, bi-directional exchange of information to occur for all unique patients of eligible clinicians, and all unique patient records stored or maintained in the EHR; and use the functions of CEHRT to support bidirectional exchange.</w:t>
            </w:r>
          </w:p>
        </w:tc>
        <w:tc>
          <w:tcPr>
            <w:tcW w:w="1577" w:type="dxa"/>
            <w:tcBorders>
              <w:top w:val="nil"/>
              <w:left w:val="single" w:sz="48" w:space="0" w:color="FFFFFF" w:themeColor="background1"/>
              <w:bottom w:val="nil"/>
              <w:right w:val="single" w:sz="48" w:space="0" w:color="FFFFFF" w:themeColor="background1"/>
            </w:tcBorders>
            <w:shd w:val="clear" w:color="auto" w:fill="F2F2F2" w:themeFill="background1" w:themeFillShade="F2"/>
          </w:tcPr>
          <w:p w:rsidR="0008671A" w:rsidP="001F281B" w14:paraId="77E738D3" w14:textId="6B8101C8">
            <w:pPr>
              <w:pStyle w:val="Tablebody"/>
              <w:spacing w:before="200"/>
            </w:pPr>
            <w:r>
              <w:t>No</w:t>
            </w:r>
          </w:p>
        </w:tc>
        <w:tc>
          <w:tcPr>
            <w:tcW w:w="1673" w:type="dxa"/>
            <w:gridSpan w:val="2"/>
            <w:tcBorders>
              <w:top w:val="nil"/>
              <w:left w:val="single" w:sz="48" w:space="0" w:color="FFFFFF" w:themeColor="background1"/>
              <w:bottom w:val="nil"/>
              <w:right w:val="single" w:sz="48" w:space="0" w:color="FFFFFF" w:themeColor="background1"/>
            </w:tcBorders>
            <w:shd w:val="clear" w:color="auto" w:fill="F2F2F2" w:themeFill="background1" w:themeFillShade="F2"/>
          </w:tcPr>
          <w:p w:rsidR="0008671A" w:rsidP="001F281B" w14:paraId="7C7BE46B" w14:textId="47169C2B">
            <w:pPr>
              <w:pStyle w:val="Tablebody"/>
              <w:spacing w:before="200"/>
            </w:pPr>
            <w:r>
              <w:t>Yes</w:t>
            </w:r>
          </w:p>
        </w:tc>
        <w:tc>
          <w:tcPr>
            <w:tcW w:w="2777" w:type="dxa"/>
            <w:tcBorders>
              <w:top w:val="nil"/>
              <w:left w:val="single" w:sz="48" w:space="0" w:color="FFFFFF" w:themeColor="background1"/>
              <w:bottom w:val="nil"/>
              <w:right w:val="nil"/>
            </w:tcBorders>
            <w:shd w:val="clear" w:color="auto" w:fill="F2F2F2" w:themeFill="background1" w:themeFillShade="F2"/>
          </w:tcPr>
          <w:p w:rsidR="0008671A" w:rsidRPr="00BE6BEA" w:rsidP="001F281B" w14:paraId="37F6E11F" w14:textId="2EF20D7D">
            <w:pPr>
              <w:spacing w:before="200"/>
            </w:pPr>
            <w:r w:rsidRPr="00303485">
              <w:rPr>
                <w:rFonts w:ascii="Arial" w:hAnsi="Arial" w:cs="Arial"/>
                <w:color w:val="002060"/>
                <w:sz w:val="22"/>
                <w:szCs w:val="22"/>
              </w:rPr>
              <w:t>This measure is an optional alternative Health Information Exchange measure and may be reported as an alternative reporting option in place of PI_HIE_1 and PI_HIE_4 OR PI_HIE_</w:t>
            </w:r>
            <w:r>
              <w:rPr>
                <w:rFonts w:ascii="Arial" w:hAnsi="Arial" w:cs="Arial"/>
                <w:color w:val="002060"/>
                <w:sz w:val="22"/>
                <w:szCs w:val="22"/>
              </w:rPr>
              <w:t>5</w:t>
            </w:r>
            <w:r w:rsidRPr="00303485">
              <w:rPr>
                <w:rFonts w:ascii="Arial" w:hAnsi="Arial" w:cs="Arial"/>
                <w:color w:val="002060"/>
                <w:sz w:val="22"/>
                <w:szCs w:val="22"/>
              </w:rPr>
              <w:t>.</w:t>
            </w:r>
          </w:p>
        </w:tc>
      </w:tr>
      <w:bookmarkEnd w:id="37"/>
      <w:tr w14:paraId="27C4AF31" w14:textId="77777777" w:rsidTr="00E53EDA">
        <w:tblPrEx>
          <w:tblW w:w="11340" w:type="dxa"/>
          <w:tblInd w:w="-990" w:type="dxa"/>
          <w:tblLayout w:type="fixed"/>
          <w:tblLook w:val="0420"/>
        </w:tblPrEx>
        <w:trPr>
          <w:gridBefore w:val="1"/>
          <w:wBefore w:w="6" w:type="dxa"/>
          <w:cantSplit/>
          <w:trHeight w:val="1283"/>
        </w:trPr>
        <w:tc>
          <w:tcPr>
            <w:tcW w:w="1596" w:type="dxa"/>
            <w:tcBorders>
              <w:top w:val="nil"/>
              <w:left w:val="single" w:sz="48" w:space="0" w:color="FFFFFF" w:themeColor="background1"/>
              <w:bottom w:val="single" w:sz="4" w:space="0" w:color="FFFFFF" w:themeColor="background1"/>
              <w:right w:val="single" w:sz="48" w:space="0" w:color="FFFFFF" w:themeColor="background1"/>
            </w:tcBorders>
            <w:shd w:val="clear" w:color="auto" w:fill="F2F2F2" w:themeFill="background1" w:themeFillShade="F2"/>
            <w:tcMar>
              <w:top w:w="144" w:type="dxa"/>
              <w:left w:w="144" w:type="dxa"/>
              <w:bottom w:w="144" w:type="dxa"/>
              <w:right w:w="115" w:type="dxa"/>
            </w:tcMar>
          </w:tcPr>
          <w:p w:rsidR="004640EA" w:rsidRPr="00DB2944" w:rsidP="00363C94" w14:paraId="3672966F" w14:textId="77777777">
            <w:pPr>
              <w:pStyle w:val="Tablebody"/>
            </w:pPr>
            <w:r w:rsidRPr="00DB2944">
              <w:t>Public Health and Clinical Data Exchange</w:t>
            </w:r>
          </w:p>
        </w:tc>
        <w:tc>
          <w:tcPr>
            <w:tcW w:w="3711" w:type="dxa"/>
            <w:gridSpan w:val="2"/>
            <w:tcBorders>
              <w:top w:val="nil"/>
              <w:left w:val="single" w:sz="48" w:space="0" w:color="FFFFFF" w:themeColor="background1"/>
              <w:bottom w:val="single" w:sz="4" w:space="0" w:color="FFFFFF" w:themeColor="background1"/>
              <w:right w:val="single" w:sz="48" w:space="0" w:color="FFFFFF" w:themeColor="background1"/>
            </w:tcBorders>
            <w:shd w:val="clear" w:color="auto" w:fill="F2F2F2" w:themeFill="background1" w:themeFillShade="F2"/>
            <w:tcMar>
              <w:top w:w="144" w:type="dxa"/>
              <w:left w:w="144" w:type="dxa"/>
              <w:bottom w:w="144" w:type="dxa"/>
              <w:right w:w="115" w:type="dxa"/>
            </w:tcMar>
          </w:tcPr>
          <w:p w:rsidR="004640EA" w:rsidRPr="00DB2944" w:rsidP="00BF1CDD" w14:paraId="6501E9E7" w14:textId="77777777">
            <w:pPr>
              <w:rPr>
                <w:rFonts w:ascii="Arial" w:hAnsi="Arial" w:cs="Arial"/>
                <w:color w:val="003067"/>
                <w:sz w:val="22"/>
                <w:szCs w:val="22"/>
              </w:rPr>
            </w:pPr>
            <w:r w:rsidRPr="00DB2944">
              <w:rPr>
                <w:rFonts w:ascii="Arial" w:hAnsi="Arial" w:cs="Arial"/>
                <w:b/>
                <w:color w:val="003067"/>
                <w:sz w:val="22"/>
                <w:szCs w:val="22"/>
              </w:rPr>
              <w:t>PI_PHCDRR_1: Immunization Registry Reporting</w:t>
            </w:r>
            <w:r w:rsidRPr="00DB2944">
              <w:rPr>
                <w:rFonts w:ascii="Arial" w:hAnsi="Arial" w:cs="Arial"/>
                <w:color w:val="003067"/>
                <w:sz w:val="22"/>
                <w:szCs w:val="22"/>
              </w:rPr>
              <w:t xml:space="preserve">: </w:t>
            </w:r>
          </w:p>
          <w:p w:rsidR="004640EA" w:rsidRPr="00DB2944" w:rsidP="00363C94" w14:paraId="15772AFF" w14:textId="77777777">
            <w:pPr>
              <w:pStyle w:val="Tablebody"/>
              <w:rPr>
                <w:b/>
              </w:rPr>
            </w:pPr>
            <w:r w:rsidRPr="00DB2944">
              <w:t>The MIPS eligible clinician is in active engagement with a public health agency to submit immunization data and receive immunization forecasts and histories from the public health immunization registry</w:t>
            </w:r>
            <w:r w:rsidR="00BD4D79">
              <w:t xml:space="preserve"> </w:t>
            </w:r>
            <w:r w:rsidRPr="00DB2944">
              <w:t>/immunization information system (IIS).</w:t>
            </w:r>
          </w:p>
        </w:tc>
        <w:tc>
          <w:tcPr>
            <w:tcW w:w="1577" w:type="dxa"/>
            <w:tcBorders>
              <w:top w:val="nil"/>
              <w:left w:val="single" w:sz="48" w:space="0" w:color="FFFFFF" w:themeColor="background1"/>
              <w:bottom w:val="single" w:sz="4" w:space="0" w:color="FFFFFF" w:themeColor="background1"/>
            </w:tcBorders>
            <w:shd w:val="clear" w:color="auto" w:fill="F2F2F2" w:themeFill="background1" w:themeFillShade="F2"/>
            <w:tcMar>
              <w:top w:w="144" w:type="dxa"/>
              <w:left w:w="144" w:type="dxa"/>
              <w:bottom w:w="144" w:type="dxa"/>
              <w:right w:w="115" w:type="dxa"/>
            </w:tcMar>
          </w:tcPr>
          <w:p w:rsidR="004640EA" w:rsidRPr="00DB2944" w:rsidP="00363C94" w14:paraId="17B93794" w14:textId="77777777">
            <w:pPr>
              <w:pStyle w:val="Tablebody"/>
            </w:pPr>
            <w:r w:rsidRPr="00DB2944">
              <w:t>Yes</w:t>
            </w:r>
          </w:p>
        </w:tc>
        <w:tc>
          <w:tcPr>
            <w:tcW w:w="1673" w:type="dxa"/>
            <w:gridSpan w:val="2"/>
            <w:tcBorders>
              <w:top w:val="nil"/>
              <w:left w:val="single" w:sz="48" w:space="0" w:color="FFFFFF" w:themeColor="background1"/>
              <w:bottom w:val="single" w:sz="4" w:space="0" w:color="FFFFFF" w:themeColor="background1"/>
            </w:tcBorders>
            <w:shd w:val="clear" w:color="auto" w:fill="F2F2F2" w:themeFill="background1" w:themeFillShade="F2"/>
          </w:tcPr>
          <w:p w:rsidR="004640EA" w:rsidRPr="00DB2944" w:rsidP="00363C94" w14:paraId="3795F26C" w14:textId="77777777">
            <w:pPr>
              <w:pStyle w:val="Tablebody"/>
            </w:pPr>
            <w:r w:rsidRPr="00DB2944">
              <w:t>Yes</w:t>
            </w:r>
          </w:p>
        </w:tc>
        <w:tc>
          <w:tcPr>
            <w:tcW w:w="2777" w:type="dxa"/>
            <w:tcBorders>
              <w:top w:val="nil"/>
              <w:left w:val="single" w:sz="48" w:space="0" w:color="FFFFFF" w:themeColor="background1"/>
              <w:bottom w:val="single" w:sz="4" w:space="0" w:color="FFFFFF" w:themeColor="background1"/>
              <w:right w:val="nil"/>
            </w:tcBorders>
            <w:shd w:val="clear" w:color="auto" w:fill="F2F2F2" w:themeFill="background1" w:themeFillShade="F2"/>
          </w:tcPr>
          <w:p w:rsidR="004640EA" w:rsidRPr="00DB2944" w:rsidP="00363C94" w14:paraId="0E81E1EB" w14:textId="261187AC">
            <w:pPr>
              <w:pStyle w:val="Tablebody"/>
            </w:pPr>
          </w:p>
        </w:tc>
      </w:tr>
      <w:tr w14:paraId="3CF6C7B1" w14:textId="77777777" w:rsidTr="00E53EDA">
        <w:tblPrEx>
          <w:tblW w:w="11340" w:type="dxa"/>
          <w:tblInd w:w="-990" w:type="dxa"/>
          <w:tblLayout w:type="fixed"/>
          <w:tblLook w:val="0420"/>
        </w:tblPrEx>
        <w:trPr>
          <w:gridBefore w:val="1"/>
          <w:wBefore w:w="6" w:type="dxa"/>
          <w:cantSplit/>
          <w:trHeight w:val="1283"/>
        </w:trPr>
        <w:tc>
          <w:tcPr>
            <w:tcW w:w="1596" w:type="dxa"/>
            <w:tcBorders>
              <w:top w:val="single" w:sz="4" w:space="0" w:color="FFFFFF" w:themeColor="background1"/>
              <w:left w:val="single" w:sz="48" w:space="0" w:color="FFFFFF" w:themeColor="background1"/>
              <w:bottom w:val="single" w:sz="4" w:space="0" w:color="FFFFFF" w:themeColor="background1"/>
              <w:right w:val="single" w:sz="48" w:space="0" w:color="FFFFFF" w:themeColor="background1"/>
            </w:tcBorders>
            <w:shd w:val="clear" w:color="auto" w:fill="F2F2F2" w:themeFill="background1" w:themeFillShade="F2"/>
            <w:tcMar>
              <w:top w:w="144" w:type="dxa"/>
              <w:left w:w="144" w:type="dxa"/>
              <w:bottom w:w="144" w:type="dxa"/>
              <w:right w:w="115" w:type="dxa"/>
            </w:tcMar>
          </w:tcPr>
          <w:p w:rsidR="004640EA" w:rsidRPr="00DB2944" w:rsidP="00363C94" w14:paraId="3F81B4D5" w14:textId="77777777">
            <w:pPr>
              <w:pStyle w:val="Tablebody"/>
            </w:pPr>
            <w:r w:rsidRPr="00DB2944">
              <w:t>Public Health and Clinical Data Exchange</w:t>
            </w:r>
          </w:p>
        </w:tc>
        <w:tc>
          <w:tcPr>
            <w:tcW w:w="3711" w:type="dxa"/>
            <w:gridSpan w:val="2"/>
            <w:tcBorders>
              <w:top w:val="single" w:sz="4" w:space="0" w:color="FFFFFF" w:themeColor="background1"/>
              <w:left w:val="single" w:sz="48" w:space="0" w:color="FFFFFF" w:themeColor="background1"/>
              <w:bottom w:val="single" w:sz="4" w:space="0" w:color="FFFFFF" w:themeColor="background1"/>
              <w:right w:val="single" w:sz="48" w:space="0" w:color="FFFFFF" w:themeColor="background1"/>
            </w:tcBorders>
            <w:shd w:val="clear" w:color="auto" w:fill="F2F2F2" w:themeFill="background1" w:themeFillShade="F2"/>
            <w:tcMar>
              <w:top w:w="144" w:type="dxa"/>
              <w:left w:w="144" w:type="dxa"/>
              <w:bottom w:w="144" w:type="dxa"/>
              <w:right w:w="115" w:type="dxa"/>
            </w:tcMar>
          </w:tcPr>
          <w:p w:rsidR="004640EA" w:rsidRPr="00DB2944" w:rsidP="00BF1CDD" w14:paraId="6E031489" w14:textId="77777777">
            <w:pPr>
              <w:rPr>
                <w:rFonts w:ascii="Arial" w:hAnsi="Arial" w:cs="Arial"/>
                <w:b/>
                <w:color w:val="003067"/>
                <w:sz w:val="22"/>
                <w:szCs w:val="22"/>
              </w:rPr>
            </w:pPr>
            <w:r w:rsidRPr="00DB2944">
              <w:rPr>
                <w:rFonts w:ascii="Arial" w:hAnsi="Arial" w:cs="Arial"/>
                <w:b/>
                <w:color w:val="003067"/>
                <w:sz w:val="22"/>
                <w:szCs w:val="22"/>
              </w:rPr>
              <w:t>PI_PHCDRR_2: Syndromic Surveillance Reporting:</w:t>
            </w:r>
          </w:p>
          <w:p w:rsidR="004640EA" w:rsidRPr="00DB2944" w:rsidP="00363C94" w14:paraId="0737BEB7" w14:textId="77777777">
            <w:pPr>
              <w:pStyle w:val="Tablebody"/>
              <w:rPr>
                <w:b/>
              </w:rPr>
            </w:pPr>
            <w:r w:rsidRPr="00DB2944">
              <w:t>The MIPS eligible clinician is in active engagement with a public health agency to submit syndromic surveillance data from an urgent care setting.</w:t>
            </w:r>
          </w:p>
        </w:tc>
        <w:tc>
          <w:tcPr>
            <w:tcW w:w="1577" w:type="dxa"/>
            <w:tcBorders>
              <w:top w:val="single" w:sz="4" w:space="0" w:color="FFFFFF" w:themeColor="background1"/>
              <w:left w:val="single" w:sz="48" w:space="0" w:color="FFFFFF" w:themeColor="background1"/>
              <w:bottom w:val="single" w:sz="4" w:space="0" w:color="FFFFFF" w:themeColor="background1"/>
            </w:tcBorders>
            <w:shd w:val="clear" w:color="auto" w:fill="F2F2F2" w:themeFill="background1" w:themeFillShade="F2"/>
            <w:tcMar>
              <w:top w:w="144" w:type="dxa"/>
              <w:left w:w="144" w:type="dxa"/>
              <w:bottom w:w="144" w:type="dxa"/>
              <w:right w:w="115" w:type="dxa"/>
            </w:tcMar>
          </w:tcPr>
          <w:p w:rsidR="004640EA" w:rsidRPr="00DB2944" w:rsidP="00363C94" w14:paraId="009C182C" w14:textId="098EAA21">
            <w:pPr>
              <w:pStyle w:val="Tablebody"/>
            </w:pPr>
            <w:r>
              <w:t>No</w:t>
            </w:r>
          </w:p>
        </w:tc>
        <w:tc>
          <w:tcPr>
            <w:tcW w:w="1673" w:type="dxa"/>
            <w:gridSpan w:val="2"/>
            <w:tcBorders>
              <w:top w:val="single" w:sz="4" w:space="0" w:color="FFFFFF" w:themeColor="background1"/>
              <w:left w:val="single" w:sz="48" w:space="0" w:color="FFFFFF" w:themeColor="background1"/>
              <w:bottom w:val="single" w:sz="4" w:space="0" w:color="FFFFFF" w:themeColor="background1"/>
            </w:tcBorders>
            <w:shd w:val="clear" w:color="auto" w:fill="F2F2F2" w:themeFill="background1" w:themeFillShade="F2"/>
          </w:tcPr>
          <w:p w:rsidR="004640EA" w:rsidRPr="00DB2944" w:rsidP="00363C94" w14:paraId="7F581178" w14:textId="412162E5">
            <w:pPr>
              <w:pStyle w:val="Tablebody"/>
            </w:pPr>
            <w:r>
              <w:t>No</w:t>
            </w:r>
          </w:p>
        </w:tc>
        <w:tc>
          <w:tcPr>
            <w:tcW w:w="2777" w:type="dxa"/>
            <w:tcBorders>
              <w:top w:val="single" w:sz="4" w:space="0" w:color="FFFFFF" w:themeColor="background1"/>
              <w:left w:val="single" w:sz="48" w:space="0" w:color="FFFFFF" w:themeColor="background1"/>
              <w:bottom w:val="single" w:sz="4" w:space="0" w:color="FFFFFF" w:themeColor="background1"/>
              <w:right w:val="nil"/>
            </w:tcBorders>
            <w:shd w:val="clear" w:color="auto" w:fill="F2F2F2" w:themeFill="background1" w:themeFillShade="F2"/>
          </w:tcPr>
          <w:p w:rsidR="004640EA" w:rsidRPr="00DB2944" w:rsidP="00363C94" w14:paraId="70A31F5B" w14:textId="7344707E">
            <w:pPr>
              <w:pStyle w:val="Tablebody"/>
            </w:pPr>
            <w:r w:rsidRPr="00122129">
              <w:t xml:space="preserve">Bonus Promoting Interoperability measure </w:t>
            </w:r>
            <w:r w:rsidRPr="00122129">
              <w:t>at this time</w:t>
            </w:r>
            <w:r w:rsidR="00E013DF">
              <w:t>.</w:t>
            </w:r>
            <w:r w:rsidRPr="00122129">
              <w:t xml:space="preserve"> </w:t>
            </w:r>
          </w:p>
        </w:tc>
      </w:tr>
      <w:tr w14:paraId="41D8E56E" w14:textId="77777777" w:rsidTr="00E53EDA">
        <w:tblPrEx>
          <w:tblW w:w="11340" w:type="dxa"/>
          <w:tblInd w:w="-990" w:type="dxa"/>
          <w:tblLayout w:type="fixed"/>
          <w:tblLook w:val="0420"/>
        </w:tblPrEx>
        <w:trPr>
          <w:gridBefore w:val="1"/>
          <w:wBefore w:w="6" w:type="dxa"/>
          <w:cantSplit/>
          <w:trHeight w:val="1283"/>
        </w:trPr>
        <w:tc>
          <w:tcPr>
            <w:tcW w:w="1596" w:type="dxa"/>
            <w:tcBorders>
              <w:top w:val="single" w:sz="4" w:space="0" w:color="FFFFFF" w:themeColor="background1"/>
              <w:left w:val="single" w:sz="48" w:space="0" w:color="FFFFFF" w:themeColor="background1"/>
              <w:bottom w:val="single" w:sz="4" w:space="0" w:color="FFFFFF" w:themeColor="background1"/>
              <w:right w:val="single" w:sz="48" w:space="0" w:color="FFFFFF" w:themeColor="background1"/>
            </w:tcBorders>
            <w:shd w:val="clear" w:color="auto" w:fill="F2F2F2" w:themeFill="background1" w:themeFillShade="F2"/>
            <w:tcMar>
              <w:top w:w="144" w:type="dxa"/>
              <w:left w:w="144" w:type="dxa"/>
              <w:bottom w:w="144" w:type="dxa"/>
              <w:right w:w="115" w:type="dxa"/>
            </w:tcMar>
          </w:tcPr>
          <w:p w:rsidR="004640EA" w:rsidRPr="00DB2944" w:rsidP="00363C94" w14:paraId="62579EDA" w14:textId="77777777">
            <w:pPr>
              <w:pStyle w:val="Tablebody"/>
            </w:pPr>
            <w:r w:rsidRPr="00DB2944">
              <w:t>Public Health and Clinical Data Exchange</w:t>
            </w:r>
          </w:p>
        </w:tc>
        <w:tc>
          <w:tcPr>
            <w:tcW w:w="3711" w:type="dxa"/>
            <w:gridSpan w:val="2"/>
            <w:tcBorders>
              <w:top w:val="single" w:sz="4" w:space="0" w:color="FFFFFF" w:themeColor="background1"/>
              <w:left w:val="single" w:sz="48" w:space="0" w:color="FFFFFF" w:themeColor="background1"/>
              <w:bottom w:val="single" w:sz="4" w:space="0" w:color="FFFFFF" w:themeColor="background1"/>
              <w:right w:val="single" w:sz="48" w:space="0" w:color="FFFFFF" w:themeColor="background1"/>
            </w:tcBorders>
            <w:shd w:val="clear" w:color="auto" w:fill="F2F2F2" w:themeFill="background1" w:themeFillShade="F2"/>
            <w:tcMar>
              <w:top w:w="144" w:type="dxa"/>
              <w:left w:w="144" w:type="dxa"/>
              <w:bottom w:w="144" w:type="dxa"/>
              <w:right w:w="115" w:type="dxa"/>
            </w:tcMar>
          </w:tcPr>
          <w:p w:rsidR="004640EA" w:rsidRPr="00DB2944" w:rsidP="00BF1CDD" w14:paraId="5675EAF5" w14:textId="77777777">
            <w:pPr>
              <w:rPr>
                <w:rFonts w:ascii="Arial" w:hAnsi="Arial" w:cs="Arial"/>
                <w:b/>
                <w:color w:val="003067"/>
                <w:sz w:val="22"/>
                <w:szCs w:val="22"/>
              </w:rPr>
            </w:pPr>
            <w:r w:rsidRPr="00DB2944">
              <w:rPr>
                <w:rFonts w:ascii="Arial" w:hAnsi="Arial" w:cs="Arial"/>
                <w:b/>
                <w:color w:val="003067"/>
                <w:sz w:val="22"/>
                <w:szCs w:val="22"/>
              </w:rPr>
              <w:t>PI_PHCDRR_3: Electronic Case Reporting:</w:t>
            </w:r>
          </w:p>
          <w:p w:rsidR="004640EA" w:rsidRPr="00DB2944" w:rsidP="00BF1CDD" w14:paraId="04C3AA13" w14:textId="77777777">
            <w:pPr>
              <w:rPr>
                <w:rFonts w:ascii="Arial" w:hAnsi="Arial" w:cs="Arial"/>
                <w:b/>
                <w:color w:val="003067"/>
                <w:sz w:val="22"/>
                <w:szCs w:val="22"/>
              </w:rPr>
            </w:pPr>
            <w:r w:rsidRPr="00DB2944">
              <w:rPr>
                <w:rFonts w:ascii="Arial" w:hAnsi="Arial" w:cs="Arial"/>
                <w:color w:val="003067"/>
                <w:sz w:val="22"/>
                <w:szCs w:val="22"/>
              </w:rPr>
              <w:t>The MIPS eligible clinician is in active engagement with a public health agency to electronically submit case reporting of reportable conditions.</w:t>
            </w:r>
          </w:p>
        </w:tc>
        <w:tc>
          <w:tcPr>
            <w:tcW w:w="1577" w:type="dxa"/>
            <w:tcBorders>
              <w:top w:val="single" w:sz="4" w:space="0" w:color="FFFFFF" w:themeColor="background1"/>
              <w:left w:val="single" w:sz="48" w:space="0" w:color="FFFFFF" w:themeColor="background1"/>
              <w:bottom w:val="single" w:sz="4" w:space="0" w:color="FFFFFF" w:themeColor="background1"/>
            </w:tcBorders>
            <w:shd w:val="clear" w:color="auto" w:fill="F2F2F2" w:themeFill="background1" w:themeFillShade="F2"/>
            <w:tcMar>
              <w:top w:w="144" w:type="dxa"/>
              <w:left w:w="144" w:type="dxa"/>
              <w:bottom w:w="144" w:type="dxa"/>
              <w:right w:w="115" w:type="dxa"/>
            </w:tcMar>
          </w:tcPr>
          <w:p w:rsidR="004640EA" w:rsidRPr="00DB2944" w:rsidP="00363C94" w14:paraId="6160520C" w14:textId="77777777">
            <w:pPr>
              <w:pStyle w:val="Tablebody"/>
            </w:pPr>
            <w:r w:rsidRPr="00DB2944">
              <w:t>Yes</w:t>
            </w:r>
          </w:p>
        </w:tc>
        <w:tc>
          <w:tcPr>
            <w:tcW w:w="1673" w:type="dxa"/>
            <w:gridSpan w:val="2"/>
            <w:tcBorders>
              <w:top w:val="single" w:sz="4" w:space="0" w:color="FFFFFF" w:themeColor="background1"/>
              <w:left w:val="single" w:sz="48" w:space="0" w:color="FFFFFF" w:themeColor="background1"/>
              <w:bottom w:val="single" w:sz="4" w:space="0" w:color="FFFFFF" w:themeColor="background1"/>
            </w:tcBorders>
            <w:shd w:val="clear" w:color="auto" w:fill="F2F2F2" w:themeFill="background1" w:themeFillShade="F2"/>
          </w:tcPr>
          <w:p w:rsidR="004640EA" w:rsidRPr="00DB2944" w:rsidP="00363C94" w14:paraId="47388A93" w14:textId="77777777">
            <w:pPr>
              <w:pStyle w:val="Tablebody"/>
            </w:pPr>
            <w:r w:rsidRPr="00DB2944">
              <w:t>Yes</w:t>
            </w:r>
          </w:p>
        </w:tc>
        <w:tc>
          <w:tcPr>
            <w:tcW w:w="2777" w:type="dxa"/>
            <w:tcBorders>
              <w:top w:val="single" w:sz="4" w:space="0" w:color="FFFFFF" w:themeColor="background1"/>
              <w:left w:val="single" w:sz="48" w:space="0" w:color="FFFFFF" w:themeColor="background1"/>
              <w:bottom w:val="single" w:sz="4" w:space="0" w:color="FFFFFF" w:themeColor="background1"/>
              <w:right w:val="nil"/>
            </w:tcBorders>
            <w:shd w:val="clear" w:color="auto" w:fill="F2F2F2" w:themeFill="background1" w:themeFillShade="F2"/>
          </w:tcPr>
          <w:p w:rsidR="004640EA" w:rsidRPr="00DB2944" w:rsidP="00363C94" w14:paraId="5F28F8AD" w14:textId="468F1C8E">
            <w:pPr>
              <w:pStyle w:val="Tablebody"/>
            </w:pPr>
          </w:p>
        </w:tc>
      </w:tr>
      <w:tr w14:paraId="2147697B" w14:textId="77777777" w:rsidTr="00E53EDA">
        <w:tblPrEx>
          <w:tblW w:w="11340" w:type="dxa"/>
          <w:tblInd w:w="-990" w:type="dxa"/>
          <w:tblLayout w:type="fixed"/>
          <w:tblLook w:val="0420"/>
        </w:tblPrEx>
        <w:trPr>
          <w:gridBefore w:val="1"/>
          <w:wBefore w:w="6" w:type="dxa"/>
          <w:cantSplit/>
          <w:trHeight w:val="701"/>
        </w:trPr>
        <w:tc>
          <w:tcPr>
            <w:tcW w:w="1596" w:type="dxa"/>
            <w:tcBorders>
              <w:top w:val="single" w:sz="4" w:space="0" w:color="FFFFFF" w:themeColor="background1"/>
              <w:left w:val="single" w:sz="48" w:space="0" w:color="FFFFFF" w:themeColor="background1"/>
              <w:bottom w:val="single" w:sz="4" w:space="0" w:color="FFFFFF" w:themeColor="background1"/>
              <w:right w:val="single" w:sz="48" w:space="0" w:color="FFFFFF" w:themeColor="background1"/>
            </w:tcBorders>
            <w:shd w:val="clear" w:color="auto" w:fill="F2F2F2" w:themeFill="background1" w:themeFillShade="F2"/>
            <w:tcMar>
              <w:top w:w="144" w:type="dxa"/>
              <w:left w:w="144" w:type="dxa"/>
              <w:bottom w:w="144" w:type="dxa"/>
              <w:right w:w="115" w:type="dxa"/>
            </w:tcMar>
          </w:tcPr>
          <w:p w:rsidR="004640EA" w:rsidRPr="00DB2944" w:rsidP="00363C94" w14:paraId="38E68BF9" w14:textId="77777777">
            <w:pPr>
              <w:pStyle w:val="Tablebody"/>
            </w:pPr>
            <w:r w:rsidRPr="00DB2944">
              <w:t>Public Health and Clinical Data Exchange</w:t>
            </w:r>
          </w:p>
        </w:tc>
        <w:tc>
          <w:tcPr>
            <w:tcW w:w="3711" w:type="dxa"/>
            <w:gridSpan w:val="2"/>
            <w:tcBorders>
              <w:top w:val="single" w:sz="4" w:space="0" w:color="FFFFFF" w:themeColor="background1"/>
              <w:left w:val="single" w:sz="48" w:space="0" w:color="FFFFFF" w:themeColor="background1"/>
              <w:bottom w:val="single" w:sz="4" w:space="0" w:color="FFFFFF" w:themeColor="background1"/>
              <w:right w:val="single" w:sz="48" w:space="0" w:color="FFFFFF" w:themeColor="background1"/>
            </w:tcBorders>
            <w:shd w:val="clear" w:color="auto" w:fill="F2F2F2" w:themeFill="background1" w:themeFillShade="F2"/>
            <w:tcMar>
              <w:top w:w="144" w:type="dxa"/>
              <w:left w:w="144" w:type="dxa"/>
              <w:bottom w:w="144" w:type="dxa"/>
              <w:right w:w="115" w:type="dxa"/>
            </w:tcMar>
          </w:tcPr>
          <w:p w:rsidR="004640EA" w:rsidRPr="00DB2944" w:rsidP="00BF1CDD" w14:paraId="7F948F38" w14:textId="77777777">
            <w:pPr>
              <w:rPr>
                <w:rFonts w:ascii="Arial" w:hAnsi="Arial" w:cs="Arial"/>
                <w:b/>
                <w:color w:val="003067"/>
                <w:sz w:val="22"/>
                <w:szCs w:val="22"/>
              </w:rPr>
            </w:pPr>
            <w:r w:rsidRPr="00DB2944">
              <w:rPr>
                <w:rFonts w:ascii="Arial" w:hAnsi="Arial" w:cs="Arial"/>
                <w:b/>
                <w:color w:val="003067"/>
                <w:sz w:val="22"/>
                <w:szCs w:val="22"/>
              </w:rPr>
              <w:t>PI_PHCDRR_4: Public Health Registry Reporting:</w:t>
            </w:r>
          </w:p>
          <w:p w:rsidR="004640EA" w:rsidRPr="00DB2944" w:rsidP="00BF1CDD" w14:paraId="0147474A" w14:textId="77777777">
            <w:pPr>
              <w:rPr>
                <w:rFonts w:ascii="Arial" w:hAnsi="Arial" w:cs="Arial"/>
                <w:b/>
                <w:color w:val="003067"/>
                <w:sz w:val="22"/>
                <w:szCs w:val="22"/>
              </w:rPr>
            </w:pPr>
            <w:r w:rsidRPr="00DB2944">
              <w:rPr>
                <w:rFonts w:ascii="Arial" w:hAnsi="Arial" w:cs="Arial"/>
                <w:color w:val="003067"/>
                <w:sz w:val="22"/>
                <w:szCs w:val="22"/>
              </w:rPr>
              <w:t>The MIPS eligible clinician is in active engagement with a public health agency to submit data to public health registries.</w:t>
            </w:r>
          </w:p>
        </w:tc>
        <w:tc>
          <w:tcPr>
            <w:tcW w:w="1577" w:type="dxa"/>
            <w:tcBorders>
              <w:top w:val="single" w:sz="4" w:space="0" w:color="FFFFFF" w:themeColor="background1"/>
              <w:left w:val="single" w:sz="48" w:space="0" w:color="FFFFFF" w:themeColor="background1"/>
              <w:bottom w:val="single" w:sz="4" w:space="0" w:color="FFFFFF" w:themeColor="background1"/>
            </w:tcBorders>
            <w:shd w:val="clear" w:color="auto" w:fill="F2F2F2" w:themeFill="background1" w:themeFillShade="F2"/>
            <w:tcMar>
              <w:top w:w="144" w:type="dxa"/>
              <w:left w:w="144" w:type="dxa"/>
              <w:bottom w:w="144" w:type="dxa"/>
              <w:right w:w="115" w:type="dxa"/>
            </w:tcMar>
          </w:tcPr>
          <w:p w:rsidR="004640EA" w:rsidRPr="00DB2944" w:rsidP="00363C94" w14:paraId="2686A3BF" w14:textId="7B475657">
            <w:pPr>
              <w:pStyle w:val="Tablebody"/>
            </w:pPr>
            <w:r>
              <w:t>No</w:t>
            </w:r>
          </w:p>
        </w:tc>
        <w:tc>
          <w:tcPr>
            <w:tcW w:w="1673" w:type="dxa"/>
            <w:gridSpan w:val="2"/>
            <w:tcBorders>
              <w:top w:val="single" w:sz="4" w:space="0" w:color="FFFFFF" w:themeColor="background1"/>
              <w:left w:val="single" w:sz="48" w:space="0" w:color="FFFFFF" w:themeColor="background1"/>
              <w:bottom w:val="single" w:sz="4" w:space="0" w:color="FFFFFF" w:themeColor="background1"/>
            </w:tcBorders>
            <w:shd w:val="clear" w:color="auto" w:fill="F2F2F2" w:themeFill="background1" w:themeFillShade="F2"/>
          </w:tcPr>
          <w:p w:rsidR="004640EA" w:rsidRPr="00DB2944" w:rsidP="00363C94" w14:paraId="1644A344" w14:textId="7AC830E0">
            <w:pPr>
              <w:pStyle w:val="Tablebody"/>
            </w:pPr>
            <w:r>
              <w:t>No</w:t>
            </w:r>
          </w:p>
        </w:tc>
        <w:tc>
          <w:tcPr>
            <w:tcW w:w="2777" w:type="dxa"/>
            <w:tcBorders>
              <w:top w:val="single" w:sz="4" w:space="0" w:color="FFFFFF" w:themeColor="background1"/>
              <w:left w:val="single" w:sz="48" w:space="0" w:color="FFFFFF" w:themeColor="background1"/>
              <w:bottom w:val="single" w:sz="4" w:space="0" w:color="FFFFFF" w:themeColor="background1"/>
              <w:right w:val="nil"/>
            </w:tcBorders>
            <w:shd w:val="clear" w:color="auto" w:fill="F2F2F2" w:themeFill="background1" w:themeFillShade="F2"/>
          </w:tcPr>
          <w:p w:rsidR="004640EA" w:rsidRPr="00DB2944" w:rsidP="00363C94" w14:paraId="6238349E" w14:textId="20B11179">
            <w:pPr>
              <w:pStyle w:val="Tablebody"/>
            </w:pPr>
            <w:r w:rsidRPr="00122129">
              <w:t xml:space="preserve">Bonus Promoting Interoperability measure </w:t>
            </w:r>
            <w:r w:rsidRPr="00122129">
              <w:t>at this time</w:t>
            </w:r>
            <w:r w:rsidR="00E50D6F">
              <w:t>.</w:t>
            </w:r>
          </w:p>
        </w:tc>
      </w:tr>
      <w:tr w14:paraId="20E90CA4" w14:textId="77777777" w:rsidTr="00E53EDA">
        <w:tblPrEx>
          <w:tblW w:w="11340" w:type="dxa"/>
          <w:tblInd w:w="-990" w:type="dxa"/>
          <w:tblLayout w:type="fixed"/>
          <w:tblLook w:val="0420"/>
        </w:tblPrEx>
        <w:trPr>
          <w:gridBefore w:val="1"/>
          <w:wBefore w:w="6" w:type="dxa"/>
          <w:cantSplit/>
          <w:trHeight w:val="1283"/>
        </w:trPr>
        <w:tc>
          <w:tcPr>
            <w:tcW w:w="1596" w:type="dxa"/>
            <w:tcBorders>
              <w:top w:val="single" w:sz="4" w:space="0" w:color="FFFFFF" w:themeColor="background1"/>
              <w:left w:val="single" w:sz="48" w:space="0" w:color="FFFFFF" w:themeColor="background1"/>
              <w:bottom w:val="single" w:sz="4" w:space="0" w:color="FFFFFF" w:themeColor="background1"/>
              <w:right w:val="single" w:sz="48" w:space="0" w:color="FFFFFF" w:themeColor="background1"/>
            </w:tcBorders>
            <w:shd w:val="clear" w:color="auto" w:fill="F2F2F2" w:themeFill="background1" w:themeFillShade="F2"/>
            <w:tcMar>
              <w:top w:w="144" w:type="dxa"/>
              <w:left w:w="144" w:type="dxa"/>
              <w:bottom w:w="144" w:type="dxa"/>
              <w:right w:w="115" w:type="dxa"/>
            </w:tcMar>
          </w:tcPr>
          <w:p w:rsidR="004640EA" w:rsidRPr="00DB2944" w:rsidP="00363C94" w14:paraId="4BA647D5" w14:textId="77777777">
            <w:pPr>
              <w:pStyle w:val="Tablebody"/>
            </w:pPr>
            <w:r w:rsidRPr="00DB2944">
              <w:t>Public Health and Clinical Data Exchange</w:t>
            </w:r>
          </w:p>
        </w:tc>
        <w:tc>
          <w:tcPr>
            <w:tcW w:w="3711" w:type="dxa"/>
            <w:gridSpan w:val="2"/>
            <w:tcBorders>
              <w:top w:val="single" w:sz="4" w:space="0" w:color="FFFFFF" w:themeColor="background1"/>
              <w:left w:val="single" w:sz="48" w:space="0" w:color="FFFFFF" w:themeColor="background1"/>
              <w:bottom w:val="single" w:sz="4" w:space="0" w:color="FFFFFF" w:themeColor="background1"/>
              <w:right w:val="single" w:sz="48" w:space="0" w:color="FFFFFF" w:themeColor="background1"/>
            </w:tcBorders>
            <w:shd w:val="clear" w:color="auto" w:fill="F2F2F2" w:themeFill="background1" w:themeFillShade="F2"/>
            <w:tcMar>
              <w:top w:w="144" w:type="dxa"/>
              <w:left w:w="144" w:type="dxa"/>
              <w:bottom w:w="144" w:type="dxa"/>
              <w:right w:w="115" w:type="dxa"/>
            </w:tcMar>
          </w:tcPr>
          <w:p w:rsidR="004640EA" w:rsidRPr="00DB2944" w:rsidP="00BF1CDD" w14:paraId="451EA067" w14:textId="77777777">
            <w:pPr>
              <w:rPr>
                <w:rFonts w:ascii="Arial" w:hAnsi="Arial" w:cs="Arial"/>
                <w:b/>
                <w:color w:val="003067"/>
                <w:sz w:val="22"/>
                <w:szCs w:val="22"/>
              </w:rPr>
            </w:pPr>
            <w:r w:rsidRPr="00DB2944">
              <w:rPr>
                <w:rFonts w:ascii="Arial" w:hAnsi="Arial" w:cs="Arial"/>
                <w:b/>
                <w:color w:val="003067"/>
                <w:sz w:val="22"/>
                <w:szCs w:val="22"/>
              </w:rPr>
              <w:t xml:space="preserve">PI_PHCDRR_5: Clinical Data Registry Reporting: </w:t>
            </w:r>
          </w:p>
          <w:p w:rsidR="004640EA" w:rsidRPr="00DB2944" w:rsidP="00BF1CDD" w14:paraId="42FC6A15" w14:textId="77777777">
            <w:pPr>
              <w:rPr>
                <w:rFonts w:ascii="Arial" w:hAnsi="Arial" w:cs="Arial"/>
                <w:b/>
                <w:color w:val="003067"/>
                <w:sz w:val="22"/>
                <w:szCs w:val="22"/>
              </w:rPr>
            </w:pPr>
            <w:r w:rsidRPr="00DB2944">
              <w:rPr>
                <w:rFonts w:ascii="Arial" w:hAnsi="Arial" w:cs="Arial"/>
                <w:color w:val="003067"/>
                <w:sz w:val="22"/>
                <w:szCs w:val="22"/>
              </w:rPr>
              <w:t>The MIPS eligible clinician is in active engagement to submit data to a clinical data registry.</w:t>
            </w:r>
          </w:p>
        </w:tc>
        <w:tc>
          <w:tcPr>
            <w:tcW w:w="1577" w:type="dxa"/>
            <w:tcBorders>
              <w:top w:val="single" w:sz="4" w:space="0" w:color="FFFFFF" w:themeColor="background1"/>
              <w:left w:val="single" w:sz="48" w:space="0" w:color="FFFFFF" w:themeColor="background1"/>
              <w:bottom w:val="single" w:sz="4" w:space="0" w:color="FFFFFF" w:themeColor="background1"/>
            </w:tcBorders>
            <w:shd w:val="clear" w:color="auto" w:fill="F2F2F2" w:themeFill="background1" w:themeFillShade="F2"/>
            <w:tcMar>
              <w:top w:w="144" w:type="dxa"/>
              <w:left w:w="144" w:type="dxa"/>
              <w:bottom w:w="144" w:type="dxa"/>
              <w:right w:w="115" w:type="dxa"/>
            </w:tcMar>
          </w:tcPr>
          <w:p w:rsidR="004640EA" w:rsidRPr="00DB2944" w:rsidP="00363C94" w14:paraId="687E7939" w14:textId="68620ECD">
            <w:pPr>
              <w:pStyle w:val="Tablebody"/>
            </w:pPr>
            <w:r>
              <w:t>No</w:t>
            </w:r>
          </w:p>
        </w:tc>
        <w:tc>
          <w:tcPr>
            <w:tcW w:w="1673" w:type="dxa"/>
            <w:gridSpan w:val="2"/>
            <w:tcBorders>
              <w:top w:val="single" w:sz="4" w:space="0" w:color="FFFFFF" w:themeColor="background1"/>
              <w:left w:val="single" w:sz="48" w:space="0" w:color="FFFFFF" w:themeColor="background1"/>
              <w:bottom w:val="single" w:sz="4" w:space="0" w:color="FFFFFF" w:themeColor="background1"/>
            </w:tcBorders>
            <w:shd w:val="clear" w:color="auto" w:fill="F2F2F2" w:themeFill="background1" w:themeFillShade="F2"/>
          </w:tcPr>
          <w:p w:rsidR="004640EA" w:rsidRPr="00DB2944" w:rsidP="00363C94" w14:paraId="56FD787E" w14:textId="14DEC670">
            <w:pPr>
              <w:pStyle w:val="Tablebody"/>
            </w:pPr>
            <w:r>
              <w:t>No</w:t>
            </w:r>
          </w:p>
        </w:tc>
        <w:tc>
          <w:tcPr>
            <w:tcW w:w="2777" w:type="dxa"/>
            <w:tcBorders>
              <w:top w:val="single" w:sz="4" w:space="0" w:color="FFFFFF" w:themeColor="background1"/>
              <w:left w:val="single" w:sz="48" w:space="0" w:color="FFFFFF" w:themeColor="background1"/>
              <w:bottom w:val="single" w:sz="4" w:space="0" w:color="FFFFFF" w:themeColor="background1"/>
              <w:right w:val="nil"/>
            </w:tcBorders>
            <w:shd w:val="clear" w:color="auto" w:fill="F2F2F2" w:themeFill="background1" w:themeFillShade="F2"/>
          </w:tcPr>
          <w:p w:rsidR="004640EA" w:rsidRPr="00DB2944" w:rsidP="00363C94" w14:paraId="55044C1E" w14:textId="43F809B3">
            <w:pPr>
              <w:pStyle w:val="Tablebody"/>
            </w:pPr>
            <w:r w:rsidRPr="00122129">
              <w:t xml:space="preserve">Bonus Promoting Interoperability measure </w:t>
            </w:r>
            <w:r w:rsidRPr="00122129">
              <w:t>at this time</w:t>
            </w:r>
            <w:r w:rsidR="00E50D6F">
              <w:t>.</w:t>
            </w:r>
          </w:p>
        </w:tc>
      </w:tr>
      <w:bookmarkEnd w:id="31"/>
    </w:tbl>
    <w:p w:rsidR="25546F51" w14:paraId="7D20A895" w14:textId="796AEB17">
      <w:r>
        <w:br w:type="page"/>
      </w:r>
    </w:p>
    <w:p w:rsidR="004640EA" w:rsidRPr="00212068" w:rsidP="00FC77EF" w14:paraId="298886B6" w14:textId="6FC02AFF">
      <w:pPr>
        <w:pStyle w:val="Heading2"/>
        <w:spacing w:before="0" w:line="240" w:lineRule="auto"/>
      </w:pPr>
      <w:r>
        <w:t>Appendix</w:t>
      </w:r>
    </w:p>
    <w:p w:rsidR="004640EA" w:rsidRPr="00C4670F" w:rsidP="00BF1CDD" w14:paraId="75A4B321" w14:textId="77777777">
      <w:pPr>
        <w:pStyle w:val="Heading3"/>
        <w:spacing w:before="0" w:line="240" w:lineRule="auto"/>
      </w:pPr>
      <w:r>
        <w:t>Additional Guidance and Considerations When Submitting an MVP Candidate</w:t>
      </w:r>
    </w:p>
    <w:p w:rsidR="004640EA" w:rsidP="00EF298A" w14:paraId="4A78EFF9" w14:textId="70F15FD9">
      <w:pPr>
        <w:keepLines/>
        <w:rPr>
          <w:rFonts w:ascii="Arial" w:eastAsia="Yu Gothic Light" w:hAnsi="Arial" w:cs="Arial"/>
          <w:bCs/>
          <w:iCs/>
          <w:sz w:val="22"/>
          <w:szCs w:val="22"/>
        </w:rPr>
      </w:pPr>
      <w:r w:rsidRPr="00DB2944">
        <w:rPr>
          <w:rFonts w:ascii="Arial" w:eastAsia="Yu Gothic Light" w:hAnsi="Arial" w:cs="Arial"/>
          <w:bCs/>
          <w:iCs/>
          <w:sz w:val="22"/>
          <w:szCs w:val="22"/>
        </w:rPr>
        <w:t>Consideration should be given to the following criteria when developing rationales for including measures and activities in your MVP candidate submission:</w:t>
      </w:r>
    </w:p>
    <w:p w:rsidR="00275967" w:rsidRPr="00DB2944" w:rsidP="00BF1CDD" w14:paraId="76F70A21" w14:textId="77777777">
      <w:pPr>
        <w:keepLines/>
        <w:rPr>
          <w:rFonts w:ascii="Arial" w:eastAsia="Yu Gothic Light" w:hAnsi="Arial" w:cs="Arial"/>
          <w:bCs/>
          <w:iCs/>
          <w:sz w:val="22"/>
          <w:szCs w:val="22"/>
        </w:rPr>
      </w:pPr>
    </w:p>
    <w:p w:rsidR="004640EA" w:rsidRPr="00DB2944" w:rsidP="00BF1CDD" w14:paraId="1C9B0E62" w14:textId="77777777">
      <w:pPr>
        <w:keepLines/>
        <w:rPr>
          <w:rFonts w:ascii="Arial" w:eastAsia="Yu Gothic Light" w:hAnsi="Arial" w:cs="Arial"/>
          <w:b/>
          <w:i/>
          <w:sz w:val="22"/>
          <w:szCs w:val="22"/>
        </w:rPr>
      </w:pPr>
      <w:bookmarkStart w:id="39" w:name="OLE_LINK28"/>
      <w:r w:rsidRPr="00DB2944">
        <w:rPr>
          <w:rFonts w:ascii="Arial" w:eastAsia="Yu Gothic Light" w:hAnsi="Arial" w:cs="Arial"/>
          <w:b/>
          <w:i/>
          <w:sz w:val="22"/>
          <w:szCs w:val="22"/>
        </w:rPr>
        <w:t>Quality Measures:</w:t>
      </w:r>
    </w:p>
    <w:p w:rsidR="004640EA" w:rsidRPr="002D6A31" w:rsidP="00BF1CDD" w14:paraId="038380CD" w14:textId="66E7D939">
      <w:pPr>
        <w:pStyle w:val="Bullet1"/>
        <w:spacing w:before="0" w:after="0"/>
        <w:rPr>
          <w:i/>
        </w:rPr>
      </w:pPr>
      <w:r w:rsidRPr="002D6A31">
        <w:t xml:space="preserve">Do the quality measures included in the MVP meet the existing quality measure inclusion criteria? </w:t>
      </w:r>
      <w:r w:rsidRPr="002D6A31">
        <w:rPr>
          <w:i/>
        </w:rPr>
        <w:t>(For example, does the measure demonstrate a performance gap?)</w:t>
      </w:r>
    </w:p>
    <w:p w:rsidR="004640EA" w:rsidRPr="004640EA" w:rsidP="00BF1CDD" w14:paraId="66F0D89D" w14:textId="5129DEE8">
      <w:pPr>
        <w:pStyle w:val="Bullet1"/>
        <w:spacing w:before="0" w:after="0"/>
      </w:pPr>
      <w:r w:rsidRPr="004640EA">
        <w:t xml:space="preserve">Have the quality measure denominators been evaluated to ensure </w:t>
      </w:r>
      <w:r w:rsidR="00987467">
        <w:t>they are</w:t>
      </w:r>
      <w:r w:rsidRPr="004640EA" w:rsidR="00987467">
        <w:t xml:space="preserve"> applicab</w:t>
      </w:r>
      <w:r w:rsidR="00987467">
        <w:t>le</w:t>
      </w:r>
      <w:r w:rsidRPr="004640EA" w:rsidR="00987467">
        <w:t xml:space="preserve"> </w:t>
      </w:r>
      <w:r w:rsidR="00987467">
        <w:t>to</w:t>
      </w:r>
      <w:r w:rsidRPr="004640EA">
        <w:t xml:space="preserve"> the </w:t>
      </w:r>
      <w:r w:rsidR="00987467">
        <w:t xml:space="preserve">cost </w:t>
      </w:r>
      <w:r w:rsidRPr="004640EA">
        <w:t>measure</w:t>
      </w:r>
      <w:r w:rsidR="00987467">
        <w:t>(</w:t>
      </w:r>
      <w:r w:rsidRPr="004640EA">
        <w:t>s</w:t>
      </w:r>
      <w:r w:rsidR="00987467">
        <w:t>)</w:t>
      </w:r>
      <w:r w:rsidRPr="004640EA">
        <w:t xml:space="preserve"> and activities within the MVP?</w:t>
      </w:r>
    </w:p>
    <w:p w:rsidR="004640EA" w:rsidP="00BF1CDD" w14:paraId="40B2FC51" w14:textId="4E594EFC">
      <w:pPr>
        <w:pStyle w:val="Bullet1"/>
        <w:spacing w:before="0" w:after="0"/>
      </w:pPr>
      <w:r>
        <w:t xml:space="preserve">Have the quality measure numerators been assessed to ensure </w:t>
      </w:r>
      <w:r w:rsidR="00987467">
        <w:t>congruency</w:t>
      </w:r>
      <w:r>
        <w:t xml:space="preserve"> to the MVP topic?</w:t>
      </w:r>
    </w:p>
    <w:p w:rsidR="004640EA" w:rsidRPr="00212068" w:rsidP="00BF1CDD" w14:paraId="2D867DE1" w14:textId="5A661A58">
      <w:pPr>
        <w:pStyle w:val="Bullet1"/>
        <w:spacing w:before="0" w:after="0"/>
      </w:pPr>
      <w:r>
        <w:t>D</w:t>
      </w:r>
      <w:r>
        <w:t>oes the MVP include outcome measures or high-priority measures in instances where outcome measures are not available or applicable?</w:t>
      </w:r>
    </w:p>
    <w:p w:rsidR="004640EA" w:rsidRPr="004640EA" w:rsidP="00BF1CDD" w14:paraId="1B97DB09" w14:textId="2538E65D">
      <w:pPr>
        <w:pStyle w:val="Bullet2"/>
        <w:numPr>
          <w:ilvl w:val="0"/>
          <w:numId w:val="5"/>
        </w:numPr>
      </w:pPr>
      <w:r>
        <w:t>C</w:t>
      </w:r>
      <w:r w:rsidRPr="004640EA">
        <w:t xml:space="preserve">MS prefers use of patient experience/survey measures when available. CMS encourages </w:t>
      </w:r>
      <w:r w:rsidR="003F0E57">
        <w:t>the general public</w:t>
      </w:r>
      <w:r w:rsidRPr="004640EA">
        <w:t xml:space="preserve"> to utilize our established pre-rulemaking processes, such as the Call for </w:t>
      </w:r>
      <w:r w:rsidR="000862F8">
        <w:t xml:space="preserve">Quality </w:t>
      </w:r>
      <w:r w:rsidRPr="004640EA">
        <w:t xml:space="preserve">Measures, described in the </w:t>
      </w:r>
      <w:bookmarkStart w:id="40" w:name="_Hlk85727518"/>
      <w:hyperlink r:id="rId21" w:history="1">
        <w:r w:rsidRPr="00AD7DB1">
          <w:rPr>
            <w:rStyle w:val="Hyperlink"/>
          </w:rPr>
          <w:t xml:space="preserve">CY 2020 PFS </w:t>
        </w:r>
        <w:r w:rsidRPr="00AD7DB1" w:rsidR="0066519E">
          <w:rPr>
            <w:rStyle w:val="Hyperlink"/>
          </w:rPr>
          <w:t>f</w:t>
        </w:r>
        <w:r w:rsidRPr="00AD7DB1">
          <w:rPr>
            <w:rStyle w:val="Hyperlink"/>
          </w:rPr>
          <w:t xml:space="preserve">inal </w:t>
        </w:r>
        <w:r w:rsidRPr="00AD7DB1" w:rsidR="0066519E">
          <w:rPr>
            <w:rStyle w:val="Hyperlink"/>
          </w:rPr>
          <w:t>r</w:t>
        </w:r>
        <w:r w:rsidRPr="00AD7DB1">
          <w:rPr>
            <w:rStyle w:val="Hyperlink"/>
          </w:rPr>
          <w:t>ule</w:t>
        </w:r>
      </w:hyperlink>
      <w:bookmarkEnd w:id="40"/>
      <w:r w:rsidR="00AD7DB1">
        <w:t xml:space="preserve"> (</w:t>
      </w:r>
      <w:r w:rsidRPr="004640EA">
        <w:t>84 FR 62953 through 62955) to develop outcome measures relevant to their specialty if outcome measures currently do not exist and for eventual inclusion into an MVP.</w:t>
      </w:r>
    </w:p>
    <w:p w:rsidR="004640EA" w:rsidP="00BF1CDD" w14:paraId="2BBAA7E3" w14:textId="7F5366A1">
      <w:pPr>
        <w:pStyle w:val="Bullet1"/>
        <w:spacing w:before="0" w:after="0"/>
      </w:pPr>
      <w:r>
        <w:t>To the extent feasible, does the MVP avoid including quality measures that are topped out?</w:t>
      </w:r>
    </w:p>
    <w:p w:rsidR="004640EA" w:rsidP="00BF1CDD" w14:paraId="32C76B1C" w14:textId="3E176183">
      <w:pPr>
        <w:pStyle w:val="Bullet1"/>
        <w:spacing w:before="0" w:after="0"/>
      </w:pPr>
      <w:bookmarkStart w:id="41" w:name="OLE_LINK97"/>
      <w:r>
        <w:t>For which collection types are the measures available</w:t>
      </w:r>
      <w:r>
        <w:t>?</w:t>
      </w:r>
    </w:p>
    <w:bookmarkEnd w:id="41"/>
    <w:p w:rsidR="004640EA" w:rsidP="00BF1CDD" w14:paraId="2764DB21" w14:textId="3C448B81">
      <w:pPr>
        <w:pStyle w:val="Bullet1"/>
        <w:spacing w:before="0" w:after="0"/>
      </w:pPr>
      <w:r>
        <w:t xml:space="preserve">What role does each quality measure play in driving quality </w:t>
      </w:r>
      <w:r w:rsidR="00BA7594">
        <w:t xml:space="preserve">clinical </w:t>
      </w:r>
      <w:r>
        <w:t>care</w:t>
      </w:r>
      <w:r w:rsidR="00C7116D">
        <w:t>,</w:t>
      </w:r>
      <w:r>
        <w:t xml:space="preserve"> improving </w:t>
      </w:r>
      <w:r w:rsidR="00136C29">
        <w:t>healthcare</w:t>
      </w:r>
      <w:r>
        <w:t xml:space="preserve"> value</w:t>
      </w:r>
      <w:r w:rsidR="00C7116D">
        <w:t>, and addressing the health equity gap</w:t>
      </w:r>
      <w:r>
        <w:t xml:space="preserve"> within the MVP?</w:t>
      </w:r>
      <w:r w:rsidR="00C7116D">
        <w:t xml:space="preserve"> </w:t>
      </w:r>
    </w:p>
    <w:p w:rsidR="004640EA" w:rsidRPr="00324127" w:rsidP="00BF1CDD" w14:paraId="597F9868" w14:textId="77777777">
      <w:pPr>
        <w:pStyle w:val="Bullet1"/>
        <w:spacing w:before="0" w:after="0"/>
      </w:pPr>
      <w:r>
        <w:t xml:space="preserve">To the extent feasible, specialty and sub-specialty specific quality measures are incorporated into the MVP. Broadly applicable (cross-cutting) quality measures may be incorporated if relevant to the clinicians being measured. </w:t>
      </w:r>
    </w:p>
    <w:bookmarkEnd w:id="39"/>
    <w:p w:rsidR="00275967" w:rsidP="00EF298A" w14:paraId="192E24B1" w14:textId="77777777">
      <w:pPr>
        <w:rPr>
          <w:rFonts w:ascii="Arial" w:hAnsi="Arial" w:cs="Arial"/>
          <w:b/>
          <w:bCs/>
          <w:i/>
          <w:iCs/>
          <w:sz w:val="22"/>
          <w:szCs w:val="22"/>
        </w:rPr>
      </w:pPr>
    </w:p>
    <w:p w:rsidR="004754D3" w:rsidRPr="00324127" w:rsidP="00BF1CDD" w14:paraId="0F06BFAD" w14:textId="3AC45643">
      <w:pPr>
        <w:rPr>
          <w:rFonts w:ascii="Arial" w:hAnsi="Arial" w:cs="Arial"/>
          <w:b/>
          <w:bCs/>
          <w:i/>
          <w:iCs/>
          <w:sz w:val="22"/>
          <w:szCs w:val="22"/>
        </w:rPr>
      </w:pPr>
      <w:r w:rsidRPr="00F02864">
        <w:rPr>
          <w:rFonts w:ascii="Arial" w:hAnsi="Arial" w:cs="Arial"/>
          <w:b/>
          <w:bCs/>
          <w:i/>
          <w:iCs/>
          <w:sz w:val="22"/>
          <w:szCs w:val="22"/>
        </w:rPr>
        <w:t>Improvement Activities:</w:t>
      </w:r>
    </w:p>
    <w:p w:rsidR="004754D3" w:rsidRPr="002D6A31" w:rsidP="00BF1CDD" w14:paraId="10F406EC" w14:textId="77777777">
      <w:pPr>
        <w:pStyle w:val="Bullet1"/>
        <w:spacing w:before="0" w:after="0"/>
      </w:pPr>
      <w:r w:rsidRPr="002D6A31">
        <w:t xml:space="preserve">What role does the improvement activity play in driving quality care and improving value within the MVP? </w:t>
      </w:r>
      <w:bookmarkStart w:id="42" w:name="_Hlk56687668"/>
      <w:r w:rsidRPr="00E40531">
        <w:t>Provide a rationale as to why each improvement activity was included.</w:t>
      </w:r>
      <w:bookmarkEnd w:id="42"/>
    </w:p>
    <w:p w:rsidR="004754D3" w:rsidRPr="002D6A31" w:rsidP="00BF1CDD" w14:paraId="7CBA529D" w14:textId="77777777">
      <w:pPr>
        <w:pStyle w:val="Bullet1"/>
        <w:spacing w:before="0" w:after="0"/>
      </w:pPr>
      <w:r w:rsidRPr="002D6A31">
        <w:t>Describe how the improvement activity can be used to improve the quality of performance in clinical practices for those clinicians who would report this MVP.</w:t>
      </w:r>
    </w:p>
    <w:p w:rsidR="004754D3" w:rsidP="00BF1CDD" w14:paraId="13004ACC" w14:textId="77777777">
      <w:pPr>
        <w:pStyle w:val="Bullet1"/>
        <w:spacing w:before="0" w:after="0"/>
      </w:pPr>
      <w:r w:rsidRPr="002D6A31">
        <w:t>Does the improvement activity complement and/or supplement the quality action of the measures in the MVP, rather than duplicate it?</w:t>
      </w:r>
    </w:p>
    <w:p w:rsidR="004754D3" w:rsidRPr="002D6A31" w:rsidP="00BF1CDD" w14:paraId="0D422E08" w14:textId="77777777">
      <w:pPr>
        <w:pStyle w:val="Bullet1"/>
        <w:spacing w:before="0" w:after="0"/>
      </w:pPr>
      <w:bookmarkStart w:id="43" w:name="_Hlk56687675"/>
      <w:r w:rsidRPr="00E40531">
        <w:t>To the extent feasible, does the MVP include improvement activities that can be conducted using CEHRT functions? The use of improvement activities that specify the use of technologies will help to further align with the CEHRT requirement under the Promoting Interoperability performance category.</w:t>
      </w:r>
    </w:p>
    <w:bookmarkEnd w:id="43"/>
    <w:p w:rsidR="004754D3" w:rsidP="00BF1CDD" w14:paraId="3EECAC0B" w14:textId="77777777">
      <w:pPr>
        <w:pStyle w:val="Bullet1"/>
        <w:spacing w:before="0" w:after="0"/>
      </w:pPr>
      <w:r w:rsidRPr="002D6A31">
        <w:t xml:space="preserve">If there are no relevant specialty or sub-specialty specific improvement activities, does the MVP includes broadly applicable improvement activities (that is applicable to the clinician type)? </w:t>
      </w:r>
    </w:p>
    <w:p w:rsidR="00BD4D79" w:rsidP="00BF1CDD" w14:paraId="1890F23F" w14:textId="77777777">
      <w:pPr>
        <w:pStyle w:val="Bullet1"/>
        <w:numPr>
          <w:ilvl w:val="0"/>
          <w:numId w:val="0"/>
        </w:numPr>
        <w:spacing w:before="0" w:after="0"/>
        <w:ind w:left="720"/>
      </w:pPr>
    </w:p>
    <w:p w:rsidR="004754D3" w:rsidRPr="00324127" w:rsidP="00BF1CDD" w14:paraId="0BAA22F9" w14:textId="77777777">
      <w:pPr>
        <w:rPr>
          <w:rFonts w:ascii="Arial" w:hAnsi="Arial" w:cs="Arial"/>
          <w:b/>
          <w:bCs/>
          <w:i/>
          <w:iCs/>
          <w:sz w:val="22"/>
          <w:szCs w:val="22"/>
        </w:rPr>
      </w:pPr>
      <w:bookmarkStart w:id="44" w:name="OLE_LINK29"/>
      <w:r w:rsidRPr="00F02864">
        <w:rPr>
          <w:rFonts w:ascii="Arial" w:hAnsi="Arial" w:cs="Arial"/>
          <w:b/>
          <w:bCs/>
          <w:i/>
          <w:iCs/>
          <w:sz w:val="22"/>
          <w:szCs w:val="22"/>
        </w:rPr>
        <w:t>Cost Measures:</w:t>
      </w:r>
    </w:p>
    <w:p w:rsidR="004754D3" w:rsidRPr="002D6A31" w:rsidP="00BF1CDD" w14:paraId="190C53E5" w14:textId="77777777">
      <w:pPr>
        <w:pStyle w:val="Bullet1"/>
        <w:spacing w:before="0" w:after="0"/>
      </w:pPr>
      <w:r w:rsidRPr="002D6A31">
        <w:t xml:space="preserve">What role does the cost measure(s) play in driving quality care and improving value within the MVP? </w:t>
      </w:r>
      <w:bookmarkStart w:id="45" w:name="_Hlk56687715"/>
      <w:r>
        <w:t>Provide a rationale as to why each cost measure was selected.</w:t>
      </w:r>
      <w:bookmarkEnd w:id="45"/>
    </w:p>
    <w:p w:rsidR="004754D3" w:rsidRPr="002D6A31" w:rsidP="00BF1CDD" w14:paraId="08FB3CD4" w14:textId="0D8221BA">
      <w:pPr>
        <w:pStyle w:val="Bullet1"/>
        <w:spacing w:before="0" w:after="0"/>
      </w:pPr>
      <w:r w:rsidRPr="002D6A31">
        <w:t xml:space="preserve">How </w:t>
      </w:r>
      <w:r w:rsidR="00667D23">
        <w:t>do</w:t>
      </w:r>
      <w:r w:rsidRPr="002D6A31">
        <w:t xml:space="preserve"> the </w:t>
      </w:r>
      <w:r w:rsidR="004D350D">
        <w:t>included</w:t>
      </w:r>
      <w:r w:rsidRPr="002D6A31" w:rsidR="004D350D">
        <w:t xml:space="preserve"> </w:t>
      </w:r>
      <w:r w:rsidRPr="002D6A31">
        <w:t xml:space="preserve">cost measure(s) relate to </w:t>
      </w:r>
      <w:r w:rsidR="00D66EEA">
        <w:t>quality</w:t>
      </w:r>
      <w:r w:rsidRPr="002D6A31" w:rsidR="00D66EEA">
        <w:t xml:space="preserve"> </w:t>
      </w:r>
      <w:r w:rsidRPr="002D6A31">
        <w:t xml:space="preserve">measures and activities </w:t>
      </w:r>
      <w:r w:rsidR="00E82AC1">
        <w:t>included</w:t>
      </w:r>
      <w:r w:rsidR="0071315F">
        <w:t xml:space="preserve"> in the MVP</w:t>
      </w:r>
      <w:r w:rsidRPr="002D6A31">
        <w:t>?</w:t>
      </w:r>
    </w:p>
    <w:p w:rsidR="002B6A67" w:rsidP="002B6A67" w14:paraId="13595D45" w14:textId="61AB5995">
      <w:pPr>
        <w:pStyle w:val="Bullet1"/>
        <w:rPr>
          <w:rFonts w:ascii="Times New Roman" w:hAnsi="Times New Roman"/>
          <w:sz w:val="24"/>
        </w:rPr>
      </w:pPr>
      <w:r>
        <w:t>Are the included cost measures relevant to the specific types of care (for example, conditions or procedures) and clinicians (for example, specialties or subspecialties) intended to be assessed by the MVP?</w:t>
      </w:r>
      <w:r>
        <w:rPr>
          <w:rFonts w:ascii="Times New Roman" w:hAnsi="Times New Roman"/>
        </w:rPr>
        <w:t xml:space="preserve"> </w:t>
      </w:r>
    </w:p>
    <w:bookmarkEnd w:id="44"/>
    <w:p w:rsidR="00EA62A4" w:rsidP="00EA62A4" w14:paraId="6C695DD9" w14:textId="21423D2D">
      <w:pPr>
        <w:pStyle w:val="Bullet1"/>
        <w:numPr>
          <w:ilvl w:val="0"/>
          <w:numId w:val="0"/>
        </w:numPr>
        <w:spacing w:before="0" w:after="0"/>
        <w:ind w:left="720" w:hanging="360"/>
        <w:rPr>
          <w:rFonts w:eastAsia="Calibri"/>
        </w:rPr>
      </w:pPr>
    </w:p>
    <w:p w:rsidR="005570DD" w:rsidRPr="005570DD" w:rsidP="005570DD" w14:paraId="7D50A73E" w14:textId="77777777">
      <w:pPr>
        <w:textAlignment w:val="baseline"/>
        <w:rPr>
          <w:rFonts w:ascii="Segoe UI" w:eastAsia="Times New Roman" w:hAnsi="Segoe UI" w:cs="Segoe UI"/>
          <w:sz w:val="32"/>
          <w:szCs w:val="32"/>
        </w:rPr>
      </w:pPr>
      <w:r w:rsidRPr="005570DD">
        <w:rPr>
          <w:rFonts w:ascii="Arial" w:eastAsia="Times New Roman" w:hAnsi="Arial" w:cs="Arial"/>
          <w:b/>
          <w:bCs/>
          <w:color w:val="1F497D"/>
          <w:sz w:val="32"/>
          <w:szCs w:val="32"/>
        </w:rPr>
        <w:t>Version History</w:t>
      </w:r>
      <w:r w:rsidRPr="005570DD">
        <w:rPr>
          <w:rFonts w:ascii="Arial" w:eastAsia="Times New Roman" w:hAnsi="Arial" w:cs="Arial"/>
          <w:color w:val="1F497D"/>
          <w:sz w:val="32"/>
          <w:szCs w:val="32"/>
        </w:rPr>
        <w:t> </w:t>
      </w:r>
    </w:p>
    <w:tbl>
      <w:tblPr>
        <w:tblStyle w:val="TableGrid"/>
        <w:tblW w:w="933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
      <w:tblGrid>
        <w:gridCol w:w="1965"/>
        <w:gridCol w:w="7365"/>
      </w:tblGrid>
      <w:tr w14:paraId="68FDBECD" w14:textId="77777777" w:rsidTr="00CA0ACB">
        <w:tblPrEx>
          <w:tblW w:w="933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trHeight w:val="570"/>
        </w:trPr>
        <w:tc>
          <w:tcPr>
            <w:tcW w:w="1965" w:type="dxa"/>
            <w:tcBorders>
              <w:top w:val="single" w:sz="6" w:space="0" w:color="auto"/>
              <w:left w:val="single" w:sz="6" w:space="0" w:color="auto"/>
              <w:bottom w:val="single" w:sz="6" w:space="0" w:color="auto"/>
              <w:right w:val="single" w:sz="6" w:space="0" w:color="auto"/>
            </w:tcBorders>
            <w:shd w:val="clear" w:color="auto" w:fill="244061"/>
            <w:vAlign w:val="center"/>
            <w:hideMark/>
          </w:tcPr>
          <w:p w:rsidR="005570DD" w:rsidRPr="005570DD" w:rsidP="005570DD" w14:paraId="1A2CF102" w14:textId="77777777">
            <w:pPr>
              <w:textAlignment w:val="baseline"/>
              <w:rPr>
                <w:rFonts w:ascii="Times New Roman" w:eastAsia="Times New Roman" w:hAnsi="Times New Roman"/>
              </w:rPr>
            </w:pPr>
            <w:r w:rsidRPr="005570DD">
              <w:rPr>
                <w:rFonts w:ascii="Arial" w:eastAsia="Times New Roman" w:hAnsi="Arial" w:cs="Arial"/>
                <w:b/>
                <w:bCs/>
                <w:color w:val="FFFFFF"/>
              </w:rPr>
              <w:t>Date</w:t>
            </w:r>
            <w:r w:rsidRPr="005570DD">
              <w:rPr>
                <w:rFonts w:ascii="Arial" w:eastAsia="Times New Roman" w:hAnsi="Arial" w:cs="Arial"/>
                <w:color w:val="FFFFFF"/>
              </w:rPr>
              <w:t> </w:t>
            </w:r>
          </w:p>
        </w:tc>
        <w:tc>
          <w:tcPr>
            <w:tcW w:w="7365" w:type="dxa"/>
            <w:tcBorders>
              <w:top w:val="single" w:sz="6" w:space="0" w:color="auto"/>
              <w:left w:val="single" w:sz="6" w:space="0" w:color="auto"/>
              <w:bottom w:val="single" w:sz="6" w:space="0" w:color="auto"/>
              <w:right w:val="single" w:sz="6" w:space="0" w:color="auto"/>
            </w:tcBorders>
            <w:shd w:val="clear" w:color="auto" w:fill="244061"/>
            <w:vAlign w:val="center"/>
            <w:hideMark/>
          </w:tcPr>
          <w:p w:rsidR="005570DD" w:rsidRPr="005570DD" w:rsidP="005570DD" w14:paraId="49269A64" w14:textId="77777777">
            <w:pPr>
              <w:textAlignment w:val="baseline"/>
              <w:rPr>
                <w:rFonts w:ascii="Times New Roman" w:eastAsia="Times New Roman" w:hAnsi="Times New Roman"/>
              </w:rPr>
            </w:pPr>
            <w:r w:rsidRPr="005570DD">
              <w:rPr>
                <w:rFonts w:ascii="Arial" w:eastAsia="Times New Roman" w:hAnsi="Arial" w:cs="Arial"/>
                <w:b/>
                <w:bCs/>
                <w:color w:val="FFFFFF"/>
              </w:rPr>
              <w:t>Comments</w:t>
            </w:r>
            <w:r w:rsidRPr="005570DD">
              <w:rPr>
                <w:rFonts w:ascii="Arial" w:eastAsia="Times New Roman" w:hAnsi="Arial" w:cs="Arial"/>
                <w:color w:val="FFFFFF"/>
              </w:rPr>
              <w:t> </w:t>
            </w:r>
          </w:p>
        </w:tc>
      </w:tr>
      <w:tr w14:paraId="1CABBEC0" w14:textId="77777777" w:rsidTr="00CA0ACB">
        <w:tblPrEx>
          <w:tblW w:w="9330" w:type="dxa"/>
          <w:tblCellMar>
            <w:left w:w="0" w:type="dxa"/>
            <w:right w:w="0" w:type="dxa"/>
          </w:tblCellMar>
          <w:tblLook w:val="04A0"/>
        </w:tblPrEx>
        <w:trPr>
          <w:trHeight w:val="330"/>
        </w:trPr>
        <w:tc>
          <w:tcPr>
            <w:tcW w:w="1965" w:type="dxa"/>
            <w:tcBorders>
              <w:top w:val="single" w:sz="6" w:space="0" w:color="auto"/>
              <w:left w:val="single" w:sz="6" w:space="0" w:color="auto"/>
              <w:bottom w:val="single" w:sz="6" w:space="0" w:color="auto"/>
              <w:right w:val="single" w:sz="6" w:space="0" w:color="auto"/>
            </w:tcBorders>
            <w:shd w:val="clear" w:color="auto" w:fill="auto"/>
            <w:hideMark/>
          </w:tcPr>
          <w:p w:rsidR="005570DD" w:rsidRPr="005570DD" w:rsidP="005570DD" w14:paraId="0D9C0D62" w14:textId="55345E89">
            <w:pPr>
              <w:textAlignment w:val="baseline"/>
              <w:rPr>
                <w:rFonts w:ascii="Times New Roman" w:eastAsia="Times New Roman" w:hAnsi="Times New Roman"/>
              </w:rPr>
            </w:pPr>
            <w:r>
              <w:rPr>
                <w:rFonts w:ascii="Arial" w:eastAsia="Times New Roman" w:hAnsi="Arial" w:cs="Arial"/>
                <w:sz w:val="22"/>
                <w:szCs w:val="22"/>
              </w:rPr>
              <w:t>10/27/2022</w:t>
            </w:r>
            <w:r w:rsidRPr="005570DD">
              <w:rPr>
                <w:rFonts w:ascii="Arial" w:eastAsia="Times New Roman" w:hAnsi="Arial" w:cs="Arial"/>
                <w:sz w:val="22"/>
                <w:szCs w:val="22"/>
              </w:rPr>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rsidR="005570DD" w:rsidRPr="005570DD" w:rsidP="005570DD" w14:paraId="36BA1B07" w14:textId="77777777">
            <w:pPr>
              <w:textAlignment w:val="baseline"/>
              <w:rPr>
                <w:rFonts w:ascii="Times New Roman" w:eastAsia="Times New Roman" w:hAnsi="Times New Roman"/>
              </w:rPr>
            </w:pPr>
            <w:r w:rsidRPr="005570DD">
              <w:rPr>
                <w:rFonts w:ascii="Arial" w:eastAsia="Times New Roman" w:hAnsi="Arial" w:cs="Arial"/>
                <w:sz w:val="22"/>
                <w:szCs w:val="22"/>
              </w:rPr>
              <w:t>Original version </w:t>
            </w:r>
          </w:p>
        </w:tc>
      </w:tr>
    </w:tbl>
    <w:p w:rsidR="005570DD" w:rsidRPr="005570DD" w:rsidP="005570DD" w14:paraId="03C1921D" w14:textId="77777777">
      <w:pPr>
        <w:textAlignment w:val="baseline"/>
        <w:rPr>
          <w:rFonts w:ascii="Segoe UI" w:eastAsia="Times New Roman" w:hAnsi="Segoe UI" w:cs="Segoe UI"/>
          <w:sz w:val="18"/>
          <w:szCs w:val="18"/>
        </w:rPr>
      </w:pPr>
      <w:r w:rsidRPr="005570DD">
        <w:rPr>
          <w:rFonts w:ascii="Cambria" w:eastAsia="Times New Roman" w:hAnsi="Cambria" w:cs="Segoe UI"/>
        </w:rPr>
        <w:t> </w:t>
      </w:r>
    </w:p>
    <w:p w:rsidR="00EA62A4" w:rsidRPr="00C845C9" w:rsidP="00EA62A4" w14:paraId="0531BE32" w14:textId="77777777">
      <w:pPr>
        <w:pStyle w:val="Bullet1"/>
        <w:numPr>
          <w:ilvl w:val="0"/>
          <w:numId w:val="0"/>
        </w:numPr>
        <w:spacing w:before="0" w:after="0"/>
        <w:ind w:left="720" w:hanging="360"/>
      </w:pPr>
    </w:p>
    <w:p w:rsidR="00C845C9" w:rsidP="00BF1CDD" w14:paraId="32676C60" w14:textId="77777777">
      <w:pPr>
        <w:pStyle w:val="Bullet1"/>
        <w:numPr>
          <w:ilvl w:val="0"/>
          <w:numId w:val="0"/>
        </w:numPr>
        <w:spacing w:before="0" w:after="0"/>
        <w:rPr>
          <w:rFonts w:eastAsia="Calibri"/>
        </w:rPr>
      </w:pPr>
    </w:p>
    <w:p w:rsidR="00C845C9" w:rsidP="00BF1CDD" w14:paraId="44B569CE" w14:textId="5C738C80">
      <w:pPr>
        <w:pStyle w:val="Bullet1"/>
        <w:numPr>
          <w:ilvl w:val="0"/>
          <w:numId w:val="0"/>
        </w:numPr>
        <w:spacing w:before="0" w:after="0"/>
        <w:jc w:val="center"/>
        <w:rPr>
          <w:rFonts w:eastAsia="Calibri"/>
        </w:rPr>
      </w:pPr>
      <w:r>
        <w:rPr>
          <w:rFonts w:eastAsia="Calibri"/>
        </w:rPr>
        <w:t>###</w:t>
      </w:r>
    </w:p>
    <w:p w:rsidR="00EA62A4" w:rsidP="00BF1CDD" w14:paraId="57E1FA25" w14:textId="77777777">
      <w:pPr>
        <w:pStyle w:val="Bullet1"/>
        <w:numPr>
          <w:ilvl w:val="0"/>
          <w:numId w:val="0"/>
        </w:numPr>
        <w:spacing w:before="0" w:after="0"/>
        <w:jc w:val="center"/>
      </w:pPr>
    </w:p>
    <w:p w:rsidR="00B51486" w:rsidP="6DF38808" w14:paraId="13DCB5DE" w14:textId="48714880">
      <w:pPr>
        <w:spacing w:line="257" w:lineRule="auto"/>
        <w:rPr>
          <w:rFonts w:ascii="Arial" w:eastAsia="Arial" w:hAnsi="Arial" w:cs="Arial"/>
          <w:sz w:val="18"/>
          <w:szCs w:val="18"/>
        </w:rPr>
      </w:pPr>
      <w:hyperlink r:id="rId22" w:history="1"/>
      <w:r w:rsidRPr="6DF38808" w:rsidR="70083E30">
        <w:rPr>
          <w:rFonts w:ascii="Arial" w:eastAsia="Arial" w:hAnsi="Arial" w:cs="Arial"/>
          <w:sz w:val="18"/>
          <w:szCs w:val="18"/>
        </w:rPr>
        <w:t xml:space="preserve"> According to the Paperwork Reduction Act of 1995, no persons are required to respond to a collection of information unless it displays a valid OMB control number. The valid OMB control number for this information collection is 0938-1314 (Expiration date: 01/31/2025). The time required to complete this information collection is estimated to average 2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 ****CMS Disclosure**** Please do not send applications, claims, payments, medical </w:t>
      </w:r>
      <w:r w:rsidRPr="6DF38808" w:rsidR="70083E30">
        <w:rPr>
          <w:rFonts w:ascii="Arial" w:eastAsia="Arial" w:hAnsi="Arial" w:cs="Arial"/>
          <w:sz w:val="18"/>
          <w:szCs w:val="18"/>
        </w:rPr>
        <w:t>records</w:t>
      </w:r>
      <w:r w:rsidRPr="6DF38808" w:rsidR="70083E30">
        <w:rPr>
          <w:rFonts w:ascii="Arial" w:eastAsia="Arial" w:hAnsi="Arial" w:cs="Arial"/>
          <w:sz w:val="18"/>
          <w:szCs w:val="18"/>
        </w:rPr>
        <w:t xml:space="preserve">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QPP at </w:t>
      </w:r>
      <w:hyperlink r:id="rId23" w:history="1">
        <w:r w:rsidRPr="6DF38808" w:rsidR="70083E30">
          <w:rPr>
            <w:rStyle w:val="Hyperlink"/>
            <w:rFonts w:ascii="Arial" w:eastAsia="Arial" w:hAnsi="Arial" w:cs="Arial"/>
            <w:sz w:val="18"/>
            <w:szCs w:val="18"/>
          </w:rPr>
          <w:t>qpp@cms.hhs.gov</w:t>
        </w:r>
      </w:hyperlink>
      <w:r w:rsidRPr="6DF38808" w:rsidR="70083E30">
        <w:rPr>
          <w:rFonts w:ascii="Arial" w:eastAsia="Arial" w:hAnsi="Arial" w:cs="Arial"/>
          <w:sz w:val="18"/>
          <w:szCs w:val="18"/>
        </w:rPr>
        <w:t>.</w:t>
      </w:r>
    </w:p>
    <w:p w:rsidR="6DF38808" w:rsidP="6DF38808" w14:paraId="72520E50" w14:textId="2FA36BCE">
      <w:pPr>
        <w:rPr>
          <w:rStyle w:val="eop"/>
          <w:rFonts w:ascii="Arial" w:hAnsi="Arial" w:cs="Arial"/>
          <w:color w:val="000000" w:themeColor="text1"/>
        </w:rPr>
      </w:pPr>
    </w:p>
    <w:p w:rsidR="00EA62A4" w:rsidRPr="0098409F" w:rsidP="00BF1CDD" w14:paraId="0824732A" w14:textId="77777777">
      <w:pPr>
        <w:pStyle w:val="Bullet1"/>
        <w:numPr>
          <w:ilvl w:val="0"/>
          <w:numId w:val="0"/>
        </w:numPr>
        <w:spacing w:before="0" w:after="0"/>
        <w:jc w:val="center"/>
      </w:pPr>
    </w:p>
    <w:sectPr w:rsidSect="00ED463D">
      <w:headerReference w:type="even" r:id="rId24"/>
      <w:headerReference w:type="default" r:id="rId25"/>
      <w:footerReference w:type="even" r:id="rId26"/>
      <w:footerReference w:type="default" r:id="rId27"/>
      <w:headerReference w:type="first" r:id="rId28"/>
      <w:footerReference w:type="first" r:id="rId29"/>
      <w:type w:val="continuous"/>
      <w:pgSz w:w="12240" w:h="15840"/>
      <w:pgMar w:top="1872" w:right="1440" w:bottom="1440" w:left="1440" w:header="0" w:footer="28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5FEF" w:rsidP="00C074F2" w14:paraId="7E6FD45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15FEF" w:rsidP="00DB2944" w14:paraId="23322962" w14:textId="77777777">
    <w:pPr>
      <w:pStyle w:val="Footer"/>
      <w:tabs>
        <w:tab w:val="clear" w:pos="4320"/>
        <w:tab w:val="center" w:pos="4680"/>
        <w:tab w:val="clear" w:pos="8640"/>
        <w:tab w:val="right" w:pos="9360"/>
      </w:tabs>
      <w:ind w:right="360"/>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5FEF" w:rsidRPr="00E904A1" w:rsidP="0086428B" w14:paraId="49FF4F09" w14:textId="77777777">
    <w:pPr>
      <w:pStyle w:val="Footer"/>
      <w:framePr w:w="533" w:h="346" w:hRule="exact" w:wrap="around" w:vAnchor="page" w:hAnchor="text" w:xAlign="center" w:y="15164"/>
      <w:jc w:val="center"/>
      <w:rPr>
        <w:rStyle w:val="PageNumber"/>
        <w:rFonts w:ascii="Arial" w:hAnsi="Arial"/>
        <w:b/>
        <w:bCs/>
        <w:color w:val="243766"/>
        <w:sz w:val="18"/>
      </w:rPr>
    </w:pPr>
    <w:r w:rsidRPr="00E904A1">
      <w:rPr>
        <w:rStyle w:val="PageNumber"/>
        <w:rFonts w:ascii="Arial" w:hAnsi="Arial"/>
        <w:b/>
        <w:bCs/>
        <w:color w:val="243766"/>
        <w:sz w:val="18"/>
      </w:rPr>
      <w:fldChar w:fldCharType="begin"/>
    </w:r>
    <w:r w:rsidRPr="00E904A1">
      <w:rPr>
        <w:rStyle w:val="PageNumber"/>
        <w:rFonts w:ascii="Arial" w:hAnsi="Arial"/>
        <w:b/>
        <w:bCs/>
        <w:color w:val="243766"/>
        <w:sz w:val="18"/>
      </w:rPr>
      <w:instrText xml:space="preserve">PAGE  </w:instrText>
    </w:r>
    <w:r w:rsidRPr="00E904A1">
      <w:rPr>
        <w:rStyle w:val="PageNumber"/>
        <w:rFonts w:ascii="Arial" w:hAnsi="Arial"/>
        <w:b/>
        <w:bCs/>
        <w:color w:val="243766"/>
        <w:sz w:val="18"/>
      </w:rPr>
      <w:fldChar w:fldCharType="separate"/>
    </w:r>
    <w:r>
      <w:rPr>
        <w:rStyle w:val="PageNumber"/>
        <w:rFonts w:ascii="Arial" w:hAnsi="Arial"/>
        <w:b/>
        <w:bCs/>
        <w:noProof/>
        <w:color w:val="243766"/>
        <w:sz w:val="18"/>
      </w:rPr>
      <w:t>12</w:t>
    </w:r>
    <w:r w:rsidRPr="00E904A1">
      <w:rPr>
        <w:rStyle w:val="PageNumber"/>
        <w:rFonts w:ascii="Arial" w:hAnsi="Arial"/>
        <w:b/>
        <w:bCs/>
        <w:color w:val="243766"/>
        <w:sz w:val="18"/>
      </w:rPr>
      <w:fldChar w:fldCharType="end"/>
    </w:r>
  </w:p>
  <w:p w:rsidR="00715FEF" w:rsidP="00310918" w14:paraId="6287ED26"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5FEF" w:rsidRPr="00E904A1" w:rsidP="0086428B" w14:paraId="1F6B843F" w14:textId="77777777">
    <w:pPr>
      <w:pStyle w:val="Footer"/>
      <w:framePr w:w="533" w:h="346" w:hRule="exact" w:wrap="around" w:vAnchor="page" w:hAnchor="text" w:xAlign="center" w:y="15164"/>
      <w:jc w:val="center"/>
      <w:rPr>
        <w:rStyle w:val="PageNumber"/>
        <w:rFonts w:ascii="Arial" w:hAnsi="Arial"/>
        <w:b/>
        <w:bCs/>
        <w:color w:val="243766"/>
        <w:sz w:val="18"/>
      </w:rPr>
    </w:pPr>
    <w:r w:rsidRPr="00E904A1">
      <w:rPr>
        <w:rStyle w:val="PageNumber"/>
        <w:rFonts w:ascii="Arial" w:hAnsi="Arial"/>
        <w:b/>
        <w:bCs/>
        <w:color w:val="243766"/>
        <w:sz w:val="18"/>
      </w:rPr>
      <w:fldChar w:fldCharType="begin"/>
    </w:r>
    <w:r w:rsidRPr="00E904A1">
      <w:rPr>
        <w:rStyle w:val="PageNumber"/>
        <w:rFonts w:ascii="Arial" w:hAnsi="Arial"/>
        <w:b/>
        <w:bCs/>
        <w:color w:val="243766"/>
        <w:sz w:val="18"/>
      </w:rPr>
      <w:instrText xml:space="preserve">PAGE  </w:instrText>
    </w:r>
    <w:r w:rsidRPr="00E904A1">
      <w:rPr>
        <w:rStyle w:val="PageNumber"/>
        <w:rFonts w:ascii="Arial" w:hAnsi="Arial"/>
        <w:b/>
        <w:bCs/>
        <w:color w:val="243766"/>
        <w:sz w:val="18"/>
      </w:rPr>
      <w:fldChar w:fldCharType="separate"/>
    </w:r>
    <w:r>
      <w:rPr>
        <w:rStyle w:val="PageNumber"/>
        <w:rFonts w:ascii="Arial" w:hAnsi="Arial"/>
        <w:b/>
        <w:bCs/>
        <w:noProof/>
        <w:color w:val="243766"/>
        <w:sz w:val="18"/>
      </w:rPr>
      <w:t>1</w:t>
    </w:r>
    <w:r w:rsidRPr="00E904A1">
      <w:rPr>
        <w:rStyle w:val="PageNumber"/>
        <w:rFonts w:ascii="Arial" w:hAnsi="Arial"/>
        <w:b/>
        <w:bCs/>
        <w:color w:val="243766"/>
        <w:sz w:val="18"/>
      </w:rPr>
      <w:fldChar w:fldCharType="end"/>
    </w:r>
  </w:p>
  <w:p w:rsidR="00715FEF" w14:paraId="7ABD1E2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5FEF" w:rsidP="00DB2944" w14:paraId="4E8B464D" w14:textId="77777777">
    <w:pPr>
      <w:pStyle w:val="Header"/>
      <w:tabs>
        <w:tab w:val="clear" w:pos="4320"/>
        <w:tab w:val="center" w:pos="4680"/>
        <w:tab w:val="clear" w:pos="8640"/>
        <w:tab w:val="right" w:pos="9360"/>
      </w:tabs>
    </w:pPr>
    <w:r>
      <w:t>[Type text]</w:t>
    </w:r>
    <w:r>
      <w:tab/>
      <w:t>[Type text]</w:t>
    </w:r>
    <w:r>
      <w:tab/>
      <w:t>[Type text]</w:t>
    </w:r>
  </w:p>
  <w:p w:rsidR="00715FEF" w14:paraId="5014DEC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5FEF" w:rsidP="00244119" w14:paraId="34D96846" w14:textId="282A99B4">
    <w:pPr>
      <w:pStyle w:val="Header"/>
    </w:pPr>
    <w:r>
      <w:rPr>
        <w:noProof/>
      </w:rPr>
      <w:drawing>
        <wp:anchor distT="0" distB="0" distL="114300" distR="114300" simplePos="0" relativeHeight="251658240" behindDoc="1" locked="0" layoutInCell="1" allowOverlap="1">
          <wp:simplePos x="0" y="0"/>
          <wp:positionH relativeFrom="page">
            <wp:posOffset>17145</wp:posOffset>
          </wp:positionH>
          <wp:positionV relativeFrom="page">
            <wp:posOffset>27940</wp:posOffset>
          </wp:positionV>
          <wp:extent cx="7729220" cy="10002520"/>
          <wp:effectExtent l="0" t="0" r="0" b="0"/>
          <wp:wrapNone/>
          <wp:docPr id="4" name="Picture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729220" cy="10002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-685800</wp:posOffset>
          </wp:positionH>
          <wp:positionV relativeFrom="paragraph">
            <wp:posOffset>-685800</wp:posOffset>
          </wp:positionV>
          <wp:extent cx="7315200" cy="457200"/>
          <wp:effectExtent l="0" t="0" r="0" b="0"/>
          <wp:wrapNone/>
          <wp:docPr id="5" name="Pictur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7315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5FEF" w14:paraId="4029C695" w14:textId="62296DE0">
    <w:pPr>
      <w:pStyle w:val="Header"/>
    </w:pPr>
    <w:r>
      <w:rPr>
        <w:noProof/>
      </w:rPr>
      <w:drawing>
        <wp:anchor distT="0" distB="0" distL="114300" distR="114300" simplePos="0" relativeHeight="251660288" behindDoc="1" locked="0" layoutInCell="1" allowOverlap="1">
          <wp:simplePos x="0" y="0"/>
          <wp:positionH relativeFrom="column">
            <wp:posOffset>-880745</wp:posOffset>
          </wp:positionH>
          <wp:positionV relativeFrom="paragraph">
            <wp:posOffset>33655</wp:posOffset>
          </wp:positionV>
          <wp:extent cx="7725410" cy="9997440"/>
          <wp:effectExtent l="0" t="0" r="0" b="0"/>
          <wp:wrapNone/>
          <wp:docPr id="6" name="Picture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725410" cy="9997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3C60BAE4"/>
    <w:lvl w:ilvl="0">
      <w:start w:val="1"/>
      <w:numFmt w:val="decimal"/>
      <w:lvlText w:val="%1."/>
      <w:lvlJc w:val="left"/>
      <w:pPr>
        <w:tabs>
          <w:tab w:val="num" w:pos="1800"/>
        </w:tabs>
        <w:ind w:left="1800" w:hanging="360"/>
      </w:pPr>
    </w:lvl>
  </w:abstractNum>
  <w:abstractNum w:abstractNumId="1">
    <w:nsid w:val="FFFFFF7D"/>
    <w:multiLevelType w:val="singleLevel"/>
    <w:tmpl w:val="CA42BD5E"/>
    <w:lvl w:ilvl="0">
      <w:start w:val="1"/>
      <w:numFmt w:val="decimal"/>
      <w:lvlText w:val="%1."/>
      <w:lvlJc w:val="left"/>
      <w:pPr>
        <w:tabs>
          <w:tab w:val="num" w:pos="1440"/>
        </w:tabs>
        <w:ind w:left="1440" w:hanging="360"/>
      </w:pPr>
    </w:lvl>
  </w:abstractNum>
  <w:abstractNum w:abstractNumId="2">
    <w:nsid w:val="FFFFFF7E"/>
    <w:multiLevelType w:val="singleLevel"/>
    <w:tmpl w:val="6D640F64"/>
    <w:lvl w:ilvl="0">
      <w:start w:val="1"/>
      <w:numFmt w:val="decimal"/>
      <w:lvlText w:val="%1."/>
      <w:lvlJc w:val="left"/>
      <w:pPr>
        <w:tabs>
          <w:tab w:val="num" w:pos="1080"/>
        </w:tabs>
        <w:ind w:left="1080" w:hanging="360"/>
      </w:pPr>
    </w:lvl>
  </w:abstractNum>
  <w:abstractNum w:abstractNumId="3">
    <w:nsid w:val="FFFFFF7F"/>
    <w:multiLevelType w:val="singleLevel"/>
    <w:tmpl w:val="512A0DD8"/>
    <w:lvl w:ilvl="0">
      <w:start w:val="1"/>
      <w:numFmt w:val="decimal"/>
      <w:lvlText w:val="%1."/>
      <w:lvlJc w:val="left"/>
      <w:pPr>
        <w:tabs>
          <w:tab w:val="num" w:pos="720"/>
        </w:tabs>
        <w:ind w:left="720" w:hanging="360"/>
      </w:pPr>
    </w:lvl>
  </w:abstractNum>
  <w:abstractNum w:abstractNumId="4">
    <w:nsid w:val="FFFFFF80"/>
    <w:multiLevelType w:val="singleLevel"/>
    <w:tmpl w:val="3FCE29C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22EE2D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8C8B4A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6CA98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C22ACD0"/>
    <w:lvl w:ilvl="0">
      <w:start w:val="1"/>
      <w:numFmt w:val="decimal"/>
      <w:lvlText w:val="%1."/>
      <w:lvlJc w:val="left"/>
      <w:pPr>
        <w:tabs>
          <w:tab w:val="num" w:pos="360"/>
        </w:tabs>
        <w:ind w:left="360" w:hanging="360"/>
      </w:pPr>
    </w:lvl>
  </w:abstractNum>
  <w:abstractNum w:abstractNumId="9">
    <w:nsid w:val="FFFFFF89"/>
    <w:multiLevelType w:val="singleLevel"/>
    <w:tmpl w:val="FC0A99D0"/>
    <w:lvl w:ilvl="0">
      <w:start w:val="1"/>
      <w:numFmt w:val="bullet"/>
      <w:lvlText w:val=""/>
      <w:lvlJc w:val="left"/>
      <w:pPr>
        <w:tabs>
          <w:tab w:val="num" w:pos="360"/>
        </w:tabs>
        <w:ind w:left="360" w:hanging="360"/>
      </w:pPr>
      <w:rPr>
        <w:rFonts w:ascii="Symbol" w:hAnsi="Symbol" w:hint="default"/>
      </w:rPr>
    </w:lvl>
  </w:abstractNum>
  <w:abstractNum w:abstractNumId="10">
    <w:nsid w:val="051B0890"/>
    <w:multiLevelType w:val="hybridMultilevel"/>
    <w:tmpl w:val="67FA4F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F455B2E"/>
    <w:multiLevelType w:val="hybridMultilevel"/>
    <w:tmpl w:val="851611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7D436B4"/>
    <w:multiLevelType w:val="hybridMultilevel"/>
    <w:tmpl w:val="A9C6B7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E0B1B4C"/>
    <w:multiLevelType w:val="hybridMultilevel"/>
    <w:tmpl w:val="FFC01FC2"/>
    <w:lvl w:ilvl="0">
      <w:start w:val="1"/>
      <w:numFmt w:val="bullet"/>
      <w:pStyle w:val="Bullet1"/>
      <w:lvlText w:val=""/>
      <w:lvlJc w:val="left"/>
      <w:pPr>
        <w:ind w:left="720" w:hanging="360"/>
      </w:pPr>
      <w:rPr>
        <w:rFonts w:ascii="Symbol" w:hAnsi="Symbol" w:hint="default"/>
        <w:color w:val="auto"/>
      </w:rPr>
    </w:lvl>
    <w:lvl w:ilvl="1">
      <w:start w:val="1"/>
      <w:numFmt w:val="bullet"/>
      <w:lvlText w:val="-"/>
      <w:lvlJc w:val="left"/>
      <w:pPr>
        <w:ind w:left="1080" w:hanging="360"/>
      </w:pPr>
      <w:rPr>
        <w:rFonts w:ascii="Calibri Light" w:hAnsi="Calibri Light" w:hint="default"/>
        <w:b/>
        <w:bCs/>
        <w:color w:val="70AD47"/>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325D688B"/>
    <w:multiLevelType w:val="hybridMultilevel"/>
    <w:tmpl w:val="E0C8E94E"/>
    <w:lvl w:ilvl="0">
      <w:start w:val="1"/>
      <w:numFmt w:val="bullet"/>
      <w:lvlText w:val="-"/>
      <w:lvlJc w:val="left"/>
      <w:pPr>
        <w:ind w:left="1080" w:hanging="360"/>
      </w:pPr>
      <w:rPr>
        <w:rFonts w:ascii="Calibri Light" w:hAnsi="Calibri Light"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3F1D0910"/>
    <w:multiLevelType w:val="hybridMultilevel"/>
    <w:tmpl w:val="9FBA2D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5A92F55"/>
    <w:multiLevelType w:val="hybridMultilevel"/>
    <w:tmpl w:val="208AC154"/>
    <w:lvl w:ilvl="0">
      <w:start w:val="1"/>
      <w:numFmt w:val="bullet"/>
      <w:pStyle w:val="Tablebullets"/>
      <w:lvlText w:val=""/>
      <w:lvlJc w:val="left"/>
      <w:pPr>
        <w:ind w:left="450" w:hanging="360"/>
      </w:pPr>
      <w:rPr>
        <w:rFonts w:ascii="Symbol" w:hAnsi="Symbol" w:hint="default"/>
        <w:color w:val="00306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F1512BC"/>
    <w:multiLevelType w:val="hybridMultilevel"/>
    <w:tmpl w:val="AFD2A3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EFD52A6"/>
    <w:multiLevelType w:val="hybridMultilevel"/>
    <w:tmpl w:val="1362FB6C"/>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7656328"/>
    <w:multiLevelType w:val="hybridMultilevel"/>
    <w:tmpl w:val="60A0389A"/>
    <w:lvl w:ilvl="0">
      <w:start w:val="1"/>
      <w:numFmt w:val="bullet"/>
      <w:lvlText w:val=""/>
      <w:lvlJc w:val="left"/>
      <w:pPr>
        <w:ind w:left="360" w:hanging="360"/>
      </w:pPr>
      <w:rPr>
        <w:rFonts w:ascii="Symbol" w:hAnsi="Symbol" w:hint="default"/>
        <w:color w:val="00306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FCB189D"/>
    <w:multiLevelType w:val="hybridMultilevel"/>
    <w:tmpl w:val="EC8A08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1DF3A8E"/>
    <w:multiLevelType w:val="hybridMultilevel"/>
    <w:tmpl w:val="92626548"/>
    <w:lvl w:ilvl="0">
      <w:start w:val="1"/>
      <w:numFmt w:val="bullet"/>
      <w:pStyle w:val="Bullet2"/>
      <w:lvlText w:val="-"/>
      <w:lvlJc w:val="left"/>
      <w:pPr>
        <w:tabs>
          <w:tab w:val="num" w:pos="31680"/>
        </w:tabs>
        <w:ind w:left="1080" w:hanging="360"/>
      </w:pPr>
      <w:rPr>
        <w:rFonts w:ascii="Arial" w:hAnsi="Arial" w:hint="default"/>
        <w:color w:val="679F32"/>
      </w:rPr>
    </w:lvl>
    <w:lvl w:ilvl="1">
      <w:start w:val="1"/>
      <w:numFmt w:val="bullet"/>
      <w:lvlText w:val=""/>
      <w:lvlJc w:val="left"/>
      <w:pPr>
        <w:tabs>
          <w:tab w:val="num" w:pos="31680"/>
        </w:tabs>
        <w:ind w:left="1440" w:hanging="720"/>
      </w:pPr>
      <w:rPr>
        <w:rFonts w:ascii="Symbol" w:hAnsi="Symbol" w:hint="default"/>
        <w:color w:val="auto"/>
      </w:rPr>
    </w:lvl>
    <w:lvl w:ilvl="2">
      <w:start w:val="1"/>
      <w:numFmt w:val="bullet"/>
      <w:lvlText w:val=""/>
      <w:lvlJc w:val="left"/>
      <w:pPr>
        <w:tabs>
          <w:tab w:val="num" w:pos="-31680"/>
        </w:tabs>
        <w:ind w:left="2160" w:hanging="720"/>
      </w:pPr>
      <w:rPr>
        <w:rFonts w:ascii="Wingdings" w:hAnsi="Wingdings" w:hint="default"/>
        <w:color w:val="auto"/>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2">
    <w:nsid w:val="7F00702F"/>
    <w:multiLevelType w:val="hybridMultilevel"/>
    <w:tmpl w:val="F3942E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51474611">
    <w:abstractNumId w:val="18"/>
  </w:num>
  <w:num w:numId="2" w16cid:durableId="1414661673">
    <w:abstractNumId w:val="13"/>
  </w:num>
  <w:num w:numId="3" w16cid:durableId="200747990">
    <w:abstractNumId w:val="21"/>
  </w:num>
  <w:num w:numId="4" w16cid:durableId="22413685">
    <w:abstractNumId w:val="16"/>
  </w:num>
  <w:num w:numId="5" w16cid:durableId="741832522">
    <w:abstractNumId w:val="14"/>
  </w:num>
  <w:num w:numId="6" w16cid:durableId="193806902">
    <w:abstractNumId w:val="11"/>
  </w:num>
  <w:num w:numId="7" w16cid:durableId="1015811972">
    <w:abstractNumId w:val="17"/>
  </w:num>
  <w:num w:numId="8" w16cid:durableId="1351643641">
    <w:abstractNumId w:val="10"/>
  </w:num>
  <w:num w:numId="9" w16cid:durableId="49503397">
    <w:abstractNumId w:val="16"/>
  </w:num>
  <w:num w:numId="10" w16cid:durableId="324362681">
    <w:abstractNumId w:val="18"/>
  </w:num>
  <w:num w:numId="11" w16cid:durableId="999502330">
    <w:abstractNumId w:val="19"/>
  </w:num>
  <w:num w:numId="12" w16cid:durableId="1321273271">
    <w:abstractNumId w:val="12"/>
  </w:num>
  <w:num w:numId="13" w16cid:durableId="38284226">
    <w:abstractNumId w:val="9"/>
  </w:num>
  <w:num w:numId="14" w16cid:durableId="1098722392">
    <w:abstractNumId w:val="7"/>
  </w:num>
  <w:num w:numId="15" w16cid:durableId="1182888867">
    <w:abstractNumId w:val="6"/>
  </w:num>
  <w:num w:numId="16" w16cid:durableId="179130135">
    <w:abstractNumId w:val="5"/>
  </w:num>
  <w:num w:numId="17" w16cid:durableId="345206887">
    <w:abstractNumId w:val="4"/>
  </w:num>
  <w:num w:numId="18" w16cid:durableId="793912327">
    <w:abstractNumId w:val="8"/>
  </w:num>
  <w:num w:numId="19" w16cid:durableId="885332295">
    <w:abstractNumId w:val="3"/>
  </w:num>
  <w:num w:numId="20" w16cid:durableId="697899932">
    <w:abstractNumId w:val="2"/>
  </w:num>
  <w:num w:numId="21" w16cid:durableId="1749687405">
    <w:abstractNumId w:val="1"/>
  </w:num>
  <w:num w:numId="22" w16cid:durableId="146824114">
    <w:abstractNumId w:val="0"/>
  </w:num>
  <w:num w:numId="23" w16cid:durableId="462114773">
    <w:abstractNumId w:val="20"/>
  </w:num>
  <w:num w:numId="24" w16cid:durableId="724914703">
    <w:abstractNumId w:val="15"/>
  </w:num>
  <w:num w:numId="25" w16cid:durableId="1944650945">
    <w:abstractNumId w:val="22"/>
  </w:num>
  <w:num w:numId="26" w16cid:durableId="427504233">
    <w:abstractNumId w:val="18"/>
  </w:num>
  <w:num w:numId="27" w16cid:durableId="859003969">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4" w:allStyles="0" w:alternateStyleNames="0" w:clearFormatting="1" w:customStyles="0" w:directFormattingOnNumbering="1" w:directFormattingOnParagraphs="1" w:directFormattingOnRuns="1" w:directFormattingOnTables="1" w:headingStyles="1" w:latentStyles="1" w:numberingStyles="0" w:stylesInUse="0" w:tableStyles="0" w:top3HeadingStyles="1" w:visibleStyl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918"/>
    <w:rsid w:val="0000005C"/>
    <w:rsid w:val="00000FC7"/>
    <w:rsid w:val="000019B4"/>
    <w:rsid w:val="00002DB8"/>
    <w:rsid w:val="0000312E"/>
    <w:rsid w:val="0000716E"/>
    <w:rsid w:val="00007D10"/>
    <w:rsid w:val="00011D87"/>
    <w:rsid w:val="00011E7B"/>
    <w:rsid w:val="00013722"/>
    <w:rsid w:val="000145C7"/>
    <w:rsid w:val="0001461E"/>
    <w:rsid w:val="000164AD"/>
    <w:rsid w:val="00017ABE"/>
    <w:rsid w:val="00021EAA"/>
    <w:rsid w:val="00022955"/>
    <w:rsid w:val="00023546"/>
    <w:rsid w:val="00023CAA"/>
    <w:rsid w:val="0002488E"/>
    <w:rsid w:val="000248F4"/>
    <w:rsid w:val="00025852"/>
    <w:rsid w:val="0002661F"/>
    <w:rsid w:val="00026E3D"/>
    <w:rsid w:val="00027AD6"/>
    <w:rsid w:val="00027B10"/>
    <w:rsid w:val="00027DB6"/>
    <w:rsid w:val="00031C8D"/>
    <w:rsid w:val="000354F8"/>
    <w:rsid w:val="00035E8C"/>
    <w:rsid w:val="0003610C"/>
    <w:rsid w:val="00037087"/>
    <w:rsid w:val="0003720A"/>
    <w:rsid w:val="00037439"/>
    <w:rsid w:val="0004291D"/>
    <w:rsid w:val="0004302E"/>
    <w:rsid w:val="00043DD8"/>
    <w:rsid w:val="0004410E"/>
    <w:rsid w:val="000465D5"/>
    <w:rsid w:val="00051D37"/>
    <w:rsid w:val="00052EC1"/>
    <w:rsid w:val="0005316F"/>
    <w:rsid w:val="00053252"/>
    <w:rsid w:val="00053DE7"/>
    <w:rsid w:val="000562FF"/>
    <w:rsid w:val="00060529"/>
    <w:rsid w:val="000607B4"/>
    <w:rsid w:val="0006090E"/>
    <w:rsid w:val="00061940"/>
    <w:rsid w:val="00061A22"/>
    <w:rsid w:val="00062CDE"/>
    <w:rsid w:val="000633C2"/>
    <w:rsid w:val="0006393B"/>
    <w:rsid w:val="00063E07"/>
    <w:rsid w:val="000658CD"/>
    <w:rsid w:val="0006648C"/>
    <w:rsid w:val="0006678E"/>
    <w:rsid w:val="00070F44"/>
    <w:rsid w:val="00071A89"/>
    <w:rsid w:val="00073D89"/>
    <w:rsid w:val="00075D16"/>
    <w:rsid w:val="000766BB"/>
    <w:rsid w:val="000766EA"/>
    <w:rsid w:val="00076F96"/>
    <w:rsid w:val="00077AF6"/>
    <w:rsid w:val="000800FB"/>
    <w:rsid w:val="000811A4"/>
    <w:rsid w:val="00082072"/>
    <w:rsid w:val="000824D1"/>
    <w:rsid w:val="00082DE1"/>
    <w:rsid w:val="0008391B"/>
    <w:rsid w:val="000841E4"/>
    <w:rsid w:val="00084657"/>
    <w:rsid w:val="00085B1C"/>
    <w:rsid w:val="000862F8"/>
    <w:rsid w:val="000865D9"/>
    <w:rsid w:val="0008671A"/>
    <w:rsid w:val="000871DD"/>
    <w:rsid w:val="00091485"/>
    <w:rsid w:val="000920C7"/>
    <w:rsid w:val="00092154"/>
    <w:rsid w:val="000927B4"/>
    <w:rsid w:val="00093D8E"/>
    <w:rsid w:val="0009429B"/>
    <w:rsid w:val="000944F8"/>
    <w:rsid w:val="000949FD"/>
    <w:rsid w:val="000954C9"/>
    <w:rsid w:val="00096328"/>
    <w:rsid w:val="00096982"/>
    <w:rsid w:val="000969A9"/>
    <w:rsid w:val="00096A54"/>
    <w:rsid w:val="00096BA3"/>
    <w:rsid w:val="0009756B"/>
    <w:rsid w:val="000A08DF"/>
    <w:rsid w:val="000A0EB2"/>
    <w:rsid w:val="000A12FC"/>
    <w:rsid w:val="000A1AA2"/>
    <w:rsid w:val="000A22B5"/>
    <w:rsid w:val="000A28EF"/>
    <w:rsid w:val="000A2C27"/>
    <w:rsid w:val="000A2C4B"/>
    <w:rsid w:val="000A5391"/>
    <w:rsid w:val="000A6A21"/>
    <w:rsid w:val="000A717D"/>
    <w:rsid w:val="000A751F"/>
    <w:rsid w:val="000B4837"/>
    <w:rsid w:val="000B4AE0"/>
    <w:rsid w:val="000B7089"/>
    <w:rsid w:val="000C0203"/>
    <w:rsid w:val="000C0F45"/>
    <w:rsid w:val="000C10AB"/>
    <w:rsid w:val="000C2ABF"/>
    <w:rsid w:val="000C3150"/>
    <w:rsid w:val="000C3423"/>
    <w:rsid w:val="000C440C"/>
    <w:rsid w:val="000C4AA2"/>
    <w:rsid w:val="000C57FB"/>
    <w:rsid w:val="000C7BD3"/>
    <w:rsid w:val="000D02A7"/>
    <w:rsid w:val="000D0C5D"/>
    <w:rsid w:val="000D0D8A"/>
    <w:rsid w:val="000D1256"/>
    <w:rsid w:val="000D20BA"/>
    <w:rsid w:val="000D3BA6"/>
    <w:rsid w:val="000D48A6"/>
    <w:rsid w:val="000D5936"/>
    <w:rsid w:val="000D5A4D"/>
    <w:rsid w:val="000D5ACA"/>
    <w:rsid w:val="000D6385"/>
    <w:rsid w:val="000D7F9F"/>
    <w:rsid w:val="000E13D4"/>
    <w:rsid w:val="000E157B"/>
    <w:rsid w:val="000E2254"/>
    <w:rsid w:val="000E2ADD"/>
    <w:rsid w:val="000E40D5"/>
    <w:rsid w:val="000E6600"/>
    <w:rsid w:val="000E6C41"/>
    <w:rsid w:val="000E6E7C"/>
    <w:rsid w:val="000F05CA"/>
    <w:rsid w:val="000F07B0"/>
    <w:rsid w:val="000F1B51"/>
    <w:rsid w:val="000F4DA9"/>
    <w:rsid w:val="000F4DF2"/>
    <w:rsid w:val="000F5E68"/>
    <w:rsid w:val="000F6713"/>
    <w:rsid w:val="000F710C"/>
    <w:rsid w:val="000F7907"/>
    <w:rsid w:val="001011D9"/>
    <w:rsid w:val="0010167E"/>
    <w:rsid w:val="001030C9"/>
    <w:rsid w:val="00106DB6"/>
    <w:rsid w:val="001071A6"/>
    <w:rsid w:val="001071E9"/>
    <w:rsid w:val="001114B2"/>
    <w:rsid w:val="001130A8"/>
    <w:rsid w:val="001152B9"/>
    <w:rsid w:val="00116024"/>
    <w:rsid w:val="0011644A"/>
    <w:rsid w:val="00116505"/>
    <w:rsid w:val="00117334"/>
    <w:rsid w:val="00117A83"/>
    <w:rsid w:val="00117CC0"/>
    <w:rsid w:val="00120809"/>
    <w:rsid w:val="001209AC"/>
    <w:rsid w:val="00121477"/>
    <w:rsid w:val="001220BF"/>
    <w:rsid w:val="00122129"/>
    <w:rsid w:val="001221F3"/>
    <w:rsid w:val="001277B7"/>
    <w:rsid w:val="00127CAA"/>
    <w:rsid w:val="001315D5"/>
    <w:rsid w:val="0013368A"/>
    <w:rsid w:val="00133C35"/>
    <w:rsid w:val="00135FB1"/>
    <w:rsid w:val="00136C29"/>
    <w:rsid w:val="00137C83"/>
    <w:rsid w:val="001401C3"/>
    <w:rsid w:val="001421E2"/>
    <w:rsid w:val="00142FE0"/>
    <w:rsid w:val="00143191"/>
    <w:rsid w:val="00145B94"/>
    <w:rsid w:val="00145D78"/>
    <w:rsid w:val="00146A37"/>
    <w:rsid w:val="00146ABB"/>
    <w:rsid w:val="00147283"/>
    <w:rsid w:val="0015028A"/>
    <w:rsid w:val="001509C9"/>
    <w:rsid w:val="00151F7A"/>
    <w:rsid w:val="00152D15"/>
    <w:rsid w:val="001531B5"/>
    <w:rsid w:val="00153A6F"/>
    <w:rsid w:val="00154D95"/>
    <w:rsid w:val="00156BBF"/>
    <w:rsid w:val="0015725B"/>
    <w:rsid w:val="00157A13"/>
    <w:rsid w:val="00162C23"/>
    <w:rsid w:val="00163743"/>
    <w:rsid w:val="00170A5A"/>
    <w:rsid w:val="001728C7"/>
    <w:rsid w:val="00172993"/>
    <w:rsid w:val="0017377E"/>
    <w:rsid w:val="00175FF7"/>
    <w:rsid w:val="001767E1"/>
    <w:rsid w:val="0018167C"/>
    <w:rsid w:val="001822A6"/>
    <w:rsid w:val="0018293C"/>
    <w:rsid w:val="00183773"/>
    <w:rsid w:val="00183B44"/>
    <w:rsid w:val="001845A6"/>
    <w:rsid w:val="00184E3C"/>
    <w:rsid w:val="00185031"/>
    <w:rsid w:val="001902FA"/>
    <w:rsid w:val="00190A86"/>
    <w:rsid w:val="0019162B"/>
    <w:rsid w:val="00192C56"/>
    <w:rsid w:val="00192DA6"/>
    <w:rsid w:val="00193BE7"/>
    <w:rsid w:val="00197D5E"/>
    <w:rsid w:val="001A1D28"/>
    <w:rsid w:val="001A21B8"/>
    <w:rsid w:val="001A231B"/>
    <w:rsid w:val="001A2B4E"/>
    <w:rsid w:val="001A3D5D"/>
    <w:rsid w:val="001A3F84"/>
    <w:rsid w:val="001A5094"/>
    <w:rsid w:val="001A5B34"/>
    <w:rsid w:val="001A5D2A"/>
    <w:rsid w:val="001A756D"/>
    <w:rsid w:val="001A790D"/>
    <w:rsid w:val="001B0290"/>
    <w:rsid w:val="001B0568"/>
    <w:rsid w:val="001B0CCC"/>
    <w:rsid w:val="001B2C80"/>
    <w:rsid w:val="001B30BC"/>
    <w:rsid w:val="001B3195"/>
    <w:rsid w:val="001B4221"/>
    <w:rsid w:val="001B4810"/>
    <w:rsid w:val="001B5597"/>
    <w:rsid w:val="001B5D6E"/>
    <w:rsid w:val="001B609F"/>
    <w:rsid w:val="001B6710"/>
    <w:rsid w:val="001B673D"/>
    <w:rsid w:val="001B770A"/>
    <w:rsid w:val="001B7D81"/>
    <w:rsid w:val="001B7DC9"/>
    <w:rsid w:val="001C1CAD"/>
    <w:rsid w:val="001C4FA4"/>
    <w:rsid w:val="001C5BEA"/>
    <w:rsid w:val="001C6E2C"/>
    <w:rsid w:val="001C7456"/>
    <w:rsid w:val="001C777B"/>
    <w:rsid w:val="001D0C57"/>
    <w:rsid w:val="001D21A6"/>
    <w:rsid w:val="001D2450"/>
    <w:rsid w:val="001D4378"/>
    <w:rsid w:val="001D6D4B"/>
    <w:rsid w:val="001D6FBA"/>
    <w:rsid w:val="001D726D"/>
    <w:rsid w:val="001E028B"/>
    <w:rsid w:val="001E03F9"/>
    <w:rsid w:val="001E2DD6"/>
    <w:rsid w:val="001E4563"/>
    <w:rsid w:val="001E6AB5"/>
    <w:rsid w:val="001F0248"/>
    <w:rsid w:val="001F0D88"/>
    <w:rsid w:val="001F13E1"/>
    <w:rsid w:val="001F1EF3"/>
    <w:rsid w:val="001F233B"/>
    <w:rsid w:val="001F281B"/>
    <w:rsid w:val="001F2F35"/>
    <w:rsid w:val="001F2FB1"/>
    <w:rsid w:val="001F32E3"/>
    <w:rsid w:val="001F330B"/>
    <w:rsid w:val="001F3779"/>
    <w:rsid w:val="001F3BE3"/>
    <w:rsid w:val="001F4CDC"/>
    <w:rsid w:val="001F5CE0"/>
    <w:rsid w:val="001F772B"/>
    <w:rsid w:val="00201A32"/>
    <w:rsid w:val="00201BC0"/>
    <w:rsid w:val="00202048"/>
    <w:rsid w:val="00202A81"/>
    <w:rsid w:val="00202A84"/>
    <w:rsid w:val="002031F5"/>
    <w:rsid w:val="00204980"/>
    <w:rsid w:val="002060F6"/>
    <w:rsid w:val="00206CD9"/>
    <w:rsid w:val="00206ED8"/>
    <w:rsid w:val="00207904"/>
    <w:rsid w:val="00210EA1"/>
    <w:rsid w:val="00210FA5"/>
    <w:rsid w:val="002110DF"/>
    <w:rsid w:val="002111B8"/>
    <w:rsid w:val="0021131B"/>
    <w:rsid w:val="00212068"/>
    <w:rsid w:val="002126CC"/>
    <w:rsid w:val="00213233"/>
    <w:rsid w:val="00213BF7"/>
    <w:rsid w:val="00214246"/>
    <w:rsid w:val="00214F3A"/>
    <w:rsid w:val="00215C80"/>
    <w:rsid w:val="00216382"/>
    <w:rsid w:val="0021674A"/>
    <w:rsid w:val="00220223"/>
    <w:rsid w:val="0022195A"/>
    <w:rsid w:val="0022203B"/>
    <w:rsid w:val="00224030"/>
    <w:rsid w:val="0023094B"/>
    <w:rsid w:val="00233EDB"/>
    <w:rsid w:val="002349EF"/>
    <w:rsid w:val="002367D8"/>
    <w:rsid w:val="00243CA8"/>
    <w:rsid w:val="00244119"/>
    <w:rsid w:val="002442FF"/>
    <w:rsid w:val="00246722"/>
    <w:rsid w:val="002475E0"/>
    <w:rsid w:val="00247D91"/>
    <w:rsid w:val="00250528"/>
    <w:rsid w:val="00250831"/>
    <w:rsid w:val="00251D73"/>
    <w:rsid w:val="00252474"/>
    <w:rsid w:val="00255EA4"/>
    <w:rsid w:val="002603F7"/>
    <w:rsid w:val="00261A83"/>
    <w:rsid w:val="002634A5"/>
    <w:rsid w:val="002636DF"/>
    <w:rsid w:val="002638D9"/>
    <w:rsid w:val="002642F3"/>
    <w:rsid w:val="00264DC1"/>
    <w:rsid w:val="00265AE6"/>
    <w:rsid w:val="00266778"/>
    <w:rsid w:val="00266C1B"/>
    <w:rsid w:val="00267379"/>
    <w:rsid w:val="00267F7A"/>
    <w:rsid w:val="0027128B"/>
    <w:rsid w:val="002715FF"/>
    <w:rsid w:val="002716FD"/>
    <w:rsid w:val="00271A12"/>
    <w:rsid w:val="00273145"/>
    <w:rsid w:val="00273179"/>
    <w:rsid w:val="00274FDD"/>
    <w:rsid w:val="00275967"/>
    <w:rsid w:val="00276E11"/>
    <w:rsid w:val="00280A1B"/>
    <w:rsid w:val="00281058"/>
    <w:rsid w:val="0028129B"/>
    <w:rsid w:val="002847A6"/>
    <w:rsid w:val="00284DF4"/>
    <w:rsid w:val="00286735"/>
    <w:rsid w:val="002867AC"/>
    <w:rsid w:val="00290962"/>
    <w:rsid w:val="00290EDD"/>
    <w:rsid w:val="00293A65"/>
    <w:rsid w:val="00293EF0"/>
    <w:rsid w:val="00294218"/>
    <w:rsid w:val="00294690"/>
    <w:rsid w:val="00294AB7"/>
    <w:rsid w:val="00295428"/>
    <w:rsid w:val="00297092"/>
    <w:rsid w:val="002A0116"/>
    <w:rsid w:val="002A0812"/>
    <w:rsid w:val="002A0A5C"/>
    <w:rsid w:val="002A10EE"/>
    <w:rsid w:val="002A74E4"/>
    <w:rsid w:val="002A75B7"/>
    <w:rsid w:val="002A79C6"/>
    <w:rsid w:val="002A7E38"/>
    <w:rsid w:val="002B07D7"/>
    <w:rsid w:val="002B176B"/>
    <w:rsid w:val="002B1C35"/>
    <w:rsid w:val="002B213E"/>
    <w:rsid w:val="002B2CFC"/>
    <w:rsid w:val="002B38C2"/>
    <w:rsid w:val="002B3A64"/>
    <w:rsid w:val="002B448E"/>
    <w:rsid w:val="002B4CCD"/>
    <w:rsid w:val="002B6A67"/>
    <w:rsid w:val="002B72FF"/>
    <w:rsid w:val="002B7C48"/>
    <w:rsid w:val="002C0CDE"/>
    <w:rsid w:val="002C37AD"/>
    <w:rsid w:val="002C4048"/>
    <w:rsid w:val="002C435F"/>
    <w:rsid w:val="002C486C"/>
    <w:rsid w:val="002C530B"/>
    <w:rsid w:val="002C5FA3"/>
    <w:rsid w:val="002D04D3"/>
    <w:rsid w:val="002D0EBD"/>
    <w:rsid w:val="002D13BC"/>
    <w:rsid w:val="002D172E"/>
    <w:rsid w:val="002D260C"/>
    <w:rsid w:val="002D33D8"/>
    <w:rsid w:val="002D3708"/>
    <w:rsid w:val="002D3B9D"/>
    <w:rsid w:val="002D3DF9"/>
    <w:rsid w:val="002D51E8"/>
    <w:rsid w:val="002D6A31"/>
    <w:rsid w:val="002E06C7"/>
    <w:rsid w:val="002E0ED9"/>
    <w:rsid w:val="002E1D51"/>
    <w:rsid w:val="002E37A2"/>
    <w:rsid w:val="002E3DAA"/>
    <w:rsid w:val="002E51C9"/>
    <w:rsid w:val="002E5EC6"/>
    <w:rsid w:val="002E65DF"/>
    <w:rsid w:val="002E7CBA"/>
    <w:rsid w:val="002ED29A"/>
    <w:rsid w:val="002F02D6"/>
    <w:rsid w:val="002F0404"/>
    <w:rsid w:val="002F1736"/>
    <w:rsid w:val="002F1D80"/>
    <w:rsid w:val="002F2E8C"/>
    <w:rsid w:val="002F310D"/>
    <w:rsid w:val="002F410F"/>
    <w:rsid w:val="002F4CC5"/>
    <w:rsid w:val="002F611A"/>
    <w:rsid w:val="002F6175"/>
    <w:rsid w:val="002F618F"/>
    <w:rsid w:val="002F6947"/>
    <w:rsid w:val="002F6A72"/>
    <w:rsid w:val="002F73FC"/>
    <w:rsid w:val="002F7980"/>
    <w:rsid w:val="002F7AD6"/>
    <w:rsid w:val="003005BF"/>
    <w:rsid w:val="003009D0"/>
    <w:rsid w:val="00302883"/>
    <w:rsid w:val="00303485"/>
    <w:rsid w:val="003038C3"/>
    <w:rsid w:val="0030723F"/>
    <w:rsid w:val="00307D34"/>
    <w:rsid w:val="00307F0F"/>
    <w:rsid w:val="00310918"/>
    <w:rsid w:val="00310A0F"/>
    <w:rsid w:val="00310ABB"/>
    <w:rsid w:val="003114D6"/>
    <w:rsid w:val="00312239"/>
    <w:rsid w:val="0031319D"/>
    <w:rsid w:val="00313A80"/>
    <w:rsid w:val="0031596D"/>
    <w:rsid w:val="003165C2"/>
    <w:rsid w:val="00316FEA"/>
    <w:rsid w:val="00320ABD"/>
    <w:rsid w:val="00322965"/>
    <w:rsid w:val="0032302F"/>
    <w:rsid w:val="00324127"/>
    <w:rsid w:val="00325055"/>
    <w:rsid w:val="00325A6E"/>
    <w:rsid w:val="0032651B"/>
    <w:rsid w:val="00326832"/>
    <w:rsid w:val="003269F3"/>
    <w:rsid w:val="00326F6B"/>
    <w:rsid w:val="00326FBB"/>
    <w:rsid w:val="00327ABF"/>
    <w:rsid w:val="00327B1D"/>
    <w:rsid w:val="0033076E"/>
    <w:rsid w:val="00331169"/>
    <w:rsid w:val="00332DEB"/>
    <w:rsid w:val="00334462"/>
    <w:rsid w:val="00334F6A"/>
    <w:rsid w:val="00335C57"/>
    <w:rsid w:val="00336420"/>
    <w:rsid w:val="00336EBF"/>
    <w:rsid w:val="00337749"/>
    <w:rsid w:val="00341D03"/>
    <w:rsid w:val="003444D6"/>
    <w:rsid w:val="003449E4"/>
    <w:rsid w:val="00344FFE"/>
    <w:rsid w:val="003468DA"/>
    <w:rsid w:val="003502B4"/>
    <w:rsid w:val="00351991"/>
    <w:rsid w:val="0035201A"/>
    <w:rsid w:val="00353F36"/>
    <w:rsid w:val="003548E9"/>
    <w:rsid w:val="003549C9"/>
    <w:rsid w:val="00354BC5"/>
    <w:rsid w:val="003555BD"/>
    <w:rsid w:val="00355EC8"/>
    <w:rsid w:val="00356CE2"/>
    <w:rsid w:val="00356D15"/>
    <w:rsid w:val="003570E5"/>
    <w:rsid w:val="00357873"/>
    <w:rsid w:val="00361B33"/>
    <w:rsid w:val="00363C94"/>
    <w:rsid w:val="00364C35"/>
    <w:rsid w:val="00365FA2"/>
    <w:rsid w:val="00367796"/>
    <w:rsid w:val="00372624"/>
    <w:rsid w:val="00373506"/>
    <w:rsid w:val="00375145"/>
    <w:rsid w:val="00376A5F"/>
    <w:rsid w:val="00380111"/>
    <w:rsid w:val="00381A01"/>
    <w:rsid w:val="003828F5"/>
    <w:rsid w:val="00383A8A"/>
    <w:rsid w:val="00384153"/>
    <w:rsid w:val="003852E0"/>
    <w:rsid w:val="00386D5A"/>
    <w:rsid w:val="00387031"/>
    <w:rsid w:val="003877EF"/>
    <w:rsid w:val="00391763"/>
    <w:rsid w:val="00396612"/>
    <w:rsid w:val="0039783F"/>
    <w:rsid w:val="00397F62"/>
    <w:rsid w:val="003A0B2F"/>
    <w:rsid w:val="003A0E8A"/>
    <w:rsid w:val="003A103F"/>
    <w:rsid w:val="003A1467"/>
    <w:rsid w:val="003A18F3"/>
    <w:rsid w:val="003A26C8"/>
    <w:rsid w:val="003A2E40"/>
    <w:rsid w:val="003A3FA0"/>
    <w:rsid w:val="003A47B8"/>
    <w:rsid w:val="003A49DB"/>
    <w:rsid w:val="003A5C7B"/>
    <w:rsid w:val="003A69A6"/>
    <w:rsid w:val="003A7025"/>
    <w:rsid w:val="003A71D1"/>
    <w:rsid w:val="003A7D64"/>
    <w:rsid w:val="003B1157"/>
    <w:rsid w:val="003B2C5C"/>
    <w:rsid w:val="003B2DD6"/>
    <w:rsid w:val="003B2EEB"/>
    <w:rsid w:val="003B3BA2"/>
    <w:rsid w:val="003B5726"/>
    <w:rsid w:val="003B5AC1"/>
    <w:rsid w:val="003B5CA4"/>
    <w:rsid w:val="003B63FB"/>
    <w:rsid w:val="003B6A15"/>
    <w:rsid w:val="003B7164"/>
    <w:rsid w:val="003C10E0"/>
    <w:rsid w:val="003C125E"/>
    <w:rsid w:val="003C1DD4"/>
    <w:rsid w:val="003C3243"/>
    <w:rsid w:val="003C39E1"/>
    <w:rsid w:val="003C5270"/>
    <w:rsid w:val="003C79EE"/>
    <w:rsid w:val="003D05EE"/>
    <w:rsid w:val="003D0F35"/>
    <w:rsid w:val="003D2500"/>
    <w:rsid w:val="003D3634"/>
    <w:rsid w:val="003D40AE"/>
    <w:rsid w:val="003D4656"/>
    <w:rsid w:val="003D64AA"/>
    <w:rsid w:val="003D79DF"/>
    <w:rsid w:val="003D7F6B"/>
    <w:rsid w:val="003E0E90"/>
    <w:rsid w:val="003E101A"/>
    <w:rsid w:val="003E13A8"/>
    <w:rsid w:val="003E4DE4"/>
    <w:rsid w:val="003E4FB8"/>
    <w:rsid w:val="003E55ED"/>
    <w:rsid w:val="003E770C"/>
    <w:rsid w:val="003F002A"/>
    <w:rsid w:val="003F01F7"/>
    <w:rsid w:val="003F0E57"/>
    <w:rsid w:val="003F4A5C"/>
    <w:rsid w:val="003F6DEC"/>
    <w:rsid w:val="004000DC"/>
    <w:rsid w:val="00400D03"/>
    <w:rsid w:val="00400E57"/>
    <w:rsid w:val="004021D2"/>
    <w:rsid w:val="00402700"/>
    <w:rsid w:val="00402C3B"/>
    <w:rsid w:val="00402EC2"/>
    <w:rsid w:val="00402F66"/>
    <w:rsid w:val="004036BD"/>
    <w:rsid w:val="004049AB"/>
    <w:rsid w:val="00404B7C"/>
    <w:rsid w:val="00405906"/>
    <w:rsid w:val="0040724B"/>
    <w:rsid w:val="004111DA"/>
    <w:rsid w:val="004113FB"/>
    <w:rsid w:val="0041411E"/>
    <w:rsid w:val="0041524E"/>
    <w:rsid w:val="00416E49"/>
    <w:rsid w:val="0042249C"/>
    <w:rsid w:val="00426555"/>
    <w:rsid w:val="004266A8"/>
    <w:rsid w:val="004279F7"/>
    <w:rsid w:val="00430040"/>
    <w:rsid w:val="00430289"/>
    <w:rsid w:val="00430948"/>
    <w:rsid w:val="00433CB5"/>
    <w:rsid w:val="00434022"/>
    <w:rsid w:val="004367F4"/>
    <w:rsid w:val="00437144"/>
    <w:rsid w:val="00443D66"/>
    <w:rsid w:val="00445019"/>
    <w:rsid w:val="00445125"/>
    <w:rsid w:val="00447393"/>
    <w:rsid w:val="00447AA4"/>
    <w:rsid w:val="004505FC"/>
    <w:rsid w:val="00451606"/>
    <w:rsid w:val="00452E7D"/>
    <w:rsid w:val="00452F8A"/>
    <w:rsid w:val="00454558"/>
    <w:rsid w:val="004573B6"/>
    <w:rsid w:val="004601C4"/>
    <w:rsid w:val="004610BA"/>
    <w:rsid w:val="00461678"/>
    <w:rsid w:val="00461AA4"/>
    <w:rsid w:val="00463355"/>
    <w:rsid w:val="00463EE4"/>
    <w:rsid w:val="004640EA"/>
    <w:rsid w:val="00466C97"/>
    <w:rsid w:val="00467389"/>
    <w:rsid w:val="00467528"/>
    <w:rsid w:val="00467BFA"/>
    <w:rsid w:val="00467E0C"/>
    <w:rsid w:val="00474067"/>
    <w:rsid w:val="004742CA"/>
    <w:rsid w:val="00474CDD"/>
    <w:rsid w:val="004754D3"/>
    <w:rsid w:val="004757E1"/>
    <w:rsid w:val="00475C2D"/>
    <w:rsid w:val="00476235"/>
    <w:rsid w:val="00476C3D"/>
    <w:rsid w:val="00477A0D"/>
    <w:rsid w:val="00480BE6"/>
    <w:rsid w:val="0048228C"/>
    <w:rsid w:val="0048238E"/>
    <w:rsid w:val="00482B3E"/>
    <w:rsid w:val="00483F5A"/>
    <w:rsid w:val="00485AB6"/>
    <w:rsid w:val="00487EEA"/>
    <w:rsid w:val="0049077A"/>
    <w:rsid w:val="00491FD1"/>
    <w:rsid w:val="00494F28"/>
    <w:rsid w:val="00495221"/>
    <w:rsid w:val="004A07D6"/>
    <w:rsid w:val="004A1935"/>
    <w:rsid w:val="004A19B3"/>
    <w:rsid w:val="004A3350"/>
    <w:rsid w:val="004A47A0"/>
    <w:rsid w:val="004A50C9"/>
    <w:rsid w:val="004A6764"/>
    <w:rsid w:val="004A71D8"/>
    <w:rsid w:val="004B0C3B"/>
    <w:rsid w:val="004B1467"/>
    <w:rsid w:val="004B28AC"/>
    <w:rsid w:val="004B3870"/>
    <w:rsid w:val="004B38D7"/>
    <w:rsid w:val="004B4C0C"/>
    <w:rsid w:val="004B5674"/>
    <w:rsid w:val="004B6A62"/>
    <w:rsid w:val="004B723A"/>
    <w:rsid w:val="004C41EE"/>
    <w:rsid w:val="004C501E"/>
    <w:rsid w:val="004C59DB"/>
    <w:rsid w:val="004C69C9"/>
    <w:rsid w:val="004D0633"/>
    <w:rsid w:val="004D0693"/>
    <w:rsid w:val="004D2917"/>
    <w:rsid w:val="004D350D"/>
    <w:rsid w:val="004D3793"/>
    <w:rsid w:val="004D37C9"/>
    <w:rsid w:val="004D3B00"/>
    <w:rsid w:val="004D4177"/>
    <w:rsid w:val="004D488A"/>
    <w:rsid w:val="004D4F94"/>
    <w:rsid w:val="004D562B"/>
    <w:rsid w:val="004E0398"/>
    <w:rsid w:val="004E074F"/>
    <w:rsid w:val="004E1E77"/>
    <w:rsid w:val="004E1EA4"/>
    <w:rsid w:val="004E3114"/>
    <w:rsid w:val="004E3B1F"/>
    <w:rsid w:val="004E3D6F"/>
    <w:rsid w:val="004E643C"/>
    <w:rsid w:val="004F0BA9"/>
    <w:rsid w:val="004F0F1F"/>
    <w:rsid w:val="004F2234"/>
    <w:rsid w:val="004F59D6"/>
    <w:rsid w:val="004F6067"/>
    <w:rsid w:val="004F6193"/>
    <w:rsid w:val="004F7E8F"/>
    <w:rsid w:val="005007F0"/>
    <w:rsid w:val="00501D28"/>
    <w:rsid w:val="005021E0"/>
    <w:rsid w:val="00502419"/>
    <w:rsid w:val="0050291C"/>
    <w:rsid w:val="0050292B"/>
    <w:rsid w:val="00506DC9"/>
    <w:rsid w:val="005079FD"/>
    <w:rsid w:val="00507E2B"/>
    <w:rsid w:val="00507EE2"/>
    <w:rsid w:val="005101F7"/>
    <w:rsid w:val="00513DCB"/>
    <w:rsid w:val="005153B6"/>
    <w:rsid w:val="005226E8"/>
    <w:rsid w:val="00522798"/>
    <w:rsid w:val="00523188"/>
    <w:rsid w:val="005232F6"/>
    <w:rsid w:val="00523B0B"/>
    <w:rsid w:val="00524FEC"/>
    <w:rsid w:val="00525BF0"/>
    <w:rsid w:val="00525E46"/>
    <w:rsid w:val="0052649B"/>
    <w:rsid w:val="0053061C"/>
    <w:rsid w:val="0053089B"/>
    <w:rsid w:val="00530910"/>
    <w:rsid w:val="005313ED"/>
    <w:rsid w:val="00532373"/>
    <w:rsid w:val="00533E1B"/>
    <w:rsid w:val="00536C0C"/>
    <w:rsid w:val="005400F8"/>
    <w:rsid w:val="00540C47"/>
    <w:rsid w:val="00541EAD"/>
    <w:rsid w:val="00542E8F"/>
    <w:rsid w:val="00542F1C"/>
    <w:rsid w:val="00546A10"/>
    <w:rsid w:val="0054777D"/>
    <w:rsid w:val="00551AE1"/>
    <w:rsid w:val="0055400B"/>
    <w:rsid w:val="00554B57"/>
    <w:rsid w:val="00555AAB"/>
    <w:rsid w:val="0055636B"/>
    <w:rsid w:val="0055673B"/>
    <w:rsid w:val="005570DD"/>
    <w:rsid w:val="00557B82"/>
    <w:rsid w:val="00561741"/>
    <w:rsid w:val="005625E2"/>
    <w:rsid w:val="00563E90"/>
    <w:rsid w:val="00566839"/>
    <w:rsid w:val="005669A1"/>
    <w:rsid w:val="00566BB7"/>
    <w:rsid w:val="00567BFF"/>
    <w:rsid w:val="00567DD3"/>
    <w:rsid w:val="005709B0"/>
    <w:rsid w:val="005711CD"/>
    <w:rsid w:val="00571A4D"/>
    <w:rsid w:val="00571D9A"/>
    <w:rsid w:val="00572140"/>
    <w:rsid w:val="00573FA4"/>
    <w:rsid w:val="00576680"/>
    <w:rsid w:val="005768CF"/>
    <w:rsid w:val="00576CCD"/>
    <w:rsid w:val="00577B85"/>
    <w:rsid w:val="005800FF"/>
    <w:rsid w:val="0058085E"/>
    <w:rsid w:val="005808BB"/>
    <w:rsid w:val="0058322D"/>
    <w:rsid w:val="005845FD"/>
    <w:rsid w:val="0058551D"/>
    <w:rsid w:val="0058552D"/>
    <w:rsid w:val="00586BD9"/>
    <w:rsid w:val="00591022"/>
    <w:rsid w:val="0059364B"/>
    <w:rsid w:val="00593E83"/>
    <w:rsid w:val="0059546C"/>
    <w:rsid w:val="00595AB4"/>
    <w:rsid w:val="00595BBD"/>
    <w:rsid w:val="0059652E"/>
    <w:rsid w:val="00597B48"/>
    <w:rsid w:val="005A0792"/>
    <w:rsid w:val="005A1A09"/>
    <w:rsid w:val="005A433F"/>
    <w:rsid w:val="005A47FF"/>
    <w:rsid w:val="005A5C46"/>
    <w:rsid w:val="005A5D6C"/>
    <w:rsid w:val="005A7E65"/>
    <w:rsid w:val="005B0906"/>
    <w:rsid w:val="005B178F"/>
    <w:rsid w:val="005B244E"/>
    <w:rsid w:val="005B2B62"/>
    <w:rsid w:val="005B2F69"/>
    <w:rsid w:val="005B33D0"/>
    <w:rsid w:val="005B3A77"/>
    <w:rsid w:val="005B3FE3"/>
    <w:rsid w:val="005B522E"/>
    <w:rsid w:val="005B54B9"/>
    <w:rsid w:val="005B6221"/>
    <w:rsid w:val="005C13C3"/>
    <w:rsid w:val="005C1F8F"/>
    <w:rsid w:val="005C2BDE"/>
    <w:rsid w:val="005C2EE5"/>
    <w:rsid w:val="005C2F23"/>
    <w:rsid w:val="005C3B58"/>
    <w:rsid w:val="005C40C4"/>
    <w:rsid w:val="005C5B6C"/>
    <w:rsid w:val="005C5D37"/>
    <w:rsid w:val="005C761F"/>
    <w:rsid w:val="005D018F"/>
    <w:rsid w:val="005D0404"/>
    <w:rsid w:val="005D3C4D"/>
    <w:rsid w:val="005D43DE"/>
    <w:rsid w:val="005D5133"/>
    <w:rsid w:val="005D5CA0"/>
    <w:rsid w:val="005D7161"/>
    <w:rsid w:val="005E0D97"/>
    <w:rsid w:val="005E29B2"/>
    <w:rsid w:val="005E2B3D"/>
    <w:rsid w:val="005E2D87"/>
    <w:rsid w:val="005E323E"/>
    <w:rsid w:val="005E3D73"/>
    <w:rsid w:val="005E4301"/>
    <w:rsid w:val="005E4AD1"/>
    <w:rsid w:val="005E4C57"/>
    <w:rsid w:val="005E64D3"/>
    <w:rsid w:val="005E7098"/>
    <w:rsid w:val="005E7ECE"/>
    <w:rsid w:val="005F0073"/>
    <w:rsid w:val="005F0AAC"/>
    <w:rsid w:val="005F18E9"/>
    <w:rsid w:val="005F3331"/>
    <w:rsid w:val="005F6929"/>
    <w:rsid w:val="006001FB"/>
    <w:rsid w:val="006004C3"/>
    <w:rsid w:val="00603B52"/>
    <w:rsid w:val="00603CDA"/>
    <w:rsid w:val="006049EA"/>
    <w:rsid w:val="0060580A"/>
    <w:rsid w:val="006066C8"/>
    <w:rsid w:val="0060678A"/>
    <w:rsid w:val="00607A78"/>
    <w:rsid w:val="00607B97"/>
    <w:rsid w:val="00607EFD"/>
    <w:rsid w:val="0061197B"/>
    <w:rsid w:val="0061218B"/>
    <w:rsid w:val="00614435"/>
    <w:rsid w:val="006210C0"/>
    <w:rsid w:val="0062231C"/>
    <w:rsid w:val="00622BC0"/>
    <w:rsid w:val="0062519A"/>
    <w:rsid w:val="00625726"/>
    <w:rsid w:val="00625D3E"/>
    <w:rsid w:val="00626158"/>
    <w:rsid w:val="00626424"/>
    <w:rsid w:val="00627340"/>
    <w:rsid w:val="00630AD5"/>
    <w:rsid w:val="006323F2"/>
    <w:rsid w:val="00633184"/>
    <w:rsid w:val="0063360F"/>
    <w:rsid w:val="00633904"/>
    <w:rsid w:val="00633B93"/>
    <w:rsid w:val="00634738"/>
    <w:rsid w:val="00634FFF"/>
    <w:rsid w:val="00636DB9"/>
    <w:rsid w:val="00641882"/>
    <w:rsid w:val="006425DA"/>
    <w:rsid w:val="00642B4C"/>
    <w:rsid w:val="00642BAF"/>
    <w:rsid w:val="006455DC"/>
    <w:rsid w:val="0064582E"/>
    <w:rsid w:val="0064609A"/>
    <w:rsid w:val="006504DA"/>
    <w:rsid w:val="0065136A"/>
    <w:rsid w:val="00651EF8"/>
    <w:rsid w:val="0065263C"/>
    <w:rsid w:val="00653DA7"/>
    <w:rsid w:val="00655A15"/>
    <w:rsid w:val="00660C17"/>
    <w:rsid w:val="00660E7F"/>
    <w:rsid w:val="00661627"/>
    <w:rsid w:val="00664410"/>
    <w:rsid w:val="0066466B"/>
    <w:rsid w:val="006649D6"/>
    <w:rsid w:val="00665100"/>
    <w:rsid w:val="0066519E"/>
    <w:rsid w:val="00665673"/>
    <w:rsid w:val="00667D23"/>
    <w:rsid w:val="00667D7D"/>
    <w:rsid w:val="0067144D"/>
    <w:rsid w:val="0067197C"/>
    <w:rsid w:val="00671FD1"/>
    <w:rsid w:val="00674924"/>
    <w:rsid w:val="00674CE3"/>
    <w:rsid w:val="0067564B"/>
    <w:rsid w:val="006757B2"/>
    <w:rsid w:val="00676630"/>
    <w:rsid w:val="0068081E"/>
    <w:rsid w:val="006836EA"/>
    <w:rsid w:val="00684ECC"/>
    <w:rsid w:val="0068512D"/>
    <w:rsid w:val="00686923"/>
    <w:rsid w:val="00687F7D"/>
    <w:rsid w:val="00690776"/>
    <w:rsid w:val="006938ED"/>
    <w:rsid w:val="00695854"/>
    <w:rsid w:val="00695BB0"/>
    <w:rsid w:val="00695E6C"/>
    <w:rsid w:val="00696047"/>
    <w:rsid w:val="0069763B"/>
    <w:rsid w:val="00697AA8"/>
    <w:rsid w:val="006A020D"/>
    <w:rsid w:val="006A21A7"/>
    <w:rsid w:val="006A31B1"/>
    <w:rsid w:val="006A3CBF"/>
    <w:rsid w:val="006A40F9"/>
    <w:rsid w:val="006A7306"/>
    <w:rsid w:val="006B4ADA"/>
    <w:rsid w:val="006B4E58"/>
    <w:rsid w:val="006B530F"/>
    <w:rsid w:val="006B6F6B"/>
    <w:rsid w:val="006C169D"/>
    <w:rsid w:val="006C2615"/>
    <w:rsid w:val="006C415B"/>
    <w:rsid w:val="006C43CC"/>
    <w:rsid w:val="006C49C1"/>
    <w:rsid w:val="006C53B6"/>
    <w:rsid w:val="006C745C"/>
    <w:rsid w:val="006C76D0"/>
    <w:rsid w:val="006D1E9F"/>
    <w:rsid w:val="006D2D94"/>
    <w:rsid w:val="006D2EE4"/>
    <w:rsid w:val="006D36F3"/>
    <w:rsid w:val="006D3EAD"/>
    <w:rsid w:val="006D535E"/>
    <w:rsid w:val="006D5683"/>
    <w:rsid w:val="006D56D2"/>
    <w:rsid w:val="006D5A9D"/>
    <w:rsid w:val="006D69FA"/>
    <w:rsid w:val="006D6B2B"/>
    <w:rsid w:val="006D75D0"/>
    <w:rsid w:val="006D79F2"/>
    <w:rsid w:val="006E0588"/>
    <w:rsid w:val="006E137C"/>
    <w:rsid w:val="006E2B91"/>
    <w:rsid w:val="006E2C1A"/>
    <w:rsid w:val="006E3296"/>
    <w:rsid w:val="006E450E"/>
    <w:rsid w:val="006E5461"/>
    <w:rsid w:val="006E6B03"/>
    <w:rsid w:val="006E7C55"/>
    <w:rsid w:val="006F05D0"/>
    <w:rsid w:val="006F188C"/>
    <w:rsid w:val="006F1B50"/>
    <w:rsid w:val="006F3465"/>
    <w:rsid w:val="006F406C"/>
    <w:rsid w:val="006F7DCA"/>
    <w:rsid w:val="007002EB"/>
    <w:rsid w:val="007018C3"/>
    <w:rsid w:val="00701C64"/>
    <w:rsid w:val="00702D5A"/>
    <w:rsid w:val="00704245"/>
    <w:rsid w:val="0070535E"/>
    <w:rsid w:val="007055D9"/>
    <w:rsid w:val="00705B86"/>
    <w:rsid w:val="0070636E"/>
    <w:rsid w:val="00706CAB"/>
    <w:rsid w:val="00707797"/>
    <w:rsid w:val="007101B1"/>
    <w:rsid w:val="0071125A"/>
    <w:rsid w:val="00711C7B"/>
    <w:rsid w:val="0071315F"/>
    <w:rsid w:val="00713A80"/>
    <w:rsid w:val="00715FEF"/>
    <w:rsid w:val="00716C5F"/>
    <w:rsid w:val="0071752B"/>
    <w:rsid w:val="007211A1"/>
    <w:rsid w:val="00722753"/>
    <w:rsid w:val="00722C04"/>
    <w:rsid w:val="00723D39"/>
    <w:rsid w:val="00724F96"/>
    <w:rsid w:val="00725AED"/>
    <w:rsid w:val="00726013"/>
    <w:rsid w:val="0073056A"/>
    <w:rsid w:val="007308AF"/>
    <w:rsid w:val="00730E32"/>
    <w:rsid w:val="0073223F"/>
    <w:rsid w:val="00732DEF"/>
    <w:rsid w:val="00733AC8"/>
    <w:rsid w:val="00734A1F"/>
    <w:rsid w:val="00735164"/>
    <w:rsid w:val="0073536E"/>
    <w:rsid w:val="007358CD"/>
    <w:rsid w:val="00736AC2"/>
    <w:rsid w:val="007372C7"/>
    <w:rsid w:val="00737BB5"/>
    <w:rsid w:val="00740742"/>
    <w:rsid w:val="007432FD"/>
    <w:rsid w:val="007457F6"/>
    <w:rsid w:val="0075025E"/>
    <w:rsid w:val="00753783"/>
    <w:rsid w:val="0075384B"/>
    <w:rsid w:val="00754358"/>
    <w:rsid w:val="007563CF"/>
    <w:rsid w:val="0075788B"/>
    <w:rsid w:val="00760B92"/>
    <w:rsid w:val="007616C9"/>
    <w:rsid w:val="00764C0A"/>
    <w:rsid w:val="00765A57"/>
    <w:rsid w:val="00766FF0"/>
    <w:rsid w:val="00771346"/>
    <w:rsid w:val="007726E3"/>
    <w:rsid w:val="00773A4E"/>
    <w:rsid w:val="00773DC1"/>
    <w:rsid w:val="00774219"/>
    <w:rsid w:val="00774E1D"/>
    <w:rsid w:val="007767D8"/>
    <w:rsid w:val="007772DA"/>
    <w:rsid w:val="007815C5"/>
    <w:rsid w:val="007817FD"/>
    <w:rsid w:val="00782BAF"/>
    <w:rsid w:val="00783363"/>
    <w:rsid w:val="00786B64"/>
    <w:rsid w:val="00786EA6"/>
    <w:rsid w:val="00787EB5"/>
    <w:rsid w:val="0079571C"/>
    <w:rsid w:val="007A07E4"/>
    <w:rsid w:val="007A1148"/>
    <w:rsid w:val="007A3227"/>
    <w:rsid w:val="007A4AAA"/>
    <w:rsid w:val="007A58D6"/>
    <w:rsid w:val="007A5AFB"/>
    <w:rsid w:val="007A6EC4"/>
    <w:rsid w:val="007A7256"/>
    <w:rsid w:val="007A7411"/>
    <w:rsid w:val="007A775C"/>
    <w:rsid w:val="007B0B90"/>
    <w:rsid w:val="007B116D"/>
    <w:rsid w:val="007B24C2"/>
    <w:rsid w:val="007B2FCD"/>
    <w:rsid w:val="007B3643"/>
    <w:rsid w:val="007B3649"/>
    <w:rsid w:val="007B4296"/>
    <w:rsid w:val="007B59A0"/>
    <w:rsid w:val="007B5B83"/>
    <w:rsid w:val="007B5CE7"/>
    <w:rsid w:val="007B783E"/>
    <w:rsid w:val="007C0855"/>
    <w:rsid w:val="007C0909"/>
    <w:rsid w:val="007C0957"/>
    <w:rsid w:val="007C096C"/>
    <w:rsid w:val="007C52A2"/>
    <w:rsid w:val="007C5940"/>
    <w:rsid w:val="007C6443"/>
    <w:rsid w:val="007C7782"/>
    <w:rsid w:val="007D0762"/>
    <w:rsid w:val="007D0AE2"/>
    <w:rsid w:val="007D16F2"/>
    <w:rsid w:val="007D3E8B"/>
    <w:rsid w:val="007D61F6"/>
    <w:rsid w:val="007D624B"/>
    <w:rsid w:val="007D64D8"/>
    <w:rsid w:val="007D7832"/>
    <w:rsid w:val="007E0A59"/>
    <w:rsid w:val="007E14CF"/>
    <w:rsid w:val="007E20C9"/>
    <w:rsid w:val="007E2BBB"/>
    <w:rsid w:val="007E31F8"/>
    <w:rsid w:val="007E477E"/>
    <w:rsid w:val="007E4986"/>
    <w:rsid w:val="007E4D2C"/>
    <w:rsid w:val="007E52B2"/>
    <w:rsid w:val="007E5D9D"/>
    <w:rsid w:val="007E60EB"/>
    <w:rsid w:val="007E6D31"/>
    <w:rsid w:val="007F17E2"/>
    <w:rsid w:val="007F2E76"/>
    <w:rsid w:val="007F5CE3"/>
    <w:rsid w:val="007F5FAE"/>
    <w:rsid w:val="007F6366"/>
    <w:rsid w:val="007F6A7E"/>
    <w:rsid w:val="007F6E1A"/>
    <w:rsid w:val="00800435"/>
    <w:rsid w:val="00800E8D"/>
    <w:rsid w:val="00801FB4"/>
    <w:rsid w:val="0080297C"/>
    <w:rsid w:val="00804DAC"/>
    <w:rsid w:val="00806804"/>
    <w:rsid w:val="008076D6"/>
    <w:rsid w:val="00811110"/>
    <w:rsid w:val="008119F3"/>
    <w:rsid w:val="00812F67"/>
    <w:rsid w:val="00813F66"/>
    <w:rsid w:val="0081428F"/>
    <w:rsid w:val="008145CC"/>
    <w:rsid w:val="008149C2"/>
    <w:rsid w:val="00815A12"/>
    <w:rsid w:val="00817110"/>
    <w:rsid w:val="00817B11"/>
    <w:rsid w:val="00820042"/>
    <w:rsid w:val="00820307"/>
    <w:rsid w:val="0082187C"/>
    <w:rsid w:val="0082393A"/>
    <w:rsid w:val="008242B2"/>
    <w:rsid w:val="00824C79"/>
    <w:rsid w:val="0082556D"/>
    <w:rsid w:val="00825ED9"/>
    <w:rsid w:val="008304A2"/>
    <w:rsid w:val="00830908"/>
    <w:rsid w:val="008339AC"/>
    <w:rsid w:val="00833C84"/>
    <w:rsid w:val="00835A77"/>
    <w:rsid w:val="00836C4D"/>
    <w:rsid w:val="00837259"/>
    <w:rsid w:val="00842375"/>
    <w:rsid w:val="0084308B"/>
    <w:rsid w:val="0084430D"/>
    <w:rsid w:val="008466DD"/>
    <w:rsid w:val="008468D9"/>
    <w:rsid w:val="00847AEC"/>
    <w:rsid w:val="008502BA"/>
    <w:rsid w:val="00850352"/>
    <w:rsid w:val="00851093"/>
    <w:rsid w:val="00852CD4"/>
    <w:rsid w:val="00853F3B"/>
    <w:rsid w:val="00857DED"/>
    <w:rsid w:val="00860245"/>
    <w:rsid w:val="008605D6"/>
    <w:rsid w:val="008611B0"/>
    <w:rsid w:val="008625AA"/>
    <w:rsid w:val="0086428B"/>
    <w:rsid w:val="0086507A"/>
    <w:rsid w:val="0086657B"/>
    <w:rsid w:val="008668FF"/>
    <w:rsid w:val="00870049"/>
    <w:rsid w:val="00870E63"/>
    <w:rsid w:val="008710CF"/>
    <w:rsid w:val="008717CB"/>
    <w:rsid w:val="008745FA"/>
    <w:rsid w:val="00874EEE"/>
    <w:rsid w:val="0087718B"/>
    <w:rsid w:val="0087741C"/>
    <w:rsid w:val="00882665"/>
    <w:rsid w:val="008835F8"/>
    <w:rsid w:val="00884E1F"/>
    <w:rsid w:val="00885F3C"/>
    <w:rsid w:val="008903D0"/>
    <w:rsid w:val="0089041F"/>
    <w:rsid w:val="00893142"/>
    <w:rsid w:val="008942A3"/>
    <w:rsid w:val="00894AC6"/>
    <w:rsid w:val="00897BBE"/>
    <w:rsid w:val="008A1819"/>
    <w:rsid w:val="008A35AB"/>
    <w:rsid w:val="008A44E3"/>
    <w:rsid w:val="008A5AEF"/>
    <w:rsid w:val="008A5E78"/>
    <w:rsid w:val="008A65D4"/>
    <w:rsid w:val="008A7575"/>
    <w:rsid w:val="008B1698"/>
    <w:rsid w:val="008B2213"/>
    <w:rsid w:val="008B2259"/>
    <w:rsid w:val="008B43A1"/>
    <w:rsid w:val="008B445A"/>
    <w:rsid w:val="008B51CC"/>
    <w:rsid w:val="008B5A08"/>
    <w:rsid w:val="008B6102"/>
    <w:rsid w:val="008B77D5"/>
    <w:rsid w:val="008B795D"/>
    <w:rsid w:val="008B7BDB"/>
    <w:rsid w:val="008C0C0F"/>
    <w:rsid w:val="008C1508"/>
    <w:rsid w:val="008C17A4"/>
    <w:rsid w:val="008C2381"/>
    <w:rsid w:val="008C3F69"/>
    <w:rsid w:val="008C4071"/>
    <w:rsid w:val="008C42DD"/>
    <w:rsid w:val="008C60FF"/>
    <w:rsid w:val="008C7676"/>
    <w:rsid w:val="008D0718"/>
    <w:rsid w:val="008D0DBD"/>
    <w:rsid w:val="008D2677"/>
    <w:rsid w:val="008D271E"/>
    <w:rsid w:val="008D2CE1"/>
    <w:rsid w:val="008D4A04"/>
    <w:rsid w:val="008D55B4"/>
    <w:rsid w:val="008D76B6"/>
    <w:rsid w:val="008E1452"/>
    <w:rsid w:val="008E16B0"/>
    <w:rsid w:val="008E3DFB"/>
    <w:rsid w:val="008E4A77"/>
    <w:rsid w:val="008E55A1"/>
    <w:rsid w:val="008E6886"/>
    <w:rsid w:val="008F034B"/>
    <w:rsid w:val="008F0684"/>
    <w:rsid w:val="008F0919"/>
    <w:rsid w:val="008F23BB"/>
    <w:rsid w:val="008F48A1"/>
    <w:rsid w:val="008F5108"/>
    <w:rsid w:val="008F59AF"/>
    <w:rsid w:val="008F66E4"/>
    <w:rsid w:val="008F71C4"/>
    <w:rsid w:val="008F78FA"/>
    <w:rsid w:val="00900065"/>
    <w:rsid w:val="009002B4"/>
    <w:rsid w:val="009006B0"/>
    <w:rsid w:val="0090081B"/>
    <w:rsid w:val="009021E3"/>
    <w:rsid w:val="0090297D"/>
    <w:rsid w:val="00902F76"/>
    <w:rsid w:val="00905C80"/>
    <w:rsid w:val="00907BC8"/>
    <w:rsid w:val="00913152"/>
    <w:rsid w:val="00913C6F"/>
    <w:rsid w:val="009170FA"/>
    <w:rsid w:val="00917587"/>
    <w:rsid w:val="00917B7A"/>
    <w:rsid w:val="00917D84"/>
    <w:rsid w:val="00921E11"/>
    <w:rsid w:val="0092540F"/>
    <w:rsid w:val="0092593D"/>
    <w:rsid w:val="00926DC8"/>
    <w:rsid w:val="00927CD6"/>
    <w:rsid w:val="00930C4E"/>
    <w:rsid w:val="00932BA3"/>
    <w:rsid w:val="00936AD8"/>
    <w:rsid w:val="00940869"/>
    <w:rsid w:val="00940DCD"/>
    <w:rsid w:val="009415C7"/>
    <w:rsid w:val="00945889"/>
    <w:rsid w:val="00945EAF"/>
    <w:rsid w:val="009465AB"/>
    <w:rsid w:val="00951855"/>
    <w:rsid w:val="00951DD0"/>
    <w:rsid w:val="0095295C"/>
    <w:rsid w:val="00952D43"/>
    <w:rsid w:val="0095392A"/>
    <w:rsid w:val="0095400E"/>
    <w:rsid w:val="00954433"/>
    <w:rsid w:val="009548EF"/>
    <w:rsid w:val="00955B5D"/>
    <w:rsid w:val="00956172"/>
    <w:rsid w:val="0095626E"/>
    <w:rsid w:val="00956BB3"/>
    <w:rsid w:val="0095749D"/>
    <w:rsid w:val="009577EE"/>
    <w:rsid w:val="00961159"/>
    <w:rsid w:val="009638EA"/>
    <w:rsid w:val="009658FB"/>
    <w:rsid w:val="009673C7"/>
    <w:rsid w:val="009704A4"/>
    <w:rsid w:val="00973D28"/>
    <w:rsid w:val="00975368"/>
    <w:rsid w:val="00975B25"/>
    <w:rsid w:val="00975F86"/>
    <w:rsid w:val="00976187"/>
    <w:rsid w:val="00977DA9"/>
    <w:rsid w:val="0098042D"/>
    <w:rsid w:val="009811A1"/>
    <w:rsid w:val="00981A3C"/>
    <w:rsid w:val="00983C27"/>
    <w:rsid w:val="0098409F"/>
    <w:rsid w:val="00984EB2"/>
    <w:rsid w:val="0098579A"/>
    <w:rsid w:val="00985E28"/>
    <w:rsid w:val="00986B3D"/>
    <w:rsid w:val="00987467"/>
    <w:rsid w:val="009877D3"/>
    <w:rsid w:val="00987A32"/>
    <w:rsid w:val="009918A3"/>
    <w:rsid w:val="009923F4"/>
    <w:rsid w:val="00992736"/>
    <w:rsid w:val="00992DEF"/>
    <w:rsid w:val="0099381E"/>
    <w:rsid w:val="00993A03"/>
    <w:rsid w:val="00994559"/>
    <w:rsid w:val="0099456D"/>
    <w:rsid w:val="009948F7"/>
    <w:rsid w:val="00995175"/>
    <w:rsid w:val="00996B00"/>
    <w:rsid w:val="009971D2"/>
    <w:rsid w:val="009973FE"/>
    <w:rsid w:val="009A027D"/>
    <w:rsid w:val="009A0F6E"/>
    <w:rsid w:val="009A16F0"/>
    <w:rsid w:val="009A28D5"/>
    <w:rsid w:val="009A4BB4"/>
    <w:rsid w:val="009A4E81"/>
    <w:rsid w:val="009A5831"/>
    <w:rsid w:val="009A65EC"/>
    <w:rsid w:val="009A7319"/>
    <w:rsid w:val="009B10C1"/>
    <w:rsid w:val="009B19AB"/>
    <w:rsid w:val="009B2C4C"/>
    <w:rsid w:val="009B2DCE"/>
    <w:rsid w:val="009B3148"/>
    <w:rsid w:val="009B4488"/>
    <w:rsid w:val="009B4B4E"/>
    <w:rsid w:val="009B59A8"/>
    <w:rsid w:val="009B6C57"/>
    <w:rsid w:val="009C06C2"/>
    <w:rsid w:val="009C525E"/>
    <w:rsid w:val="009C5CDB"/>
    <w:rsid w:val="009C72AE"/>
    <w:rsid w:val="009C751B"/>
    <w:rsid w:val="009C7F16"/>
    <w:rsid w:val="009D3626"/>
    <w:rsid w:val="009D39A1"/>
    <w:rsid w:val="009D6169"/>
    <w:rsid w:val="009D68E4"/>
    <w:rsid w:val="009D746E"/>
    <w:rsid w:val="009D7A35"/>
    <w:rsid w:val="009E1007"/>
    <w:rsid w:val="009E26CC"/>
    <w:rsid w:val="009E303E"/>
    <w:rsid w:val="009E5F9D"/>
    <w:rsid w:val="009E65B9"/>
    <w:rsid w:val="009F06CC"/>
    <w:rsid w:val="009F0A77"/>
    <w:rsid w:val="009F1521"/>
    <w:rsid w:val="009F36EB"/>
    <w:rsid w:val="009F3D41"/>
    <w:rsid w:val="009F526E"/>
    <w:rsid w:val="009F52E9"/>
    <w:rsid w:val="009F5EC4"/>
    <w:rsid w:val="009F7211"/>
    <w:rsid w:val="00A00006"/>
    <w:rsid w:val="00A004D2"/>
    <w:rsid w:val="00A01C37"/>
    <w:rsid w:val="00A01C54"/>
    <w:rsid w:val="00A02988"/>
    <w:rsid w:val="00A0431E"/>
    <w:rsid w:val="00A04486"/>
    <w:rsid w:val="00A044CE"/>
    <w:rsid w:val="00A058A3"/>
    <w:rsid w:val="00A05D2E"/>
    <w:rsid w:val="00A07ED8"/>
    <w:rsid w:val="00A1094F"/>
    <w:rsid w:val="00A10A70"/>
    <w:rsid w:val="00A12D85"/>
    <w:rsid w:val="00A13CC9"/>
    <w:rsid w:val="00A14C75"/>
    <w:rsid w:val="00A16271"/>
    <w:rsid w:val="00A1657C"/>
    <w:rsid w:val="00A17A3F"/>
    <w:rsid w:val="00A200B3"/>
    <w:rsid w:val="00A21BF1"/>
    <w:rsid w:val="00A221DC"/>
    <w:rsid w:val="00A22CBD"/>
    <w:rsid w:val="00A251FF"/>
    <w:rsid w:val="00A2643D"/>
    <w:rsid w:val="00A278D5"/>
    <w:rsid w:val="00A27C52"/>
    <w:rsid w:val="00A27D9E"/>
    <w:rsid w:val="00A30AF6"/>
    <w:rsid w:val="00A32D6E"/>
    <w:rsid w:val="00A330AE"/>
    <w:rsid w:val="00A3345D"/>
    <w:rsid w:val="00A33E70"/>
    <w:rsid w:val="00A35214"/>
    <w:rsid w:val="00A3729B"/>
    <w:rsid w:val="00A4062B"/>
    <w:rsid w:val="00A40BC2"/>
    <w:rsid w:val="00A41858"/>
    <w:rsid w:val="00A44E24"/>
    <w:rsid w:val="00A461AA"/>
    <w:rsid w:val="00A46AA2"/>
    <w:rsid w:val="00A46C96"/>
    <w:rsid w:val="00A50DA3"/>
    <w:rsid w:val="00A51A05"/>
    <w:rsid w:val="00A52280"/>
    <w:rsid w:val="00A52458"/>
    <w:rsid w:val="00A56BA5"/>
    <w:rsid w:val="00A57664"/>
    <w:rsid w:val="00A608ED"/>
    <w:rsid w:val="00A60E56"/>
    <w:rsid w:val="00A61BB2"/>
    <w:rsid w:val="00A61DAF"/>
    <w:rsid w:val="00A627C6"/>
    <w:rsid w:val="00A632BD"/>
    <w:rsid w:val="00A6374A"/>
    <w:rsid w:val="00A63EE5"/>
    <w:rsid w:val="00A65D00"/>
    <w:rsid w:val="00A67744"/>
    <w:rsid w:val="00A67E37"/>
    <w:rsid w:val="00A7052E"/>
    <w:rsid w:val="00A70F55"/>
    <w:rsid w:val="00A71088"/>
    <w:rsid w:val="00A71169"/>
    <w:rsid w:val="00A72F1C"/>
    <w:rsid w:val="00A73A39"/>
    <w:rsid w:val="00A75A3A"/>
    <w:rsid w:val="00A76AD0"/>
    <w:rsid w:val="00A80161"/>
    <w:rsid w:val="00A80B88"/>
    <w:rsid w:val="00A81C84"/>
    <w:rsid w:val="00A829A1"/>
    <w:rsid w:val="00A8465C"/>
    <w:rsid w:val="00A8527C"/>
    <w:rsid w:val="00A85E0C"/>
    <w:rsid w:val="00A87B1B"/>
    <w:rsid w:val="00A87BB0"/>
    <w:rsid w:val="00A87DE8"/>
    <w:rsid w:val="00A9309A"/>
    <w:rsid w:val="00A931DD"/>
    <w:rsid w:val="00A96A4B"/>
    <w:rsid w:val="00AA071A"/>
    <w:rsid w:val="00AA1F06"/>
    <w:rsid w:val="00AA39B4"/>
    <w:rsid w:val="00AA3C85"/>
    <w:rsid w:val="00AA4C30"/>
    <w:rsid w:val="00AA4D53"/>
    <w:rsid w:val="00AA7649"/>
    <w:rsid w:val="00AA769F"/>
    <w:rsid w:val="00AB1C9E"/>
    <w:rsid w:val="00AB3042"/>
    <w:rsid w:val="00AB58A8"/>
    <w:rsid w:val="00AB725F"/>
    <w:rsid w:val="00AB7C30"/>
    <w:rsid w:val="00AC118A"/>
    <w:rsid w:val="00AC147A"/>
    <w:rsid w:val="00AC17CC"/>
    <w:rsid w:val="00AC1E73"/>
    <w:rsid w:val="00AC3D74"/>
    <w:rsid w:val="00AC4088"/>
    <w:rsid w:val="00AC4424"/>
    <w:rsid w:val="00AC6D35"/>
    <w:rsid w:val="00AC6D62"/>
    <w:rsid w:val="00AC7637"/>
    <w:rsid w:val="00AC7CD8"/>
    <w:rsid w:val="00AD0430"/>
    <w:rsid w:val="00AD1E51"/>
    <w:rsid w:val="00AD3232"/>
    <w:rsid w:val="00AD3ABC"/>
    <w:rsid w:val="00AD70E8"/>
    <w:rsid w:val="00AD7DB1"/>
    <w:rsid w:val="00AE129A"/>
    <w:rsid w:val="00AE6355"/>
    <w:rsid w:val="00AF03C0"/>
    <w:rsid w:val="00AF308E"/>
    <w:rsid w:val="00AF353A"/>
    <w:rsid w:val="00AF3FB2"/>
    <w:rsid w:val="00AF4027"/>
    <w:rsid w:val="00AF53A5"/>
    <w:rsid w:val="00AF740D"/>
    <w:rsid w:val="00B02557"/>
    <w:rsid w:val="00B02B65"/>
    <w:rsid w:val="00B03BF0"/>
    <w:rsid w:val="00B03EA8"/>
    <w:rsid w:val="00B04866"/>
    <w:rsid w:val="00B04C89"/>
    <w:rsid w:val="00B05EA7"/>
    <w:rsid w:val="00B06DB3"/>
    <w:rsid w:val="00B06EF9"/>
    <w:rsid w:val="00B0712C"/>
    <w:rsid w:val="00B071AF"/>
    <w:rsid w:val="00B10B31"/>
    <w:rsid w:val="00B10E4C"/>
    <w:rsid w:val="00B111F8"/>
    <w:rsid w:val="00B1121A"/>
    <w:rsid w:val="00B12D77"/>
    <w:rsid w:val="00B14AAD"/>
    <w:rsid w:val="00B15895"/>
    <w:rsid w:val="00B15B1C"/>
    <w:rsid w:val="00B15DA2"/>
    <w:rsid w:val="00B15F8F"/>
    <w:rsid w:val="00B20C7D"/>
    <w:rsid w:val="00B24C70"/>
    <w:rsid w:val="00B251C6"/>
    <w:rsid w:val="00B26478"/>
    <w:rsid w:val="00B2676C"/>
    <w:rsid w:val="00B272C5"/>
    <w:rsid w:val="00B319E6"/>
    <w:rsid w:val="00B31A87"/>
    <w:rsid w:val="00B33772"/>
    <w:rsid w:val="00B343E3"/>
    <w:rsid w:val="00B34F12"/>
    <w:rsid w:val="00B36C86"/>
    <w:rsid w:val="00B36C97"/>
    <w:rsid w:val="00B36F3B"/>
    <w:rsid w:val="00B36FC3"/>
    <w:rsid w:val="00B43108"/>
    <w:rsid w:val="00B4564E"/>
    <w:rsid w:val="00B45BB0"/>
    <w:rsid w:val="00B46BF3"/>
    <w:rsid w:val="00B502E4"/>
    <w:rsid w:val="00B511A9"/>
    <w:rsid w:val="00B51486"/>
    <w:rsid w:val="00B51537"/>
    <w:rsid w:val="00B52825"/>
    <w:rsid w:val="00B5382B"/>
    <w:rsid w:val="00B553D9"/>
    <w:rsid w:val="00B56A4F"/>
    <w:rsid w:val="00B57087"/>
    <w:rsid w:val="00B57E61"/>
    <w:rsid w:val="00B60EB1"/>
    <w:rsid w:val="00B6129B"/>
    <w:rsid w:val="00B61B9D"/>
    <w:rsid w:val="00B61D5A"/>
    <w:rsid w:val="00B62BBA"/>
    <w:rsid w:val="00B63134"/>
    <w:rsid w:val="00B64849"/>
    <w:rsid w:val="00B650CD"/>
    <w:rsid w:val="00B651D2"/>
    <w:rsid w:val="00B66EA4"/>
    <w:rsid w:val="00B67955"/>
    <w:rsid w:val="00B67A61"/>
    <w:rsid w:val="00B67CF8"/>
    <w:rsid w:val="00B67F47"/>
    <w:rsid w:val="00B719ED"/>
    <w:rsid w:val="00B72114"/>
    <w:rsid w:val="00B72A36"/>
    <w:rsid w:val="00B737C3"/>
    <w:rsid w:val="00B75C72"/>
    <w:rsid w:val="00B80B28"/>
    <w:rsid w:val="00B81576"/>
    <w:rsid w:val="00B816AD"/>
    <w:rsid w:val="00B81C93"/>
    <w:rsid w:val="00B83B7E"/>
    <w:rsid w:val="00B85DE7"/>
    <w:rsid w:val="00B86A95"/>
    <w:rsid w:val="00B90D1C"/>
    <w:rsid w:val="00B9476A"/>
    <w:rsid w:val="00B954AC"/>
    <w:rsid w:val="00B95CBF"/>
    <w:rsid w:val="00B9649B"/>
    <w:rsid w:val="00B970C2"/>
    <w:rsid w:val="00BA0630"/>
    <w:rsid w:val="00BA1AF1"/>
    <w:rsid w:val="00BA2273"/>
    <w:rsid w:val="00BA242E"/>
    <w:rsid w:val="00BA44F5"/>
    <w:rsid w:val="00BA6035"/>
    <w:rsid w:val="00BA640D"/>
    <w:rsid w:val="00BA65A3"/>
    <w:rsid w:val="00BA65E6"/>
    <w:rsid w:val="00BA7594"/>
    <w:rsid w:val="00BB07D9"/>
    <w:rsid w:val="00BB363F"/>
    <w:rsid w:val="00BB4003"/>
    <w:rsid w:val="00BB44B7"/>
    <w:rsid w:val="00BB4B21"/>
    <w:rsid w:val="00BB5010"/>
    <w:rsid w:val="00BB7CBF"/>
    <w:rsid w:val="00BC10BC"/>
    <w:rsid w:val="00BC2E04"/>
    <w:rsid w:val="00BC4CBC"/>
    <w:rsid w:val="00BC6BD3"/>
    <w:rsid w:val="00BD0A46"/>
    <w:rsid w:val="00BD0EE0"/>
    <w:rsid w:val="00BD124B"/>
    <w:rsid w:val="00BD23AD"/>
    <w:rsid w:val="00BD3290"/>
    <w:rsid w:val="00BD3C0D"/>
    <w:rsid w:val="00BD4616"/>
    <w:rsid w:val="00BD49B5"/>
    <w:rsid w:val="00BD4D79"/>
    <w:rsid w:val="00BD5338"/>
    <w:rsid w:val="00BD59C1"/>
    <w:rsid w:val="00BD79B5"/>
    <w:rsid w:val="00BE04CA"/>
    <w:rsid w:val="00BE12EA"/>
    <w:rsid w:val="00BE274A"/>
    <w:rsid w:val="00BE583F"/>
    <w:rsid w:val="00BE61CC"/>
    <w:rsid w:val="00BE6B58"/>
    <w:rsid w:val="00BE6BEA"/>
    <w:rsid w:val="00BE7391"/>
    <w:rsid w:val="00BE7748"/>
    <w:rsid w:val="00BF1CDD"/>
    <w:rsid w:val="00BF312E"/>
    <w:rsid w:val="00BF48EC"/>
    <w:rsid w:val="00BF4A56"/>
    <w:rsid w:val="00BF59E7"/>
    <w:rsid w:val="00BF651B"/>
    <w:rsid w:val="00BF714C"/>
    <w:rsid w:val="00C00294"/>
    <w:rsid w:val="00C00CA9"/>
    <w:rsid w:val="00C03869"/>
    <w:rsid w:val="00C040A7"/>
    <w:rsid w:val="00C043C6"/>
    <w:rsid w:val="00C043D8"/>
    <w:rsid w:val="00C04602"/>
    <w:rsid w:val="00C06743"/>
    <w:rsid w:val="00C069DA"/>
    <w:rsid w:val="00C06EE8"/>
    <w:rsid w:val="00C074F2"/>
    <w:rsid w:val="00C1007B"/>
    <w:rsid w:val="00C11670"/>
    <w:rsid w:val="00C126EF"/>
    <w:rsid w:val="00C13181"/>
    <w:rsid w:val="00C13EEE"/>
    <w:rsid w:val="00C140C4"/>
    <w:rsid w:val="00C158BC"/>
    <w:rsid w:val="00C15E08"/>
    <w:rsid w:val="00C17498"/>
    <w:rsid w:val="00C2033C"/>
    <w:rsid w:val="00C22A50"/>
    <w:rsid w:val="00C2306A"/>
    <w:rsid w:val="00C2411D"/>
    <w:rsid w:val="00C32525"/>
    <w:rsid w:val="00C3568C"/>
    <w:rsid w:val="00C362B9"/>
    <w:rsid w:val="00C36AE9"/>
    <w:rsid w:val="00C37821"/>
    <w:rsid w:val="00C40256"/>
    <w:rsid w:val="00C42C77"/>
    <w:rsid w:val="00C45026"/>
    <w:rsid w:val="00C45B13"/>
    <w:rsid w:val="00C46176"/>
    <w:rsid w:val="00C4670F"/>
    <w:rsid w:val="00C469EF"/>
    <w:rsid w:val="00C46A93"/>
    <w:rsid w:val="00C4713A"/>
    <w:rsid w:val="00C47C43"/>
    <w:rsid w:val="00C50534"/>
    <w:rsid w:val="00C50A0E"/>
    <w:rsid w:val="00C51C93"/>
    <w:rsid w:val="00C53124"/>
    <w:rsid w:val="00C53152"/>
    <w:rsid w:val="00C53223"/>
    <w:rsid w:val="00C53A72"/>
    <w:rsid w:val="00C53F19"/>
    <w:rsid w:val="00C56FA7"/>
    <w:rsid w:val="00C62231"/>
    <w:rsid w:val="00C62691"/>
    <w:rsid w:val="00C634BC"/>
    <w:rsid w:val="00C63780"/>
    <w:rsid w:val="00C63EEE"/>
    <w:rsid w:val="00C64F0E"/>
    <w:rsid w:val="00C65F0E"/>
    <w:rsid w:val="00C6646A"/>
    <w:rsid w:val="00C670BC"/>
    <w:rsid w:val="00C70F54"/>
    <w:rsid w:val="00C7116D"/>
    <w:rsid w:val="00C715DA"/>
    <w:rsid w:val="00C7163D"/>
    <w:rsid w:val="00C7303F"/>
    <w:rsid w:val="00C73623"/>
    <w:rsid w:val="00C7411F"/>
    <w:rsid w:val="00C758AA"/>
    <w:rsid w:val="00C76156"/>
    <w:rsid w:val="00C76D14"/>
    <w:rsid w:val="00C809E0"/>
    <w:rsid w:val="00C809F9"/>
    <w:rsid w:val="00C81BA7"/>
    <w:rsid w:val="00C83287"/>
    <w:rsid w:val="00C845C9"/>
    <w:rsid w:val="00C8663F"/>
    <w:rsid w:val="00C86730"/>
    <w:rsid w:val="00C87632"/>
    <w:rsid w:val="00C878DF"/>
    <w:rsid w:val="00C87AA2"/>
    <w:rsid w:val="00C90FB2"/>
    <w:rsid w:val="00C92944"/>
    <w:rsid w:val="00C96D64"/>
    <w:rsid w:val="00C9716C"/>
    <w:rsid w:val="00CA09C0"/>
    <w:rsid w:val="00CA0ACB"/>
    <w:rsid w:val="00CA219D"/>
    <w:rsid w:val="00CA2AD4"/>
    <w:rsid w:val="00CA544B"/>
    <w:rsid w:val="00CA5D22"/>
    <w:rsid w:val="00CA72C4"/>
    <w:rsid w:val="00CA7C7F"/>
    <w:rsid w:val="00CB033A"/>
    <w:rsid w:val="00CB07A8"/>
    <w:rsid w:val="00CB0DEE"/>
    <w:rsid w:val="00CB1783"/>
    <w:rsid w:val="00CB294C"/>
    <w:rsid w:val="00CB4B67"/>
    <w:rsid w:val="00CB5478"/>
    <w:rsid w:val="00CB571F"/>
    <w:rsid w:val="00CB6A97"/>
    <w:rsid w:val="00CB6F20"/>
    <w:rsid w:val="00CB7493"/>
    <w:rsid w:val="00CC23D4"/>
    <w:rsid w:val="00CC26B0"/>
    <w:rsid w:val="00CC317A"/>
    <w:rsid w:val="00CC40FE"/>
    <w:rsid w:val="00CC4CA9"/>
    <w:rsid w:val="00CC565E"/>
    <w:rsid w:val="00CC76EE"/>
    <w:rsid w:val="00CD10A3"/>
    <w:rsid w:val="00CD5745"/>
    <w:rsid w:val="00CD5971"/>
    <w:rsid w:val="00CD599D"/>
    <w:rsid w:val="00CD5D93"/>
    <w:rsid w:val="00CD5F83"/>
    <w:rsid w:val="00CD67BD"/>
    <w:rsid w:val="00CD74F0"/>
    <w:rsid w:val="00CD77AF"/>
    <w:rsid w:val="00CE1C8C"/>
    <w:rsid w:val="00CE26F6"/>
    <w:rsid w:val="00CE2C33"/>
    <w:rsid w:val="00CE4422"/>
    <w:rsid w:val="00CE4552"/>
    <w:rsid w:val="00CE66FE"/>
    <w:rsid w:val="00CE6FC4"/>
    <w:rsid w:val="00CF0033"/>
    <w:rsid w:val="00CF0C7B"/>
    <w:rsid w:val="00CF1056"/>
    <w:rsid w:val="00CF13C6"/>
    <w:rsid w:val="00CF423D"/>
    <w:rsid w:val="00CF4E06"/>
    <w:rsid w:val="00CF6DFA"/>
    <w:rsid w:val="00D00979"/>
    <w:rsid w:val="00D00B5F"/>
    <w:rsid w:val="00D02467"/>
    <w:rsid w:val="00D0251C"/>
    <w:rsid w:val="00D031D3"/>
    <w:rsid w:val="00D0436A"/>
    <w:rsid w:val="00D04E85"/>
    <w:rsid w:val="00D061FE"/>
    <w:rsid w:val="00D10231"/>
    <w:rsid w:val="00D1084B"/>
    <w:rsid w:val="00D10E0A"/>
    <w:rsid w:val="00D114E4"/>
    <w:rsid w:val="00D11A0F"/>
    <w:rsid w:val="00D11E27"/>
    <w:rsid w:val="00D12443"/>
    <w:rsid w:val="00D12F36"/>
    <w:rsid w:val="00D134EE"/>
    <w:rsid w:val="00D13D51"/>
    <w:rsid w:val="00D13F6E"/>
    <w:rsid w:val="00D14FD9"/>
    <w:rsid w:val="00D15909"/>
    <w:rsid w:val="00D17057"/>
    <w:rsid w:val="00D1780E"/>
    <w:rsid w:val="00D220CF"/>
    <w:rsid w:val="00D22B60"/>
    <w:rsid w:val="00D23FD0"/>
    <w:rsid w:val="00D24C9E"/>
    <w:rsid w:val="00D250D8"/>
    <w:rsid w:val="00D269E9"/>
    <w:rsid w:val="00D26C56"/>
    <w:rsid w:val="00D26CBF"/>
    <w:rsid w:val="00D27396"/>
    <w:rsid w:val="00D27A58"/>
    <w:rsid w:val="00D309B7"/>
    <w:rsid w:val="00D30CD6"/>
    <w:rsid w:val="00D311F3"/>
    <w:rsid w:val="00D33BCC"/>
    <w:rsid w:val="00D35CA9"/>
    <w:rsid w:val="00D36894"/>
    <w:rsid w:val="00D3739C"/>
    <w:rsid w:val="00D37790"/>
    <w:rsid w:val="00D40906"/>
    <w:rsid w:val="00D41562"/>
    <w:rsid w:val="00D41564"/>
    <w:rsid w:val="00D41F42"/>
    <w:rsid w:val="00D42F05"/>
    <w:rsid w:val="00D446E5"/>
    <w:rsid w:val="00D449EC"/>
    <w:rsid w:val="00D44BDD"/>
    <w:rsid w:val="00D45934"/>
    <w:rsid w:val="00D5046A"/>
    <w:rsid w:val="00D63B91"/>
    <w:rsid w:val="00D64828"/>
    <w:rsid w:val="00D66EEA"/>
    <w:rsid w:val="00D67604"/>
    <w:rsid w:val="00D708D5"/>
    <w:rsid w:val="00D726E6"/>
    <w:rsid w:val="00D73B17"/>
    <w:rsid w:val="00D7501A"/>
    <w:rsid w:val="00D80F74"/>
    <w:rsid w:val="00D82597"/>
    <w:rsid w:val="00D82F66"/>
    <w:rsid w:val="00D832D8"/>
    <w:rsid w:val="00D83949"/>
    <w:rsid w:val="00D841BC"/>
    <w:rsid w:val="00D86C21"/>
    <w:rsid w:val="00D86E83"/>
    <w:rsid w:val="00D87545"/>
    <w:rsid w:val="00D9085B"/>
    <w:rsid w:val="00D922EE"/>
    <w:rsid w:val="00D9298B"/>
    <w:rsid w:val="00D92F15"/>
    <w:rsid w:val="00D946F6"/>
    <w:rsid w:val="00D956A2"/>
    <w:rsid w:val="00D95700"/>
    <w:rsid w:val="00D97319"/>
    <w:rsid w:val="00D97A33"/>
    <w:rsid w:val="00D97BC6"/>
    <w:rsid w:val="00DA03EB"/>
    <w:rsid w:val="00DA207C"/>
    <w:rsid w:val="00DA5408"/>
    <w:rsid w:val="00DB0D9F"/>
    <w:rsid w:val="00DB0FA9"/>
    <w:rsid w:val="00DB1275"/>
    <w:rsid w:val="00DB1C71"/>
    <w:rsid w:val="00DB243A"/>
    <w:rsid w:val="00DB2805"/>
    <w:rsid w:val="00DB2944"/>
    <w:rsid w:val="00DB31B9"/>
    <w:rsid w:val="00DB341E"/>
    <w:rsid w:val="00DB3516"/>
    <w:rsid w:val="00DB3D0B"/>
    <w:rsid w:val="00DB3D1D"/>
    <w:rsid w:val="00DB4A98"/>
    <w:rsid w:val="00DB5D1C"/>
    <w:rsid w:val="00DB61E7"/>
    <w:rsid w:val="00DB6227"/>
    <w:rsid w:val="00DC07B8"/>
    <w:rsid w:val="00DC0F9D"/>
    <w:rsid w:val="00DC17C9"/>
    <w:rsid w:val="00DC3400"/>
    <w:rsid w:val="00DC3642"/>
    <w:rsid w:val="00DC4F72"/>
    <w:rsid w:val="00DC5394"/>
    <w:rsid w:val="00DC6816"/>
    <w:rsid w:val="00DC77C8"/>
    <w:rsid w:val="00DC7FEA"/>
    <w:rsid w:val="00DD0BF5"/>
    <w:rsid w:val="00DD2462"/>
    <w:rsid w:val="00DD51AD"/>
    <w:rsid w:val="00DD558D"/>
    <w:rsid w:val="00DE107C"/>
    <w:rsid w:val="00DE2295"/>
    <w:rsid w:val="00DE2D6E"/>
    <w:rsid w:val="00DE4E3C"/>
    <w:rsid w:val="00DE78FA"/>
    <w:rsid w:val="00DF06F8"/>
    <w:rsid w:val="00DF1737"/>
    <w:rsid w:val="00DF27D0"/>
    <w:rsid w:val="00DF2881"/>
    <w:rsid w:val="00DF28C3"/>
    <w:rsid w:val="00DF471F"/>
    <w:rsid w:val="00DF6160"/>
    <w:rsid w:val="00DF6EEB"/>
    <w:rsid w:val="00DF713A"/>
    <w:rsid w:val="00E00A6D"/>
    <w:rsid w:val="00E013DF"/>
    <w:rsid w:val="00E02BC6"/>
    <w:rsid w:val="00E0354A"/>
    <w:rsid w:val="00E03A17"/>
    <w:rsid w:val="00E03C5F"/>
    <w:rsid w:val="00E049CA"/>
    <w:rsid w:val="00E06166"/>
    <w:rsid w:val="00E06FF0"/>
    <w:rsid w:val="00E077AD"/>
    <w:rsid w:val="00E11C40"/>
    <w:rsid w:val="00E11EF3"/>
    <w:rsid w:val="00E11FEA"/>
    <w:rsid w:val="00E16C2E"/>
    <w:rsid w:val="00E1752B"/>
    <w:rsid w:val="00E20C44"/>
    <w:rsid w:val="00E2145D"/>
    <w:rsid w:val="00E22530"/>
    <w:rsid w:val="00E22CE5"/>
    <w:rsid w:val="00E248AF"/>
    <w:rsid w:val="00E26209"/>
    <w:rsid w:val="00E26EF3"/>
    <w:rsid w:val="00E2710F"/>
    <w:rsid w:val="00E274C0"/>
    <w:rsid w:val="00E27E0C"/>
    <w:rsid w:val="00E308B9"/>
    <w:rsid w:val="00E32ADE"/>
    <w:rsid w:val="00E36B5D"/>
    <w:rsid w:val="00E376D9"/>
    <w:rsid w:val="00E40531"/>
    <w:rsid w:val="00E406F6"/>
    <w:rsid w:val="00E41C82"/>
    <w:rsid w:val="00E43B2C"/>
    <w:rsid w:val="00E4456D"/>
    <w:rsid w:val="00E457A7"/>
    <w:rsid w:val="00E45834"/>
    <w:rsid w:val="00E46F66"/>
    <w:rsid w:val="00E5016C"/>
    <w:rsid w:val="00E50790"/>
    <w:rsid w:val="00E50D6F"/>
    <w:rsid w:val="00E53EDA"/>
    <w:rsid w:val="00E54B1D"/>
    <w:rsid w:val="00E57379"/>
    <w:rsid w:val="00E6023C"/>
    <w:rsid w:val="00E60C98"/>
    <w:rsid w:val="00E62D4D"/>
    <w:rsid w:val="00E63684"/>
    <w:rsid w:val="00E63CA0"/>
    <w:rsid w:val="00E64825"/>
    <w:rsid w:val="00E650CA"/>
    <w:rsid w:val="00E657C9"/>
    <w:rsid w:val="00E6599B"/>
    <w:rsid w:val="00E65E1C"/>
    <w:rsid w:val="00E668D4"/>
    <w:rsid w:val="00E67049"/>
    <w:rsid w:val="00E673BA"/>
    <w:rsid w:val="00E70A26"/>
    <w:rsid w:val="00E722C3"/>
    <w:rsid w:val="00E72716"/>
    <w:rsid w:val="00E7294C"/>
    <w:rsid w:val="00E72AE7"/>
    <w:rsid w:val="00E72BF1"/>
    <w:rsid w:val="00E7336F"/>
    <w:rsid w:val="00E7343F"/>
    <w:rsid w:val="00E74A10"/>
    <w:rsid w:val="00E74A30"/>
    <w:rsid w:val="00E756C2"/>
    <w:rsid w:val="00E75C8A"/>
    <w:rsid w:val="00E76763"/>
    <w:rsid w:val="00E76CB6"/>
    <w:rsid w:val="00E77042"/>
    <w:rsid w:val="00E80110"/>
    <w:rsid w:val="00E80E36"/>
    <w:rsid w:val="00E82AC1"/>
    <w:rsid w:val="00E82C7C"/>
    <w:rsid w:val="00E861BC"/>
    <w:rsid w:val="00E8667F"/>
    <w:rsid w:val="00E904A1"/>
    <w:rsid w:val="00E91287"/>
    <w:rsid w:val="00E913B6"/>
    <w:rsid w:val="00E91DC2"/>
    <w:rsid w:val="00E93EBD"/>
    <w:rsid w:val="00E96F78"/>
    <w:rsid w:val="00E97C53"/>
    <w:rsid w:val="00EA007A"/>
    <w:rsid w:val="00EA0C32"/>
    <w:rsid w:val="00EA1363"/>
    <w:rsid w:val="00EA2F5C"/>
    <w:rsid w:val="00EA55EA"/>
    <w:rsid w:val="00EA5BAF"/>
    <w:rsid w:val="00EA62A4"/>
    <w:rsid w:val="00EA634E"/>
    <w:rsid w:val="00EA726C"/>
    <w:rsid w:val="00EB0216"/>
    <w:rsid w:val="00EB02C8"/>
    <w:rsid w:val="00EB15C3"/>
    <w:rsid w:val="00EB332F"/>
    <w:rsid w:val="00EB3D97"/>
    <w:rsid w:val="00EB54BC"/>
    <w:rsid w:val="00EB64DE"/>
    <w:rsid w:val="00EB70FD"/>
    <w:rsid w:val="00EC27C2"/>
    <w:rsid w:val="00EC2806"/>
    <w:rsid w:val="00EC31CD"/>
    <w:rsid w:val="00EC3708"/>
    <w:rsid w:val="00EC539E"/>
    <w:rsid w:val="00EC60D9"/>
    <w:rsid w:val="00EC6958"/>
    <w:rsid w:val="00EC75FB"/>
    <w:rsid w:val="00EC7A63"/>
    <w:rsid w:val="00EC7CCF"/>
    <w:rsid w:val="00ED0698"/>
    <w:rsid w:val="00ED266F"/>
    <w:rsid w:val="00ED2B4A"/>
    <w:rsid w:val="00ED2CE2"/>
    <w:rsid w:val="00ED309A"/>
    <w:rsid w:val="00ED3130"/>
    <w:rsid w:val="00ED3429"/>
    <w:rsid w:val="00ED463D"/>
    <w:rsid w:val="00ED52DE"/>
    <w:rsid w:val="00ED7E10"/>
    <w:rsid w:val="00EE008B"/>
    <w:rsid w:val="00EE0FBE"/>
    <w:rsid w:val="00EE13B2"/>
    <w:rsid w:val="00EE42B4"/>
    <w:rsid w:val="00EE59B6"/>
    <w:rsid w:val="00EE6850"/>
    <w:rsid w:val="00EE6D23"/>
    <w:rsid w:val="00EE6E47"/>
    <w:rsid w:val="00EE6FD5"/>
    <w:rsid w:val="00EE7101"/>
    <w:rsid w:val="00EF104D"/>
    <w:rsid w:val="00EF1942"/>
    <w:rsid w:val="00EF22B7"/>
    <w:rsid w:val="00EF298A"/>
    <w:rsid w:val="00EF326D"/>
    <w:rsid w:val="00EF3839"/>
    <w:rsid w:val="00EF4386"/>
    <w:rsid w:val="00EF4646"/>
    <w:rsid w:val="00EF51AC"/>
    <w:rsid w:val="00EF6F24"/>
    <w:rsid w:val="00EF7B3A"/>
    <w:rsid w:val="00F014AA"/>
    <w:rsid w:val="00F017BD"/>
    <w:rsid w:val="00F02864"/>
    <w:rsid w:val="00F02ADE"/>
    <w:rsid w:val="00F02B8C"/>
    <w:rsid w:val="00F02D0E"/>
    <w:rsid w:val="00F030DF"/>
    <w:rsid w:val="00F0510A"/>
    <w:rsid w:val="00F0512C"/>
    <w:rsid w:val="00F054F3"/>
    <w:rsid w:val="00F05B7B"/>
    <w:rsid w:val="00F06587"/>
    <w:rsid w:val="00F0674A"/>
    <w:rsid w:val="00F11771"/>
    <w:rsid w:val="00F12D72"/>
    <w:rsid w:val="00F15310"/>
    <w:rsid w:val="00F16CAC"/>
    <w:rsid w:val="00F231CE"/>
    <w:rsid w:val="00F23E54"/>
    <w:rsid w:val="00F23FE8"/>
    <w:rsid w:val="00F24640"/>
    <w:rsid w:val="00F24F42"/>
    <w:rsid w:val="00F2569A"/>
    <w:rsid w:val="00F25BBF"/>
    <w:rsid w:val="00F26784"/>
    <w:rsid w:val="00F274F1"/>
    <w:rsid w:val="00F3030C"/>
    <w:rsid w:val="00F30576"/>
    <w:rsid w:val="00F30D77"/>
    <w:rsid w:val="00F32043"/>
    <w:rsid w:val="00F342FD"/>
    <w:rsid w:val="00F34A79"/>
    <w:rsid w:val="00F35832"/>
    <w:rsid w:val="00F35EA6"/>
    <w:rsid w:val="00F36AC4"/>
    <w:rsid w:val="00F36B55"/>
    <w:rsid w:val="00F37277"/>
    <w:rsid w:val="00F37D4B"/>
    <w:rsid w:val="00F409DA"/>
    <w:rsid w:val="00F42125"/>
    <w:rsid w:val="00F427D0"/>
    <w:rsid w:val="00F435BD"/>
    <w:rsid w:val="00F437D0"/>
    <w:rsid w:val="00F44068"/>
    <w:rsid w:val="00F441F4"/>
    <w:rsid w:val="00F44594"/>
    <w:rsid w:val="00F44EB3"/>
    <w:rsid w:val="00F468BC"/>
    <w:rsid w:val="00F5297F"/>
    <w:rsid w:val="00F52A7E"/>
    <w:rsid w:val="00F54395"/>
    <w:rsid w:val="00F54553"/>
    <w:rsid w:val="00F5593B"/>
    <w:rsid w:val="00F56BD1"/>
    <w:rsid w:val="00F57EDD"/>
    <w:rsid w:val="00F606D5"/>
    <w:rsid w:val="00F61852"/>
    <w:rsid w:val="00F61C49"/>
    <w:rsid w:val="00F62337"/>
    <w:rsid w:val="00F635A0"/>
    <w:rsid w:val="00F66BA8"/>
    <w:rsid w:val="00F67D2A"/>
    <w:rsid w:val="00F71F00"/>
    <w:rsid w:val="00F72493"/>
    <w:rsid w:val="00F821D0"/>
    <w:rsid w:val="00F841F2"/>
    <w:rsid w:val="00F855CE"/>
    <w:rsid w:val="00F86326"/>
    <w:rsid w:val="00F873CB"/>
    <w:rsid w:val="00F87B96"/>
    <w:rsid w:val="00F87F6F"/>
    <w:rsid w:val="00F91E11"/>
    <w:rsid w:val="00F9232B"/>
    <w:rsid w:val="00F93F09"/>
    <w:rsid w:val="00F940A3"/>
    <w:rsid w:val="00F94F9C"/>
    <w:rsid w:val="00FA024C"/>
    <w:rsid w:val="00FA1ED3"/>
    <w:rsid w:val="00FA3AFB"/>
    <w:rsid w:val="00FB1622"/>
    <w:rsid w:val="00FB204B"/>
    <w:rsid w:val="00FB3373"/>
    <w:rsid w:val="00FB43CC"/>
    <w:rsid w:val="00FB5883"/>
    <w:rsid w:val="00FB6863"/>
    <w:rsid w:val="00FB68C6"/>
    <w:rsid w:val="00FB68C9"/>
    <w:rsid w:val="00FB7050"/>
    <w:rsid w:val="00FC0D34"/>
    <w:rsid w:val="00FC379A"/>
    <w:rsid w:val="00FC5EEE"/>
    <w:rsid w:val="00FC71FB"/>
    <w:rsid w:val="00FC77EF"/>
    <w:rsid w:val="00FD02CE"/>
    <w:rsid w:val="00FD0A94"/>
    <w:rsid w:val="00FD0C30"/>
    <w:rsid w:val="00FD21E0"/>
    <w:rsid w:val="00FD354C"/>
    <w:rsid w:val="00FD70B4"/>
    <w:rsid w:val="00FD7134"/>
    <w:rsid w:val="00FE0517"/>
    <w:rsid w:val="00FE0661"/>
    <w:rsid w:val="00FE3C93"/>
    <w:rsid w:val="00FE6BC2"/>
    <w:rsid w:val="00FF0E02"/>
    <w:rsid w:val="00FF21C1"/>
    <w:rsid w:val="00FF281A"/>
    <w:rsid w:val="01AB5D3B"/>
    <w:rsid w:val="02C9FF43"/>
    <w:rsid w:val="03621D47"/>
    <w:rsid w:val="03928D7E"/>
    <w:rsid w:val="03CD7E81"/>
    <w:rsid w:val="04020236"/>
    <w:rsid w:val="05A889A3"/>
    <w:rsid w:val="08C93AFA"/>
    <w:rsid w:val="0A14F4A8"/>
    <w:rsid w:val="0B21704D"/>
    <w:rsid w:val="0C5713AA"/>
    <w:rsid w:val="0D91AA7B"/>
    <w:rsid w:val="0DE7192C"/>
    <w:rsid w:val="0E92C5F8"/>
    <w:rsid w:val="1075AFD6"/>
    <w:rsid w:val="11147CFE"/>
    <w:rsid w:val="14B7C139"/>
    <w:rsid w:val="1695B881"/>
    <w:rsid w:val="1884976A"/>
    <w:rsid w:val="1910F967"/>
    <w:rsid w:val="19C2AF5A"/>
    <w:rsid w:val="19E60DBE"/>
    <w:rsid w:val="1A662F12"/>
    <w:rsid w:val="1C6455F0"/>
    <w:rsid w:val="1D662070"/>
    <w:rsid w:val="1DAD0036"/>
    <w:rsid w:val="1DB96386"/>
    <w:rsid w:val="209D4E96"/>
    <w:rsid w:val="210C966A"/>
    <w:rsid w:val="214EE212"/>
    <w:rsid w:val="226D6CA4"/>
    <w:rsid w:val="22AAFFDF"/>
    <w:rsid w:val="23D6F2AA"/>
    <w:rsid w:val="249B6D7E"/>
    <w:rsid w:val="24B4E232"/>
    <w:rsid w:val="25533C71"/>
    <w:rsid w:val="25546F51"/>
    <w:rsid w:val="27C5685C"/>
    <w:rsid w:val="27CBE829"/>
    <w:rsid w:val="285EBC0B"/>
    <w:rsid w:val="28731FB3"/>
    <w:rsid w:val="29067B8B"/>
    <w:rsid w:val="29A419B4"/>
    <w:rsid w:val="2A4D7A92"/>
    <w:rsid w:val="2AF42B17"/>
    <w:rsid w:val="2CC04EEC"/>
    <w:rsid w:val="2CDAC6F8"/>
    <w:rsid w:val="2D700C5D"/>
    <w:rsid w:val="2DD65A34"/>
    <w:rsid w:val="2DEA9966"/>
    <w:rsid w:val="327988B0"/>
    <w:rsid w:val="34B7DAD1"/>
    <w:rsid w:val="35438A30"/>
    <w:rsid w:val="35D52708"/>
    <w:rsid w:val="361E2ED5"/>
    <w:rsid w:val="36270EBB"/>
    <w:rsid w:val="367F5E14"/>
    <w:rsid w:val="36BD97A6"/>
    <w:rsid w:val="3D255CAB"/>
    <w:rsid w:val="3DD74F9E"/>
    <w:rsid w:val="3DFC70DC"/>
    <w:rsid w:val="3F1D472F"/>
    <w:rsid w:val="4199714E"/>
    <w:rsid w:val="41A30CB8"/>
    <w:rsid w:val="435235D5"/>
    <w:rsid w:val="437A849B"/>
    <w:rsid w:val="4638563F"/>
    <w:rsid w:val="4700D45F"/>
    <w:rsid w:val="483D2093"/>
    <w:rsid w:val="4883469A"/>
    <w:rsid w:val="49906287"/>
    <w:rsid w:val="4A321288"/>
    <w:rsid w:val="4B4DC4DF"/>
    <w:rsid w:val="4F080952"/>
    <w:rsid w:val="4F4E6086"/>
    <w:rsid w:val="50B117A0"/>
    <w:rsid w:val="51D3916F"/>
    <w:rsid w:val="52E8591F"/>
    <w:rsid w:val="53377BC6"/>
    <w:rsid w:val="53CC6624"/>
    <w:rsid w:val="54A8BB42"/>
    <w:rsid w:val="559A1E6A"/>
    <w:rsid w:val="5826B644"/>
    <w:rsid w:val="59D76CCF"/>
    <w:rsid w:val="5A18154E"/>
    <w:rsid w:val="5A2AA374"/>
    <w:rsid w:val="5BAE56D6"/>
    <w:rsid w:val="5BF374AD"/>
    <w:rsid w:val="5C2DFA49"/>
    <w:rsid w:val="5D960E92"/>
    <w:rsid w:val="5E969CC4"/>
    <w:rsid w:val="5EAD452A"/>
    <w:rsid w:val="603F8685"/>
    <w:rsid w:val="60B35716"/>
    <w:rsid w:val="618B5F2F"/>
    <w:rsid w:val="61BFA7EF"/>
    <w:rsid w:val="6205CDCE"/>
    <w:rsid w:val="626CC736"/>
    <w:rsid w:val="628B0E4D"/>
    <w:rsid w:val="63207D0A"/>
    <w:rsid w:val="635CCA70"/>
    <w:rsid w:val="64080F7F"/>
    <w:rsid w:val="64C6CB5B"/>
    <w:rsid w:val="6569A1C9"/>
    <w:rsid w:val="664E2847"/>
    <w:rsid w:val="67FE0571"/>
    <w:rsid w:val="687D5BB4"/>
    <w:rsid w:val="6DAF6C30"/>
    <w:rsid w:val="6DDF4A6D"/>
    <w:rsid w:val="6DEE2FF0"/>
    <w:rsid w:val="6DF38808"/>
    <w:rsid w:val="70083E30"/>
    <w:rsid w:val="72B26378"/>
    <w:rsid w:val="72FB7AD5"/>
    <w:rsid w:val="747ABCE0"/>
    <w:rsid w:val="74AB7959"/>
    <w:rsid w:val="74C1A419"/>
    <w:rsid w:val="768885D2"/>
    <w:rsid w:val="7709172D"/>
    <w:rsid w:val="7749C0B5"/>
    <w:rsid w:val="77CA94C9"/>
    <w:rsid w:val="78DE883C"/>
    <w:rsid w:val="79C19731"/>
    <w:rsid w:val="79F63D97"/>
    <w:rsid w:val="7AEED509"/>
    <w:rsid w:val="7BC36349"/>
    <w:rsid w:val="7BF08A64"/>
    <w:rsid w:val="7CABC1B8"/>
    <w:rsid w:val="7E459D1C"/>
    <w:rsid w:val="7E4BD6F4"/>
    <w:rsid w:val="7EC968BB"/>
    <w:rsid w:val="7FE9EE0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efaultImageDpi w14:val="330"/>
  <w14:docId w14:val="3C2DC66D"/>
  <w15:docId w15:val="{9B6AB0E2-1CC8-493D-81AF-D083107BC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Yu Gothic"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07F0F"/>
    <w:rPr>
      <w:sz w:val="24"/>
      <w:szCs w:val="24"/>
    </w:rPr>
  </w:style>
  <w:style w:type="paragraph" w:styleId="Heading1">
    <w:name w:val="heading 1"/>
    <w:basedOn w:val="Normal"/>
    <w:next w:val="Bullet"/>
    <w:link w:val="Heading1Char"/>
    <w:uiPriority w:val="9"/>
    <w:qFormat/>
    <w:rsid w:val="00B502E4"/>
    <w:pPr>
      <w:spacing w:before="240" w:after="120"/>
      <w:jc w:val="center"/>
      <w:outlineLvl w:val="0"/>
    </w:pPr>
    <w:rPr>
      <w:rFonts w:ascii="Arial" w:hAnsi="Arial" w:cs="Arial"/>
      <w:b/>
      <w:noProof/>
      <w:color w:val="00838A"/>
      <w:sz w:val="40"/>
      <w:szCs w:val="32"/>
    </w:rPr>
  </w:style>
  <w:style w:type="paragraph" w:styleId="Heading2">
    <w:name w:val="heading 2"/>
    <w:basedOn w:val="BasicParagraph"/>
    <w:next w:val="Normal"/>
    <w:link w:val="Heading2Char"/>
    <w:uiPriority w:val="9"/>
    <w:unhideWhenUsed/>
    <w:qFormat/>
    <w:rsid w:val="007432FD"/>
    <w:pPr>
      <w:spacing w:before="240"/>
      <w:outlineLvl w:val="1"/>
    </w:pPr>
    <w:rPr>
      <w:rFonts w:ascii="Arial" w:hAnsi="Arial" w:cs="Arial"/>
      <w:b/>
      <w:color w:val="243766"/>
      <w:sz w:val="32"/>
      <w:szCs w:val="28"/>
    </w:rPr>
  </w:style>
  <w:style w:type="paragraph" w:styleId="Heading3">
    <w:name w:val="heading 3"/>
    <w:basedOn w:val="Normal"/>
    <w:next w:val="Normal"/>
    <w:link w:val="Heading3Char"/>
    <w:uiPriority w:val="9"/>
    <w:unhideWhenUsed/>
    <w:qFormat/>
    <w:rsid w:val="007432FD"/>
    <w:pPr>
      <w:spacing w:before="120" w:line="264" w:lineRule="auto"/>
      <w:outlineLvl w:val="2"/>
    </w:pPr>
    <w:rPr>
      <w:rFonts w:ascii="Arial" w:eastAsia="Yu Gothic Light" w:hAnsi="Arial" w:cs="Arial"/>
      <w:b/>
      <w:bCs/>
    </w:rPr>
  </w:style>
  <w:style w:type="paragraph" w:styleId="Heading4">
    <w:name w:val="heading 4"/>
    <w:basedOn w:val="Normal"/>
    <w:next w:val="Normal"/>
    <w:link w:val="Heading4Char"/>
    <w:uiPriority w:val="9"/>
    <w:unhideWhenUsed/>
    <w:qFormat/>
    <w:rsid w:val="007432FD"/>
    <w:pPr>
      <w:outlineLvl w:val="3"/>
    </w:pPr>
    <w:rPr>
      <w:rFonts w:ascii="Arial" w:hAnsi="Arial" w:cs="Arial"/>
      <w:b/>
      <w:i/>
      <w:sz w:val="22"/>
    </w:rPr>
  </w:style>
  <w:style w:type="paragraph" w:styleId="Heading5">
    <w:name w:val="heading 5"/>
    <w:basedOn w:val="Normal"/>
    <w:next w:val="Normal"/>
    <w:link w:val="Heading5Char"/>
    <w:uiPriority w:val="9"/>
    <w:unhideWhenUsed/>
    <w:qFormat/>
    <w:rsid w:val="00212068"/>
    <w:pPr>
      <w:outlineLvl w:val="4"/>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0918"/>
    <w:rPr>
      <w:rFonts w:ascii="Lucida Grande" w:hAnsi="Lucida Grande" w:cs="Lucida Grande"/>
      <w:sz w:val="18"/>
      <w:szCs w:val="18"/>
    </w:rPr>
  </w:style>
  <w:style w:type="character" w:customStyle="1" w:styleId="BalloonTextChar">
    <w:name w:val="Balloon Text Char"/>
    <w:link w:val="BalloonText"/>
    <w:uiPriority w:val="99"/>
    <w:semiHidden/>
    <w:rsid w:val="00310918"/>
    <w:rPr>
      <w:rFonts w:ascii="Lucida Grande" w:hAnsi="Lucida Grande" w:cs="Lucida Grande"/>
      <w:sz w:val="18"/>
      <w:szCs w:val="18"/>
    </w:rPr>
  </w:style>
  <w:style w:type="paragraph" w:styleId="Header">
    <w:name w:val="header"/>
    <w:basedOn w:val="Normal"/>
    <w:link w:val="HeaderChar"/>
    <w:uiPriority w:val="99"/>
    <w:unhideWhenUsed/>
    <w:rsid w:val="00310918"/>
    <w:pPr>
      <w:tabs>
        <w:tab w:val="center" w:pos="4320"/>
        <w:tab w:val="right" w:pos="8640"/>
      </w:tabs>
    </w:pPr>
  </w:style>
  <w:style w:type="character" w:customStyle="1" w:styleId="HeaderChar">
    <w:name w:val="Header Char"/>
    <w:basedOn w:val="DefaultParagraphFont"/>
    <w:link w:val="Header"/>
    <w:uiPriority w:val="99"/>
    <w:rsid w:val="00310918"/>
  </w:style>
  <w:style w:type="paragraph" w:styleId="Footer">
    <w:name w:val="footer"/>
    <w:basedOn w:val="Normal"/>
    <w:link w:val="FooterChar"/>
    <w:uiPriority w:val="99"/>
    <w:unhideWhenUsed/>
    <w:rsid w:val="00310918"/>
    <w:pPr>
      <w:tabs>
        <w:tab w:val="center" w:pos="4320"/>
        <w:tab w:val="right" w:pos="8640"/>
      </w:tabs>
    </w:pPr>
  </w:style>
  <w:style w:type="character" w:customStyle="1" w:styleId="FooterChar">
    <w:name w:val="Footer Char"/>
    <w:basedOn w:val="DefaultParagraphFont"/>
    <w:link w:val="Footer"/>
    <w:uiPriority w:val="99"/>
    <w:rsid w:val="00310918"/>
  </w:style>
  <w:style w:type="paragraph" w:customStyle="1" w:styleId="BasicParagraph">
    <w:name w:val="[Basic Paragraph]"/>
    <w:basedOn w:val="Normal"/>
    <w:uiPriority w:val="99"/>
    <w:rsid w:val="00310918"/>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310918"/>
  </w:style>
  <w:style w:type="paragraph" w:styleId="PlainText">
    <w:name w:val="Plain Text"/>
    <w:basedOn w:val="Normal"/>
    <w:link w:val="PlainTextChar"/>
    <w:unhideWhenUsed/>
    <w:rsid w:val="004000DC"/>
    <w:rPr>
      <w:rFonts w:ascii="Consolas" w:eastAsia="Calibri" w:hAnsi="Consolas"/>
      <w:sz w:val="21"/>
      <w:szCs w:val="21"/>
    </w:rPr>
  </w:style>
  <w:style w:type="character" w:customStyle="1" w:styleId="PlainTextChar">
    <w:name w:val="Plain Text Char"/>
    <w:link w:val="PlainText"/>
    <w:rsid w:val="004000DC"/>
    <w:rPr>
      <w:rFonts w:ascii="Consolas" w:eastAsia="Calibri" w:hAnsi="Consolas" w:cs="Times New Roman"/>
      <w:sz w:val="21"/>
      <w:szCs w:val="21"/>
    </w:rPr>
  </w:style>
  <w:style w:type="paragraph" w:customStyle="1" w:styleId="Stdheading">
    <w:name w:val="Std heading"/>
    <w:basedOn w:val="Normal"/>
    <w:rsid w:val="004000DC"/>
    <w:pPr>
      <w:widowControl w:val="0"/>
      <w:spacing w:line="480" w:lineRule="auto"/>
      <w:jc w:val="both"/>
    </w:pPr>
    <w:rPr>
      <w:rFonts w:ascii="Times New Roman" w:eastAsia="Times New Roman" w:hAnsi="Times New Roman"/>
      <w:i/>
      <w:szCs w:val="20"/>
    </w:rPr>
  </w:style>
  <w:style w:type="paragraph" w:styleId="ListParagraph">
    <w:name w:val="List Paragraph"/>
    <w:aliases w:val="3,Bullet Points,Colorful List - Accent 11,Dot pt,F5 List Paragraph,Indicator Text,Issue Action POC,List Paragraph Char Char Char,List Paragraph1,List Paragraph2,MAIN CONTENT,Normal numbered,Numbered Para 1,POCG Table Text"/>
    <w:basedOn w:val="Normal"/>
    <w:link w:val="ListParagraphChar"/>
    <w:uiPriority w:val="34"/>
    <w:qFormat/>
    <w:rsid w:val="00212068"/>
    <w:pPr>
      <w:numPr>
        <w:numId w:val="1"/>
      </w:numPr>
      <w:ind w:left="360"/>
      <w:contextualSpacing/>
    </w:pPr>
    <w:rPr>
      <w:rFonts w:ascii="Arial" w:eastAsia="Times New Roman" w:hAnsi="Arial" w:cs="Arial"/>
      <w:spacing w:val="-2"/>
    </w:rPr>
  </w:style>
  <w:style w:type="table" w:styleId="LightListAccent5">
    <w:name w:val="Light List Accent 5"/>
    <w:basedOn w:val="TableNormal"/>
    <w:uiPriority w:val="61"/>
    <w:rsid w:val="004000DC"/>
    <w:rPr>
      <w:rFonts w:eastAsia="Calibri"/>
      <w:sz w:val="22"/>
      <w:szCs w:val="22"/>
    </w:rPr>
    <w:tblPr>
      <w:tblStyleRowBandSize w:val="1"/>
      <w:tblStyleColBandSize w:val="1"/>
      <w:tblBorders>
        <w:top w:val="single" w:sz="8" w:space="0" w:color="AE0D58"/>
        <w:left w:val="single" w:sz="8" w:space="0" w:color="AE0D58"/>
        <w:bottom w:val="single" w:sz="8" w:space="0" w:color="AE0D58"/>
        <w:right w:val="single" w:sz="8" w:space="0" w:color="AE0D58"/>
      </w:tblBorders>
    </w:tblPr>
    <w:tblStylePr w:type="firstRow">
      <w:pPr>
        <w:spacing w:before="0" w:after="0" w:line="240" w:lineRule="auto"/>
      </w:pPr>
      <w:rPr>
        <w:b/>
        <w:bCs/>
        <w:color w:val="FFFFFF"/>
      </w:rPr>
      <w:tblPr/>
      <w:tcPr>
        <w:shd w:val="clear" w:color="auto" w:fill="AE0D58"/>
      </w:tcPr>
    </w:tblStylePr>
    <w:tblStylePr w:type="lastRow">
      <w:pPr>
        <w:spacing w:before="0" w:after="0" w:line="240" w:lineRule="auto"/>
      </w:pPr>
      <w:rPr>
        <w:b/>
        <w:bCs/>
      </w:rPr>
      <w:tblPr/>
      <w:tcPr>
        <w:tcBorders>
          <w:top w:val="double" w:sz="6" w:space="0" w:color="AE0D58"/>
          <w:left w:val="single" w:sz="8" w:space="0" w:color="AE0D58"/>
          <w:bottom w:val="single" w:sz="8" w:space="0" w:color="AE0D58"/>
          <w:right w:val="single" w:sz="8" w:space="0" w:color="AE0D58"/>
        </w:tcBorders>
      </w:tcPr>
    </w:tblStylePr>
    <w:tblStylePr w:type="firstCol">
      <w:rPr>
        <w:b/>
        <w:bCs/>
      </w:rPr>
    </w:tblStylePr>
    <w:tblStylePr w:type="lastCol">
      <w:rPr>
        <w:b/>
        <w:bCs/>
      </w:rPr>
    </w:tblStylePr>
    <w:tblStylePr w:type="band1Vert">
      <w:tblPr/>
      <w:tcPr>
        <w:tcBorders>
          <w:top w:val="single" w:sz="8" w:space="0" w:color="AE0D58"/>
          <w:left w:val="single" w:sz="8" w:space="0" w:color="AE0D58"/>
          <w:bottom w:val="single" w:sz="8" w:space="0" w:color="AE0D58"/>
          <w:right w:val="single" w:sz="8" w:space="0" w:color="AE0D58"/>
        </w:tcBorders>
      </w:tcPr>
    </w:tblStylePr>
    <w:tblStylePr w:type="band1Horz">
      <w:tblPr/>
      <w:tcPr>
        <w:tcBorders>
          <w:top w:val="single" w:sz="8" w:space="0" w:color="AE0D58"/>
          <w:left w:val="single" w:sz="8" w:space="0" w:color="AE0D58"/>
          <w:bottom w:val="single" w:sz="8" w:space="0" w:color="AE0D58"/>
          <w:right w:val="single" w:sz="8" w:space="0" w:color="AE0D58"/>
        </w:tcBorders>
      </w:tcPr>
    </w:tblStylePr>
  </w:style>
  <w:style w:type="character" w:styleId="Hyperlink">
    <w:name w:val="Hyperlink"/>
    <w:uiPriority w:val="99"/>
    <w:unhideWhenUsed/>
    <w:rsid w:val="00CC565E"/>
    <w:rPr>
      <w:color w:val="0070C0"/>
      <w:u w:val="single"/>
    </w:rPr>
  </w:style>
  <w:style w:type="paragraph" w:customStyle="1" w:styleId="P1-StandPara">
    <w:name w:val="P1-Stand Para"/>
    <w:rsid w:val="004000DC"/>
    <w:pPr>
      <w:spacing w:line="360" w:lineRule="atLeast"/>
      <w:ind w:firstLine="1152"/>
      <w:jc w:val="both"/>
    </w:pPr>
    <w:rPr>
      <w:rFonts w:ascii="Times New Roman" w:eastAsia="Times New Roman" w:hAnsi="Times New Roman"/>
      <w:sz w:val="22"/>
    </w:rPr>
  </w:style>
  <w:style w:type="paragraph" w:customStyle="1" w:styleId="Bodycopy">
    <w:name w:val="Body copy"/>
    <w:basedOn w:val="Normal"/>
    <w:link w:val="BodycopyChar"/>
    <w:autoRedefine/>
    <w:qFormat/>
    <w:rsid w:val="00363C94"/>
    <w:rPr>
      <w:rFonts w:ascii="Arial" w:eastAsia="Yu Gothic Light" w:hAnsi="Arial" w:cs="Arial"/>
      <w:bCs/>
      <w:iCs/>
      <w:sz w:val="22"/>
      <w:szCs w:val="22"/>
    </w:rPr>
  </w:style>
  <w:style w:type="character" w:customStyle="1" w:styleId="BodycopyChar">
    <w:name w:val="Body copy Char"/>
    <w:link w:val="Bodycopy"/>
    <w:rsid w:val="00363C94"/>
    <w:rPr>
      <w:rFonts w:ascii="Arial" w:eastAsia="Yu Gothic Light" w:hAnsi="Arial" w:cs="Arial"/>
      <w:bCs/>
      <w:iCs/>
      <w:sz w:val="22"/>
      <w:szCs w:val="22"/>
    </w:rPr>
  </w:style>
  <w:style w:type="character" w:styleId="CommentReference">
    <w:name w:val="annotation reference"/>
    <w:uiPriority w:val="99"/>
    <w:semiHidden/>
    <w:unhideWhenUsed/>
    <w:rsid w:val="004000DC"/>
    <w:rPr>
      <w:sz w:val="16"/>
      <w:szCs w:val="16"/>
    </w:rPr>
  </w:style>
  <w:style w:type="paragraph" w:styleId="CommentText">
    <w:name w:val="annotation text"/>
    <w:basedOn w:val="Normal"/>
    <w:link w:val="CommentTextChar"/>
    <w:uiPriority w:val="99"/>
    <w:unhideWhenUsed/>
    <w:rsid w:val="004000DC"/>
    <w:rPr>
      <w:rFonts w:ascii="Times New Roman" w:eastAsia="Times New Roman" w:hAnsi="Times New Roman"/>
      <w:sz w:val="20"/>
      <w:szCs w:val="20"/>
    </w:rPr>
  </w:style>
  <w:style w:type="character" w:customStyle="1" w:styleId="CommentTextChar">
    <w:name w:val="Comment Text Char"/>
    <w:link w:val="CommentText"/>
    <w:uiPriority w:val="99"/>
    <w:rsid w:val="004000DC"/>
    <w:rPr>
      <w:rFonts w:ascii="Times New Roman" w:eastAsia="Times New Roman" w:hAnsi="Times New Roman" w:cs="Times New Roman"/>
      <w:sz w:val="20"/>
      <w:szCs w:val="20"/>
    </w:rPr>
  </w:style>
  <w:style w:type="paragraph" w:styleId="BodyText2">
    <w:name w:val="Body Text 2"/>
    <w:basedOn w:val="Normal"/>
    <w:link w:val="BodyText2Char"/>
    <w:uiPriority w:val="99"/>
    <w:rsid w:val="004000DC"/>
    <w:pPr>
      <w:spacing w:line="276" w:lineRule="auto"/>
    </w:pPr>
    <w:rPr>
      <w:rFonts w:ascii="Times New Roman" w:eastAsia="Times New Roman" w:hAnsi="Times New Roman"/>
      <w:b/>
      <w:szCs w:val="20"/>
    </w:rPr>
  </w:style>
  <w:style w:type="character" w:customStyle="1" w:styleId="BodyText2Char">
    <w:name w:val="Body Text 2 Char"/>
    <w:link w:val="BodyText2"/>
    <w:uiPriority w:val="99"/>
    <w:rsid w:val="004000DC"/>
    <w:rPr>
      <w:rFonts w:ascii="Times New Roman" w:eastAsia="Times New Roman" w:hAnsi="Times New Roman" w:cs="Times New Roman"/>
      <w:b/>
      <w:szCs w:val="20"/>
    </w:rPr>
  </w:style>
  <w:style w:type="paragraph" w:styleId="CommentSubject">
    <w:name w:val="annotation subject"/>
    <w:basedOn w:val="CommentText"/>
    <w:next w:val="CommentText"/>
    <w:link w:val="CommentSubjectChar"/>
    <w:uiPriority w:val="99"/>
    <w:semiHidden/>
    <w:unhideWhenUsed/>
    <w:rsid w:val="004000DC"/>
    <w:rPr>
      <w:b/>
      <w:bCs/>
    </w:rPr>
  </w:style>
  <w:style w:type="character" w:customStyle="1" w:styleId="CommentSubjectChar">
    <w:name w:val="Comment Subject Char"/>
    <w:link w:val="CommentSubject"/>
    <w:uiPriority w:val="99"/>
    <w:semiHidden/>
    <w:rsid w:val="004000DC"/>
    <w:rPr>
      <w:rFonts w:ascii="Times New Roman" w:eastAsia="Times New Roman" w:hAnsi="Times New Roman" w:cs="Times New Roman"/>
      <w:b/>
      <w:bCs/>
      <w:sz w:val="20"/>
      <w:szCs w:val="20"/>
    </w:rPr>
  </w:style>
  <w:style w:type="table" w:styleId="TableGrid">
    <w:name w:val="Table Grid"/>
    <w:basedOn w:val="TableNormal"/>
    <w:uiPriority w:val="59"/>
    <w:rsid w:val="004000D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B502E4"/>
    <w:rPr>
      <w:rFonts w:ascii="Arial" w:hAnsi="Arial" w:cs="Arial"/>
      <w:b/>
      <w:noProof/>
      <w:color w:val="00838A"/>
      <w:sz w:val="40"/>
      <w:szCs w:val="32"/>
    </w:rPr>
  </w:style>
  <w:style w:type="character" w:customStyle="1" w:styleId="Heading2Char">
    <w:name w:val="Heading 2 Char"/>
    <w:link w:val="Heading2"/>
    <w:uiPriority w:val="9"/>
    <w:rsid w:val="007432FD"/>
    <w:rPr>
      <w:rFonts w:ascii="Arial" w:hAnsi="Arial" w:cs="Arial"/>
      <w:b/>
      <w:color w:val="243766"/>
      <w:sz w:val="32"/>
      <w:szCs w:val="28"/>
    </w:rPr>
  </w:style>
  <w:style w:type="paragraph" w:styleId="NoSpacing">
    <w:name w:val="No Spacing"/>
    <w:link w:val="NoSpacingChar"/>
    <w:uiPriority w:val="1"/>
    <w:qFormat/>
    <w:rsid w:val="00073D89"/>
    <w:rPr>
      <w:sz w:val="24"/>
      <w:szCs w:val="24"/>
    </w:rPr>
  </w:style>
  <w:style w:type="character" w:styleId="Strong">
    <w:name w:val="Strong"/>
    <w:uiPriority w:val="22"/>
    <w:qFormat/>
    <w:rsid w:val="00073D89"/>
    <w:rPr>
      <w:b/>
    </w:rPr>
  </w:style>
  <w:style w:type="character" w:customStyle="1" w:styleId="Heading3Char">
    <w:name w:val="Heading 3 Char"/>
    <w:link w:val="Heading3"/>
    <w:uiPriority w:val="9"/>
    <w:rsid w:val="007432FD"/>
    <w:rPr>
      <w:rFonts w:ascii="Arial" w:eastAsia="Yu Gothic Light" w:hAnsi="Arial" w:cs="Arial"/>
      <w:b/>
      <w:bCs/>
    </w:rPr>
  </w:style>
  <w:style w:type="character" w:customStyle="1" w:styleId="Heading4Char">
    <w:name w:val="Heading 4 Char"/>
    <w:link w:val="Heading4"/>
    <w:uiPriority w:val="9"/>
    <w:rsid w:val="007432FD"/>
    <w:rPr>
      <w:rFonts w:ascii="Arial" w:hAnsi="Arial" w:cs="Arial"/>
      <w:b/>
      <w:i/>
      <w:sz w:val="22"/>
    </w:rPr>
  </w:style>
  <w:style w:type="character" w:customStyle="1" w:styleId="Heading5Char">
    <w:name w:val="Heading 5 Char"/>
    <w:link w:val="Heading5"/>
    <w:uiPriority w:val="9"/>
    <w:rsid w:val="00212068"/>
    <w:rPr>
      <w:rFonts w:ascii="Arial" w:hAnsi="Arial" w:cs="Arial"/>
      <w:i/>
    </w:rPr>
  </w:style>
  <w:style w:type="paragraph" w:customStyle="1" w:styleId="Bullet1">
    <w:name w:val="Bullet 1"/>
    <w:basedOn w:val="ListParagraph"/>
    <w:qFormat/>
    <w:rsid w:val="003C125E"/>
    <w:pPr>
      <w:numPr>
        <w:numId w:val="2"/>
      </w:numPr>
      <w:tabs>
        <w:tab w:val="left" w:pos="288"/>
      </w:tabs>
      <w:spacing w:before="120" w:after="120"/>
    </w:pPr>
    <w:rPr>
      <w:sz w:val="22"/>
    </w:rPr>
  </w:style>
  <w:style w:type="paragraph" w:customStyle="1" w:styleId="Bullet2">
    <w:name w:val="Bullet 2"/>
    <w:basedOn w:val="ListParagraph"/>
    <w:qFormat/>
    <w:rsid w:val="003C125E"/>
    <w:pPr>
      <w:numPr>
        <w:numId w:val="3"/>
      </w:numPr>
      <w:tabs>
        <w:tab w:val="left" w:pos="720"/>
      </w:tabs>
    </w:pPr>
    <w:rPr>
      <w:sz w:val="22"/>
    </w:rPr>
  </w:style>
  <w:style w:type="paragraph" w:customStyle="1" w:styleId="Bullet">
    <w:name w:val="Bullet"/>
    <w:basedOn w:val="Bullet1"/>
    <w:rsid w:val="00CF423D"/>
  </w:style>
  <w:style w:type="character" w:styleId="Emphasis">
    <w:name w:val="Emphasis"/>
    <w:uiPriority w:val="20"/>
    <w:qFormat/>
    <w:rsid w:val="00CC26B0"/>
    <w:rPr>
      <w:i/>
      <w:iCs/>
    </w:rPr>
  </w:style>
  <w:style w:type="paragraph" w:styleId="DocumentMap">
    <w:name w:val="Document Map"/>
    <w:basedOn w:val="Normal"/>
    <w:link w:val="DocumentMapChar"/>
    <w:uiPriority w:val="99"/>
    <w:semiHidden/>
    <w:unhideWhenUsed/>
    <w:rsid w:val="009E65B9"/>
    <w:rPr>
      <w:rFonts w:ascii="Lucida Grande" w:hAnsi="Lucida Grande" w:cs="Lucida Grande"/>
    </w:rPr>
  </w:style>
  <w:style w:type="character" w:customStyle="1" w:styleId="DocumentMapChar">
    <w:name w:val="Document Map Char"/>
    <w:link w:val="DocumentMap"/>
    <w:uiPriority w:val="99"/>
    <w:semiHidden/>
    <w:rsid w:val="009E65B9"/>
    <w:rPr>
      <w:rFonts w:ascii="Lucida Grande" w:hAnsi="Lucida Grande" w:cs="Lucida Grande"/>
    </w:rPr>
  </w:style>
  <w:style w:type="character" w:customStyle="1" w:styleId="ListParagraphChar">
    <w:name w:val="List Paragraph Char"/>
    <w:aliases w:val="3 Char,Bullet Points Char,Colorful List - Accent 11 Char,Dot pt Char,F5 List Paragraph Char,Indicator Text Char,Issue Action POC Char,List Paragraph Char Char Char Char,List Paragraph1 Char,Numbered Para 1 Char,POCG Table Text Char"/>
    <w:link w:val="ListParagraph"/>
    <w:uiPriority w:val="34"/>
    <w:qFormat/>
    <w:rsid w:val="001B3195"/>
    <w:rPr>
      <w:rFonts w:ascii="Arial" w:eastAsia="Times New Roman" w:hAnsi="Arial" w:cs="Arial"/>
      <w:spacing w:val="-2"/>
    </w:rPr>
  </w:style>
  <w:style w:type="character" w:customStyle="1" w:styleId="NoSpacingChar">
    <w:name w:val="No Spacing Char"/>
    <w:link w:val="NoSpacing"/>
    <w:uiPriority w:val="1"/>
    <w:rsid w:val="007D3E8B"/>
  </w:style>
  <w:style w:type="table" w:styleId="PlainTable1">
    <w:name w:val="Plain Table 1"/>
    <w:basedOn w:val="TableNormal"/>
    <w:uiPriority w:val="99"/>
    <w:rsid w:val="00244119"/>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ableHeader">
    <w:name w:val="Table Header"/>
    <w:basedOn w:val="Bodycopy"/>
    <w:rsid w:val="003A69A6"/>
    <w:rPr>
      <w:b/>
      <w:bCs w:val="0"/>
      <w:caps/>
      <w:color w:val="FFFFFF"/>
    </w:rPr>
  </w:style>
  <w:style w:type="paragraph" w:customStyle="1" w:styleId="Tablebody">
    <w:name w:val="Table body"/>
    <w:basedOn w:val="Bodycopy"/>
    <w:rsid w:val="00E36B5D"/>
    <w:rPr>
      <w:color w:val="003067"/>
    </w:rPr>
  </w:style>
  <w:style w:type="paragraph" w:customStyle="1" w:styleId="Tablebullets">
    <w:name w:val="Table bullets"/>
    <w:basedOn w:val="Bodycopy"/>
    <w:rsid w:val="00C53F19"/>
    <w:pPr>
      <w:numPr>
        <w:numId w:val="4"/>
      </w:numPr>
      <w:tabs>
        <w:tab w:val="left" w:pos="288"/>
      </w:tabs>
      <w:spacing w:before="60"/>
    </w:pPr>
    <w:rPr>
      <w:color w:val="003067"/>
    </w:rPr>
  </w:style>
  <w:style w:type="table" w:customStyle="1" w:styleId="QPP4-columntable">
    <w:name w:val="QPP 4-column table"/>
    <w:basedOn w:val="TableNormal"/>
    <w:uiPriority w:val="99"/>
    <w:rsid w:val="008C60FF"/>
    <w:tblPr/>
    <w:tblStylePr w:type="firstRow">
      <w:rPr>
        <w:rFonts w:ascii="Arial" w:hAnsi="Arial"/>
        <w:b/>
        <w:color w:val="FFFFFF"/>
        <w:sz w:val="18"/>
      </w:rPr>
    </w:tblStylePr>
  </w:style>
  <w:style w:type="character" w:customStyle="1" w:styleId="UnresolvedMention1">
    <w:name w:val="Unresolved Mention1"/>
    <w:uiPriority w:val="99"/>
    <w:semiHidden/>
    <w:unhideWhenUsed/>
    <w:rsid w:val="00C4670F"/>
    <w:rPr>
      <w:color w:val="605E5C"/>
      <w:shd w:val="clear" w:color="auto" w:fill="E1DFDD"/>
    </w:rPr>
  </w:style>
  <w:style w:type="paragraph" w:customStyle="1" w:styleId="wordsection1">
    <w:name w:val="wordsection1"/>
    <w:basedOn w:val="Normal"/>
    <w:uiPriority w:val="99"/>
    <w:rsid w:val="00387031"/>
    <w:pPr>
      <w:spacing w:before="100" w:beforeAutospacing="1" w:after="100" w:afterAutospacing="1"/>
    </w:pPr>
    <w:rPr>
      <w:rFonts w:ascii="Times New Roman" w:eastAsia="Calibri" w:hAnsi="Times New Roman"/>
      <w:lang w:eastAsia="ja-JP"/>
    </w:rPr>
  </w:style>
  <w:style w:type="character" w:styleId="UnresolvedMention">
    <w:name w:val="Unresolved Mention"/>
    <w:uiPriority w:val="99"/>
    <w:unhideWhenUsed/>
    <w:rsid w:val="00BC10BC"/>
    <w:rPr>
      <w:color w:val="605E5C"/>
      <w:shd w:val="clear" w:color="auto" w:fill="E1DFDD"/>
    </w:rPr>
  </w:style>
  <w:style w:type="character" w:styleId="FollowedHyperlink">
    <w:name w:val="FollowedHyperlink"/>
    <w:uiPriority w:val="99"/>
    <w:semiHidden/>
    <w:unhideWhenUsed/>
    <w:rsid w:val="0090081B"/>
    <w:rPr>
      <w:color w:val="0070C0"/>
      <w:u w:val="single"/>
    </w:rPr>
  </w:style>
  <w:style w:type="character" w:styleId="Mention">
    <w:name w:val="Mention"/>
    <w:basedOn w:val="DefaultParagraphFont"/>
    <w:uiPriority w:val="99"/>
    <w:unhideWhenUsed/>
    <w:rsid w:val="00F02D0E"/>
    <w:rPr>
      <w:color w:val="2B579A"/>
      <w:shd w:val="clear" w:color="auto" w:fill="E1DFDD"/>
    </w:rPr>
  </w:style>
  <w:style w:type="paragraph" w:styleId="Revision">
    <w:name w:val="Revision"/>
    <w:hidden/>
    <w:uiPriority w:val="99"/>
    <w:semiHidden/>
    <w:rsid w:val="009A65EC"/>
    <w:rPr>
      <w:sz w:val="24"/>
      <w:szCs w:val="24"/>
    </w:rPr>
  </w:style>
  <w:style w:type="character" w:customStyle="1" w:styleId="normaltextrun">
    <w:name w:val="normaltextrun"/>
    <w:basedOn w:val="DefaultParagraphFont"/>
    <w:rsid w:val="00C758AA"/>
  </w:style>
  <w:style w:type="character" w:customStyle="1" w:styleId="eop">
    <w:name w:val="eop"/>
    <w:basedOn w:val="DefaultParagraphFont"/>
    <w:rsid w:val="00C75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qpp.cms.gov/mips/promoting-interoperability" TargetMode="External" /><Relationship Id="rId11" Type="http://schemas.openxmlformats.org/officeDocument/2006/relationships/hyperlink" Target="https://qpp.cms.gov/about/resource-library" TargetMode="External" /><Relationship Id="rId12" Type="http://schemas.openxmlformats.org/officeDocument/2006/relationships/hyperlink" Target="https://www.cms.gov/Medicare/Quality-Initiatives-Patient-Assessment-Instruments/QualityMeasures/Pre-Rulemaking" TargetMode="External" /><Relationship Id="rId13" Type="http://schemas.openxmlformats.org/officeDocument/2006/relationships/hyperlink" Target="https://qpp-cm-prod-content.s3.amazonaws.com/uploads/1687/2022%20MIPS%20Quality%20Measures%20List.xlsx" TargetMode="External" /><Relationship Id="rId14" Type="http://schemas.openxmlformats.org/officeDocument/2006/relationships/hyperlink" Target="https://qpp-cm-prod-content.s3.amazonaws.com/uploads/1223/2022%20Cross_Cutting%20Quality%20Measures.zip" TargetMode="External" /><Relationship Id="rId15" Type="http://schemas.openxmlformats.org/officeDocument/2006/relationships/hyperlink" Target="https://qpp-cm-prod-content.s3.amazonaws.com/uploads/1697/2022%20QCDR%20Measure%20Specifications.xlsx" TargetMode="External" /><Relationship Id="rId16" Type="http://schemas.openxmlformats.org/officeDocument/2006/relationships/hyperlink" Target="https://qpp-cm-prod-content.s3.amazonaws.com/uploads/1727/2022%20Improvement%20Activities%20Inventory.zip" TargetMode="External" /><Relationship Id="rId17" Type="http://schemas.openxmlformats.org/officeDocument/2006/relationships/hyperlink" Target="https://qpp-cm-prod-content.s3.amazonaws.com/uploads/1788/2022%20Call%20for%20Measures%20and%20Activities.zip" TargetMode="External" /><Relationship Id="rId18" Type="http://schemas.openxmlformats.org/officeDocument/2006/relationships/hyperlink" Target="https://urldefense.us/v3/__https:/www.cms.gov/Medicare/Quality-Payment-Program/Quality-Payment-Program/Give-Feedback__;!!JRQnnSFuzw7wjAKq6ti6!jlhr2tyDEqsDu4Dh9acR_mFGibgmebsS3BRZGzVD_uBr3TCACJqq8K331sDyvITTOiOI$" TargetMode="External" /><Relationship Id="rId19" Type="http://schemas.openxmlformats.org/officeDocument/2006/relationships/hyperlink" Target="mailto:" TargetMode="External" /><Relationship Id="rId2" Type="http://schemas.openxmlformats.org/officeDocument/2006/relationships/webSettings" Target="webSettings.xml" /><Relationship Id="rId20" Type="http://schemas.openxmlformats.org/officeDocument/2006/relationships/hyperlink" Target="mailto:PIMMSQualityMeasuresSupport@gdit.com" TargetMode="External" /><Relationship Id="rId21" Type="http://schemas.openxmlformats.org/officeDocument/2006/relationships/hyperlink" Target="https://www.federalregister.gov/documents/2019/11/15/2019-24086/medicare-program-cy-2020-revisions-to-payment-policies-under-the-physician-fee-schedule-and-other" TargetMode="External" /><Relationship Id="rId22" Type="http://schemas.openxmlformats.org/officeDocument/2006/relationships/hyperlink" Target="mailto:qpp@cms.hhs.gov&#8239;&#8239;" TargetMode="External" /><Relationship Id="rId23" Type="http://schemas.openxmlformats.org/officeDocument/2006/relationships/hyperlink" Target="mailto:qpp@cms.hhs.gov" TargetMode="External" /><Relationship Id="rId24" Type="http://schemas.openxmlformats.org/officeDocument/2006/relationships/header" Target="header1.xml" /><Relationship Id="rId25" Type="http://schemas.openxmlformats.org/officeDocument/2006/relationships/header" Target="header2.xml" /><Relationship Id="rId26" Type="http://schemas.openxmlformats.org/officeDocument/2006/relationships/footer" Target="footer1.xml" /><Relationship Id="rId27" Type="http://schemas.openxmlformats.org/officeDocument/2006/relationships/footer" Target="footer2.xml" /><Relationship Id="rId28" Type="http://schemas.openxmlformats.org/officeDocument/2006/relationships/header" Target="header3.xml" /><Relationship Id="rId29" Type="http://schemas.openxmlformats.org/officeDocument/2006/relationships/footer" Target="footer3.xm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qpp.cms.gov/mips/mips-value-pathways/submit-candidate" TargetMode="External" /><Relationship Id="rId9" Type="http://schemas.openxmlformats.org/officeDocument/2006/relationships/hyperlink" Target="https://qpp.cms.gov/mips/mips-value-pathways"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s>
</file>

<file path=word/_rels/header3.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Date xmlns="22bb7b03-74e3-4244-88c2-4a3caedda43c" xsi:nil="true"/>
    <Document_x0020_Source xmlns="22bb7b03-74e3-4244-88c2-4a3caedda43c" xsi:nil="true"/>
    <DocumentType xmlns="22bb7b03-74e3-4244-88c2-4a3caedda43c" xsi:nil="true"/>
    <Policy_x0020_area xmlns="22bb7b03-74e3-4244-88c2-4a3caedda43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E1E845278AE34DAE6853029C422E98" ma:contentTypeVersion="15" ma:contentTypeDescription="Create a new document." ma:contentTypeScope="" ma:versionID="4a74f743a462a1102b3ab6039ea38741">
  <xsd:schema xmlns:xsd="http://www.w3.org/2001/XMLSchema" xmlns:xs="http://www.w3.org/2001/XMLSchema" xmlns:p="http://schemas.microsoft.com/office/2006/metadata/properties" xmlns:ns2="473fb903-928d-4c19-82a4-142fa71b231e" xmlns:ns3="22bb7b03-74e3-4244-88c2-4a3caedda43c" targetNamespace="http://schemas.microsoft.com/office/2006/metadata/properties" ma:root="true" ma:fieldsID="6a24e77b9a6f4cf188a0de49ba9ac1d8" ns2:_="" ns3:_="">
    <xsd:import namespace="473fb903-928d-4c19-82a4-142fa71b231e"/>
    <xsd:import namespace="22bb7b03-74e3-4244-88c2-4a3caedda4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eting_x0020_Date" minOccurs="0"/>
                <xsd:element ref="ns3:DocumentType" minOccurs="0"/>
                <xsd:element ref="ns3:Policy_x0020_area" minOccurs="0"/>
                <xsd:element ref="ns3:MediaServiceDateTaken" minOccurs="0"/>
                <xsd:element ref="ns3:Document_x0020_Sourc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fb903-928d-4c19-82a4-142fa71b231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bb7b03-74e3-4244-88c2-4a3caedda43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eting_x0020_Date" ma:index="16" nillable="true" ma:displayName="Meeting Date" ma:format="DateOnly" ma:internalName="Meeting_x0020_Date">
      <xsd:simpleType>
        <xsd:restriction base="dms:DateTime"/>
      </xsd:simpleType>
    </xsd:element>
    <xsd:element name="DocumentType" ma:index="17" nillable="true" ma:displayName="Document Type" ma:format="Dropdown" ma:internalName="DocumentType">
      <xsd:simpleType>
        <xsd:restriction base="dms:Choice">
          <xsd:enumeration value="Meeting Notes"/>
          <xsd:enumeration value="SBAR"/>
          <xsd:enumeration value="Meeting Presentation"/>
          <xsd:enumeration value="Administrative Documents"/>
          <xsd:enumeration value="Internal Working Documents"/>
          <xsd:enumeration value="Externally Created Resource"/>
          <xsd:enumeration value="Briefing Paper"/>
        </xsd:restriction>
      </xsd:simpleType>
    </xsd:element>
    <xsd:element name="Policy_x0020_area" ma:index="18" nillable="true" ma:displayName="Policy area" ma:internalName="Policy_x0020_area">
      <xsd:complexType>
        <xsd:complexContent>
          <xsd:extension base="dms:MultiChoice">
            <xsd:sequence>
              <xsd:element name="Value" maxOccurs="unbounded" minOccurs="0" nillable="true">
                <xsd:simpleType>
                  <xsd:restriction base="dms:Choice">
                    <xsd:enumeration value="MVP Definition/Development"/>
                    <xsd:enumeration value="Selection of measures/activities in MVP"/>
                    <xsd:enumeration value="Assigning MVPs"/>
                    <xsd:enumeration value="Transition to MVPs"/>
                    <xsd:enumeration value="Small/Rural Practices"/>
                    <xsd:enumeration value="QCDR measures in MVP"/>
                    <xsd:enumeration value="Scoring in MVPs"/>
                    <xsd:enumeration value="Quality Performance Category"/>
                    <xsd:enumeration value="Cost performance category"/>
                    <xsd:enumeration value="Multispecialty Practices"/>
                    <xsd:enumeration value="Final Score"/>
                    <xsd:enumeration value="MIPS Payment Adjustment"/>
                    <xsd:enumeration value="Overall strategy"/>
                  </xsd:restriction>
                </xsd:simpleType>
              </xsd:element>
            </xsd:sequence>
          </xsd:extension>
        </xsd:complexContent>
      </xsd:complexType>
    </xsd:element>
    <xsd:element name="MediaServiceDateTaken" ma:index="19" nillable="true" ma:displayName="MediaServiceDateTaken" ma:hidden="true" ma:internalName="MediaServiceDateTaken" ma:readOnly="true">
      <xsd:simpleType>
        <xsd:restriction base="dms:Text"/>
      </xsd:simpleType>
    </xsd:element>
    <xsd:element name="Document_x0020_Source" ma:index="20" nillable="true" ma:displayName="Document Source" ma:internalName="Document_x0020_Source">
      <xsd:simpleType>
        <xsd:restriction base="dms:Text">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F93400-0C34-421E-9D78-31E91531D61B}">
  <ds:schemaRefs>
    <ds:schemaRef ds:uri="http://schemas.microsoft.com/office/2006/metadata/properties"/>
    <ds:schemaRef ds:uri="http://schemas.microsoft.com/office/infopath/2007/PartnerControls"/>
    <ds:schemaRef ds:uri="http://schemas.microsoft.com/sharepoint/v3"/>
    <ds:schemaRef ds:uri="3a8a1160-485e-4e45-b8cc-3eb60f06e8b9"/>
    <ds:schemaRef ds:uri="c35090b3-64f1-4528-b25f-c34218e25d33"/>
  </ds:schemaRefs>
</ds:datastoreItem>
</file>

<file path=customXml/itemProps2.xml><?xml version="1.0" encoding="utf-8"?>
<ds:datastoreItem xmlns:ds="http://schemas.openxmlformats.org/officeDocument/2006/customXml" ds:itemID="{C09528BF-4D7B-4060-B524-5AC20831A7CA}">
  <ds:schemaRefs/>
</ds:datastoreItem>
</file>

<file path=customXml/itemProps3.xml><?xml version="1.0" encoding="utf-8"?>
<ds:datastoreItem xmlns:ds="http://schemas.openxmlformats.org/officeDocument/2006/customXml" ds:itemID="{209BA19E-F41C-40F0-8D2A-74757B3832D1}">
  <ds:schemaRefs>
    <ds:schemaRef ds:uri="http://schemas.openxmlformats.org/officeDocument/2006/bibliography"/>
  </ds:schemaRefs>
</ds:datastoreItem>
</file>

<file path=customXml/itemProps4.xml><?xml version="1.0" encoding="utf-8"?>
<ds:datastoreItem xmlns:ds="http://schemas.openxmlformats.org/officeDocument/2006/customXml" ds:itemID="{327E376E-7491-4F4F-8184-1594B2C8D82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4734</Words>
  <Characters>27793</Characters>
  <Application>Microsoft Office Word</Application>
  <DocSecurity>0</DocSecurity>
  <Lines>896</Lines>
  <Paragraphs>365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Stakeholder Submissions of MIPS MVP Candidates: Instructions and Template</dc:title>
  <dc:creator>CMS</dc:creator>
  <cp:lastModifiedBy>Rob Truhn II</cp:lastModifiedBy>
  <cp:revision>3</cp:revision>
  <cp:lastPrinted>2019-11-21T12:43:00Z</cp:lastPrinted>
  <dcterms:created xsi:type="dcterms:W3CDTF">2022-10-29T02:29:00Z</dcterms:created>
  <dcterms:modified xsi:type="dcterms:W3CDTF">2022-10-29T02:36:00Z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0x0101007BE1E845278AE34DAE6853029C422E98</vt:lpwstr>
  </property>
  <property fmtid="{D5CDD505-2E9C-101B-9397-08002B2CF9AE}" pid="3" name="MediaServiceImageTags">
    <vt:lpwstr/>
  </property>
  <property fmtid="{D5CDD505-2E9C-101B-9397-08002B2CF9AE}" pid="4" name="_NewReviewCycle">
    <vt:lpwstr/>
  </property>
</Properties>
</file>