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1A59B6" w:rsidP="00A42C71" w14:paraId="70CFD577" w14:textId="77777777">
      <w:pPr>
        <w:spacing w:after="0"/>
        <w:rPr>
          <w:rFonts w:cstheme="minorHAnsi"/>
          <w:b/>
        </w:rPr>
      </w:pPr>
    </w:p>
    <w:p w:rsidR="00A42C71" w:rsidRPr="001A59B6" w:rsidP="00A42C71" w14:paraId="703D208D" w14:textId="77777777">
      <w:pPr>
        <w:spacing w:after="0"/>
        <w:jc w:val="center"/>
        <w:rPr>
          <w:rFonts w:cstheme="minorHAnsi"/>
          <w:b/>
          <w:sz w:val="40"/>
          <w:highlight w:val="yellow"/>
        </w:rPr>
      </w:pPr>
    </w:p>
    <w:p w:rsidR="00A42C71" w:rsidRPr="001A59B6" w:rsidP="00A42C71" w14:paraId="37F07D13" w14:textId="77777777">
      <w:pPr>
        <w:pStyle w:val="ReportCover-Title"/>
        <w:jc w:val="center"/>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DDB69EB" w:rsidP="00AA5A54" w14:paraId="35423D0A" w14:textId="3AAC8D24">
      <w:pPr>
        <w:pStyle w:val="ReportCover-Title"/>
        <w:spacing w:line="240" w:lineRule="auto"/>
        <w:jc w:val="center"/>
        <w:rPr>
          <w:rFonts w:ascii="Calibri" w:eastAsia="Calibri" w:hAnsi="Calibri" w:cs="Calibri"/>
          <w:bCs/>
          <w:noProof/>
          <w:color w:val="auto"/>
        </w:rPr>
      </w:pPr>
      <w:r w:rsidRPr="7AB668A2">
        <w:rPr>
          <w:rFonts w:ascii="Calibri" w:eastAsia="Calibri" w:hAnsi="Calibri" w:cs="Calibri"/>
          <w:bCs/>
          <w:noProof/>
          <w:color w:val="auto"/>
        </w:rPr>
        <w:t xml:space="preserve">Mother and Infant Home Visiting Program Evaluation: </w:t>
      </w:r>
      <w:r w:rsidRPr="7AB668A2" w:rsidR="2B0119AF">
        <w:rPr>
          <w:rFonts w:ascii="Calibri" w:eastAsia="Calibri" w:hAnsi="Calibri" w:cs="Calibri"/>
          <w:bCs/>
          <w:noProof/>
          <w:color w:val="auto"/>
        </w:rPr>
        <w:t xml:space="preserve">Third Grade </w:t>
      </w:r>
      <w:r w:rsidRPr="7AB668A2">
        <w:rPr>
          <w:rFonts w:ascii="Calibri" w:eastAsia="Calibri" w:hAnsi="Calibri" w:cs="Calibri"/>
          <w:bCs/>
          <w:noProof/>
          <w:color w:val="auto"/>
        </w:rPr>
        <w:t>Follow-Up</w:t>
      </w:r>
      <w:r w:rsidR="00E36136">
        <w:rPr>
          <w:rFonts w:ascii="Calibri" w:eastAsia="Calibri" w:hAnsi="Calibri" w:cs="Calibri"/>
          <w:bCs/>
          <w:noProof/>
          <w:color w:val="auto"/>
        </w:rPr>
        <w:t xml:space="preserve"> (MIHOPE-3G)</w:t>
      </w:r>
    </w:p>
    <w:p w:rsidR="29B2C8DC" w:rsidP="29B2C8DC" w14:paraId="6AC7F33D" w14:textId="42423B1D">
      <w:pPr>
        <w:pStyle w:val="ReportCover-Title"/>
        <w:jc w:val="center"/>
        <w:rPr>
          <w:bCs/>
          <w:noProof/>
        </w:rPr>
      </w:pPr>
    </w:p>
    <w:p w:rsidR="00A42C71" w:rsidRPr="001A59B6" w:rsidP="29B2C8DC" w14:paraId="551C5600" w14:textId="69F70288">
      <w:pPr>
        <w:pStyle w:val="ReportCover-Title"/>
        <w:rPr>
          <w:bCs/>
        </w:rPr>
      </w:pPr>
    </w:p>
    <w:p w:rsidR="00A42C71" w:rsidRPr="001A59B6" w:rsidP="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A42C71" w:rsidRPr="001A59B6" w:rsidP="29B2C8DC" w14:paraId="3F6C890C" w14:textId="5E615D3E">
      <w:pPr>
        <w:pStyle w:val="ReportCover-Title"/>
        <w:jc w:val="center"/>
        <w:rPr>
          <w:rFonts w:asciiTheme="minorHAnsi" w:hAnsiTheme="minorHAnsi" w:cstheme="minorBidi"/>
          <w:color w:val="auto"/>
          <w:sz w:val="32"/>
          <w:szCs w:val="32"/>
        </w:rPr>
      </w:pPr>
      <w:r w:rsidRPr="29B2C8DC">
        <w:rPr>
          <w:rFonts w:asciiTheme="minorHAnsi" w:hAnsiTheme="minorHAnsi" w:cstheme="minorBidi"/>
          <w:color w:val="auto"/>
          <w:sz w:val="32"/>
          <w:szCs w:val="32"/>
        </w:rPr>
        <w:t xml:space="preserve">0970 - </w:t>
      </w:r>
      <w:r w:rsidRPr="29B2C8DC" w:rsidR="3F80ADA1">
        <w:rPr>
          <w:rFonts w:asciiTheme="minorHAnsi" w:hAnsiTheme="minorHAnsi" w:cstheme="minorBidi"/>
          <w:color w:val="auto"/>
          <w:sz w:val="32"/>
          <w:szCs w:val="32"/>
        </w:rPr>
        <w:t>0402</w:t>
      </w:r>
    </w:p>
    <w:p w:rsidR="00A42C71" w:rsidRPr="001A59B6" w:rsidP="00A42C71" w14:paraId="41D2594A" w14:textId="77777777">
      <w:pPr>
        <w:spacing w:after="0"/>
        <w:rPr>
          <w:rFonts w:cstheme="minorHAnsi"/>
        </w:rPr>
      </w:pP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29B2C8DC" w14:paraId="2DD34B23" w14:textId="3DC32E9A">
      <w:pPr>
        <w:pStyle w:val="ReportCover-Date"/>
        <w:spacing w:after="0"/>
        <w:jc w:val="center"/>
        <w:rPr>
          <w:bCs/>
          <w:szCs w:val="24"/>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29B2C8DC" w14:paraId="602544F7" w14:textId="3D0EA625">
      <w:pPr>
        <w:pStyle w:val="ReportCover-Date"/>
        <w:spacing w:after="0" w:line="240" w:lineRule="auto"/>
        <w:jc w:val="center"/>
        <w:rPr>
          <w:bCs/>
          <w:szCs w:val="24"/>
        </w:rPr>
      </w:pPr>
    </w:p>
    <w:p w:rsidR="29B2C8DC" w:rsidP="29B2C8DC" w14:paraId="3E2143DF" w14:textId="0216100E">
      <w:pPr>
        <w:pStyle w:val="ReportCover-Date"/>
        <w:spacing w:after="0"/>
        <w:jc w:val="center"/>
        <w:rPr>
          <w:rFonts w:asciiTheme="minorHAnsi" w:hAnsiTheme="minorHAnsi" w:cstheme="minorBidi"/>
          <w:color w:val="auto"/>
        </w:rPr>
      </w:pPr>
    </w:p>
    <w:p w:rsidR="00A42C71" w:rsidRPr="001A59B6" w:rsidP="29B2C8DC" w14:paraId="10D3ADE5" w14:textId="3F30B706">
      <w:pPr>
        <w:pStyle w:val="ReportCover-Date"/>
        <w:spacing w:after="0"/>
        <w:jc w:val="center"/>
        <w:rPr>
          <w:rFonts w:asciiTheme="minorHAnsi" w:hAnsiTheme="minorHAnsi" w:cstheme="minorBidi"/>
          <w:color w:val="auto"/>
        </w:rPr>
      </w:pPr>
      <w:r>
        <w:rPr>
          <w:rFonts w:asciiTheme="minorHAnsi" w:hAnsiTheme="minorHAnsi" w:cstheme="minorBidi"/>
          <w:color w:val="auto"/>
        </w:rPr>
        <w:t>July</w:t>
      </w:r>
      <w:r w:rsidRPr="29B2C8DC">
        <w:rPr>
          <w:rFonts w:asciiTheme="minorHAnsi" w:hAnsiTheme="minorHAnsi" w:cstheme="minorBidi"/>
          <w:color w:val="auto"/>
        </w:rPr>
        <w:t xml:space="preserve"> </w:t>
      </w:r>
      <w:r w:rsidRPr="29B2C8DC" w:rsidR="0E4A3295">
        <w:rPr>
          <w:rFonts w:asciiTheme="minorHAnsi" w:hAnsiTheme="minorHAnsi" w:cstheme="minorBidi"/>
          <w:color w:val="auto"/>
        </w:rPr>
        <w:t>202</w:t>
      </w:r>
      <w:r w:rsidR="00B04E37">
        <w:rPr>
          <w:rFonts w:asciiTheme="minorHAnsi" w:hAnsiTheme="minorHAnsi" w:cstheme="minorBidi"/>
          <w:color w:val="auto"/>
        </w:rPr>
        <w:t>3</w:t>
      </w:r>
    </w:p>
    <w:p w:rsidR="00A42C71" w:rsidRPr="001A59B6" w:rsidP="00A42C71" w14:paraId="23C2EED4" w14:textId="77777777">
      <w:pPr>
        <w:pStyle w:val="ReportCover-Date"/>
        <w:spacing w:after="0"/>
        <w:jc w:val="center"/>
        <w:rPr>
          <w:rFonts w:asciiTheme="minorHAnsi" w:hAnsiTheme="minorHAnsi" w:cstheme="minorHAnsi"/>
          <w:color w:val="auto"/>
        </w:rPr>
      </w:pPr>
    </w:p>
    <w:p w:rsidR="00A42C71" w:rsidRPr="001A59B6" w:rsidP="00A42C71" w14:paraId="21A5D5D3" w14:textId="77777777">
      <w:pPr>
        <w:spacing w:after="0" w:line="240" w:lineRule="auto"/>
        <w:jc w:val="center"/>
        <w:rPr>
          <w:rFonts w:cstheme="minorHAnsi"/>
        </w:rPr>
      </w:pPr>
    </w:p>
    <w:p w:rsidR="00A42C71" w:rsidRPr="001A59B6" w:rsidP="00A42C71" w14:paraId="7208C5C8" w14:textId="77777777">
      <w:pPr>
        <w:spacing w:after="0" w:line="240" w:lineRule="auto"/>
        <w:jc w:val="center"/>
        <w:rPr>
          <w:rFonts w:cstheme="minorHAnsi"/>
        </w:rPr>
      </w:pPr>
      <w:r w:rsidRPr="001A59B6">
        <w:rPr>
          <w:rFonts w:cstheme="minorHAnsi"/>
        </w:rPr>
        <w:t>Submitted By:</w:t>
      </w:r>
    </w:p>
    <w:p w:rsidR="00A42C71" w:rsidRPr="001A59B6" w:rsidP="00A42C71" w14:paraId="55988A75" w14:textId="77777777">
      <w:pPr>
        <w:spacing w:after="0" w:line="240" w:lineRule="auto"/>
        <w:jc w:val="center"/>
        <w:rPr>
          <w:rFonts w:cstheme="minorHAnsi"/>
        </w:rPr>
      </w:pPr>
      <w:r w:rsidRPr="001A59B6">
        <w:rPr>
          <w:rFonts w:cstheme="minorHAnsi"/>
        </w:rPr>
        <w:t>Office of Planning, Research, and Evaluation</w:t>
      </w:r>
    </w:p>
    <w:p w:rsidR="00A42C71" w:rsidRPr="001A59B6" w:rsidP="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00A42C71" w:rsidRPr="001A59B6" w:rsidP="00A42C71" w14:paraId="41BA659B" w14:textId="77777777">
      <w:pPr>
        <w:spacing w:after="0" w:line="240" w:lineRule="auto"/>
        <w:jc w:val="center"/>
        <w:rPr>
          <w:rFonts w:cstheme="minorHAnsi"/>
        </w:rPr>
      </w:pPr>
      <w:r w:rsidRPr="001A59B6">
        <w:rPr>
          <w:rFonts w:cstheme="minorHAnsi"/>
        </w:rPr>
        <w:t>U.S. Department of Health and Human Services</w:t>
      </w:r>
    </w:p>
    <w:p w:rsidR="29B2C8DC" w:rsidP="29B2C8DC" w14:paraId="5023735F" w14:textId="0C07D6F8">
      <w:pPr>
        <w:spacing w:after="0" w:line="240" w:lineRule="auto"/>
        <w:jc w:val="center"/>
      </w:pPr>
    </w:p>
    <w:p w:rsidR="00A42C71" w:rsidRPr="001A59B6" w:rsidP="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00A42C71" w:rsidRPr="001A59B6" w:rsidP="00A42C71" w14:paraId="7A2C144B" w14:textId="77777777">
      <w:pPr>
        <w:spacing w:after="0" w:line="240" w:lineRule="auto"/>
        <w:jc w:val="center"/>
        <w:rPr>
          <w:rFonts w:cstheme="minorHAnsi"/>
        </w:rPr>
      </w:pPr>
      <w:r w:rsidRPr="001A59B6">
        <w:rPr>
          <w:rFonts w:cstheme="minorHAnsi"/>
        </w:rPr>
        <w:t>330 C Street, SW</w:t>
      </w:r>
    </w:p>
    <w:p w:rsidR="00A42C71" w:rsidRPr="001A59B6" w:rsidP="00A42C71" w14:paraId="081382E0" w14:textId="77777777">
      <w:pPr>
        <w:spacing w:after="0" w:line="240" w:lineRule="auto"/>
        <w:jc w:val="center"/>
        <w:rPr>
          <w:rFonts w:cstheme="minorHAnsi"/>
        </w:rPr>
      </w:pPr>
      <w:r w:rsidRPr="001A59B6">
        <w:rPr>
          <w:rFonts w:cstheme="minorHAnsi"/>
        </w:rPr>
        <w:t>Washington, D.C. 20201</w:t>
      </w:r>
    </w:p>
    <w:p w:rsidR="29B2C8DC" w:rsidP="29B2C8DC" w14:paraId="085E7B45" w14:textId="00C715C4">
      <w:pPr>
        <w:spacing w:after="0" w:line="240" w:lineRule="auto"/>
        <w:jc w:val="center"/>
      </w:pPr>
    </w:p>
    <w:p w:rsidR="00A42C71" w:rsidRPr="001A59B6" w:rsidP="29B2C8DC" w14:paraId="16C3B2D5" w14:textId="77777777">
      <w:pPr>
        <w:spacing w:after="0" w:line="240" w:lineRule="auto"/>
        <w:jc w:val="center"/>
      </w:pPr>
      <w:r w:rsidRPr="29B2C8DC">
        <w:t>Project Officers:</w:t>
      </w:r>
    </w:p>
    <w:p w:rsidR="004C3638" w:rsidRPr="00C8518D" w:rsidP="00AA5A54" w14:paraId="6FEC499D" w14:textId="267668ED">
      <w:pPr>
        <w:spacing w:after="0" w:line="240" w:lineRule="auto"/>
        <w:jc w:val="center"/>
        <w:rPr>
          <w:rFonts w:ascii="Calibri" w:eastAsia="Calibri" w:hAnsi="Calibri" w:cs="Calibri"/>
          <w:b/>
          <w:bCs/>
          <w:color w:val="000000" w:themeColor="text1"/>
        </w:rPr>
      </w:pPr>
      <w:r w:rsidRPr="00C8518D">
        <w:rPr>
          <w:rFonts w:ascii="Calibri" w:eastAsia="Calibri" w:hAnsi="Calibri" w:cs="Calibri"/>
          <w:b/>
          <w:bCs/>
          <w:color w:val="000000" w:themeColor="text1"/>
        </w:rPr>
        <w:t>Nancy Geyelin Margie</w:t>
      </w:r>
    </w:p>
    <w:p w:rsidR="004C3638" w:rsidRPr="00C8518D" w:rsidP="00AA5A54" w14:paraId="35A7A8D6" w14:textId="0978E44D">
      <w:pPr>
        <w:spacing w:after="0" w:line="240" w:lineRule="auto"/>
        <w:jc w:val="center"/>
        <w:rPr>
          <w:rFonts w:ascii="Calibri" w:eastAsia="Calibri" w:hAnsi="Calibri" w:cs="Calibri"/>
          <w:b/>
          <w:bCs/>
          <w:color w:val="000000" w:themeColor="text1"/>
        </w:rPr>
      </w:pPr>
      <w:r w:rsidRPr="00C8518D">
        <w:rPr>
          <w:rFonts w:ascii="Calibri" w:eastAsia="Calibri" w:hAnsi="Calibri" w:cs="Calibri"/>
          <w:b/>
          <w:bCs/>
          <w:color w:val="000000" w:themeColor="text1"/>
        </w:rPr>
        <w:t>Laura Nerenberg</w:t>
      </w:r>
    </w:p>
    <w:p w:rsidR="29B2C8DC" w:rsidP="29B2C8DC" w14:paraId="70A76C26" w14:textId="4659E976">
      <w:pPr>
        <w:spacing w:after="0" w:line="240" w:lineRule="auto"/>
        <w:jc w:val="center"/>
      </w:pPr>
    </w:p>
    <w:p w:rsidR="00A42C71" w:rsidRPr="001A59B6" w:rsidP="00A42C71" w14:paraId="6CB062A1" w14:textId="77777777">
      <w:pPr>
        <w:spacing w:after="0" w:line="240" w:lineRule="auto"/>
        <w:jc w:val="center"/>
        <w:rPr>
          <w:rFonts w:cstheme="minorHAnsi"/>
          <w:b/>
        </w:rPr>
      </w:pPr>
    </w:p>
    <w:p w:rsidR="00A42C71" w:rsidRPr="001A59B6" w:rsidP="29B2C8DC" w14:paraId="232D875E" w14:textId="46D96253">
      <w:pPr>
        <w:spacing w:after="0"/>
        <w:jc w:val="center"/>
        <w:rPr>
          <w:b/>
          <w:bCs/>
          <w:sz w:val="32"/>
          <w:szCs w:val="32"/>
        </w:rPr>
      </w:pPr>
    </w:p>
    <w:p w:rsidR="00A42C71" w:rsidRPr="001A59B6" w:rsidP="29B2C8DC" w14:paraId="43A21D72" w14:textId="1A862B8C">
      <w:pPr>
        <w:spacing w:after="0"/>
        <w:jc w:val="center"/>
        <w:rPr>
          <w:b/>
          <w:bCs/>
          <w:sz w:val="32"/>
          <w:szCs w:val="32"/>
        </w:rPr>
      </w:pPr>
    </w:p>
    <w:p w:rsidR="00A27960" w14:paraId="05B9D734" w14:textId="77777777">
      <w:pPr>
        <w:rPr>
          <w:b/>
          <w:bCs/>
          <w:sz w:val="32"/>
          <w:szCs w:val="32"/>
        </w:rPr>
      </w:pPr>
      <w:r>
        <w:rPr>
          <w:b/>
          <w:bCs/>
          <w:sz w:val="32"/>
          <w:szCs w:val="32"/>
        </w:rPr>
        <w:br w:type="page"/>
      </w:r>
    </w:p>
    <w:p w:rsidR="00A42C71" w:rsidRPr="001A59B6" w:rsidP="29B2C8DC" w14:paraId="45C49EBE" w14:textId="1FDD3EAB">
      <w:pPr>
        <w:spacing w:after="0"/>
        <w:jc w:val="center"/>
        <w:rPr>
          <w:b/>
          <w:bCs/>
          <w:sz w:val="32"/>
          <w:szCs w:val="32"/>
        </w:rPr>
      </w:pPr>
      <w:r w:rsidRPr="29B2C8DC">
        <w:rPr>
          <w:b/>
          <w:bCs/>
          <w:sz w:val="32"/>
          <w:szCs w:val="32"/>
        </w:rPr>
        <w:t>Part B</w:t>
      </w:r>
    </w:p>
    <w:p w:rsidR="00282994" w:rsidRPr="00282994" w:rsidP="00302B91" w14:paraId="50536A8B" w14:textId="3A2652C3">
      <w:pPr>
        <w:pStyle w:val="pf0"/>
        <w:spacing w:before="0" w:beforeAutospacing="0" w:after="120" w:afterAutospacing="0"/>
        <w:rPr>
          <w:rFonts w:asciiTheme="minorHAnsi" w:hAnsiTheme="minorHAnsi" w:cstheme="minorHAnsi"/>
          <w:sz w:val="22"/>
          <w:szCs w:val="22"/>
        </w:rPr>
      </w:pPr>
      <w:r w:rsidRPr="00282994">
        <w:rPr>
          <w:rStyle w:val="cf01"/>
          <w:rFonts w:asciiTheme="minorHAnsi" w:hAnsiTheme="minorHAnsi" w:cstheme="minorHAnsi"/>
          <w:sz w:val="22"/>
          <w:szCs w:val="22"/>
        </w:rPr>
        <w:t xml:space="preserve">For information about statistical methods and related details for previous phases of MIHOPE, see </w:t>
      </w:r>
      <w:hyperlink r:id="rId9" w:history="1">
        <w:r w:rsidRPr="00282994">
          <w:rPr>
            <w:rStyle w:val="cf01"/>
            <w:rFonts w:asciiTheme="minorHAnsi" w:hAnsiTheme="minorHAnsi" w:cstheme="minorHAnsi"/>
            <w:color w:val="0000FF"/>
            <w:sz w:val="22"/>
            <w:szCs w:val="22"/>
            <w:u w:val="single"/>
          </w:rPr>
          <w:t>previously</w:t>
        </w:r>
        <w:r>
          <w:rPr>
            <w:rStyle w:val="cf01"/>
            <w:rFonts w:asciiTheme="minorHAnsi" w:hAnsiTheme="minorHAnsi" w:cstheme="minorHAnsi"/>
            <w:color w:val="0000FF"/>
            <w:sz w:val="22"/>
            <w:szCs w:val="22"/>
            <w:u w:val="single"/>
          </w:rPr>
          <w:t>-</w:t>
        </w:r>
        <w:r w:rsidRPr="00282994">
          <w:rPr>
            <w:rStyle w:val="cf01"/>
            <w:rFonts w:asciiTheme="minorHAnsi" w:hAnsiTheme="minorHAnsi" w:cstheme="minorHAnsi"/>
            <w:color w:val="0000FF"/>
            <w:sz w:val="22"/>
            <w:szCs w:val="22"/>
            <w:u w:val="single"/>
          </w:rPr>
          <w:t>approved information collection materials</w:t>
        </w:r>
      </w:hyperlink>
      <w:r w:rsidRPr="00282994">
        <w:rPr>
          <w:rStyle w:val="cf01"/>
          <w:rFonts w:asciiTheme="minorHAnsi" w:hAnsiTheme="minorHAnsi" w:cstheme="minorHAnsi"/>
          <w:sz w:val="22"/>
          <w:szCs w:val="22"/>
        </w:rPr>
        <w:t xml:space="preserve">: </w:t>
      </w:r>
    </w:p>
    <w:p w:rsidR="00282994" w:rsidRPr="00282994" w:rsidP="00302B91" w14:paraId="2B2B2B51" w14:textId="77777777">
      <w:pPr>
        <w:pStyle w:val="pf1"/>
        <w:numPr>
          <w:ilvl w:val="0"/>
          <w:numId w:val="51"/>
        </w:numPr>
        <w:rPr>
          <w:rFonts w:asciiTheme="minorHAnsi" w:hAnsiTheme="minorHAnsi" w:cstheme="minorHAnsi"/>
          <w:sz w:val="22"/>
          <w:szCs w:val="22"/>
        </w:rPr>
      </w:pPr>
      <w:r w:rsidRPr="00282994">
        <w:rPr>
          <w:rStyle w:val="cf11"/>
          <w:rFonts w:asciiTheme="minorHAnsi" w:hAnsiTheme="minorHAnsi" w:cstheme="minorHAnsi"/>
          <w:sz w:val="22"/>
          <w:szCs w:val="22"/>
        </w:rPr>
        <w:t>MIHOPE 1: approved July 12, 2012</w:t>
      </w:r>
    </w:p>
    <w:p w:rsidR="00282994" w:rsidRPr="00282994" w:rsidP="00302B91" w14:paraId="32298D94" w14:textId="77777777">
      <w:pPr>
        <w:pStyle w:val="pf1"/>
        <w:numPr>
          <w:ilvl w:val="0"/>
          <w:numId w:val="51"/>
        </w:numPr>
        <w:rPr>
          <w:rFonts w:asciiTheme="minorHAnsi" w:hAnsiTheme="minorHAnsi" w:cstheme="minorHAnsi"/>
          <w:sz w:val="22"/>
          <w:szCs w:val="22"/>
        </w:rPr>
      </w:pPr>
      <w:r w:rsidRPr="00282994">
        <w:rPr>
          <w:rStyle w:val="cf11"/>
          <w:rFonts w:asciiTheme="minorHAnsi" w:hAnsiTheme="minorHAnsi" w:cstheme="minorHAnsi"/>
          <w:sz w:val="22"/>
          <w:szCs w:val="22"/>
        </w:rPr>
        <w:t>MIHOPE 2: approved June 26, 2013</w:t>
      </w:r>
    </w:p>
    <w:p w:rsidR="00282994" w:rsidRPr="00282994" w:rsidP="00302B91" w14:paraId="7F2947B8" w14:textId="77777777">
      <w:pPr>
        <w:pStyle w:val="pf1"/>
        <w:numPr>
          <w:ilvl w:val="0"/>
          <w:numId w:val="51"/>
        </w:numPr>
        <w:spacing w:before="0" w:beforeAutospacing="0" w:after="0" w:afterAutospacing="0"/>
        <w:rPr>
          <w:rFonts w:asciiTheme="minorHAnsi" w:hAnsiTheme="minorHAnsi" w:cstheme="minorHAnsi"/>
          <w:sz w:val="22"/>
          <w:szCs w:val="22"/>
        </w:rPr>
      </w:pPr>
      <w:r w:rsidRPr="00282994">
        <w:rPr>
          <w:rStyle w:val="cf11"/>
          <w:rFonts w:asciiTheme="minorHAnsi" w:hAnsiTheme="minorHAnsi" w:cstheme="minorHAnsi"/>
          <w:sz w:val="22"/>
          <w:szCs w:val="22"/>
        </w:rPr>
        <w:t>MIHOPE Check-in: approved August 6, 2015</w:t>
      </w:r>
    </w:p>
    <w:p w:rsidR="00A42C71" w:rsidRPr="001A59B6" w:rsidP="00A42C71" w14:paraId="230ABA5D" w14:textId="77777777">
      <w:pPr>
        <w:spacing w:after="0" w:line="240" w:lineRule="auto"/>
        <w:rPr>
          <w:rFonts w:cstheme="minorHAnsi"/>
          <w:b/>
        </w:rPr>
      </w:pPr>
    </w:p>
    <w:p w:rsidR="00A42C71" w:rsidRPr="001A59B6" w:rsidP="00302B91" w14:paraId="6D9C455E" w14:textId="77777777">
      <w:pPr>
        <w:spacing w:after="120" w:line="240" w:lineRule="auto"/>
        <w:rPr>
          <w:rFonts w:cstheme="minorHAnsi"/>
        </w:rPr>
      </w:pPr>
      <w:r w:rsidRPr="29B2C8DC">
        <w:rPr>
          <w:b/>
          <w:bCs/>
        </w:rPr>
        <w:t>B1.</w:t>
      </w:r>
      <w:r>
        <w:tab/>
      </w:r>
      <w:r w:rsidRPr="29B2C8DC">
        <w:rPr>
          <w:b/>
          <w:bCs/>
        </w:rPr>
        <w:t>Objectives</w:t>
      </w:r>
    </w:p>
    <w:p w:rsidR="00A42C71" w:rsidRPr="001A59B6" w:rsidP="00302B91" w14:paraId="7D9CBE6E" w14:textId="47106085">
      <w:pPr>
        <w:spacing w:after="60" w:line="240" w:lineRule="auto"/>
        <w:rPr>
          <w:rFonts w:ascii="Calibri" w:eastAsia="Calibri" w:hAnsi="Calibri" w:cs="Calibri"/>
          <w:color w:val="000000" w:themeColor="text1"/>
        </w:rPr>
      </w:pPr>
      <w:r w:rsidRPr="29B2C8DC">
        <w:rPr>
          <w:rFonts w:ascii="Calibri" w:eastAsia="Calibri" w:hAnsi="Calibri" w:cs="Calibri"/>
          <w:i/>
          <w:iCs/>
          <w:color w:val="000000" w:themeColor="text1"/>
        </w:rPr>
        <w:t>Study Objectives</w:t>
      </w:r>
    </w:p>
    <w:p w:rsidR="00A42C71" w:rsidP="009A61C1" w14:paraId="5A3E53A1" w14:textId="4BAFC58A">
      <w:pPr>
        <w:spacing w:after="0" w:line="240" w:lineRule="auto"/>
        <w:rPr>
          <w:rFonts w:ascii="Calibri" w:eastAsia="Calibri" w:hAnsi="Calibri" w:cs="Calibri"/>
          <w:color w:val="000000" w:themeColor="text1"/>
        </w:rPr>
      </w:pPr>
      <w:r w:rsidRPr="29B2C8DC">
        <w:rPr>
          <w:rFonts w:ascii="Calibri" w:eastAsia="Calibri" w:hAnsi="Calibri" w:cs="Calibri"/>
          <w:color w:val="000000" w:themeColor="text1"/>
        </w:rPr>
        <w:t xml:space="preserve">In 2011, the Administration for Children and Families (ACF) and the Health Resources and Services Administration (HRSA) within the U.S. Department of Health and Human Services (HHS) launched the Mother and Infant Home Visiting Program Evaluation (MIHOPE). MIHOPE is providing information about the effectiveness of the Maternal, Infant, and Early Childhood Home Visiting </w:t>
      </w:r>
      <w:r w:rsidR="00770F36">
        <w:rPr>
          <w:rFonts w:ascii="Calibri" w:eastAsia="Calibri" w:hAnsi="Calibri" w:cs="Calibri"/>
          <w:color w:val="000000" w:themeColor="text1"/>
        </w:rPr>
        <w:t>P</w:t>
      </w:r>
      <w:r w:rsidRPr="29B2C8DC">
        <w:rPr>
          <w:rFonts w:ascii="Calibri" w:eastAsia="Calibri" w:hAnsi="Calibri" w:cs="Calibri"/>
          <w:color w:val="000000" w:themeColor="text1"/>
        </w:rPr>
        <w:t>rogram (MIECHV) in its first few years of operation and providing information to help states and others develop and strengthen home visiting programs in the future. The goals of the study are:</w:t>
      </w:r>
    </w:p>
    <w:p w:rsidR="009A61C1" w:rsidRPr="001A59B6" w:rsidP="00302B91" w14:paraId="4ACC445B" w14:textId="77777777">
      <w:pPr>
        <w:spacing w:after="0" w:line="240" w:lineRule="auto"/>
        <w:rPr>
          <w:rFonts w:ascii="Calibri" w:eastAsia="Calibri" w:hAnsi="Calibri" w:cs="Calibri"/>
          <w:color w:val="000000" w:themeColor="text1"/>
        </w:rPr>
      </w:pPr>
    </w:p>
    <w:p w:rsidR="00A42C71" w:rsidRPr="001A59B6" w:rsidP="29B2C8DC" w14:paraId="59C9E6D5" w14:textId="04738452">
      <w:pPr>
        <w:pStyle w:val="ListParagraph"/>
        <w:numPr>
          <w:ilvl w:val="0"/>
          <w:numId w:val="42"/>
        </w:numPr>
        <w:spacing w:line="240" w:lineRule="auto"/>
        <w:rPr>
          <w:rFonts w:eastAsiaTheme="minorEastAsia"/>
          <w:color w:val="000000" w:themeColor="text1"/>
        </w:rPr>
      </w:pPr>
      <w:r w:rsidRPr="29B2C8DC">
        <w:rPr>
          <w:rFonts w:ascii="Calibri" w:eastAsia="Calibri" w:hAnsi="Calibri" w:cs="Calibri"/>
          <w:color w:val="000000" w:themeColor="text1"/>
        </w:rPr>
        <w:t xml:space="preserve">to understand the effects of home visiting programs on parent and child outcomes, both overall and for key subgroups of families, </w:t>
      </w:r>
    </w:p>
    <w:p w:rsidR="00A42C71" w:rsidRPr="001A59B6" w:rsidP="29B2C8DC" w14:paraId="2D7D9833" w14:textId="16BF506E">
      <w:pPr>
        <w:pStyle w:val="ListParagraph"/>
        <w:numPr>
          <w:ilvl w:val="0"/>
          <w:numId w:val="42"/>
        </w:numPr>
        <w:spacing w:line="240" w:lineRule="auto"/>
        <w:rPr>
          <w:rFonts w:eastAsiaTheme="minorEastAsia"/>
          <w:color w:val="000000" w:themeColor="text1"/>
        </w:rPr>
      </w:pPr>
      <w:r w:rsidRPr="29B2C8DC">
        <w:rPr>
          <w:rFonts w:ascii="Calibri" w:eastAsia="Calibri" w:hAnsi="Calibri" w:cs="Calibri"/>
          <w:color w:val="000000" w:themeColor="text1"/>
        </w:rPr>
        <w:t xml:space="preserve">to understand how home visiting programs were implemented and how implementation varied across programs, and </w:t>
      </w:r>
    </w:p>
    <w:p w:rsidR="00A42C71" w:rsidRPr="00C8518D" w:rsidP="00302B91" w14:paraId="3E1D1539" w14:textId="7149F994">
      <w:pPr>
        <w:pStyle w:val="ListParagraph"/>
        <w:numPr>
          <w:ilvl w:val="0"/>
          <w:numId w:val="42"/>
        </w:numPr>
        <w:spacing w:after="0" w:line="240" w:lineRule="auto"/>
        <w:rPr>
          <w:rFonts w:eastAsiaTheme="minorEastAsia"/>
          <w:color w:val="000000" w:themeColor="text1"/>
        </w:rPr>
      </w:pPr>
      <w:r w:rsidRPr="29B2C8DC">
        <w:rPr>
          <w:rFonts w:ascii="Calibri" w:eastAsia="Calibri" w:hAnsi="Calibri" w:cs="Calibri"/>
          <w:color w:val="000000" w:themeColor="text1"/>
        </w:rPr>
        <w:t xml:space="preserve">to understand which features of local home visiting programs are associated with larger or smaller program impacts. </w:t>
      </w:r>
    </w:p>
    <w:p w:rsidR="00C8518D" w:rsidRPr="00C8518D" w:rsidP="00302B91" w14:paraId="3DF88B4B" w14:textId="77777777">
      <w:pPr>
        <w:pStyle w:val="ListParagraph"/>
        <w:spacing w:after="0" w:line="240" w:lineRule="auto"/>
        <w:rPr>
          <w:rFonts w:eastAsiaTheme="minorEastAsia"/>
          <w:color w:val="000000" w:themeColor="text1"/>
        </w:rPr>
      </w:pPr>
    </w:p>
    <w:p w:rsidR="00A42C71" w:rsidP="29B2C8DC" w14:paraId="51CC3722" w14:textId="4F24972C">
      <w:pPr>
        <w:spacing w:after="60" w:line="240" w:lineRule="auto"/>
        <w:rPr>
          <w:rFonts w:ascii="Calibri" w:eastAsia="Calibri" w:hAnsi="Calibri" w:cs="Calibri"/>
          <w:i/>
          <w:color w:val="000000" w:themeColor="text1"/>
        </w:rPr>
      </w:pPr>
      <w:r w:rsidRPr="29B2C8DC">
        <w:rPr>
          <w:rFonts w:ascii="Calibri" w:eastAsia="Calibri" w:hAnsi="Calibri" w:cs="Calibri"/>
          <w:i/>
          <w:iCs/>
          <w:color w:val="000000" w:themeColor="text1"/>
        </w:rPr>
        <w:t xml:space="preserve">Generalizability of Results </w:t>
      </w:r>
    </w:p>
    <w:p w:rsidR="00A42C71" w:rsidRPr="001A59B6" w:rsidP="00C8518D" w14:paraId="1F34E5A0" w14:textId="4FD15DB2">
      <w:pPr>
        <w:spacing w:after="0" w:line="240" w:lineRule="auto"/>
        <w:rPr>
          <w:rFonts w:ascii="Calibri" w:eastAsia="Calibri" w:hAnsi="Calibri" w:cs="Calibri"/>
          <w:color w:val="000000" w:themeColor="text1"/>
        </w:rPr>
      </w:pPr>
      <w:r w:rsidRPr="036C38E4">
        <w:rPr>
          <w:rFonts w:ascii="Calibri" w:eastAsia="Calibri" w:hAnsi="Calibri" w:cs="Calibri"/>
          <w:color w:val="000000" w:themeColor="text1"/>
        </w:rPr>
        <w:t>This randomized study is intended to produce internally-valid estimates of the causal impact of home visiting, not to promote statistical generalization to other sites or service populations. This study could help</w:t>
      </w:r>
      <w:r w:rsidRPr="036C38E4" w:rsidR="3E769884">
        <w:rPr>
          <w:rFonts w:ascii="Calibri" w:eastAsia="Calibri" w:hAnsi="Calibri" w:cs="Calibri"/>
          <w:color w:val="000000" w:themeColor="text1"/>
        </w:rPr>
        <w:t xml:space="preserve"> ACF, HRSA, and the broader home visiting field </w:t>
      </w:r>
      <w:r w:rsidRPr="036C38E4">
        <w:rPr>
          <w:rFonts w:ascii="Calibri" w:eastAsia="Calibri" w:hAnsi="Calibri" w:cs="Calibri"/>
          <w:color w:val="000000" w:themeColor="text1"/>
        </w:rPr>
        <w:t>understand the long-term impact of home visiting on low-income families.</w:t>
      </w:r>
    </w:p>
    <w:p w:rsidR="00A42C71" w:rsidRPr="001A59B6" w:rsidP="00C8518D" w14:paraId="127223A7" w14:textId="6375035B">
      <w:pPr>
        <w:spacing w:after="0" w:line="240" w:lineRule="auto"/>
        <w:rPr>
          <w:rFonts w:ascii="Calibri" w:eastAsia="Calibri" w:hAnsi="Calibri" w:cs="Calibri"/>
          <w:color w:val="000000" w:themeColor="text1"/>
        </w:rPr>
      </w:pPr>
    </w:p>
    <w:p w:rsidR="00A42C71" w:rsidP="29B2C8DC" w14:paraId="044D0722" w14:textId="3CC69038">
      <w:pPr>
        <w:spacing w:after="60" w:line="240" w:lineRule="auto"/>
        <w:rPr>
          <w:rFonts w:ascii="Calibri" w:eastAsia="Calibri" w:hAnsi="Calibri" w:cs="Calibri"/>
          <w:i/>
          <w:color w:val="000000" w:themeColor="text1"/>
        </w:rPr>
      </w:pPr>
      <w:r w:rsidRPr="29B2C8DC">
        <w:rPr>
          <w:rFonts w:ascii="Calibri" w:eastAsia="Calibri" w:hAnsi="Calibri" w:cs="Calibri"/>
          <w:i/>
          <w:iCs/>
          <w:color w:val="000000" w:themeColor="text1"/>
        </w:rPr>
        <w:t xml:space="preserve">Appropriateness of Study Design and Methods for Planned Uses </w:t>
      </w:r>
    </w:p>
    <w:p w:rsidR="00A42C71" w:rsidP="00C8518D" w14:paraId="6D638D2D" w14:textId="314C245C">
      <w:pPr>
        <w:pStyle w:val="NormalWeb"/>
        <w:spacing w:before="0" w:beforeAutospacing="0" w:after="0" w:afterAutospacing="0"/>
        <w:rPr>
          <w:rFonts w:ascii="Calibri" w:eastAsia="Calibri" w:hAnsi="Calibri" w:cs="Calibri"/>
          <w:color w:val="000000" w:themeColor="text1"/>
          <w:sz w:val="22"/>
          <w:szCs w:val="22"/>
        </w:rPr>
      </w:pPr>
      <w:r w:rsidRPr="036C38E4">
        <w:rPr>
          <w:rFonts w:ascii="Calibri" w:eastAsia="Calibri" w:hAnsi="Calibri" w:cs="Calibri"/>
          <w:color w:val="000000" w:themeColor="text1"/>
          <w:sz w:val="22"/>
          <w:szCs w:val="22"/>
        </w:rPr>
        <w:t>The purpose of this data collection activity is to help us understand the long-term effects of home visiting. Evaluating the effect of home visiting on families’ outcomes and the pathways through which home visiting affects families’ long-term outcomes would not be possible without following up with families at multiple time points</w:t>
      </w:r>
      <w:r w:rsidR="005008AD">
        <w:rPr>
          <w:rFonts w:ascii="Calibri" w:eastAsia="Calibri" w:hAnsi="Calibri" w:cs="Calibri"/>
          <w:color w:val="000000" w:themeColor="text1"/>
          <w:sz w:val="22"/>
          <w:szCs w:val="22"/>
        </w:rPr>
        <w:t xml:space="preserve"> (see </w:t>
      </w:r>
      <w:r w:rsidR="007142C1">
        <w:rPr>
          <w:rFonts w:ascii="Calibri" w:eastAsia="Calibri" w:hAnsi="Calibri" w:cs="Calibri"/>
          <w:color w:val="000000" w:themeColor="text1"/>
          <w:sz w:val="22"/>
          <w:szCs w:val="22"/>
        </w:rPr>
        <w:t xml:space="preserve">Supporting Statement </w:t>
      </w:r>
      <w:r w:rsidR="005008AD">
        <w:rPr>
          <w:rFonts w:ascii="Calibri" w:eastAsia="Calibri" w:hAnsi="Calibri" w:cs="Calibri"/>
          <w:color w:val="000000" w:themeColor="text1"/>
          <w:sz w:val="22"/>
          <w:szCs w:val="22"/>
        </w:rPr>
        <w:t>A</w:t>
      </w:r>
      <w:r w:rsidR="00E7092D">
        <w:rPr>
          <w:rFonts w:ascii="Calibri" w:eastAsia="Calibri" w:hAnsi="Calibri" w:cs="Calibri"/>
          <w:color w:val="000000" w:themeColor="text1"/>
          <w:sz w:val="22"/>
          <w:szCs w:val="22"/>
        </w:rPr>
        <w:t>.</w:t>
      </w:r>
      <w:r w:rsidR="005008AD">
        <w:rPr>
          <w:rFonts w:ascii="Calibri" w:eastAsia="Calibri" w:hAnsi="Calibri" w:cs="Calibri"/>
          <w:color w:val="000000" w:themeColor="text1"/>
          <w:sz w:val="22"/>
          <w:szCs w:val="22"/>
        </w:rPr>
        <w:t xml:space="preserve">2 </w:t>
      </w:r>
      <w:r w:rsidR="005008AD">
        <w:rPr>
          <w:rFonts w:ascii="Calibri" w:eastAsia="Calibri" w:hAnsi="Calibri" w:cs="Calibri"/>
          <w:i/>
          <w:iCs/>
          <w:color w:val="000000" w:themeColor="text1"/>
          <w:sz w:val="22"/>
          <w:szCs w:val="22"/>
        </w:rPr>
        <w:t>Other Data Sources and Uses of Information</w:t>
      </w:r>
      <w:r w:rsidR="005008AD">
        <w:rPr>
          <w:rFonts w:ascii="Calibri" w:eastAsia="Calibri" w:hAnsi="Calibri" w:cs="Calibri"/>
          <w:color w:val="000000" w:themeColor="text1"/>
          <w:sz w:val="22"/>
          <w:szCs w:val="22"/>
        </w:rPr>
        <w:t>)</w:t>
      </w:r>
      <w:r w:rsidRPr="036C38E4">
        <w:rPr>
          <w:rFonts w:ascii="Calibri" w:eastAsia="Calibri" w:hAnsi="Calibri" w:cs="Calibri"/>
          <w:color w:val="000000" w:themeColor="text1"/>
          <w:sz w:val="22"/>
          <w:szCs w:val="22"/>
        </w:rPr>
        <w:t xml:space="preserve">. </w:t>
      </w:r>
    </w:p>
    <w:p w:rsidR="003203D0" w:rsidRPr="001A59B6" w:rsidP="003203D0" w14:paraId="48F28CDA" w14:textId="77777777">
      <w:pPr>
        <w:pStyle w:val="NormalWeb"/>
        <w:spacing w:before="0" w:beforeAutospacing="0" w:after="0" w:afterAutospacing="0"/>
        <w:rPr>
          <w:rFonts w:ascii="Calibri" w:eastAsia="Calibri" w:hAnsi="Calibri" w:cs="Calibri"/>
          <w:color w:val="000000" w:themeColor="text1"/>
        </w:rPr>
      </w:pPr>
    </w:p>
    <w:p w:rsidR="00A42C71" w:rsidP="003203D0" w14:paraId="7721BB27" w14:textId="75E722D5">
      <w:pPr>
        <w:pStyle w:val="NormalWeb"/>
        <w:spacing w:before="0" w:beforeAutospacing="0" w:after="0" w:afterAutospacing="0"/>
        <w:rPr>
          <w:rFonts w:ascii="Calibri" w:eastAsia="Calibri" w:hAnsi="Calibri" w:cs="Calibri"/>
          <w:color w:val="000000" w:themeColor="text1"/>
          <w:sz w:val="22"/>
          <w:szCs w:val="22"/>
        </w:rPr>
      </w:pPr>
      <w:r>
        <w:rPr>
          <w:rFonts w:ascii="Calibri" w:eastAsia="Calibri" w:hAnsi="Calibri" w:cs="Calibri"/>
          <w:color w:val="000000" w:themeColor="text1"/>
          <w:sz w:val="22"/>
          <w:szCs w:val="22"/>
        </w:rPr>
        <w:t>A</w:t>
      </w:r>
      <w:r w:rsidRPr="036C38E4" w:rsidR="4D67B57D">
        <w:rPr>
          <w:rFonts w:ascii="Calibri" w:eastAsia="Calibri" w:hAnsi="Calibri" w:cs="Calibri"/>
          <w:color w:val="000000" w:themeColor="text1"/>
          <w:sz w:val="22"/>
          <w:szCs w:val="22"/>
        </w:rPr>
        <w:t xml:space="preserve"> </w:t>
      </w:r>
      <w:r w:rsidRPr="036C38E4" w:rsidR="6261E8A7">
        <w:rPr>
          <w:rFonts w:ascii="Calibri" w:eastAsia="Calibri" w:hAnsi="Calibri" w:cs="Calibri"/>
          <w:color w:val="000000" w:themeColor="text1"/>
          <w:sz w:val="22"/>
          <w:szCs w:val="22"/>
        </w:rPr>
        <w:t>follow</w:t>
      </w:r>
      <w:r w:rsidRPr="036C38E4" w:rsidR="4D67B57D">
        <w:rPr>
          <w:rFonts w:ascii="Calibri" w:eastAsia="Calibri" w:hAnsi="Calibri" w:cs="Calibri"/>
          <w:color w:val="000000" w:themeColor="text1"/>
          <w:sz w:val="22"/>
          <w:szCs w:val="22"/>
        </w:rPr>
        <w:t xml:space="preserve">-up </w:t>
      </w:r>
      <w:r w:rsidR="0059335C">
        <w:rPr>
          <w:rFonts w:ascii="Calibri" w:eastAsia="Calibri" w:hAnsi="Calibri" w:cs="Calibri"/>
          <w:color w:val="000000" w:themeColor="text1"/>
          <w:sz w:val="22"/>
          <w:szCs w:val="22"/>
        </w:rPr>
        <w:t xml:space="preserve">approximately at third grade </w:t>
      </w:r>
      <w:r w:rsidRPr="036C38E4" w:rsidR="4D67B57D">
        <w:rPr>
          <w:rFonts w:ascii="Calibri" w:eastAsia="Calibri" w:hAnsi="Calibri" w:cs="Calibri"/>
          <w:color w:val="000000" w:themeColor="text1"/>
          <w:sz w:val="22"/>
          <w:szCs w:val="22"/>
        </w:rPr>
        <w:t xml:space="preserve">allows the study team to obtain school records that include reading and math test scores at the first point at which they become </w:t>
      </w:r>
      <w:r w:rsidRPr="036C38E4" w:rsidR="55E21E5B">
        <w:rPr>
          <w:rFonts w:ascii="Calibri" w:eastAsia="Calibri" w:hAnsi="Calibri" w:cs="Calibri"/>
          <w:color w:val="000000" w:themeColor="text1"/>
          <w:sz w:val="22"/>
          <w:szCs w:val="22"/>
        </w:rPr>
        <w:t>available</w:t>
      </w:r>
      <w:r w:rsidRPr="036C38E4" w:rsidR="4D67B57D">
        <w:rPr>
          <w:rFonts w:ascii="Calibri" w:eastAsia="Calibri" w:hAnsi="Calibri" w:cs="Calibri"/>
          <w:color w:val="000000" w:themeColor="text1"/>
          <w:sz w:val="22"/>
          <w:szCs w:val="22"/>
        </w:rPr>
        <w:t>. Third</w:t>
      </w:r>
      <w:r w:rsidR="001362DE">
        <w:rPr>
          <w:rFonts w:ascii="Calibri" w:eastAsia="Calibri" w:hAnsi="Calibri" w:cs="Calibri"/>
          <w:color w:val="000000" w:themeColor="text1"/>
          <w:sz w:val="22"/>
          <w:szCs w:val="22"/>
        </w:rPr>
        <w:t xml:space="preserve"> </w:t>
      </w:r>
      <w:r w:rsidRPr="036C38E4" w:rsidR="4D67B57D">
        <w:rPr>
          <w:rFonts w:ascii="Calibri" w:eastAsia="Calibri" w:hAnsi="Calibri" w:cs="Calibri"/>
          <w:color w:val="000000" w:themeColor="text1"/>
          <w:sz w:val="22"/>
          <w:szCs w:val="22"/>
        </w:rPr>
        <w:t xml:space="preserve">grade reading scores in particular have been associated with high school graduation </w:t>
      </w:r>
      <w:r w:rsidRPr="036C38E4" w:rsidR="23396E3B">
        <w:rPr>
          <w:rFonts w:ascii="Calibri" w:eastAsia="Calibri" w:hAnsi="Calibri" w:cs="Calibri"/>
          <w:color w:val="000000" w:themeColor="text1"/>
          <w:sz w:val="22"/>
          <w:szCs w:val="22"/>
        </w:rPr>
        <w:t>rates</w:t>
      </w:r>
      <w:r w:rsidRPr="036C38E4" w:rsidR="4D67B57D">
        <w:rPr>
          <w:rFonts w:ascii="Calibri" w:eastAsia="Calibri" w:hAnsi="Calibri" w:cs="Calibri"/>
          <w:color w:val="000000" w:themeColor="text1"/>
          <w:sz w:val="22"/>
          <w:szCs w:val="22"/>
        </w:rPr>
        <w:t xml:space="preserve">. Furthermore, </w:t>
      </w:r>
      <w:r w:rsidRPr="036C38E4" w:rsidR="51E2A480">
        <w:rPr>
          <w:rFonts w:ascii="Calibri" w:eastAsia="Calibri" w:hAnsi="Calibri" w:cs="Calibri"/>
          <w:color w:val="000000" w:themeColor="text1"/>
          <w:sz w:val="22"/>
          <w:szCs w:val="22"/>
        </w:rPr>
        <w:t xml:space="preserve">obtaining information at or following </w:t>
      </w:r>
      <w:r w:rsidRPr="036C38E4" w:rsidR="359BDA44">
        <w:rPr>
          <w:rFonts w:ascii="Calibri" w:eastAsia="Calibri" w:hAnsi="Calibri" w:cs="Calibri"/>
          <w:color w:val="000000" w:themeColor="text1"/>
          <w:sz w:val="22"/>
          <w:szCs w:val="22"/>
        </w:rPr>
        <w:t>third grade</w:t>
      </w:r>
      <w:r w:rsidRPr="036C38E4" w:rsidR="51E2A480">
        <w:rPr>
          <w:rFonts w:ascii="Calibri" w:eastAsia="Calibri" w:hAnsi="Calibri" w:cs="Calibri"/>
          <w:color w:val="000000" w:themeColor="text1"/>
          <w:sz w:val="22"/>
          <w:szCs w:val="22"/>
        </w:rPr>
        <w:t xml:space="preserve"> is important for conducting benefit-cost analyses. Because benefit-cost analyses weigh the cost of operating a program with subsequent moneta</w:t>
      </w:r>
      <w:r w:rsidRPr="036C38E4" w:rsidR="70237006">
        <w:rPr>
          <w:rFonts w:ascii="Calibri" w:eastAsia="Calibri" w:hAnsi="Calibri" w:cs="Calibri"/>
          <w:color w:val="000000" w:themeColor="text1"/>
          <w:sz w:val="22"/>
          <w:szCs w:val="22"/>
        </w:rPr>
        <w:t>ry benefits to the government, to society, and to families that might result from participation in the program, allowing more time for benefits to accrue will provide more precise estimates of these benefits.</w:t>
      </w:r>
      <w:r w:rsidRPr="036C38E4" w:rsidR="07AFED41">
        <w:rPr>
          <w:rFonts w:ascii="Calibri" w:eastAsia="Calibri" w:hAnsi="Calibri" w:cs="Calibri"/>
          <w:color w:val="000000" w:themeColor="text1"/>
          <w:sz w:val="22"/>
          <w:szCs w:val="22"/>
        </w:rPr>
        <w:t xml:space="preserve"> </w:t>
      </w:r>
      <w:r w:rsidRPr="036C38E4" w:rsidR="5D786657">
        <w:rPr>
          <w:rFonts w:ascii="Calibri" w:eastAsia="Calibri" w:hAnsi="Calibri" w:cs="Calibri"/>
          <w:color w:val="000000" w:themeColor="text1"/>
          <w:sz w:val="22"/>
          <w:szCs w:val="22"/>
        </w:rPr>
        <w:t>The study team identified</w:t>
      </w:r>
      <w:r w:rsidRPr="036C38E4" w:rsidR="0E01A6A4">
        <w:rPr>
          <w:rFonts w:ascii="Calibri" w:eastAsia="Calibri" w:hAnsi="Calibri" w:cs="Calibri"/>
          <w:color w:val="000000" w:themeColor="text1"/>
          <w:sz w:val="22"/>
          <w:szCs w:val="22"/>
        </w:rPr>
        <w:t xml:space="preserve"> </w:t>
      </w:r>
      <w:r w:rsidR="00A74869">
        <w:rPr>
          <w:rFonts w:ascii="Calibri" w:eastAsia="Calibri" w:hAnsi="Calibri" w:cs="Calibri"/>
          <w:color w:val="000000" w:themeColor="text1"/>
          <w:sz w:val="22"/>
          <w:szCs w:val="22"/>
        </w:rPr>
        <w:t xml:space="preserve">seven </w:t>
      </w:r>
      <w:r w:rsidRPr="036C38E4" w:rsidR="5D786657">
        <w:rPr>
          <w:rFonts w:ascii="Calibri" w:eastAsia="Calibri" w:hAnsi="Calibri" w:cs="Calibri"/>
          <w:color w:val="000000" w:themeColor="text1"/>
          <w:sz w:val="22"/>
          <w:szCs w:val="22"/>
        </w:rPr>
        <w:t xml:space="preserve">areas of adult and child functioning and behavior where effects of home visiting services are likely to be observed </w:t>
      </w:r>
      <w:r w:rsidRPr="036C38E4" w:rsidR="74D041FC">
        <w:rPr>
          <w:rFonts w:ascii="Calibri" w:eastAsia="Calibri" w:hAnsi="Calibri" w:cs="Calibri"/>
          <w:color w:val="000000" w:themeColor="text1"/>
          <w:sz w:val="22"/>
          <w:szCs w:val="22"/>
        </w:rPr>
        <w:t xml:space="preserve">in administrative data </w:t>
      </w:r>
      <w:r w:rsidRPr="036C38E4" w:rsidR="5D786657">
        <w:rPr>
          <w:rFonts w:ascii="Calibri" w:eastAsia="Calibri" w:hAnsi="Calibri" w:cs="Calibri"/>
          <w:color w:val="000000" w:themeColor="text1"/>
          <w:sz w:val="22"/>
          <w:szCs w:val="22"/>
        </w:rPr>
        <w:t xml:space="preserve">when children are </w:t>
      </w:r>
      <w:r w:rsidRPr="036C38E4" w:rsidR="6784BD63">
        <w:rPr>
          <w:rFonts w:ascii="Calibri" w:eastAsia="Calibri" w:hAnsi="Calibri" w:cs="Calibri"/>
          <w:color w:val="000000" w:themeColor="text1"/>
          <w:sz w:val="22"/>
          <w:szCs w:val="22"/>
        </w:rPr>
        <w:t xml:space="preserve">of third grade </w:t>
      </w:r>
      <w:r w:rsidRPr="036C38E4" w:rsidR="5D786657">
        <w:rPr>
          <w:rFonts w:ascii="Calibri" w:eastAsia="Calibri" w:hAnsi="Calibri" w:cs="Calibri"/>
          <w:color w:val="000000" w:themeColor="text1"/>
          <w:sz w:val="22"/>
          <w:szCs w:val="22"/>
        </w:rPr>
        <w:t>age:</w:t>
      </w:r>
    </w:p>
    <w:p w:rsidR="00C7237D" w:rsidRPr="001A59B6" w:rsidP="00302B91" w14:paraId="1F44B225" w14:textId="77777777">
      <w:pPr>
        <w:pStyle w:val="NormalWeb"/>
        <w:spacing w:before="0" w:beforeAutospacing="0" w:after="0" w:afterAutospacing="0"/>
        <w:rPr>
          <w:rFonts w:ascii="Calibri" w:eastAsia="Calibri" w:hAnsi="Calibri" w:cs="Calibri"/>
          <w:color w:val="000000" w:themeColor="text1"/>
          <w:sz w:val="22"/>
          <w:szCs w:val="22"/>
        </w:rPr>
      </w:pPr>
    </w:p>
    <w:p w:rsidR="00A42C71" w:rsidRPr="001A59B6" w:rsidP="00302B91" w14:paraId="19ED965D" w14:textId="3CA1ADD4">
      <w:pPr>
        <w:pStyle w:val="NormalWeb"/>
        <w:numPr>
          <w:ilvl w:val="0"/>
          <w:numId w:val="40"/>
        </w:numPr>
        <w:spacing w:before="0" w:beforeAutospacing="0" w:after="0" w:afterAutospacing="0"/>
        <w:rPr>
          <w:rFonts w:asciiTheme="minorHAnsi" w:eastAsiaTheme="minorEastAsia" w:hAnsiTheme="minorHAnsi" w:cstheme="minorBidi"/>
          <w:color w:val="000000" w:themeColor="text1"/>
          <w:sz w:val="22"/>
          <w:szCs w:val="22"/>
        </w:rPr>
      </w:pPr>
      <w:r w:rsidRPr="036C38E4">
        <w:rPr>
          <w:rFonts w:ascii="Calibri" w:eastAsia="Calibri" w:hAnsi="Calibri" w:cs="Calibri"/>
          <w:color w:val="000000" w:themeColor="text1"/>
          <w:sz w:val="22"/>
          <w:szCs w:val="22"/>
        </w:rPr>
        <w:t xml:space="preserve">Maternal </w:t>
      </w:r>
      <w:r w:rsidR="00FC372C">
        <w:rPr>
          <w:rFonts w:ascii="Calibri" w:eastAsia="Calibri" w:hAnsi="Calibri" w:cs="Calibri"/>
          <w:color w:val="000000" w:themeColor="text1"/>
          <w:sz w:val="22"/>
          <w:szCs w:val="22"/>
        </w:rPr>
        <w:t>health</w:t>
      </w:r>
    </w:p>
    <w:p w:rsidR="00FC372C" w:rsidP="00C7237D" w14:paraId="679DD8AF" w14:textId="25DF8E74">
      <w:pPr>
        <w:pStyle w:val="NormalWeb"/>
        <w:numPr>
          <w:ilvl w:val="0"/>
          <w:numId w:val="40"/>
        </w:numPr>
        <w:rPr>
          <w:color w:val="000000" w:themeColor="text1"/>
          <w:sz w:val="22"/>
          <w:szCs w:val="22"/>
        </w:rPr>
      </w:pPr>
      <w:r w:rsidRPr="036C38E4">
        <w:rPr>
          <w:rFonts w:ascii="Calibri" w:eastAsia="Calibri" w:hAnsi="Calibri" w:cs="Calibri"/>
          <w:color w:val="000000" w:themeColor="text1"/>
          <w:sz w:val="22"/>
          <w:szCs w:val="22"/>
        </w:rPr>
        <w:t xml:space="preserve">Child health </w:t>
      </w:r>
    </w:p>
    <w:p w:rsidR="00FC372C" w:rsidRPr="001A59B6" w:rsidP="00FC372C" w14:paraId="34B5039C" w14:textId="0C68CD7D">
      <w:pPr>
        <w:pStyle w:val="NormalWeb"/>
        <w:numPr>
          <w:ilvl w:val="0"/>
          <w:numId w:val="40"/>
        </w:numPr>
        <w:rPr>
          <w:rFonts w:asciiTheme="minorHAnsi" w:eastAsiaTheme="minorEastAsia" w:hAnsiTheme="minorHAnsi" w:cstheme="minorBidi"/>
          <w:color w:val="000000" w:themeColor="text1"/>
          <w:sz w:val="22"/>
          <w:szCs w:val="22"/>
        </w:rPr>
      </w:pPr>
      <w:r w:rsidRPr="036C38E4">
        <w:rPr>
          <w:rFonts w:ascii="Calibri" w:eastAsia="Calibri" w:hAnsi="Calibri" w:cs="Calibri"/>
          <w:color w:val="000000" w:themeColor="text1"/>
          <w:sz w:val="22"/>
          <w:szCs w:val="22"/>
        </w:rPr>
        <w:t xml:space="preserve">Child </w:t>
      </w:r>
      <w:r>
        <w:rPr>
          <w:rFonts w:ascii="Calibri" w:eastAsia="Calibri" w:hAnsi="Calibri" w:cs="Calibri"/>
          <w:color w:val="000000" w:themeColor="text1"/>
          <w:sz w:val="22"/>
          <w:szCs w:val="22"/>
        </w:rPr>
        <w:t>development</w:t>
      </w:r>
      <w:r w:rsidRPr="036C38E4">
        <w:rPr>
          <w:rFonts w:ascii="Calibri" w:eastAsia="Calibri" w:hAnsi="Calibri" w:cs="Calibri"/>
          <w:color w:val="000000" w:themeColor="text1"/>
          <w:sz w:val="22"/>
          <w:szCs w:val="22"/>
        </w:rPr>
        <w:t xml:space="preserve"> and school performance</w:t>
      </w:r>
    </w:p>
    <w:p w:rsidR="00FC372C" w:rsidRPr="00B35071" w:rsidP="0021024B" w14:paraId="13E8F145" w14:textId="77777777">
      <w:pPr>
        <w:pStyle w:val="NormalWeb"/>
        <w:numPr>
          <w:ilvl w:val="0"/>
          <w:numId w:val="40"/>
        </w:numPr>
        <w:rPr>
          <w:rFonts w:asciiTheme="minorHAnsi" w:eastAsiaTheme="minorEastAsia" w:hAnsiTheme="minorHAnsi" w:cstheme="minorBidi"/>
          <w:color w:val="000000" w:themeColor="text1"/>
          <w:sz w:val="22"/>
          <w:szCs w:val="22"/>
        </w:rPr>
      </w:pPr>
      <w:r>
        <w:rPr>
          <w:rFonts w:ascii="Calibri" w:eastAsia="Calibri" w:hAnsi="Calibri" w:cs="Calibri"/>
          <w:color w:val="000000" w:themeColor="text1"/>
          <w:sz w:val="22"/>
          <w:szCs w:val="22"/>
        </w:rPr>
        <w:t>Child maltreatment</w:t>
      </w:r>
    </w:p>
    <w:p w:rsidR="00A42C71" w:rsidRPr="001A59B6" w:rsidP="29B2C8DC" w14:paraId="3D94B5B9" w14:textId="2B9FE39E">
      <w:pPr>
        <w:pStyle w:val="NormalWeb"/>
        <w:numPr>
          <w:ilvl w:val="0"/>
          <w:numId w:val="40"/>
        </w:numPr>
        <w:rPr>
          <w:rFonts w:asciiTheme="minorHAnsi" w:eastAsiaTheme="minorEastAsia" w:hAnsiTheme="minorHAnsi" w:cstheme="minorBidi"/>
          <w:color w:val="000000" w:themeColor="text1"/>
          <w:sz w:val="22"/>
          <w:szCs w:val="22"/>
        </w:rPr>
      </w:pPr>
      <w:r w:rsidRPr="7C46F5A0">
        <w:rPr>
          <w:rFonts w:ascii="Calibri" w:eastAsia="Calibri" w:hAnsi="Calibri" w:cs="Calibri"/>
          <w:color w:val="000000" w:themeColor="text1"/>
          <w:sz w:val="22"/>
          <w:szCs w:val="22"/>
        </w:rPr>
        <w:t>Parenting</w:t>
      </w:r>
    </w:p>
    <w:p w:rsidR="00B35071" w:rsidRPr="00B35071" w:rsidP="00FC31B9" w14:paraId="2D41A7C7" w14:textId="4C1A002F">
      <w:pPr>
        <w:pStyle w:val="NormalWeb"/>
        <w:numPr>
          <w:ilvl w:val="0"/>
          <w:numId w:val="40"/>
        </w:numPr>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color w:val="000000" w:themeColor="text1"/>
          <w:sz w:val="22"/>
          <w:szCs w:val="22"/>
        </w:rPr>
        <w:t>Crime or domestic violence</w:t>
      </w:r>
    </w:p>
    <w:p w:rsidR="00FC31B9" w:rsidRPr="001A59B6" w:rsidP="00302B91" w14:paraId="58EB5019" w14:textId="3937D05F">
      <w:pPr>
        <w:pStyle w:val="NormalWeb"/>
        <w:numPr>
          <w:ilvl w:val="0"/>
          <w:numId w:val="40"/>
        </w:numPr>
        <w:spacing w:before="0" w:beforeAutospacing="0" w:after="0" w:afterAutospacing="0"/>
        <w:rPr>
          <w:rFonts w:asciiTheme="minorHAnsi" w:eastAsiaTheme="minorEastAsia" w:hAnsiTheme="minorHAnsi" w:cstheme="minorBidi"/>
          <w:color w:val="000000" w:themeColor="text1"/>
          <w:sz w:val="22"/>
          <w:szCs w:val="22"/>
        </w:rPr>
      </w:pPr>
      <w:r w:rsidRPr="29B2C8DC">
        <w:rPr>
          <w:rFonts w:ascii="Calibri" w:eastAsia="Calibri" w:hAnsi="Calibri" w:cs="Calibri"/>
          <w:color w:val="000000" w:themeColor="text1"/>
          <w:sz w:val="22"/>
          <w:szCs w:val="22"/>
        </w:rPr>
        <w:t>Family economic self-sufficiency</w:t>
      </w:r>
    </w:p>
    <w:p w:rsidR="003D1A56" w:rsidP="000A5716" w14:paraId="250EBB0D" w14:textId="77777777">
      <w:pPr>
        <w:pStyle w:val="NormalWeb"/>
        <w:spacing w:before="0" w:beforeAutospacing="0" w:after="0" w:afterAutospacing="0"/>
        <w:rPr>
          <w:rFonts w:ascii="Calibri" w:eastAsia="Calibri" w:hAnsi="Calibri" w:cs="Calibri"/>
          <w:color w:val="000000" w:themeColor="text1"/>
          <w:sz w:val="22"/>
          <w:szCs w:val="22"/>
        </w:rPr>
      </w:pPr>
    </w:p>
    <w:p w:rsidR="00A42C71" w:rsidP="000A5716" w14:paraId="24F88CB2" w14:textId="5F88FAEA">
      <w:pPr>
        <w:pStyle w:val="NormalWeb"/>
        <w:spacing w:before="0" w:beforeAutospacing="0" w:after="0" w:afterAutospacing="0"/>
        <w:rPr>
          <w:rFonts w:ascii="Calibri" w:eastAsia="Calibri" w:hAnsi="Calibri" w:cs="Calibri"/>
          <w:color w:val="000000" w:themeColor="text1"/>
          <w:sz w:val="22"/>
          <w:szCs w:val="22"/>
        </w:rPr>
      </w:pPr>
      <w:r w:rsidRPr="29B2C8DC">
        <w:rPr>
          <w:rFonts w:ascii="Calibri" w:eastAsia="Calibri" w:hAnsi="Calibri" w:cs="Calibri"/>
          <w:color w:val="000000" w:themeColor="text1"/>
          <w:sz w:val="22"/>
          <w:szCs w:val="22"/>
        </w:rPr>
        <w:t>A study that follows families over time provides an opportunity to examine child and family outcomes at individual time points as children get older, and to learn about the trajectories of child and family outcomes.</w:t>
      </w:r>
    </w:p>
    <w:p w:rsidR="000A5716" w:rsidRPr="00B250E6" w:rsidP="00302B91" w14:paraId="54A8E741" w14:textId="77777777">
      <w:pPr>
        <w:pStyle w:val="NormalWeb"/>
        <w:spacing w:before="0" w:beforeAutospacing="0" w:after="0" w:afterAutospacing="0"/>
        <w:rPr>
          <w:rFonts w:ascii="Calibri" w:eastAsia="Calibri" w:hAnsi="Calibri" w:cs="Calibri"/>
          <w:color w:val="000000" w:themeColor="text1"/>
          <w:sz w:val="22"/>
          <w:szCs w:val="22"/>
        </w:rPr>
      </w:pPr>
    </w:p>
    <w:p w:rsidR="00A42C71" w:rsidRPr="001A59B6" w:rsidP="00302B91" w14:paraId="078509A0" w14:textId="1CEB0F2D">
      <w:pPr>
        <w:spacing w:after="0" w:line="240" w:lineRule="auto"/>
        <w:rPr>
          <w:rFonts w:ascii="Calibri" w:eastAsia="Calibri" w:hAnsi="Calibri" w:cs="Calibri"/>
          <w:color w:val="000000" w:themeColor="text1"/>
        </w:rPr>
      </w:pPr>
      <w:r w:rsidRPr="036C38E4">
        <w:rPr>
          <w:rFonts w:ascii="Calibri" w:eastAsia="Calibri" w:hAnsi="Calibri" w:cs="Calibri"/>
          <w:color w:val="000000" w:themeColor="text1"/>
        </w:rPr>
        <w:t>Given the study’s requirements for local programs, the home visiting programs participating in MIHOPE are not representative of all MIECHV local programs</w:t>
      </w:r>
      <w:r w:rsidRPr="036C38E4" w:rsidR="583E26E8">
        <w:rPr>
          <w:rFonts w:ascii="Calibri" w:eastAsia="Calibri" w:hAnsi="Calibri" w:cs="Calibri"/>
          <w:color w:val="000000" w:themeColor="text1"/>
        </w:rPr>
        <w:t>. It</w:t>
      </w:r>
      <w:r w:rsidRPr="036C38E4">
        <w:rPr>
          <w:rFonts w:ascii="Calibri" w:eastAsia="Calibri" w:hAnsi="Calibri" w:cs="Calibri"/>
          <w:color w:val="000000" w:themeColor="text1"/>
        </w:rPr>
        <w:t xml:space="preserve"> is not clear how the effects of home visiting where it was studied in MIHOPE would compare with the results for MIECHV as a whole. Key limitations will be included in written products associated with the study. As noted in Supporting Statement A, this information is not intended to be used as the principal basis for public policy decisions and is not expected to meet the threshold of influential or highly influential scientific information.  </w:t>
      </w:r>
    </w:p>
    <w:p w:rsidR="00A42C71" w:rsidRPr="001A59B6" w:rsidP="00A42C71" w14:paraId="7A1B7559" w14:textId="77777777">
      <w:pPr>
        <w:pStyle w:val="ListParagraph"/>
        <w:spacing w:after="0" w:line="240" w:lineRule="auto"/>
        <w:ind w:left="0"/>
        <w:rPr>
          <w:rFonts w:cstheme="minorHAnsi"/>
        </w:rPr>
      </w:pPr>
    </w:p>
    <w:p w:rsidR="00A42C71" w:rsidRPr="001A59B6" w:rsidP="00302B9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RPr="001A59B6" w:rsidP="00692D6C" w14:paraId="4C77B3BD" w14:textId="7EFA9D4C">
      <w:pPr>
        <w:autoSpaceDE w:val="0"/>
        <w:autoSpaceDN w:val="0"/>
        <w:adjustRightInd w:val="0"/>
        <w:spacing w:after="60" w:line="240" w:lineRule="atLeast"/>
        <w:contextualSpacing/>
        <w:rPr>
          <w:rFonts w:eastAsia="Times New Roman"/>
          <w:color w:val="000000"/>
        </w:rPr>
      </w:pPr>
      <w:r w:rsidRPr="29B2C8DC">
        <w:rPr>
          <w:rFonts w:eastAsia="Times New Roman"/>
          <w:i/>
          <w:iCs/>
          <w:color w:val="000000" w:themeColor="text1"/>
        </w:rPr>
        <w:t xml:space="preserve">Target Population </w:t>
      </w:r>
      <w:r w:rsidRPr="29B2C8DC">
        <w:rPr>
          <w:rFonts w:eastAsia="Times New Roman"/>
          <w:color w:val="000000" w:themeColor="text1"/>
        </w:rPr>
        <w:t xml:space="preserve"> </w:t>
      </w:r>
    </w:p>
    <w:p w:rsidR="00A42C71" w:rsidRPr="001A59B6" w:rsidP="00C8518D" w14:paraId="7308995D" w14:textId="2391A00B">
      <w:pPr>
        <w:autoSpaceDE w:val="0"/>
        <w:autoSpaceDN w:val="0"/>
        <w:adjustRightInd w:val="0"/>
        <w:spacing w:after="0" w:line="240" w:lineRule="auto"/>
        <w:contextualSpacing/>
        <w:rPr>
          <w:rFonts w:ascii="Calibri" w:eastAsia="Calibri" w:hAnsi="Calibri" w:cs="Calibri"/>
          <w:color w:val="000000" w:themeColor="text1"/>
        </w:rPr>
      </w:pPr>
      <w:r w:rsidRPr="036C38E4">
        <w:rPr>
          <w:rFonts w:ascii="Calibri" w:eastAsia="Calibri" w:hAnsi="Calibri" w:cs="Calibri"/>
          <w:color w:val="000000" w:themeColor="text1"/>
        </w:rPr>
        <w:t xml:space="preserve">At baseline, MIHOPE recruited 4,229 families from 88 local programs (sites) in 12 states. Families were randomly divided between a program group, which could be enrolled in one of the home visiting programs being studied, or a control group, which was provided with referrals to other services in the community. Families were eligible for the study if (1) the mother was pregnant or the family had a child under six months old when they were recruited for the study, (2) the mother was 15 years or older at time of entry in the study, and (3) the mother was available to complete the baseline family survey. </w:t>
      </w:r>
    </w:p>
    <w:p w:rsidR="00A42C71" w:rsidP="29B2C8DC" w14:paraId="0EC4C463" w14:textId="00A5DE8F">
      <w:pPr>
        <w:autoSpaceDE w:val="0"/>
        <w:autoSpaceDN w:val="0"/>
        <w:adjustRightInd w:val="0"/>
        <w:spacing w:after="0" w:line="240" w:lineRule="atLeast"/>
        <w:contextualSpacing/>
        <w:rPr>
          <w:rFonts w:eastAsia="Times New Roman"/>
          <w:color w:val="000000"/>
        </w:rPr>
      </w:pPr>
    </w:p>
    <w:p w:rsidR="009E3EFE" w:rsidP="29B2C8DC" w14:paraId="0F0897E8" w14:textId="78375A63">
      <w:pPr>
        <w:autoSpaceDE w:val="0"/>
        <w:autoSpaceDN w:val="0"/>
        <w:adjustRightInd w:val="0"/>
        <w:spacing w:after="0" w:line="240" w:lineRule="atLeast"/>
        <w:contextualSpacing/>
        <w:rPr>
          <w:rFonts w:eastAsia="Times New Roman"/>
          <w:color w:val="000000"/>
        </w:rPr>
      </w:pPr>
      <w:r w:rsidRPr="2656DD92">
        <w:rPr>
          <w:rFonts w:eastAsia="Times New Roman"/>
          <w:color w:val="000000" w:themeColor="text1"/>
        </w:rPr>
        <w:t xml:space="preserve">The study plans to conduct third grade follow-up activities with </w:t>
      </w:r>
      <w:r w:rsidR="0070169D">
        <w:rPr>
          <w:rFonts w:eastAsia="Times New Roman"/>
          <w:color w:val="000000" w:themeColor="text1"/>
        </w:rPr>
        <w:t>most</w:t>
      </w:r>
      <w:r w:rsidRPr="2656DD92" w:rsidR="0070169D">
        <w:rPr>
          <w:rFonts w:eastAsia="Times New Roman"/>
          <w:color w:val="000000" w:themeColor="text1"/>
        </w:rPr>
        <w:t xml:space="preserve"> </w:t>
      </w:r>
      <w:r w:rsidRPr="2656DD92">
        <w:rPr>
          <w:rFonts w:eastAsia="Times New Roman"/>
          <w:color w:val="000000" w:themeColor="text1"/>
        </w:rPr>
        <w:t xml:space="preserve">families who enrolled in the study, not just those who have completed previous rounds of follow-up data collection. The sample </w:t>
      </w:r>
      <w:r w:rsidRPr="2656DD92" w:rsidR="002E6462">
        <w:rPr>
          <w:rFonts w:eastAsia="Times New Roman"/>
          <w:color w:val="000000" w:themeColor="text1"/>
        </w:rPr>
        <w:t>eligible for</w:t>
      </w:r>
      <w:r w:rsidRPr="2656DD92">
        <w:rPr>
          <w:rFonts w:eastAsia="Times New Roman"/>
          <w:color w:val="000000" w:themeColor="text1"/>
        </w:rPr>
        <w:t xml:space="preserve"> </w:t>
      </w:r>
      <w:r w:rsidRPr="2656DD92" w:rsidR="00E30C0F">
        <w:rPr>
          <w:rFonts w:eastAsia="Times New Roman"/>
          <w:color w:val="000000" w:themeColor="text1"/>
        </w:rPr>
        <w:t>third grade follow-up data</w:t>
      </w:r>
      <w:r w:rsidRPr="2656DD92">
        <w:rPr>
          <w:rFonts w:eastAsia="Times New Roman"/>
          <w:color w:val="000000" w:themeColor="text1"/>
        </w:rPr>
        <w:t xml:space="preserve"> collection is different from the baseline MIHOPE sample because 1) </w:t>
      </w:r>
      <w:r w:rsidR="00277220">
        <w:rPr>
          <w:rFonts w:eastAsia="Times New Roman"/>
          <w:color w:val="000000" w:themeColor="text1"/>
        </w:rPr>
        <w:t>some</w:t>
      </w:r>
      <w:r w:rsidRPr="2656DD92">
        <w:rPr>
          <w:rFonts w:eastAsia="Times New Roman"/>
          <w:color w:val="000000" w:themeColor="text1"/>
        </w:rPr>
        <w:t xml:space="preserve"> families withdrew from the study and 2) </w:t>
      </w:r>
      <w:r w:rsidR="00277220">
        <w:rPr>
          <w:rFonts w:eastAsia="Times New Roman"/>
          <w:color w:val="000000" w:themeColor="text1"/>
        </w:rPr>
        <w:t xml:space="preserve">some mothers </w:t>
      </w:r>
      <w:r w:rsidR="003C2A38">
        <w:rPr>
          <w:rFonts w:eastAsia="Times New Roman"/>
          <w:color w:val="000000" w:themeColor="text1"/>
        </w:rPr>
        <w:t>had miscarriages after entering the study while pregnant</w:t>
      </w:r>
      <w:r w:rsidR="00D30185">
        <w:rPr>
          <w:rFonts w:eastAsia="Times New Roman"/>
          <w:color w:val="000000" w:themeColor="text1"/>
        </w:rPr>
        <w:t xml:space="preserve"> or </w:t>
      </w:r>
      <w:r w:rsidR="007C2203">
        <w:rPr>
          <w:rFonts w:eastAsia="Times New Roman"/>
          <w:color w:val="000000" w:themeColor="text1"/>
        </w:rPr>
        <w:t xml:space="preserve">the MIHOPE </w:t>
      </w:r>
      <w:r w:rsidR="00D30185">
        <w:rPr>
          <w:rFonts w:eastAsia="Times New Roman"/>
          <w:color w:val="000000" w:themeColor="text1"/>
        </w:rPr>
        <w:t xml:space="preserve">child </w:t>
      </w:r>
      <w:r w:rsidR="007C2203">
        <w:rPr>
          <w:rFonts w:eastAsia="Times New Roman"/>
          <w:color w:val="000000" w:themeColor="text1"/>
        </w:rPr>
        <w:t>was no longer alive</w:t>
      </w:r>
      <w:r w:rsidR="00D30185">
        <w:rPr>
          <w:rFonts w:eastAsia="Times New Roman"/>
          <w:color w:val="000000" w:themeColor="text1"/>
        </w:rPr>
        <w:t xml:space="preserve"> by the time they were contacted for the 15-month follow-up</w:t>
      </w:r>
      <w:r w:rsidRPr="2656DD92">
        <w:rPr>
          <w:rFonts w:eastAsia="Times New Roman"/>
          <w:color w:val="000000" w:themeColor="text1"/>
        </w:rPr>
        <w:t>.</w:t>
      </w:r>
    </w:p>
    <w:p w:rsidR="008C4531" w:rsidP="29B2C8DC" w14:paraId="6DEA2027" w14:textId="77777777">
      <w:pPr>
        <w:autoSpaceDE w:val="0"/>
        <w:autoSpaceDN w:val="0"/>
        <w:adjustRightInd w:val="0"/>
        <w:spacing w:after="0" w:line="240" w:lineRule="atLeast"/>
        <w:contextualSpacing/>
        <w:rPr>
          <w:rFonts w:eastAsia="Times New Roman"/>
          <w:color w:val="000000"/>
        </w:rPr>
      </w:pPr>
    </w:p>
    <w:p w:rsidR="008C4531" w:rsidP="29B2C8DC" w14:paraId="6E7F4D23" w14:textId="3A5D9D3D">
      <w:pPr>
        <w:autoSpaceDE w:val="0"/>
        <w:autoSpaceDN w:val="0"/>
        <w:adjustRightInd w:val="0"/>
        <w:spacing w:after="0" w:line="240" w:lineRule="atLeast"/>
        <w:contextualSpacing/>
        <w:rPr>
          <w:rFonts w:eastAsia="Times New Roman"/>
          <w:color w:val="000000"/>
        </w:rPr>
      </w:pPr>
      <w:r w:rsidRPr="67B58022">
        <w:rPr>
          <w:rFonts w:eastAsia="Times New Roman"/>
          <w:color w:val="000000" w:themeColor="text1"/>
        </w:rPr>
        <w:t>As shown in Figure B.1, the study enrolled 4,229 families, all of whom completed the baseline interview. Between the baseline interview and the 15-month follow up, 11 families withdrew from the study, resulting in a fielded sample of 4,218 families at the 15-month follow up. At the 15-month follow</w:t>
      </w:r>
      <w:r w:rsidRPr="67B58022" w:rsidR="2C85FC6B">
        <w:rPr>
          <w:rFonts w:eastAsia="Times New Roman"/>
          <w:color w:val="000000" w:themeColor="text1"/>
        </w:rPr>
        <w:t>-</w:t>
      </w:r>
      <w:r w:rsidRPr="67B58022">
        <w:rPr>
          <w:rFonts w:eastAsia="Times New Roman"/>
          <w:color w:val="000000" w:themeColor="text1"/>
        </w:rPr>
        <w:t xml:space="preserve">up, we learned that 103 children had never been born (for example, because of miscarriages) or had died </w:t>
      </w:r>
      <w:r w:rsidR="002923EF">
        <w:rPr>
          <w:rFonts w:eastAsia="Times New Roman"/>
          <w:color w:val="000000" w:themeColor="text1"/>
        </w:rPr>
        <w:t xml:space="preserve">soon </w:t>
      </w:r>
      <w:r w:rsidRPr="67B58022">
        <w:rPr>
          <w:rFonts w:eastAsia="Times New Roman"/>
          <w:color w:val="000000" w:themeColor="text1"/>
        </w:rPr>
        <w:t>after birth</w:t>
      </w:r>
      <w:r w:rsidR="002923EF">
        <w:rPr>
          <w:rFonts w:eastAsia="Times New Roman"/>
          <w:color w:val="000000" w:themeColor="text1"/>
        </w:rPr>
        <w:t xml:space="preserve"> (by the 15-month follow-up point) </w:t>
      </w:r>
      <w:r w:rsidR="00736549">
        <w:rPr>
          <w:rFonts w:eastAsia="Times New Roman"/>
          <w:color w:val="000000" w:themeColor="text1"/>
        </w:rPr>
        <w:t>and, therefore, the</w:t>
      </w:r>
      <w:r w:rsidR="002923EF">
        <w:rPr>
          <w:rFonts w:eastAsia="Times New Roman"/>
          <w:color w:val="000000" w:themeColor="text1"/>
        </w:rPr>
        <w:t>se</w:t>
      </w:r>
      <w:r w:rsidR="00736549">
        <w:rPr>
          <w:rFonts w:eastAsia="Times New Roman"/>
          <w:color w:val="000000" w:themeColor="text1"/>
        </w:rPr>
        <w:t xml:space="preserve"> families were not </w:t>
      </w:r>
      <w:r w:rsidR="002923EF">
        <w:rPr>
          <w:rFonts w:eastAsia="Times New Roman"/>
          <w:color w:val="000000" w:themeColor="text1"/>
        </w:rPr>
        <w:t>contacted for</w:t>
      </w:r>
      <w:r w:rsidR="00736549">
        <w:rPr>
          <w:rFonts w:eastAsia="Times New Roman"/>
          <w:color w:val="000000" w:themeColor="text1"/>
        </w:rPr>
        <w:t xml:space="preserve"> subsequent data collection efforts</w:t>
      </w:r>
      <w:r w:rsidRPr="67B58022">
        <w:rPr>
          <w:rFonts w:eastAsia="Times New Roman"/>
          <w:color w:val="000000" w:themeColor="text1"/>
        </w:rPr>
        <w:t xml:space="preserve">. </w:t>
      </w:r>
      <w:r w:rsidRPr="67B58022" w:rsidR="0641D409">
        <w:rPr>
          <w:rFonts w:eastAsia="Times New Roman"/>
          <w:color w:val="000000" w:themeColor="text1"/>
        </w:rPr>
        <w:t>Between the 15-month follow up and the</w:t>
      </w:r>
      <w:r w:rsidR="00195CCB">
        <w:rPr>
          <w:rFonts w:eastAsia="Times New Roman"/>
          <w:color w:val="000000" w:themeColor="text1"/>
        </w:rPr>
        <w:t xml:space="preserve"> 2.5-year and 3.5-year Check-in and subsequent</w:t>
      </w:r>
      <w:r w:rsidRPr="67B58022" w:rsidR="0641D409">
        <w:rPr>
          <w:rFonts w:eastAsia="Times New Roman"/>
          <w:color w:val="000000" w:themeColor="text1"/>
        </w:rPr>
        <w:t xml:space="preserve"> kindergarten</w:t>
      </w:r>
      <w:r w:rsidRPr="67B58022" w:rsidR="1DE071E8">
        <w:rPr>
          <w:rFonts w:eastAsia="Times New Roman"/>
          <w:color w:val="000000" w:themeColor="text1"/>
        </w:rPr>
        <w:t xml:space="preserve"> follow-up, two families</w:t>
      </w:r>
      <w:r w:rsidR="00E25E7E">
        <w:rPr>
          <w:rFonts w:eastAsia="Times New Roman"/>
          <w:color w:val="000000" w:themeColor="text1"/>
        </w:rPr>
        <w:t xml:space="preserve"> also</w:t>
      </w:r>
      <w:r w:rsidRPr="67B58022" w:rsidR="1DE071E8">
        <w:rPr>
          <w:rFonts w:eastAsia="Times New Roman"/>
          <w:color w:val="000000" w:themeColor="text1"/>
        </w:rPr>
        <w:t xml:space="preserve"> withdrew from the study.</w:t>
      </w:r>
      <w:r w:rsidRPr="67B58022" w:rsidR="0641D409">
        <w:rPr>
          <w:rFonts w:eastAsia="Times New Roman"/>
          <w:color w:val="000000" w:themeColor="text1"/>
        </w:rPr>
        <w:t xml:space="preserve"> </w:t>
      </w:r>
      <w:r w:rsidRPr="67B58022" w:rsidR="007C770C">
        <w:rPr>
          <w:rFonts w:eastAsia="Times New Roman"/>
          <w:color w:val="000000" w:themeColor="text1"/>
        </w:rPr>
        <w:t>Th</w:t>
      </w:r>
      <w:r w:rsidR="00302523">
        <w:rPr>
          <w:rFonts w:eastAsia="Times New Roman"/>
          <w:color w:val="000000" w:themeColor="text1"/>
        </w:rPr>
        <w:t>us, th</w:t>
      </w:r>
      <w:r w:rsidRPr="67B58022" w:rsidR="007C770C">
        <w:rPr>
          <w:rFonts w:eastAsia="Times New Roman"/>
          <w:color w:val="000000" w:themeColor="text1"/>
        </w:rPr>
        <w:t xml:space="preserve">e </w:t>
      </w:r>
      <w:r w:rsidR="002923EF">
        <w:rPr>
          <w:rFonts w:eastAsia="Times New Roman"/>
          <w:color w:val="000000" w:themeColor="text1"/>
        </w:rPr>
        <w:t>2.</w:t>
      </w:r>
      <w:r w:rsidR="00195CCB">
        <w:rPr>
          <w:rFonts w:eastAsia="Times New Roman"/>
          <w:color w:val="000000" w:themeColor="text1"/>
        </w:rPr>
        <w:t xml:space="preserve">5-year and 3.5-year Check-in and </w:t>
      </w:r>
      <w:r w:rsidRPr="67B58022" w:rsidR="007C770C">
        <w:rPr>
          <w:rFonts w:eastAsia="Times New Roman"/>
          <w:color w:val="000000" w:themeColor="text1"/>
        </w:rPr>
        <w:t>kindergarten follow-up</w:t>
      </w:r>
      <w:r w:rsidR="00195CCB">
        <w:rPr>
          <w:rFonts w:eastAsia="Times New Roman"/>
          <w:color w:val="000000" w:themeColor="text1"/>
        </w:rPr>
        <w:t>s</w:t>
      </w:r>
      <w:r w:rsidRPr="67B58022" w:rsidR="007C770C">
        <w:rPr>
          <w:rFonts w:eastAsia="Times New Roman"/>
          <w:color w:val="000000" w:themeColor="text1"/>
        </w:rPr>
        <w:t xml:space="preserve"> included a fielded sample of</w:t>
      </w:r>
      <w:r w:rsidRPr="67B58022">
        <w:rPr>
          <w:rFonts w:eastAsia="Times New Roman"/>
          <w:color w:val="000000" w:themeColor="text1"/>
        </w:rPr>
        <w:t xml:space="preserve"> 4,11</w:t>
      </w:r>
      <w:r w:rsidRPr="67B58022" w:rsidR="0D953045">
        <w:rPr>
          <w:rFonts w:eastAsia="Times New Roman"/>
          <w:color w:val="000000" w:themeColor="text1"/>
        </w:rPr>
        <w:t>3</w:t>
      </w:r>
      <w:r w:rsidRPr="67B58022">
        <w:rPr>
          <w:rFonts w:eastAsia="Times New Roman"/>
          <w:color w:val="000000" w:themeColor="text1"/>
        </w:rPr>
        <w:t xml:space="preserve"> families. </w:t>
      </w:r>
      <w:r w:rsidRPr="67B58022" w:rsidR="007C770C">
        <w:rPr>
          <w:rFonts w:eastAsia="Times New Roman"/>
          <w:color w:val="000000" w:themeColor="text1"/>
        </w:rPr>
        <w:t xml:space="preserve">Between the kindergarten follow-up and third grade follow-up, </w:t>
      </w:r>
      <w:r w:rsidRPr="67B58022" w:rsidR="5A62AAC9">
        <w:rPr>
          <w:rFonts w:eastAsia="Times New Roman"/>
          <w:color w:val="000000" w:themeColor="text1"/>
        </w:rPr>
        <w:t>8 families</w:t>
      </w:r>
      <w:r w:rsidRPr="67B58022" w:rsidR="007C770C">
        <w:rPr>
          <w:rFonts w:eastAsia="Times New Roman"/>
          <w:color w:val="000000" w:themeColor="text1"/>
        </w:rPr>
        <w:t xml:space="preserve"> withdrew from the study. Therefore, the sample </w:t>
      </w:r>
      <w:r w:rsidRPr="67B58022" w:rsidR="009C6859">
        <w:rPr>
          <w:rFonts w:eastAsia="Times New Roman"/>
          <w:color w:val="000000" w:themeColor="text1"/>
        </w:rPr>
        <w:t xml:space="preserve">eligible </w:t>
      </w:r>
      <w:r w:rsidRPr="67B58022" w:rsidR="007C770C">
        <w:rPr>
          <w:rFonts w:eastAsia="Times New Roman"/>
          <w:color w:val="000000" w:themeColor="text1"/>
        </w:rPr>
        <w:t xml:space="preserve">for the third grade follow up </w:t>
      </w:r>
      <w:r w:rsidRPr="67B58022" w:rsidR="00BD28F6">
        <w:rPr>
          <w:rFonts w:eastAsia="Times New Roman"/>
          <w:color w:val="000000" w:themeColor="text1"/>
        </w:rPr>
        <w:t xml:space="preserve">includes </w:t>
      </w:r>
      <w:r w:rsidRPr="74D73F87" w:rsidR="5CAEB3CA">
        <w:rPr>
          <w:rFonts w:eastAsia="Times New Roman"/>
          <w:color w:val="000000" w:themeColor="text1"/>
        </w:rPr>
        <w:t>4,</w:t>
      </w:r>
      <w:r w:rsidRPr="338D4A51" w:rsidR="5CAEB3CA">
        <w:rPr>
          <w:rFonts w:eastAsia="Times New Roman"/>
          <w:color w:val="000000" w:themeColor="text1"/>
        </w:rPr>
        <w:t>10</w:t>
      </w:r>
      <w:r w:rsidRPr="338D4A51" w:rsidR="5CAEB3CA">
        <w:rPr>
          <w:rFonts w:eastAsia="Times New Roman"/>
          <w:color w:val="000000" w:themeColor="text1"/>
        </w:rPr>
        <w:t>5</w:t>
      </w:r>
      <w:r w:rsidRPr="67B58022" w:rsidR="00BD28F6">
        <w:rPr>
          <w:rFonts w:eastAsia="Times New Roman"/>
          <w:color w:val="000000" w:themeColor="text1"/>
        </w:rPr>
        <w:t xml:space="preserve"> families.</w:t>
      </w:r>
    </w:p>
    <w:p w:rsidR="00E571D6" w14:paraId="6B0D39EC" w14:textId="77777777">
      <w:pPr>
        <w:rPr>
          <w:rFonts w:eastAsia="Times New Roman"/>
          <w:b/>
          <w:bCs/>
          <w:color w:val="000000" w:themeColor="text1"/>
        </w:rPr>
      </w:pPr>
      <w:r>
        <w:rPr>
          <w:rFonts w:eastAsia="Times New Roman"/>
          <w:b/>
          <w:bCs/>
          <w:color w:val="000000" w:themeColor="text1"/>
        </w:rPr>
        <w:br w:type="page"/>
      </w:r>
    </w:p>
    <w:p w:rsidR="00AE217A" w:rsidP="006065FD" w14:paraId="6EBA940B" w14:textId="31E266A8">
      <w:pPr>
        <w:autoSpaceDE w:val="0"/>
        <w:autoSpaceDN w:val="0"/>
        <w:adjustRightInd w:val="0"/>
        <w:spacing w:after="0" w:line="257" w:lineRule="auto"/>
        <w:contextualSpacing/>
        <w:jc w:val="center"/>
        <w:rPr>
          <w:rFonts w:ascii="Calibri" w:eastAsia="Calibri" w:hAnsi="Calibri" w:cs="Calibri"/>
        </w:rPr>
      </w:pPr>
      <w:r w:rsidRPr="0059335C">
        <w:rPr>
          <w:rFonts w:ascii="Calibri" w:eastAsia="Calibri" w:hAnsi="Calibri" w:cs="Calibri"/>
          <w:b/>
        </w:rPr>
        <w:t xml:space="preserve">Figure B.1 </w:t>
      </w:r>
      <w:r w:rsidRPr="0059335C" w:rsidR="004A3A99">
        <w:rPr>
          <w:rFonts w:ascii="Calibri" w:eastAsia="Calibri" w:hAnsi="Calibri" w:cs="Calibri"/>
          <w:b/>
        </w:rPr>
        <w:t xml:space="preserve">– </w:t>
      </w:r>
      <w:r w:rsidRPr="0059335C">
        <w:rPr>
          <w:rFonts w:ascii="Calibri" w:eastAsia="Calibri" w:hAnsi="Calibri" w:cs="Calibri"/>
          <w:b/>
        </w:rPr>
        <w:t>MIHOPE Sample at Baseline, 15-</w:t>
      </w:r>
      <w:r w:rsidR="00D06D86">
        <w:rPr>
          <w:rFonts w:ascii="Calibri" w:eastAsia="Calibri" w:hAnsi="Calibri" w:cs="Calibri"/>
          <w:b/>
        </w:rPr>
        <w:t>M</w:t>
      </w:r>
      <w:r w:rsidRPr="0059335C">
        <w:rPr>
          <w:rFonts w:ascii="Calibri" w:eastAsia="Calibri" w:hAnsi="Calibri" w:cs="Calibri"/>
          <w:b/>
        </w:rPr>
        <w:t>onth</w:t>
      </w:r>
      <w:r w:rsidR="00E406FF">
        <w:rPr>
          <w:rFonts w:ascii="Calibri" w:eastAsia="Calibri" w:hAnsi="Calibri" w:cs="Calibri"/>
          <w:b/>
        </w:rPr>
        <w:t>s</w:t>
      </w:r>
      <w:r w:rsidRPr="0059335C">
        <w:rPr>
          <w:rFonts w:ascii="Calibri" w:eastAsia="Calibri" w:hAnsi="Calibri" w:cs="Calibri"/>
          <w:b/>
        </w:rPr>
        <w:t>,</w:t>
      </w:r>
      <w:r w:rsidR="00E406FF">
        <w:rPr>
          <w:rFonts w:ascii="Calibri" w:eastAsia="Calibri" w:hAnsi="Calibri" w:cs="Calibri"/>
          <w:b/>
        </w:rPr>
        <w:t xml:space="preserve"> 2.5-Years, 3.5-Years,</w:t>
      </w:r>
      <w:r w:rsidRPr="0059335C">
        <w:rPr>
          <w:rFonts w:ascii="Calibri" w:eastAsia="Calibri" w:hAnsi="Calibri" w:cs="Calibri"/>
          <w:b/>
        </w:rPr>
        <w:t xml:space="preserve"> Kindergarten, and Third-Grade Follow-Up</w:t>
      </w:r>
      <w:r w:rsidR="00E406FF">
        <w:rPr>
          <w:rFonts w:ascii="Calibri" w:eastAsia="Calibri" w:hAnsi="Calibri" w:cs="Calibri"/>
          <w:b/>
        </w:rPr>
        <w:t>s</w:t>
      </w:r>
    </w:p>
    <w:p w:rsidR="0053651D" w:rsidRPr="001A59B6" w:rsidP="00560AD9" w14:paraId="68912AB2" w14:textId="05BD2553">
      <w:pPr>
        <w:autoSpaceDE w:val="0"/>
        <w:autoSpaceDN w:val="0"/>
        <w:adjustRightInd w:val="0"/>
        <w:spacing w:after="0" w:line="257" w:lineRule="auto"/>
        <w:contextualSpacing/>
        <w:rPr>
          <w:rFonts w:ascii="Calibri" w:eastAsia="Calibri" w:hAnsi="Calibri" w:cs="Calibri"/>
        </w:rPr>
      </w:pPr>
    </w:p>
    <w:p w:rsidR="00A42C71" w:rsidRPr="001A59B6" w:rsidP="7C46F5A0" w14:paraId="2DAEC0F7" w14:textId="7EAFA76F">
      <w:pPr>
        <w:autoSpaceDE w:val="0"/>
        <w:autoSpaceDN w:val="0"/>
        <w:adjustRightInd w:val="0"/>
        <w:spacing w:after="0" w:line="240" w:lineRule="atLeast"/>
        <w:contextualSpacing/>
      </w:pPr>
      <w:r w:rsidRPr="000C24E2">
        <w:rPr>
          <w:i/>
          <w:iCs/>
          <w:noProof/>
        </w:rPr>
        <mc:AlternateContent>
          <mc:Choice Requires="wps">
            <w:drawing>
              <wp:anchor distT="45720" distB="45720" distL="114300" distR="114300" simplePos="0" relativeHeight="251658240" behindDoc="0" locked="0" layoutInCell="1" allowOverlap="1">
                <wp:simplePos x="0" y="0"/>
                <wp:positionH relativeFrom="margin">
                  <wp:align>center</wp:align>
                </wp:positionH>
                <wp:positionV relativeFrom="paragraph">
                  <wp:posOffset>124662</wp:posOffset>
                </wp:positionV>
                <wp:extent cx="2413000" cy="952500"/>
                <wp:effectExtent l="0" t="0" r="25400" b="1905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0" cy="952500"/>
                        </a:xfrm>
                        <a:prstGeom prst="rect">
                          <a:avLst/>
                        </a:prstGeom>
                        <a:solidFill>
                          <a:srgbClr val="FFFFFF"/>
                        </a:solidFill>
                        <a:ln w="12700">
                          <a:solidFill>
                            <a:schemeClr val="tx1"/>
                          </a:solidFill>
                          <a:miter lim="800000"/>
                          <a:headEnd/>
                          <a:tailEnd/>
                        </a:ln>
                      </wps:spPr>
                      <wps:txbx>
                        <w:txbxContent>
                          <w:p w:rsidR="00560AD9" w:rsidP="00560AD9" w14:textId="77777777">
                            <w:pPr>
                              <w:spacing w:after="0"/>
                              <w:jc w:val="center"/>
                            </w:pPr>
                            <w:r>
                              <w:t>Baseline Sample:</w:t>
                            </w:r>
                          </w:p>
                          <w:p w:rsidR="00560AD9" w:rsidP="00560AD9" w14:textId="77777777">
                            <w:pPr>
                              <w:spacing w:after="0"/>
                              <w:jc w:val="center"/>
                            </w:pPr>
                            <w:r>
                              <w:t>4,229 families</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190pt;height:75pt;margin-top:9.8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middle;z-index:251659264" strokecolor="black" strokeweight="1pt">
                <v:textbox>
                  <w:txbxContent>
                    <w:p w:rsidR="00560AD9" w:rsidP="00560AD9" w14:paraId="5F04C190" w14:textId="77777777">
                      <w:pPr>
                        <w:spacing w:after="0"/>
                        <w:jc w:val="center"/>
                      </w:pPr>
                      <w:r>
                        <w:t>Baseline Sample:</w:t>
                      </w:r>
                    </w:p>
                    <w:p w:rsidR="00560AD9" w:rsidP="00560AD9" w14:paraId="548295B7" w14:textId="77777777">
                      <w:pPr>
                        <w:spacing w:after="0"/>
                        <w:jc w:val="center"/>
                      </w:pPr>
                      <w:r>
                        <w:t>4,229 families</w:t>
                      </w:r>
                    </w:p>
                  </w:txbxContent>
                </v:textbox>
                <w10:wrap type="square"/>
              </v:shape>
            </w:pict>
          </mc:Fallback>
        </mc:AlternateContent>
      </w:r>
    </w:p>
    <w:p w:rsidR="00E571D6" w14:paraId="284C8BDE" w14:textId="2D48178A">
      <w:pPr>
        <w:rPr>
          <w:rFonts w:eastAsia="Times New Roman"/>
          <w:i/>
          <w:iCs/>
          <w:color w:val="000000" w:themeColor="text1"/>
        </w:rPr>
      </w:pPr>
      <w:r w:rsidRPr="000C24E2">
        <w:rPr>
          <w:i/>
          <w:iCs/>
          <w:noProof/>
        </w:rPr>
        <mc:AlternateContent>
          <mc:Choice Requires="wps">
            <w:drawing>
              <wp:anchor distT="45720" distB="45720" distL="114300" distR="114300" simplePos="0" relativeHeight="251676672" behindDoc="0" locked="0" layoutInCell="1" allowOverlap="1">
                <wp:simplePos x="0" y="0"/>
                <wp:positionH relativeFrom="margin">
                  <wp:posOffset>1969097</wp:posOffset>
                </wp:positionH>
                <wp:positionV relativeFrom="paragraph">
                  <wp:posOffset>6057215</wp:posOffset>
                </wp:positionV>
                <wp:extent cx="2200275" cy="958215"/>
                <wp:effectExtent l="0" t="0" r="28575" b="13335"/>
                <wp:wrapSquare wrapText="bothSides"/>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00275" cy="958215"/>
                        </a:xfrm>
                        <a:prstGeom prst="rect">
                          <a:avLst/>
                        </a:prstGeom>
                        <a:solidFill>
                          <a:srgbClr val="FFFFFF"/>
                        </a:solidFill>
                        <a:ln w="12700">
                          <a:solidFill>
                            <a:schemeClr val="tx1"/>
                          </a:solidFill>
                          <a:miter lim="800000"/>
                          <a:headEnd/>
                          <a:tailEnd/>
                        </a:ln>
                      </wps:spPr>
                      <wps:txbx>
                        <w:txbxContent>
                          <w:p w:rsidR="00D76BE3" w:rsidP="00D76BE3" w14:textId="77777777">
                            <w:pPr>
                              <w:spacing w:after="0"/>
                              <w:jc w:val="center"/>
                            </w:pPr>
                            <w:r>
                              <w:t>Sample Eligible for Third-Grade Follow-Up:</w:t>
                            </w:r>
                          </w:p>
                          <w:p w:rsidR="00D76BE3" w:rsidP="00D76BE3" w14:textId="77777777">
                            <w:pPr>
                              <w:spacing w:after="0"/>
                              <w:jc w:val="center"/>
                            </w:pPr>
                            <w:r>
                              <w:t>4,105 families</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Text Box 13" o:spid="_x0000_s1026" type="#_x0000_t202" style="width:173.25pt;height:75.45pt;margin-top:476.95pt;margin-left:155.05pt;mso-height-percent:0;mso-height-relative:margin;mso-position-horizontal-relative:margin;mso-width-percent:0;mso-width-relative:margin;mso-wrap-distance-bottom:3.6pt;mso-wrap-distance-left:9pt;mso-wrap-distance-right:9pt;mso-wrap-distance-top:3.6pt;mso-wrap-style:square;position:absolute;visibility:visible;v-text-anchor:middle;z-index:251677696" strokecolor="black" strokeweight="1pt">
                <v:textbox>
                  <w:txbxContent>
                    <w:p w:rsidR="00D76BE3" w:rsidP="00D76BE3" w14:paraId="68ACBAB4" w14:textId="77777777">
                      <w:pPr>
                        <w:spacing w:after="0"/>
                        <w:jc w:val="center"/>
                      </w:pPr>
                      <w:r>
                        <w:t>Sample Eligible for Third-Grade Follow-Up:</w:t>
                      </w:r>
                    </w:p>
                    <w:p w:rsidR="00D76BE3" w:rsidP="00D76BE3" w14:paraId="45837ACF" w14:textId="77777777">
                      <w:pPr>
                        <w:spacing w:after="0"/>
                        <w:jc w:val="center"/>
                      </w:pPr>
                      <w:r>
                        <w:t>4,105 families</w:t>
                      </w:r>
                    </w:p>
                  </w:txbxContent>
                </v:textbox>
                <w10:wrap type="square"/>
              </v:shape>
            </w:pict>
          </mc:Fallback>
        </mc:AlternateContent>
      </w:r>
      <w:r w:rsidR="004F31C9">
        <w:rPr>
          <w:noProof/>
        </w:rPr>
        <mc:AlternateContent>
          <mc:Choice Requires="wps">
            <w:drawing>
              <wp:anchor distT="0" distB="0" distL="114300" distR="114300" simplePos="0" relativeHeight="251674624" behindDoc="0" locked="0" layoutInCell="1" allowOverlap="1">
                <wp:simplePos x="0" y="0"/>
                <wp:positionH relativeFrom="column">
                  <wp:posOffset>3041964</wp:posOffset>
                </wp:positionH>
                <wp:positionV relativeFrom="paragraph">
                  <wp:posOffset>5595041</wp:posOffset>
                </wp:positionV>
                <wp:extent cx="14605" cy="447040"/>
                <wp:effectExtent l="38100" t="0" r="61595" b="4826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4605" cy="447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7" type="#_x0000_t32" style="width:1.15pt;height:35.2pt;margin-top:440.55pt;margin-left:239.5pt;mso-height-percent:0;mso-height-relative:margin;mso-width-percent:0;mso-width-relative:margin;mso-wrap-distance-bottom:0;mso-wrap-distance-left:9pt;mso-wrap-distance-right:9pt;mso-wrap-distance-top:0;mso-wrap-style:square;position:absolute;visibility:visible;z-index:251675648" strokecolor="black">
                <v:stroke endarrow="block"/>
              </v:shape>
            </w:pict>
          </mc:Fallback>
        </mc:AlternateContent>
      </w:r>
      <w:r w:rsidR="00183858">
        <w:rPr>
          <w:noProof/>
        </w:rPr>
        <mc:AlternateContent>
          <mc:Choice Requires="wps">
            <w:drawing>
              <wp:anchor distT="45720" distB="45720" distL="114300" distR="114300" simplePos="0" relativeHeight="251672576" behindDoc="0" locked="0" layoutInCell="1" allowOverlap="1">
                <wp:simplePos x="0" y="0"/>
                <wp:positionH relativeFrom="margin">
                  <wp:posOffset>2241770</wp:posOffset>
                </wp:positionH>
                <wp:positionV relativeFrom="paragraph">
                  <wp:posOffset>5160645</wp:posOffset>
                </wp:positionV>
                <wp:extent cx="1672590" cy="423545"/>
                <wp:effectExtent l="0" t="0" r="22860" b="14605"/>
                <wp:wrapSquare wrapText="bothSides"/>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2590" cy="423545"/>
                        </a:xfrm>
                        <a:prstGeom prst="rect">
                          <a:avLst/>
                        </a:prstGeom>
                        <a:solidFill>
                          <a:srgbClr val="FFFFFF"/>
                        </a:solidFill>
                        <a:ln w="12700">
                          <a:solidFill>
                            <a:schemeClr val="bg2">
                              <a:lumMod val="50000"/>
                            </a:schemeClr>
                          </a:solidFill>
                          <a:prstDash val="dash"/>
                          <a:miter lim="800000"/>
                          <a:headEnd/>
                          <a:tailEnd/>
                        </a:ln>
                      </wps:spPr>
                      <wps:txbx>
                        <w:txbxContent>
                          <w:p w:rsidR="00183858" w:rsidRPr="000C24E2" w:rsidP="00183858" w14:textId="77777777">
                            <w:pPr>
                              <w:spacing w:after="0"/>
                              <w:jc w:val="center"/>
                              <w:rPr>
                                <w:i/>
                                <w:iCs/>
                                <w:sz w:val="18"/>
                                <w:szCs w:val="18"/>
                              </w:rPr>
                            </w:pPr>
                            <w:r w:rsidRPr="000C24E2">
                              <w:rPr>
                                <w:i/>
                                <w:iCs/>
                                <w:sz w:val="18"/>
                                <w:szCs w:val="18"/>
                              </w:rPr>
                              <w:t>Minus 8 families who withdrew from the study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2" o:spid="_x0000_s1028" type="#_x0000_t202" style="width:131.7pt;height:33.35pt;margin-top:406.35pt;margin-left:176.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3600" strokecolor="#938953" strokeweight="1pt">
                <v:stroke dashstyle="dash"/>
                <v:textbox>
                  <w:txbxContent>
                    <w:p w:rsidR="00183858" w:rsidRPr="000C24E2" w:rsidP="00183858" w14:paraId="590925CE" w14:textId="77777777">
                      <w:pPr>
                        <w:spacing w:after="0"/>
                        <w:jc w:val="center"/>
                        <w:rPr>
                          <w:i/>
                          <w:iCs/>
                          <w:sz w:val="18"/>
                          <w:szCs w:val="18"/>
                        </w:rPr>
                      </w:pPr>
                      <w:r w:rsidRPr="000C24E2">
                        <w:rPr>
                          <w:i/>
                          <w:iCs/>
                          <w:sz w:val="18"/>
                          <w:szCs w:val="18"/>
                        </w:rPr>
                        <w:t>Minus 8 families who withdrew from the study</w:t>
                      </w:r>
                    </w:p>
                  </w:txbxContent>
                </v:textbox>
                <w10:wrap type="square"/>
              </v:shape>
            </w:pict>
          </mc:Fallback>
        </mc:AlternateContent>
      </w:r>
      <w:r w:rsidRPr="000C24E2" w:rsidR="00497C67">
        <w:rPr>
          <w:i/>
          <w:iCs/>
          <w:noProof/>
        </w:rPr>
        <mc:AlternateContent>
          <mc:Choice Requires="wps">
            <w:drawing>
              <wp:anchor distT="45720" distB="45720" distL="114300" distR="114300" simplePos="0" relativeHeight="251670528" behindDoc="0" locked="0" layoutInCell="1" allowOverlap="1">
                <wp:simplePos x="0" y="0"/>
                <wp:positionH relativeFrom="margin">
                  <wp:posOffset>1928388</wp:posOffset>
                </wp:positionH>
                <wp:positionV relativeFrom="paragraph">
                  <wp:posOffset>4155987</wp:posOffset>
                </wp:positionV>
                <wp:extent cx="2200275" cy="965835"/>
                <wp:effectExtent l="0" t="0" r="28575" b="24765"/>
                <wp:wrapSquare wrapText="bothSides"/>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00275" cy="965835"/>
                        </a:xfrm>
                        <a:prstGeom prst="rect">
                          <a:avLst/>
                        </a:prstGeom>
                        <a:solidFill>
                          <a:srgbClr val="FFFFFF"/>
                        </a:solidFill>
                        <a:ln w="12700">
                          <a:solidFill>
                            <a:schemeClr val="tx1"/>
                          </a:solidFill>
                          <a:miter lim="800000"/>
                          <a:headEnd/>
                          <a:tailEnd/>
                        </a:ln>
                      </wps:spPr>
                      <wps:txbx>
                        <w:txbxContent>
                          <w:p w:rsidR="00497C67" w:rsidP="00497C67" w14:textId="77777777">
                            <w:pPr>
                              <w:spacing w:after="0"/>
                              <w:jc w:val="center"/>
                            </w:pPr>
                            <w:r>
                              <w:t>Sample Fielded at 2.5- and 3.5-Year Check-in and Kindergarten Follow-Up:</w:t>
                            </w:r>
                          </w:p>
                          <w:p w:rsidR="00497C67" w:rsidP="00497C67" w14:textId="77777777">
                            <w:pPr>
                              <w:spacing w:after="0"/>
                              <w:jc w:val="center"/>
                            </w:pPr>
                            <w:r>
                              <w:t>4,113 families</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Text Box 11" o:spid="_x0000_s1029" type="#_x0000_t202" style="width:173.25pt;height:76.05pt;margin-top:327.25pt;margin-left:151.85pt;mso-height-percent:0;mso-height-relative:margin;mso-position-horizontal-relative:margin;mso-width-percent:0;mso-width-relative:margin;mso-wrap-distance-bottom:3.6pt;mso-wrap-distance-left:9pt;mso-wrap-distance-right:9pt;mso-wrap-distance-top:3.6pt;mso-wrap-style:square;position:absolute;visibility:visible;v-text-anchor:middle;z-index:251671552" strokecolor="black" strokeweight="1pt">
                <v:textbox>
                  <w:txbxContent>
                    <w:p w:rsidR="00497C67" w:rsidP="00497C67" w14:paraId="1E5367E0" w14:textId="77777777">
                      <w:pPr>
                        <w:spacing w:after="0"/>
                        <w:jc w:val="center"/>
                      </w:pPr>
                      <w:r>
                        <w:t>Sample Fielded at 2.5- and 3.5-Year Check-in and Kindergarten Follow-Up:</w:t>
                      </w:r>
                    </w:p>
                    <w:p w:rsidR="00497C67" w:rsidP="00497C67" w14:paraId="00C4CA74" w14:textId="77777777">
                      <w:pPr>
                        <w:spacing w:after="0"/>
                        <w:jc w:val="center"/>
                      </w:pPr>
                      <w:r>
                        <w:t>4,113 families</w:t>
                      </w:r>
                    </w:p>
                  </w:txbxContent>
                </v:textbox>
                <w10:wrap type="square"/>
              </v:shape>
            </w:pict>
          </mc:Fallback>
        </mc:AlternateContent>
      </w:r>
      <w:r w:rsidR="004E3F3A">
        <w:rPr>
          <w:noProof/>
        </w:rPr>
        <mc:AlternateContent>
          <mc:Choice Requires="wps">
            <w:drawing>
              <wp:anchor distT="0" distB="0" distL="114300" distR="114300" simplePos="0" relativeHeight="251668480" behindDoc="0" locked="0" layoutInCell="1" allowOverlap="1">
                <wp:simplePos x="0" y="0"/>
                <wp:positionH relativeFrom="column">
                  <wp:posOffset>3014804</wp:posOffset>
                </wp:positionH>
                <wp:positionV relativeFrom="paragraph">
                  <wp:posOffset>3666653</wp:posOffset>
                </wp:positionV>
                <wp:extent cx="14605" cy="447040"/>
                <wp:effectExtent l="38100" t="0" r="61595" b="48260"/>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14605" cy="447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30" type="#_x0000_t32" style="width:1.15pt;height:35.2pt;margin-top:288.7pt;margin-left:237.4pt;mso-height-percent:0;mso-height-relative:margin;mso-width-percent:0;mso-width-relative:margin;mso-wrap-distance-bottom:0;mso-wrap-distance-left:9pt;mso-wrap-distance-right:9pt;mso-wrap-distance-top:0;mso-wrap-style:square;position:absolute;visibility:visible;z-index:251669504" strokecolor="black">
                <v:stroke endarrow="block"/>
              </v:shape>
            </w:pict>
          </mc:Fallback>
        </mc:AlternateContent>
      </w:r>
      <w:r w:rsidR="00832AD1">
        <w:rPr>
          <w:noProof/>
        </w:rPr>
        <mc:AlternateContent>
          <mc:Choice Requires="wps">
            <w:drawing>
              <wp:anchor distT="45720" distB="45720" distL="114300" distR="114300" simplePos="0" relativeHeight="251666432" behindDoc="0" locked="0" layoutInCell="1" allowOverlap="1">
                <wp:simplePos x="0" y="0"/>
                <wp:positionH relativeFrom="column">
                  <wp:posOffset>2109457</wp:posOffset>
                </wp:positionH>
                <wp:positionV relativeFrom="paragraph">
                  <wp:posOffset>3006196</wp:posOffset>
                </wp:positionV>
                <wp:extent cx="1850390" cy="632460"/>
                <wp:effectExtent l="0" t="0" r="16510" b="1524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0390" cy="632460"/>
                        </a:xfrm>
                        <a:prstGeom prst="rect">
                          <a:avLst/>
                        </a:prstGeom>
                        <a:solidFill>
                          <a:srgbClr val="FFFFFF"/>
                        </a:solidFill>
                        <a:ln w="12700">
                          <a:solidFill>
                            <a:schemeClr val="bg2">
                              <a:lumMod val="50000"/>
                            </a:schemeClr>
                          </a:solidFill>
                          <a:prstDash val="dash"/>
                          <a:miter lim="800000"/>
                          <a:headEnd/>
                          <a:tailEnd/>
                        </a:ln>
                      </wps:spPr>
                      <wps:txbx>
                        <w:txbxContent>
                          <w:p w:rsidR="00832AD1" w:rsidRPr="00562ED3" w:rsidP="00832AD1" w14:textId="77777777">
                            <w:pPr>
                              <w:spacing w:after="0"/>
                              <w:jc w:val="center"/>
                              <w:rPr>
                                <w:i/>
                                <w:iCs/>
                                <w:sz w:val="16"/>
                                <w:szCs w:val="16"/>
                              </w:rPr>
                            </w:pPr>
                            <w:r w:rsidRPr="00562ED3">
                              <w:rPr>
                                <w:i/>
                                <w:iCs/>
                                <w:sz w:val="16"/>
                                <w:szCs w:val="16"/>
                              </w:rPr>
                              <w:t>Minus 103 mothers with miscarriages or with a child who died shortly after birth and two families who withdrew from the study</w:t>
                            </w:r>
                          </w:p>
                          <w:p w:rsidR="00832AD1" w:rsidRPr="000C24E2" w:rsidP="00832AD1" w14:textId="77777777">
                            <w:pPr>
                              <w:spacing w:after="0"/>
                              <w:jc w:val="center"/>
                              <w:rPr>
                                <w:i/>
                                <w:iC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0" o:spid="_x0000_s1031" type="#_x0000_t202" style="width:145.7pt;height:49.8pt;margin-top:236.7pt;margin-left:166.1pt;mso-height-percent:0;mso-height-relative:margin;mso-width-percent:0;mso-width-relative:margin;mso-wrap-distance-bottom:3.6pt;mso-wrap-distance-left:9pt;mso-wrap-distance-right:9pt;mso-wrap-distance-top:3.6pt;mso-wrap-style:square;position:absolute;visibility:visible;v-text-anchor:top;z-index:251667456" strokecolor="#938953" strokeweight="1pt">
                <v:stroke dashstyle="dash"/>
                <v:textbox>
                  <w:txbxContent>
                    <w:p w:rsidR="00832AD1" w:rsidRPr="00562ED3" w:rsidP="00832AD1" w14:paraId="4F37B60B" w14:textId="77777777">
                      <w:pPr>
                        <w:spacing w:after="0"/>
                        <w:jc w:val="center"/>
                        <w:rPr>
                          <w:i/>
                          <w:iCs/>
                          <w:sz w:val="16"/>
                          <w:szCs w:val="16"/>
                        </w:rPr>
                      </w:pPr>
                      <w:r w:rsidRPr="00562ED3">
                        <w:rPr>
                          <w:i/>
                          <w:iCs/>
                          <w:sz w:val="16"/>
                          <w:szCs w:val="16"/>
                        </w:rPr>
                        <w:t>Minus 103 mothers with miscarriages or with a child who died shortly after birth and two families who withdrew from the study</w:t>
                      </w:r>
                    </w:p>
                    <w:p w:rsidR="00832AD1" w:rsidRPr="000C24E2" w:rsidP="00832AD1" w14:paraId="274F99A4" w14:textId="77777777">
                      <w:pPr>
                        <w:spacing w:after="0"/>
                        <w:jc w:val="center"/>
                        <w:rPr>
                          <w:i/>
                          <w:iCs/>
                        </w:rPr>
                      </w:pPr>
                    </w:p>
                  </w:txbxContent>
                </v:textbox>
                <w10:wrap type="square"/>
              </v:shape>
            </w:pict>
          </mc:Fallback>
        </mc:AlternateContent>
      </w:r>
      <w:r w:rsidRPr="000C24E2" w:rsidR="00F21E77">
        <w:rPr>
          <w:i/>
          <w:iCs/>
          <w:noProof/>
        </w:rPr>
        <mc:AlternateContent>
          <mc:Choice Requires="wps">
            <w:drawing>
              <wp:anchor distT="45720" distB="45720" distL="114300" distR="114300" simplePos="0" relativeHeight="251664384" behindDoc="0" locked="0" layoutInCell="1" allowOverlap="1">
                <wp:simplePos x="0" y="0"/>
                <wp:positionH relativeFrom="margin">
                  <wp:posOffset>1871634</wp:posOffset>
                </wp:positionH>
                <wp:positionV relativeFrom="paragraph">
                  <wp:posOffset>1955473</wp:posOffset>
                </wp:positionV>
                <wp:extent cx="2296795" cy="1002665"/>
                <wp:effectExtent l="0" t="0" r="27305" b="26035"/>
                <wp:wrapSquare wrapText="bothSides"/>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96795" cy="1002665"/>
                        </a:xfrm>
                        <a:prstGeom prst="rect">
                          <a:avLst/>
                        </a:prstGeom>
                        <a:solidFill>
                          <a:srgbClr val="FFFFFF"/>
                        </a:solidFill>
                        <a:ln w="12700">
                          <a:solidFill>
                            <a:schemeClr val="tx1"/>
                          </a:solidFill>
                          <a:miter lim="800000"/>
                          <a:headEnd/>
                          <a:tailEnd/>
                        </a:ln>
                      </wps:spPr>
                      <wps:txbx>
                        <w:txbxContent>
                          <w:p w:rsidR="00F21E77" w:rsidP="00F21E77" w14:textId="77777777">
                            <w:pPr>
                              <w:spacing w:after="0"/>
                              <w:jc w:val="center"/>
                            </w:pPr>
                          </w:p>
                          <w:p w:rsidR="00F21E77" w:rsidP="00F21E77" w14:textId="77777777">
                            <w:pPr>
                              <w:spacing w:after="0"/>
                              <w:jc w:val="center"/>
                            </w:pPr>
                            <w:r>
                              <w:t>Sample Fielded at 15-month Follow-Up:</w:t>
                            </w:r>
                          </w:p>
                          <w:p w:rsidR="00F21E77" w:rsidP="00F21E77" w14:textId="77777777">
                            <w:pPr>
                              <w:spacing w:after="0"/>
                              <w:jc w:val="center"/>
                            </w:pPr>
                            <w:r>
                              <w:t>4,218 families</w:t>
                            </w:r>
                          </w:p>
                          <w:p w:rsidR="00F21E77" w:rsidP="00F21E77" w14:textId="77777777">
                            <w:pPr>
                              <w:spacing w:after="0"/>
                              <w:jc w:val="center"/>
                            </w:pP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Text Box 9" o:spid="_x0000_s1032" type="#_x0000_t202" style="width:180.85pt;height:78.95pt;margin-top:153.95pt;margin-left:147.35pt;mso-height-percent:0;mso-height-relative:margin;mso-position-horizontal-relative:margin;mso-width-percent:0;mso-width-relative:margin;mso-wrap-distance-bottom:3.6pt;mso-wrap-distance-left:9pt;mso-wrap-distance-right:9pt;mso-wrap-distance-top:3.6pt;mso-wrap-style:square;position:absolute;visibility:visible;v-text-anchor:middle;z-index:251665408" strokecolor="black" strokeweight="1pt">
                <v:textbox>
                  <w:txbxContent>
                    <w:p w:rsidR="00F21E77" w:rsidP="00F21E77" w14:paraId="79C697B2" w14:textId="77777777">
                      <w:pPr>
                        <w:spacing w:after="0"/>
                        <w:jc w:val="center"/>
                      </w:pPr>
                    </w:p>
                    <w:p w:rsidR="00F21E77" w:rsidP="00F21E77" w14:paraId="52B67E0D" w14:textId="77777777">
                      <w:pPr>
                        <w:spacing w:after="0"/>
                        <w:jc w:val="center"/>
                      </w:pPr>
                      <w:r>
                        <w:t>Sample Fielded at 15-month Follow-Up:</w:t>
                      </w:r>
                    </w:p>
                    <w:p w:rsidR="00F21E77" w:rsidP="00F21E77" w14:paraId="3E0E9243" w14:textId="77777777">
                      <w:pPr>
                        <w:spacing w:after="0"/>
                        <w:jc w:val="center"/>
                      </w:pPr>
                      <w:r>
                        <w:t>4,218 families</w:t>
                      </w:r>
                    </w:p>
                    <w:p w:rsidR="00F21E77" w:rsidP="00F21E77" w14:paraId="500DF080" w14:textId="77777777">
                      <w:pPr>
                        <w:spacing w:after="0"/>
                        <w:jc w:val="center"/>
                      </w:pPr>
                    </w:p>
                  </w:txbxContent>
                </v:textbox>
                <w10:wrap type="square"/>
              </v:shape>
            </w:pict>
          </mc:Fallback>
        </mc:AlternateContent>
      </w:r>
      <w:r w:rsidR="00EA5DBA">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1408920</wp:posOffset>
                </wp:positionV>
                <wp:extent cx="0" cy="512956"/>
                <wp:effectExtent l="76200" t="0" r="57150" b="59055"/>
                <wp:wrapNone/>
                <wp:docPr id="15" name="Straight Arrow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0" cy="51295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33" type="#_x0000_t32" style="width:0;height:40.4pt;margin-top:110.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63360" strokecolor="black">
                <v:stroke endarrow="block"/>
                <w10:wrap anchorx="margin"/>
              </v:shape>
            </w:pict>
          </mc:Fallback>
        </mc:AlternateContent>
      </w:r>
      <w:r w:rsidR="0053223D">
        <w:rPr>
          <w:noProof/>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942007</wp:posOffset>
                </wp:positionV>
                <wp:extent cx="1530985" cy="467360"/>
                <wp:effectExtent l="0" t="0" r="12065" b="2794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0985" cy="467360"/>
                        </a:xfrm>
                        <a:prstGeom prst="rect">
                          <a:avLst/>
                        </a:prstGeom>
                        <a:solidFill>
                          <a:srgbClr val="FFFFFF"/>
                        </a:solidFill>
                        <a:ln w="12700">
                          <a:solidFill>
                            <a:schemeClr val="bg2">
                              <a:lumMod val="50000"/>
                            </a:schemeClr>
                          </a:solidFill>
                          <a:prstDash val="dash"/>
                          <a:miter lim="800000"/>
                          <a:headEnd/>
                          <a:tailEnd/>
                        </a:ln>
                      </wps:spPr>
                      <wps:txbx>
                        <w:txbxContent>
                          <w:p w:rsidR="0053223D" w:rsidRPr="000C24E2" w:rsidP="0053223D" w14:textId="77777777">
                            <w:pPr>
                              <w:spacing w:after="0"/>
                              <w:jc w:val="center"/>
                              <w:rPr>
                                <w:i/>
                                <w:iCs/>
                                <w:sz w:val="18"/>
                                <w:szCs w:val="18"/>
                              </w:rPr>
                            </w:pPr>
                            <w:r w:rsidRPr="000C24E2">
                              <w:rPr>
                                <w:i/>
                                <w:iCs/>
                                <w:sz w:val="18"/>
                                <w:szCs w:val="18"/>
                              </w:rPr>
                              <w:t>Minus 11 families who withdr</w:t>
                            </w:r>
                            <w:r>
                              <w:rPr>
                                <w:i/>
                                <w:iCs/>
                                <w:sz w:val="18"/>
                                <w:szCs w:val="18"/>
                              </w:rPr>
                              <w:t>e</w:t>
                            </w:r>
                            <w:r w:rsidRPr="000C24E2">
                              <w:rPr>
                                <w:i/>
                                <w:iCs/>
                                <w:sz w:val="18"/>
                                <w:szCs w:val="18"/>
                              </w:rPr>
                              <w:t>w from the study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8" o:spid="_x0000_s1034" type="#_x0000_t202" style="width:120.55pt;height:36.8pt;margin-top:74.1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1312" strokecolor="#938953" strokeweight="1pt">
                <v:stroke dashstyle="dash"/>
                <v:textbox>
                  <w:txbxContent>
                    <w:p w:rsidR="0053223D" w:rsidRPr="000C24E2" w:rsidP="0053223D" w14:paraId="71B1ED7F" w14:textId="77777777">
                      <w:pPr>
                        <w:spacing w:after="0"/>
                        <w:jc w:val="center"/>
                        <w:rPr>
                          <w:i/>
                          <w:iCs/>
                          <w:sz w:val="18"/>
                          <w:szCs w:val="18"/>
                        </w:rPr>
                      </w:pPr>
                      <w:r w:rsidRPr="000C24E2">
                        <w:rPr>
                          <w:i/>
                          <w:iCs/>
                          <w:sz w:val="18"/>
                          <w:szCs w:val="18"/>
                        </w:rPr>
                        <w:t>Minus 11 families who withdr</w:t>
                      </w:r>
                      <w:r>
                        <w:rPr>
                          <w:i/>
                          <w:iCs/>
                          <w:sz w:val="18"/>
                          <w:szCs w:val="18"/>
                        </w:rPr>
                        <w:t>e</w:t>
                      </w:r>
                      <w:r w:rsidRPr="000C24E2">
                        <w:rPr>
                          <w:i/>
                          <w:iCs/>
                          <w:sz w:val="18"/>
                          <w:szCs w:val="18"/>
                        </w:rPr>
                        <w:t>w from the study</w:t>
                      </w:r>
                    </w:p>
                  </w:txbxContent>
                </v:textbox>
                <w10:wrap type="square"/>
              </v:shape>
            </w:pict>
          </mc:Fallback>
        </mc:AlternateContent>
      </w:r>
      <w:r w:rsidR="00E571D6">
        <w:rPr>
          <w:rFonts w:eastAsia="Times New Roman"/>
          <w:i/>
          <w:iCs/>
          <w:color w:val="000000" w:themeColor="text1"/>
        </w:rPr>
        <w:br w:type="page"/>
      </w:r>
    </w:p>
    <w:p w:rsidR="00A42C71" w:rsidRPr="001A59B6" w:rsidP="7AB668A2" w14:paraId="242D83A5" w14:textId="5C9702A0">
      <w:pPr>
        <w:autoSpaceDE w:val="0"/>
        <w:autoSpaceDN w:val="0"/>
        <w:adjustRightInd w:val="0"/>
        <w:spacing w:after="60" w:line="240" w:lineRule="atLeast"/>
        <w:contextualSpacing/>
        <w:rPr>
          <w:rFonts w:eastAsia="Times New Roman"/>
          <w:i/>
          <w:iCs/>
          <w:color w:val="000000"/>
        </w:rPr>
      </w:pPr>
      <w:r w:rsidRPr="7AB668A2">
        <w:rPr>
          <w:rFonts w:eastAsia="Times New Roman"/>
          <w:i/>
          <w:iCs/>
          <w:color w:val="000000" w:themeColor="text1"/>
        </w:rPr>
        <w:t>Sampling and Site Selection</w:t>
      </w:r>
    </w:p>
    <w:p w:rsidR="00A42C71" w:rsidP="000A5716" w14:paraId="22994F5B" w14:textId="46421BCE">
      <w:pPr>
        <w:spacing w:after="0" w:line="240" w:lineRule="auto"/>
        <w:rPr>
          <w:rFonts w:ascii="Calibri" w:eastAsia="Calibri" w:hAnsi="Calibri" w:cs="Calibri"/>
          <w:color w:val="000000" w:themeColor="text1"/>
        </w:rPr>
      </w:pPr>
      <w:r w:rsidRPr="7AB668A2">
        <w:rPr>
          <w:rFonts w:ascii="Calibri" w:eastAsia="Calibri" w:hAnsi="Calibri" w:cs="Calibri"/>
          <w:color w:val="000000" w:themeColor="text1"/>
        </w:rPr>
        <w:t xml:space="preserve">Local sites meeting several criteria were chosen to participate in the study: (1) operating programs that existed for at least two years by the time of study recruitment, (2) evidence of enough demand for home visiting services that they could provide a control group, (3) no evidence of severe implementation problems that would interfere with the program’s ability to participate in the study, and (4) a contribution to the diversity of sites and families for purposes of estimating effects for important subgroups of families. </w:t>
      </w:r>
    </w:p>
    <w:p w:rsidR="000A5716" w:rsidRPr="001A59B6" w:rsidP="00302B91" w14:paraId="49B64817" w14:textId="77777777">
      <w:pPr>
        <w:spacing w:after="0" w:line="240" w:lineRule="auto"/>
        <w:rPr>
          <w:rFonts w:ascii="Calibri" w:eastAsia="Calibri" w:hAnsi="Calibri" w:cs="Calibri"/>
          <w:color w:val="000000" w:themeColor="text1"/>
        </w:rPr>
      </w:pPr>
    </w:p>
    <w:p w:rsidR="00A42C71" w:rsidRPr="001A59B6" w:rsidP="0059335C" w14:paraId="49BCF056" w14:textId="24531CFF">
      <w:pPr>
        <w:spacing w:after="0" w:line="240" w:lineRule="auto"/>
        <w:rPr>
          <w:rFonts w:ascii="Calibri" w:eastAsia="Calibri" w:hAnsi="Calibri" w:cs="Calibri"/>
          <w:color w:val="000000" w:themeColor="text1"/>
          <w:u w:val="single"/>
        </w:rPr>
      </w:pPr>
      <w:r w:rsidRPr="7AB668A2">
        <w:rPr>
          <w:rFonts w:ascii="Calibri" w:eastAsia="Calibri" w:hAnsi="Calibri" w:cs="Calibri"/>
          <w:color w:val="000000" w:themeColor="text1"/>
        </w:rPr>
        <w:t>To estimate the effects of home visiting on family outcomes, MIHOPE enrolled over 4,200 families across 88 sites in 12 states. Families were eligible for the study if they included a pregnant woman or an infant under six months old and the mother was at least 15 years old at the time of study entry. Families were recruited into the study by Mathematica’s survey research staff, who visited families to obtain informed consent when home visitors determined whether a family was eligible for the study or soon after that determination had been made.</w:t>
      </w:r>
      <w:r w:rsidR="00BD422E">
        <w:rPr>
          <w:rFonts w:ascii="Calibri" w:eastAsia="Calibri" w:hAnsi="Calibri" w:cs="Calibri"/>
          <w:color w:val="000000" w:themeColor="text1"/>
        </w:rPr>
        <w:t xml:space="preserve"> </w:t>
      </w:r>
      <w:r w:rsidRPr="00BD422E" w:rsidR="00BD422E">
        <w:rPr>
          <w:rFonts w:ascii="Calibri" w:eastAsia="Calibri" w:hAnsi="Calibri" w:cs="Calibri"/>
          <w:color w:val="000000" w:themeColor="text1"/>
        </w:rPr>
        <w:t>For state child welfare records</w:t>
      </w:r>
      <w:r w:rsidR="00D854D7">
        <w:rPr>
          <w:rFonts w:ascii="Calibri" w:eastAsia="Calibri" w:hAnsi="Calibri" w:cs="Calibri"/>
          <w:color w:val="000000" w:themeColor="text1"/>
        </w:rPr>
        <w:t xml:space="preserve"> and school records</w:t>
      </w:r>
      <w:r w:rsidRPr="00BD422E" w:rsidR="00BD422E">
        <w:rPr>
          <w:rFonts w:ascii="Calibri" w:eastAsia="Calibri" w:hAnsi="Calibri" w:cs="Calibri"/>
          <w:color w:val="000000" w:themeColor="text1"/>
        </w:rPr>
        <w:t>, we are following up with 11 of the 12 original states where MIHOPE enrolled participants</w:t>
      </w:r>
      <w:r w:rsidR="00C459CD">
        <w:rPr>
          <w:rFonts w:ascii="Calibri" w:eastAsia="Calibri" w:hAnsi="Calibri" w:cs="Calibri"/>
          <w:color w:val="000000" w:themeColor="text1"/>
        </w:rPr>
        <w:t xml:space="preserve"> (</w:t>
      </w:r>
      <w:r w:rsidRPr="38849B4C" w:rsidR="00C459CD">
        <w:rPr>
          <w:rFonts w:eastAsiaTheme="minorEastAsia"/>
        </w:rPr>
        <w:t xml:space="preserve">the study obtained child welfare records from </w:t>
      </w:r>
      <w:r w:rsidR="00C459CD">
        <w:rPr>
          <w:rFonts w:eastAsiaTheme="minorEastAsia"/>
        </w:rPr>
        <w:t>all</w:t>
      </w:r>
      <w:r w:rsidRPr="38849B4C" w:rsidR="00C459CD">
        <w:rPr>
          <w:rFonts w:eastAsiaTheme="minorEastAsia"/>
        </w:rPr>
        <w:t xml:space="preserve"> 12 MIHOPE states at </w:t>
      </w:r>
      <w:r w:rsidR="00E8509F">
        <w:rPr>
          <w:rFonts w:eastAsiaTheme="minorEastAsia"/>
        </w:rPr>
        <w:t xml:space="preserve">the </w:t>
      </w:r>
      <w:r w:rsidRPr="38849B4C" w:rsidR="00C459CD">
        <w:rPr>
          <w:rFonts w:eastAsiaTheme="minorEastAsia"/>
        </w:rPr>
        <w:t>15-month follow-up</w:t>
      </w:r>
      <w:r w:rsidR="00C459CD">
        <w:rPr>
          <w:rFonts w:ascii="Calibri" w:eastAsia="Calibri" w:hAnsi="Calibri" w:cs="Calibri"/>
          <w:color w:val="000000" w:themeColor="text1"/>
        </w:rPr>
        <w:t>)</w:t>
      </w:r>
      <w:r w:rsidRPr="00BD422E" w:rsidR="00BD422E">
        <w:rPr>
          <w:rFonts w:ascii="Calibri" w:eastAsia="Calibri" w:hAnsi="Calibri" w:cs="Calibri"/>
          <w:color w:val="000000" w:themeColor="text1"/>
        </w:rPr>
        <w:t>.</w:t>
      </w:r>
      <w:r>
        <w:rPr>
          <w:rStyle w:val="FootnoteReference"/>
          <w:rFonts w:ascii="Calibri" w:eastAsia="Calibri" w:hAnsi="Calibri" w:cs="Calibri"/>
          <w:color w:val="000000" w:themeColor="text1"/>
        </w:rPr>
        <w:footnoteReference w:id="3"/>
      </w:r>
    </w:p>
    <w:p w:rsidR="0021024B" w:rsidRPr="001A59B6" w:rsidP="0021024B" w14:paraId="5F950694" w14:textId="77777777">
      <w:pPr>
        <w:pStyle w:val="ListParagraph"/>
        <w:spacing w:after="0" w:line="240" w:lineRule="auto"/>
        <w:ind w:left="0"/>
        <w:rPr>
          <w:rFonts w:cstheme="minorHAnsi"/>
        </w:rPr>
      </w:pPr>
    </w:p>
    <w:p w:rsidR="00A42C71" w:rsidRPr="001A59B6" w:rsidP="00302B9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10407B" w:rsidRPr="00A066C2" w:rsidP="0010407B" w14:paraId="4A58D1C9" w14:textId="17F96AC0">
      <w:pPr>
        <w:spacing w:after="0" w:line="240" w:lineRule="auto"/>
        <w:rPr>
          <w:rFonts w:eastAsiaTheme="minorEastAsia"/>
        </w:rPr>
      </w:pPr>
      <w:r>
        <w:rPr>
          <w:rFonts w:eastAsiaTheme="minorEastAsia"/>
        </w:rPr>
        <w:t>As noted above,</w:t>
      </w:r>
      <w:r w:rsidRPr="38849B4C">
        <w:rPr>
          <w:rFonts w:eastAsiaTheme="minorEastAsia"/>
        </w:rPr>
        <w:t xml:space="preserve"> we plan to continue to obtain child welfare data from </w:t>
      </w:r>
      <w:r w:rsidR="003E5A0C">
        <w:rPr>
          <w:rFonts w:eastAsiaTheme="minorEastAsia"/>
        </w:rPr>
        <w:t xml:space="preserve">11 </w:t>
      </w:r>
      <w:r w:rsidRPr="38849B4C">
        <w:rPr>
          <w:rFonts w:eastAsiaTheme="minorEastAsia"/>
        </w:rPr>
        <w:t>state agencies and plan to request school records data from state and local</w:t>
      </w:r>
      <w:r w:rsidR="00790B23">
        <w:rPr>
          <w:rFonts w:eastAsiaTheme="minorEastAsia"/>
        </w:rPr>
        <w:t xml:space="preserve"> education</w:t>
      </w:r>
      <w:r w:rsidRPr="38849B4C">
        <w:rPr>
          <w:rFonts w:eastAsiaTheme="minorEastAsia"/>
        </w:rPr>
        <w:t xml:space="preserve"> agencies. (For school records, we have assumed that we will obtain data from</w:t>
      </w:r>
      <w:r w:rsidR="00DA50D8">
        <w:rPr>
          <w:rFonts w:eastAsiaTheme="minorEastAsia"/>
        </w:rPr>
        <w:t xml:space="preserve"> up to</w:t>
      </w:r>
      <w:r w:rsidRPr="38849B4C">
        <w:rPr>
          <w:rFonts w:eastAsiaTheme="minorEastAsia"/>
        </w:rPr>
        <w:t xml:space="preserve"> 11 states and </w:t>
      </w:r>
      <w:r w:rsidR="00790B23">
        <w:rPr>
          <w:rFonts w:eastAsiaTheme="minorEastAsia"/>
        </w:rPr>
        <w:t>3</w:t>
      </w:r>
      <w:r w:rsidR="00A143AE">
        <w:rPr>
          <w:rFonts w:eastAsiaTheme="minorEastAsia"/>
        </w:rPr>
        <w:t>7</w:t>
      </w:r>
      <w:r w:rsidRPr="38849B4C">
        <w:rPr>
          <w:rFonts w:eastAsiaTheme="minorEastAsia"/>
        </w:rPr>
        <w:t xml:space="preserve"> local education agencies.</w:t>
      </w:r>
      <w:r>
        <w:rPr>
          <w:rStyle w:val="FootnoteReference"/>
          <w:rFonts w:eastAsiaTheme="minorEastAsia"/>
        </w:rPr>
        <w:footnoteReference w:id="4"/>
      </w:r>
      <w:r w:rsidRPr="38849B4C">
        <w:rPr>
          <w:rFonts w:eastAsiaTheme="minorEastAsia"/>
        </w:rPr>
        <w:t xml:space="preserve">) </w:t>
      </w:r>
    </w:p>
    <w:p w:rsidR="0010407B" w:rsidRPr="00A066C2" w:rsidP="0010407B" w14:paraId="4C74E69B" w14:textId="77777777">
      <w:pPr>
        <w:spacing w:after="0" w:line="240" w:lineRule="auto"/>
        <w:rPr>
          <w:rFonts w:eastAsiaTheme="minorEastAsia"/>
        </w:rPr>
      </w:pPr>
    </w:p>
    <w:p w:rsidR="0010407B" w:rsidP="0010407B" w14:paraId="3BBFB94D" w14:textId="18381D45">
      <w:pPr>
        <w:spacing w:after="0" w:line="240" w:lineRule="auto"/>
        <w:rPr>
          <w:rFonts w:eastAsiaTheme="minorEastAsia"/>
        </w:rPr>
      </w:pPr>
      <w:r w:rsidRPr="00F505BA">
        <w:t xml:space="preserve">For this round of administrative data collection, we are expecting either two or three data extracts from each state or local education agency (as noted in the burden table of Supporting Statement A, Table 2) because the children in the study reach their third grade year during four different academic years (from 2021-22 through 2024-25). To be able to abide by the study’s reporting timeline, one “interim” data extract will be requested from most agencies providing administrative data, although a second “interim” file will be needed for one agency due to data expungement. Additionally, a “final” data extract will be requested from all data providers. </w:t>
      </w:r>
      <w:r w:rsidRPr="00F505BA">
        <w:rPr>
          <w:rFonts w:eastAsiaTheme="minorEastAsia"/>
        </w:rPr>
        <w:t>The “interim” file(s) will allow the study team to conduct preliminary data processing and analyses with earlier cohorts of children, while the “final” data file will include the fourth cohort of children and will provide complete data for the third grade analysis.</w:t>
      </w:r>
      <w:r>
        <w:rPr>
          <w:rFonts w:eastAsiaTheme="minorEastAsia"/>
        </w:rPr>
        <w:t xml:space="preserve"> </w:t>
      </w:r>
      <w:r w:rsidRPr="00A066C2">
        <w:rPr>
          <w:rFonts w:eastAsiaTheme="minorEastAsia"/>
        </w:rPr>
        <w:t xml:space="preserve">We have assumed a lower burden per state for child welfare records (as compared to school records). Requests to agencies </w:t>
      </w:r>
      <w:r w:rsidR="003E5A0C">
        <w:rPr>
          <w:rFonts w:eastAsiaTheme="minorEastAsia"/>
        </w:rPr>
        <w:t>for MIHOPE</w:t>
      </w:r>
      <w:r w:rsidR="00253BED">
        <w:rPr>
          <w:rFonts w:eastAsiaTheme="minorEastAsia"/>
        </w:rPr>
        <w:t>-</w:t>
      </w:r>
      <w:r w:rsidR="003E5A0C">
        <w:rPr>
          <w:rFonts w:eastAsiaTheme="minorEastAsia"/>
        </w:rPr>
        <w:t xml:space="preserve">3G efforts </w:t>
      </w:r>
      <w:r w:rsidRPr="00A066C2">
        <w:rPr>
          <w:rFonts w:eastAsiaTheme="minorEastAsia"/>
        </w:rPr>
        <w:t xml:space="preserve">are included in Instruments </w:t>
      </w:r>
      <w:r w:rsidR="00177DC9">
        <w:rPr>
          <w:rFonts w:eastAsiaTheme="minorEastAsia"/>
        </w:rPr>
        <w:t>1-4</w:t>
      </w:r>
      <w:r w:rsidRPr="00A066C2">
        <w:rPr>
          <w:rFonts w:eastAsiaTheme="minorEastAsia"/>
        </w:rPr>
        <w:t>.</w:t>
      </w:r>
    </w:p>
    <w:p w:rsidR="7AB668A2" w:rsidP="7AB668A2" w14:paraId="48C6683D" w14:textId="55D4201A">
      <w:pPr>
        <w:spacing w:after="0" w:line="240" w:lineRule="atLeast"/>
        <w:rPr>
          <w:rFonts w:ascii="Calibri" w:eastAsia="Calibri" w:hAnsi="Calibri" w:cs="Calibri"/>
          <w:color w:val="000000" w:themeColor="text1"/>
        </w:rPr>
      </w:pPr>
    </w:p>
    <w:p w:rsidR="00A42C71" w:rsidP="00302B91" w14:paraId="3E0643E6" w14:textId="13F8F019">
      <w:pPr>
        <w:autoSpaceDE w:val="0"/>
        <w:autoSpaceDN w:val="0"/>
        <w:adjustRightInd w:val="0"/>
        <w:spacing w:after="120" w:line="240" w:lineRule="atLeast"/>
        <w:rPr>
          <w:rFonts w:eastAsia="Times New Roman"/>
          <w:b/>
          <w:color w:val="000000" w:themeColor="text1"/>
        </w:rPr>
      </w:pPr>
      <w:r w:rsidRPr="29BEE599">
        <w:rPr>
          <w:rFonts w:eastAsia="Times New Roman"/>
          <w:b/>
          <w:bCs/>
          <w:color w:val="000000" w:themeColor="text1"/>
        </w:rPr>
        <w:t xml:space="preserve">B4. </w:t>
      </w:r>
      <w:r>
        <w:tab/>
      </w:r>
      <w:r w:rsidRPr="29BEE599">
        <w:rPr>
          <w:rFonts w:eastAsia="Times New Roman"/>
          <w:b/>
          <w:bCs/>
          <w:color w:val="000000" w:themeColor="text1"/>
        </w:rPr>
        <w:t>Collection of Data and Quality Control</w:t>
      </w:r>
    </w:p>
    <w:p w:rsidR="00A42C71" w:rsidRPr="000E49DB" w:rsidP="00531BEB" w14:paraId="1167930B" w14:textId="4C98DEF3">
      <w:pPr>
        <w:spacing w:after="0" w:line="240" w:lineRule="auto"/>
        <w:textAlignment w:val="baseline"/>
        <w:rPr>
          <w:rFonts w:ascii="MS Mincho" w:eastAsia="MS Mincho" w:hAnsi="MS Mincho" w:cs="Times New Roman"/>
        </w:rPr>
      </w:pPr>
      <w:r>
        <w:rPr>
          <w:rFonts w:ascii="Calibri" w:eastAsia="MS Mincho" w:hAnsi="Calibri" w:cs="Calibri"/>
          <w:color w:val="000000"/>
        </w:rPr>
        <w:t>MIHOPE</w:t>
      </w:r>
      <w:r w:rsidR="005222C0">
        <w:rPr>
          <w:rFonts w:ascii="Calibri" w:eastAsia="MS Mincho" w:hAnsi="Calibri" w:cs="Calibri"/>
          <w:color w:val="000000"/>
        </w:rPr>
        <w:t>’s</w:t>
      </w:r>
      <w:r>
        <w:rPr>
          <w:rFonts w:ascii="Calibri" w:eastAsia="MS Mincho" w:hAnsi="Calibri" w:cs="Calibri"/>
          <w:color w:val="000000"/>
        </w:rPr>
        <w:t xml:space="preserve"> third grade follow-up</w:t>
      </w:r>
      <w:r w:rsidR="005222C0">
        <w:rPr>
          <w:rFonts w:ascii="Calibri" w:eastAsia="MS Mincho" w:hAnsi="Calibri" w:cs="Calibri"/>
          <w:color w:val="000000"/>
        </w:rPr>
        <w:t xml:space="preserve"> will be based on</w:t>
      </w:r>
      <w:r w:rsidRPr="00635378" w:rsidR="00635378">
        <w:rPr>
          <w:rFonts w:ascii="Calibri" w:eastAsia="MS Mincho" w:hAnsi="Calibri" w:cs="Calibri"/>
          <w:color w:val="000000"/>
        </w:rPr>
        <w:t xml:space="preserve"> </w:t>
      </w:r>
      <w:r w:rsidR="003A088B">
        <w:rPr>
          <w:rFonts w:ascii="Calibri" w:eastAsia="MS Mincho" w:hAnsi="Calibri" w:cs="Calibri"/>
          <w:color w:val="000000"/>
        </w:rPr>
        <w:t xml:space="preserve">administrative </w:t>
      </w:r>
      <w:r w:rsidRPr="00635378" w:rsidR="00635378">
        <w:rPr>
          <w:rFonts w:ascii="Calibri" w:eastAsia="MS Mincho" w:hAnsi="Calibri" w:cs="Calibri"/>
          <w:color w:val="000000"/>
        </w:rPr>
        <w:t>data</w:t>
      </w:r>
      <w:r w:rsidR="005222C0">
        <w:rPr>
          <w:rFonts w:ascii="Calibri" w:eastAsia="MS Mincho" w:hAnsi="Calibri" w:cs="Calibri"/>
          <w:color w:val="000000"/>
        </w:rPr>
        <w:t xml:space="preserve"> alone. MDRC will be collecting the data from state child welfare agencies and state and local education agencies. </w:t>
      </w:r>
      <w:r w:rsidR="00BB308B">
        <w:rPr>
          <w:rStyle w:val="normaltextrun"/>
          <w:rFonts w:ascii="Calibri" w:hAnsi="Calibri" w:cs="Calibri"/>
          <w:color w:val="000000"/>
          <w:shd w:val="clear" w:color="auto" w:fill="FFFFFF"/>
        </w:rPr>
        <w:t xml:space="preserve">These data will be transferred electronically via secure and efficient means, such as through use of the file transfer platform, Box. After reviewing data files received from these agencies, MDRC will perform quality checks </w:t>
      </w:r>
      <w:r w:rsidR="00BB308B">
        <w:rPr>
          <w:rStyle w:val="normaltextrun"/>
          <w:rFonts w:ascii="Calibri" w:hAnsi="Calibri" w:cs="Calibri"/>
          <w:color w:val="000000"/>
          <w:shd w:val="clear" w:color="auto" w:fill="FFFFFF"/>
        </w:rPr>
        <w:t>to see if the data are as expected and will reach out to the data provider if questions arise to work to resolve them.</w:t>
      </w:r>
      <w:r w:rsidR="00C96FD0">
        <w:rPr>
          <w:rFonts w:ascii="Calibri" w:eastAsia="MS Mincho" w:hAnsi="Calibri" w:cs="Calibri"/>
          <w:color w:val="000000"/>
        </w:rPr>
        <w:t xml:space="preserve"> </w:t>
      </w:r>
    </w:p>
    <w:p w:rsidR="00A42C71" w:rsidP="036C38E4" w14:paraId="4D80C138" w14:textId="500878B6">
      <w:pPr>
        <w:autoSpaceDE w:val="0"/>
        <w:autoSpaceDN w:val="0"/>
        <w:adjustRightInd w:val="0"/>
        <w:spacing w:after="0" w:line="240" w:lineRule="atLeast"/>
        <w:rPr>
          <w:rFonts w:eastAsia="Times New Roman"/>
          <w:color w:val="000000" w:themeColor="text1"/>
        </w:rPr>
      </w:pPr>
      <w:r w:rsidRPr="036C38E4">
        <w:rPr>
          <w:rFonts w:eastAsia="Times New Roman"/>
          <w:color w:val="000000" w:themeColor="text1"/>
        </w:rPr>
        <w:t xml:space="preserve"> </w:t>
      </w:r>
    </w:p>
    <w:p w:rsidR="00A42C71" w:rsidRPr="001A59B6" w:rsidP="00A42C71" w14:paraId="040C23CA"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A42C71" w:rsidRPr="001A59B6" w:rsidP="00A42C71" w14:paraId="60C5A7FD" w14:textId="633C2E91">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00847084" w:rsidP="00302B91" w14:paraId="200C8C5B" w14:textId="2B8B6B49">
      <w:pPr>
        <w:shd w:val="clear" w:color="auto" w:fill="FFFFFF"/>
        <w:spacing w:after="0"/>
        <w:rPr>
          <w:color w:val="000000"/>
        </w:rPr>
      </w:pPr>
      <w:r>
        <w:rPr>
          <w:color w:val="000000"/>
        </w:rPr>
        <w:t xml:space="preserve">Administrative data will be collected from states and local school districts in </w:t>
      </w:r>
      <w:r w:rsidR="003E60C6">
        <w:rPr>
          <w:color w:val="000000"/>
        </w:rPr>
        <w:t xml:space="preserve">11 of </w:t>
      </w:r>
      <w:r>
        <w:rPr>
          <w:color w:val="000000"/>
        </w:rPr>
        <w:t>the 12 states where the local programs in MIHOPE operated during study enrollment. Since children in the MIHOPE sample will be in approximately third grade when administrative data collection for this follow-up will take place, some families may no longer reside in these 1</w:t>
      </w:r>
      <w:r w:rsidR="003E60C6">
        <w:rPr>
          <w:color w:val="000000"/>
        </w:rPr>
        <w:t>1</w:t>
      </w:r>
      <w:r>
        <w:rPr>
          <w:color w:val="000000"/>
        </w:rPr>
        <w:t xml:space="preserve"> states and therefore may not be included in the administrative data the study team collects. In addition, the study team may not obtain data for some study families because of missing or incorrect SSNs (which are used to obtain administrative data). Efforts will be made to attempt to collect as much as administrative data on the study sample from states and local education agencies as feasible within the scope of the study.  </w:t>
      </w:r>
    </w:p>
    <w:p w:rsidR="00A42C71" w:rsidRPr="001A59B6" w:rsidP="00A42C71" w14:paraId="1374A59C" w14:textId="77777777">
      <w:pPr>
        <w:autoSpaceDE w:val="0"/>
        <w:autoSpaceDN w:val="0"/>
        <w:adjustRightInd w:val="0"/>
        <w:spacing w:after="0" w:line="240" w:lineRule="atLeast"/>
        <w:rPr>
          <w:rFonts w:eastAsia="Times New Roman" w:cstheme="minorHAnsi"/>
          <w:color w:val="000000"/>
        </w:rPr>
      </w:pPr>
    </w:p>
    <w:p w:rsidR="00A42C71" w:rsidRPr="001A59B6" w:rsidP="00A42C71" w14:paraId="7D020F8F" w14:textId="501FAFE5">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NonResponse</w:t>
      </w:r>
    </w:p>
    <w:p w:rsidR="00D52761" w:rsidP="002A65D2" w14:paraId="41CAE344" w14:textId="0EE6AEF3">
      <w:pPr>
        <w:spacing w:after="0" w:line="240" w:lineRule="auto"/>
        <w:textAlignment w:val="baseline"/>
        <w:rPr>
          <w:rFonts w:ascii="Calibri" w:eastAsia="Times New Roman" w:hAnsi="Calibri" w:cs="Calibri"/>
        </w:rPr>
      </w:pPr>
      <w:r>
        <w:rPr>
          <w:rFonts w:ascii="Calibri" w:eastAsia="Times New Roman" w:hAnsi="Calibri" w:cs="Calibri"/>
        </w:rPr>
        <w:t>F</w:t>
      </w:r>
      <w:r w:rsidRPr="002A65D2" w:rsidR="002A65D2">
        <w:rPr>
          <w:rFonts w:ascii="Calibri" w:eastAsia="Times New Roman" w:hAnsi="Calibri" w:cs="Calibri"/>
        </w:rPr>
        <w:t xml:space="preserve">ollowing the </w:t>
      </w:r>
      <w:r w:rsidR="0092738D">
        <w:rPr>
          <w:rFonts w:ascii="Calibri" w:eastAsia="Times New Roman" w:hAnsi="Calibri" w:cs="Calibri"/>
        </w:rPr>
        <w:t>collection</w:t>
      </w:r>
      <w:r w:rsidRPr="002A65D2" w:rsidR="0092738D">
        <w:rPr>
          <w:rFonts w:ascii="Calibri" w:eastAsia="Times New Roman" w:hAnsi="Calibri" w:cs="Calibri"/>
        </w:rPr>
        <w:t xml:space="preserve"> </w:t>
      </w:r>
      <w:r w:rsidRPr="002A65D2" w:rsidR="002A65D2">
        <w:rPr>
          <w:rFonts w:ascii="Calibri" w:eastAsia="Times New Roman" w:hAnsi="Calibri" w:cs="Calibri"/>
        </w:rPr>
        <w:t xml:space="preserve">of </w:t>
      </w:r>
      <w:r w:rsidR="007D7D52">
        <w:rPr>
          <w:rFonts w:ascii="Calibri" w:eastAsia="Times New Roman" w:hAnsi="Calibri" w:cs="Calibri"/>
        </w:rPr>
        <w:t xml:space="preserve">administrative </w:t>
      </w:r>
      <w:r w:rsidRPr="002A65D2" w:rsidR="002A65D2">
        <w:rPr>
          <w:rFonts w:ascii="Calibri" w:eastAsia="Times New Roman" w:hAnsi="Calibri" w:cs="Calibri"/>
        </w:rPr>
        <w:t xml:space="preserve">data, a non-response analysis will be conducted to determine whether the results of the study may be biased by </w:t>
      </w:r>
      <w:r>
        <w:rPr>
          <w:rFonts w:ascii="Calibri" w:eastAsia="Times New Roman" w:hAnsi="Calibri" w:cs="Calibri"/>
        </w:rPr>
        <w:t>not obtain</w:t>
      </w:r>
      <w:r w:rsidR="0092738D">
        <w:rPr>
          <w:rFonts w:ascii="Calibri" w:eastAsia="Times New Roman" w:hAnsi="Calibri" w:cs="Calibri"/>
        </w:rPr>
        <w:t>ing administrative</w:t>
      </w:r>
      <w:r>
        <w:rPr>
          <w:rFonts w:ascii="Calibri" w:eastAsia="Times New Roman" w:hAnsi="Calibri" w:cs="Calibri"/>
        </w:rPr>
        <w:t xml:space="preserve"> data for all study participants</w:t>
      </w:r>
      <w:r w:rsidRPr="002A65D2" w:rsidR="002A65D2">
        <w:rPr>
          <w:rFonts w:ascii="Calibri" w:eastAsia="Times New Roman" w:hAnsi="Calibri" w:cs="Calibri"/>
        </w:rPr>
        <w:t xml:space="preserve">. </w:t>
      </w:r>
    </w:p>
    <w:p w:rsidR="00D52761" w:rsidP="002A65D2" w14:paraId="3993FC90" w14:textId="77777777">
      <w:pPr>
        <w:spacing w:after="0" w:line="240" w:lineRule="auto"/>
        <w:textAlignment w:val="baseline"/>
        <w:rPr>
          <w:rFonts w:ascii="Calibri" w:eastAsia="Times New Roman" w:hAnsi="Calibri" w:cs="Calibri"/>
        </w:rPr>
      </w:pPr>
    </w:p>
    <w:p w:rsidR="00DE2FBD" w:rsidP="002A65D2" w14:paraId="1298D811" w14:textId="04042E2F">
      <w:pPr>
        <w:spacing w:after="0" w:line="240" w:lineRule="auto"/>
        <w:textAlignment w:val="baseline"/>
        <w:rPr>
          <w:rFonts w:ascii="Calibri" w:eastAsia="Times New Roman" w:hAnsi="Calibri" w:cs="Calibri"/>
        </w:rPr>
      </w:pPr>
      <w:r w:rsidRPr="002A65D2">
        <w:rPr>
          <w:rFonts w:ascii="Calibri" w:eastAsia="Times New Roman" w:hAnsi="Calibri" w:cs="Calibri"/>
        </w:rPr>
        <w:t xml:space="preserve">In particular, two types of bias will be assessed: (1) whether estimated effects among </w:t>
      </w:r>
      <w:r w:rsidR="000A68B4">
        <w:rPr>
          <w:rFonts w:ascii="Calibri" w:eastAsia="Times New Roman" w:hAnsi="Calibri" w:cs="Calibri"/>
        </w:rPr>
        <w:t>participants for whom administrative data has been acquired</w:t>
      </w:r>
      <w:r w:rsidRPr="002A65D2" w:rsidR="000A68B4">
        <w:rPr>
          <w:rFonts w:ascii="Calibri" w:eastAsia="Times New Roman" w:hAnsi="Calibri" w:cs="Calibri"/>
        </w:rPr>
        <w:t xml:space="preserve"> </w:t>
      </w:r>
      <w:r w:rsidRPr="002A65D2">
        <w:rPr>
          <w:rFonts w:ascii="Calibri" w:eastAsia="Times New Roman" w:hAnsi="Calibri" w:cs="Calibri"/>
        </w:rPr>
        <w:t xml:space="preserve">apply to the full study sample, and (2) whether </w:t>
      </w:r>
      <w:r w:rsidR="00811BE3">
        <w:rPr>
          <w:rFonts w:ascii="Calibri" w:eastAsia="Times New Roman" w:hAnsi="Calibri" w:cs="Calibri"/>
        </w:rPr>
        <w:t xml:space="preserve">participants from the </w:t>
      </w:r>
      <w:r w:rsidRPr="002A65D2">
        <w:rPr>
          <w:rFonts w:ascii="Calibri" w:eastAsia="Times New Roman" w:hAnsi="Calibri" w:cs="Calibri"/>
        </w:rPr>
        <w:t xml:space="preserve">program group </w:t>
      </w:r>
      <w:r w:rsidR="00811BE3">
        <w:rPr>
          <w:rFonts w:ascii="Calibri" w:eastAsia="Times New Roman" w:hAnsi="Calibri" w:cs="Calibri"/>
        </w:rPr>
        <w:t>for whom administrative data has been acquired</w:t>
      </w:r>
      <w:r w:rsidRPr="002A65D2" w:rsidR="00811BE3">
        <w:rPr>
          <w:rFonts w:ascii="Calibri" w:eastAsia="Times New Roman" w:hAnsi="Calibri" w:cs="Calibri"/>
        </w:rPr>
        <w:t xml:space="preserve"> </w:t>
      </w:r>
      <w:r w:rsidRPr="002A65D2">
        <w:rPr>
          <w:rFonts w:ascii="Calibri" w:eastAsia="Times New Roman" w:hAnsi="Calibri" w:cs="Calibri"/>
        </w:rPr>
        <w:t xml:space="preserve">are similar to control group </w:t>
      </w:r>
      <w:r w:rsidR="00811BE3">
        <w:rPr>
          <w:rFonts w:ascii="Calibri" w:eastAsia="Times New Roman" w:hAnsi="Calibri" w:cs="Calibri"/>
        </w:rPr>
        <w:t>members for whom administrative data has been acquired</w:t>
      </w:r>
      <w:r w:rsidRPr="002A65D2">
        <w:rPr>
          <w:rFonts w:ascii="Calibri" w:eastAsia="Times New Roman" w:hAnsi="Calibri" w:cs="Calibri"/>
        </w:rPr>
        <w:t>. The former type of bias affects whether results from the study can be generalized to the wider group of families involved in the study, while the second assesses whether the impacts of the programs are being confounded with pre-existing differences between</w:t>
      </w:r>
      <w:r w:rsidR="00811BE3">
        <w:rPr>
          <w:rFonts w:ascii="Calibri" w:eastAsia="Times New Roman" w:hAnsi="Calibri" w:cs="Calibri"/>
        </w:rPr>
        <w:t xml:space="preserve"> the sample for whom administrative data have been collected for the</w:t>
      </w:r>
      <w:r w:rsidRPr="002A65D2">
        <w:rPr>
          <w:rFonts w:ascii="Calibri" w:eastAsia="Times New Roman" w:hAnsi="Calibri" w:cs="Calibri"/>
        </w:rPr>
        <w:t xml:space="preserve"> program group and control group. </w:t>
      </w:r>
    </w:p>
    <w:p w:rsidR="002A65D2" w:rsidRPr="002A65D2" w:rsidP="002A65D2" w14:paraId="7AD9A98A" w14:textId="493508A1">
      <w:pPr>
        <w:spacing w:after="0" w:line="240" w:lineRule="auto"/>
        <w:textAlignment w:val="baseline"/>
        <w:rPr>
          <w:rFonts w:ascii="Segoe UI" w:eastAsia="Times New Roman" w:hAnsi="Segoe UI" w:cs="Segoe UI"/>
          <w:sz w:val="18"/>
          <w:szCs w:val="18"/>
        </w:rPr>
      </w:pPr>
      <w:r w:rsidRPr="002A65D2">
        <w:rPr>
          <w:rFonts w:ascii="Calibri" w:eastAsia="Times New Roman" w:hAnsi="Calibri" w:cs="Calibri"/>
        </w:rPr>
        <w:t> </w:t>
      </w:r>
    </w:p>
    <w:p w:rsidR="002A65D2" w:rsidRPr="002A65D2" w:rsidP="002A65D2" w14:paraId="0B4A0819" w14:textId="77777777">
      <w:pPr>
        <w:spacing w:after="0" w:line="240" w:lineRule="auto"/>
        <w:textAlignment w:val="baseline"/>
        <w:rPr>
          <w:rFonts w:ascii="Segoe UI" w:eastAsia="Times New Roman" w:hAnsi="Segoe UI" w:cs="Segoe UI"/>
          <w:sz w:val="18"/>
          <w:szCs w:val="18"/>
        </w:rPr>
      </w:pPr>
      <w:r w:rsidRPr="002A65D2">
        <w:rPr>
          <w:rFonts w:ascii="Calibri" w:eastAsia="Times New Roman" w:hAnsi="Calibri" w:cs="Calibri"/>
        </w:rPr>
        <w:t>To assess non-response bias, several tests will be conducted: </w:t>
      </w:r>
    </w:p>
    <w:p w:rsidR="002A65D2" w:rsidRPr="002A65D2" w:rsidP="00302B91" w14:paraId="32256F64" w14:textId="047D236E">
      <w:pPr>
        <w:numPr>
          <w:ilvl w:val="0"/>
          <w:numId w:val="44"/>
        </w:numPr>
        <w:spacing w:after="0" w:line="240" w:lineRule="auto"/>
        <w:ind w:left="360" w:firstLine="0"/>
        <w:textAlignment w:val="baseline"/>
        <w:rPr>
          <w:rFonts w:ascii="Calibri" w:eastAsia="Times New Roman" w:hAnsi="Calibri" w:cs="Calibri"/>
        </w:rPr>
      </w:pPr>
      <w:r w:rsidRPr="002A65D2">
        <w:rPr>
          <w:rFonts w:ascii="Calibri" w:eastAsia="Times New Roman" w:hAnsi="Calibri" w:cs="Calibri"/>
        </w:rPr>
        <w:t xml:space="preserve">The proportion of program group and control group </w:t>
      </w:r>
      <w:r w:rsidR="00A75DCF">
        <w:rPr>
          <w:rFonts w:ascii="Calibri" w:eastAsia="Times New Roman" w:hAnsi="Calibri" w:cs="Calibri"/>
        </w:rPr>
        <w:t>members</w:t>
      </w:r>
      <w:r w:rsidRPr="002A65D2" w:rsidR="00A75DCF">
        <w:rPr>
          <w:rFonts w:ascii="Calibri" w:eastAsia="Times New Roman" w:hAnsi="Calibri" w:cs="Calibri"/>
        </w:rPr>
        <w:t xml:space="preserve"> </w:t>
      </w:r>
      <w:r w:rsidRPr="002A65D2">
        <w:rPr>
          <w:rFonts w:ascii="Calibri" w:eastAsia="Times New Roman" w:hAnsi="Calibri" w:cs="Calibri"/>
        </w:rPr>
        <w:t xml:space="preserve">will be compared to make sure the </w:t>
      </w:r>
      <w:r w:rsidR="00826549">
        <w:rPr>
          <w:rFonts w:ascii="Calibri" w:eastAsia="Times New Roman" w:hAnsi="Calibri" w:cs="Calibri"/>
        </w:rPr>
        <w:t>match rate to administrative data</w:t>
      </w:r>
      <w:r w:rsidRPr="002A65D2">
        <w:rPr>
          <w:rFonts w:ascii="Calibri" w:eastAsia="Times New Roman" w:hAnsi="Calibri" w:cs="Calibri"/>
        </w:rPr>
        <w:t xml:space="preserve"> </w:t>
      </w:r>
      <w:r w:rsidR="00343366">
        <w:rPr>
          <w:rFonts w:ascii="Calibri" w:eastAsia="Times New Roman" w:hAnsi="Calibri" w:cs="Calibri"/>
        </w:rPr>
        <w:t>wa</w:t>
      </w:r>
      <w:r w:rsidRPr="002A65D2" w:rsidR="00343366">
        <w:rPr>
          <w:rFonts w:ascii="Calibri" w:eastAsia="Times New Roman" w:hAnsi="Calibri" w:cs="Calibri"/>
        </w:rPr>
        <w:t xml:space="preserve">s </w:t>
      </w:r>
      <w:r w:rsidRPr="002A65D2">
        <w:rPr>
          <w:rFonts w:ascii="Calibri" w:eastAsia="Times New Roman" w:hAnsi="Calibri" w:cs="Calibri"/>
        </w:rPr>
        <w:t>not significantly higher for one research group</w:t>
      </w:r>
      <w:r w:rsidR="006D7EFF">
        <w:rPr>
          <w:rFonts w:ascii="Calibri" w:eastAsia="Times New Roman" w:hAnsi="Calibri" w:cs="Calibri"/>
        </w:rPr>
        <w:t>, if the data source is expected to have similar match rates</w:t>
      </w:r>
      <w:r w:rsidR="00490657">
        <w:rPr>
          <w:rFonts w:ascii="Calibri" w:eastAsia="Times New Roman" w:hAnsi="Calibri" w:cs="Calibri"/>
        </w:rPr>
        <w:t>.</w:t>
      </w:r>
      <w:r>
        <w:rPr>
          <w:rStyle w:val="FootnoteReference"/>
          <w:rFonts w:ascii="Calibri" w:eastAsia="Times New Roman" w:hAnsi="Calibri" w:cs="Calibri"/>
        </w:rPr>
        <w:footnoteReference w:id="5"/>
      </w:r>
      <w:r w:rsidR="00490657">
        <w:rPr>
          <w:rFonts w:ascii="Calibri" w:eastAsia="Times New Roman" w:hAnsi="Calibri" w:cs="Calibri"/>
        </w:rPr>
        <w:t xml:space="preserve"> </w:t>
      </w:r>
    </w:p>
    <w:p w:rsidR="002A65D2" w:rsidRPr="002A65D2" w:rsidP="00302B91" w14:paraId="612F0DAB" w14:textId="77777777">
      <w:pPr>
        <w:spacing w:after="0" w:line="240" w:lineRule="auto"/>
        <w:ind w:left="360"/>
        <w:textAlignment w:val="baseline"/>
        <w:rPr>
          <w:rFonts w:ascii="Segoe UI" w:eastAsia="Times New Roman" w:hAnsi="Segoe UI" w:cs="Segoe UI"/>
          <w:sz w:val="18"/>
          <w:szCs w:val="18"/>
        </w:rPr>
      </w:pPr>
      <w:r w:rsidRPr="002A65D2">
        <w:rPr>
          <w:rFonts w:ascii="Calibri" w:eastAsia="Times New Roman" w:hAnsi="Calibri" w:cs="Calibri"/>
        </w:rPr>
        <w:t> </w:t>
      </w:r>
    </w:p>
    <w:p w:rsidR="002A65D2" w:rsidRPr="002A65D2" w:rsidP="00302B91" w14:paraId="652C37C1" w14:textId="70E7F905">
      <w:pPr>
        <w:numPr>
          <w:ilvl w:val="0"/>
          <w:numId w:val="45"/>
        </w:numPr>
        <w:spacing w:after="0" w:line="240" w:lineRule="auto"/>
        <w:ind w:left="360" w:firstLine="0"/>
        <w:textAlignment w:val="baseline"/>
        <w:rPr>
          <w:rFonts w:ascii="Calibri" w:eastAsia="Times New Roman" w:hAnsi="Calibri" w:cs="Calibri"/>
        </w:rPr>
      </w:pPr>
      <w:r w:rsidRPr="002A65D2">
        <w:rPr>
          <w:rFonts w:ascii="Calibri" w:eastAsia="Times New Roman" w:hAnsi="Calibri" w:cs="Calibri"/>
        </w:rPr>
        <w:t xml:space="preserve">A logistic regression will be conducted among </w:t>
      </w:r>
      <w:r w:rsidR="00490657">
        <w:rPr>
          <w:rFonts w:ascii="Calibri" w:eastAsia="Times New Roman" w:hAnsi="Calibri" w:cs="Calibri"/>
        </w:rPr>
        <w:t>sample members with administrative data</w:t>
      </w:r>
      <w:r w:rsidRPr="002A65D2">
        <w:rPr>
          <w:rFonts w:ascii="Calibri" w:eastAsia="Times New Roman" w:hAnsi="Calibri" w:cs="Calibri"/>
        </w:rPr>
        <w:t xml:space="preserve">. The “left hand side” variable will be their assignment (program group or control group) while the explanatory variables will include a range of baseline characteristics. An omnibus test such as a log-likelihood test will be used to test the hypothesis that the set of baseline characteristics are not significantly related to whether a </w:t>
      </w:r>
      <w:r w:rsidR="00925C0E">
        <w:rPr>
          <w:rFonts w:ascii="Calibri" w:eastAsia="Times New Roman" w:hAnsi="Calibri" w:cs="Calibri"/>
        </w:rPr>
        <w:t>sample member with administrative data</w:t>
      </w:r>
      <w:r w:rsidRPr="002A65D2" w:rsidR="00925C0E">
        <w:rPr>
          <w:rFonts w:ascii="Calibri" w:eastAsia="Times New Roman" w:hAnsi="Calibri" w:cs="Calibri"/>
        </w:rPr>
        <w:t xml:space="preserve"> </w:t>
      </w:r>
      <w:r w:rsidRPr="002A65D2">
        <w:rPr>
          <w:rFonts w:ascii="Calibri" w:eastAsia="Times New Roman" w:hAnsi="Calibri" w:cs="Calibri"/>
        </w:rPr>
        <w:t xml:space="preserve">is in the program group. Not rejecting this null hypothesis will provide evidence that program group and control group </w:t>
      </w:r>
      <w:r w:rsidR="00925C0E">
        <w:rPr>
          <w:rFonts w:ascii="Calibri" w:eastAsia="Times New Roman" w:hAnsi="Calibri" w:cs="Calibri"/>
        </w:rPr>
        <w:t>members with administrative data</w:t>
      </w:r>
      <w:r w:rsidRPr="002A65D2" w:rsidR="00925C0E">
        <w:rPr>
          <w:rFonts w:ascii="Calibri" w:eastAsia="Times New Roman" w:hAnsi="Calibri" w:cs="Calibri"/>
        </w:rPr>
        <w:t xml:space="preserve"> </w:t>
      </w:r>
      <w:r w:rsidRPr="002A65D2">
        <w:rPr>
          <w:rFonts w:ascii="Calibri" w:eastAsia="Times New Roman" w:hAnsi="Calibri" w:cs="Calibri"/>
        </w:rPr>
        <w:t>are similar.  </w:t>
      </w:r>
    </w:p>
    <w:p w:rsidR="002A65D2" w:rsidRPr="002A65D2" w:rsidP="00302B91" w14:paraId="6C63D0C3" w14:textId="77777777">
      <w:pPr>
        <w:spacing w:after="0" w:line="240" w:lineRule="auto"/>
        <w:ind w:left="360"/>
        <w:textAlignment w:val="baseline"/>
        <w:rPr>
          <w:rFonts w:ascii="Segoe UI" w:eastAsia="Times New Roman" w:hAnsi="Segoe UI" w:cs="Segoe UI"/>
          <w:sz w:val="18"/>
          <w:szCs w:val="18"/>
        </w:rPr>
      </w:pPr>
      <w:r w:rsidRPr="002A65D2">
        <w:rPr>
          <w:rFonts w:ascii="Calibri" w:eastAsia="Times New Roman" w:hAnsi="Calibri" w:cs="Calibri"/>
        </w:rPr>
        <w:t> </w:t>
      </w:r>
    </w:p>
    <w:p w:rsidR="002A65D2" w:rsidRPr="002A65D2" w:rsidP="00302B91" w14:paraId="4C4CA706" w14:textId="5DB4D321">
      <w:pPr>
        <w:numPr>
          <w:ilvl w:val="0"/>
          <w:numId w:val="46"/>
        </w:numPr>
        <w:spacing w:after="0" w:line="240" w:lineRule="auto"/>
        <w:ind w:left="360" w:firstLine="0"/>
        <w:textAlignment w:val="baseline"/>
        <w:rPr>
          <w:rFonts w:ascii="Calibri" w:eastAsia="Times New Roman" w:hAnsi="Calibri" w:cs="Calibri"/>
        </w:rPr>
      </w:pPr>
      <w:r w:rsidRPr="002A65D2">
        <w:rPr>
          <w:rFonts w:ascii="Calibri" w:eastAsia="Times New Roman" w:hAnsi="Calibri" w:cs="Calibri"/>
        </w:rPr>
        <w:t xml:space="preserve">Baseline characteristics of </w:t>
      </w:r>
      <w:r w:rsidR="00032CDC">
        <w:rPr>
          <w:rFonts w:ascii="Calibri" w:eastAsia="Times New Roman" w:hAnsi="Calibri" w:cs="Calibri"/>
        </w:rPr>
        <w:t>sample members with administrative data</w:t>
      </w:r>
      <w:r w:rsidRPr="002A65D2" w:rsidR="00032CDC">
        <w:rPr>
          <w:rFonts w:ascii="Calibri" w:eastAsia="Times New Roman" w:hAnsi="Calibri" w:cs="Calibri"/>
        </w:rPr>
        <w:t xml:space="preserve"> </w:t>
      </w:r>
      <w:r w:rsidRPr="002A65D2">
        <w:rPr>
          <w:rFonts w:ascii="Calibri" w:eastAsia="Times New Roman" w:hAnsi="Calibri" w:cs="Calibri"/>
        </w:rPr>
        <w:t xml:space="preserve">will be compared to baseline characteristics of </w:t>
      </w:r>
      <w:r w:rsidR="00032CDC">
        <w:rPr>
          <w:rFonts w:ascii="Calibri" w:eastAsia="Times New Roman" w:hAnsi="Calibri" w:cs="Calibri"/>
        </w:rPr>
        <w:t>those who did not match to administrative data</w:t>
      </w:r>
      <w:r w:rsidRPr="002A65D2">
        <w:rPr>
          <w:rFonts w:ascii="Calibri" w:eastAsia="Times New Roman" w:hAnsi="Calibri" w:cs="Calibri"/>
        </w:rPr>
        <w:t xml:space="preserve">. This will be done using a logistic regression where the outcome variable is whether someone </w:t>
      </w:r>
      <w:r w:rsidR="00032CDC">
        <w:rPr>
          <w:rFonts w:ascii="Calibri" w:eastAsia="Times New Roman" w:hAnsi="Calibri" w:cs="Calibri"/>
        </w:rPr>
        <w:t>matched to an administrative data source</w:t>
      </w:r>
      <w:r w:rsidRPr="002A65D2" w:rsidR="002D0A64">
        <w:rPr>
          <w:rFonts w:ascii="Calibri" w:eastAsia="Times New Roman" w:hAnsi="Calibri" w:cs="Calibri"/>
        </w:rPr>
        <w:t>,</w:t>
      </w:r>
      <w:r w:rsidRPr="002A65D2">
        <w:rPr>
          <w:rFonts w:ascii="Calibri" w:eastAsia="Times New Roman" w:hAnsi="Calibri" w:cs="Calibri"/>
        </w:rPr>
        <w:t xml:space="preserve"> and the explanatory variables are baseline characteristics. An omnibus test such as a log-likelihood test will be used to test the hypothesis that the set of baseline characteristics are not significantly related to whether someone </w:t>
      </w:r>
      <w:r w:rsidR="00032CDC">
        <w:rPr>
          <w:rFonts w:ascii="Calibri" w:eastAsia="Times New Roman" w:hAnsi="Calibri" w:cs="Calibri"/>
        </w:rPr>
        <w:t>matched to an administrative data source</w:t>
      </w:r>
      <w:r w:rsidRPr="002A65D2">
        <w:rPr>
          <w:rFonts w:ascii="Calibri" w:eastAsia="Times New Roman" w:hAnsi="Calibri" w:cs="Calibri"/>
        </w:rPr>
        <w:t xml:space="preserve">. Not rejecting this null hypothesis will provide evidence that </w:t>
      </w:r>
      <w:r w:rsidR="00C95CAA">
        <w:rPr>
          <w:rFonts w:ascii="Calibri" w:eastAsia="Times New Roman" w:hAnsi="Calibri" w:cs="Calibri"/>
        </w:rPr>
        <w:t xml:space="preserve">sample members who matched versus did not match to an administrative data source </w:t>
      </w:r>
      <w:r w:rsidRPr="002A65D2">
        <w:rPr>
          <w:rFonts w:ascii="Calibri" w:eastAsia="Times New Roman" w:hAnsi="Calibri" w:cs="Calibri"/>
        </w:rPr>
        <w:t>are similar.  </w:t>
      </w:r>
    </w:p>
    <w:p w:rsidR="002A65D2" w:rsidRPr="002A65D2" w:rsidP="002A65D2" w14:paraId="33B07775" w14:textId="77777777">
      <w:pPr>
        <w:spacing w:after="0" w:line="240" w:lineRule="auto"/>
        <w:ind w:left="720"/>
        <w:textAlignment w:val="baseline"/>
        <w:rPr>
          <w:rFonts w:ascii="Segoe UI" w:eastAsia="Times New Roman" w:hAnsi="Segoe UI" w:cs="Segoe UI"/>
          <w:sz w:val="18"/>
          <w:szCs w:val="18"/>
        </w:rPr>
      </w:pPr>
      <w:r w:rsidRPr="002A65D2">
        <w:rPr>
          <w:rFonts w:ascii="Calibri" w:eastAsia="Times New Roman" w:hAnsi="Calibri" w:cs="Calibri"/>
        </w:rPr>
        <w:t> </w:t>
      </w:r>
    </w:p>
    <w:p w:rsidR="002A65D2" w:rsidRPr="002A65D2" w:rsidP="002A65D2" w14:paraId="40D63C5B" w14:textId="4B171700">
      <w:pPr>
        <w:spacing w:after="0" w:line="240" w:lineRule="auto"/>
        <w:textAlignment w:val="baseline"/>
        <w:rPr>
          <w:rFonts w:ascii="Segoe UI" w:eastAsia="Times New Roman" w:hAnsi="Segoe UI" w:cs="Segoe UI"/>
          <w:sz w:val="18"/>
          <w:szCs w:val="18"/>
        </w:rPr>
      </w:pPr>
      <w:r w:rsidRPr="002A65D2">
        <w:rPr>
          <w:rFonts w:ascii="Calibri" w:eastAsia="Times New Roman" w:hAnsi="Calibri" w:cs="Calibri"/>
        </w:rPr>
        <w:t>If any of these tests indicate that non-</w:t>
      </w:r>
      <w:r w:rsidR="00C95CAA">
        <w:rPr>
          <w:rFonts w:ascii="Calibri" w:eastAsia="Times New Roman" w:hAnsi="Calibri" w:cs="Calibri"/>
        </w:rPr>
        <w:t>match</w:t>
      </w:r>
      <w:r w:rsidRPr="002A65D2" w:rsidR="00C95CAA">
        <w:rPr>
          <w:rFonts w:ascii="Calibri" w:eastAsia="Times New Roman" w:hAnsi="Calibri" w:cs="Calibri"/>
        </w:rPr>
        <w:t xml:space="preserve"> </w:t>
      </w:r>
      <w:r w:rsidRPr="002A65D2">
        <w:rPr>
          <w:rFonts w:ascii="Calibri" w:eastAsia="Times New Roman" w:hAnsi="Calibri" w:cs="Calibri"/>
        </w:rPr>
        <w:t xml:space="preserve">is providing biased impact estimates, a standard technique such as multiple imputation or weighting by the inverse probability of </w:t>
      </w:r>
      <w:r w:rsidR="00C95CAA">
        <w:rPr>
          <w:rFonts w:ascii="Calibri" w:eastAsia="Times New Roman" w:hAnsi="Calibri" w:cs="Calibri"/>
        </w:rPr>
        <w:t>match</w:t>
      </w:r>
      <w:r w:rsidRPr="002A65D2" w:rsidR="00C95CAA">
        <w:rPr>
          <w:rFonts w:ascii="Calibri" w:eastAsia="Times New Roman" w:hAnsi="Calibri" w:cs="Calibri"/>
        </w:rPr>
        <w:t xml:space="preserve"> </w:t>
      </w:r>
      <w:r w:rsidRPr="002A65D2">
        <w:rPr>
          <w:rFonts w:ascii="Calibri" w:eastAsia="Times New Roman" w:hAnsi="Calibri" w:cs="Calibri"/>
        </w:rPr>
        <w:t>will be used to determine the sensitivity of impact estimates to non-</w:t>
      </w:r>
      <w:r w:rsidR="00C95CAA">
        <w:rPr>
          <w:rFonts w:ascii="Calibri" w:eastAsia="Times New Roman" w:hAnsi="Calibri" w:cs="Calibri"/>
        </w:rPr>
        <w:t>match</w:t>
      </w:r>
      <w:r w:rsidRPr="002A65D2">
        <w:rPr>
          <w:rFonts w:ascii="Calibri" w:eastAsia="Times New Roman" w:hAnsi="Calibri" w:cs="Calibri"/>
        </w:rPr>
        <w:t>. </w:t>
      </w:r>
    </w:p>
    <w:p w:rsidR="002A65D2" w:rsidRPr="002A65D2" w:rsidP="002A65D2" w14:paraId="0419A10E" w14:textId="53BE8832">
      <w:pPr>
        <w:spacing w:after="0" w:line="240" w:lineRule="auto"/>
        <w:textAlignment w:val="baseline"/>
        <w:rPr>
          <w:rFonts w:ascii="Segoe UI" w:eastAsia="Times New Roman" w:hAnsi="Segoe UI" w:cs="Segoe UI"/>
          <w:sz w:val="18"/>
          <w:szCs w:val="18"/>
        </w:rPr>
      </w:pPr>
      <w:r w:rsidRPr="002A65D2">
        <w:rPr>
          <w:rFonts w:ascii="Calibri" w:eastAsia="Times New Roman" w:hAnsi="Calibri" w:cs="Calibri"/>
        </w:rPr>
        <w:t>   </w:t>
      </w:r>
    </w:p>
    <w:p w:rsidR="00A42C71" w:rsidRPr="001A59B6" w:rsidP="00302B91" w14:paraId="54D795CB" w14:textId="3AE5C02A">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CD02D4" w:rsidRPr="00CD02D4" w:rsidP="00CD02D4" w14:paraId="39F7407E" w14:textId="77777777">
      <w:pPr>
        <w:spacing w:after="0" w:line="240" w:lineRule="auto"/>
        <w:textAlignment w:val="baseline"/>
        <w:rPr>
          <w:rFonts w:ascii="Segoe UI" w:eastAsia="Times New Roman" w:hAnsi="Segoe UI" w:cs="Segoe UI"/>
          <w:sz w:val="18"/>
          <w:szCs w:val="18"/>
        </w:rPr>
      </w:pPr>
      <w:r w:rsidRPr="00CD02D4">
        <w:rPr>
          <w:rFonts w:ascii="Calibri" w:eastAsia="Times New Roman" w:hAnsi="Calibri" w:cs="Calibri"/>
        </w:rPr>
        <w:t>The data will not be used to generate population estimates, either for internal use or dissemination. </w:t>
      </w:r>
    </w:p>
    <w:p w:rsidR="00CD02D4" w:rsidRPr="00CD02D4" w:rsidP="00CD02D4" w14:paraId="5D71E5BB" w14:textId="77777777">
      <w:pPr>
        <w:spacing w:after="0" w:line="240" w:lineRule="auto"/>
        <w:textAlignment w:val="baseline"/>
        <w:rPr>
          <w:rFonts w:ascii="Segoe UI" w:eastAsia="Times New Roman" w:hAnsi="Segoe UI" w:cs="Segoe UI"/>
          <w:sz w:val="18"/>
          <w:szCs w:val="18"/>
        </w:rPr>
      </w:pPr>
      <w:r w:rsidRPr="00CD02D4">
        <w:rPr>
          <w:rFonts w:ascii="Calibri" w:eastAsia="Times New Roman" w:hAnsi="Calibri" w:cs="Calibri"/>
        </w:rPr>
        <w:t> </w:t>
      </w:r>
    </w:p>
    <w:p w:rsidR="00CD02D4" w:rsidRPr="006722F1" w:rsidP="00CD02D4" w14:paraId="75872D78" w14:textId="51EAC48E">
      <w:pPr>
        <w:spacing w:after="0" w:line="240" w:lineRule="auto"/>
        <w:textAlignment w:val="baseline"/>
        <w:rPr>
          <w:rFonts w:eastAsia="Times New Roman" w:cstheme="minorHAnsi"/>
        </w:rPr>
      </w:pPr>
      <w:r w:rsidRPr="00CD02D4">
        <w:rPr>
          <w:rFonts w:ascii="Calibri" w:eastAsia="Times New Roman" w:hAnsi="Calibri" w:cs="Calibri"/>
        </w:rPr>
        <w:t>The impact estimates produced are for official external release</w:t>
      </w:r>
      <w:r w:rsidRPr="00CD02D4">
        <w:rPr>
          <w:rFonts w:ascii="Times New Roman" w:eastAsia="Times New Roman" w:hAnsi="Times New Roman" w:cs="Times New Roman"/>
        </w:rPr>
        <w:t xml:space="preserve">. </w:t>
      </w:r>
      <w:r w:rsidRPr="00CD02D4">
        <w:rPr>
          <w:rFonts w:ascii="Calibri" w:eastAsia="Times New Roman" w:hAnsi="Calibri" w:cs="Calibri"/>
        </w:rPr>
        <w:t>Given the study’s requirements for local programs, the home visiting programs participating in MIHOPE are not representative of all MIECHV local program</w:t>
      </w:r>
      <w:r w:rsidR="00111773">
        <w:rPr>
          <w:rFonts w:ascii="Calibri" w:eastAsia="Times New Roman" w:hAnsi="Calibri" w:cs="Calibri"/>
        </w:rPr>
        <w:t>s. It</w:t>
      </w:r>
      <w:r w:rsidRPr="00CD02D4">
        <w:rPr>
          <w:rFonts w:ascii="Calibri" w:eastAsia="Times New Roman" w:hAnsi="Calibri" w:cs="Calibri"/>
        </w:rPr>
        <w:t xml:space="preserve"> is not clear how the effects of home visiting where it was studied in MIHOPE would compare with the results for MIECHV as a </w:t>
      </w:r>
      <w:r w:rsidRPr="006722F1">
        <w:rPr>
          <w:rFonts w:eastAsia="Times New Roman" w:cstheme="minorHAnsi"/>
        </w:rPr>
        <w:t xml:space="preserve">whole. </w:t>
      </w:r>
      <w:r w:rsidRPr="006722F1" w:rsidR="00253BED">
        <w:rPr>
          <w:rFonts w:eastAsia="Times New Roman" w:cstheme="minorHAnsi"/>
        </w:rPr>
        <w:t xml:space="preserve">These limitations of the study will be included in </w:t>
      </w:r>
      <w:r w:rsidRPr="006722F1" w:rsidR="006722F1">
        <w:rPr>
          <w:rFonts w:eastAsia="Times New Roman" w:cstheme="minorHAnsi"/>
        </w:rPr>
        <w:t>resulting materials, as appropriate.</w:t>
      </w:r>
      <w:r w:rsidRPr="006722F1">
        <w:rPr>
          <w:rFonts w:eastAsia="Times New Roman" w:cstheme="minorHAnsi"/>
        </w:rPr>
        <w:t> </w:t>
      </w:r>
    </w:p>
    <w:p w:rsidR="00CD02D4" w:rsidRPr="006722F1" w:rsidP="00CD02D4" w14:paraId="314C1D00" w14:textId="49409F0D">
      <w:pPr>
        <w:spacing w:after="0" w:line="240" w:lineRule="auto"/>
        <w:textAlignment w:val="baseline"/>
        <w:rPr>
          <w:rFonts w:eastAsia="Times New Roman" w:cstheme="minorHAnsi"/>
        </w:rPr>
      </w:pPr>
      <w:r w:rsidRPr="006722F1">
        <w:rPr>
          <w:rFonts w:eastAsia="Times New Roman" w:cstheme="minorHAnsi"/>
        </w:rPr>
        <w:t>  </w:t>
      </w:r>
    </w:p>
    <w:p w:rsidR="00CD02D4" w:rsidRPr="00CD02D4" w:rsidP="00CD02D4" w14:paraId="50014A90" w14:textId="77777777">
      <w:pPr>
        <w:spacing w:after="0" w:line="240" w:lineRule="auto"/>
        <w:textAlignment w:val="baseline"/>
        <w:rPr>
          <w:rFonts w:ascii="Segoe UI" w:eastAsia="Times New Roman" w:hAnsi="Segoe UI" w:cs="Segoe UI"/>
          <w:sz w:val="18"/>
          <w:szCs w:val="18"/>
        </w:rPr>
      </w:pPr>
      <w:r w:rsidRPr="00CD02D4">
        <w:rPr>
          <w:rFonts w:ascii="Calibri" w:eastAsia="Times New Roman" w:hAnsi="Calibri" w:cs="Calibri"/>
          <w:color w:val="000000"/>
        </w:rPr>
        <w:t>Methods to be used for statistical tests and analytical techniques that will be used</w:t>
      </w:r>
      <w:r w:rsidRPr="00CD02D4">
        <w:rPr>
          <w:rFonts w:ascii="Times New Roman" w:eastAsia="Times New Roman" w:hAnsi="Times New Roman" w:cs="Times New Roman"/>
          <w:color w:val="000000"/>
        </w:rPr>
        <w:t>: </w:t>
      </w:r>
    </w:p>
    <w:p w:rsidR="00CD02D4" w:rsidRPr="00CD02D4" w:rsidP="00CD02D4" w14:paraId="5C964DAD" w14:textId="77777777">
      <w:pPr>
        <w:spacing w:after="0" w:line="240" w:lineRule="auto"/>
        <w:ind w:left="720"/>
        <w:textAlignment w:val="baseline"/>
        <w:rPr>
          <w:rFonts w:ascii="Segoe UI" w:eastAsia="Times New Roman" w:hAnsi="Segoe UI" w:cs="Segoe UI"/>
          <w:sz w:val="18"/>
          <w:szCs w:val="18"/>
        </w:rPr>
      </w:pPr>
      <w:r w:rsidRPr="00CD02D4">
        <w:rPr>
          <w:rFonts w:ascii="Times New Roman" w:eastAsia="Times New Roman" w:hAnsi="Times New Roman" w:cs="Times New Roman"/>
          <w:color w:val="000000"/>
        </w:rPr>
        <w:t>  </w:t>
      </w:r>
    </w:p>
    <w:p w:rsidR="00E571D6" w:rsidRPr="00CD02D4" w:rsidP="00302B91" w14:paraId="46D84262" w14:textId="3BF488F3">
      <w:pPr>
        <w:spacing w:after="60" w:line="240" w:lineRule="auto"/>
        <w:textAlignment w:val="baseline"/>
        <w:rPr>
          <w:rFonts w:ascii="Segoe UI" w:eastAsia="Times New Roman" w:hAnsi="Segoe UI" w:cs="Segoe UI"/>
          <w:sz w:val="18"/>
          <w:szCs w:val="18"/>
        </w:rPr>
      </w:pPr>
      <w:r w:rsidRPr="00CD02D4">
        <w:rPr>
          <w:rFonts w:ascii="Calibri" w:eastAsia="Times New Roman" w:hAnsi="Calibri" w:cs="Calibri"/>
          <w:i/>
          <w:iCs/>
        </w:rPr>
        <w:t>Impact Analysis </w:t>
      </w:r>
      <w:r w:rsidRPr="00CD02D4">
        <w:rPr>
          <w:rFonts w:ascii="Calibri" w:eastAsia="Times New Roman" w:hAnsi="Calibri" w:cs="Calibri"/>
        </w:rPr>
        <w:t> </w:t>
      </w:r>
    </w:p>
    <w:p w:rsidR="00CD02D4" w:rsidRPr="00CD02D4" w:rsidP="00CD02D4" w14:paraId="5A0BA01A" w14:textId="5A00FAFC">
      <w:pPr>
        <w:spacing w:after="0" w:line="240" w:lineRule="auto"/>
        <w:textAlignment w:val="baseline"/>
        <w:rPr>
          <w:rFonts w:ascii="Segoe UI" w:eastAsia="Times New Roman" w:hAnsi="Segoe UI" w:cs="Segoe UI"/>
          <w:sz w:val="18"/>
          <w:szCs w:val="18"/>
        </w:rPr>
      </w:pPr>
      <w:r w:rsidRPr="00CD02D4">
        <w:rPr>
          <w:rFonts w:ascii="Calibri" w:eastAsia="Times New Roman" w:hAnsi="Calibri" w:cs="Calibri"/>
        </w:rPr>
        <w:t xml:space="preserve">The impact analysis will assess the effectiveness of early childhood home visiting programs in improving the outcomes of families and children when children are in </w:t>
      </w:r>
      <w:r w:rsidR="007500DF">
        <w:rPr>
          <w:rFonts w:ascii="Calibri" w:eastAsia="Times New Roman" w:hAnsi="Calibri" w:cs="Calibri"/>
        </w:rPr>
        <w:t>third grade</w:t>
      </w:r>
      <w:r w:rsidRPr="00CD02D4">
        <w:rPr>
          <w:rFonts w:ascii="Calibri" w:eastAsia="Times New Roman" w:hAnsi="Calibri" w:cs="Calibri"/>
        </w:rPr>
        <w:t>, both overall and across key subgroups of families and programs. Random assignment was used in MIHOPE to create program and control groups that were expected to be similar in all respects when they entered the study. As is standard in random assignment studies, the primary analytical strategy in MIHOPE-</w:t>
      </w:r>
      <w:r w:rsidR="00C95CAA">
        <w:rPr>
          <w:rFonts w:ascii="Calibri" w:eastAsia="Times New Roman" w:hAnsi="Calibri" w:cs="Calibri"/>
        </w:rPr>
        <w:t>3G</w:t>
      </w:r>
      <w:r w:rsidRPr="00CD02D4" w:rsidR="00C95CAA">
        <w:rPr>
          <w:rFonts w:ascii="Calibri" w:eastAsia="Times New Roman" w:hAnsi="Calibri" w:cs="Calibri"/>
        </w:rPr>
        <w:t xml:space="preserve"> </w:t>
      </w:r>
      <w:r w:rsidRPr="00CD02D4">
        <w:rPr>
          <w:rFonts w:ascii="Calibri" w:eastAsia="Times New Roman" w:hAnsi="Calibri" w:cs="Calibri"/>
        </w:rPr>
        <w:t>will be to compare the outcomes of the entire program group with those of the entire control group (an “intent-to-treat” analysis). Doing so preserves the integrity of the random assignment design and means that any differences that emerge after random assignment can be reliably attributed to the program group’s access to evidence-based home visiting. </w:t>
      </w:r>
    </w:p>
    <w:p w:rsidR="00CD02D4" w:rsidRPr="00CD02D4" w:rsidP="00CD02D4" w14:paraId="0B09EDAD" w14:textId="77777777">
      <w:pPr>
        <w:spacing w:after="0" w:line="240" w:lineRule="auto"/>
        <w:textAlignment w:val="baseline"/>
        <w:rPr>
          <w:rFonts w:ascii="Segoe UI" w:eastAsia="Times New Roman" w:hAnsi="Segoe UI" w:cs="Segoe UI"/>
          <w:sz w:val="18"/>
          <w:szCs w:val="18"/>
        </w:rPr>
      </w:pPr>
      <w:r w:rsidRPr="00CD02D4">
        <w:rPr>
          <w:rFonts w:ascii="Calibri" w:eastAsia="Times New Roman" w:hAnsi="Calibri" w:cs="Calibri"/>
        </w:rPr>
        <w:t> </w:t>
      </w:r>
    </w:p>
    <w:p w:rsidR="00CD02D4" w:rsidRPr="00CD02D4" w:rsidP="00CD02D4" w14:paraId="16EFAC5D" w14:textId="612BD83E">
      <w:pPr>
        <w:spacing w:after="0" w:line="240" w:lineRule="auto"/>
        <w:textAlignment w:val="baseline"/>
        <w:rPr>
          <w:rFonts w:ascii="Segoe UI" w:eastAsia="Times New Roman" w:hAnsi="Segoe UI" w:cs="Segoe UI"/>
          <w:sz w:val="18"/>
          <w:szCs w:val="18"/>
        </w:rPr>
      </w:pPr>
      <w:r w:rsidRPr="00CD02D4">
        <w:rPr>
          <w:rFonts w:ascii="Calibri" w:eastAsia="Times New Roman" w:hAnsi="Calibri" w:cs="Calibri"/>
        </w:rPr>
        <w:t xml:space="preserve">Information on sample members’ baseline characteristics </w:t>
      </w:r>
      <w:r w:rsidR="00F02DE9">
        <w:rPr>
          <w:rFonts w:ascii="Calibri" w:eastAsia="Times New Roman" w:hAnsi="Calibri" w:cs="Calibri"/>
        </w:rPr>
        <w:t>will</w:t>
      </w:r>
      <w:r w:rsidRPr="00CD02D4" w:rsidR="00F02DE9">
        <w:rPr>
          <w:rFonts w:ascii="Calibri" w:eastAsia="Times New Roman" w:hAnsi="Calibri" w:cs="Calibri"/>
        </w:rPr>
        <w:t xml:space="preserve"> </w:t>
      </w:r>
      <w:r w:rsidRPr="00CD02D4">
        <w:rPr>
          <w:rFonts w:ascii="Calibri" w:eastAsia="Times New Roman" w:hAnsi="Calibri" w:cs="Calibri"/>
        </w:rPr>
        <w:t>be used in the analysis to increase the precision of estimated impacts.  </w:t>
      </w:r>
    </w:p>
    <w:p w:rsidR="00CD02D4" w:rsidRPr="00CD02D4" w:rsidP="00CD02D4" w14:paraId="03B42D34" w14:textId="77777777">
      <w:pPr>
        <w:spacing w:after="0" w:line="240" w:lineRule="auto"/>
        <w:textAlignment w:val="baseline"/>
        <w:rPr>
          <w:rFonts w:ascii="Segoe UI" w:eastAsia="Times New Roman" w:hAnsi="Segoe UI" w:cs="Segoe UI"/>
          <w:sz w:val="18"/>
          <w:szCs w:val="18"/>
        </w:rPr>
      </w:pPr>
      <w:r w:rsidRPr="00CD02D4">
        <w:rPr>
          <w:rFonts w:ascii="Calibri" w:eastAsia="Times New Roman" w:hAnsi="Calibri" w:cs="Calibri"/>
        </w:rPr>
        <w:t> </w:t>
      </w:r>
    </w:p>
    <w:p w:rsidR="00CD02D4" w:rsidP="00CD02D4" w14:paraId="3236C6F5" w14:textId="77777777">
      <w:pPr>
        <w:spacing w:after="0" w:line="240" w:lineRule="auto"/>
        <w:textAlignment w:val="baseline"/>
        <w:rPr>
          <w:rFonts w:ascii="Calibri" w:eastAsia="Times New Roman" w:hAnsi="Calibri" w:cs="Calibri"/>
        </w:rPr>
      </w:pPr>
      <w:r w:rsidRPr="00CD02D4">
        <w:rPr>
          <w:rFonts w:ascii="Calibri" w:eastAsia="Times New Roman" w:hAnsi="Calibri" w:cs="Calibri"/>
        </w:rPr>
        <w:t xml:space="preserve">To address the question of whether home visiting programs have larger effects for some groups of families, effects can also be compared across key subgroups of families. This approach is consistent with the MIHOPE analysis that was conducted when children were 15 months of age and follows the recommendations of Bloom and Michalopoulos (2013). For example, in estimating the effects for mothers who were pregnant and the effects for those whose children were infants when they entered the study, the impact analysis would investigate whether estimated effects were larger for one group than for the other. If there are no statistically significant differences in the estimated impacts across subgroups and there are statistically significant effects estimated for all families, the presumption would be that home visiting is effective for all subgroups. This approach is proposed because estimated effects </w:t>
      </w:r>
      <w:r w:rsidRPr="00CD02D4">
        <w:rPr>
          <w:rFonts w:ascii="Calibri" w:eastAsia="Times New Roman" w:hAnsi="Calibri" w:cs="Calibri"/>
        </w:rPr>
        <w:t>for subgroups are less precise than estimated effects for the full sample (because subgroup sample sizes are smaller than the full sample), meaning that it is likely that estimated effects for some subgroups would not be statistically significant even if the program were modestly effective for that subgroup. </w:t>
      </w:r>
    </w:p>
    <w:p w:rsidR="008D28A7" w:rsidP="00CD02D4" w14:paraId="7BEFE020" w14:textId="77777777">
      <w:pPr>
        <w:spacing w:after="0" w:line="240" w:lineRule="auto"/>
        <w:textAlignment w:val="baseline"/>
        <w:rPr>
          <w:rFonts w:ascii="Calibri" w:eastAsia="Times New Roman" w:hAnsi="Calibri" w:cs="Calibri"/>
        </w:rPr>
      </w:pPr>
    </w:p>
    <w:p w:rsidR="00E571D6" w:rsidRPr="00CD688D" w:rsidP="00302B91" w14:paraId="550786ED" w14:textId="570E89A5">
      <w:pPr>
        <w:spacing w:after="60" w:line="240" w:lineRule="auto"/>
        <w:textAlignment w:val="baseline"/>
        <w:rPr>
          <w:rFonts w:ascii="Segoe UI" w:eastAsia="Times New Roman" w:hAnsi="Segoe UI" w:cs="Segoe UI"/>
          <w:sz w:val="18"/>
          <w:szCs w:val="18"/>
        </w:rPr>
      </w:pPr>
      <w:r>
        <w:rPr>
          <w:rFonts w:ascii="Calibri" w:eastAsia="Times New Roman" w:hAnsi="Calibri" w:cs="Calibri"/>
          <w:i/>
          <w:iCs/>
        </w:rPr>
        <w:t>Benefit-Cost</w:t>
      </w:r>
      <w:r w:rsidRPr="00CD02D4">
        <w:rPr>
          <w:rFonts w:ascii="Calibri" w:eastAsia="Times New Roman" w:hAnsi="Calibri" w:cs="Calibri"/>
          <w:i/>
          <w:iCs/>
        </w:rPr>
        <w:t xml:space="preserve"> Analysis </w:t>
      </w:r>
      <w:r w:rsidRPr="00CD02D4">
        <w:rPr>
          <w:rFonts w:ascii="Calibri" w:eastAsia="Times New Roman" w:hAnsi="Calibri" w:cs="Calibri"/>
        </w:rPr>
        <w:t> </w:t>
      </w:r>
    </w:p>
    <w:p w:rsidR="008D28A7" w:rsidRPr="00CD02D4" w:rsidP="00CD02D4" w14:paraId="165E97FC" w14:textId="77D31AD0">
      <w:pPr>
        <w:spacing w:after="0" w:line="240" w:lineRule="auto"/>
        <w:textAlignment w:val="baseline"/>
        <w:rPr>
          <w:rFonts w:ascii="Segoe UI" w:eastAsia="Times New Roman" w:hAnsi="Segoe UI" w:cs="Segoe UI"/>
          <w:sz w:val="18"/>
          <w:szCs w:val="18"/>
        </w:rPr>
      </w:pPr>
      <w:r>
        <w:t xml:space="preserve">Benefit-cost analyses represent a way of assessing whether social programs are an efficient use of governmental resources. Given the budgetary constraints of publicly funded programs and the diverse needs for them, a benefit-cost analysis can help to identify programs or policies that provide the highest returns on public investments with the goal of improving the lives of program participants and other members of society. </w:t>
      </w:r>
      <w:r w:rsidR="00C317FE">
        <w:t>The MIHOPE</w:t>
      </w:r>
      <w:r w:rsidR="00D07238">
        <w:t>-3G</w:t>
      </w:r>
      <w:r w:rsidR="00C317FE">
        <w:t xml:space="preserve"> benefit-cost </w:t>
      </w:r>
      <w:r w:rsidR="0016709F">
        <w:t xml:space="preserve">analysis will </w:t>
      </w:r>
      <w:r>
        <w:t>us</w:t>
      </w:r>
      <w:r w:rsidR="0016709F">
        <w:t>e</w:t>
      </w:r>
      <w:r>
        <w:t xml:space="preserve"> information collected through the time the focal children are in </w:t>
      </w:r>
      <w:r w:rsidR="00FD20AA">
        <w:t xml:space="preserve">approximately </w:t>
      </w:r>
      <w:r>
        <w:t>third grade</w:t>
      </w:r>
      <w:r w:rsidR="00DE1C11">
        <w:t xml:space="preserve"> </w:t>
      </w:r>
      <w:r w:rsidR="00DE1C11">
        <w:rPr>
          <w:rFonts w:ascii="Calibri" w:eastAsia="Calibri" w:hAnsi="Calibri" w:cs="Calibri"/>
          <w:color w:val="000000" w:themeColor="text1"/>
        </w:rPr>
        <w:t>to</w:t>
      </w:r>
      <w:r w:rsidRPr="036C38E4" w:rsidR="00DE1C11">
        <w:rPr>
          <w:rFonts w:ascii="Calibri" w:eastAsia="Calibri" w:hAnsi="Calibri" w:cs="Calibri"/>
          <w:color w:val="000000" w:themeColor="text1"/>
        </w:rPr>
        <w:t xml:space="preserve"> weigh the cost of operating a program with subsequent monetary benefits to the government, to society, and to families that might result from participation in the program</w:t>
      </w:r>
      <w:r>
        <w:t xml:space="preserve">. </w:t>
      </w:r>
      <w:r w:rsidR="00996660">
        <w:t>Information on program costs</w:t>
      </w:r>
      <w:r w:rsidR="00E6271B">
        <w:t xml:space="preserve"> were collected </w:t>
      </w:r>
      <w:r w:rsidR="00875782">
        <w:t xml:space="preserve">and analyzed </w:t>
      </w:r>
      <w:r w:rsidR="00911233">
        <w:t>during earlier stages of MIHOPE; the</w:t>
      </w:r>
      <w:r w:rsidR="000A0AEB">
        <w:t xml:space="preserve"> cost data were </w:t>
      </w:r>
      <w:r w:rsidR="006B77F9">
        <w:t>derived from</w:t>
      </w:r>
      <w:r w:rsidR="00875782">
        <w:t xml:space="preserve"> (i)</w:t>
      </w:r>
      <w:r w:rsidR="00996660">
        <w:t xml:space="preserve"> total program expenditures for one calendar year, classified into cost categories such as personnel and supplies; </w:t>
      </w:r>
      <w:r w:rsidR="0058120F">
        <w:t xml:space="preserve">(ii) </w:t>
      </w:r>
      <w:r w:rsidR="00996660">
        <w:t xml:space="preserve">service delivery data for the same time period as local program expenditures; and </w:t>
      </w:r>
      <w:r w:rsidR="0058120F">
        <w:t xml:space="preserve">(iii) </w:t>
      </w:r>
      <w:r w:rsidR="00996660">
        <w:t>MIHOPE family service logs</w:t>
      </w:r>
      <w:r w:rsidR="00486C3B">
        <w:t>.</w:t>
      </w:r>
    </w:p>
    <w:p w:rsidR="00B93AF2" w:rsidP="00CD02D4" w14:paraId="2306770B" w14:textId="77777777">
      <w:pPr>
        <w:spacing w:after="0" w:line="240" w:lineRule="auto"/>
        <w:textAlignment w:val="baseline"/>
        <w:rPr>
          <w:rFonts w:ascii="Calibri" w:eastAsia="Times New Roman" w:hAnsi="Calibri" w:cs="Calibri"/>
          <w:color w:val="000000"/>
        </w:rPr>
      </w:pPr>
    </w:p>
    <w:p w:rsidR="00B93AF2" w:rsidRPr="001A59B6" w:rsidP="00B93AF2" w14:paraId="248E20AF" w14:textId="19739A9E">
      <w:pPr>
        <w:spacing w:after="0" w:line="240" w:lineRule="auto"/>
        <w:rPr>
          <w:rFonts w:eastAsia="Times New Roman"/>
        </w:rPr>
      </w:pPr>
      <w:r>
        <w:t>The team plans</w:t>
      </w:r>
      <w:r w:rsidR="00E22D37">
        <w:t xml:space="preserve"> to post analysis plans</w:t>
      </w:r>
      <w:r>
        <w:t xml:space="preserve"> at clinicaltrials.gov</w:t>
      </w:r>
      <w:r w:rsidR="00EE0206">
        <w:t xml:space="preserve">, as they have for </w:t>
      </w:r>
      <w:r w:rsidR="00A125CE">
        <w:t xml:space="preserve">earlier MIHOPE </w:t>
      </w:r>
      <w:r w:rsidR="005557DB">
        <w:t>data collection efforts</w:t>
      </w:r>
      <w:r>
        <w:t>.</w:t>
      </w:r>
    </w:p>
    <w:p w:rsidR="00A42C71" w:rsidRPr="001A59B6" w:rsidP="00A42C71" w14:paraId="6D9A7ABD" w14:textId="77777777">
      <w:pPr>
        <w:spacing w:after="0" w:line="240" w:lineRule="auto"/>
        <w:rPr>
          <w:rFonts w:eastAsia="Times New Roman" w:cstheme="minorHAnsi"/>
        </w:rPr>
      </w:pPr>
    </w:p>
    <w:p w:rsidR="00A42C71" w:rsidRPr="001A59B6" w:rsidP="00302B9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A42C71" w:rsidRPr="001A59B6" w:rsidP="00302B91" w14:paraId="39B31B50" w14:textId="1E557194">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116D3C" w14:paraId="7072B0A8" w14:textId="02251851">
      <w:pPr>
        <w:spacing w:after="0" w:line="240" w:lineRule="auto"/>
        <w:rPr>
          <w:rFonts w:ascii="Calibri" w:eastAsia="Calibri" w:hAnsi="Calibri" w:cs="Calibri"/>
          <w:color w:val="000000" w:themeColor="text1"/>
        </w:rPr>
      </w:pPr>
      <w:r>
        <w:rPr>
          <w:rFonts w:ascii="Calibri" w:eastAsia="Calibri" w:hAnsi="Calibri" w:cs="Calibri"/>
          <w:color w:val="000000" w:themeColor="text1"/>
        </w:rPr>
        <w:t>Administrative data</w:t>
      </w:r>
      <w:r w:rsidR="001873B0">
        <w:rPr>
          <w:rFonts w:ascii="Calibri" w:eastAsia="Calibri" w:hAnsi="Calibri" w:cs="Calibri"/>
          <w:color w:val="000000" w:themeColor="text1"/>
        </w:rPr>
        <w:t xml:space="preserve"> wi</w:t>
      </w:r>
      <w:r>
        <w:rPr>
          <w:rFonts w:ascii="Calibri" w:eastAsia="Calibri" w:hAnsi="Calibri" w:cs="Calibri"/>
          <w:color w:val="000000" w:themeColor="text1"/>
        </w:rPr>
        <w:t xml:space="preserve">ll be checked after receipt to review for possible data errors or aspects of data file receipt that the study team has questions about. </w:t>
      </w:r>
      <w:r w:rsidR="00E76F20">
        <w:rPr>
          <w:rFonts w:ascii="Calibri" w:eastAsia="Calibri" w:hAnsi="Calibri" w:cs="Calibri"/>
          <w:color w:val="000000" w:themeColor="text1"/>
        </w:rPr>
        <w:t xml:space="preserve">Data processing will be conducted by an experienced group of staff from the study team. Quality checks will be conducted to ensure that </w:t>
      </w:r>
      <w:r w:rsidR="00632488">
        <w:rPr>
          <w:rFonts w:ascii="Calibri" w:eastAsia="Calibri" w:hAnsi="Calibri" w:cs="Calibri"/>
          <w:color w:val="000000" w:themeColor="text1"/>
        </w:rPr>
        <w:t xml:space="preserve">administrative data processing </w:t>
      </w:r>
      <w:r w:rsidR="008A6792">
        <w:rPr>
          <w:rFonts w:ascii="Calibri" w:eastAsia="Calibri" w:hAnsi="Calibri" w:cs="Calibri"/>
          <w:color w:val="000000" w:themeColor="text1"/>
        </w:rPr>
        <w:t>was conducted as expected.</w:t>
      </w:r>
    </w:p>
    <w:p w:rsidR="00A42C71" w:rsidRPr="001A59B6" w:rsidP="00A42C71" w14:paraId="1F57B3E9" w14:textId="77777777">
      <w:pPr>
        <w:autoSpaceDE w:val="0"/>
        <w:autoSpaceDN w:val="0"/>
        <w:adjustRightInd w:val="0"/>
        <w:spacing w:after="0" w:line="240" w:lineRule="atLeast"/>
        <w:rPr>
          <w:rFonts w:eastAsia="Times New Roman" w:cstheme="minorHAnsi"/>
          <w:bCs/>
          <w:color w:val="000000"/>
        </w:rPr>
      </w:pPr>
    </w:p>
    <w:p w:rsidR="00A42C71" w:rsidP="00302B91" w14:paraId="029DADD1" w14:textId="77777777">
      <w:pPr>
        <w:autoSpaceDE w:val="0"/>
        <w:autoSpaceDN w:val="0"/>
        <w:adjustRightInd w:val="0"/>
        <w:spacing w:after="60" w:line="240" w:lineRule="atLeast"/>
        <w:rPr>
          <w:rFonts w:eastAsia="Times New Roman"/>
          <w:i/>
          <w:color w:val="000000" w:themeColor="text1"/>
        </w:rPr>
      </w:pPr>
      <w:r w:rsidRPr="036C38E4">
        <w:rPr>
          <w:rFonts w:eastAsia="Times New Roman"/>
          <w:i/>
          <w:iCs/>
          <w:color w:val="000000" w:themeColor="text1"/>
        </w:rPr>
        <w:t>Data Analysis</w:t>
      </w:r>
    </w:p>
    <w:p w:rsidR="008C4B08" w:rsidRPr="00A67D32" w:rsidP="008C4B08" w14:paraId="46A1B360" w14:textId="7F264705">
      <w:pPr>
        <w:autoSpaceDE w:val="0"/>
        <w:autoSpaceDN w:val="0"/>
        <w:adjustRightInd w:val="0"/>
        <w:spacing w:after="0" w:line="240" w:lineRule="auto"/>
        <w:rPr>
          <w:rFonts w:eastAsia="Times New Roman"/>
          <w:color w:val="000000"/>
        </w:rPr>
      </w:pPr>
      <w:r w:rsidRPr="0860F2F9">
        <w:rPr>
          <w:rFonts w:eastAsia="Times New Roman"/>
          <w:color w:val="000000" w:themeColor="text1"/>
        </w:rPr>
        <w:t xml:space="preserve">Since </w:t>
      </w:r>
      <w:r w:rsidRPr="00037BFD">
        <w:rPr>
          <w:rFonts w:eastAsia="Times New Roman"/>
          <w:color w:val="000000" w:themeColor="text1"/>
        </w:rPr>
        <w:t>this is an impact study</w:t>
      </w:r>
      <w:r w:rsidR="001D5912">
        <w:rPr>
          <w:rFonts w:eastAsia="Times New Roman"/>
          <w:color w:val="000000" w:themeColor="text1"/>
        </w:rPr>
        <w:t xml:space="preserve"> and will include a benefit-cost analysis</w:t>
      </w:r>
      <w:r w:rsidRPr="00037BFD">
        <w:rPr>
          <w:rFonts w:eastAsia="Times New Roman"/>
          <w:color w:val="000000" w:themeColor="text1"/>
        </w:rPr>
        <w:t xml:space="preserve">, this information </w:t>
      </w:r>
      <w:r w:rsidRPr="0860F2F9">
        <w:rPr>
          <w:rFonts w:eastAsia="Times New Roman"/>
          <w:color w:val="000000" w:themeColor="text1"/>
        </w:rPr>
        <w:t>is provided</w:t>
      </w:r>
      <w:r w:rsidRPr="00A67D32">
        <w:rPr>
          <w:rFonts w:eastAsia="Times New Roman"/>
          <w:color w:val="000000" w:themeColor="text1"/>
        </w:rPr>
        <w:t xml:space="preserve"> under </w:t>
      </w:r>
      <w:r w:rsidRPr="00A67D32">
        <w:rPr>
          <w:rFonts w:eastAsia="Times New Roman"/>
          <w:i/>
          <w:color w:val="000000" w:themeColor="text1"/>
        </w:rPr>
        <w:t>Production of Estimates</w:t>
      </w:r>
      <w:r w:rsidR="00BE3342">
        <w:rPr>
          <w:rFonts w:eastAsia="Times New Roman"/>
          <w:i/>
          <w:color w:val="000000" w:themeColor="text1"/>
        </w:rPr>
        <w:t xml:space="preserve"> and Projections (B6)</w:t>
      </w:r>
      <w:r w:rsidRPr="00A67D32">
        <w:rPr>
          <w:rFonts w:eastAsia="Times New Roman"/>
          <w:color w:val="000000" w:themeColor="text1"/>
        </w:rPr>
        <w:t>.</w:t>
      </w:r>
    </w:p>
    <w:p w:rsidR="00A42C71" w:rsidRPr="001A59B6" w:rsidP="00A42C71" w14:paraId="17631BBB" w14:textId="77777777">
      <w:pPr>
        <w:autoSpaceDE w:val="0"/>
        <w:autoSpaceDN w:val="0"/>
        <w:adjustRightInd w:val="0"/>
        <w:spacing w:after="0" w:line="240" w:lineRule="atLeast"/>
        <w:rPr>
          <w:rFonts w:eastAsia="Times New Roman" w:cstheme="minorHAnsi"/>
          <w:bCs/>
          <w:color w:val="000000"/>
        </w:rPr>
      </w:pPr>
    </w:p>
    <w:p w:rsidR="00E571D6" w:rsidRPr="001A59B6" w:rsidP="00302B91" w14:paraId="13185999" w14:textId="0632F00A">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A63A23" w:rsidRPr="00A63A23" w:rsidP="00A63A23" w14:paraId="4579666B" w14:textId="1774B58D">
      <w:pPr>
        <w:spacing w:after="0" w:line="240" w:lineRule="auto"/>
        <w:textAlignment w:val="baseline"/>
        <w:rPr>
          <w:rFonts w:ascii="Segoe UI" w:eastAsia="Times New Roman" w:hAnsi="Segoe UI" w:cs="Segoe UI"/>
          <w:sz w:val="18"/>
          <w:szCs w:val="18"/>
        </w:rPr>
      </w:pPr>
      <w:r w:rsidRPr="00A63A23">
        <w:rPr>
          <w:rFonts w:ascii="Calibri" w:eastAsia="Times New Roman" w:hAnsi="Calibri" w:cs="Calibri"/>
        </w:rPr>
        <w:t>A report published by the federal government will show estimated long-term effects of home visiting programs</w:t>
      </w:r>
      <w:r w:rsidR="00CD4E1D">
        <w:rPr>
          <w:rFonts w:ascii="Calibri" w:eastAsia="Times New Roman" w:hAnsi="Calibri" w:cs="Calibri"/>
        </w:rPr>
        <w:t xml:space="preserve"> and compare the</w:t>
      </w:r>
      <w:r w:rsidR="009B5841">
        <w:rPr>
          <w:rFonts w:ascii="Calibri" w:eastAsia="Times New Roman" w:hAnsi="Calibri" w:cs="Calibri"/>
        </w:rPr>
        <w:t>ir</w:t>
      </w:r>
      <w:r w:rsidR="00CD4E1D">
        <w:rPr>
          <w:rFonts w:ascii="Calibri" w:eastAsia="Times New Roman" w:hAnsi="Calibri" w:cs="Calibri"/>
        </w:rPr>
        <w:t xml:space="preserve"> benefits and costs</w:t>
      </w:r>
      <w:r w:rsidRPr="00A63A23">
        <w:rPr>
          <w:rFonts w:ascii="Calibri" w:eastAsia="Times New Roman" w:hAnsi="Calibri" w:cs="Calibri"/>
        </w:rPr>
        <w:t xml:space="preserve"> through the </w:t>
      </w:r>
      <w:r w:rsidR="00CD4E1D">
        <w:rPr>
          <w:rFonts w:ascii="Calibri" w:eastAsia="Times New Roman" w:hAnsi="Calibri" w:cs="Calibri"/>
        </w:rPr>
        <w:t>third grade</w:t>
      </w:r>
      <w:r w:rsidRPr="00A63A23" w:rsidR="00CD4E1D">
        <w:rPr>
          <w:rFonts w:ascii="Calibri" w:eastAsia="Times New Roman" w:hAnsi="Calibri" w:cs="Calibri"/>
        </w:rPr>
        <w:t xml:space="preserve"> </w:t>
      </w:r>
      <w:r w:rsidRPr="00A63A23">
        <w:rPr>
          <w:rFonts w:ascii="Calibri" w:eastAsia="Times New Roman" w:hAnsi="Calibri" w:cs="Calibri"/>
        </w:rPr>
        <w:t xml:space="preserve">follow-up </w:t>
      </w:r>
      <w:r w:rsidR="00AB6F43">
        <w:rPr>
          <w:rFonts w:ascii="Calibri" w:eastAsia="Times New Roman" w:hAnsi="Calibri" w:cs="Calibri"/>
        </w:rPr>
        <w:t>time point</w:t>
      </w:r>
      <w:r w:rsidRPr="00A63A23">
        <w:rPr>
          <w:rFonts w:ascii="Calibri" w:eastAsia="Times New Roman" w:hAnsi="Calibri" w:cs="Calibri"/>
        </w:rPr>
        <w:t xml:space="preserve">. This report will be written to inform ACF and HRSA, as well as to provide information to the broader home visiting field. </w:t>
      </w:r>
      <w:r w:rsidR="00EF26A7">
        <w:rPr>
          <w:rFonts w:ascii="Calibri" w:eastAsia="Times New Roman" w:hAnsi="Calibri" w:cs="Calibri"/>
        </w:rPr>
        <w:t>Other interested parties,</w:t>
      </w:r>
      <w:r w:rsidRPr="00A63A23" w:rsidR="00EF26A7">
        <w:rPr>
          <w:rFonts w:ascii="Calibri" w:eastAsia="Times New Roman" w:hAnsi="Calibri" w:cs="Calibri"/>
        </w:rPr>
        <w:t xml:space="preserve"> </w:t>
      </w:r>
      <w:r w:rsidRPr="00A63A23">
        <w:rPr>
          <w:rFonts w:ascii="Calibri" w:eastAsia="Times New Roman" w:hAnsi="Calibri" w:cs="Calibri"/>
        </w:rPr>
        <w:t xml:space="preserve">such as home visiting model developers, states, territories, Tribes, and Tribal organizations that oversee the implementation of home visiting programs, local home visiting programs, and researchers </w:t>
      </w:r>
      <w:r w:rsidRPr="00A63A23" w:rsidR="009D5A0A">
        <w:rPr>
          <w:rFonts w:ascii="Calibri" w:eastAsia="Times New Roman" w:hAnsi="Calibri" w:cs="Calibri"/>
        </w:rPr>
        <w:t>in</w:t>
      </w:r>
      <w:r w:rsidRPr="00A63A23">
        <w:rPr>
          <w:rFonts w:ascii="Calibri" w:eastAsia="Times New Roman" w:hAnsi="Calibri" w:cs="Calibri"/>
        </w:rPr>
        <w:t xml:space="preserve"> home visiting will all have potential interest in incorporating the findings into their work. Limitations to the data will be included in the published report.</w:t>
      </w:r>
    </w:p>
    <w:p w:rsidR="00A63A23" w:rsidRPr="00A63A23" w:rsidP="00A63A23" w14:paraId="5D5AE2B2" w14:textId="77777777">
      <w:pPr>
        <w:spacing w:after="0" w:line="240" w:lineRule="auto"/>
        <w:textAlignment w:val="baseline"/>
        <w:rPr>
          <w:rFonts w:ascii="Segoe UI" w:eastAsia="Times New Roman" w:hAnsi="Segoe UI" w:cs="Segoe UI"/>
          <w:sz w:val="18"/>
          <w:szCs w:val="18"/>
        </w:rPr>
      </w:pPr>
      <w:r w:rsidRPr="00A63A23">
        <w:rPr>
          <w:rFonts w:ascii="Times New Roman" w:eastAsia="Times New Roman" w:hAnsi="Times New Roman" w:cs="Times New Roman"/>
        </w:rPr>
        <w:t> </w:t>
      </w:r>
    </w:p>
    <w:p w:rsidR="00A63A23" w:rsidRPr="00A63A23" w:rsidP="00A63A23" w14:paraId="02B7BFFA" w14:textId="209B9AD2">
      <w:pPr>
        <w:spacing w:after="0" w:line="240" w:lineRule="auto"/>
        <w:textAlignment w:val="baseline"/>
        <w:rPr>
          <w:rFonts w:ascii="Segoe UI" w:eastAsia="Times New Roman" w:hAnsi="Segoe UI" w:cs="Segoe UI"/>
          <w:sz w:val="18"/>
          <w:szCs w:val="18"/>
        </w:rPr>
      </w:pPr>
      <w:r w:rsidRPr="00A63A23">
        <w:rPr>
          <w:rFonts w:ascii="Calibri" w:eastAsia="Times New Roman" w:hAnsi="Calibri" w:cs="Calibri"/>
        </w:rPr>
        <w:t>We plan to archive th</w:t>
      </w:r>
      <w:r w:rsidR="00F96961">
        <w:rPr>
          <w:rFonts w:ascii="Calibri" w:eastAsia="Times New Roman" w:hAnsi="Calibri" w:cs="Calibri"/>
        </w:rPr>
        <w:t>e</w:t>
      </w:r>
      <w:r w:rsidRPr="00A63A23">
        <w:rPr>
          <w:rFonts w:ascii="Calibri" w:eastAsia="Times New Roman" w:hAnsi="Calibri" w:cs="Calibri"/>
        </w:rPr>
        <w:t xml:space="preserve"> data</w:t>
      </w:r>
      <w:r w:rsidR="00F96961">
        <w:rPr>
          <w:rFonts w:ascii="Calibri" w:eastAsia="Times New Roman" w:hAnsi="Calibri" w:cs="Calibri"/>
        </w:rPr>
        <w:t xml:space="preserve"> collected for the </w:t>
      </w:r>
      <w:r w:rsidR="00AB6F43">
        <w:rPr>
          <w:rFonts w:ascii="Calibri" w:eastAsia="Times New Roman" w:hAnsi="Calibri" w:cs="Calibri"/>
        </w:rPr>
        <w:t>third grade</w:t>
      </w:r>
      <w:r w:rsidR="00F96961">
        <w:rPr>
          <w:rFonts w:ascii="Calibri" w:eastAsia="Times New Roman" w:hAnsi="Calibri" w:cs="Calibri"/>
        </w:rPr>
        <w:t xml:space="preserve"> follow-up</w:t>
      </w:r>
      <w:r w:rsidRPr="00A63A23">
        <w:rPr>
          <w:rFonts w:ascii="Calibri" w:eastAsia="Times New Roman" w:hAnsi="Calibri" w:cs="Calibri"/>
        </w:rPr>
        <w:t xml:space="preserve"> at the Inter-university Consortium for Political and Social Research (ICPSR)</w:t>
      </w:r>
      <w:r w:rsidR="00F96961">
        <w:rPr>
          <w:rFonts w:ascii="Calibri" w:eastAsia="Times New Roman" w:hAnsi="Calibri" w:cs="Calibri"/>
        </w:rPr>
        <w:t xml:space="preserve">, if allowed by the administrative data agency </w:t>
      </w:r>
      <w:r w:rsidR="00C84B57">
        <w:rPr>
          <w:rFonts w:ascii="Calibri" w:eastAsia="Times New Roman" w:hAnsi="Calibri" w:cs="Calibri"/>
        </w:rPr>
        <w:t xml:space="preserve">that </w:t>
      </w:r>
      <w:r w:rsidR="00F96961">
        <w:rPr>
          <w:rFonts w:ascii="Calibri" w:eastAsia="Times New Roman" w:hAnsi="Calibri" w:cs="Calibri"/>
        </w:rPr>
        <w:t>provided the data</w:t>
      </w:r>
      <w:r w:rsidRPr="00A63A23">
        <w:rPr>
          <w:rFonts w:ascii="Calibri" w:eastAsia="Times New Roman" w:hAnsi="Calibri" w:cs="Calibri"/>
        </w:rPr>
        <w:t>. Data from earlier MIHOPE data collection efforts is also being archived at ICSPR, and the team has prepared extensive documentation to guide other researchers in using that data. Additional documentation describing the MIHOPE</w:t>
      </w:r>
      <w:r w:rsidR="00B34E18">
        <w:rPr>
          <w:rFonts w:ascii="Calibri" w:eastAsia="Times New Roman" w:hAnsi="Calibri" w:cs="Calibri"/>
        </w:rPr>
        <w:t xml:space="preserve"> </w:t>
      </w:r>
      <w:r w:rsidR="009A2065">
        <w:rPr>
          <w:rFonts w:ascii="Calibri" w:eastAsia="Times New Roman" w:hAnsi="Calibri" w:cs="Calibri"/>
        </w:rPr>
        <w:t>elementary school follow-up</w:t>
      </w:r>
      <w:r w:rsidRPr="00A63A23">
        <w:rPr>
          <w:rFonts w:ascii="Calibri" w:eastAsia="Times New Roman" w:hAnsi="Calibri" w:cs="Calibri"/>
        </w:rPr>
        <w:t xml:space="preserve"> data will be prepared as part of the data deposit.</w:t>
      </w:r>
      <w:r w:rsidRPr="00A63A23">
        <w:rPr>
          <w:rFonts w:ascii="Times New Roman" w:eastAsia="Times New Roman" w:hAnsi="Times New Roman" w:cs="Times New Roman"/>
        </w:rPr>
        <w:t>   </w:t>
      </w:r>
    </w:p>
    <w:p w:rsidR="00A42C71" w:rsidRPr="001A59B6" w:rsidP="00302B91" w14:paraId="3A679871" w14:textId="17FCA851">
      <w:pPr>
        <w:spacing w:after="0" w:line="240" w:lineRule="auto"/>
        <w:textAlignment w:val="baseline"/>
        <w:rPr>
          <w:rFonts w:eastAsia="Times New Roman" w:cstheme="minorHAnsi"/>
        </w:rPr>
      </w:pPr>
      <w:r w:rsidRPr="00A63A23">
        <w:rPr>
          <w:rFonts w:ascii="Calibri" w:eastAsia="Times New Roman" w:hAnsi="Calibri" w:cs="Calibri"/>
        </w:rPr>
        <w:t> </w:t>
      </w:r>
    </w:p>
    <w:p w:rsidR="00A42C71" w:rsidRPr="001A59B6" w:rsidP="036C38E4" w14:paraId="3F327361" w14:textId="1FF97FB9">
      <w:pPr>
        <w:spacing w:after="120" w:line="240" w:lineRule="auto"/>
        <w:rPr>
          <w:rFonts w:eastAsia="Times New Roman"/>
        </w:rPr>
      </w:pPr>
      <w:r w:rsidRPr="036C38E4">
        <w:rPr>
          <w:rFonts w:eastAsia="Times New Roman"/>
          <w:b/>
          <w:bCs/>
        </w:rPr>
        <w:t>B8.  Contact Persons</w:t>
      </w:r>
    </w:p>
    <w:p w:rsidR="00A42C71" w:rsidRPr="001A59B6" w:rsidP="036C38E4" w14:paraId="4FB4291A" w14:textId="746191EA">
      <w:pPr>
        <w:pStyle w:val="ListParagraph"/>
        <w:numPr>
          <w:ilvl w:val="0"/>
          <w:numId w:val="38"/>
        </w:numPr>
        <w:tabs>
          <w:tab w:val="left" w:pos="720"/>
          <w:tab w:val="left" w:pos="1080"/>
          <w:tab w:val="left" w:pos="1440"/>
          <w:tab w:val="left" w:pos="1800"/>
        </w:tabs>
        <w:spacing w:line="240" w:lineRule="auto"/>
        <w:rPr>
          <w:rFonts w:eastAsiaTheme="minorEastAsia"/>
          <w:color w:val="000000" w:themeColor="text1"/>
        </w:rPr>
      </w:pPr>
      <w:r w:rsidRPr="036C38E4">
        <w:rPr>
          <w:rFonts w:ascii="Calibri" w:eastAsia="Calibri" w:hAnsi="Calibri" w:cs="Calibri"/>
          <w:color w:val="000000" w:themeColor="text1"/>
        </w:rPr>
        <w:t>MDRC</w:t>
      </w:r>
    </w:p>
    <w:p w:rsidR="00A42C71" w:rsidRPr="001A59B6" w:rsidP="036C38E4" w14:paraId="014298DE" w14:textId="240564A2">
      <w:pPr>
        <w:pStyle w:val="ListParagraph"/>
        <w:numPr>
          <w:ilvl w:val="1"/>
          <w:numId w:val="38"/>
        </w:numPr>
        <w:tabs>
          <w:tab w:val="left" w:pos="720"/>
          <w:tab w:val="left" w:pos="1080"/>
          <w:tab w:val="left" w:pos="1440"/>
          <w:tab w:val="left" w:pos="1800"/>
        </w:tabs>
        <w:spacing w:line="240" w:lineRule="auto"/>
        <w:rPr>
          <w:rFonts w:eastAsiaTheme="minorEastAsia"/>
          <w:color w:val="000000" w:themeColor="text1"/>
        </w:rPr>
      </w:pPr>
      <w:r w:rsidRPr="036C38E4">
        <w:rPr>
          <w:rFonts w:ascii="Calibri" w:eastAsia="Calibri" w:hAnsi="Calibri" w:cs="Calibri"/>
          <w:color w:val="000000" w:themeColor="text1"/>
        </w:rPr>
        <w:t>Kristen Faucetta (</w:t>
      </w:r>
      <w:hyperlink r:id="rId10">
        <w:r w:rsidRPr="036C38E4">
          <w:rPr>
            <w:rStyle w:val="Hyperlink"/>
            <w:rFonts w:ascii="Calibri" w:eastAsia="Calibri" w:hAnsi="Calibri" w:cs="Calibri"/>
          </w:rPr>
          <w:t>kristen.faucetta@mdrc.org</w:t>
        </w:r>
      </w:hyperlink>
      <w:r w:rsidRPr="036C38E4">
        <w:rPr>
          <w:rFonts w:ascii="Calibri" w:eastAsia="Calibri" w:hAnsi="Calibri" w:cs="Calibri"/>
          <w:color w:val="000000" w:themeColor="text1"/>
        </w:rPr>
        <w:t>)</w:t>
      </w:r>
    </w:p>
    <w:p w:rsidR="00A42C71" w:rsidRPr="001A59B6" w:rsidP="036C38E4" w14:paraId="34A09FF9" w14:textId="52FC5214">
      <w:pPr>
        <w:pStyle w:val="ListParagraph"/>
        <w:numPr>
          <w:ilvl w:val="1"/>
          <w:numId w:val="38"/>
        </w:numPr>
        <w:tabs>
          <w:tab w:val="left" w:pos="720"/>
          <w:tab w:val="left" w:pos="1080"/>
          <w:tab w:val="left" w:pos="1440"/>
          <w:tab w:val="left" w:pos="1800"/>
        </w:tabs>
        <w:spacing w:line="240" w:lineRule="auto"/>
        <w:rPr>
          <w:rFonts w:eastAsiaTheme="minorEastAsia"/>
          <w:color w:val="000000" w:themeColor="text1"/>
        </w:rPr>
      </w:pPr>
      <w:r w:rsidRPr="036C38E4">
        <w:rPr>
          <w:rFonts w:ascii="Calibri" w:eastAsia="Calibri" w:hAnsi="Calibri" w:cs="Calibri"/>
          <w:color w:val="000000" w:themeColor="text1"/>
        </w:rPr>
        <w:t>Charles Michalopoulos (</w:t>
      </w:r>
      <w:hyperlink r:id="rId11">
        <w:r w:rsidRPr="036C38E4">
          <w:rPr>
            <w:rStyle w:val="Hyperlink"/>
            <w:rFonts w:ascii="Calibri" w:eastAsia="Calibri" w:hAnsi="Calibri" w:cs="Calibri"/>
          </w:rPr>
          <w:t>charles.michalopoulos@mdrc.org</w:t>
        </w:r>
      </w:hyperlink>
      <w:r w:rsidRPr="036C38E4">
        <w:rPr>
          <w:rFonts w:ascii="Calibri" w:eastAsia="Calibri" w:hAnsi="Calibri" w:cs="Calibri"/>
          <w:color w:val="000000" w:themeColor="text1"/>
        </w:rPr>
        <w:t>)</w:t>
      </w:r>
    </w:p>
    <w:p w:rsidR="00A42C71" w:rsidRPr="001A59B6" w:rsidP="036C38E4" w14:paraId="29E1B6E8" w14:textId="3CA6738E">
      <w:pPr>
        <w:pStyle w:val="ListParagraph"/>
        <w:numPr>
          <w:ilvl w:val="0"/>
          <w:numId w:val="38"/>
        </w:numPr>
        <w:tabs>
          <w:tab w:val="left" w:pos="720"/>
          <w:tab w:val="left" w:pos="1080"/>
          <w:tab w:val="left" w:pos="1440"/>
          <w:tab w:val="left" w:pos="1800"/>
        </w:tabs>
        <w:spacing w:line="240" w:lineRule="auto"/>
        <w:rPr>
          <w:rFonts w:eastAsiaTheme="minorEastAsia"/>
          <w:color w:val="000000" w:themeColor="text1"/>
        </w:rPr>
      </w:pPr>
      <w:r w:rsidRPr="036C38E4">
        <w:rPr>
          <w:rFonts w:ascii="Calibri" w:eastAsia="Calibri" w:hAnsi="Calibri" w:cs="Calibri"/>
          <w:color w:val="000000" w:themeColor="text1"/>
        </w:rPr>
        <w:t>Nancy Geyelin Margie (OPRE/ACF)</w:t>
      </w:r>
    </w:p>
    <w:p w:rsidR="00A42C71" w:rsidRPr="001A59B6" w:rsidP="00302B91" w14:paraId="0B39A9AE" w14:textId="087C1496">
      <w:pPr>
        <w:pStyle w:val="ListParagraph"/>
        <w:numPr>
          <w:ilvl w:val="0"/>
          <w:numId w:val="38"/>
        </w:numPr>
        <w:tabs>
          <w:tab w:val="left" w:pos="720"/>
          <w:tab w:val="left" w:pos="1080"/>
          <w:tab w:val="left" w:pos="1440"/>
          <w:tab w:val="left" w:pos="1800"/>
        </w:tabs>
        <w:spacing w:after="0" w:line="240" w:lineRule="auto"/>
        <w:rPr>
          <w:rFonts w:eastAsiaTheme="minorEastAsia"/>
          <w:color w:val="000000" w:themeColor="text1"/>
        </w:rPr>
      </w:pPr>
      <w:r w:rsidRPr="7AB668A2">
        <w:rPr>
          <w:rFonts w:ascii="Calibri" w:eastAsia="Calibri" w:hAnsi="Calibri" w:cs="Calibri"/>
          <w:color w:val="000000" w:themeColor="text1"/>
        </w:rPr>
        <w:t>Laura Nerenberg (OPRE/ACF)</w:t>
      </w:r>
    </w:p>
    <w:p w:rsidR="00A42C71" w:rsidRPr="001A59B6" w:rsidP="00A42C71" w14:paraId="2E8E7A92" w14:textId="77777777">
      <w:pPr>
        <w:spacing w:after="0" w:line="240" w:lineRule="auto"/>
        <w:rPr>
          <w:rFonts w:cstheme="minorHAnsi"/>
          <w:b/>
        </w:rPr>
      </w:pPr>
    </w:p>
    <w:p w:rsidR="00A42C71" w:rsidRPr="001A59B6" w:rsidP="00A42C71" w14:paraId="2B00F308" w14:textId="77777777">
      <w:pPr>
        <w:spacing w:after="120" w:line="240" w:lineRule="auto"/>
        <w:rPr>
          <w:rFonts w:cstheme="minorHAnsi"/>
          <w:b/>
        </w:rPr>
      </w:pPr>
      <w:r w:rsidRPr="001A59B6">
        <w:rPr>
          <w:rFonts w:cstheme="minorHAnsi"/>
          <w:b/>
        </w:rPr>
        <w:t>Attachments</w:t>
      </w:r>
    </w:p>
    <w:p w:rsidR="005F61E6" w:rsidRPr="00F17014" w:rsidP="00302B91" w14:paraId="57DD1D84" w14:textId="77777777">
      <w:pPr>
        <w:spacing w:after="60"/>
        <w:rPr>
          <w:b/>
          <w:bCs/>
        </w:rPr>
      </w:pPr>
      <w:r>
        <w:rPr>
          <w:b/>
          <w:bCs/>
        </w:rPr>
        <w:t>Current Request – MIHOPE-3G Materials</w:t>
      </w:r>
    </w:p>
    <w:p w:rsidR="004F3AB5" w:rsidP="004F3AB5" w14:paraId="2DBA3B23" w14:textId="77777777">
      <w:pPr>
        <w:spacing w:after="0"/>
        <w:rPr>
          <w:rFonts w:eastAsiaTheme="minorEastAsia"/>
        </w:rPr>
      </w:pPr>
      <w:r w:rsidRPr="009139B3">
        <w:t>Instrument 1</w:t>
      </w:r>
      <w:r>
        <w:t>_</w:t>
      </w:r>
      <w:r>
        <w:rPr>
          <w:rFonts w:eastAsiaTheme="minorEastAsia"/>
        </w:rPr>
        <w:t>School Records Request From Existing Data Provider</w:t>
      </w:r>
    </w:p>
    <w:p w:rsidR="004F3AB5" w:rsidP="004F3AB5" w14:paraId="5C7B7E7C" w14:textId="77777777">
      <w:pPr>
        <w:spacing w:after="0"/>
        <w:rPr>
          <w:rFonts w:eastAsiaTheme="minorEastAsia"/>
        </w:rPr>
      </w:pPr>
      <w:r>
        <w:rPr>
          <w:rFonts w:eastAsiaTheme="minorEastAsia"/>
        </w:rPr>
        <w:t>Instrument 2_School Records Request From New Data Provider</w:t>
      </w:r>
    </w:p>
    <w:p w:rsidR="004F3AB5" w:rsidP="004F3AB5" w14:paraId="08B053E9" w14:textId="77777777">
      <w:pPr>
        <w:spacing w:after="0"/>
        <w:rPr>
          <w:rFonts w:eastAsiaTheme="minorEastAsia"/>
        </w:rPr>
      </w:pPr>
      <w:r>
        <w:rPr>
          <w:rFonts w:eastAsiaTheme="minorEastAsia"/>
        </w:rPr>
        <w:t>Instrument 3_Child Welfare Records Request From Existing Data Provider</w:t>
      </w:r>
    </w:p>
    <w:p w:rsidR="00FF4944" w:rsidP="004F3AB5" w14:paraId="544AA36B" w14:textId="77777777">
      <w:pPr>
        <w:spacing w:after="0"/>
        <w:rPr>
          <w:rFonts w:eastAsiaTheme="minorEastAsia"/>
        </w:rPr>
      </w:pPr>
      <w:r>
        <w:rPr>
          <w:rFonts w:eastAsiaTheme="minorEastAsia"/>
        </w:rPr>
        <w:t>Instrument 4_Child Welfare Records Request From New Data Provider</w:t>
      </w:r>
    </w:p>
    <w:p w:rsidR="00AB34DC" w:rsidRPr="006B53F1" w:rsidP="00AB34DC" w14:paraId="5CFF4882" w14:textId="7B6B6E3E">
      <w:pPr>
        <w:spacing w:after="0"/>
      </w:pPr>
      <w:r w:rsidRPr="000918B4">
        <w:rPr>
          <w:rFonts w:ascii="Calibri" w:eastAsia="Calibri" w:hAnsi="Calibri" w:cs="Calibri"/>
        </w:rPr>
        <w:t xml:space="preserve">Appendix </w:t>
      </w:r>
      <w:r w:rsidR="00074F45">
        <w:rPr>
          <w:rFonts w:ascii="Calibri" w:eastAsia="Calibri" w:hAnsi="Calibri" w:cs="Calibri"/>
        </w:rPr>
        <w:t>A</w:t>
      </w:r>
      <w:r>
        <w:rPr>
          <w:rFonts w:ascii="Calibri" w:eastAsia="Calibri" w:hAnsi="Calibri" w:cs="Calibri"/>
        </w:rPr>
        <w:t>_</w:t>
      </w:r>
      <w:r w:rsidRPr="000918B4">
        <w:rPr>
          <w:rFonts w:ascii="Calibri" w:eastAsia="Calibri" w:hAnsi="Calibri" w:cs="Calibri"/>
        </w:rPr>
        <w:t xml:space="preserve">MIHOPE_IRB Approval </w:t>
      </w:r>
      <w:r>
        <w:rPr>
          <w:rFonts w:ascii="Calibri" w:eastAsia="Calibri" w:hAnsi="Calibri" w:cs="Calibri"/>
        </w:rPr>
        <w:t>L</w:t>
      </w:r>
      <w:r w:rsidRPr="000918B4">
        <w:rPr>
          <w:rFonts w:ascii="Calibri" w:eastAsia="Calibri" w:hAnsi="Calibri" w:cs="Calibri"/>
        </w:rPr>
        <w:t>etter</w:t>
      </w:r>
    </w:p>
    <w:p w:rsidR="00FA55EB" w:rsidP="00FA55EB" w14:paraId="50DFA8AF" w14:textId="1C85A56C">
      <w:pPr>
        <w:spacing w:after="0"/>
      </w:pPr>
    </w:p>
    <w:p w:rsidR="009F591C" w:rsidRPr="001F20DE" w:rsidP="00302B91" w14:paraId="40CF7730" w14:textId="77777777">
      <w:pPr>
        <w:spacing w:after="60"/>
        <w:rPr>
          <w:b/>
          <w:bCs/>
        </w:rPr>
      </w:pPr>
      <w:r>
        <w:rPr>
          <w:b/>
          <w:bCs/>
        </w:rPr>
        <w:t>Previously Approved and Ongoing with No Changes – MIHOPE-K Instruments</w:t>
      </w:r>
    </w:p>
    <w:p w:rsidR="009F591C" w:rsidRPr="00690036" w:rsidP="009F591C" w14:paraId="721C3737" w14:textId="77777777">
      <w:pPr>
        <w:spacing w:after="0"/>
      </w:pPr>
      <w:r w:rsidRPr="00F17014">
        <w:t xml:space="preserve">Instrument </w:t>
      </w:r>
      <w:r>
        <w:t>5</w:t>
      </w:r>
      <w:r w:rsidRPr="00F17014">
        <w:t>_MIHOPE-K Child Welfare Records Request</w:t>
      </w:r>
    </w:p>
    <w:p w:rsidR="009F591C" w:rsidRPr="00690036" w:rsidP="009F591C" w14:paraId="3F7F1D76" w14:textId="77777777">
      <w:pPr>
        <w:spacing w:after="0"/>
      </w:pPr>
      <w:r w:rsidRPr="00F17014">
        <w:t xml:space="preserve">Instrument </w:t>
      </w:r>
      <w:r>
        <w:t>6</w:t>
      </w:r>
      <w:r w:rsidRPr="00F17014">
        <w:t>_MIHOPE-K School Records Request</w:t>
      </w:r>
    </w:p>
    <w:p w:rsidR="009F591C" w:rsidRPr="006B53F1" w:rsidP="00FA55EB" w14:paraId="4F3361B3" w14:textId="77777777">
      <w:pPr>
        <w:spacing w:after="0"/>
      </w:pPr>
    </w:p>
    <w:p w:rsidR="00FA55EB" w:rsidRPr="006B53F1" w:rsidP="00FA55EB" w14:paraId="46BE3515" w14:textId="77777777"/>
    <w:sectPr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1079" w:rsidP="0004063C" w14:paraId="18E8604A" w14:textId="77777777">
      <w:pPr>
        <w:spacing w:after="0" w:line="240" w:lineRule="auto"/>
      </w:pPr>
      <w:r>
        <w:separator/>
      </w:r>
    </w:p>
  </w:footnote>
  <w:footnote w:type="continuationSeparator" w:id="1">
    <w:p w:rsidR="006C1079" w:rsidP="0004063C" w14:paraId="39A68ABB" w14:textId="77777777">
      <w:pPr>
        <w:spacing w:after="0" w:line="240" w:lineRule="auto"/>
      </w:pPr>
      <w:r>
        <w:continuationSeparator/>
      </w:r>
    </w:p>
  </w:footnote>
  <w:footnote w:type="continuationNotice" w:id="2">
    <w:p w:rsidR="006C1079" w14:paraId="363AEC31" w14:textId="77777777">
      <w:pPr>
        <w:spacing w:after="0" w:line="240" w:lineRule="auto"/>
      </w:pPr>
    </w:p>
  </w:footnote>
  <w:footnote w:id="3">
    <w:p w:rsidR="00692D6C" w14:paraId="3FA09487" w14:textId="1F0E73DD">
      <w:pPr>
        <w:pStyle w:val="FootnoteText"/>
      </w:pPr>
      <w:r>
        <w:rPr>
          <w:rStyle w:val="FootnoteReference"/>
        </w:rPr>
        <w:footnoteRef/>
      </w:r>
      <w:r w:rsidR="00466A8B">
        <w:rPr>
          <w:rStyle w:val="ui-provider"/>
        </w:rPr>
        <w:t xml:space="preserve">We are following up with agencies </w:t>
      </w:r>
      <w:r w:rsidR="00655EB8">
        <w:rPr>
          <w:rStyle w:val="ui-provider"/>
        </w:rPr>
        <w:t xml:space="preserve">in 11 </w:t>
      </w:r>
      <w:r w:rsidR="00466A8B">
        <w:rPr>
          <w:rStyle w:val="ui-provider"/>
        </w:rPr>
        <w:t xml:space="preserve">out of </w:t>
      </w:r>
      <w:r w:rsidR="000B143B">
        <w:rPr>
          <w:rStyle w:val="ui-provider"/>
        </w:rPr>
        <w:t xml:space="preserve">the </w:t>
      </w:r>
      <w:r w:rsidR="00466A8B">
        <w:rPr>
          <w:rStyle w:val="ui-provider"/>
        </w:rPr>
        <w:t>12 states from which we recruited the MIHOPE sample because the California state IRB did not approve collection of data from state or local agencies</w:t>
      </w:r>
      <w:r w:rsidR="00B411F2">
        <w:rPr>
          <w:rStyle w:val="ui-provider"/>
        </w:rPr>
        <w:t xml:space="preserve"> beyond </w:t>
      </w:r>
      <w:r w:rsidR="00EE1869">
        <w:rPr>
          <w:rStyle w:val="ui-provider"/>
        </w:rPr>
        <w:t>MIHOPE’s</w:t>
      </w:r>
      <w:r w:rsidR="00B411F2">
        <w:rPr>
          <w:rStyle w:val="ui-provider"/>
        </w:rPr>
        <w:t xml:space="preserve"> 15-month follow-up point</w:t>
      </w:r>
      <w:r w:rsidR="00466A8B">
        <w:rPr>
          <w:rStyle w:val="ui-provider"/>
        </w:rPr>
        <w:t>.</w:t>
      </w:r>
      <w:r>
        <w:t xml:space="preserve"> </w:t>
      </w:r>
    </w:p>
  </w:footnote>
  <w:footnote w:id="4">
    <w:p w:rsidR="00F445B7" w14:paraId="13B83406" w14:textId="03554558">
      <w:pPr>
        <w:pStyle w:val="FootnoteText"/>
      </w:pPr>
      <w:r>
        <w:rPr>
          <w:rStyle w:val="FootnoteReference"/>
        </w:rPr>
        <w:footnoteRef/>
      </w:r>
      <w:r w:rsidR="00E213FB">
        <w:t>We are factoring in the ability to r</w:t>
      </w:r>
      <w:r w:rsidR="00887140">
        <w:t xml:space="preserve">equest data from more local education agencies at the third grade follow-up point than we did </w:t>
      </w:r>
      <w:r w:rsidR="00827C12">
        <w:t>at</w:t>
      </w:r>
      <w:r w:rsidR="00887140">
        <w:t xml:space="preserve"> the kindergarten </w:t>
      </w:r>
      <w:r w:rsidR="00B61521">
        <w:t>follow-up due to the importance of student test scores at third grade</w:t>
      </w:r>
      <w:r w:rsidR="00174BCA">
        <w:t xml:space="preserve"> (student </w:t>
      </w:r>
      <w:r w:rsidR="00663B84">
        <w:t xml:space="preserve">standardized test scores </w:t>
      </w:r>
      <w:r w:rsidR="00174BCA">
        <w:t xml:space="preserve">are not consistently available </w:t>
      </w:r>
      <w:r w:rsidR="00827C12">
        <w:t xml:space="preserve">from states and local education agencies </w:t>
      </w:r>
      <w:r w:rsidR="00174BCA">
        <w:t>before third grade)</w:t>
      </w:r>
      <w:r w:rsidR="00B61521">
        <w:t xml:space="preserve">. </w:t>
      </w:r>
      <w:r w:rsidR="00E213FB">
        <w:t xml:space="preserve"> </w:t>
      </w:r>
      <w:r>
        <w:t xml:space="preserve"> </w:t>
      </w:r>
    </w:p>
  </w:footnote>
  <w:footnote w:id="5">
    <w:p w:rsidR="00490657" w14:paraId="7FBCBD58" w14:textId="72CFEA83">
      <w:pPr>
        <w:pStyle w:val="FootnoteText"/>
      </w:pPr>
      <w:r>
        <w:rPr>
          <w:rStyle w:val="FootnoteReference"/>
        </w:rPr>
        <w:footnoteRef/>
      </w:r>
      <w:r>
        <w:rPr>
          <w:rFonts w:ascii="Calibri" w:eastAsia="Times New Roman" w:hAnsi="Calibri" w:cs="Calibri"/>
        </w:rPr>
        <w:t>For example, with school records data, the expectation would be that both research groups would be enrolled in school at a similar rate; with other data sources, for example public benefits, the enrollment rate might not be the same across research groups due to the possibility of home visiting having an effect on public benefit receipt</w:t>
      </w:r>
      <w:r w:rsidRPr="002A65D2">
        <w:rPr>
          <w:rFonts w:ascii="Calibri" w:eastAsia="Times New Roman" w:hAnsi="Calibri" w:cs="Calibri"/>
        </w:rPr>
        <w:t>.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145547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2245219"/>
    <w:multiLevelType w:val="hybridMultilevel"/>
    <w:tmpl w:val="91F60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E070F3"/>
    <w:multiLevelType w:val="hybridMultilevel"/>
    <w:tmpl w:val="ED2441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3D62874"/>
    <w:multiLevelType w:val="hybridMultilevel"/>
    <w:tmpl w:val="5CCEA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80235B9"/>
    <w:multiLevelType w:val="hybridMultilevel"/>
    <w:tmpl w:val="587AB4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65962F9"/>
    <w:multiLevelType w:val="multilevel"/>
    <w:tmpl w:val="87C0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6873BE3"/>
    <w:multiLevelType w:val="hybridMultilevel"/>
    <w:tmpl w:val="51DE0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0A799E"/>
    <w:multiLevelType w:val="hybridMultilevel"/>
    <w:tmpl w:val="E3C23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54B45C4"/>
    <w:multiLevelType w:val="multilevel"/>
    <w:tmpl w:val="5AD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84B62A5"/>
    <w:multiLevelType w:val="hybridMultilevel"/>
    <w:tmpl w:val="51ACA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3">
    <w:nsid w:val="39220778"/>
    <w:multiLevelType w:val="hybridMultilevel"/>
    <w:tmpl w:val="600E55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DB67B9"/>
    <w:multiLevelType w:val="multilevel"/>
    <w:tmpl w:val="F950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1B62B49"/>
    <w:multiLevelType w:val="multilevel"/>
    <w:tmpl w:val="AC641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6F6DFD"/>
    <w:multiLevelType w:val="hybridMultilevel"/>
    <w:tmpl w:val="A8069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573315E1"/>
    <w:multiLevelType w:val="multilevel"/>
    <w:tmpl w:val="299E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79F382B"/>
    <w:multiLevelType w:val="hybridMultilevel"/>
    <w:tmpl w:val="EB2E06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9420A86"/>
    <w:multiLevelType w:val="hybridMultilevel"/>
    <w:tmpl w:val="E10E7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8">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42B6321"/>
    <w:multiLevelType w:val="hybridMultilevel"/>
    <w:tmpl w:val="49886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7460763"/>
    <w:multiLevelType w:val="hybridMultilevel"/>
    <w:tmpl w:val="26A83D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79980A61"/>
    <w:multiLevelType w:val="hybridMultilevel"/>
    <w:tmpl w:val="AC84F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7A317DE2"/>
    <w:multiLevelType w:val="multilevel"/>
    <w:tmpl w:val="5750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0633252">
    <w:abstractNumId w:val="46"/>
  </w:num>
  <w:num w:numId="2" w16cid:durableId="859660985">
    <w:abstractNumId w:val="15"/>
  </w:num>
  <w:num w:numId="3" w16cid:durableId="2144537812">
    <w:abstractNumId w:val="44"/>
  </w:num>
  <w:num w:numId="4" w16cid:durableId="1711690112">
    <w:abstractNumId w:val="9"/>
  </w:num>
  <w:num w:numId="5" w16cid:durableId="1307004775">
    <w:abstractNumId w:val="10"/>
  </w:num>
  <w:num w:numId="6" w16cid:durableId="263996514">
    <w:abstractNumId w:val="3"/>
  </w:num>
  <w:num w:numId="7" w16cid:durableId="1648318737">
    <w:abstractNumId w:val="8"/>
  </w:num>
  <w:num w:numId="8" w16cid:durableId="442267305">
    <w:abstractNumId w:val="30"/>
  </w:num>
  <w:num w:numId="9" w16cid:durableId="1824853686">
    <w:abstractNumId w:val="7"/>
  </w:num>
  <w:num w:numId="10" w16cid:durableId="21442406">
    <w:abstractNumId w:val="39"/>
  </w:num>
  <w:num w:numId="11" w16cid:durableId="258832128">
    <w:abstractNumId w:val="22"/>
  </w:num>
  <w:num w:numId="12" w16cid:durableId="1281914391">
    <w:abstractNumId w:val="48"/>
  </w:num>
  <w:num w:numId="13" w16cid:durableId="2100441561">
    <w:abstractNumId w:val="6"/>
  </w:num>
  <w:num w:numId="14" w16cid:durableId="1724519044">
    <w:abstractNumId w:val="13"/>
  </w:num>
  <w:num w:numId="15" w16cid:durableId="1482428795">
    <w:abstractNumId w:val="20"/>
  </w:num>
  <w:num w:numId="16" w16cid:durableId="1481650184">
    <w:abstractNumId w:val="45"/>
  </w:num>
  <w:num w:numId="17" w16cid:durableId="1408072515">
    <w:abstractNumId w:val="50"/>
  </w:num>
  <w:num w:numId="18" w16cid:durableId="1356229926">
    <w:abstractNumId w:val="41"/>
  </w:num>
  <w:num w:numId="19" w16cid:durableId="1521697190">
    <w:abstractNumId w:val="38"/>
  </w:num>
  <w:num w:numId="20" w16cid:durableId="1375890576">
    <w:abstractNumId w:val="43"/>
  </w:num>
  <w:num w:numId="21" w16cid:durableId="340398735">
    <w:abstractNumId w:val="24"/>
  </w:num>
  <w:num w:numId="22" w16cid:durableId="752974910">
    <w:abstractNumId w:val="37"/>
  </w:num>
  <w:num w:numId="23" w16cid:durableId="826751871">
    <w:abstractNumId w:val="18"/>
  </w:num>
  <w:num w:numId="24" w16cid:durableId="829834797">
    <w:abstractNumId w:val="12"/>
  </w:num>
  <w:num w:numId="25" w16cid:durableId="2073575887">
    <w:abstractNumId w:val="11"/>
  </w:num>
  <w:num w:numId="26" w16cid:durableId="1424375143">
    <w:abstractNumId w:val="32"/>
  </w:num>
  <w:num w:numId="27" w16cid:durableId="1018198028">
    <w:abstractNumId w:val="0"/>
  </w:num>
  <w:num w:numId="28" w16cid:durableId="6519562">
    <w:abstractNumId w:val="4"/>
  </w:num>
  <w:num w:numId="29" w16cid:durableId="1630356412">
    <w:abstractNumId w:val="26"/>
  </w:num>
  <w:num w:numId="30" w16cid:durableId="901406646">
    <w:abstractNumId w:val="5"/>
  </w:num>
  <w:num w:numId="31" w16cid:durableId="1032531370">
    <w:abstractNumId w:val="16"/>
  </w:num>
  <w:num w:numId="32" w16cid:durableId="64256468">
    <w:abstractNumId w:val="31"/>
  </w:num>
  <w:num w:numId="33" w16cid:durableId="1520704700">
    <w:abstractNumId w:val="49"/>
  </w:num>
  <w:num w:numId="34" w16cid:durableId="191655462">
    <w:abstractNumId w:val="40"/>
  </w:num>
  <w:num w:numId="35" w16cid:durableId="2146578369">
    <w:abstractNumId w:val="29"/>
  </w:num>
  <w:num w:numId="36" w16cid:durableId="1860392054">
    <w:abstractNumId w:val="35"/>
  </w:num>
  <w:num w:numId="37" w16cid:durableId="991560218">
    <w:abstractNumId w:val="23"/>
  </w:num>
  <w:num w:numId="38" w16cid:durableId="1663073796">
    <w:abstractNumId w:val="42"/>
  </w:num>
  <w:num w:numId="39" w16cid:durableId="1069688580">
    <w:abstractNumId w:val="2"/>
  </w:num>
  <w:num w:numId="40" w16cid:durableId="1831095312">
    <w:abstractNumId w:val="28"/>
  </w:num>
  <w:num w:numId="41" w16cid:durableId="1494681196">
    <w:abstractNumId w:val="36"/>
  </w:num>
  <w:num w:numId="42" w16cid:durableId="514006454">
    <w:abstractNumId w:val="34"/>
  </w:num>
  <w:num w:numId="43" w16cid:durableId="1829394085">
    <w:abstractNumId w:val="47"/>
  </w:num>
  <w:num w:numId="44" w16cid:durableId="1623657777">
    <w:abstractNumId w:val="25"/>
  </w:num>
  <w:num w:numId="45" w16cid:durableId="1585381986">
    <w:abstractNumId w:val="33"/>
  </w:num>
  <w:num w:numId="46" w16cid:durableId="1168791809">
    <w:abstractNumId w:val="19"/>
  </w:num>
  <w:num w:numId="47" w16cid:durableId="1084185041">
    <w:abstractNumId w:val="14"/>
  </w:num>
  <w:num w:numId="48" w16cid:durableId="1135296160">
    <w:abstractNumId w:val="1"/>
  </w:num>
  <w:num w:numId="49" w16cid:durableId="1844590607">
    <w:abstractNumId w:val="21"/>
  </w:num>
  <w:num w:numId="50" w16cid:durableId="1037043809">
    <w:abstractNumId w:val="17"/>
  </w:num>
  <w:num w:numId="51" w16cid:durableId="37359070">
    <w:abstractNumId w:val="27"/>
  </w:num>
  <w:num w:numId="52" w16cid:durableId="1610354257">
    <w:abstractNumId w:val="27"/>
  </w:num>
  <w:num w:numId="53">
    <w:abstractNumId w:val="27"/>
  </w:num>
  <w:num w:numId="54">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3DBA"/>
    <w:rsid w:val="00004CAC"/>
    <w:rsid w:val="00005ED2"/>
    <w:rsid w:val="0001255D"/>
    <w:rsid w:val="00016049"/>
    <w:rsid w:val="00016187"/>
    <w:rsid w:val="00020B4F"/>
    <w:rsid w:val="00022C97"/>
    <w:rsid w:val="0002408F"/>
    <w:rsid w:val="00027E79"/>
    <w:rsid w:val="00032CDC"/>
    <w:rsid w:val="00037BFD"/>
    <w:rsid w:val="0004063C"/>
    <w:rsid w:val="00040C8E"/>
    <w:rsid w:val="0004247F"/>
    <w:rsid w:val="00050D6E"/>
    <w:rsid w:val="00050E8A"/>
    <w:rsid w:val="00050FFC"/>
    <w:rsid w:val="000540BD"/>
    <w:rsid w:val="00057DD2"/>
    <w:rsid w:val="00062AFB"/>
    <w:rsid w:val="000655DD"/>
    <w:rsid w:val="00071F79"/>
    <w:rsid w:val="0007251B"/>
    <w:rsid w:val="000733A5"/>
    <w:rsid w:val="00074F45"/>
    <w:rsid w:val="000761E4"/>
    <w:rsid w:val="00082C5B"/>
    <w:rsid w:val="00083227"/>
    <w:rsid w:val="00085FC3"/>
    <w:rsid w:val="00086B03"/>
    <w:rsid w:val="00086CBE"/>
    <w:rsid w:val="00086CE6"/>
    <w:rsid w:val="00087EB7"/>
    <w:rsid w:val="0009056D"/>
    <w:rsid w:val="00090812"/>
    <w:rsid w:val="000918B4"/>
    <w:rsid w:val="000921F0"/>
    <w:rsid w:val="0009275B"/>
    <w:rsid w:val="00097560"/>
    <w:rsid w:val="000A012A"/>
    <w:rsid w:val="000A0AEB"/>
    <w:rsid w:val="000A198F"/>
    <w:rsid w:val="000A2A8A"/>
    <w:rsid w:val="000A5716"/>
    <w:rsid w:val="000A67C2"/>
    <w:rsid w:val="000A68B4"/>
    <w:rsid w:val="000B143B"/>
    <w:rsid w:val="000C0373"/>
    <w:rsid w:val="000C1E61"/>
    <w:rsid w:val="000C24E2"/>
    <w:rsid w:val="000C49C3"/>
    <w:rsid w:val="000D0CE9"/>
    <w:rsid w:val="000D1A24"/>
    <w:rsid w:val="000D4E9A"/>
    <w:rsid w:val="000D6E4A"/>
    <w:rsid w:val="000D7D44"/>
    <w:rsid w:val="000E49DB"/>
    <w:rsid w:val="000E7C9D"/>
    <w:rsid w:val="000F09E2"/>
    <w:rsid w:val="000F1E4A"/>
    <w:rsid w:val="000F58AA"/>
    <w:rsid w:val="000F67F5"/>
    <w:rsid w:val="00100D34"/>
    <w:rsid w:val="0010167A"/>
    <w:rsid w:val="00103EFD"/>
    <w:rsid w:val="0010407B"/>
    <w:rsid w:val="001041C4"/>
    <w:rsid w:val="00107D87"/>
    <w:rsid w:val="00110572"/>
    <w:rsid w:val="001114AD"/>
    <w:rsid w:val="00111773"/>
    <w:rsid w:val="001132CC"/>
    <w:rsid w:val="00116D3C"/>
    <w:rsid w:val="00121D90"/>
    <w:rsid w:val="001253F4"/>
    <w:rsid w:val="0012640F"/>
    <w:rsid w:val="001362DE"/>
    <w:rsid w:val="00140916"/>
    <w:rsid w:val="00141E33"/>
    <w:rsid w:val="001436A7"/>
    <w:rsid w:val="001437D1"/>
    <w:rsid w:val="00146324"/>
    <w:rsid w:val="00146D25"/>
    <w:rsid w:val="001553A9"/>
    <w:rsid w:val="00155F77"/>
    <w:rsid w:val="001562D2"/>
    <w:rsid w:val="00157482"/>
    <w:rsid w:val="0016709F"/>
    <w:rsid w:val="00167806"/>
    <w:rsid w:val="001707D8"/>
    <w:rsid w:val="00174BCA"/>
    <w:rsid w:val="00175EED"/>
    <w:rsid w:val="00176FB4"/>
    <w:rsid w:val="00177DC9"/>
    <w:rsid w:val="00183858"/>
    <w:rsid w:val="00186CAA"/>
    <w:rsid w:val="001873B0"/>
    <w:rsid w:val="00190809"/>
    <w:rsid w:val="001947B8"/>
    <w:rsid w:val="00195CCB"/>
    <w:rsid w:val="00196A24"/>
    <w:rsid w:val="00197B84"/>
    <w:rsid w:val="001A59B6"/>
    <w:rsid w:val="001B0A76"/>
    <w:rsid w:val="001B4A6D"/>
    <w:rsid w:val="001C0163"/>
    <w:rsid w:val="001C1A3D"/>
    <w:rsid w:val="001C38E6"/>
    <w:rsid w:val="001C73C0"/>
    <w:rsid w:val="001D329A"/>
    <w:rsid w:val="001D5912"/>
    <w:rsid w:val="001E2D99"/>
    <w:rsid w:val="001E32F8"/>
    <w:rsid w:val="001E45BA"/>
    <w:rsid w:val="001F09AE"/>
    <w:rsid w:val="001F20DE"/>
    <w:rsid w:val="001F5041"/>
    <w:rsid w:val="001F57F5"/>
    <w:rsid w:val="0020401C"/>
    <w:rsid w:val="0020629A"/>
    <w:rsid w:val="00206E11"/>
    <w:rsid w:val="00206FE3"/>
    <w:rsid w:val="00207554"/>
    <w:rsid w:val="002079FB"/>
    <w:rsid w:val="0021024B"/>
    <w:rsid w:val="00211261"/>
    <w:rsid w:val="00221853"/>
    <w:rsid w:val="00226642"/>
    <w:rsid w:val="00233231"/>
    <w:rsid w:val="002415A2"/>
    <w:rsid w:val="0024763F"/>
    <w:rsid w:val="002517BB"/>
    <w:rsid w:val="00253BED"/>
    <w:rsid w:val="00256E24"/>
    <w:rsid w:val="00260D75"/>
    <w:rsid w:val="00264143"/>
    <w:rsid w:val="00265491"/>
    <w:rsid w:val="00274528"/>
    <w:rsid w:val="00276CE2"/>
    <w:rsid w:val="00277220"/>
    <w:rsid w:val="00282994"/>
    <w:rsid w:val="002837EA"/>
    <w:rsid w:val="00287AF1"/>
    <w:rsid w:val="002923EF"/>
    <w:rsid w:val="00293F50"/>
    <w:rsid w:val="0029527D"/>
    <w:rsid w:val="002A41C6"/>
    <w:rsid w:val="002A5BEE"/>
    <w:rsid w:val="002A65D2"/>
    <w:rsid w:val="002A6DCC"/>
    <w:rsid w:val="002A752B"/>
    <w:rsid w:val="002B1831"/>
    <w:rsid w:val="002B1A22"/>
    <w:rsid w:val="002B213D"/>
    <w:rsid w:val="002B785B"/>
    <w:rsid w:val="002C061A"/>
    <w:rsid w:val="002C0FCC"/>
    <w:rsid w:val="002C6B91"/>
    <w:rsid w:val="002C7B47"/>
    <w:rsid w:val="002D0A64"/>
    <w:rsid w:val="002D3236"/>
    <w:rsid w:val="002E3F22"/>
    <w:rsid w:val="002E553F"/>
    <w:rsid w:val="002E6462"/>
    <w:rsid w:val="002E6CCF"/>
    <w:rsid w:val="002F1A70"/>
    <w:rsid w:val="002F33D0"/>
    <w:rsid w:val="002F5F6D"/>
    <w:rsid w:val="002F611C"/>
    <w:rsid w:val="00300722"/>
    <w:rsid w:val="00302523"/>
    <w:rsid w:val="00302B91"/>
    <w:rsid w:val="0030316D"/>
    <w:rsid w:val="003047B9"/>
    <w:rsid w:val="00307546"/>
    <w:rsid w:val="00310FD3"/>
    <w:rsid w:val="0031123A"/>
    <w:rsid w:val="00317F36"/>
    <w:rsid w:val="0031D20D"/>
    <w:rsid w:val="003203D0"/>
    <w:rsid w:val="0032766F"/>
    <w:rsid w:val="00331079"/>
    <w:rsid w:val="0033199D"/>
    <w:rsid w:val="0033239F"/>
    <w:rsid w:val="00333F54"/>
    <w:rsid w:val="003340AD"/>
    <w:rsid w:val="00343366"/>
    <w:rsid w:val="00346D0C"/>
    <w:rsid w:val="003517F9"/>
    <w:rsid w:val="003539B9"/>
    <w:rsid w:val="00360C5E"/>
    <w:rsid w:val="00367D89"/>
    <w:rsid w:val="00373D2F"/>
    <w:rsid w:val="00375F29"/>
    <w:rsid w:val="003764E9"/>
    <w:rsid w:val="00377A90"/>
    <w:rsid w:val="00390F85"/>
    <w:rsid w:val="00391987"/>
    <w:rsid w:val="003A088B"/>
    <w:rsid w:val="003A2738"/>
    <w:rsid w:val="003A7774"/>
    <w:rsid w:val="003C2A38"/>
    <w:rsid w:val="003C552B"/>
    <w:rsid w:val="003C68A2"/>
    <w:rsid w:val="003C7358"/>
    <w:rsid w:val="003D1A56"/>
    <w:rsid w:val="003D3B4F"/>
    <w:rsid w:val="003D50A2"/>
    <w:rsid w:val="003E4615"/>
    <w:rsid w:val="003E5A0C"/>
    <w:rsid w:val="003E60C6"/>
    <w:rsid w:val="003E61F6"/>
    <w:rsid w:val="003F277D"/>
    <w:rsid w:val="003F5DA1"/>
    <w:rsid w:val="00403C3B"/>
    <w:rsid w:val="004052F3"/>
    <w:rsid w:val="00407537"/>
    <w:rsid w:val="00415CDA"/>
    <w:rsid w:val="004165BD"/>
    <w:rsid w:val="0042220D"/>
    <w:rsid w:val="00425EFA"/>
    <w:rsid w:val="0043377A"/>
    <w:rsid w:val="00437489"/>
    <w:rsid w:val="004379B6"/>
    <w:rsid w:val="0044428E"/>
    <w:rsid w:val="0044490D"/>
    <w:rsid w:val="00446465"/>
    <w:rsid w:val="00454CB4"/>
    <w:rsid w:val="00455AD8"/>
    <w:rsid w:val="00456E9C"/>
    <w:rsid w:val="00460D54"/>
    <w:rsid w:val="00461D3E"/>
    <w:rsid w:val="00465FDA"/>
    <w:rsid w:val="00466A8B"/>
    <w:rsid w:val="00467FEB"/>
    <w:rsid w:val="004706CC"/>
    <w:rsid w:val="004756AB"/>
    <w:rsid w:val="00485E99"/>
    <w:rsid w:val="00486C3B"/>
    <w:rsid w:val="00490657"/>
    <w:rsid w:val="00497C67"/>
    <w:rsid w:val="004A3A99"/>
    <w:rsid w:val="004A4718"/>
    <w:rsid w:val="004B2479"/>
    <w:rsid w:val="004B75AC"/>
    <w:rsid w:val="004C3638"/>
    <w:rsid w:val="004C3644"/>
    <w:rsid w:val="004C4D7D"/>
    <w:rsid w:val="004C6759"/>
    <w:rsid w:val="004C74D2"/>
    <w:rsid w:val="004D12DD"/>
    <w:rsid w:val="004E3F3A"/>
    <w:rsid w:val="004E498B"/>
    <w:rsid w:val="004E5778"/>
    <w:rsid w:val="004E6396"/>
    <w:rsid w:val="004E7ED8"/>
    <w:rsid w:val="004F1CA1"/>
    <w:rsid w:val="004F31C9"/>
    <w:rsid w:val="004F39A9"/>
    <w:rsid w:val="004F3AB5"/>
    <w:rsid w:val="004F4417"/>
    <w:rsid w:val="004F5B87"/>
    <w:rsid w:val="004F79D0"/>
    <w:rsid w:val="005008AD"/>
    <w:rsid w:val="0050376D"/>
    <w:rsid w:val="00506742"/>
    <w:rsid w:val="00511F89"/>
    <w:rsid w:val="00512C25"/>
    <w:rsid w:val="005149CF"/>
    <w:rsid w:val="00520486"/>
    <w:rsid w:val="005222C0"/>
    <w:rsid w:val="005302CB"/>
    <w:rsid w:val="00531BEB"/>
    <w:rsid w:val="00531C56"/>
    <w:rsid w:val="00531D27"/>
    <w:rsid w:val="0053223D"/>
    <w:rsid w:val="00533FDB"/>
    <w:rsid w:val="00534D41"/>
    <w:rsid w:val="005361E4"/>
    <w:rsid w:val="0053651D"/>
    <w:rsid w:val="00536F44"/>
    <w:rsid w:val="00544837"/>
    <w:rsid w:val="0055434C"/>
    <w:rsid w:val="005557DB"/>
    <w:rsid w:val="00560AD9"/>
    <w:rsid w:val="00562250"/>
    <w:rsid w:val="00562741"/>
    <w:rsid w:val="00562ED3"/>
    <w:rsid w:val="00566537"/>
    <w:rsid w:val="005665EB"/>
    <w:rsid w:val="00572017"/>
    <w:rsid w:val="00572307"/>
    <w:rsid w:val="005751C4"/>
    <w:rsid w:val="0058120F"/>
    <w:rsid w:val="005824D2"/>
    <w:rsid w:val="005853BC"/>
    <w:rsid w:val="00587D5D"/>
    <w:rsid w:val="00591283"/>
    <w:rsid w:val="0059335C"/>
    <w:rsid w:val="005A4CA6"/>
    <w:rsid w:val="005A5316"/>
    <w:rsid w:val="005A61CE"/>
    <w:rsid w:val="005A7E5A"/>
    <w:rsid w:val="005B1285"/>
    <w:rsid w:val="005B1410"/>
    <w:rsid w:val="005B1A97"/>
    <w:rsid w:val="005C13CC"/>
    <w:rsid w:val="005C5605"/>
    <w:rsid w:val="005C5CCA"/>
    <w:rsid w:val="005D0ED5"/>
    <w:rsid w:val="005D4A40"/>
    <w:rsid w:val="005E097D"/>
    <w:rsid w:val="005E493B"/>
    <w:rsid w:val="005E4FEE"/>
    <w:rsid w:val="005E5F73"/>
    <w:rsid w:val="005E78F4"/>
    <w:rsid w:val="005E7F3A"/>
    <w:rsid w:val="005F2951"/>
    <w:rsid w:val="005F4F3E"/>
    <w:rsid w:val="005F61E6"/>
    <w:rsid w:val="006065FD"/>
    <w:rsid w:val="00613ED7"/>
    <w:rsid w:val="006210FF"/>
    <w:rsid w:val="00623D2B"/>
    <w:rsid w:val="0062432D"/>
    <w:rsid w:val="00624DDC"/>
    <w:rsid w:val="006253B6"/>
    <w:rsid w:val="006257ED"/>
    <w:rsid w:val="00626538"/>
    <w:rsid w:val="0062686E"/>
    <w:rsid w:val="00627977"/>
    <w:rsid w:val="0063026A"/>
    <w:rsid w:val="00630B30"/>
    <w:rsid w:val="00630EEA"/>
    <w:rsid w:val="006311F4"/>
    <w:rsid w:val="00631FCC"/>
    <w:rsid w:val="00632488"/>
    <w:rsid w:val="00633387"/>
    <w:rsid w:val="00635378"/>
    <w:rsid w:val="006416D9"/>
    <w:rsid w:val="00641A88"/>
    <w:rsid w:val="00642155"/>
    <w:rsid w:val="00642417"/>
    <w:rsid w:val="006433BA"/>
    <w:rsid w:val="00644590"/>
    <w:rsid w:val="006452FD"/>
    <w:rsid w:val="00651FF6"/>
    <w:rsid w:val="006521EF"/>
    <w:rsid w:val="00654789"/>
    <w:rsid w:val="00655EB8"/>
    <w:rsid w:val="00661E08"/>
    <w:rsid w:val="00663B84"/>
    <w:rsid w:val="006722F1"/>
    <w:rsid w:val="006756D8"/>
    <w:rsid w:val="00682A29"/>
    <w:rsid w:val="0068303E"/>
    <w:rsid w:val="0068383E"/>
    <w:rsid w:val="00690036"/>
    <w:rsid w:val="00692D6C"/>
    <w:rsid w:val="00695DF9"/>
    <w:rsid w:val="00697628"/>
    <w:rsid w:val="006A0228"/>
    <w:rsid w:val="006A1A00"/>
    <w:rsid w:val="006A4D02"/>
    <w:rsid w:val="006B1BF9"/>
    <w:rsid w:val="006B31DA"/>
    <w:rsid w:val="006B39AD"/>
    <w:rsid w:val="006B4F9A"/>
    <w:rsid w:val="006B516F"/>
    <w:rsid w:val="006B53F1"/>
    <w:rsid w:val="006B6037"/>
    <w:rsid w:val="006B6E12"/>
    <w:rsid w:val="006B77F9"/>
    <w:rsid w:val="006B7EBF"/>
    <w:rsid w:val="006C0E56"/>
    <w:rsid w:val="006C1079"/>
    <w:rsid w:val="006C1134"/>
    <w:rsid w:val="006C1A70"/>
    <w:rsid w:val="006C6F5E"/>
    <w:rsid w:val="006D7EFF"/>
    <w:rsid w:val="006E4409"/>
    <w:rsid w:val="006E4F82"/>
    <w:rsid w:val="006F7A2E"/>
    <w:rsid w:val="0070169D"/>
    <w:rsid w:val="0070406B"/>
    <w:rsid w:val="00712969"/>
    <w:rsid w:val="00712EE8"/>
    <w:rsid w:val="007142C1"/>
    <w:rsid w:val="00716419"/>
    <w:rsid w:val="00717BDC"/>
    <w:rsid w:val="00723A28"/>
    <w:rsid w:val="007252DB"/>
    <w:rsid w:val="0072717C"/>
    <w:rsid w:val="00733540"/>
    <w:rsid w:val="007346F5"/>
    <w:rsid w:val="00735AB7"/>
    <w:rsid w:val="00735E90"/>
    <w:rsid w:val="00736549"/>
    <w:rsid w:val="00736B62"/>
    <w:rsid w:val="00737ACF"/>
    <w:rsid w:val="00740827"/>
    <w:rsid w:val="00745E40"/>
    <w:rsid w:val="007500DF"/>
    <w:rsid w:val="00751232"/>
    <w:rsid w:val="00752B4A"/>
    <w:rsid w:val="00753CA4"/>
    <w:rsid w:val="00764C85"/>
    <w:rsid w:val="00770CA9"/>
    <w:rsid w:val="00770F36"/>
    <w:rsid w:val="007733D5"/>
    <w:rsid w:val="00775CFB"/>
    <w:rsid w:val="00781B05"/>
    <w:rsid w:val="00785EE4"/>
    <w:rsid w:val="00790B23"/>
    <w:rsid w:val="00790C52"/>
    <w:rsid w:val="00792A55"/>
    <w:rsid w:val="00793E3E"/>
    <w:rsid w:val="00793ED2"/>
    <w:rsid w:val="007962AF"/>
    <w:rsid w:val="007A29C5"/>
    <w:rsid w:val="007B01EF"/>
    <w:rsid w:val="007C2203"/>
    <w:rsid w:val="007C4F1D"/>
    <w:rsid w:val="007C6CEE"/>
    <w:rsid w:val="007C770C"/>
    <w:rsid w:val="007C7A29"/>
    <w:rsid w:val="007C7B4B"/>
    <w:rsid w:val="007C7B52"/>
    <w:rsid w:val="007D3D2B"/>
    <w:rsid w:val="007D4A64"/>
    <w:rsid w:val="007D7007"/>
    <w:rsid w:val="007D72DE"/>
    <w:rsid w:val="007D7D52"/>
    <w:rsid w:val="007F7789"/>
    <w:rsid w:val="00802D67"/>
    <w:rsid w:val="00807AD8"/>
    <w:rsid w:val="00807CB8"/>
    <w:rsid w:val="00807E83"/>
    <w:rsid w:val="0081026F"/>
    <w:rsid w:val="00810A2F"/>
    <w:rsid w:val="00811057"/>
    <w:rsid w:val="00811BE3"/>
    <w:rsid w:val="00813560"/>
    <w:rsid w:val="00821A76"/>
    <w:rsid w:val="00821D80"/>
    <w:rsid w:val="00823428"/>
    <w:rsid w:val="00826549"/>
    <w:rsid w:val="00827C12"/>
    <w:rsid w:val="00827F13"/>
    <w:rsid w:val="008326D0"/>
    <w:rsid w:val="008329FE"/>
    <w:rsid w:val="00832AD1"/>
    <w:rsid w:val="008369BA"/>
    <w:rsid w:val="00840D32"/>
    <w:rsid w:val="00843933"/>
    <w:rsid w:val="00846529"/>
    <w:rsid w:val="0084670F"/>
    <w:rsid w:val="00847084"/>
    <w:rsid w:val="008516B9"/>
    <w:rsid w:val="00855E3A"/>
    <w:rsid w:val="0086377E"/>
    <w:rsid w:val="00864C1F"/>
    <w:rsid w:val="008661FA"/>
    <w:rsid w:val="0086773B"/>
    <w:rsid w:val="00870FA1"/>
    <w:rsid w:val="00875220"/>
    <w:rsid w:val="00875782"/>
    <w:rsid w:val="00877C94"/>
    <w:rsid w:val="008812F2"/>
    <w:rsid w:val="00887140"/>
    <w:rsid w:val="00891409"/>
    <w:rsid w:val="00891CD9"/>
    <w:rsid w:val="00892F89"/>
    <w:rsid w:val="0089386A"/>
    <w:rsid w:val="008954D3"/>
    <w:rsid w:val="00895C58"/>
    <w:rsid w:val="008A1FC0"/>
    <w:rsid w:val="008A4A02"/>
    <w:rsid w:val="008A6792"/>
    <w:rsid w:val="008A6A74"/>
    <w:rsid w:val="008B2D7F"/>
    <w:rsid w:val="008B46FA"/>
    <w:rsid w:val="008C0129"/>
    <w:rsid w:val="008C36C3"/>
    <w:rsid w:val="008C4531"/>
    <w:rsid w:val="008C4B08"/>
    <w:rsid w:val="008C7A44"/>
    <w:rsid w:val="008D28A7"/>
    <w:rsid w:val="008E0205"/>
    <w:rsid w:val="008E0239"/>
    <w:rsid w:val="008E4718"/>
    <w:rsid w:val="008F2446"/>
    <w:rsid w:val="008F2620"/>
    <w:rsid w:val="008F2E26"/>
    <w:rsid w:val="00901040"/>
    <w:rsid w:val="009041DF"/>
    <w:rsid w:val="00906CB6"/>
    <w:rsid w:val="00911233"/>
    <w:rsid w:val="00913582"/>
    <w:rsid w:val="009139B3"/>
    <w:rsid w:val="00914B3C"/>
    <w:rsid w:val="00914DFF"/>
    <w:rsid w:val="00916A24"/>
    <w:rsid w:val="00921A3B"/>
    <w:rsid w:val="00923F25"/>
    <w:rsid w:val="00925C0E"/>
    <w:rsid w:val="0092738D"/>
    <w:rsid w:val="009563E0"/>
    <w:rsid w:val="00960D81"/>
    <w:rsid w:val="00963503"/>
    <w:rsid w:val="00964C3F"/>
    <w:rsid w:val="00965DBD"/>
    <w:rsid w:val="00971944"/>
    <w:rsid w:val="00971A8B"/>
    <w:rsid w:val="00971EBE"/>
    <w:rsid w:val="00976EA0"/>
    <w:rsid w:val="009815C6"/>
    <w:rsid w:val="00981A77"/>
    <w:rsid w:val="00986D6D"/>
    <w:rsid w:val="009902FC"/>
    <w:rsid w:val="00990737"/>
    <w:rsid w:val="009912A0"/>
    <w:rsid w:val="00996201"/>
    <w:rsid w:val="00996660"/>
    <w:rsid w:val="00996EDC"/>
    <w:rsid w:val="009A2065"/>
    <w:rsid w:val="009A39E1"/>
    <w:rsid w:val="009A3AD8"/>
    <w:rsid w:val="009A4346"/>
    <w:rsid w:val="009A61C1"/>
    <w:rsid w:val="009A6EE8"/>
    <w:rsid w:val="009B0F58"/>
    <w:rsid w:val="009B2DBC"/>
    <w:rsid w:val="009B5841"/>
    <w:rsid w:val="009C28BA"/>
    <w:rsid w:val="009C3380"/>
    <w:rsid w:val="009C3C2A"/>
    <w:rsid w:val="009C6859"/>
    <w:rsid w:val="009C6C53"/>
    <w:rsid w:val="009D055D"/>
    <w:rsid w:val="009D30FF"/>
    <w:rsid w:val="009D3DA5"/>
    <w:rsid w:val="009D5A0A"/>
    <w:rsid w:val="009E0A7E"/>
    <w:rsid w:val="009E1019"/>
    <w:rsid w:val="009E1951"/>
    <w:rsid w:val="009E2935"/>
    <w:rsid w:val="009E3EFE"/>
    <w:rsid w:val="009E7228"/>
    <w:rsid w:val="009E7E38"/>
    <w:rsid w:val="009F04E1"/>
    <w:rsid w:val="009F265B"/>
    <w:rsid w:val="009F482C"/>
    <w:rsid w:val="009F591C"/>
    <w:rsid w:val="009F68DB"/>
    <w:rsid w:val="00A01B68"/>
    <w:rsid w:val="00A03E3F"/>
    <w:rsid w:val="00A05EB9"/>
    <w:rsid w:val="00A066C2"/>
    <w:rsid w:val="00A1108E"/>
    <w:rsid w:val="00A125CE"/>
    <w:rsid w:val="00A143AE"/>
    <w:rsid w:val="00A20176"/>
    <w:rsid w:val="00A20FE5"/>
    <w:rsid w:val="00A27960"/>
    <w:rsid w:val="00A27CD0"/>
    <w:rsid w:val="00A31815"/>
    <w:rsid w:val="00A34300"/>
    <w:rsid w:val="00A34E0D"/>
    <w:rsid w:val="00A362B6"/>
    <w:rsid w:val="00A42C71"/>
    <w:rsid w:val="00A60BAF"/>
    <w:rsid w:val="00A63A23"/>
    <w:rsid w:val="00A65BB0"/>
    <w:rsid w:val="00A67A4B"/>
    <w:rsid w:val="00A67D32"/>
    <w:rsid w:val="00A67DFF"/>
    <w:rsid w:val="00A71475"/>
    <w:rsid w:val="00A714DC"/>
    <w:rsid w:val="00A7179C"/>
    <w:rsid w:val="00A733D4"/>
    <w:rsid w:val="00A74869"/>
    <w:rsid w:val="00A75DCF"/>
    <w:rsid w:val="00A761CB"/>
    <w:rsid w:val="00A76814"/>
    <w:rsid w:val="00A85701"/>
    <w:rsid w:val="00AA012B"/>
    <w:rsid w:val="00AA2A5A"/>
    <w:rsid w:val="00AA5A54"/>
    <w:rsid w:val="00AB34DC"/>
    <w:rsid w:val="00AB6F43"/>
    <w:rsid w:val="00AB7F48"/>
    <w:rsid w:val="00AD06C9"/>
    <w:rsid w:val="00AD3261"/>
    <w:rsid w:val="00AD4355"/>
    <w:rsid w:val="00AD6F98"/>
    <w:rsid w:val="00AD7763"/>
    <w:rsid w:val="00AE217A"/>
    <w:rsid w:val="00AE24DE"/>
    <w:rsid w:val="00AE3808"/>
    <w:rsid w:val="00AE3F5F"/>
    <w:rsid w:val="00B04E37"/>
    <w:rsid w:val="00B06E44"/>
    <w:rsid w:val="00B10FCA"/>
    <w:rsid w:val="00B133F1"/>
    <w:rsid w:val="00B13DC4"/>
    <w:rsid w:val="00B15F4D"/>
    <w:rsid w:val="00B17B7C"/>
    <w:rsid w:val="00B23277"/>
    <w:rsid w:val="00B245AD"/>
    <w:rsid w:val="00B250E6"/>
    <w:rsid w:val="00B33A82"/>
    <w:rsid w:val="00B34E18"/>
    <w:rsid w:val="00B35071"/>
    <w:rsid w:val="00B400DB"/>
    <w:rsid w:val="00B411F2"/>
    <w:rsid w:val="00B4182B"/>
    <w:rsid w:val="00B46F3E"/>
    <w:rsid w:val="00B522AB"/>
    <w:rsid w:val="00B53EC9"/>
    <w:rsid w:val="00B55614"/>
    <w:rsid w:val="00B55E54"/>
    <w:rsid w:val="00B56589"/>
    <w:rsid w:val="00B61521"/>
    <w:rsid w:val="00B6189E"/>
    <w:rsid w:val="00B64D05"/>
    <w:rsid w:val="00B671A4"/>
    <w:rsid w:val="00B70460"/>
    <w:rsid w:val="00B72C64"/>
    <w:rsid w:val="00B72E35"/>
    <w:rsid w:val="00B82759"/>
    <w:rsid w:val="00B83CD6"/>
    <w:rsid w:val="00B85C74"/>
    <w:rsid w:val="00B9035E"/>
    <w:rsid w:val="00B93AF2"/>
    <w:rsid w:val="00B9441B"/>
    <w:rsid w:val="00B95ADD"/>
    <w:rsid w:val="00BA5034"/>
    <w:rsid w:val="00BB062F"/>
    <w:rsid w:val="00BB308B"/>
    <w:rsid w:val="00BB4273"/>
    <w:rsid w:val="00BB4BF8"/>
    <w:rsid w:val="00BC1BAB"/>
    <w:rsid w:val="00BC3352"/>
    <w:rsid w:val="00BC4D6E"/>
    <w:rsid w:val="00BD135D"/>
    <w:rsid w:val="00BD28F6"/>
    <w:rsid w:val="00BD40BA"/>
    <w:rsid w:val="00BD422E"/>
    <w:rsid w:val="00BD702B"/>
    <w:rsid w:val="00BD7B78"/>
    <w:rsid w:val="00BE2C77"/>
    <w:rsid w:val="00BE3342"/>
    <w:rsid w:val="00BE45BC"/>
    <w:rsid w:val="00BE4FC4"/>
    <w:rsid w:val="00BE773B"/>
    <w:rsid w:val="00BE78A7"/>
    <w:rsid w:val="00BF1B1A"/>
    <w:rsid w:val="00BF1FA5"/>
    <w:rsid w:val="00BF50B9"/>
    <w:rsid w:val="00C0471E"/>
    <w:rsid w:val="00C05352"/>
    <w:rsid w:val="00C05B74"/>
    <w:rsid w:val="00C144A5"/>
    <w:rsid w:val="00C16FA0"/>
    <w:rsid w:val="00C26E1B"/>
    <w:rsid w:val="00C30D48"/>
    <w:rsid w:val="00C317FE"/>
    <w:rsid w:val="00C32404"/>
    <w:rsid w:val="00C32C8A"/>
    <w:rsid w:val="00C34A0D"/>
    <w:rsid w:val="00C40A1A"/>
    <w:rsid w:val="00C4247C"/>
    <w:rsid w:val="00C459CD"/>
    <w:rsid w:val="00C461F2"/>
    <w:rsid w:val="00C46507"/>
    <w:rsid w:val="00C46581"/>
    <w:rsid w:val="00C50F4D"/>
    <w:rsid w:val="00C52F49"/>
    <w:rsid w:val="00C60862"/>
    <w:rsid w:val="00C60937"/>
    <w:rsid w:val="00C61BE3"/>
    <w:rsid w:val="00C7237D"/>
    <w:rsid w:val="00C72935"/>
    <w:rsid w:val="00C73360"/>
    <w:rsid w:val="00C73BE5"/>
    <w:rsid w:val="00C77519"/>
    <w:rsid w:val="00C81419"/>
    <w:rsid w:val="00C8176F"/>
    <w:rsid w:val="00C84B57"/>
    <w:rsid w:val="00C8518D"/>
    <w:rsid w:val="00C86CB2"/>
    <w:rsid w:val="00C87241"/>
    <w:rsid w:val="00C91C71"/>
    <w:rsid w:val="00C91FC9"/>
    <w:rsid w:val="00C93024"/>
    <w:rsid w:val="00C94419"/>
    <w:rsid w:val="00C945BF"/>
    <w:rsid w:val="00C95126"/>
    <w:rsid w:val="00C95CAA"/>
    <w:rsid w:val="00C96FD0"/>
    <w:rsid w:val="00C97F70"/>
    <w:rsid w:val="00CA419A"/>
    <w:rsid w:val="00CA4658"/>
    <w:rsid w:val="00CA4B73"/>
    <w:rsid w:val="00CA7193"/>
    <w:rsid w:val="00CA72A5"/>
    <w:rsid w:val="00CA7EE3"/>
    <w:rsid w:val="00CB0D36"/>
    <w:rsid w:val="00CB6764"/>
    <w:rsid w:val="00CC07BF"/>
    <w:rsid w:val="00CC4651"/>
    <w:rsid w:val="00CC6120"/>
    <w:rsid w:val="00CD02D4"/>
    <w:rsid w:val="00CD4E1D"/>
    <w:rsid w:val="00CD688D"/>
    <w:rsid w:val="00CD759B"/>
    <w:rsid w:val="00CE018E"/>
    <w:rsid w:val="00CE0B17"/>
    <w:rsid w:val="00CE5358"/>
    <w:rsid w:val="00CE6B15"/>
    <w:rsid w:val="00CE7A4A"/>
    <w:rsid w:val="00CE7CF0"/>
    <w:rsid w:val="00CF24E6"/>
    <w:rsid w:val="00CF2668"/>
    <w:rsid w:val="00D002A6"/>
    <w:rsid w:val="00D03DD0"/>
    <w:rsid w:val="00D043F4"/>
    <w:rsid w:val="00D04C57"/>
    <w:rsid w:val="00D06D86"/>
    <w:rsid w:val="00D07238"/>
    <w:rsid w:val="00D12A73"/>
    <w:rsid w:val="00D1343F"/>
    <w:rsid w:val="00D13AA8"/>
    <w:rsid w:val="00D14AE6"/>
    <w:rsid w:val="00D151D0"/>
    <w:rsid w:val="00D237B1"/>
    <w:rsid w:val="00D239B5"/>
    <w:rsid w:val="00D25F9A"/>
    <w:rsid w:val="00D30185"/>
    <w:rsid w:val="00D30840"/>
    <w:rsid w:val="00D326C1"/>
    <w:rsid w:val="00D32B72"/>
    <w:rsid w:val="00D4033C"/>
    <w:rsid w:val="00D41952"/>
    <w:rsid w:val="00D45504"/>
    <w:rsid w:val="00D52761"/>
    <w:rsid w:val="00D5346A"/>
    <w:rsid w:val="00D55540"/>
    <w:rsid w:val="00D55767"/>
    <w:rsid w:val="00D60246"/>
    <w:rsid w:val="00D60886"/>
    <w:rsid w:val="00D62F0B"/>
    <w:rsid w:val="00D637DA"/>
    <w:rsid w:val="00D70C64"/>
    <w:rsid w:val="00D71BA0"/>
    <w:rsid w:val="00D727D1"/>
    <w:rsid w:val="00D749DF"/>
    <w:rsid w:val="00D75055"/>
    <w:rsid w:val="00D76BE3"/>
    <w:rsid w:val="00D8036B"/>
    <w:rsid w:val="00D81DE6"/>
    <w:rsid w:val="00D82755"/>
    <w:rsid w:val="00D82E67"/>
    <w:rsid w:val="00D831AC"/>
    <w:rsid w:val="00D854D7"/>
    <w:rsid w:val="00D87E56"/>
    <w:rsid w:val="00D87F6F"/>
    <w:rsid w:val="00D93981"/>
    <w:rsid w:val="00D94621"/>
    <w:rsid w:val="00D9497C"/>
    <w:rsid w:val="00D95E35"/>
    <w:rsid w:val="00D97926"/>
    <w:rsid w:val="00DA3557"/>
    <w:rsid w:val="00DA4701"/>
    <w:rsid w:val="00DA50D8"/>
    <w:rsid w:val="00DA6D3B"/>
    <w:rsid w:val="00DB2B26"/>
    <w:rsid w:val="00DC6435"/>
    <w:rsid w:val="00DC65F2"/>
    <w:rsid w:val="00DC7876"/>
    <w:rsid w:val="00DC7DD5"/>
    <w:rsid w:val="00DD0ECD"/>
    <w:rsid w:val="00DD3460"/>
    <w:rsid w:val="00DE1C11"/>
    <w:rsid w:val="00DE2FBD"/>
    <w:rsid w:val="00DE3ED7"/>
    <w:rsid w:val="00DE52CD"/>
    <w:rsid w:val="00DF1291"/>
    <w:rsid w:val="00E00C30"/>
    <w:rsid w:val="00E01AE6"/>
    <w:rsid w:val="00E024CC"/>
    <w:rsid w:val="00E04947"/>
    <w:rsid w:val="00E05561"/>
    <w:rsid w:val="00E0590B"/>
    <w:rsid w:val="00E1392C"/>
    <w:rsid w:val="00E17604"/>
    <w:rsid w:val="00E2137D"/>
    <w:rsid w:val="00E213FB"/>
    <w:rsid w:val="00E21F91"/>
    <w:rsid w:val="00E22AC6"/>
    <w:rsid w:val="00E22D37"/>
    <w:rsid w:val="00E24830"/>
    <w:rsid w:val="00E25E7E"/>
    <w:rsid w:val="00E30557"/>
    <w:rsid w:val="00E30C0F"/>
    <w:rsid w:val="00E318A6"/>
    <w:rsid w:val="00E32DEB"/>
    <w:rsid w:val="00E35302"/>
    <w:rsid w:val="00E36136"/>
    <w:rsid w:val="00E406FF"/>
    <w:rsid w:val="00E41C62"/>
    <w:rsid w:val="00E41EE9"/>
    <w:rsid w:val="00E42E7C"/>
    <w:rsid w:val="00E44036"/>
    <w:rsid w:val="00E442E1"/>
    <w:rsid w:val="00E461D4"/>
    <w:rsid w:val="00E506BA"/>
    <w:rsid w:val="00E54022"/>
    <w:rsid w:val="00E571D6"/>
    <w:rsid w:val="00E57B04"/>
    <w:rsid w:val="00E6154A"/>
    <w:rsid w:val="00E62285"/>
    <w:rsid w:val="00E624F2"/>
    <w:rsid w:val="00E6271B"/>
    <w:rsid w:val="00E62819"/>
    <w:rsid w:val="00E640D8"/>
    <w:rsid w:val="00E66C75"/>
    <w:rsid w:val="00E676F2"/>
    <w:rsid w:val="00E7092D"/>
    <w:rsid w:val="00E71E25"/>
    <w:rsid w:val="00E76F20"/>
    <w:rsid w:val="00E77284"/>
    <w:rsid w:val="00E81C09"/>
    <w:rsid w:val="00E8509F"/>
    <w:rsid w:val="00E8613C"/>
    <w:rsid w:val="00E87E2D"/>
    <w:rsid w:val="00E9045F"/>
    <w:rsid w:val="00E91006"/>
    <w:rsid w:val="00E93612"/>
    <w:rsid w:val="00EA0D4F"/>
    <w:rsid w:val="00EA405B"/>
    <w:rsid w:val="00EA4251"/>
    <w:rsid w:val="00EA5DBA"/>
    <w:rsid w:val="00EA7A38"/>
    <w:rsid w:val="00EA7E3A"/>
    <w:rsid w:val="00EB4C26"/>
    <w:rsid w:val="00EB6134"/>
    <w:rsid w:val="00EC1729"/>
    <w:rsid w:val="00EC1A6C"/>
    <w:rsid w:val="00EC2985"/>
    <w:rsid w:val="00EC4A12"/>
    <w:rsid w:val="00EC65D0"/>
    <w:rsid w:val="00EC7581"/>
    <w:rsid w:val="00ED156E"/>
    <w:rsid w:val="00ED16E2"/>
    <w:rsid w:val="00ED73AF"/>
    <w:rsid w:val="00ED7509"/>
    <w:rsid w:val="00EE0206"/>
    <w:rsid w:val="00EE1869"/>
    <w:rsid w:val="00EE190D"/>
    <w:rsid w:val="00EE20D5"/>
    <w:rsid w:val="00EE2374"/>
    <w:rsid w:val="00EE38AF"/>
    <w:rsid w:val="00EE4022"/>
    <w:rsid w:val="00EF254B"/>
    <w:rsid w:val="00EF26A7"/>
    <w:rsid w:val="00EF4FF2"/>
    <w:rsid w:val="00F02DE9"/>
    <w:rsid w:val="00F0306F"/>
    <w:rsid w:val="00F0364B"/>
    <w:rsid w:val="00F0534B"/>
    <w:rsid w:val="00F071DE"/>
    <w:rsid w:val="00F1030A"/>
    <w:rsid w:val="00F11178"/>
    <w:rsid w:val="00F17014"/>
    <w:rsid w:val="00F176C2"/>
    <w:rsid w:val="00F21E77"/>
    <w:rsid w:val="00F23438"/>
    <w:rsid w:val="00F364E9"/>
    <w:rsid w:val="00F37BBB"/>
    <w:rsid w:val="00F42246"/>
    <w:rsid w:val="00F42D41"/>
    <w:rsid w:val="00F44057"/>
    <w:rsid w:val="00F445B7"/>
    <w:rsid w:val="00F47610"/>
    <w:rsid w:val="00F505BA"/>
    <w:rsid w:val="00F52C68"/>
    <w:rsid w:val="00F5348C"/>
    <w:rsid w:val="00F573FF"/>
    <w:rsid w:val="00F63242"/>
    <w:rsid w:val="00F63A35"/>
    <w:rsid w:val="00F67F4B"/>
    <w:rsid w:val="00F74630"/>
    <w:rsid w:val="00F76201"/>
    <w:rsid w:val="00F81D46"/>
    <w:rsid w:val="00F9122A"/>
    <w:rsid w:val="00F93AE1"/>
    <w:rsid w:val="00F9626E"/>
    <w:rsid w:val="00F96961"/>
    <w:rsid w:val="00FA343D"/>
    <w:rsid w:val="00FA55EB"/>
    <w:rsid w:val="00FA6D2C"/>
    <w:rsid w:val="00FA72AB"/>
    <w:rsid w:val="00FB5BF6"/>
    <w:rsid w:val="00FC0A9E"/>
    <w:rsid w:val="00FC2B9A"/>
    <w:rsid w:val="00FC31B9"/>
    <w:rsid w:val="00FC372C"/>
    <w:rsid w:val="00FC42F1"/>
    <w:rsid w:val="00FC779A"/>
    <w:rsid w:val="00FC7F19"/>
    <w:rsid w:val="00FD20AA"/>
    <w:rsid w:val="00FD439E"/>
    <w:rsid w:val="00FD6884"/>
    <w:rsid w:val="00FE29F1"/>
    <w:rsid w:val="00FE54EF"/>
    <w:rsid w:val="00FE6D6A"/>
    <w:rsid w:val="00FF4944"/>
    <w:rsid w:val="00FF5C51"/>
    <w:rsid w:val="00FF69F7"/>
    <w:rsid w:val="00FF7E42"/>
    <w:rsid w:val="02D90675"/>
    <w:rsid w:val="03470B47"/>
    <w:rsid w:val="036C38E4"/>
    <w:rsid w:val="03E78857"/>
    <w:rsid w:val="05AD8C06"/>
    <w:rsid w:val="0641D409"/>
    <w:rsid w:val="07AFED41"/>
    <w:rsid w:val="07D6B3FE"/>
    <w:rsid w:val="085528EE"/>
    <w:rsid w:val="0860F2F9"/>
    <w:rsid w:val="0A5D4C10"/>
    <w:rsid w:val="0A8FF26F"/>
    <w:rsid w:val="0B3B2B01"/>
    <w:rsid w:val="0C021820"/>
    <w:rsid w:val="0C0B9517"/>
    <w:rsid w:val="0D84CA4C"/>
    <w:rsid w:val="0D953045"/>
    <w:rsid w:val="0DC25686"/>
    <w:rsid w:val="0DDB69EB"/>
    <w:rsid w:val="0E01A6A4"/>
    <w:rsid w:val="0E4A3295"/>
    <w:rsid w:val="0EF1DC80"/>
    <w:rsid w:val="0F7AB3C2"/>
    <w:rsid w:val="11321915"/>
    <w:rsid w:val="1220A777"/>
    <w:rsid w:val="12471CD1"/>
    <w:rsid w:val="14E8297F"/>
    <w:rsid w:val="16691E43"/>
    <w:rsid w:val="1688798B"/>
    <w:rsid w:val="16C63C21"/>
    <w:rsid w:val="1799D49E"/>
    <w:rsid w:val="1941F662"/>
    <w:rsid w:val="19F614C2"/>
    <w:rsid w:val="1A0EAF25"/>
    <w:rsid w:val="1A1558FB"/>
    <w:rsid w:val="1B1A9150"/>
    <w:rsid w:val="1BAADB00"/>
    <w:rsid w:val="1C153CEC"/>
    <w:rsid w:val="1C79DFD5"/>
    <w:rsid w:val="1D9C40E9"/>
    <w:rsid w:val="1DBF51F3"/>
    <w:rsid w:val="1DE071E8"/>
    <w:rsid w:val="1F5D8BAE"/>
    <w:rsid w:val="20643714"/>
    <w:rsid w:val="207E4C23"/>
    <w:rsid w:val="20B059BD"/>
    <w:rsid w:val="20E8E59D"/>
    <w:rsid w:val="2292C316"/>
    <w:rsid w:val="2292ED6D"/>
    <w:rsid w:val="23396E3B"/>
    <w:rsid w:val="23D37105"/>
    <w:rsid w:val="26246A56"/>
    <w:rsid w:val="2656DD92"/>
    <w:rsid w:val="2664C35A"/>
    <w:rsid w:val="26A3E088"/>
    <w:rsid w:val="26E416B2"/>
    <w:rsid w:val="26EAAC4A"/>
    <w:rsid w:val="26EFD297"/>
    <w:rsid w:val="274235FE"/>
    <w:rsid w:val="27C03AB7"/>
    <w:rsid w:val="2803135E"/>
    <w:rsid w:val="28895E08"/>
    <w:rsid w:val="2981C047"/>
    <w:rsid w:val="29B2C8DC"/>
    <w:rsid w:val="29BEE599"/>
    <w:rsid w:val="2AFF25A0"/>
    <w:rsid w:val="2B0119AF"/>
    <w:rsid w:val="2BDD8072"/>
    <w:rsid w:val="2C22E659"/>
    <w:rsid w:val="2C80A003"/>
    <w:rsid w:val="2C85FC6B"/>
    <w:rsid w:val="2D3B6979"/>
    <w:rsid w:val="2D75B468"/>
    <w:rsid w:val="2E1C7064"/>
    <w:rsid w:val="2E6C4854"/>
    <w:rsid w:val="2F2D24F2"/>
    <w:rsid w:val="2F62BF05"/>
    <w:rsid w:val="31A3E916"/>
    <w:rsid w:val="3235DDBC"/>
    <w:rsid w:val="330646F0"/>
    <w:rsid w:val="332F344E"/>
    <w:rsid w:val="3385F392"/>
    <w:rsid w:val="338D4A51"/>
    <w:rsid w:val="33EA2FD2"/>
    <w:rsid w:val="353E00F4"/>
    <w:rsid w:val="3570457B"/>
    <w:rsid w:val="359BDA44"/>
    <w:rsid w:val="37254732"/>
    <w:rsid w:val="37C20ABE"/>
    <w:rsid w:val="37DE4C07"/>
    <w:rsid w:val="38849B4C"/>
    <w:rsid w:val="38CA2174"/>
    <w:rsid w:val="3A0A960B"/>
    <w:rsid w:val="3A387FC1"/>
    <w:rsid w:val="3B0312C8"/>
    <w:rsid w:val="3B726B85"/>
    <w:rsid w:val="3C8C0941"/>
    <w:rsid w:val="3C95602A"/>
    <w:rsid w:val="3CEE8943"/>
    <w:rsid w:val="3D087AEE"/>
    <w:rsid w:val="3E642F5F"/>
    <w:rsid w:val="3E769884"/>
    <w:rsid w:val="3EBC7C70"/>
    <w:rsid w:val="3F80ADA1"/>
    <w:rsid w:val="3FDA3969"/>
    <w:rsid w:val="4003BB3F"/>
    <w:rsid w:val="40863536"/>
    <w:rsid w:val="4111FF72"/>
    <w:rsid w:val="413E42F6"/>
    <w:rsid w:val="416EEFCE"/>
    <w:rsid w:val="483F1582"/>
    <w:rsid w:val="485095E4"/>
    <w:rsid w:val="48E5D29E"/>
    <w:rsid w:val="4AA0A504"/>
    <w:rsid w:val="4AB37FD0"/>
    <w:rsid w:val="4BAC877C"/>
    <w:rsid w:val="4BB63969"/>
    <w:rsid w:val="4C06AB29"/>
    <w:rsid w:val="4C152686"/>
    <w:rsid w:val="4C4F0DBB"/>
    <w:rsid w:val="4D39DC5C"/>
    <w:rsid w:val="4D67B57D"/>
    <w:rsid w:val="4DD71893"/>
    <w:rsid w:val="4E66D883"/>
    <w:rsid w:val="4EE6786B"/>
    <w:rsid w:val="5007EFE1"/>
    <w:rsid w:val="504CF74E"/>
    <w:rsid w:val="50736C8D"/>
    <w:rsid w:val="5077C7F8"/>
    <w:rsid w:val="51E2A480"/>
    <w:rsid w:val="51EE83ED"/>
    <w:rsid w:val="5283435F"/>
    <w:rsid w:val="52B2CEB3"/>
    <w:rsid w:val="52D3FA0F"/>
    <w:rsid w:val="534FE35B"/>
    <w:rsid w:val="53FD6EE3"/>
    <w:rsid w:val="55E21E5B"/>
    <w:rsid w:val="573C45D9"/>
    <w:rsid w:val="583E26E8"/>
    <w:rsid w:val="59824F24"/>
    <w:rsid w:val="5A2E5834"/>
    <w:rsid w:val="5A62AAC9"/>
    <w:rsid w:val="5AA0AE5C"/>
    <w:rsid w:val="5AE82C4A"/>
    <w:rsid w:val="5B554034"/>
    <w:rsid w:val="5C9D3920"/>
    <w:rsid w:val="5CAEB3CA"/>
    <w:rsid w:val="5D457079"/>
    <w:rsid w:val="5D6AA1AA"/>
    <w:rsid w:val="5D786657"/>
    <w:rsid w:val="5DB89F54"/>
    <w:rsid w:val="5F27AF2C"/>
    <w:rsid w:val="5FB095C8"/>
    <w:rsid w:val="5FE182E9"/>
    <w:rsid w:val="60F04016"/>
    <w:rsid w:val="616599A2"/>
    <w:rsid w:val="6170D42E"/>
    <w:rsid w:val="61FAEBBA"/>
    <w:rsid w:val="623AC0CD"/>
    <w:rsid w:val="6261E8A7"/>
    <w:rsid w:val="63338C01"/>
    <w:rsid w:val="63901C4A"/>
    <w:rsid w:val="645BFE7F"/>
    <w:rsid w:val="651BA3CB"/>
    <w:rsid w:val="6528D7FB"/>
    <w:rsid w:val="65C8BF22"/>
    <w:rsid w:val="65E483FC"/>
    <w:rsid w:val="6660A056"/>
    <w:rsid w:val="66D55487"/>
    <w:rsid w:val="6776B051"/>
    <w:rsid w:val="6784BD63"/>
    <w:rsid w:val="67B58022"/>
    <w:rsid w:val="6A28BF06"/>
    <w:rsid w:val="6A3C02D6"/>
    <w:rsid w:val="6B405B66"/>
    <w:rsid w:val="6D2A6226"/>
    <w:rsid w:val="6D8842C0"/>
    <w:rsid w:val="6EFE9D83"/>
    <w:rsid w:val="70237006"/>
    <w:rsid w:val="70A766D7"/>
    <w:rsid w:val="70FB7765"/>
    <w:rsid w:val="71405F00"/>
    <w:rsid w:val="71542AC7"/>
    <w:rsid w:val="71AB7259"/>
    <w:rsid w:val="71ABFE24"/>
    <w:rsid w:val="71DA2719"/>
    <w:rsid w:val="732AB5DF"/>
    <w:rsid w:val="739219AB"/>
    <w:rsid w:val="74010330"/>
    <w:rsid w:val="7405B998"/>
    <w:rsid w:val="7466C4EB"/>
    <w:rsid w:val="74D041FC"/>
    <w:rsid w:val="74D73F87"/>
    <w:rsid w:val="75189F38"/>
    <w:rsid w:val="76A7C7D9"/>
    <w:rsid w:val="7774054B"/>
    <w:rsid w:val="780666E7"/>
    <w:rsid w:val="78ED60ED"/>
    <w:rsid w:val="7958A38A"/>
    <w:rsid w:val="79AA72FE"/>
    <w:rsid w:val="79E59FD3"/>
    <w:rsid w:val="7A637DFE"/>
    <w:rsid w:val="7A781F62"/>
    <w:rsid w:val="7AB668A2"/>
    <w:rsid w:val="7AD09ADD"/>
    <w:rsid w:val="7BA69757"/>
    <w:rsid w:val="7C46F5A0"/>
    <w:rsid w:val="7C510C62"/>
    <w:rsid w:val="7CADC48B"/>
    <w:rsid w:val="7CFB945E"/>
    <w:rsid w:val="7D2737F0"/>
    <w:rsid w:val="7D3B774C"/>
    <w:rsid w:val="7D3B7B4D"/>
    <w:rsid w:val="7D437F5B"/>
    <w:rsid w:val="7DF47ED4"/>
    <w:rsid w:val="7E82880A"/>
    <w:rsid w:val="7F6941E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27A26D9C-DF4B-466F-A4E8-BA324F2C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29B2C8DC"/>
  </w:style>
  <w:style w:type="character" w:customStyle="1" w:styleId="eop">
    <w:name w:val="eop"/>
    <w:basedOn w:val="DefaultParagraphFont"/>
    <w:rsid w:val="29B2C8DC"/>
  </w:style>
  <w:style w:type="paragraph" w:customStyle="1" w:styleId="paragraph">
    <w:name w:val="paragraph"/>
    <w:basedOn w:val="Normal"/>
    <w:rsid w:val="29B2C8DC"/>
    <w:pPr>
      <w:spacing w:beforeAutospacing="1" w:afterAutospacing="1"/>
    </w:pPr>
    <w:rPr>
      <w:rFonts w:ascii="Times New Roman" w:eastAsia="Times New Roman" w:hAnsi="Times New Roman" w:cs="Times New Roman"/>
      <w:sz w:val="24"/>
      <w:szCs w:val="24"/>
    </w:rPr>
  </w:style>
  <w:style w:type="character" w:customStyle="1" w:styleId="superscript">
    <w:name w:val="superscript"/>
    <w:basedOn w:val="DefaultParagraphFont"/>
    <w:uiPriority w:val="1"/>
    <w:rsid w:val="29B2C8DC"/>
  </w:style>
  <w:style w:type="character" w:styleId="Mention">
    <w:name w:val="Mention"/>
    <w:basedOn w:val="DefaultParagraphFont"/>
    <w:uiPriority w:val="99"/>
    <w:unhideWhenUsed/>
    <w:rsid w:val="00155F77"/>
    <w:rPr>
      <w:color w:val="2B579A"/>
      <w:shd w:val="clear" w:color="auto" w:fill="E1DFDD"/>
    </w:rPr>
  </w:style>
  <w:style w:type="character" w:customStyle="1" w:styleId="cf01">
    <w:name w:val="cf01"/>
    <w:basedOn w:val="DefaultParagraphFont"/>
    <w:rsid w:val="0002408F"/>
    <w:rPr>
      <w:rFonts w:ascii="Segoe UI" w:hAnsi="Segoe UI" w:cs="Segoe UI" w:hint="default"/>
      <w:sz w:val="18"/>
      <w:szCs w:val="18"/>
    </w:rPr>
  </w:style>
  <w:style w:type="character" w:styleId="UnresolvedMention">
    <w:name w:val="Unresolved Mention"/>
    <w:basedOn w:val="DefaultParagraphFont"/>
    <w:uiPriority w:val="99"/>
    <w:semiHidden/>
    <w:unhideWhenUsed/>
    <w:rsid w:val="003539B9"/>
    <w:rPr>
      <w:color w:val="605E5C"/>
      <w:shd w:val="clear" w:color="auto" w:fill="E1DFDD"/>
    </w:rPr>
  </w:style>
  <w:style w:type="paragraph" w:customStyle="1" w:styleId="pf1">
    <w:name w:val="pf1"/>
    <w:basedOn w:val="Normal"/>
    <w:rsid w:val="00282994"/>
    <w:pPr>
      <w:spacing w:before="100" w:beforeAutospacing="1" w:after="100" w:afterAutospacing="1" w:line="240" w:lineRule="auto"/>
      <w:ind w:left="720"/>
    </w:pPr>
    <w:rPr>
      <w:rFonts w:ascii="Times New Roman" w:eastAsia="Times New Roman" w:hAnsi="Times New Roman" w:cs="Times New Roman"/>
      <w:sz w:val="24"/>
      <w:szCs w:val="24"/>
    </w:rPr>
  </w:style>
  <w:style w:type="paragraph" w:customStyle="1" w:styleId="pf0">
    <w:name w:val="pf0"/>
    <w:basedOn w:val="Normal"/>
    <w:rsid w:val="00282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282994"/>
    <w:rPr>
      <w:rFonts w:ascii="Segoe UI" w:hAnsi="Segoe UI" w:cs="Segoe UI" w:hint="default"/>
      <w:sz w:val="18"/>
      <w:szCs w:val="18"/>
    </w:rPr>
  </w:style>
  <w:style w:type="character" w:customStyle="1" w:styleId="ui-provider">
    <w:name w:val="ui-provider"/>
    <w:basedOn w:val="DefaultParagraphFont"/>
    <w:rsid w:val="00466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kristen.faucetta@mdrc.org" TargetMode="External" /><Relationship Id="rId11" Type="http://schemas.openxmlformats.org/officeDocument/2006/relationships/hyperlink" Target="mailto:charles.michalopoulos@mdrc.org"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reginfo.gov/public/do/PRAOMBHistory?ombControlNumber=0970-04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37BF92EBFEB24788AD70A129E8DFB8" ma:contentTypeVersion="4" ma:contentTypeDescription="Create a new document." ma:contentTypeScope="" ma:versionID="944cbeea463b1b7b6a43d8f2896ff6a3">
  <xsd:schema xmlns:xsd="http://www.w3.org/2001/XMLSchema" xmlns:xs="http://www.w3.org/2001/XMLSchema" xmlns:p="http://schemas.microsoft.com/office/2006/metadata/properties" xmlns:ns2="4b6649a3-4e3a-436c-a0b3-8cdffa6e2c43" xmlns:ns3="9269dfe0-8e7c-45c9-8f8d-b50bc11005f0" targetNamespace="http://schemas.microsoft.com/office/2006/metadata/properties" ma:root="true" ma:fieldsID="9637fdd6b21b3fec79d2588f04a6961d" ns2:_="" ns3:_="">
    <xsd:import namespace="4b6649a3-4e3a-436c-a0b3-8cdffa6e2c43"/>
    <xsd:import namespace="9269dfe0-8e7c-45c9-8f8d-b50bc11005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649a3-4e3a-436c-a0b3-8cdffa6e2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9dfe0-8e7c-45c9-8f8d-b50bc11005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3.xml><?xml version="1.0" encoding="utf-8"?>
<ds:datastoreItem xmlns:ds="http://schemas.openxmlformats.org/officeDocument/2006/customXml" ds:itemID="{4BA1ABA9-3B9B-470A-A5E9-11590A1A2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649a3-4e3a-436c-a0b3-8cdffa6e2c43"/>
    <ds:schemaRef ds:uri="9269dfe0-8e7c-45c9-8f8d-b50bc1100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3084</Words>
  <Characters>17580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Faucetta</dc:creator>
  <cp:lastModifiedBy>Jones, Molly (ACF)</cp:lastModifiedBy>
  <cp:revision>4</cp:revision>
  <dcterms:created xsi:type="dcterms:W3CDTF">2023-05-22T13:10:00Z</dcterms:created>
  <dcterms:modified xsi:type="dcterms:W3CDTF">2023-07-12T15:38:00Z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0x0101005837BF92EBFEB24788AD70A129E8DFB8</vt:lpwstr>
  </property>
</Properties>
</file>