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012562" w:rsidRPr="009139B3" w:rsidP="00012562" w14:paraId="298B5CC5" w14:textId="77777777">
      <w:pPr>
        <w:pStyle w:val="ReportCover-Title"/>
        <w:jc w:val="center"/>
        <w:rPr>
          <w:rFonts w:ascii="Arial" w:hAnsi="Arial" w:cs="Arial"/>
          <w:color w:val="auto"/>
        </w:rPr>
      </w:pPr>
      <w:r>
        <w:rPr>
          <w:rFonts w:ascii="Arial" w:eastAsia="Arial Unicode MS" w:hAnsi="Arial" w:cs="Arial"/>
          <w:noProof/>
          <w:color w:val="auto"/>
        </w:rPr>
        <w:t>National Survey of Child and Adolescent Well-Being-Third Cohort (NSCAW III)</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2E3439D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012562">
        <w:rPr>
          <w:rFonts w:asciiTheme="minorHAnsi" w:hAnsiTheme="minorHAnsi" w:cstheme="minorHAnsi"/>
          <w:color w:val="auto"/>
          <w:sz w:val="32"/>
          <w:szCs w:val="32"/>
        </w:rPr>
        <w:t>0202</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F73468" w:rsidRPr="002C4F75" w:rsidP="00F73468" w14:paraId="131B745E" w14:textId="02CFC905">
      <w:pPr>
        <w:pStyle w:val="ReportCover-Date"/>
        <w:spacing w:after="0" w:line="240" w:lineRule="auto"/>
        <w:jc w:val="center"/>
        <w:rPr>
          <w:rFonts w:ascii="Arial" w:hAnsi="Arial" w:cs="Arial"/>
          <w:color w:val="auto"/>
        </w:rPr>
      </w:pPr>
      <w:r>
        <w:rPr>
          <w:rFonts w:ascii="Arial" w:hAnsi="Arial" w:cs="Arial"/>
          <w:color w:val="auto"/>
        </w:rPr>
        <w:t>July 2023</w:t>
      </w: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7A67FB" w:rsidP="00A42C71" w14:paraId="7208C5C8" w14:textId="77777777">
      <w:pPr>
        <w:spacing w:after="0" w:line="240" w:lineRule="auto"/>
        <w:jc w:val="center"/>
        <w:rPr>
          <w:rFonts w:ascii="Arial" w:hAnsi="Arial" w:cs="Arial"/>
        </w:rPr>
      </w:pPr>
      <w:r w:rsidRPr="007A67FB">
        <w:rPr>
          <w:rFonts w:ascii="Arial" w:hAnsi="Arial" w:cs="Arial"/>
        </w:rPr>
        <w:t>Submitted By:</w:t>
      </w:r>
    </w:p>
    <w:p w:rsidR="00A42C71" w:rsidRPr="007A67FB" w:rsidP="00A42C71" w14:paraId="55988A75" w14:textId="77777777">
      <w:pPr>
        <w:spacing w:after="0" w:line="240" w:lineRule="auto"/>
        <w:jc w:val="center"/>
        <w:rPr>
          <w:rFonts w:ascii="Arial" w:hAnsi="Arial" w:cs="Arial"/>
        </w:rPr>
      </w:pPr>
      <w:r w:rsidRPr="007A67FB">
        <w:rPr>
          <w:rFonts w:ascii="Arial" w:hAnsi="Arial" w:cs="Arial"/>
        </w:rPr>
        <w:t>Office of Planning, Research, and Evaluation</w:t>
      </w:r>
    </w:p>
    <w:p w:rsidR="00A42C71" w:rsidRPr="007A67FB" w:rsidP="00A42C71" w14:paraId="58048DA2" w14:textId="77777777">
      <w:pPr>
        <w:spacing w:after="0" w:line="240" w:lineRule="auto"/>
        <w:jc w:val="center"/>
        <w:rPr>
          <w:rFonts w:ascii="Arial" w:hAnsi="Arial" w:cs="Arial"/>
        </w:rPr>
      </w:pPr>
      <w:r w:rsidRPr="007A67FB">
        <w:rPr>
          <w:rFonts w:ascii="Arial" w:hAnsi="Arial" w:cs="Arial"/>
        </w:rPr>
        <w:t xml:space="preserve">Administration for Children and Families </w:t>
      </w:r>
    </w:p>
    <w:p w:rsidR="00A42C71" w:rsidRPr="007A67FB" w:rsidP="00A42C71" w14:paraId="41BA659B" w14:textId="77777777">
      <w:pPr>
        <w:spacing w:after="0" w:line="240" w:lineRule="auto"/>
        <w:jc w:val="center"/>
        <w:rPr>
          <w:rFonts w:ascii="Arial" w:hAnsi="Arial" w:cs="Arial"/>
        </w:rPr>
      </w:pPr>
      <w:r w:rsidRPr="007A67FB">
        <w:rPr>
          <w:rFonts w:ascii="Arial" w:hAnsi="Arial" w:cs="Arial"/>
        </w:rPr>
        <w:t>U.S. Department of Health and Human Services</w:t>
      </w:r>
    </w:p>
    <w:p w:rsidR="00A42C71" w:rsidRPr="007A67FB" w:rsidP="00A42C71" w14:paraId="26D8B869" w14:textId="77777777">
      <w:pPr>
        <w:spacing w:after="0" w:line="240" w:lineRule="auto"/>
        <w:jc w:val="center"/>
        <w:rPr>
          <w:rFonts w:ascii="Arial" w:hAnsi="Arial" w:cs="Arial"/>
        </w:rPr>
      </w:pPr>
    </w:p>
    <w:p w:rsidR="00A42C71" w:rsidRPr="007A67FB" w:rsidP="00A42C71" w14:paraId="63276A76" w14:textId="77777777">
      <w:pPr>
        <w:spacing w:after="0" w:line="240" w:lineRule="auto"/>
        <w:jc w:val="center"/>
        <w:rPr>
          <w:rFonts w:ascii="Arial" w:hAnsi="Arial" w:cs="Arial"/>
        </w:rPr>
      </w:pPr>
      <w:r w:rsidRPr="007A67FB">
        <w:rPr>
          <w:rFonts w:ascii="Arial" w:hAnsi="Arial" w:cs="Arial"/>
        </w:rPr>
        <w:t>4</w:t>
      </w:r>
      <w:r w:rsidRPr="007A67FB">
        <w:rPr>
          <w:rFonts w:ascii="Arial" w:hAnsi="Arial" w:cs="Arial"/>
          <w:vertAlign w:val="superscript"/>
        </w:rPr>
        <w:t>th</w:t>
      </w:r>
      <w:r w:rsidRPr="007A67FB">
        <w:rPr>
          <w:rFonts w:ascii="Arial" w:hAnsi="Arial" w:cs="Arial"/>
        </w:rPr>
        <w:t xml:space="preserve"> Floor, Mary E. Switzer Building</w:t>
      </w:r>
    </w:p>
    <w:p w:rsidR="00A42C71" w:rsidRPr="007A67FB" w:rsidP="00A42C71" w14:paraId="7A2C144B" w14:textId="77777777">
      <w:pPr>
        <w:spacing w:after="0" w:line="240" w:lineRule="auto"/>
        <w:jc w:val="center"/>
        <w:rPr>
          <w:rFonts w:ascii="Arial" w:hAnsi="Arial" w:cs="Arial"/>
        </w:rPr>
      </w:pPr>
      <w:r w:rsidRPr="007A67FB">
        <w:rPr>
          <w:rFonts w:ascii="Arial" w:hAnsi="Arial" w:cs="Arial"/>
        </w:rPr>
        <w:t>330 C Street, SW</w:t>
      </w:r>
    </w:p>
    <w:p w:rsidR="00A42C71" w:rsidRPr="007A67FB" w:rsidP="00A42C71" w14:paraId="081382E0" w14:textId="2E5E5413">
      <w:pPr>
        <w:spacing w:after="0" w:line="240" w:lineRule="auto"/>
        <w:jc w:val="center"/>
        <w:rPr>
          <w:rFonts w:ascii="Arial" w:hAnsi="Arial" w:cs="Arial"/>
        </w:rPr>
      </w:pPr>
      <w:r w:rsidRPr="007A67FB">
        <w:rPr>
          <w:rFonts w:ascii="Arial" w:hAnsi="Arial" w:cs="Arial"/>
        </w:rPr>
        <w:t>Washington, D.C. 20201</w:t>
      </w:r>
    </w:p>
    <w:p w:rsidR="00012562" w:rsidRPr="007A67FB" w:rsidP="00A42C71" w14:paraId="73CC2129" w14:textId="79210DF0">
      <w:pPr>
        <w:spacing w:after="0" w:line="240" w:lineRule="auto"/>
        <w:jc w:val="center"/>
        <w:rPr>
          <w:rFonts w:ascii="Arial" w:hAnsi="Arial" w:cs="Arial"/>
        </w:rPr>
      </w:pPr>
    </w:p>
    <w:p w:rsidR="00012562" w:rsidRPr="007A67FB" w:rsidP="00012562" w14:paraId="74B442BA" w14:textId="77777777">
      <w:pPr>
        <w:spacing w:after="0" w:line="240" w:lineRule="auto"/>
        <w:jc w:val="center"/>
        <w:rPr>
          <w:rFonts w:ascii="Arial" w:hAnsi="Arial" w:cs="Arial"/>
        </w:rPr>
      </w:pPr>
      <w:r w:rsidRPr="007A67FB">
        <w:rPr>
          <w:rFonts w:ascii="Arial" w:hAnsi="Arial" w:cs="Arial"/>
        </w:rPr>
        <w:t>Project Officers:</w:t>
      </w:r>
    </w:p>
    <w:p w:rsidR="00012562" w:rsidRPr="007A67FB" w:rsidP="00012562" w14:paraId="4270DB32" w14:textId="77777777">
      <w:pPr>
        <w:spacing w:after="0" w:line="240" w:lineRule="auto"/>
        <w:jc w:val="center"/>
        <w:rPr>
          <w:rFonts w:ascii="Arial" w:hAnsi="Arial" w:cs="Arial"/>
          <w:bCs/>
        </w:rPr>
      </w:pPr>
      <w:r w:rsidRPr="007A67FB">
        <w:rPr>
          <w:rFonts w:ascii="Arial" w:hAnsi="Arial" w:cs="Arial"/>
          <w:bCs/>
        </w:rPr>
        <w:t>Christine Fortunato</w:t>
      </w:r>
    </w:p>
    <w:p w:rsidR="00012562" w:rsidRPr="007A67FB" w:rsidP="00012562" w14:paraId="7E95F04A" w14:textId="77777777">
      <w:pPr>
        <w:spacing w:after="0" w:line="240" w:lineRule="auto"/>
        <w:jc w:val="center"/>
        <w:rPr>
          <w:rFonts w:ascii="Arial" w:hAnsi="Arial" w:cs="Arial"/>
          <w:bCs/>
        </w:rPr>
      </w:pPr>
      <w:r w:rsidRPr="007A67FB">
        <w:rPr>
          <w:rFonts w:ascii="Arial" w:hAnsi="Arial" w:cs="Arial"/>
          <w:bCs/>
        </w:rPr>
        <w:t xml:space="preserve">Mary Bruce Webb </w:t>
      </w:r>
    </w:p>
    <w:p w:rsidR="00012562" w:rsidRPr="007A67FB" w:rsidP="00A42C71" w14:paraId="0420ADB2" w14:textId="77777777">
      <w:pPr>
        <w:spacing w:after="0" w:line="240" w:lineRule="auto"/>
        <w:jc w:val="center"/>
        <w:rPr>
          <w:rFonts w:ascii="Arial" w:hAnsi="Arial" w:cs="Arial"/>
        </w:rPr>
      </w:pPr>
    </w:p>
    <w:p w:rsidR="00A42C71" w:rsidRPr="001A59B6" w:rsidP="00A42C71" w14:paraId="6F908824" w14:textId="77777777">
      <w:pPr>
        <w:spacing w:after="0" w:line="240" w:lineRule="auto"/>
        <w:jc w:val="center"/>
        <w:rPr>
          <w:rFonts w:cstheme="minorHAnsi"/>
        </w:rPr>
      </w:pPr>
    </w:p>
    <w:p w:rsidR="00A42C71" w:rsidRPr="001A59B6" w:rsidP="00A42C71" w14:paraId="6CB062A1" w14:textId="77777777">
      <w:pPr>
        <w:spacing w:after="0" w:line="240" w:lineRule="auto"/>
        <w:jc w:val="center"/>
        <w:rPr>
          <w:rFonts w:cstheme="minorHAnsi"/>
          <w:b/>
        </w:rPr>
      </w:pPr>
    </w:p>
    <w:p w:rsidR="00BC435A" w:rsidP="00A42C71" w14:paraId="73539DF7" w14:textId="77777777">
      <w:pPr>
        <w:spacing w:after="0"/>
        <w:jc w:val="center"/>
        <w:rPr>
          <w:rFonts w:cstheme="minorHAnsi"/>
          <w:b/>
          <w:sz w:val="32"/>
          <w:szCs w:val="32"/>
        </w:rPr>
      </w:pPr>
    </w:p>
    <w:p w:rsidR="00A42C71" w:rsidRPr="001A59B6" w:rsidP="00A42C71" w14:paraId="45C49EBE" w14:textId="32293E9B">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60A28" w:rsidRPr="007A4EE7" w:rsidP="005E00C7" w14:paraId="3B1DEE0D" w14:textId="1460D6BC">
      <w:pPr>
        <w:spacing w:after="120"/>
        <w:rPr>
          <w:rFonts w:cstheme="minorHAnsi"/>
          <w:iCs/>
        </w:rPr>
      </w:pPr>
      <w:r>
        <w:rPr>
          <w:rFonts w:cstheme="minorHAnsi"/>
          <w:iCs/>
        </w:rPr>
        <w:t xml:space="preserve">OMB </w:t>
      </w:r>
      <w:r w:rsidR="003546C1">
        <w:rPr>
          <w:rFonts w:cstheme="minorHAnsi"/>
          <w:iCs/>
        </w:rPr>
        <w:t xml:space="preserve">approval for </w:t>
      </w:r>
      <w:r w:rsidRPr="00A60A28">
        <w:rPr>
          <w:rFonts w:cstheme="minorHAnsi"/>
          <w:b/>
          <w:bCs/>
          <w:iCs/>
        </w:rPr>
        <w:t>Phase II</w:t>
      </w:r>
      <w:r w:rsidR="008447F1">
        <w:rPr>
          <w:rFonts w:cstheme="minorHAnsi"/>
          <w:b/>
          <w:bCs/>
          <w:iCs/>
        </w:rPr>
        <w:t xml:space="preserve"> (</w:t>
      </w:r>
      <w:r w:rsidRPr="008447F1" w:rsidR="008447F1">
        <w:rPr>
          <w:rFonts w:cstheme="minorHAnsi"/>
          <w:bCs/>
        </w:rPr>
        <w:t xml:space="preserve">DHHS/ACF/OPRE </w:t>
      </w:r>
      <w:r w:rsidRPr="008447F1" w:rsidR="008447F1">
        <w:rPr>
          <w:rFonts w:eastAsia="Arial Unicode MS" w:cstheme="minorHAnsi"/>
          <w:bCs/>
          <w:bdr w:val="none" w:sz="0" w:space="0" w:color="auto"/>
        </w:rPr>
        <w:t>National Survey of Child and Adolescent Well-Being Third Cohort (NSCAW III): Data Collection)</w:t>
      </w:r>
      <w:r w:rsidR="003546C1">
        <w:rPr>
          <w:rFonts w:eastAsia="Arial Unicode MS" w:cstheme="minorHAnsi"/>
          <w:bCs/>
          <w:bdr w:val="none" w:sz="0" w:space="0" w:color="auto"/>
        </w:rPr>
        <w:t xml:space="preserve"> was obtained in July 2017</w:t>
      </w:r>
      <w:r w:rsidRPr="008447F1">
        <w:rPr>
          <w:rFonts w:cstheme="minorHAnsi"/>
          <w:bCs/>
          <w:iCs/>
        </w:rPr>
        <w:t xml:space="preserve">. </w:t>
      </w:r>
      <w:r w:rsidR="003546C1">
        <w:rPr>
          <w:rFonts w:cstheme="minorHAnsi"/>
          <w:iCs/>
        </w:rPr>
        <w:t xml:space="preserve">At the time of approval, materials supported in-person interviewing during the baseline and follow-up waves. </w:t>
      </w:r>
      <w:r>
        <w:rPr>
          <w:rFonts w:cstheme="minorHAnsi"/>
          <w:iCs/>
        </w:rPr>
        <w:t xml:space="preserve"> </w:t>
      </w:r>
      <w:r w:rsidRPr="0055177B" w:rsidR="00D72BD2">
        <w:rPr>
          <w:color w:val="000000" w:themeColor="text1"/>
        </w:rPr>
        <w:t>The</w:t>
      </w:r>
      <w:r w:rsidR="00D72BD2">
        <w:rPr>
          <w:color w:val="000000" w:themeColor="text1"/>
        </w:rPr>
        <w:t xml:space="preserve"> objective of the</w:t>
      </w:r>
      <w:r w:rsidRPr="0055177B" w:rsidR="00D72BD2">
        <w:rPr>
          <w:color w:val="000000" w:themeColor="text1"/>
        </w:rPr>
        <w:t xml:space="preserve"> current request is </w:t>
      </w:r>
      <w:r w:rsidR="00D72BD2">
        <w:rPr>
          <w:color w:val="000000" w:themeColor="text1"/>
        </w:rPr>
        <w:t xml:space="preserve">twofold:  1) to extend approval to allow for the completion of the follow-up wave of data collection and panel maintenance </w:t>
      </w:r>
      <w:r w:rsidRPr="007A4EE7" w:rsidR="00D72BD2">
        <w:rPr>
          <w:rFonts w:cstheme="minorHAnsi"/>
          <w:color w:val="000000" w:themeColor="text1"/>
        </w:rPr>
        <w:t>of the NSCAW cohorts</w:t>
      </w:r>
      <w:r w:rsidRPr="007A4EE7" w:rsidR="00CE5A43">
        <w:rPr>
          <w:rFonts w:cstheme="minorHAnsi"/>
          <w:color w:val="000000" w:themeColor="text1"/>
        </w:rPr>
        <w:t xml:space="preserve">, and 2) to reinstate </w:t>
      </w:r>
      <w:r w:rsidRPr="007A4EE7" w:rsidR="003546C1">
        <w:rPr>
          <w:rFonts w:cstheme="minorHAnsi"/>
          <w:color w:val="000000" w:themeColor="text1"/>
        </w:rPr>
        <w:t xml:space="preserve">the </w:t>
      </w:r>
      <w:r w:rsidRPr="007A4EE7" w:rsidR="00D72BD2">
        <w:rPr>
          <w:rFonts w:cstheme="minorHAnsi"/>
          <w:color w:val="000000" w:themeColor="text1"/>
        </w:rPr>
        <w:t>previously approved in-person interviewing option</w:t>
      </w:r>
      <w:r w:rsidRPr="007A4EE7" w:rsidR="00CE5A43">
        <w:rPr>
          <w:rFonts w:cstheme="minorHAnsi"/>
          <w:color w:val="000000" w:themeColor="text1"/>
        </w:rPr>
        <w:t xml:space="preserve">. </w:t>
      </w:r>
      <w:r w:rsidRPr="007A4EE7" w:rsidR="007A4EE7">
        <w:rPr>
          <w:rFonts w:cstheme="minorHAnsi"/>
          <w:color w:val="000000" w:themeColor="text1"/>
        </w:rPr>
        <w:t xml:space="preserve"> Phase II </w:t>
      </w:r>
      <w:r w:rsidRPr="007A4EE7" w:rsidR="00DF1B33">
        <w:rPr>
          <w:rFonts w:cstheme="minorHAnsi"/>
          <w:color w:val="000000" w:themeColor="text1"/>
        </w:rPr>
        <w:t xml:space="preserve">Supporting </w:t>
      </w:r>
      <w:r w:rsidRPr="007A4EE7" w:rsidR="007A4EE7">
        <w:rPr>
          <w:rFonts w:cstheme="minorHAnsi"/>
          <w:color w:val="000000" w:themeColor="text1"/>
        </w:rPr>
        <w:t>S</w:t>
      </w:r>
      <w:r w:rsidRPr="007A4EE7" w:rsidR="00DF1B33">
        <w:rPr>
          <w:rFonts w:cstheme="minorHAnsi"/>
          <w:color w:val="000000" w:themeColor="text1"/>
        </w:rPr>
        <w:t xml:space="preserve">tatements A and B </w:t>
      </w:r>
      <w:r w:rsidRPr="007A4EE7" w:rsidR="007A4EE7">
        <w:rPr>
          <w:rFonts w:cstheme="minorHAnsi"/>
          <w:color w:val="000000" w:themeColor="text1"/>
        </w:rPr>
        <w:t>(</w:t>
      </w:r>
      <w:r w:rsidRPr="007A4EE7" w:rsidR="00DF1B33">
        <w:rPr>
          <w:rFonts w:cstheme="minorHAnsi"/>
          <w:color w:val="000000" w:themeColor="text1"/>
        </w:rPr>
        <w:t>July 2017</w:t>
      </w:r>
      <w:r w:rsidRPr="007A4EE7" w:rsidR="007A4EE7">
        <w:rPr>
          <w:rFonts w:cstheme="minorHAnsi"/>
          <w:color w:val="000000" w:themeColor="text1"/>
        </w:rPr>
        <w:t xml:space="preserve">) are available </w:t>
      </w:r>
      <w:r w:rsidR="007A4EE7">
        <w:rPr>
          <w:rFonts w:cstheme="minorHAnsi"/>
          <w:color w:val="000000" w:themeColor="text1"/>
        </w:rPr>
        <w:t xml:space="preserve">for reference </w:t>
      </w:r>
      <w:r w:rsidRPr="007A4EE7" w:rsidR="007A4EE7">
        <w:rPr>
          <w:rFonts w:cstheme="minorHAnsi"/>
          <w:color w:val="000000" w:themeColor="text1"/>
        </w:rPr>
        <w:t xml:space="preserve">under </w:t>
      </w:r>
      <w:r w:rsidRPr="007A4EE7" w:rsidR="007A4EE7">
        <w:rPr>
          <w:rFonts w:eastAsia="Times New Roman" w:cstheme="minorHAnsi"/>
          <w:color w:val="2E2E2E"/>
        </w:rPr>
        <w:t xml:space="preserve">ICR Reference No: 201702-0970-003 and include the following </w:t>
      </w:r>
      <w:r w:rsidRPr="007A4EE7" w:rsidR="003546C1">
        <w:rPr>
          <w:rFonts w:cstheme="minorHAnsi"/>
          <w:color w:val="000000" w:themeColor="text1"/>
        </w:rPr>
        <w:t xml:space="preserve">Appendices: </w:t>
      </w:r>
    </w:p>
    <w:p w:rsidR="00A60A28" w:rsidP="00A60A28" w14:paraId="76B98032" w14:textId="77777777">
      <w:pPr>
        <w:spacing w:after="120" w:line="240" w:lineRule="auto"/>
        <w:ind w:left="720"/>
      </w:pPr>
      <w:r>
        <w:t xml:space="preserve">Appendix A: NSCAW III Summary of Interviews </w:t>
      </w:r>
    </w:p>
    <w:p w:rsidR="00A60A28" w:rsidP="00A60A28" w14:paraId="24BA0CAD" w14:textId="77777777">
      <w:pPr>
        <w:spacing w:after="120" w:line="240" w:lineRule="auto"/>
        <w:ind w:left="720"/>
        <w:rPr>
          <w:rFonts w:cstheme="minorHAnsi"/>
        </w:rPr>
      </w:pPr>
      <w:r w:rsidRPr="00A005B2">
        <w:rPr>
          <w:rFonts w:cstheme="minorHAnsi"/>
        </w:rPr>
        <w:t>Appendix B: NSCAW III Child Interview</w:t>
      </w:r>
    </w:p>
    <w:p w:rsidR="00A60A28" w:rsidP="00A60A28" w14:paraId="5D0C7D11" w14:textId="77777777">
      <w:pPr>
        <w:spacing w:after="120" w:line="240" w:lineRule="auto"/>
        <w:ind w:left="720"/>
        <w:rPr>
          <w:rFonts w:cstheme="minorHAnsi"/>
        </w:rPr>
      </w:pPr>
      <w:r>
        <w:rPr>
          <w:rFonts w:cstheme="minorHAnsi"/>
        </w:rPr>
        <w:t xml:space="preserve">Appendix C: NSCAW III Caregiver Interview </w:t>
      </w:r>
    </w:p>
    <w:p w:rsidR="00A60A28" w:rsidP="00A60A28" w14:paraId="45B21DAA" w14:textId="77777777">
      <w:pPr>
        <w:spacing w:after="120" w:line="240" w:lineRule="auto"/>
        <w:ind w:left="720"/>
      </w:pPr>
      <w:r>
        <w:t xml:space="preserve">Appendix D: NSCAW III Caseworker Interview </w:t>
      </w:r>
    </w:p>
    <w:p w:rsidR="00A60A28" w:rsidP="00A60A28" w14:paraId="03C90994" w14:textId="77777777">
      <w:pPr>
        <w:spacing w:after="120" w:line="240" w:lineRule="auto"/>
        <w:ind w:left="720"/>
      </w:pPr>
      <w:r>
        <w:t>Appendix F: Lead Letters and Fact Sheets</w:t>
      </w:r>
    </w:p>
    <w:p w:rsidR="00A60A28" w:rsidP="00A60A28" w14:paraId="145FF070" w14:textId="77777777">
      <w:pPr>
        <w:spacing w:after="120" w:line="240" w:lineRule="auto"/>
        <w:ind w:left="720"/>
      </w:pPr>
      <w:r>
        <w:t xml:space="preserve">Appendix G: Consent and Assent Forms </w:t>
      </w:r>
    </w:p>
    <w:p w:rsidR="00A60A28" w:rsidP="00A60A28" w14:paraId="73C74404" w14:textId="77777777">
      <w:pPr>
        <w:spacing w:after="120" w:line="240" w:lineRule="auto"/>
        <w:ind w:left="720"/>
      </w:pPr>
      <w:r>
        <w:t xml:space="preserve">Appendix H: Data Linkage Forms </w:t>
      </w:r>
    </w:p>
    <w:p w:rsidR="00A60A28" w:rsidP="00A60A28" w14:paraId="333E85BF" w14:textId="77777777">
      <w:pPr>
        <w:spacing w:after="120" w:line="240" w:lineRule="auto"/>
        <w:ind w:left="720"/>
      </w:pPr>
      <w:r>
        <w:t>Appendix I: HIPAA Authorization Forms</w:t>
      </w:r>
    </w:p>
    <w:p w:rsidR="00A60A28" w:rsidRPr="00A60A28" w:rsidP="005E00C7" w14:paraId="51A20A81" w14:textId="77777777">
      <w:pPr>
        <w:spacing w:after="0" w:line="240" w:lineRule="auto"/>
        <w:rPr>
          <w:rFonts w:cstheme="minorHAnsi"/>
          <w:iCs/>
        </w:rPr>
      </w:pPr>
    </w:p>
    <w:p w:rsidR="00872995" w:rsidP="005E00C7" w14:paraId="698BC1A6" w14:textId="0CA7D9FC">
      <w:pPr>
        <w:pStyle w:val="BodyText"/>
        <w:tabs>
          <w:tab w:val="left" w:pos="720"/>
          <w:tab w:val="left" w:pos="1080"/>
          <w:tab w:val="left" w:pos="1440"/>
          <w:tab w:val="left" w:pos="1800"/>
        </w:tabs>
        <w:spacing w:after="120"/>
      </w:pPr>
      <w:r w:rsidRPr="008447F1">
        <w:rPr>
          <w:rFonts w:asciiTheme="minorHAnsi" w:hAnsiTheme="minorHAnsi" w:cstheme="minorHAnsi"/>
          <w:szCs w:val="22"/>
        </w:rPr>
        <w:t>In January 2021, OMB approved</w:t>
      </w:r>
      <w:r w:rsidR="00BC435A">
        <w:rPr>
          <w:rFonts w:asciiTheme="minorHAnsi" w:hAnsiTheme="minorHAnsi" w:cstheme="minorHAnsi"/>
          <w:szCs w:val="22"/>
        </w:rPr>
        <w:t xml:space="preserve"> a </w:t>
      </w:r>
      <w:r w:rsidR="00BC435A">
        <w:rPr>
          <w:rFonts w:asciiTheme="minorHAnsi" w:hAnsiTheme="minorHAnsi" w:cstheme="minorHAnsi"/>
          <w:szCs w:val="22"/>
        </w:rPr>
        <w:t>nonsubstantive</w:t>
      </w:r>
      <w:r w:rsidR="00BC435A">
        <w:rPr>
          <w:rFonts w:asciiTheme="minorHAnsi" w:hAnsiTheme="minorHAnsi" w:cstheme="minorHAnsi"/>
          <w:szCs w:val="22"/>
        </w:rPr>
        <w:t xml:space="preserve"> change request for</w:t>
      </w:r>
      <w:r w:rsidRPr="008447F1">
        <w:rPr>
          <w:rFonts w:asciiTheme="minorHAnsi" w:hAnsiTheme="minorHAnsi" w:cstheme="minorHAnsi"/>
          <w:szCs w:val="22"/>
        </w:rPr>
        <w:t xml:space="preserve"> </w:t>
      </w:r>
      <w:r w:rsidR="00A763DE">
        <w:rPr>
          <w:rFonts w:asciiTheme="minorHAnsi" w:hAnsiTheme="minorHAnsi" w:cstheme="minorHAnsi"/>
          <w:szCs w:val="22"/>
        </w:rPr>
        <w:t xml:space="preserve">modifications to </w:t>
      </w:r>
      <w:r>
        <w:rPr>
          <w:rFonts w:asciiTheme="minorHAnsi" w:hAnsiTheme="minorHAnsi" w:cstheme="minorHAnsi"/>
          <w:szCs w:val="22"/>
        </w:rPr>
        <w:t>Phase II</w:t>
      </w:r>
      <w:r w:rsidRPr="008447F1">
        <w:rPr>
          <w:rFonts w:asciiTheme="minorHAnsi" w:hAnsiTheme="minorHAnsi" w:cstheme="minorHAnsi"/>
          <w:szCs w:val="22"/>
        </w:rPr>
        <w:t xml:space="preserve"> </w:t>
      </w:r>
      <w:r>
        <w:rPr>
          <w:rFonts w:asciiTheme="minorHAnsi" w:hAnsiTheme="minorHAnsi" w:cstheme="minorHAnsi"/>
          <w:szCs w:val="22"/>
        </w:rPr>
        <w:t xml:space="preserve">to </w:t>
      </w:r>
      <w:r w:rsidRPr="001710DA">
        <w:rPr>
          <w:rFonts w:eastAsia="Tahoma" w:asciiTheme="minorHAnsi" w:hAnsiTheme="minorHAnsi" w:cstheme="minorHAnsi"/>
          <w:kern w:val="2"/>
          <w:szCs w:val="22"/>
        </w:rPr>
        <w:t>reflect the impact of the COVID-19 pandemic</w:t>
      </w:r>
      <w:r>
        <w:rPr>
          <w:rFonts w:eastAsia="Tahoma" w:asciiTheme="minorHAnsi" w:hAnsiTheme="minorHAnsi" w:cstheme="minorHAnsi"/>
          <w:kern w:val="2"/>
          <w:szCs w:val="22"/>
        </w:rPr>
        <w:t xml:space="preserve">, </w:t>
      </w:r>
      <w:r w:rsidRPr="001710DA">
        <w:rPr>
          <w:rFonts w:asciiTheme="minorHAnsi" w:hAnsiTheme="minorHAnsi" w:cstheme="minorHAnsi"/>
          <w:szCs w:val="22"/>
          <w:bdr w:val="none" w:sz="0" w:space="0" w:color="auto" w:frame="1"/>
        </w:rPr>
        <w:t>a slightly higher child interview administration time</w:t>
      </w:r>
      <w:r>
        <w:rPr>
          <w:rFonts w:asciiTheme="minorHAnsi" w:hAnsiTheme="minorHAnsi" w:cstheme="minorHAnsi"/>
          <w:szCs w:val="22"/>
          <w:bdr w:val="none" w:sz="0" w:space="0" w:color="auto" w:frame="1"/>
        </w:rPr>
        <w:t xml:space="preserve">, </w:t>
      </w:r>
      <w:r w:rsidRPr="001710DA">
        <w:rPr>
          <w:rFonts w:asciiTheme="minorHAnsi" w:hAnsiTheme="minorHAnsi" w:cstheme="minorHAnsi"/>
          <w:szCs w:val="22"/>
        </w:rPr>
        <w:t>the addition of a non-monetary incentive for adolescent participants ages 11-17</w:t>
      </w:r>
      <w:r>
        <w:rPr>
          <w:rFonts w:asciiTheme="minorHAnsi" w:hAnsiTheme="minorHAnsi" w:cstheme="minorHAnsi"/>
          <w:szCs w:val="22"/>
        </w:rPr>
        <w:t xml:space="preserve">, </w:t>
      </w:r>
      <w:r w:rsidR="00A763DE">
        <w:rPr>
          <w:rFonts w:asciiTheme="minorHAnsi" w:hAnsiTheme="minorHAnsi" w:cstheme="minorHAnsi"/>
          <w:szCs w:val="22"/>
        </w:rPr>
        <w:t xml:space="preserve">the administration of caseworker interviews by telephone, </w:t>
      </w:r>
      <w:r>
        <w:rPr>
          <w:rFonts w:asciiTheme="minorHAnsi" w:hAnsiTheme="minorHAnsi" w:cstheme="minorHAnsi"/>
          <w:szCs w:val="22"/>
        </w:rPr>
        <w:t xml:space="preserve">and </w:t>
      </w:r>
      <w:r w:rsidRPr="001710DA">
        <w:rPr>
          <w:rFonts w:asciiTheme="minorHAnsi" w:hAnsiTheme="minorHAnsi" w:cstheme="minorHAnsi"/>
          <w:szCs w:val="22"/>
        </w:rPr>
        <w:t>language update</w:t>
      </w:r>
      <w:r w:rsidR="00062A91">
        <w:rPr>
          <w:rFonts w:asciiTheme="minorHAnsi" w:hAnsiTheme="minorHAnsi" w:cstheme="minorHAnsi"/>
          <w:szCs w:val="22"/>
        </w:rPr>
        <w:t>s</w:t>
      </w:r>
      <w:r w:rsidRPr="001710DA">
        <w:rPr>
          <w:rFonts w:asciiTheme="minorHAnsi" w:hAnsiTheme="minorHAnsi" w:cstheme="minorHAnsi"/>
          <w:szCs w:val="22"/>
        </w:rPr>
        <w:t xml:space="preserve"> request</w:t>
      </w:r>
      <w:r w:rsidR="00062A91">
        <w:rPr>
          <w:rFonts w:asciiTheme="minorHAnsi" w:hAnsiTheme="minorHAnsi" w:cstheme="minorHAnsi"/>
          <w:szCs w:val="22"/>
        </w:rPr>
        <w:t>ed</w:t>
      </w:r>
      <w:r w:rsidRPr="001710DA">
        <w:rPr>
          <w:rFonts w:asciiTheme="minorHAnsi" w:hAnsiTheme="minorHAnsi" w:cstheme="minorHAnsi"/>
          <w:szCs w:val="22"/>
        </w:rPr>
        <w:t xml:space="preserve"> by the Institutional Review Board and HIPAA Privacy Officer with oversight of the study.</w:t>
      </w:r>
      <w:r>
        <w:rPr>
          <w:rFonts w:asciiTheme="minorHAnsi" w:hAnsiTheme="minorHAnsi" w:cstheme="minorHAnsi"/>
          <w:szCs w:val="22"/>
        </w:rPr>
        <w:t xml:space="preserve">  </w:t>
      </w:r>
      <w:r w:rsidR="00062A91">
        <w:rPr>
          <w:rFonts w:asciiTheme="minorHAnsi" w:hAnsiTheme="minorHAnsi" w:cstheme="minorHAnsi"/>
          <w:szCs w:val="22"/>
        </w:rPr>
        <w:t>Five previously approved Phase II Appendices (i.e., Appendi</w:t>
      </w:r>
      <w:r w:rsidR="00E56B8A">
        <w:rPr>
          <w:rFonts w:asciiTheme="minorHAnsi" w:hAnsiTheme="minorHAnsi" w:cstheme="minorHAnsi"/>
          <w:szCs w:val="22"/>
        </w:rPr>
        <w:t>x</w:t>
      </w:r>
      <w:r w:rsidR="00062A91">
        <w:rPr>
          <w:rFonts w:asciiTheme="minorHAnsi" w:hAnsiTheme="minorHAnsi" w:cstheme="minorHAnsi"/>
          <w:szCs w:val="22"/>
        </w:rPr>
        <w:t xml:space="preserve"> B, C, D, F, G) were modified</w:t>
      </w:r>
      <w:r w:rsidR="009518DD">
        <w:rPr>
          <w:rFonts w:asciiTheme="minorHAnsi" w:hAnsiTheme="minorHAnsi" w:cstheme="minorHAnsi"/>
          <w:szCs w:val="22"/>
        </w:rPr>
        <w:t xml:space="preserve"> to accommodate those changes</w:t>
      </w:r>
      <w:r w:rsidR="00062A91">
        <w:rPr>
          <w:rFonts w:asciiTheme="minorHAnsi" w:hAnsiTheme="minorHAnsi" w:cstheme="minorHAnsi"/>
          <w:szCs w:val="22"/>
        </w:rPr>
        <w:t xml:space="preserve">.  The </w:t>
      </w:r>
      <w:r w:rsidR="00A763DE">
        <w:rPr>
          <w:rFonts w:asciiTheme="minorHAnsi" w:hAnsiTheme="minorHAnsi" w:cstheme="minorHAnsi"/>
          <w:szCs w:val="22"/>
        </w:rPr>
        <w:t xml:space="preserve">following </w:t>
      </w:r>
      <w:r>
        <w:rPr>
          <w:rFonts w:asciiTheme="minorHAnsi" w:hAnsiTheme="minorHAnsi" w:cstheme="minorHAnsi"/>
          <w:szCs w:val="22"/>
        </w:rPr>
        <w:t xml:space="preserve">two </w:t>
      </w:r>
      <w:r w:rsidR="00A40036">
        <w:rPr>
          <w:rFonts w:asciiTheme="minorHAnsi" w:hAnsiTheme="minorHAnsi" w:cstheme="minorHAnsi"/>
          <w:szCs w:val="22"/>
        </w:rPr>
        <w:t>Phase II</w:t>
      </w:r>
      <w:r w:rsidR="00A40036">
        <w:rPr>
          <w:rFonts w:asciiTheme="minorHAnsi" w:hAnsiTheme="minorHAnsi" w:cstheme="minorHAnsi"/>
          <w:szCs w:val="22"/>
        </w:rPr>
        <w:t xml:space="preserve"> </w:t>
      </w:r>
      <w:r>
        <w:rPr>
          <w:rFonts w:asciiTheme="minorHAnsi" w:hAnsiTheme="minorHAnsi" w:cstheme="minorHAnsi"/>
          <w:szCs w:val="22"/>
        </w:rPr>
        <w:t>Appendices were added</w:t>
      </w:r>
      <w:r w:rsidR="00062A91">
        <w:rPr>
          <w:rFonts w:asciiTheme="minorHAnsi" w:hAnsiTheme="minorHAnsi" w:cstheme="minorHAnsi"/>
          <w:szCs w:val="22"/>
        </w:rPr>
        <w:t xml:space="preserve"> and approved</w:t>
      </w:r>
      <w:r w:rsidR="00A763DE">
        <w:rPr>
          <w:rFonts w:asciiTheme="minorHAnsi" w:hAnsiTheme="minorHAnsi" w:cstheme="minorHAnsi"/>
          <w:szCs w:val="22"/>
        </w:rPr>
        <w:t>:</w:t>
      </w:r>
    </w:p>
    <w:p w:rsidR="00872995" w:rsidP="00872995" w14:paraId="1B2872C0" w14:textId="71371774">
      <w:pPr>
        <w:spacing w:after="120" w:line="240" w:lineRule="auto"/>
        <w:ind w:firstLine="720"/>
        <w:rPr>
          <w:rFonts w:cstheme="minorHAnsi"/>
        </w:rPr>
      </w:pPr>
      <w:r w:rsidRPr="00A005B2">
        <w:rPr>
          <w:rFonts w:cstheme="minorHAnsi"/>
        </w:rPr>
        <w:t>Appendix F-1: Adolescent Fact Sheet</w:t>
      </w:r>
    </w:p>
    <w:p w:rsidR="008447F1" w:rsidP="005E00C7" w14:paraId="3A299FF6" w14:textId="464C8C08">
      <w:pPr>
        <w:spacing w:after="0" w:line="240" w:lineRule="auto"/>
        <w:ind w:firstLine="720"/>
        <w:rPr>
          <w:rFonts w:cstheme="minorHAnsi"/>
        </w:rPr>
      </w:pPr>
      <w:r w:rsidRPr="00A005B2">
        <w:rPr>
          <w:rFonts w:cstheme="minorHAnsi"/>
        </w:rPr>
        <w:t xml:space="preserve">Appendix G-1: Caseworker Telephone Mode Consent Form </w:t>
      </w:r>
    </w:p>
    <w:p w:rsidR="008447F1" w:rsidRPr="001710DA" w:rsidP="008447F1" w14:paraId="2FCBC335" w14:textId="69EA7B2E">
      <w:pPr>
        <w:pStyle w:val="BodyText"/>
        <w:tabs>
          <w:tab w:val="left" w:pos="720"/>
          <w:tab w:val="left" w:pos="1080"/>
          <w:tab w:val="left" w:pos="1440"/>
          <w:tab w:val="left" w:pos="1800"/>
        </w:tabs>
        <w:spacing w:after="0"/>
        <w:rPr>
          <w:rFonts w:asciiTheme="minorHAnsi" w:hAnsiTheme="minorHAnsi" w:cstheme="minorHAnsi"/>
          <w:szCs w:val="22"/>
        </w:rPr>
      </w:pPr>
    </w:p>
    <w:p w:rsidR="00872995" w:rsidRPr="00E507B5" w:rsidP="005E00C7" w14:paraId="5560EBD1" w14:textId="54D64FC6">
      <w:pPr>
        <w:pStyle w:val="BodyText"/>
        <w:tabs>
          <w:tab w:val="left" w:pos="720"/>
          <w:tab w:val="left" w:pos="1080"/>
          <w:tab w:val="left" w:pos="1440"/>
          <w:tab w:val="left" w:pos="1800"/>
        </w:tabs>
        <w:spacing w:after="120"/>
        <w:rPr>
          <w:rFonts w:eastAsia="Tahoma" w:asciiTheme="minorHAnsi" w:hAnsiTheme="minorHAnsi" w:cstheme="minorHAnsi"/>
          <w:kern w:val="2"/>
          <w:szCs w:val="22"/>
        </w:rPr>
      </w:pPr>
      <w:r w:rsidRPr="00872995">
        <w:rPr>
          <w:rFonts w:asciiTheme="minorHAnsi" w:hAnsiTheme="minorHAnsi" w:cstheme="minorHAnsi"/>
          <w:szCs w:val="22"/>
        </w:rPr>
        <w:t>In September 2021, OMB approved</w:t>
      </w:r>
      <w:r w:rsidR="00BC435A">
        <w:rPr>
          <w:rFonts w:asciiTheme="minorHAnsi" w:hAnsiTheme="minorHAnsi" w:cstheme="minorHAnsi"/>
          <w:szCs w:val="22"/>
        </w:rPr>
        <w:t xml:space="preserve"> a </w:t>
      </w:r>
      <w:r w:rsidR="00BC435A">
        <w:rPr>
          <w:rFonts w:asciiTheme="minorHAnsi" w:hAnsiTheme="minorHAnsi" w:cstheme="minorHAnsi"/>
          <w:szCs w:val="22"/>
        </w:rPr>
        <w:t>nonsubstantive</w:t>
      </w:r>
      <w:r w:rsidR="00BC435A">
        <w:rPr>
          <w:rFonts w:asciiTheme="minorHAnsi" w:hAnsiTheme="minorHAnsi" w:cstheme="minorHAnsi"/>
          <w:szCs w:val="22"/>
        </w:rPr>
        <w:t xml:space="preserve"> change request for</w:t>
      </w:r>
      <w:r w:rsidRPr="00872995">
        <w:rPr>
          <w:rFonts w:asciiTheme="minorHAnsi" w:hAnsiTheme="minorHAnsi" w:cstheme="minorHAnsi"/>
          <w:szCs w:val="22"/>
        </w:rPr>
        <w:t xml:space="preserve"> </w:t>
      </w:r>
      <w:r w:rsidR="00F0402B">
        <w:rPr>
          <w:rFonts w:asciiTheme="minorHAnsi" w:hAnsiTheme="minorHAnsi" w:cstheme="minorHAnsi"/>
          <w:szCs w:val="22"/>
        </w:rPr>
        <w:t>modification</w:t>
      </w:r>
      <w:r w:rsidR="00A62274">
        <w:rPr>
          <w:rFonts w:asciiTheme="minorHAnsi" w:hAnsiTheme="minorHAnsi" w:cstheme="minorHAnsi"/>
          <w:szCs w:val="22"/>
        </w:rPr>
        <w:t>s</w:t>
      </w:r>
      <w:r w:rsidR="00F0402B">
        <w:rPr>
          <w:rFonts w:asciiTheme="minorHAnsi" w:hAnsiTheme="minorHAnsi" w:cstheme="minorHAnsi"/>
          <w:szCs w:val="22"/>
        </w:rPr>
        <w:t xml:space="preserve"> t</w:t>
      </w:r>
      <w:r>
        <w:rPr>
          <w:rFonts w:asciiTheme="minorHAnsi" w:hAnsiTheme="minorHAnsi" w:cstheme="minorHAnsi"/>
          <w:szCs w:val="22"/>
        </w:rPr>
        <w:t>o Phase II</w:t>
      </w:r>
      <w:r w:rsidR="00F0402B">
        <w:rPr>
          <w:rFonts w:asciiTheme="minorHAnsi" w:hAnsiTheme="minorHAnsi" w:cstheme="minorHAnsi"/>
          <w:szCs w:val="22"/>
        </w:rPr>
        <w:t xml:space="preserve"> </w:t>
      </w:r>
      <w:r>
        <w:rPr>
          <w:rFonts w:asciiTheme="minorHAnsi" w:hAnsiTheme="minorHAnsi" w:cstheme="minorHAnsi"/>
          <w:szCs w:val="22"/>
        </w:rPr>
        <w:t xml:space="preserve">to allow for remote administration of the follow-up survey (Wave 2), </w:t>
      </w:r>
      <w:r w:rsidRPr="00E507B5">
        <w:rPr>
          <w:rFonts w:eastAsia="Tahoma" w:asciiTheme="minorHAnsi" w:hAnsiTheme="minorHAnsi" w:cstheme="minorHAnsi"/>
          <w:kern w:val="2"/>
          <w:szCs w:val="22"/>
        </w:rPr>
        <w:t xml:space="preserve">to collect information on the impact of </w:t>
      </w:r>
      <w:r>
        <w:rPr>
          <w:rFonts w:eastAsia="Tahoma" w:asciiTheme="minorHAnsi" w:hAnsiTheme="minorHAnsi" w:cstheme="minorHAnsi"/>
          <w:kern w:val="2"/>
          <w:szCs w:val="22"/>
        </w:rPr>
        <w:t xml:space="preserve">the </w:t>
      </w:r>
      <w:r w:rsidRPr="00E507B5">
        <w:rPr>
          <w:rFonts w:eastAsia="Tahoma" w:asciiTheme="minorHAnsi" w:hAnsiTheme="minorHAnsi" w:cstheme="minorHAnsi"/>
          <w:kern w:val="2"/>
          <w:szCs w:val="22"/>
        </w:rPr>
        <w:t>COVID-19 pandemic on children</w:t>
      </w:r>
      <w:r>
        <w:rPr>
          <w:rFonts w:eastAsia="Tahoma" w:asciiTheme="minorHAnsi" w:hAnsiTheme="minorHAnsi" w:cstheme="minorHAnsi"/>
          <w:kern w:val="2"/>
          <w:szCs w:val="22"/>
        </w:rPr>
        <w:t xml:space="preserve"> and </w:t>
      </w:r>
      <w:r w:rsidRPr="00E507B5">
        <w:rPr>
          <w:rFonts w:eastAsia="Tahoma" w:asciiTheme="minorHAnsi" w:hAnsiTheme="minorHAnsi" w:cstheme="minorHAnsi"/>
          <w:kern w:val="2"/>
          <w:szCs w:val="22"/>
        </w:rPr>
        <w:t xml:space="preserve">families, to reflect a delayed interval between the baseline and follow-up interview due to the pandemic, and to reflect a reduced follow-up survey administration time. </w:t>
      </w:r>
      <w:r w:rsidR="00062A91">
        <w:rPr>
          <w:rFonts w:eastAsia="Tahoma" w:asciiTheme="minorHAnsi" w:hAnsiTheme="minorHAnsi" w:cstheme="minorHAnsi"/>
          <w:kern w:val="2"/>
          <w:szCs w:val="22"/>
        </w:rPr>
        <w:t xml:space="preserve">The following </w:t>
      </w:r>
      <w:r w:rsidR="00062A91">
        <w:rPr>
          <w:rFonts w:asciiTheme="minorHAnsi" w:hAnsiTheme="minorHAnsi" w:cstheme="minorHAnsi"/>
          <w:szCs w:val="22"/>
        </w:rPr>
        <w:t xml:space="preserve">nine Phase II Appendices were added and approved. </w:t>
      </w:r>
    </w:p>
    <w:p w:rsidR="00872995" w:rsidP="00872995" w14:paraId="3748A772" w14:textId="77777777">
      <w:pPr>
        <w:spacing w:after="120" w:line="240" w:lineRule="auto"/>
        <w:ind w:left="720"/>
      </w:pPr>
      <w:r>
        <w:t>Appendix A-1: NSCAW III Summary of Remote Interviews</w:t>
      </w:r>
    </w:p>
    <w:p w:rsidR="00872995" w:rsidRPr="00A005B2" w:rsidP="00872995" w14:paraId="07F501C0" w14:textId="77777777">
      <w:pPr>
        <w:spacing w:after="120" w:line="240" w:lineRule="auto"/>
        <w:ind w:left="720"/>
        <w:rPr>
          <w:rFonts w:cstheme="minorHAnsi"/>
        </w:rPr>
      </w:pPr>
      <w:r w:rsidRPr="00A005B2">
        <w:rPr>
          <w:rFonts w:cstheme="minorHAnsi"/>
        </w:rPr>
        <w:t>Appendix B</w:t>
      </w:r>
      <w:r>
        <w:rPr>
          <w:rFonts w:cstheme="minorHAnsi"/>
        </w:rPr>
        <w:t>-1</w:t>
      </w:r>
      <w:r w:rsidRPr="00A005B2">
        <w:rPr>
          <w:rFonts w:cstheme="minorHAnsi"/>
        </w:rPr>
        <w:t xml:space="preserve">: NSCAW III Child </w:t>
      </w:r>
      <w:r>
        <w:rPr>
          <w:rFonts w:cstheme="minorHAnsi"/>
        </w:rPr>
        <w:t xml:space="preserve">Remote </w:t>
      </w:r>
      <w:r w:rsidRPr="00A005B2">
        <w:rPr>
          <w:rFonts w:cstheme="minorHAnsi"/>
        </w:rPr>
        <w:t>Interview</w:t>
      </w:r>
    </w:p>
    <w:p w:rsidR="00872995" w:rsidP="00872995" w14:paraId="00F243DA" w14:textId="77777777">
      <w:pPr>
        <w:spacing w:after="120" w:line="240" w:lineRule="auto"/>
        <w:ind w:left="720"/>
        <w:rPr>
          <w:rFonts w:cstheme="minorHAnsi"/>
        </w:rPr>
      </w:pPr>
      <w:r>
        <w:rPr>
          <w:rFonts w:cstheme="minorHAnsi"/>
        </w:rPr>
        <w:t>Appendix C-1: NSCAW III Caregiver Remote Interview</w:t>
      </w:r>
    </w:p>
    <w:p w:rsidR="00872995" w:rsidP="00872995" w14:paraId="4AC535DE" w14:textId="77777777">
      <w:pPr>
        <w:spacing w:after="120" w:line="240" w:lineRule="auto"/>
        <w:ind w:left="720"/>
      </w:pPr>
      <w:r>
        <w:t xml:space="preserve">Appendix D-1: NSCAW III Caseworker Remote Interview </w:t>
      </w:r>
    </w:p>
    <w:p w:rsidR="00872995" w:rsidP="00872995" w14:paraId="590C5979" w14:textId="77777777">
      <w:pPr>
        <w:spacing w:after="120" w:line="240" w:lineRule="auto"/>
        <w:ind w:left="720"/>
      </w:pPr>
      <w:r>
        <w:t>Appendix F-2: Remote Lead Letters and Fact Sheets</w:t>
      </w:r>
    </w:p>
    <w:p w:rsidR="00872995" w:rsidRPr="00A005B2" w:rsidP="00872995" w14:paraId="49D15F08" w14:textId="77777777">
      <w:pPr>
        <w:spacing w:after="120" w:line="240" w:lineRule="auto"/>
        <w:ind w:left="720"/>
        <w:rPr>
          <w:rFonts w:cstheme="minorHAnsi"/>
        </w:rPr>
      </w:pPr>
      <w:r w:rsidRPr="00A005B2">
        <w:rPr>
          <w:rFonts w:cstheme="minorHAnsi"/>
        </w:rPr>
        <w:t>Appendix F-</w:t>
      </w:r>
      <w:r>
        <w:rPr>
          <w:rFonts w:cstheme="minorHAnsi"/>
        </w:rPr>
        <w:t>2a:</w:t>
      </w:r>
      <w:r w:rsidRPr="00A005B2">
        <w:rPr>
          <w:rFonts w:cstheme="minorHAnsi"/>
        </w:rPr>
        <w:t xml:space="preserve"> </w:t>
      </w:r>
      <w:r>
        <w:rPr>
          <w:rFonts w:cstheme="minorHAnsi"/>
        </w:rPr>
        <w:t xml:space="preserve">Remote </w:t>
      </w:r>
      <w:r w:rsidRPr="00A005B2">
        <w:rPr>
          <w:rFonts w:cstheme="minorHAnsi"/>
        </w:rPr>
        <w:t>Adolescent Fact Sheet</w:t>
      </w:r>
    </w:p>
    <w:p w:rsidR="00872995" w:rsidP="00872995" w14:paraId="692AB61C" w14:textId="77777777">
      <w:pPr>
        <w:spacing w:after="120" w:line="240" w:lineRule="auto"/>
        <w:ind w:left="720"/>
      </w:pPr>
      <w:r>
        <w:t xml:space="preserve">Appendix G-2: Remote Consent and Assent Forms </w:t>
      </w:r>
    </w:p>
    <w:p w:rsidR="00872995" w:rsidP="00872995" w14:paraId="602F2141" w14:textId="77777777">
      <w:pPr>
        <w:spacing w:after="120" w:line="240" w:lineRule="auto"/>
        <w:ind w:left="720"/>
      </w:pPr>
      <w:r>
        <w:t xml:space="preserve">Appendix H-1: Remote Data Linkage Forms </w:t>
      </w:r>
    </w:p>
    <w:p w:rsidR="00A60A28" w:rsidRPr="00872995" w:rsidP="005E00C7" w14:paraId="349B3F6F" w14:textId="40E94076">
      <w:pPr>
        <w:spacing w:after="0" w:line="240" w:lineRule="auto"/>
        <w:ind w:left="720"/>
        <w:rPr>
          <w:rFonts w:cstheme="minorHAnsi"/>
          <w:iCs/>
        </w:rPr>
      </w:pPr>
      <w:r>
        <w:t>Appendix I-1: Remote HIPAA Authorization Forms</w:t>
      </w:r>
    </w:p>
    <w:p w:rsidR="00631FCF" w:rsidP="00631FCF" w14:paraId="63883371" w14:textId="77777777">
      <w:pPr>
        <w:spacing w:after="0"/>
        <w:rPr>
          <w:rFonts w:cstheme="minorHAnsi"/>
          <w:b/>
          <w:bCs/>
        </w:rPr>
      </w:pPr>
    </w:p>
    <w:p w:rsidR="00631FCF" w:rsidP="00631FCF" w14:paraId="659C2034" w14:textId="13CC2FEB">
      <w:pPr>
        <w:spacing w:after="0"/>
        <w:rPr>
          <w:rFonts w:cstheme="minorHAnsi"/>
        </w:rPr>
      </w:pPr>
      <w:r w:rsidRPr="00631FCF">
        <w:rPr>
          <w:rFonts w:cstheme="minorHAnsi"/>
        </w:rPr>
        <w:t xml:space="preserve">In May 2022, OMB approved </w:t>
      </w:r>
      <w:r w:rsidR="00BC435A">
        <w:rPr>
          <w:rFonts w:cstheme="minorHAnsi"/>
        </w:rPr>
        <w:t xml:space="preserve">a </w:t>
      </w:r>
      <w:r w:rsidR="00BC435A">
        <w:rPr>
          <w:rFonts w:cstheme="minorHAnsi"/>
        </w:rPr>
        <w:t>nonsubstantive</w:t>
      </w:r>
      <w:r w:rsidR="00BC435A">
        <w:rPr>
          <w:rFonts w:cstheme="minorHAnsi"/>
        </w:rPr>
        <w:t xml:space="preserve"> change request for</w:t>
      </w:r>
      <w:r w:rsidRPr="008447F1" w:rsidR="00BC435A">
        <w:rPr>
          <w:rFonts w:cstheme="minorHAnsi"/>
        </w:rPr>
        <w:t xml:space="preserve"> </w:t>
      </w:r>
      <w:r w:rsidRPr="00631FCF">
        <w:rPr>
          <w:rFonts w:cstheme="minorHAnsi"/>
        </w:rPr>
        <w:t xml:space="preserve">modifications to Phase II </w:t>
      </w:r>
      <w:r w:rsidR="00062A91">
        <w:rPr>
          <w:rFonts w:cstheme="minorHAnsi"/>
        </w:rPr>
        <w:t>to add s</w:t>
      </w:r>
      <w:r w:rsidRPr="00631FCF">
        <w:rPr>
          <w:rFonts w:cstheme="minorHAnsi"/>
        </w:rPr>
        <w:t>ocial</w:t>
      </w:r>
      <w:r>
        <w:rPr>
          <w:rFonts w:cstheme="minorHAnsi"/>
        </w:rPr>
        <w:t xml:space="preserve"> media items to the child and caregiver survey instruments </w:t>
      </w:r>
      <w:r w:rsidR="00062A91">
        <w:rPr>
          <w:rFonts w:cstheme="minorHAnsi"/>
        </w:rPr>
        <w:t xml:space="preserve">in </w:t>
      </w:r>
      <w:r>
        <w:rPr>
          <w:rFonts w:cstheme="minorHAnsi"/>
        </w:rPr>
        <w:t>support</w:t>
      </w:r>
      <w:r w:rsidR="00062A91">
        <w:rPr>
          <w:rFonts w:cstheme="minorHAnsi"/>
        </w:rPr>
        <w:t xml:space="preserve"> of</w:t>
      </w:r>
      <w:r>
        <w:rPr>
          <w:rFonts w:cstheme="minorHAnsi"/>
        </w:rPr>
        <w:t xml:space="preserve"> tracking and panel maintenance efforts.  Four previously approved</w:t>
      </w:r>
      <w:r w:rsidR="00A40036">
        <w:rPr>
          <w:rFonts w:cstheme="minorHAnsi"/>
        </w:rPr>
        <w:t xml:space="preserve"> Phase II</w:t>
      </w:r>
      <w:r>
        <w:rPr>
          <w:rFonts w:cstheme="minorHAnsi"/>
        </w:rPr>
        <w:t xml:space="preserve"> Appendices (i.e., Appendix B, B-1, C, C-1)</w:t>
      </w:r>
      <w:r w:rsidR="00062A91">
        <w:rPr>
          <w:rFonts w:cstheme="minorHAnsi"/>
        </w:rPr>
        <w:t xml:space="preserve"> were modified</w:t>
      </w:r>
      <w:r w:rsidR="005A0E1F">
        <w:rPr>
          <w:rFonts w:cstheme="minorHAnsi"/>
        </w:rPr>
        <w:t xml:space="preserve"> to accommodate those changes</w:t>
      </w:r>
      <w:r w:rsidR="00062A91">
        <w:rPr>
          <w:rFonts w:cstheme="minorHAnsi"/>
        </w:rPr>
        <w:t>.</w:t>
      </w:r>
      <w:r>
        <w:rPr>
          <w:rFonts w:cstheme="minorHAnsi"/>
        </w:rPr>
        <w:t xml:space="preserve"> </w:t>
      </w:r>
    </w:p>
    <w:p w:rsidR="00631FCF" w:rsidP="00631FCF" w14:paraId="318C48DA" w14:textId="77777777">
      <w:pPr>
        <w:spacing w:after="0"/>
        <w:rPr>
          <w:rFonts w:cstheme="minorHAnsi"/>
        </w:rPr>
      </w:pPr>
    </w:p>
    <w:p w:rsidR="00631FCF" w:rsidP="005E00C7" w14:paraId="6DD3A47D" w14:textId="1B57196C">
      <w:pPr>
        <w:spacing w:after="120"/>
        <w:rPr>
          <w:rFonts w:cstheme="minorHAnsi"/>
        </w:rPr>
      </w:pPr>
      <w:r w:rsidRPr="00062A91">
        <w:rPr>
          <w:rFonts w:cstheme="minorHAnsi"/>
        </w:rPr>
        <w:t xml:space="preserve">In September 2022, OMB approved </w:t>
      </w:r>
      <w:r w:rsidR="00BC435A">
        <w:rPr>
          <w:rFonts w:cstheme="minorHAnsi"/>
        </w:rPr>
        <w:t xml:space="preserve">a </w:t>
      </w:r>
      <w:r w:rsidR="00BC435A">
        <w:rPr>
          <w:rFonts w:cstheme="minorHAnsi"/>
        </w:rPr>
        <w:t>nonsubstantive</w:t>
      </w:r>
      <w:r w:rsidR="00BC435A">
        <w:rPr>
          <w:rFonts w:cstheme="minorHAnsi"/>
        </w:rPr>
        <w:t xml:space="preserve"> change request for</w:t>
      </w:r>
      <w:r w:rsidRPr="008447F1" w:rsidR="00BC435A">
        <w:rPr>
          <w:rFonts w:cstheme="minorHAnsi"/>
        </w:rPr>
        <w:t xml:space="preserve"> </w:t>
      </w:r>
      <w:r w:rsidRPr="00A62274">
        <w:rPr>
          <w:rFonts w:cstheme="minorHAnsi"/>
        </w:rPr>
        <w:t xml:space="preserve">modifications to </w:t>
      </w:r>
      <w:r w:rsidRPr="00A62274" w:rsidR="00A62274">
        <w:rPr>
          <w:rFonts w:cstheme="minorHAnsi"/>
        </w:rPr>
        <w:t xml:space="preserve">Phase II </w:t>
      </w:r>
      <w:r w:rsidRPr="00A62274">
        <w:rPr>
          <w:rFonts w:cstheme="minorHAnsi"/>
        </w:rPr>
        <w:t>to update the sexual orientation and gender identity</w:t>
      </w:r>
      <w:r w:rsidRPr="00EB2A9F">
        <w:rPr>
          <w:rFonts w:cstheme="minorHAnsi"/>
        </w:rPr>
        <w:t xml:space="preserve"> </w:t>
      </w:r>
      <w:r>
        <w:rPr>
          <w:rFonts w:cstheme="minorHAnsi"/>
        </w:rPr>
        <w:t xml:space="preserve">(SOGI) </w:t>
      </w:r>
      <w:r w:rsidRPr="00EB2A9F">
        <w:rPr>
          <w:rFonts w:cstheme="minorHAnsi"/>
        </w:rPr>
        <w:t>items</w:t>
      </w:r>
      <w:r>
        <w:rPr>
          <w:rFonts w:cstheme="minorHAnsi"/>
        </w:rPr>
        <w:t xml:space="preserve"> </w:t>
      </w:r>
      <w:r w:rsidR="00A62274">
        <w:rPr>
          <w:rFonts w:cstheme="minorHAnsi"/>
        </w:rPr>
        <w:t xml:space="preserve">in the child survey instruments </w:t>
      </w:r>
      <w:r w:rsidRPr="00EB2A9F">
        <w:rPr>
          <w:rFonts w:cstheme="minorHAnsi"/>
        </w:rPr>
        <w:t>and to allow for panel maintenance contacts with NSCAW cohort members.</w:t>
      </w:r>
      <w:r>
        <w:rPr>
          <w:rFonts w:ascii="Times New Roman" w:hAnsi="Times New Roman" w:cs="Times New Roman"/>
          <w:sz w:val="24"/>
          <w:szCs w:val="24"/>
        </w:rPr>
        <w:t xml:space="preserve"> </w:t>
      </w:r>
      <w:r>
        <w:rPr>
          <w:rFonts w:cstheme="minorHAnsi"/>
        </w:rPr>
        <w:t xml:space="preserve">Two </w:t>
      </w:r>
      <w:r w:rsidR="00062A91">
        <w:rPr>
          <w:rFonts w:cstheme="minorHAnsi"/>
        </w:rPr>
        <w:t xml:space="preserve">previously approved </w:t>
      </w:r>
      <w:r w:rsidR="00A40036">
        <w:rPr>
          <w:rFonts w:cstheme="minorHAnsi"/>
        </w:rPr>
        <w:t xml:space="preserve">Phase II </w:t>
      </w:r>
      <w:r>
        <w:rPr>
          <w:rFonts w:cstheme="minorHAnsi"/>
        </w:rPr>
        <w:t>Appendices (i.e., Appendix B, B-1)</w:t>
      </w:r>
      <w:r w:rsidR="00062A91">
        <w:rPr>
          <w:rFonts w:cstheme="minorHAnsi"/>
        </w:rPr>
        <w:t xml:space="preserve"> were modified</w:t>
      </w:r>
      <w:r w:rsidR="005A0E1F">
        <w:rPr>
          <w:rFonts w:cstheme="minorHAnsi"/>
        </w:rPr>
        <w:t xml:space="preserve"> to accommodate those changes</w:t>
      </w:r>
      <w:r w:rsidR="00062A91">
        <w:rPr>
          <w:rFonts w:cstheme="minorHAnsi"/>
        </w:rPr>
        <w:t xml:space="preserve">.  The following </w:t>
      </w:r>
      <w:r w:rsidR="00062A91">
        <w:rPr>
          <w:rFonts w:cstheme="minorHAnsi"/>
        </w:rPr>
        <w:t xml:space="preserve">two </w:t>
      </w:r>
      <w:r w:rsidR="00A40036">
        <w:rPr>
          <w:rFonts w:cstheme="minorHAnsi"/>
        </w:rPr>
        <w:t>Phase II</w:t>
      </w:r>
      <w:r w:rsidR="00A40036">
        <w:rPr>
          <w:rFonts w:cstheme="minorHAnsi"/>
        </w:rPr>
        <w:t xml:space="preserve"> </w:t>
      </w:r>
      <w:r w:rsidR="00062A91">
        <w:rPr>
          <w:rFonts w:cstheme="minorHAnsi"/>
        </w:rPr>
        <w:t xml:space="preserve">Appendices were added and approved. </w:t>
      </w:r>
    </w:p>
    <w:p w:rsidR="00062A91" w:rsidP="00062A91" w14:paraId="4A957D41" w14:textId="77777777">
      <w:pPr>
        <w:spacing w:after="120" w:line="240" w:lineRule="auto"/>
        <w:ind w:left="720"/>
      </w:pPr>
      <w:r>
        <w:t xml:space="preserve">Appendix J: Panel Maintenance Letter </w:t>
      </w:r>
    </w:p>
    <w:p w:rsidR="00062A91" w:rsidRPr="0052165A" w:rsidP="005E00C7" w14:paraId="63F2F62F" w14:textId="77777777">
      <w:pPr>
        <w:spacing w:after="0" w:line="240" w:lineRule="auto"/>
        <w:ind w:left="720"/>
      </w:pPr>
      <w:r>
        <w:t xml:space="preserve">Appendix K: Panel Maintenance Contact Card </w:t>
      </w:r>
    </w:p>
    <w:p w:rsidR="00E56B8A" w:rsidP="00E56B8A" w14:paraId="1621345C" w14:textId="73722EFA">
      <w:pPr>
        <w:spacing w:after="0"/>
        <w:rPr>
          <w:color w:val="000000" w:themeColor="text1"/>
        </w:rPr>
      </w:pPr>
    </w:p>
    <w:p w:rsidR="003546C1" w:rsidRPr="0055177B" w:rsidP="003546C1" w14:paraId="2E3E0829" w14:textId="41BFD72A">
      <w:pPr>
        <w:spacing w:after="60" w:line="240" w:lineRule="auto"/>
        <w:rPr>
          <w:color w:val="000000" w:themeColor="text1"/>
        </w:rPr>
      </w:pPr>
      <w:r>
        <w:rPr>
          <w:color w:val="000000" w:themeColor="text1"/>
        </w:rPr>
        <w:t>To support t</w:t>
      </w:r>
      <w:r w:rsidR="00426E32">
        <w:rPr>
          <w:color w:val="000000" w:themeColor="text1"/>
        </w:rPr>
        <w:t xml:space="preserve">he current </w:t>
      </w:r>
      <w:r>
        <w:rPr>
          <w:color w:val="000000" w:themeColor="text1"/>
        </w:rPr>
        <w:t xml:space="preserve">request </w:t>
      </w:r>
      <w:r w:rsidR="00426E32">
        <w:rPr>
          <w:color w:val="000000" w:themeColor="text1"/>
        </w:rPr>
        <w:t>(March 2023)</w:t>
      </w:r>
      <w:r>
        <w:rPr>
          <w:color w:val="000000" w:themeColor="text1"/>
        </w:rPr>
        <w:t xml:space="preserve">, </w:t>
      </w:r>
      <w:r>
        <w:rPr>
          <w:color w:val="000000" w:themeColor="text1"/>
        </w:rPr>
        <w:t>f</w:t>
      </w:r>
      <w:r w:rsidRPr="0055177B">
        <w:rPr>
          <w:color w:val="000000" w:themeColor="text1"/>
        </w:rPr>
        <w:t>ive previously approved Phase II Appendices (i.e., Appendix B-1, C-1, F-2, F-2a, G-2)</w:t>
      </w:r>
      <w:r w:rsidR="00426E32">
        <w:rPr>
          <w:color w:val="000000" w:themeColor="text1"/>
        </w:rPr>
        <w:t xml:space="preserve"> </w:t>
      </w:r>
      <w:r w:rsidRPr="0055177B">
        <w:rPr>
          <w:color w:val="000000" w:themeColor="text1"/>
        </w:rPr>
        <w:t xml:space="preserve">have been modified to indicate that child and caregiver follow-up interviews may be completed remotely or in-person. </w:t>
      </w:r>
    </w:p>
    <w:p w:rsidR="003546C1" w:rsidRPr="0055177B" w:rsidP="003546C1" w14:paraId="51AAF6A5" w14:textId="77777777">
      <w:pPr>
        <w:spacing w:after="120" w:line="240" w:lineRule="auto"/>
        <w:ind w:left="720"/>
        <w:rPr>
          <w:rFonts w:cstheme="minorHAnsi"/>
        </w:rPr>
      </w:pPr>
      <w:r w:rsidRPr="0055177B">
        <w:rPr>
          <w:rFonts w:cstheme="minorHAnsi"/>
        </w:rPr>
        <w:t>Appendix B-1: NSCAW III Child Remote Interview</w:t>
      </w:r>
    </w:p>
    <w:p w:rsidR="003546C1" w:rsidRPr="0055177B" w:rsidP="003546C1" w14:paraId="26C50291" w14:textId="77777777">
      <w:pPr>
        <w:spacing w:after="120" w:line="240" w:lineRule="auto"/>
        <w:ind w:left="720"/>
        <w:rPr>
          <w:rFonts w:cstheme="minorHAnsi"/>
        </w:rPr>
      </w:pPr>
      <w:r w:rsidRPr="0055177B">
        <w:rPr>
          <w:rFonts w:cstheme="minorHAnsi"/>
        </w:rPr>
        <w:t xml:space="preserve">Appendix C-1: NSCAW III Caregiver Remote Interview </w:t>
      </w:r>
    </w:p>
    <w:p w:rsidR="003546C1" w:rsidRPr="0055177B" w:rsidP="003546C1" w14:paraId="6F003A5B" w14:textId="77777777">
      <w:pPr>
        <w:spacing w:after="120" w:line="240" w:lineRule="auto"/>
        <w:ind w:left="720"/>
      </w:pPr>
      <w:r w:rsidRPr="0055177B">
        <w:t>Appendix F-2: Remote Lead Letters and Fact Sheets</w:t>
      </w:r>
    </w:p>
    <w:p w:rsidR="003546C1" w:rsidRPr="0055177B" w:rsidP="003546C1" w14:paraId="76CBB269" w14:textId="77777777">
      <w:pPr>
        <w:spacing w:after="120" w:line="240" w:lineRule="auto"/>
        <w:ind w:left="720"/>
        <w:rPr>
          <w:rFonts w:cstheme="minorHAnsi"/>
        </w:rPr>
      </w:pPr>
      <w:r w:rsidRPr="0055177B">
        <w:rPr>
          <w:rFonts w:cstheme="minorHAnsi"/>
        </w:rPr>
        <w:t>Appendix F-2a: Remote Adolescent Fact Sheet</w:t>
      </w:r>
    </w:p>
    <w:p w:rsidR="003546C1" w:rsidP="005E00C7" w14:paraId="7F8861FF" w14:textId="77777777">
      <w:pPr>
        <w:spacing w:after="0" w:line="240" w:lineRule="auto"/>
        <w:ind w:left="720"/>
      </w:pPr>
      <w:r w:rsidRPr="0055177B">
        <w:t>Appendix G-2: Remote Consent and Assent Forms</w:t>
      </w:r>
      <w:r>
        <w:t xml:space="preserve"> </w:t>
      </w:r>
    </w:p>
    <w:p w:rsidR="003546C1" w:rsidP="00E56B8A" w14:paraId="7E812095" w14:textId="77777777">
      <w:pPr>
        <w:spacing w:after="0"/>
        <w:rPr>
          <w:color w:val="000000" w:themeColor="text1"/>
        </w:rPr>
      </w:pPr>
    </w:p>
    <w:p w:rsidR="00A42C71" w:rsidRPr="001A59B6" w:rsidP="00A42C71" w14:paraId="1F1E2135" w14:textId="1F082490">
      <w:pPr>
        <w:spacing w:after="60" w:line="240" w:lineRule="auto"/>
        <w:rPr>
          <w:rFonts w:cstheme="minorHAnsi"/>
          <w:i/>
        </w:rPr>
      </w:pPr>
      <w:r>
        <w:rPr>
          <w:rFonts w:cstheme="minorHAnsi"/>
          <w:i/>
        </w:rPr>
        <w:t xml:space="preserve">Phase III </w:t>
      </w:r>
      <w:r w:rsidRPr="001A59B6">
        <w:rPr>
          <w:rFonts w:cstheme="minorHAnsi"/>
          <w:i/>
        </w:rPr>
        <w:t>Study Objectives</w:t>
      </w:r>
    </w:p>
    <w:p w:rsidR="00804779" w:rsidP="00362D89" w14:paraId="212223C3" w14:textId="507C8AEA">
      <w:pPr>
        <w:spacing w:after="120"/>
      </w:pPr>
      <w:r w:rsidRPr="00011383">
        <w:t>Th</w:t>
      </w:r>
      <w:r>
        <w:t>e</w:t>
      </w:r>
      <w:r w:rsidRPr="00011383">
        <w:t xml:space="preserve"> </w:t>
      </w:r>
      <w:r>
        <w:t xml:space="preserve">following are the </w:t>
      </w:r>
      <w:r w:rsidR="002F6525">
        <w:t>objective</w:t>
      </w:r>
      <w:r>
        <w:t>s</w:t>
      </w:r>
      <w:r w:rsidR="002F6525">
        <w:t xml:space="preserve"> of the </w:t>
      </w:r>
      <w:r w:rsidR="009B2393">
        <w:t xml:space="preserve">Phase III </w:t>
      </w:r>
      <w:r>
        <w:t>information collection</w:t>
      </w:r>
      <w:r>
        <w:t>:</w:t>
      </w:r>
    </w:p>
    <w:p w:rsidR="00804779" w:rsidRPr="00804779" w:rsidP="00804779" w14:paraId="445391E7" w14:textId="0AB143B9">
      <w:pPr>
        <w:pStyle w:val="ListParagraph"/>
        <w:numPr>
          <w:ilvl w:val="0"/>
          <w:numId w:val="33"/>
        </w:numPr>
        <w:spacing w:after="0"/>
      </w:pPr>
      <w:r>
        <w:t xml:space="preserve">To </w:t>
      </w:r>
      <w:r w:rsidRPr="002C6740">
        <w:rPr>
          <w:rFonts w:cstheme="minorHAnsi"/>
        </w:rPr>
        <w:t xml:space="preserve">use NSCAW III as a platform to collect </w:t>
      </w:r>
      <w:r>
        <w:rPr>
          <w:rFonts w:cstheme="minorHAnsi"/>
        </w:rPr>
        <w:t xml:space="preserve">workforce </w:t>
      </w:r>
      <w:r w:rsidRPr="00804779">
        <w:rPr>
          <w:rFonts w:cstheme="minorHAnsi"/>
        </w:rPr>
        <w:t xml:space="preserve">data </w:t>
      </w:r>
      <w:r>
        <w:rPr>
          <w:rFonts w:cstheme="minorHAnsi"/>
        </w:rPr>
        <w:t>from</w:t>
      </w:r>
      <w:r w:rsidRPr="00804779">
        <w:rPr>
          <w:rFonts w:cstheme="minorHAnsi"/>
        </w:rPr>
        <w:t xml:space="preserve"> </w:t>
      </w:r>
      <w:r w:rsidR="00C518DF">
        <w:rPr>
          <w:rFonts w:cstheme="minorHAnsi"/>
        </w:rPr>
        <w:t xml:space="preserve">child welfare </w:t>
      </w:r>
      <w:r w:rsidRPr="00804779">
        <w:rPr>
          <w:rFonts w:cstheme="minorHAnsi"/>
        </w:rPr>
        <w:t>agency director</w:t>
      </w:r>
      <w:r w:rsidR="00C518DF">
        <w:rPr>
          <w:rFonts w:cstheme="minorHAnsi"/>
        </w:rPr>
        <w:t>s</w:t>
      </w:r>
      <w:r w:rsidRPr="00804779">
        <w:rPr>
          <w:rFonts w:cstheme="minorHAnsi"/>
        </w:rPr>
        <w:t>/administrators, supervisors, and caseworkers</w:t>
      </w:r>
      <w:r w:rsidR="00C518DF">
        <w:rPr>
          <w:rFonts w:cstheme="minorHAnsi"/>
        </w:rPr>
        <w:t>.</w:t>
      </w:r>
    </w:p>
    <w:p w:rsidR="00804779" w:rsidRPr="00804779" w:rsidP="00804779" w14:paraId="6DE48AC9" w14:textId="191CC1B0">
      <w:pPr>
        <w:pStyle w:val="ListParagraph"/>
        <w:numPr>
          <w:ilvl w:val="0"/>
          <w:numId w:val="33"/>
        </w:numPr>
        <w:spacing w:after="0"/>
      </w:pPr>
      <w:r w:rsidRPr="00804779">
        <w:rPr>
          <w:iCs/>
        </w:rPr>
        <w:t>To gain a better understanding of child welfare agency operations and priorities, as well as the characteristics and work experiences of child welfare workers</w:t>
      </w:r>
      <w:r w:rsidR="00C518DF">
        <w:rPr>
          <w:iCs/>
        </w:rPr>
        <w:t>.</w:t>
      </w:r>
    </w:p>
    <w:p w:rsidR="00C518DF" w:rsidRPr="00C518DF" w:rsidP="00804779" w14:paraId="486E6BCC" w14:textId="3B65CC85">
      <w:pPr>
        <w:pStyle w:val="ListParagraph"/>
        <w:numPr>
          <w:ilvl w:val="0"/>
          <w:numId w:val="33"/>
        </w:numPr>
        <w:spacing w:after="0"/>
      </w:pPr>
      <w:r>
        <w:rPr>
          <w:rFonts w:cstheme="minorHAnsi"/>
        </w:rPr>
        <w:t xml:space="preserve">To collect data that will inform ACF’s efforts to increase child welfare workforce satisfaction and stability and </w:t>
      </w:r>
      <w:r>
        <w:rPr>
          <w:iCs/>
        </w:rPr>
        <w:t xml:space="preserve">to inform programs and practice related to the public child welfare workforce. </w:t>
      </w:r>
    </w:p>
    <w:p w:rsidR="00C518DF" w:rsidRPr="00C518DF" w:rsidP="00804779" w14:paraId="05AAD7FE" w14:textId="4B63E1E8">
      <w:pPr>
        <w:pStyle w:val="ListParagraph"/>
        <w:numPr>
          <w:ilvl w:val="0"/>
          <w:numId w:val="33"/>
        </w:numPr>
        <w:spacing w:after="0"/>
      </w:pPr>
      <w:r>
        <w:rPr>
          <w:iCs/>
        </w:rPr>
        <w:t xml:space="preserve">To make the workforce data available to the research community for analysis. </w:t>
      </w:r>
      <w:r w:rsidRPr="00C518DF" w:rsidR="003810AA">
        <w:rPr>
          <w:rFonts w:cstheme="minorHAnsi"/>
        </w:rPr>
        <w:t xml:space="preserve"> </w:t>
      </w:r>
    </w:p>
    <w:p w:rsidR="00C518DF" w:rsidP="00C518DF" w14:paraId="530B9E3B" w14:textId="77777777">
      <w:pPr>
        <w:spacing w:after="0"/>
      </w:pPr>
    </w:p>
    <w:p w:rsidR="00B327AB" w:rsidP="005E00C7" w14:paraId="66B7199F" w14:textId="7E924150">
      <w:pPr>
        <w:spacing w:after="0" w:line="240" w:lineRule="auto"/>
        <w:rPr>
          <w:rFonts w:cstheme="minorHAnsi"/>
          <w:i/>
        </w:rPr>
      </w:pPr>
      <w:r>
        <w:t xml:space="preserve">Phase III data collection is complete; data analysis is ongoing. </w:t>
      </w:r>
    </w:p>
    <w:p w:rsidR="00A42C71" w:rsidRPr="001A59B6" w:rsidP="00A42C71" w14:paraId="15CEF91F" w14:textId="38B083A5">
      <w:pPr>
        <w:spacing w:after="60" w:line="240" w:lineRule="auto"/>
        <w:rPr>
          <w:rFonts w:cstheme="minorHAnsi"/>
        </w:rPr>
      </w:pPr>
      <w:r w:rsidRPr="001A59B6">
        <w:rPr>
          <w:rFonts w:cstheme="minorHAnsi"/>
          <w:i/>
        </w:rPr>
        <w:t xml:space="preserve">Generalizability of Results </w:t>
      </w:r>
    </w:p>
    <w:p w:rsidR="006561C1" w:rsidP="00BC435A" w14:paraId="7BD592AE" w14:textId="2D530C75">
      <w:pPr>
        <w:spacing w:after="0" w:line="240" w:lineRule="auto"/>
        <w:rPr>
          <w:rFonts w:eastAsia="Times New Roman" w:cstheme="minorHAnsi"/>
          <w:color w:val="000000"/>
        </w:rPr>
      </w:pPr>
      <w:r>
        <w:t>T</w:t>
      </w:r>
      <w:r w:rsidRPr="00011383">
        <w:t xml:space="preserve">he </w:t>
      </w:r>
      <w:r w:rsidR="00A00C9B">
        <w:t xml:space="preserve">Phase II </w:t>
      </w:r>
      <w:r w:rsidRPr="00011383">
        <w:t xml:space="preserve">NSCAW III sampling frame consists of all counties in the U.S. except counties whose state law prohibits the release of </w:t>
      </w:r>
      <w:r>
        <w:t xml:space="preserve">identified child maltreatment records </w:t>
      </w:r>
      <w:r w:rsidRPr="00011383">
        <w:t>required for the survey</w:t>
      </w:r>
      <w:r w:rsidR="006E543D">
        <w:t xml:space="preserve"> and states with five or more sampled counties that were unable to participate</w:t>
      </w:r>
      <w:r>
        <w:t xml:space="preserve">. </w:t>
      </w:r>
      <w:r w:rsidRPr="00F67345" w:rsidR="008515C7">
        <w:t xml:space="preserve">These two groups represent approximately 23% of the child welfare population of interest. </w:t>
      </w:r>
      <w:r>
        <w:rPr>
          <w:rFonts w:eastAsia="Times New Roman" w:cstheme="minorHAnsi"/>
          <w:color w:val="000000"/>
        </w:rPr>
        <w:t>T</w:t>
      </w:r>
      <w:r w:rsidR="001855A8">
        <w:rPr>
          <w:rFonts w:eastAsia="Times New Roman" w:cstheme="minorHAnsi"/>
          <w:color w:val="000000"/>
        </w:rPr>
        <w:t>he</w:t>
      </w:r>
      <w:r>
        <w:rPr>
          <w:rFonts w:eastAsia="Times New Roman" w:cstheme="minorHAnsi"/>
          <w:color w:val="000000"/>
        </w:rPr>
        <w:t>refore,</w:t>
      </w:r>
      <w:r w:rsidR="001855A8">
        <w:rPr>
          <w:rFonts w:eastAsia="Times New Roman" w:cstheme="minorHAnsi"/>
          <w:color w:val="000000"/>
        </w:rPr>
        <w:t xml:space="preserve"> </w:t>
      </w:r>
      <w:r w:rsidR="00A00C9B">
        <w:rPr>
          <w:rFonts w:eastAsia="Times New Roman" w:cstheme="minorHAnsi"/>
          <w:color w:val="000000"/>
        </w:rPr>
        <w:t xml:space="preserve">Phase II </w:t>
      </w:r>
      <w:r w:rsidR="001855A8">
        <w:rPr>
          <w:rFonts w:eastAsia="Times New Roman" w:cstheme="minorHAnsi"/>
          <w:color w:val="000000"/>
        </w:rPr>
        <w:t xml:space="preserve">NSCAW III </w:t>
      </w:r>
      <w:r w:rsidR="004D3420">
        <w:rPr>
          <w:rFonts w:eastAsia="Times New Roman" w:cstheme="minorHAnsi"/>
          <w:color w:val="000000"/>
        </w:rPr>
        <w:t>results are generalizable to</w:t>
      </w:r>
      <w:r w:rsidR="001855A8">
        <w:rPr>
          <w:rFonts w:eastAsia="Times New Roman" w:cstheme="minorHAnsi"/>
          <w:color w:val="000000"/>
        </w:rPr>
        <w:t xml:space="preserve"> approximately 77% of the child welfare population. </w:t>
      </w:r>
      <w:r w:rsidR="00A00C9B">
        <w:rPr>
          <w:rFonts w:eastAsia="Times New Roman" w:cstheme="minorHAnsi"/>
          <w:color w:val="000000"/>
        </w:rPr>
        <w:t>Phase III i</w:t>
      </w:r>
      <w:r w:rsidRPr="00B51B58" w:rsidR="00A00C9B">
        <w:rPr>
          <w:rFonts w:eastAsia="Times New Roman" w:cstheme="minorHAnsi"/>
          <w:color w:val="000000"/>
        </w:rPr>
        <w:t>s intended to produce nationally representative</w:t>
      </w:r>
      <w:r w:rsidR="00A00C9B">
        <w:rPr>
          <w:rFonts w:eastAsia="Times New Roman" w:cstheme="minorHAnsi"/>
          <w:color w:val="000000"/>
        </w:rPr>
        <w:t xml:space="preserve"> estimates of the workforce constructs measured in the surveys</w:t>
      </w:r>
      <w:r w:rsidR="001855A8">
        <w:rPr>
          <w:rFonts w:eastAsia="Times New Roman" w:cstheme="minorHAnsi"/>
          <w:color w:val="000000"/>
        </w:rPr>
        <w:t xml:space="preserve"> </w:t>
      </w:r>
      <w:r w:rsidR="00A00C9B">
        <w:rPr>
          <w:rFonts w:eastAsia="Times New Roman" w:cstheme="minorHAnsi"/>
          <w:color w:val="000000"/>
        </w:rPr>
        <w:t xml:space="preserve">completed by agency directors, supervisors, and caseworkers in participating NSCAW III agencies. </w:t>
      </w:r>
      <w:r w:rsidR="001855A8">
        <w:rPr>
          <w:rFonts w:eastAsia="Times New Roman" w:cstheme="minorHAnsi"/>
          <w:color w:val="000000"/>
        </w:rPr>
        <w:t xml:space="preserve">Public child welfare workers employed in agencies that do not allow the release of identified child maltreatment records </w:t>
      </w:r>
      <w:r w:rsidR="009509E9">
        <w:rPr>
          <w:rFonts w:eastAsia="Times New Roman" w:cstheme="minorHAnsi"/>
          <w:color w:val="000000"/>
        </w:rPr>
        <w:t xml:space="preserve">or in agencies that were unable to participate </w:t>
      </w:r>
      <w:r w:rsidR="001855A8">
        <w:rPr>
          <w:rFonts w:eastAsia="Times New Roman" w:cstheme="minorHAnsi"/>
          <w:color w:val="000000"/>
        </w:rPr>
        <w:t xml:space="preserve">will not be represented in the estimates. </w:t>
      </w:r>
    </w:p>
    <w:p w:rsidR="00BC435A" w:rsidP="005E00C7" w14:paraId="6611A46A" w14:textId="77777777">
      <w:pPr>
        <w:spacing w:after="0" w:line="240" w:lineRule="auto"/>
        <w:rPr>
          <w:rFonts w:eastAsia="Times New Roman" w:cstheme="minorHAnsi"/>
          <w:color w:val="000000"/>
        </w:rPr>
      </w:pPr>
    </w:p>
    <w:p w:rsidR="00A42C71" w:rsidRPr="001A59B6" w:rsidP="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3C7640" w:rsidRPr="00F90F85" w:rsidP="003C7640" w14:paraId="00DF60B6" w14:textId="68E3A70C">
      <w:pPr>
        <w:tabs>
          <w:tab w:val="left" w:pos="954"/>
          <w:tab w:val="left" w:pos="1387"/>
          <w:tab w:val="left" w:pos="1820"/>
          <w:tab w:val="left" w:pos="2430"/>
          <w:tab w:val="left" w:pos="2686"/>
          <w:tab w:val="left" w:pos="3120"/>
          <w:tab w:val="left" w:pos="3553"/>
          <w:tab w:val="left" w:pos="3986"/>
          <w:tab w:val="left" w:pos="4419"/>
          <w:tab w:val="left" w:pos="4852"/>
          <w:tab w:val="left" w:pos="5286"/>
          <w:tab w:val="left" w:pos="5719"/>
          <w:tab w:val="left" w:pos="6152"/>
          <w:tab w:val="left" w:pos="6585"/>
          <w:tab w:val="left" w:pos="7018"/>
          <w:tab w:val="left" w:pos="7452"/>
          <w:tab w:val="left" w:pos="7885"/>
          <w:tab w:val="left" w:pos="8318"/>
          <w:tab w:val="left" w:pos="8751"/>
          <w:tab w:val="left" w:pos="9184"/>
        </w:tabs>
        <w:rPr>
          <w:rFonts w:cstheme="minorHAnsi"/>
        </w:rPr>
      </w:pPr>
      <w:r>
        <w:rPr>
          <w:rFonts w:cstheme="minorHAnsi"/>
        </w:rPr>
        <w:t>Phase II data collection</w:t>
      </w:r>
      <w:r w:rsidRPr="00230F8B" w:rsidR="00230F8B">
        <w:t xml:space="preserve"> </w:t>
      </w:r>
      <w:r w:rsidRPr="00230F8B" w:rsidR="00230F8B">
        <w:rPr>
          <w:rFonts w:cstheme="minorHAnsi"/>
        </w:rPr>
        <w:t xml:space="preserve">was designed to address questions of importance on the well-being of </w:t>
      </w:r>
      <w:r w:rsidR="001A6F06">
        <w:rPr>
          <w:rFonts w:cstheme="minorHAnsi"/>
        </w:rPr>
        <w:t xml:space="preserve">a nationally representative sample of </w:t>
      </w:r>
      <w:r w:rsidRPr="00230F8B" w:rsidR="00230F8B">
        <w:rPr>
          <w:rFonts w:cstheme="minorHAnsi"/>
        </w:rPr>
        <w:t xml:space="preserve">children and families involved with the child welfare system. </w:t>
      </w:r>
      <w:r>
        <w:rPr>
          <w:rFonts w:cstheme="minorHAnsi"/>
        </w:rPr>
        <w:t xml:space="preserve">Data are collected </w:t>
      </w:r>
      <w:r w:rsidR="00173000">
        <w:rPr>
          <w:rFonts w:cstheme="minorHAnsi"/>
        </w:rPr>
        <w:t xml:space="preserve">longitudinally and </w:t>
      </w:r>
      <w:r>
        <w:rPr>
          <w:rFonts w:cstheme="minorHAnsi"/>
        </w:rPr>
        <w:t>wi</w:t>
      </w:r>
      <w:r w:rsidR="001A6F06">
        <w:rPr>
          <w:rFonts w:cstheme="minorHAnsi"/>
        </w:rPr>
        <w:t xml:space="preserve">th </w:t>
      </w:r>
      <w:r w:rsidRPr="00230F8B" w:rsidR="00230F8B">
        <w:rPr>
          <w:rFonts w:cstheme="minorHAnsi"/>
        </w:rPr>
        <w:t xml:space="preserve">multiple informants associated with each sampled child, </w:t>
      </w:r>
      <w:r w:rsidRPr="00230F8B" w:rsidR="00230F8B">
        <w:rPr>
          <w:rFonts w:cstheme="minorHAnsi"/>
        </w:rPr>
        <w:t>in order to</w:t>
      </w:r>
      <w:r w:rsidRPr="00230F8B" w:rsidR="00230F8B">
        <w:rPr>
          <w:rFonts w:cstheme="minorHAnsi"/>
        </w:rPr>
        <w:t xml:space="preserve"> get the fullest possible picture of that child.  Baseline and 18-month follow-up </w:t>
      </w:r>
      <w:r w:rsidR="001A6F06">
        <w:rPr>
          <w:rFonts w:cstheme="minorHAnsi"/>
        </w:rPr>
        <w:t xml:space="preserve">surveys are </w:t>
      </w:r>
      <w:r w:rsidRPr="00230F8B" w:rsidR="00230F8B">
        <w:rPr>
          <w:rFonts w:cstheme="minorHAnsi"/>
        </w:rPr>
        <w:t xml:space="preserve">conducted with the sampled child, the child’s current caregiver (e.g., biological parents, foster parents, kin caregivers, group home caregivers), and the child’s caseworker. </w:t>
      </w:r>
      <w:r>
        <w:rPr>
          <w:rFonts w:cstheme="minorHAnsi"/>
        </w:rPr>
        <w:t xml:space="preserve">Surveys were designed in collaboration with subject matter experts. </w:t>
      </w:r>
      <w:r w:rsidRPr="00230F8B" w:rsidR="00230F8B">
        <w:rPr>
          <w:rFonts w:cstheme="minorHAnsi"/>
        </w:rPr>
        <w:t xml:space="preserve">Administrative data </w:t>
      </w:r>
      <w:r>
        <w:rPr>
          <w:rFonts w:cstheme="minorHAnsi"/>
        </w:rPr>
        <w:t>are</w:t>
      </w:r>
      <w:r w:rsidRPr="00230F8B" w:rsidR="00230F8B">
        <w:rPr>
          <w:rFonts w:cstheme="minorHAnsi"/>
        </w:rPr>
        <w:t xml:space="preserve"> collected and merged with survey data at the child level to enhance the robustness and overall utility of the study.</w:t>
      </w:r>
      <w:r w:rsidRPr="001A6F06" w:rsidR="001A6F06">
        <w:rPr>
          <w:color w:val="1A1A1A"/>
          <w:szCs w:val="24"/>
        </w:rPr>
        <w:t xml:space="preserve"> </w:t>
      </w:r>
      <w:r>
        <w:rPr>
          <w:rFonts w:cstheme="minorHAnsi"/>
        </w:rPr>
        <w:t>Efforts to minimize n</w:t>
      </w:r>
      <w:r w:rsidRPr="006561C1">
        <w:rPr>
          <w:rFonts w:cstheme="minorHAnsi"/>
        </w:rPr>
        <w:t xml:space="preserve">onresponse </w:t>
      </w:r>
      <w:r>
        <w:rPr>
          <w:rFonts w:cstheme="minorHAnsi"/>
        </w:rPr>
        <w:t>included</w:t>
      </w:r>
      <w:r w:rsidRPr="006561C1">
        <w:rPr>
          <w:rFonts w:cstheme="minorHAnsi"/>
        </w:rPr>
        <w:t xml:space="preserve"> repeated contact attempts by field interviewers who </w:t>
      </w:r>
      <w:r>
        <w:rPr>
          <w:rFonts w:cstheme="minorHAnsi"/>
        </w:rPr>
        <w:t>follow-up via phone, email, and/or text with sampled respondents</w:t>
      </w:r>
      <w:r w:rsidRPr="006561C1">
        <w:rPr>
          <w:rFonts w:cstheme="minorHAnsi"/>
        </w:rPr>
        <w:t xml:space="preserve">. </w:t>
      </w:r>
      <w:r>
        <w:rPr>
          <w:rFonts w:cstheme="minorHAnsi"/>
        </w:rPr>
        <w:t xml:space="preserve">Field interviewers were trained </w:t>
      </w:r>
      <w:r w:rsidRPr="006561C1">
        <w:rPr>
          <w:rFonts w:cstheme="minorHAnsi"/>
        </w:rPr>
        <w:t>to obtain valid responses with minimal unit and item nonresponse</w:t>
      </w:r>
      <w:r>
        <w:rPr>
          <w:rFonts w:cstheme="minorHAnsi"/>
        </w:rPr>
        <w:t>.  Data quality monitoring activities were used to ensure high quality information collection</w:t>
      </w:r>
      <w:r w:rsidRPr="006561C1">
        <w:rPr>
          <w:rFonts w:cstheme="minorHAnsi"/>
        </w:rPr>
        <w:t xml:space="preserve">. </w:t>
      </w:r>
      <w:r>
        <w:rPr>
          <w:rFonts w:cstheme="minorHAnsi"/>
        </w:rPr>
        <w:t xml:space="preserve">Data are weighted </w:t>
      </w:r>
      <w:r w:rsidRPr="006561C1">
        <w:rPr>
          <w:rFonts w:cstheme="minorHAnsi"/>
        </w:rPr>
        <w:t xml:space="preserve">to compensate for disproportionate sampling, </w:t>
      </w:r>
      <w:r w:rsidRPr="006561C1">
        <w:rPr>
          <w:rFonts w:cstheme="minorHAnsi"/>
        </w:rPr>
        <w:t>nonresponse</w:t>
      </w:r>
      <w:r w:rsidRPr="006561C1">
        <w:rPr>
          <w:rFonts w:cstheme="minorHAnsi"/>
        </w:rPr>
        <w:t xml:space="preserve"> and potential frame noncoverage issues and will produce the estimates to ensure valid inferences</w:t>
      </w:r>
      <w:r w:rsidR="008A51A5">
        <w:rPr>
          <w:rFonts w:cstheme="minorHAnsi"/>
        </w:rPr>
        <w:t xml:space="preserve">. </w:t>
      </w:r>
      <w:r>
        <w:rPr>
          <w:rFonts w:cstheme="minorHAnsi"/>
        </w:rPr>
        <w:t xml:space="preserve">Limits to representativeness and any other contextual details relevant to interpreting the findings will be clearly documented in the text of all written materials associated with the study.  </w:t>
      </w:r>
    </w:p>
    <w:p w:rsidR="00A7785A" w:rsidRPr="00F90F85" w:rsidP="00CF546E" w14:paraId="1DE916B7" w14:textId="75C97581">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Phase III data collection</w:t>
      </w:r>
      <w:r w:rsidR="003175F6">
        <w:rPr>
          <w:rFonts w:asciiTheme="minorHAnsi" w:hAnsiTheme="minorHAnsi" w:cstheme="minorHAnsi"/>
          <w:sz w:val="22"/>
          <w:szCs w:val="22"/>
        </w:rPr>
        <w:t xml:space="preserve"> was designed to address questions of importance on workforce characteristics and competencies, training and professional development, and organizational factors</w:t>
      </w:r>
      <w:r w:rsidR="00320EAD">
        <w:rPr>
          <w:rFonts w:asciiTheme="minorHAnsi" w:hAnsiTheme="minorHAnsi" w:cstheme="minorHAnsi"/>
          <w:sz w:val="22"/>
          <w:szCs w:val="22"/>
        </w:rPr>
        <w:t xml:space="preserve">. </w:t>
      </w:r>
      <w:r w:rsidRPr="00320EAD" w:rsidR="00320EAD">
        <w:rPr>
          <w:rFonts w:asciiTheme="minorHAnsi" w:hAnsiTheme="minorHAnsi" w:cstheme="minorHAnsi"/>
          <w:iCs/>
          <w:sz w:val="22"/>
          <w:szCs w:val="22"/>
        </w:rPr>
        <w:t>The surveys also collect</w:t>
      </w:r>
      <w:r>
        <w:rPr>
          <w:rFonts w:asciiTheme="minorHAnsi" w:hAnsiTheme="minorHAnsi" w:cstheme="minorHAnsi"/>
          <w:iCs/>
          <w:sz w:val="22"/>
          <w:szCs w:val="22"/>
        </w:rPr>
        <w:t>ed</w:t>
      </w:r>
      <w:r w:rsidRPr="00320EAD" w:rsidR="00320EAD">
        <w:rPr>
          <w:rFonts w:asciiTheme="minorHAnsi" w:hAnsiTheme="minorHAnsi" w:cstheme="minorHAnsi"/>
          <w:iCs/>
          <w:sz w:val="22"/>
          <w:szCs w:val="22"/>
        </w:rPr>
        <w:t xml:space="preserve"> information about the potential impacts of the COVID-19 pandemic on child welfare agencies and practice.</w:t>
      </w:r>
      <w:r w:rsidRPr="004E3680" w:rsidR="00320EAD">
        <w:rPr>
          <w:rFonts w:asciiTheme="minorHAnsi" w:hAnsiTheme="minorHAnsi" w:cstheme="minorHAnsi"/>
          <w:iCs/>
        </w:rPr>
        <w:t xml:space="preserve"> </w:t>
      </w:r>
      <w:r w:rsidR="003175F6">
        <w:rPr>
          <w:rFonts w:asciiTheme="minorHAnsi" w:hAnsiTheme="minorHAnsi" w:cstheme="minorHAnsi"/>
          <w:sz w:val="22"/>
          <w:szCs w:val="22"/>
        </w:rPr>
        <w:t xml:space="preserve"> (</w:t>
      </w:r>
      <w:r w:rsidR="00320EAD">
        <w:rPr>
          <w:rFonts w:asciiTheme="minorHAnsi" w:hAnsiTheme="minorHAnsi" w:cstheme="minorHAnsi"/>
          <w:sz w:val="22"/>
          <w:szCs w:val="22"/>
        </w:rPr>
        <w:t>S</w:t>
      </w:r>
      <w:r w:rsidR="003175F6">
        <w:rPr>
          <w:rFonts w:asciiTheme="minorHAnsi" w:hAnsiTheme="minorHAnsi" w:cstheme="minorHAnsi"/>
          <w:sz w:val="22"/>
          <w:szCs w:val="22"/>
        </w:rPr>
        <w:t xml:space="preserve">ee </w:t>
      </w:r>
      <w:r w:rsidRPr="00E77B3F" w:rsidR="00E77B3F">
        <w:rPr>
          <w:rFonts w:asciiTheme="minorHAnsi" w:hAnsiTheme="minorHAnsi" w:cstheme="minorHAnsi"/>
          <w:b/>
          <w:bCs/>
          <w:i/>
          <w:iCs/>
          <w:sz w:val="22"/>
          <w:szCs w:val="22"/>
        </w:rPr>
        <w:t>Section A.2</w:t>
      </w:r>
      <w:r w:rsidR="00E77B3F">
        <w:rPr>
          <w:rFonts w:asciiTheme="minorHAnsi" w:hAnsiTheme="minorHAnsi" w:cstheme="minorHAnsi"/>
          <w:sz w:val="22"/>
          <w:szCs w:val="22"/>
        </w:rPr>
        <w:t xml:space="preserve"> for a complete listing of research questions</w:t>
      </w:r>
      <w:r w:rsidR="00320EAD">
        <w:rPr>
          <w:rFonts w:asciiTheme="minorHAnsi" w:hAnsiTheme="minorHAnsi" w:cstheme="minorHAnsi"/>
          <w:sz w:val="22"/>
          <w:szCs w:val="22"/>
        </w:rPr>
        <w:t>.</w:t>
      </w:r>
      <w:r w:rsidR="003175F6">
        <w:rPr>
          <w:rFonts w:asciiTheme="minorHAnsi" w:hAnsiTheme="minorHAnsi" w:cstheme="minorHAnsi"/>
          <w:sz w:val="22"/>
          <w:szCs w:val="22"/>
        </w:rPr>
        <w:t xml:space="preserve">) </w:t>
      </w:r>
      <w:r w:rsidR="001855A8">
        <w:rPr>
          <w:rFonts w:asciiTheme="minorHAnsi" w:hAnsiTheme="minorHAnsi" w:cstheme="minorHAnsi"/>
          <w:sz w:val="22"/>
          <w:szCs w:val="22"/>
        </w:rPr>
        <w:t xml:space="preserve">The study design </w:t>
      </w:r>
      <w:r w:rsidR="00FB14B0">
        <w:rPr>
          <w:rFonts w:asciiTheme="minorHAnsi" w:hAnsiTheme="minorHAnsi" w:cstheme="minorHAnsi"/>
          <w:sz w:val="22"/>
          <w:szCs w:val="22"/>
        </w:rPr>
        <w:t>a</w:t>
      </w:r>
      <w:r w:rsidR="001855A8">
        <w:rPr>
          <w:rFonts w:asciiTheme="minorHAnsi" w:hAnsiTheme="minorHAnsi" w:cstheme="minorHAnsi"/>
          <w:sz w:val="22"/>
          <w:szCs w:val="22"/>
        </w:rPr>
        <w:t>nd methods were</w:t>
      </w:r>
      <w:r w:rsidR="00E05217">
        <w:rPr>
          <w:rFonts w:asciiTheme="minorHAnsi" w:hAnsiTheme="minorHAnsi" w:cstheme="minorHAnsi"/>
          <w:sz w:val="22"/>
          <w:szCs w:val="22"/>
        </w:rPr>
        <w:t xml:space="preserve"> </w:t>
      </w:r>
      <w:r w:rsidR="001855A8">
        <w:rPr>
          <w:rFonts w:asciiTheme="minorHAnsi" w:hAnsiTheme="minorHAnsi" w:cstheme="minorHAnsi"/>
          <w:sz w:val="22"/>
          <w:szCs w:val="22"/>
        </w:rPr>
        <w:t>selected</w:t>
      </w:r>
      <w:r w:rsidRPr="006561C1" w:rsidR="006561C1">
        <w:rPr>
          <w:rFonts w:asciiTheme="minorHAnsi" w:hAnsiTheme="minorHAnsi" w:cstheme="minorHAnsi"/>
          <w:sz w:val="22"/>
          <w:szCs w:val="22"/>
        </w:rPr>
        <w:t xml:space="preserve"> to produce externally and internally valid results of high quality. Probability sampling procedures </w:t>
      </w:r>
      <w:r>
        <w:rPr>
          <w:rFonts w:asciiTheme="minorHAnsi" w:hAnsiTheme="minorHAnsi" w:cstheme="minorHAnsi"/>
          <w:sz w:val="22"/>
          <w:szCs w:val="22"/>
        </w:rPr>
        <w:t>were</w:t>
      </w:r>
      <w:r w:rsidR="00D409EF">
        <w:rPr>
          <w:rFonts w:asciiTheme="minorHAnsi" w:hAnsiTheme="minorHAnsi" w:cstheme="minorHAnsi"/>
          <w:sz w:val="22"/>
          <w:szCs w:val="22"/>
        </w:rPr>
        <w:t xml:space="preserve"> </w:t>
      </w:r>
      <w:r w:rsidRPr="006561C1" w:rsidR="006561C1">
        <w:rPr>
          <w:rFonts w:asciiTheme="minorHAnsi" w:hAnsiTheme="minorHAnsi" w:cstheme="minorHAnsi"/>
          <w:sz w:val="22"/>
          <w:szCs w:val="22"/>
        </w:rPr>
        <w:t>used to ensure that child welfare agencies that meet the target population definition are full</w:t>
      </w:r>
      <w:r w:rsidR="001021E5">
        <w:rPr>
          <w:rFonts w:asciiTheme="minorHAnsi" w:hAnsiTheme="minorHAnsi" w:cstheme="minorHAnsi"/>
          <w:sz w:val="22"/>
          <w:szCs w:val="22"/>
        </w:rPr>
        <w:t>y</w:t>
      </w:r>
      <w:r w:rsidRPr="006561C1" w:rsidR="006561C1">
        <w:rPr>
          <w:rFonts w:asciiTheme="minorHAnsi" w:hAnsiTheme="minorHAnsi" w:cstheme="minorHAnsi"/>
          <w:sz w:val="22"/>
          <w:szCs w:val="22"/>
        </w:rPr>
        <w:t xml:space="preserve"> represented in the </w:t>
      </w:r>
      <w:r w:rsidR="00D409EF">
        <w:rPr>
          <w:rFonts w:asciiTheme="minorHAnsi" w:hAnsiTheme="minorHAnsi" w:cstheme="minorHAnsi"/>
          <w:sz w:val="22"/>
          <w:szCs w:val="22"/>
        </w:rPr>
        <w:t>NSCAW III</w:t>
      </w:r>
      <w:r w:rsidRPr="006561C1" w:rsidR="006561C1">
        <w:rPr>
          <w:rFonts w:asciiTheme="minorHAnsi" w:hAnsiTheme="minorHAnsi" w:cstheme="minorHAnsi"/>
          <w:sz w:val="22"/>
          <w:szCs w:val="22"/>
        </w:rPr>
        <w:t xml:space="preserve">. </w:t>
      </w:r>
      <w:r w:rsidR="00E05217">
        <w:rPr>
          <w:rFonts w:asciiTheme="minorHAnsi" w:hAnsiTheme="minorHAnsi" w:cstheme="minorHAnsi"/>
          <w:sz w:val="22"/>
          <w:szCs w:val="22"/>
        </w:rPr>
        <w:t xml:space="preserve">The workforce </w:t>
      </w:r>
      <w:r w:rsidR="001021E5">
        <w:rPr>
          <w:rFonts w:asciiTheme="minorHAnsi" w:hAnsiTheme="minorHAnsi" w:cstheme="minorHAnsi"/>
          <w:sz w:val="22"/>
          <w:szCs w:val="22"/>
        </w:rPr>
        <w:t>surveys</w:t>
      </w:r>
      <w:r w:rsidRPr="006561C1" w:rsidR="006561C1">
        <w:rPr>
          <w:rFonts w:asciiTheme="minorHAnsi" w:hAnsiTheme="minorHAnsi" w:cstheme="minorHAnsi"/>
          <w:sz w:val="22"/>
          <w:szCs w:val="22"/>
        </w:rPr>
        <w:t xml:space="preserve"> were designed </w:t>
      </w:r>
      <w:r w:rsidR="001855A8">
        <w:rPr>
          <w:rFonts w:asciiTheme="minorHAnsi" w:hAnsiTheme="minorHAnsi" w:cstheme="minorHAnsi"/>
          <w:sz w:val="22"/>
          <w:szCs w:val="22"/>
        </w:rPr>
        <w:t xml:space="preserve">in </w:t>
      </w:r>
      <w:r w:rsidRPr="006561C1" w:rsidR="006561C1">
        <w:rPr>
          <w:rFonts w:asciiTheme="minorHAnsi" w:hAnsiTheme="minorHAnsi" w:cstheme="minorHAnsi"/>
          <w:sz w:val="22"/>
          <w:szCs w:val="22"/>
        </w:rPr>
        <w:t xml:space="preserve">collaboration </w:t>
      </w:r>
      <w:r w:rsidR="00E05217">
        <w:rPr>
          <w:rFonts w:asciiTheme="minorHAnsi" w:hAnsiTheme="minorHAnsi" w:cstheme="minorHAnsi"/>
          <w:sz w:val="22"/>
          <w:szCs w:val="22"/>
        </w:rPr>
        <w:t>with s</w:t>
      </w:r>
      <w:r w:rsidRPr="006561C1" w:rsidR="006561C1">
        <w:rPr>
          <w:rFonts w:asciiTheme="minorHAnsi" w:hAnsiTheme="minorHAnsi" w:cstheme="minorHAnsi"/>
          <w:sz w:val="22"/>
          <w:szCs w:val="22"/>
        </w:rPr>
        <w:t>ubject matter experts</w:t>
      </w:r>
      <w:r w:rsidR="00E05217">
        <w:rPr>
          <w:rFonts w:asciiTheme="minorHAnsi" w:hAnsiTheme="minorHAnsi" w:cstheme="minorHAnsi"/>
          <w:sz w:val="22"/>
          <w:szCs w:val="22"/>
        </w:rPr>
        <w:t xml:space="preserve">.  </w:t>
      </w:r>
      <w:r>
        <w:rPr>
          <w:rFonts w:asciiTheme="minorHAnsi" w:hAnsiTheme="minorHAnsi" w:cstheme="minorHAnsi"/>
          <w:sz w:val="22"/>
          <w:szCs w:val="22"/>
        </w:rPr>
        <w:t>Efforts to minimize n</w:t>
      </w:r>
      <w:r w:rsidRPr="006561C1" w:rsidR="006561C1">
        <w:rPr>
          <w:rFonts w:asciiTheme="minorHAnsi" w:hAnsiTheme="minorHAnsi" w:cstheme="minorHAnsi"/>
          <w:sz w:val="22"/>
          <w:szCs w:val="22"/>
        </w:rPr>
        <w:t>onresponse at all three levels (</w:t>
      </w:r>
      <w:r w:rsidR="001021E5">
        <w:rPr>
          <w:rFonts w:asciiTheme="minorHAnsi" w:hAnsiTheme="minorHAnsi" w:cstheme="minorHAnsi"/>
          <w:sz w:val="22"/>
          <w:szCs w:val="22"/>
        </w:rPr>
        <w:t xml:space="preserve">agency </w:t>
      </w:r>
      <w:r w:rsidRPr="006561C1" w:rsidR="006561C1">
        <w:rPr>
          <w:rFonts w:asciiTheme="minorHAnsi" w:hAnsiTheme="minorHAnsi" w:cstheme="minorHAnsi"/>
          <w:sz w:val="22"/>
          <w:szCs w:val="22"/>
        </w:rPr>
        <w:t>director, superviso</w:t>
      </w:r>
      <w:r w:rsidR="00FB14B0">
        <w:rPr>
          <w:rFonts w:asciiTheme="minorHAnsi" w:hAnsiTheme="minorHAnsi" w:cstheme="minorHAnsi"/>
          <w:sz w:val="22"/>
          <w:szCs w:val="22"/>
        </w:rPr>
        <w:t>r,</w:t>
      </w:r>
      <w:r w:rsidR="00F06241">
        <w:rPr>
          <w:rFonts w:asciiTheme="minorHAnsi" w:hAnsiTheme="minorHAnsi" w:cstheme="minorHAnsi"/>
          <w:sz w:val="22"/>
          <w:szCs w:val="22"/>
        </w:rPr>
        <w:t xml:space="preserve"> and</w:t>
      </w:r>
      <w:r w:rsidR="00FB14B0">
        <w:rPr>
          <w:rFonts w:asciiTheme="minorHAnsi" w:hAnsiTheme="minorHAnsi" w:cstheme="minorHAnsi"/>
          <w:sz w:val="22"/>
          <w:szCs w:val="22"/>
        </w:rPr>
        <w:t xml:space="preserve"> </w:t>
      </w:r>
      <w:r w:rsidRPr="006561C1" w:rsidR="006561C1">
        <w:rPr>
          <w:rFonts w:asciiTheme="minorHAnsi" w:hAnsiTheme="minorHAnsi" w:cstheme="minorHAnsi"/>
          <w:sz w:val="22"/>
          <w:szCs w:val="22"/>
        </w:rPr>
        <w:t xml:space="preserve">caseworker) </w:t>
      </w:r>
      <w:r>
        <w:rPr>
          <w:rFonts w:asciiTheme="minorHAnsi" w:hAnsiTheme="minorHAnsi" w:cstheme="minorHAnsi"/>
          <w:sz w:val="22"/>
          <w:szCs w:val="22"/>
        </w:rPr>
        <w:t>included</w:t>
      </w:r>
      <w:r w:rsidRPr="006561C1" w:rsidR="006561C1">
        <w:rPr>
          <w:rFonts w:asciiTheme="minorHAnsi" w:hAnsiTheme="minorHAnsi" w:cstheme="minorHAnsi"/>
          <w:sz w:val="22"/>
          <w:szCs w:val="22"/>
        </w:rPr>
        <w:t xml:space="preserve"> repeated contact attempts by field interviewers who will </w:t>
      </w:r>
      <w:r w:rsidR="00D409EF">
        <w:rPr>
          <w:rFonts w:asciiTheme="minorHAnsi" w:hAnsiTheme="minorHAnsi" w:cstheme="minorHAnsi"/>
          <w:sz w:val="22"/>
          <w:szCs w:val="22"/>
        </w:rPr>
        <w:t>follow-up via phone, email, and/or text</w:t>
      </w:r>
      <w:r w:rsidRPr="006561C1" w:rsidR="006561C1">
        <w:rPr>
          <w:rFonts w:asciiTheme="minorHAnsi" w:hAnsiTheme="minorHAnsi" w:cstheme="minorHAnsi"/>
          <w:sz w:val="22"/>
          <w:szCs w:val="22"/>
        </w:rPr>
        <w:t xml:space="preserve">. </w:t>
      </w:r>
      <w:r w:rsidR="00A950B1">
        <w:rPr>
          <w:rFonts w:asciiTheme="minorHAnsi" w:hAnsiTheme="minorHAnsi" w:cstheme="minorHAnsi"/>
          <w:sz w:val="22"/>
          <w:szCs w:val="22"/>
        </w:rPr>
        <w:t xml:space="preserve">Field interviewers </w:t>
      </w:r>
      <w:r>
        <w:rPr>
          <w:rFonts w:asciiTheme="minorHAnsi" w:hAnsiTheme="minorHAnsi" w:cstheme="minorHAnsi"/>
          <w:sz w:val="22"/>
          <w:szCs w:val="22"/>
        </w:rPr>
        <w:t>were</w:t>
      </w:r>
      <w:r w:rsidR="00A950B1">
        <w:rPr>
          <w:rFonts w:asciiTheme="minorHAnsi" w:hAnsiTheme="minorHAnsi" w:cstheme="minorHAnsi"/>
          <w:sz w:val="22"/>
          <w:szCs w:val="22"/>
        </w:rPr>
        <w:t xml:space="preserve"> trained </w:t>
      </w:r>
      <w:r w:rsidRPr="006561C1" w:rsidR="006561C1">
        <w:rPr>
          <w:rFonts w:asciiTheme="minorHAnsi" w:hAnsiTheme="minorHAnsi" w:cstheme="minorHAnsi"/>
          <w:sz w:val="22"/>
          <w:szCs w:val="22"/>
        </w:rPr>
        <w:t>to obtain valid responses with minimal unit and item nonresponse</w:t>
      </w:r>
      <w:r w:rsidR="00A950B1">
        <w:rPr>
          <w:rFonts w:asciiTheme="minorHAnsi" w:hAnsiTheme="minorHAnsi" w:cstheme="minorHAnsi"/>
          <w:sz w:val="22"/>
          <w:szCs w:val="22"/>
        </w:rPr>
        <w:t xml:space="preserve">.  Data quality monitoring activities </w:t>
      </w:r>
      <w:r>
        <w:rPr>
          <w:rFonts w:asciiTheme="minorHAnsi" w:hAnsiTheme="minorHAnsi" w:cstheme="minorHAnsi"/>
          <w:sz w:val="22"/>
          <w:szCs w:val="22"/>
        </w:rPr>
        <w:t>were</w:t>
      </w:r>
      <w:r w:rsidR="00A950B1">
        <w:rPr>
          <w:rFonts w:asciiTheme="minorHAnsi" w:hAnsiTheme="minorHAnsi" w:cstheme="minorHAnsi"/>
          <w:sz w:val="22"/>
          <w:szCs w:val="22"/>
        </w:rPr>
        <w:t xml:space="preserve"> used to ensure high quality information collection</w:t>
      </w:r>
      <w:r w:rsidRPr="006561C1" w:rsidR="006561C1">
        <w:rPr>
          <w:rFonts w:asciiTheme="minorHAnsi" w:hAnsiTheme="minorHAnsi" w:cstheme="minorHAnsi"/>
          <w:sz w:val="22"/>
          <w:szCs w:val="22"/>
        </w:rPr>
        <w:t xml:space="preserve">. Finally, survey statisticians will </w:t>
      </w:r>
      <w:r w:rsidRPr="006561C1" w:rsidR="006561C1">
        <w:rPr>
          <w:rFonts w:asciiTheme="minorHAnsi" w:hAnsiTheme="minorHAnsi" w:cstheme="minorHAnsi"/>
          <w:sz w:val="22"/>
          <w:szCs w:val="22"/>
        </w:rPr>
        <w:t>weight</w:t>
      </w:r>
      <w:r w:rsidRPr="006561C1" w:rsidR="006561C1">
        <w:rPr>
          <w:rFonts w:asciiTheme="minorHAnsi" w:hAnsiTheme="minorHAnsi" w:cstheme="minorHAnsi"/>
          <w:sz w:val="22"/>
          <w:szCs w:val="22"/>
        </w:rPr>
        <w:t xml:space="preserve"> the data to compensate for disproportionate sampling, </w:t>
      </w:r>
      <w:r w:rsidRPr="006561C1" w:rsidR="006561C1">
        <w:rPr>
          <w:rFonts w:asciiTheme="minorHAnsi" w:hAnsiTheme="minorHAnsi" w:cstheme="minorHAnsi"/>
          <w:sz w:val="22"/>
          <w:szCs w:val="22"/>
        </w:rPr>
        <w:t>nonresponse</w:t>
      </w:r>
      <w:r w:rsidRPr="006561C1" w:rsidR="006561C1">
        <w:rPr>
          <w:rFonts w:asciiTheme="minorHAnsi" w:hAnsiTheme="minorHAnsi" w:cstheme="minorHAnsi"/>
          <w:sz w:val="22"/>
          <w:szCs w:val="22"/>
        </w:rPr>
        <w:t xml:space="preserve"> and potential frame noncoverage issues and will produce the estimates to ensure valid inferences</w:t>
      </w:r>
      <w:r w:rsidRPr="005E14DC" w:rsidR="006561C1">
        <w:rPr>
          <w:rFonts w:asciiTheme="minorHAnsi" w:hAnsiTheme="minorHAnsi" w:cstheme="minorHAnsi"/>
          <w:sz w:val="22"/>
          <w:szCs w:val="22"/>
        </w:rPr>
        <w:t>.</w:t>
      </w:r>
      <w:r w:rsidR="0043304B">
        <w:rPr>
          <w:rFonts w:asciiTheme="minorHAnsi" w:hAnsiTheme="minorHAnsi" w:cstheme="minorHAnsi"/>
          <w:sz w:val="22"/>
          <w:szCs w:val="22"/>
        </w:rPr>
        <w:t xml:space="preserve"> </w:t>
      </w:r>
      <w:r w:rsidRPr="005E14DC" w:rsidR="00362D89">
        <w:rPr>
          <w:rFonts w:asciiTheme="minorHAnsi" w:hAnsiTheme="minorHAnsi" w:cstheme="minorHAnsi"/>
          <w:sz w:val="22"/>
          <w:szCs w:val="22"/>
        </w:rPr>
        <w:t xml:space="preserve"> </w:t>
      </w:r>
      <w:r>
        <w:rPr>
          <w:rFonts w:asciiTheme="minorHAnsi" w:hAnsiTheme="minorHAnsi" w:cstheme="minorHAnsi"/>
          <w:sz w:val="22"/>
          <w:szCs w:val="22"/>
        </w:rPr>
        <w:t xml:space="preserve">Limits to representativeness and any other contextual details </w:t>
      </w:r>
      <w:r>
        <w:rPr>
          <w:rFonts w:asciiTheme="minorHAnsi" w:hAnsiTheme="minorHAnsi" w:cstheme="minorHAnsi"/>
          <w:sz w:val="22"/>
          <w:szCs w:val="22"/>
        </w:rPr>
        <w:t xml:space="preserve">relevant to interpreting the findings will </w:t>
      </w:r>
      <w:bookmarkStart w:id="0" w:name="_Hlk41402920"/>
      <w:r>
        <w:rPr>
          <w:rFonts w:asciiTheme="minorHAnsi" w:hAnsiTheme="minorHAnsi" w:cstheme="minorHAnsi"/>
          <w:sz w:val="22"/>
          <w:szCs w:val="22"/>
        </w:rPr>
        <w:t xml:space="preserve">be clearly documented in the text of all written materials associated with the study.  </w:t>
      </w:r>
    </w:p>
    <w:bookmarkEnd w:id="0"/>
    <w:p w:rsidR="006561C1" w:rsidP="00A42C71" w14:paraId="7B9865B3" w14:textId="77777777">
      <w:pPr>
        <w:pStyle w:val="NormalWeb"/>
        <w:spacing w:before="0" w:beforeAutospacing="0" w:after="0" w:afterAutospacing="0"/>
        <w:rPr>
          <w:rFonts w:asciiTheme="minorHAnsi" w:hAnsiTheme="minorHAnsi" w:cstheme="minorHAnsi"/>
          <w:sz w:val="22"/>
          <w:szCs w:val="22"/>
        </w:rPr>
      </w:pPr>
    </w:p>
    <w:p w:rsidR="00A42C71" w:rsidRPr="001A59B6" w:rsidP="00734F7C" w14:paraId="21886270" w14:textId="78E2B2B9">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w:t>
      </w:r>
      <w:r w:rsidRPr="00E77B3F" w:rsidR="00E77B3F">
        <w:rPr>
          <w:rFonts w:asciiTheme="minorHAnsi" w:hAnsiTheme="minorHAnsi" w:cstheme="minorHAnsi"/>
          <w:b/>
          <w:bCs/>
          <w:i/>
          <w:iCs/>
          <w:sz w:val="22"/>
          <w:szCs w:val="22"/>
        </w:rPr>
        <w:t>Section A.2</w:t>
      </w:r>
      <w:r w:rsidRPr="001A59B6">
        <w:rPr>
          <w:rFonts w:asciiTheme="minorHAnsi" w:hAnsiTheme="minorHAnsi" w:cstheme="minorHAnsi"/>
          <w:sz w:val="22"/>
          <w:szCs w:val="22"/>
        </w:rPr>
        <w:t xml:space="preserve">, this information is not intended to be used as the principal basis for public policy decisions and is not expected to meet the threshold of influential or highly influential scientific information.  </w:t>
      </w:r>
    </w:p>
    <w:p w:rsidR="00A42C71" w:rsidRPr="001A59B6" w:rsidP="00734F7C" w14:paraId="083526BA" w14:textId="77777777">
      <w:pPr>
        <w:pStyle w:val="ListParagraph"/>
        <w:spacing w:after="0"/>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F472E7" w:rsidP="00F472E7" w14:paraId="4C77B3BD" w14:textId="77777777">
      <w:pPr>
        <w:spacing w:after="60"/>
        <w:rPr>
          <w:i/>
        </w:rPr>
      </w:pPr>
      <w:r w:rsidRPr="00F472E7">
        <w:rPr>
          <w:i/>
        </w:rPr>
        <w:t xml:space="preserve">Target Population  </w:t>
      </w:r>
    </w:p>
    <w:p w:rsidR="006561C1" w:rsidRPr="007937EB" w:rsidP="00734F7C" w14:paraId="002740BC" w14:textId="067685EC">
      <w:pPr>
        <w:keepNext/>
        <w:spacing w:after="0"/>
        <w:outlineLvl w:val="1"/>
      </w:pPr>
      <w:r>
        <w:t xml:space="preserve">The target population for Phase II includes </w:t>
      </w:r>
      <w:r w:rsidRPr="00421FF9">
        <w:t>all children ages 0-17½ who</w:t>
      </w:r>
      <w:r w:rsidRPr="00945F06">
        <w:t xml:space="preserve"> </w:t>
      </w:r>
      <w:r w:rsidRPr="00985335">
        <w:t xml:space="preserve">come </w:t>
      </w:r>
      <w:r>
        <w:t>into contact with</w:t>
      </w:r>
      <w:r w:rsidRPr="00985335">
        <w:t xml:space="preserve"> the </w:t>
      </w:r>
      <w:r w:rsidR="004D4EF7">
        <w:t xml:space="preserve">child welfare system </w:t>
      </w:r>
      <w:r w:rsidRPr="00421FF9">
        <w:t>during the 12-month sampling period</w:t>
      </w:r>
      <w:r w:rsidR="004D4EF7">
        <w:t>, their current caregivers, and their caseworkers</w:t>
      </w:r>
      <w:r>
        <w:t xml:space="preserve">. Specifically, the target population includes children who were </w:t>
      </w:r>
      <w:r w:rsidRPr="00421FF9">
        <w:t xml:space="preserve">(1) were investigated or assessed for child abuse or neglect and (2) entered state legal custody through other pathways (e.g., juvenile justice). </w:t>
      </w:r>
      <w:r w:rsidR="00FB14B0">
        <w:t>For each of the approximately 6</w:t>
      </w:r>
      <w:r w:rsidR="00EF2C27">
        <w:t>1</w:t>
      </w:r>
      <w:r w:rsidR="00FB14B0">
        <w:t xml:space="preserve"> public child welfare agencies participating in NSCAW III, we will collect information from </w:t>
      </w:r>
      <w:r w:rsidR="006C0CCE">
        <w:t xml:space="preserve">agency </w:t>
      </w:r>
      <w:r w:rsidRPr="007937EB">
        <w:t>directors</w:t>
      </w:r>
      <w:r w:rsidR="00FB14B0">
        <w:t xml:space="preserve">/administrators, </w:t>
      </w:r>
      <w:r w:rsidRPr="007937EB">
        <w:t>supervisors</w:t>
      </w:r>
      <w:r w:rsidR="00FB14B0">
        <w:t xml:space="preserve">, and </w:t>
      </w:r>
      <w:r w:rsidRPr="007937EB">
        <w:t>caseworkers</w:t>
      </w:r>
      <w:r>
        <w:t xml:space="preserve"> (Phase III)</w:t>
      </w:r>
      <w:r w:rsidR="00FB14B0">
        <w:t>.</w:t>
      </w:r>
    </w:p>
    <w:p w:rsidR="00A42C71" w:rsidRPr="001A59B6" w:rsidP="00734F7C" w14:paraId="2DAEC0F7" w14:textId="77777777">
      <w:pPr>
        <w:autoSpaceDE w:val="0"/>
        <w:autoSpaceDN w:val="0"/>
        <w:adjustRightInd w:val="0"/>
        <w:spacing w:after="0"/>
        <w:contextualSpacing/>
        <w:rPr>
          <w:rFonts w:eastAsia="Times New Roman" w:cstheme="minorHAnsi"/>
          <w:color w:val="000000"/>
        </w:rPr>
      </w:pPr>
    </w:p>
    <w:p w:rsidR="00A42C71" w:rsidRPr="00F472E7" w:rsidP="00F472E7" w14:paraId="242D83A5" w14:textId="77777777">
      <w:pPr>
        <w:spacing w:after="60"/>
        <w:rPr>
          <w:i/>
        </w:rPr>
      </w:pPr>
      <w:r w:rsidRPr="00F472E7">
        <w:rPr>
          <w:i/>
        </w:rPr>
        <w:t>Sampling and Site Selection</w:t>
      </w:r>
    </w:p>
    <w:p w:rsidR="001A649B" w:rsidP="00BC435A" w14:paraId="41FA7363" w14:textId="10BF7387">
      <w:pPr>
        <w:pStyle w:val="BodyText"/>
        <w:spacing w:after="0"/>
        <w:rPr>
          <w:rFonts w:asciiTheme="minorHAnsi" w:hAnsiTheme="minorHAnsi" w:cstheme="minorHAnsi"/>
        </w:rPr>
      </w:pPr>
      <w:r w:rsidRPr="001A649B">
        <w:rPr>
          <w:rFonts w:asciiTheme="minorHAnsi" w:hAnsiTheme="minorHAnsi" w:cstheme="minorHAnsi"/>
        </w:rPr>
        <w:t xml:space="preserve">The </w:t>
      </w:r>
      <w:r w:rsidRPr="001A649B" w:rsidR="00E219B9">
        <w:rPr>
          <w:rFonts w:asciiTheme="minorHAnsi" w:hAnsiTheme="minorHAnsi" w:cstheme="minorHAnsi"/>
        </w:rPr>
        <w:t xml:space="preserve">two-stage </w:t>
      </w:r>
      <w:r w:rsidRPr="001A649B">
        <w:rPr>
          <w:rFonts w:asciiTheme="minorHAnsi" w:hAnsiTheme="minorHAnsi" w:cstheme="minorHAnsi"/>
        </w:rPr>
        <w:t xml:space="preserve">sample design </w:t>
      </w:r>
      <w:r w:rsidRPr="001A649B" w:rsidR="00986A0F">
        <w:rPr>
          <w:rFonts w:asciiTheme="minorHAnsi" w:hAnsiTheme="minorHAnsi" w:cstheme="minorHAnsi"/>
        </w:rPr>
        <w:t xml:space="preserve">that </w:t>
      </w:r>
      <w:r w:rsidRPr="001A649B" w:rsidR="00E219B9">
        <w:rPr>
          <w:rFonts w:asciiTheme="minorHAnsi" w:hAnsiTheme="minorHAnsi" w:cstheme="minorHAnsi"/>
        </w:rPr>
        <w:t>guid</w:t>
      </w:r>
      <w:r w:rsidRPr="001A649B" w:rsidR="00986A0F">
        <w:rPr>
          <w:rFonts w:asciiTheme="minorHAnsi" w:hAnsiTheme="minorHAnsi" w:cstheme="minorHAnsi"/>
        </w:rPr>
        <w:t>ed</w:t>
      </w:r>
      <w:r w:rsidRPr="001A649B" w:rsidR="00E219B9">
        <w:rPr>
          <w:rFonts w:asciiTheme="minorHAnsi" w:hAnsiTheme="minorHAnsi" w:cstheme="minorHAnsi"/>
        </w:rPr>
        <w:t xml:space="preserve"> the selection of child welfare agencies and children in </w:t>
      </w:r>
      <w:r w:rsidRPr="001A649B">
        <w:rPr>
          <w:rFonts w:asciiTheme="minorHAnsi" w:hAnsiTheme="minorHAnsi" w:cstheme="minorHAnsi"/>
        </w:rPr>
        <w:t>Phase I and II</w:t>
      </w:r>
      <w:r w:rsidRPr="001A649B" w:rsidR="00E219B9">
        <w:rPr>
          <w:rFonts w:asciiTheme="minorHAnsi" w:hAnsiTheme="minorHAnsi" w:cstheme="minorHAnsi"/>
        </w:rPr>
        <w:t xml:space="preserve"> of NSCAW III</w:t>
      </w:r>
      <w:r w:rsidRPr="001A649B" w:rsidR="00B4266C">
        <w:rPr>
          <w:rFonts w:asciiTheme="minorHAnsi" w:hAnsiTheme="minorHAnsi" w:cstheme="minorHAnsi"/>
        </w:rPr>
        <w:t xml:space="preserve"> </w:t>
      </w:r>
      <w:r w:rsidRPr="001A649B">
        <w:rPr>
          <w:rFonts w:asciiTheme="minorHAnsi" w:hAnsiTheme="minorHAnsi" w:cstheme="minorHAnsi"/>
        </w:rPr>
        <w:t xml:space="preserve">is included </w:t>
      </w:r>
      <w:r w:rsidRPr="001A649B" w:rsidR="00E219B9">
        <w:rPr>
          <w:rFonts w:asciiTheme="minorHAnsi" w:hAnsiTheme="minorHAnsi" w:cstheme="minorHAnsi"/>
        </w:rPr>
        <w:t xml:space="preserve">for reference </w:t>
      </w:r>
      <w:r w:rsidRPr="001A649B" w:rsidR="00B4266C">
        <w:rPr>
          <w:rFonts w:asciiTheme="minorHAnsi" w:hAnsiTheme="minorHAnsi" w:cstheme="minorHAnsi"/>
        </w:rPr>
        <w:t xml:space="preserve">in </w:t>
      </w:r>
      <w:r w:rsidRPr="001A649B">
        <w:rPr>
          <w:rFonts w:asciiTheme="minorHAnsi" w:hAnsiTheme="minorHAnsi" w:cstheme="minorHAnsi"/>
          <w:b/>
          <w:bCs/>
          <w:i/>
          <w:iCs/>
        </w:rPr>
        <w:t xml:space="preserve">Appendix </w:t>
      </w:r>
      <w:r w:rsidR="00EB0416">
        <w:rPr>
          <w:rFonts w:asciiTheme="minorHAnsi" w:hAnsiTheme="minorHAnsi" w:cstheme="minorHAnsi"/>
          <w:b/>
          <w:bCs/>
          <w:i/>
          <w:iCs/>
        </w:rPr>
        <w:t>L</w:t>
      </w:r>
      <w:r w:rsidRPr="001A649B">
        <w:rPr>
          <w:rFonts w:asciiTheme="minorHAnsi" w:hAnsiTheme="minorHAnsi" w:cstheme="minorHAnsi"/>
          <w:b/>
          <w:bCs/>
        </w:rPr>
        <w:t>.</w:t>
      </w:r>
      <w:r w:rsidRPr="001A649B">
        <w:rPr>
          <w:rFonts w:asciiTheme="minorHAnsi" w:hAnsiTheme="minorHAnsi" w:cstheme="minorHAnsi"/>
        </w:rPr>
        <w:t xml:space="preserve"> As with prior NSCAW surveys, NSCAW III employed a stratified, two-stage sample design. The primary sampling units (PSUs) were U.S. counties or contiguous areas of two or more counties (i.e., in larger metropolitan areas with branch offices) and the secondary sampling units were children involved with the </w:t>
      </w:r>
      <w:r>
        <w:rPr>
          <w:rFonts w:asciiTheme="minorHAnsi" w:hAnsiTheme="minorHAnsi" w:cstheme="minorHAnsi"/>
        </w:rPr>
        <w:t xml:space="preserve">child welfare system </w:t>
      </w:r>
      <w:r w:rsidRPr="001A649B">
        <w:rPr>
          <w:rFonts w:asciiTheme="minorHAnsi" w:hAnsiTheme="minorHAnsi" w:cstheme="minorHAnsi"/>
        </w:rPr>
        <w:t xml:space="preserve">during the sample recruitment period. Once the PSUs were selected, child welfare agencies in these PSUs were contacted and asked to participate in the study. Data were then collected from a sample of children, caregivers, and caseworkers in these agencies, providing a full picture of child outcomes and their determinants. </w:t>
      </w:r>
    </w:p>
    <w:p w:rsidR="00BC435A" w:rsidRPr="001A649B" w:rsidP="005E00C7" w14:paraId="52CA0EEC" w14:textId="77777777">
      <w:pPr>
        <w:pStyle w:val="BodyText"/>
        <w:spacing w:after="0"/>
        <w:rPr>
          <w:rFonts w:asciiTheme="minorHAnsi" w:hAnsiTheme="minorHAnsi" w:cstheme="minorHAnsi"/>
          <w:b/>
          <w:iCs/>
        </w:rPr>
      </w:pPr>
    </w:p>
    <w:p w:rsidR="00624F1E" w14:paraId="35AE828C" w14:textId="006D28C1">
      <w:pPr>
        <w:rPr>
          <w:b/>
          <w:bCs/>
        </w:rPr>
      </w:pPr>
      <w:r>
        <w:t xml:space="preserve">Phase III </w:t>
      </w:r>
      <w:r w:rsidR="00CC1045">
        <w:t>has</w:t>
      </w:r>
      <w:r w:rsidRPr="007937EB" w:rsidR="006561C1">
        <w:t xml:space="preserve"> three sampling frames corresponding to the three levels of employee</w:t>
      </w:r>
      <w:r w:rsidR="00E1283F">
        <w:t>s</w:t>
      </w:r>
      <w:r w:rsidRPr="007937EB" w:rsidR="006561C1">
        <w:t xml:space="preserve"> working </w:t>
      </w:r>
      <w:r w:rsidR="00E1283F">
        <w:t>in public child welfare a</w:t>
      </w:r>
      <w:r w:rsidRPr="007937EB" w:rsidR="006561C1">
        <w:t>gencies. For agency directors</w:t>
      </w:r>
      <w:r w:rsidR="00E1283F">
        <w:t>/administrators</w:t>
      </w:r>
      <w:r w:rsidRPr="007937EB" w:rsidR="006561C1">
        <w:t>, the sample consists of all directors</w:t>
      </w:r>
      <w:r w:rsidR="00E1283F">
        <w:t xml:space="preserve">/administrators </w:t>
      </w:r>
      <w:r w:rsidRPr="007937EB" w:rsidR="006561C1">
        <w:t xml:space="preserve">associated with the </w:t>
      </w:r>
      <w:r w:rsidR="00E55AB1">
        <w:t>61</w:t>
      </w:r>
      <w:r w:rsidRPr="007937EB" w:rsidR="006561C1">
        <w:t xml:space="preserve"> </w:t>
      </w:r>
      <w:r w:rsidR="00E1283F">
        <w:t xml:space="preserve">agencies. </w:t>
      </w:r>
      <w:r w:rsidRPr="007937EB" w:rsidR="006561C1">
        <w:t xml:space="preserve">The supervisor sample </w:t>
      </w:r>
      <w:r w:rsidR="00EB0416">
        <w:t xml:space="preserve">was </w:t>
      </w:r>
      <w:r w:rsidRPr="007937EB" w:rsidR="006561C1">
        <w:t xml:space="preserve">randomly selected from </w:t>
      </w:r>
      <w:r w:rsidR="00E1283F">
        <w:t xml:space="preserve">rosters of </w:t>
      </w:r>
      <w:r w:rsidRPr="007937EB" w:rsidR="006561C1">
        <w:t xml:space="preserve">supervisors employed within the </w:t>
      </w:r>
      <w:r w:rsidR="00E55AB1">
        <w:t>61</w:t>
      </w:r>
      <w:r w:rsidRPr="007937EB" w:rsidR="006561C1">
        <w:t xml:space="preserve"> </w:t>
      </w:r>
      <w:r w:rsidR="00E1283F">
        <w:t>agencies</w:t>
      </w:r>
      <w:r w:rsidR="002214BD">
        <w:t xml:space="preserve"> (for details, see Q39 the attached Instrument 1_Agency Director Survey)</w:t>
      </w:r>
      <w:r w:rsidR="00E1283F">
        <w:t xml:space="preserve">.  </w:t>
      </w:r>
      <w:r w:rsidR="00E637F6">
        <w:t>T</w:t>
      </w:r>
      <w:r w:rsidRPr="007937EB" w:rsidR="006561C1">
        <w:t xml:space="preserve">he caseworker sample </w:t>
      </w:r>
      <w:r w:rsidR="00EB0416">
        <w:t>was</w:t>
      </w:r>
      <w:r w:rsidRPr="007937EB" w:rsidR="006561C1">
        <w:t xml:space="preserve"> randomly selected from</w:t>
      </w:r>
      <w:r w:rsidR="00E1283F">
        <w:t xml:space="preserve"> rosters of </w:t>
      </w:r>
      <w:r w:rsidRPr="007937EB" w:rsidR="006561C1">
        <w:t xml:space="preserve">caseworkers who report to the supervisors </w:t>
      </w:r>
      <w:r w:rsidR="00E1283F">
        <w:t xml:space="preserve">participating in </w:t>
      </w:r>
      <w:r w:rsidRPr="007937EB" w:rsidR="006561C1">
        <w:t xml:space="preserve">the study. </w:t>
      </w:r>
      <w:r w:rsidRPr="007937EB" w:rsidR="00E637F6">
        <w:t xml:space="preserve">Initially, one supervisor </w:t>
      </w:r>
      <w:r w:rsidR="00EB0416">
        <w:t>was</w:t>
      </w:r>
      <w:r w:rsidRPr="007937EB" w:rsidR="00E637F6">
        <w:t xml:space="preserve"> selected with certainty from each agency</w:t>
      </w:r>
      <w:r w:rsidR="002214BD">
        <w:t xml:space="preserve"> (for details, see Q19 in the attached Instrument 2_Agency Director Survey)</w:t>
      </w:r>
      <w:r w:rsidRPr="007937EB" w:rsidR="00E637F6">
        <w:t xml:space="preserve">. </w:t>
      </w:r>
      <w:r w:rsidRPr="007937EB" w:rsidR="00734F7C">
        <w:t xml:space="preserve">For agencies having two or more supervisors, </w:t>
      </w:r>
      <w:r w:rsidR="00734F7C">
        <w:t xml:space="preserve">additional </w:t>
      </w:r>
      <w:r w:rsidRPr="007937EB" w:rsidR="00734F7C">
        <w:t>supervisor</w:t>
      </w:r>
      <w:r w:rsidR="00734F7C">
        <w:t>s</w:t>
      </w:r>
      <w:r w:rsidRPr="007937EB" w:rsidR="00734F7C">
        <w:t xml:space="preserve"> </w:t>
      </w:r>
      <w:r w:rsidR="00EB0416">
        <w:t xml:space="preserve">were </w:t>
      </w:r>
      <w:r w:rsidRPr="007937EB" w:rsidR="00734F7C">
        <w:t>randomly selected</w:t>
      </w:r>
      <w:r w:rsidR="00734F7C">
        <w:t xml:space="preserve"> for participation</w:t>
      </w:r>
      <w:r w:rsidRPr="00624F1E" w:rsidR="00734F7C">
        <w:rPr>
          <w:color w:val="000000" w:themeColor="text1"/>
        </w:rPr>
        <w:t xml:space="preserve">.  </w:t>
      </w:r>
      <w:r w:rsidRPr="00624F1E" w:rsidR="00562618">
        <w:rPr>
          <w:rFonts w:eastAsia="Times New Roman"/>
          <w:color w:val="000000" w:themeColor="text1"/>
        </w:rPr>
        <w:t xml:space="preserve">Up to three caseworkers </w:t>
      </w:r>
      <w:r w:rsidR="00EB0416">
        <w:rPr>
          <w:rFonts w:eastAsia="Times New Roman"/>
          <w:color w:val="000000" w:themeColor="text1"/>
        </w:rPr>
        <w:t>were</w:t>
      </w:r>
      <w:r w:rsidRPr="00624F1E" w:rsidR="00562618">
        <w:rPr>
          <w:rFonts w:eastAsia="Times New Roman"/>
          <w:color w:val="000000" w:themeColor="text1"/>
        </w:rPr>
        <w:t xml:space="preserve"> selected for each supervisor.  If a supervisor </w:t>
      </w:r>
      <w:r w:rsidRPr="00624F1E" w:rsidR="00EB0416">
        <w:rPr>
          <w:rFonts w:eastAsia="Times New Roman"/>
          <w:color w:val="000000" w:themeColor="text1"/>
        </w:rPr>
        <w:t>ha</w:t>
      </w:r>
      <w:r w:rsidR="00EB0416">
        <w:rPr>
          <w:rFonts w:eastAsia="Times New Roman"/>
          <w:color w:val="000000" w:themeColor="text1"/>
        </w:rPr>
        <w:t>d</w:t>
      </w:r>
      <w:r w:rsidRPr="00624F1E" w:rsidR="00EB0416">
        <w:rPr>
          <w:rFonts w:eastAsia="Times New Roman"/>
          <w:color w:val="000000" w:themeColor="text1"/>
        </w:rPr>
        <w:t xml:space="preserve"> </w:t>
      </w:r>
      <w:r w:rsidRPr="00624F1E" w:rsidR="00562618">
        <w:rPr>
          <w:rFonts w:eastAsia="Times New Roman"/>
          <w:color w:val="000000" w:themeColor="text1"/>
        </w:rPr>
        <w:t xml:space="preserve">more than three caseworkers, three caseworkers </w:t>
      </w:r>
      <w:r w:rsidR="00EB0416">
        <w:rPr>
          <w:rFonts w:eastAsia="Times New Roman"/>
          <w:color w:val="000000" w:themeColor="text1"/>
        </w:rPr>
        <w:t>were</w:t>
      </w:r>
      <w:r w:rsidRPr="00624F1E" w:rsidR="00562618">
        <w:rPr>
          <w:rFonts w:eastAsia="Times New Roman"/>
          <w:color w:val="000000" w:themeColor="text1"/>
        </w:rPr>
        <w:t xml:space="preserve"> selected at random.  For supervisors having fewer than three caseworkers, the caseworkers reporting to that supervisor will be selected with certainty.  </w:t>
      </w:r>
      <w:r w:rsidRPr="00624F1E" w:rsidR="00734F7C">
        <w:rPr>
          <w:color w:val="000000" w:themeColor="text1"/>
        </w:rPr>
        <w:t xml:space="preserve">An average of two supervisor and three caseworker surveys per agency </w:t>
      </w:r>
      <w:r w:rsidR="00EB0416">
        <w:rPr>
          <w:color w:val="000000" w:themeColor="text1"/>
        </w:rPr>
        <w:t>were</w:t>
      </w:r>
      <w:r w:rsidRPr="00624F1E" w:rsidR="00EB0416">
        <w:rPr>
          <w:color w:val="000000" w:themeColor="text1"/>
        </w:rPr>
        <w:t xml:space="preserve"> </w:t>
      </w:r>
      <w:r w:rsidRPr="00624F1E" w:rsidR="00734F7C">
        <w:rPr>
          <w:color w:val="000000" w:themeColor="text1"/>
        </w:rPr>
        <w:t xml:space="preserve">anticipated. </w:t>
      </w:r>
      <w:r>
        <w:rPr>
          <w:b/>
          <w:bCs/>
        </w:rPr>
        <w:br w:type="page"/>
      </w:r>
    </w:p>
    <w:p w:rsidR="00FD45CA" w:rsidP="00BC435A" w14:paraId="16B7DC06" w14:textId="6814F96E">
      <w:pPr>
        <w:pStyle w:val="BodyText"/>
        <w:spacing w:after="0"/>
        <w:rPr>
          <w:rFonts w:asciiTheme="minorHAnsi" w:hAnsiTheme="minorHAnsi" w:cstheme="minorHAnsi"/>
          <w:szCs w:val="22"/>
        </w:rPr>
      </w:pPr>
      <w:r w:rsidRPr="0020550C">
        <w:rPr>
          <w:rFonts w:asciiTheme="minorHAnsi" w:hAnsiTheme="minorHAnsi" w:cstheme="minorHAnsi"/>
          <w:i/>
          <w:iCs/>
          <w:szCs w:val="22"/>
        </w:rPr>
        <w:t xml:space="preserve">Panel Retention </w:t>
      </w:r>
      <w:r>
        <w:rPr>
          <w:rFonts w:asciiTheme="minorHAnsi" w:hAnsiTheme="minorHAnsi" w:cstheme="minorHAnsi"/>
          <w:szCs w:val="22"/>
        </w:rPr>
        <w:t xml:space="preserve">Panel retention is a challenge for NSCAW and other longitudinal surveys. For each data collection wave of NSCAW, caregivers and youth ages 16 and older are asked to provide their address, telephone numbers, email address, and Social Security Number for locating purposes. They are also asked to provide names and contact information for up to two friends and relatives. The collection of this information is </w:t>
      </w:r>
      <w:r w:rsidR="008574C6">
        <w:rPr>
          <w:rFonts w:asciiTheme="minorHAnsi" w:hAnsiTheme="minorHAnsi" w:cstheme="minorHAnsi"/>
          <w:szCs w:val="22"/>
        </w:rPr>
        <w:t>in</w:t>
      </w:r>
      <w:r>
        <w:rPr>
          <w:rFonts w:asciiTheme="minorHAnsi" w:hAnsiTheme="minorHAnsi" w:cstheme="minorHAnsi"/>
          <w:szCs w:val="22"/>
        </w:rPr>
        <w:t xml:space="preserve">tended to support panel retention and increase the likelihood of locating respondents over time. To </w:t>
      </w:r>
      <w:r>
        <w:rPr>
          <w:rFonts w:asciiTheme="minorHAnsi" w:hAnsiTheme="minorHAnsi" w:cstheme="minorHAnsi"/>
          <w:szCs w:val="22"/>
        </w:rPr>
        <w:t>support cohort retention over time</w:t>
      </w:r>
      <w:r>
        <w:rPr>
          <w:rFonts w:asciiTheme="minorHAnsi" w:hAnsiTheme="minorHAnsi" w:cstheme="minorHAnsi"/>
          <w:szCs w:val="22"/>
        </w:rPr>
        <w:t xml:space="preserve">, </w:t>
      </w:r>
      <w:r>
        <w:rPr>
          <w:rFonts w:asciiTheme="minorHAnsi" w:hAnsiTheme="minorHAnsi" w:cstheme="minorHAnsi"/>
          <w:szCs w:val="22"/>
        </w:rPr>
        <w:t>caregiver and young adult cohort members will be recontacted at their last known address and/or telephone number</w:t>
      </w:r>
      <w:r w:rsidR="00B8245F">
        <w:rPr>
          <w:rFonts w:asciiTheme="minorHAnsi" w:hAnsiTheme="minorHAnsi" w:cstheme="minorHAnsi"/>
          <w:szCs w:val="22"/>
        </w:rPr>
        <w:t xml:space="preserve"> </w:t>
      </w:r>
      <w:r>
        <w:rPr>
          <w:rFonts w:asciiTheme="minorHAnsi" w:hAnsiTheme="minorHAnsi" w:cstheme="minorHAnsi"/>
          <w:szCs w:val="22"/>
        </w:rPr>
        <w:t xml:space="preserve">to confirm or update their contact information. </w:t>
      </w:r>
    </w:p>
    <w:p w:rsidR="00BC435A" w:rsidP="005E00C7" w14:paraId="07B1D8AA" w14:textId="77777777">
      <w:pPr>
        <w:pStyle w:val="BodyText"/>
        <w:spacing w:after="0"/>
        <w:rPr>
          <w:rFonts w:asciiTheme="minorHAnsi" w:hAnsiTheme="minorHAnsi" w:cstheme="minorHAnsi"/>
          <w:szCs w:val="22"/>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F472E7" w:rsidP="00F472E7" w14:paraId="2E0B6BE8" w14:textId="2CC48DB3">
      <w:pPr>
        <w:spacing w:after="60"/>
        <w:rPr>
          <w:i/>
        </w:rPr>
      </w:pPr>
      <w:r w:rsidRPr="00F472E7">
        <w:rPr>
          <w:i/>
        </w:rPr>
        <w:t>Development of Data Collection Instruments</w:t>
      </w:r>
    </w:p>
    <w:p w:rsidR="00AF7976" w:rsidP="00AF7976" w14:paraId="285963F5" w14:textId="15E6A9FC">
      <w:pPr>
        <w:spacing w:after="0"/>
        <w:rPr>
          <w:bCs/>
        </w:rPr>
      </w:pPr>
      <w:r>
        <w:rPr>
          <w:rFonts w:eastAsia="Times New Roman" w:cstheme="minorHAnsi"/>
          <w:color w:val="000000"/>
        </w:rPr>
        <w:t>In July 2017, OMB approved in-person versions of the child, caregiver, and caseworker survey instruments (</w:t>
      </w:r>
      <w:r w:rsidRPr="00AF7976">
        <w:rPr>
          <w:rFonts w:eastAsia="Times New Roman" w:cstheme="minorHAnsi"/>
          <w:b/>
          <w:bCs/>
          <w:i/>
          <w:iCs/>
          <w:color w:val="000000"/>
        </w:rPr>
        <w:t>Appendices B</w:t>
      </w:r>
      <w:r>
        <w:rPr>
          <w:rFonts w:eastAsia="Times New Roman" w:cstheme="minorHAnsi"/>
          <w:b/>
          <w:bCs/>
          <w:i/>
          <w:iCs/>
          <w:color w:val="000000"/>
        </w:rPr>
        <w:t xml:space="preserve">, C, </w:t>
      </w:r>
      <w:r w:rsidRPr="00AF7976">
        <w:rPr>
          <w:rFonts w:eastAsia="Times New Roman" w:cstheme="minorHAnsi"/>
          <w:color w:val="000000"/>
        </w:rPr>
        <w:t>and</w:t>
      </w:r>
      <w:r>
        <w:rPr>
          <w:rFonts w:eastAsia="Times New Roman" w:cstheme="minorHAnsi"/>
          <w:b/>
          <w:bCs/>
          <w:i/>
          <w:iCs/>
          <w:color w:val="000000"/>
        </w:rPr>
        <w:t xml:space="preserve"> </w:t>
      </w:r>
      <w:r w:rsidRPr="00AF7976">
        <w:rPr>
          <w:rFonts w:eastAsia="Times New Roman" w:cstheme="minorHAnsi"/>
          <w:b/>
          <w:bCs/>
          <w:i/>
          <w:iCs/>
          <w:color w:val="000000"/>
        </w:rPr>
        <w:t>D</w:t>
      </w:r>
      <w:r>
        <w:rPr>
          <w:rFonts w:eastAsia="Times New Roman" w:cstheme="minorHAnsi"/>
          <w:color w:val="000000"/>
        </w:rPr>
        <w:t>).  A</w:t>
      </w:r>
      <w:r w:rsidR="00F55F71">
        <w:rPr>
          <w:rFonts w:eastAsia="Times New Roman" w:cstheme="minorHAnsi"/>
          <w:color w:val="000000"/>
        </w:rPr>
        <w:t xml:space="preserve"> summary of </w:t>
      </w:r>
      <w:r>
        <w:rPr>
          <w:rFonts w:eastAsia="Times New Roman" w:cstheme="minorHAnsi"/>
          <w:color w:val="000000"/>
        </w:rPr>
        <w:t xml:space="preserve">the content of the </w:t>
      </w:r>
      <w:r w:rsidR="00F55F71">
        <w:rPr>
          <w:rFonts w:eastAsia="Times New Roman" w:cstheme="minorHAnsi"/>
          <w:color w:val="000000"/>
        </w:rPr>
        <w:t xml:space="preserve">in-person </w:t>
      </w:r>
      <w:r>
        <w:rPr>
          <w:rFonts w:eastAsia="Times New Roman" w:cstheme="minorHAnsi"/>
          <w:color w:val="000000"/>
        </w:rPr>
        <w:t xml:space="preserve">instruments is provided in </w:t>
      </w:r>
      <w:r w:rsidRPr="00AF7976">
        <w:rPr>
          <w:rFonts w:eastAsia="Times New Roman" w:cstheme="minorHAnsi"/>
          <w:b/>
          <w:bCs/>
          <w:i/>
          <w:iCs/>
          <w:color w:val="000000"/>
        </w:rPr>
        <w:t>Appendix A</w:t>
      </w:r>
      <w:r>
        <w:rPr>
          <w:rFonts w:eastAsia="Times New Roman" w:cstheme="minorHAnsi"/>
          <w:color w:val="000000"/>
        </w:rPr>
        <w:t>.  In September 2021, OMB approved remote versions of the child, caregiver, and caseworker survey instruments (</w:t>
      </w:r>
      <w:r w:rsidRPr="00AF7976">
        <w:rPr>
          <w:rFonts w:eastAsia="Times New Roman" w:cstheme="minorHAnsi"/>
          <w:b/>
          <w:bCs/>
          <w:i/>
          <w:iCs/>
          <w:color w:val="000000"/>
        </w:rPr>
        <w:t>Appendices B-1, C-1,</w:t>
      </w:r>
      <w:r>
        <w:rPr>
          <w:rFonts w:eastAsia="Times New Roman" w:cstheme="minorHAnsi"/>
          <w:b/>
          <w:bCs/>
          <w:i/>
          <w:iCs/>
          <w:color w:val="000000"/>
        </w:rPr>
        <w:t xml:space="preserve"> </w:t>
      </w:r>
      <w:r w:rsidRPr="00AF7976">
        <w:rPr>
          <w:rFonts w:eastAsia="Times New Roman" w:cstheme="minorHAnsi"/>
          <w:color w:val="000000"/>
        </w:rPr>
        <w:t>and</w:t>
      </w:r>
      <w:r w:rsidRPr="00AF7976">
        <w:rPr>
          <w:rFonts w:eastAsia="Times New Roman" w:cstheme="minorHAnsi"/>
          <w:b/>
          <w:bCs/>
          <w:i/>
          <w:iCs/>
          <w:color w:val="000000"/>
        </w:rPr>
        <w:t xml:space="preserve"> D-1</w:t>
      </w:r>
      <w:r>
        <w:rPr>
          <w:rFonts w:eastAsia="Times New Roman" w:cstheme="minorHAnsi"/>
          <w:color w:val="000000"/>
        </w:rPr>
        <w:t xml:space="preserve">).  </w:t>
      </w:r>
      <w:r w:rsidRPr="004B38E2" w:rsidR="00F55F71">
        <w:rPr>
          <w:b/>
          <w:i/>
          <w:iCs/>
        </w:rPr>
        <w:t>Appendix A-1</w:t>
      </w:r>
      <w:r w:rsidR="00F55F71">
        <w:rPr>
          <w:bCs/>
        </w:rPr>
        <w:t xml:space="preserve"> provides a summary of the changes that were made to the Phase II in-person follow-up surveys to provide a remote administration option</w:t>
      </w:r>
      <w:r w:rsidR="00F55F71">
        <w:rPr>
          <w:rFonts w:eastAsia="Times New Roman" w:cstheme="minorHAnsi"/>
          <w:color w:val="000000"/>
        </w:rPr>
        <w:t>.</w:t>
      </w:r>
    </w:p>
    <w:p w:rsidR="00AF7976" w:rsidP="00AF7976" w14:paraId="4BD54408" w14:textId="77777777">
      <w:pPr>
        <w:spacing w:after="0"/>
        <w:rPr>
          <w:bCs/>
        </w:rPr>
      </w:pPr>
    </w:p>
    <w:p w:rsidR="00AF7976" w:rsidP="00AF7976" w14:paraId="57307FAA" w14:textId="61015884">
      <w:pPr>
        <w:spacing w:after="0"/>
        <w:rPr>
          <w:bCs/>
        </w:rPr>
      </w:pPr>
      <w:r>
        <w:rPr>
          <w:bCs/>
        </w:rPr>
        <w:t xml:space="preserve">In situations where the remote child and caregiver surveys are completed in person, the field interviewer will complete the telephone portion of the survey with the respondent and then ask the respondent to complete the web portion of the survey on their own using the field interviewer’s laptop (see </w:t>
      </w:r>
      <w:r w:rsidRPr="00E64537">
        <w:rPr>
          <w:b/>
          <w:i/>
          <w:iCs/>
        </w:rPr>
        <w:t>Appendices B-1</w:t>
      </w:r>
      <w:r>
        <w:rPr>
          <w:bCs/>
        </w:rPr>
        <w:t xml:space="preserve"> and </w:t>
      </w:r>
      <w:r w:rsidRPr="00E64537">
        <w:rPr>
          <w:b/>
          <w:i/>
          <w:iCs/>
        </w:rPr>
        <w:t>C-1</w:t>
      </w:r>
      <w:r>
        <w:rPr>
          <w:bCs/>
        </w:rPr>
        <w:t xml:space="preserve">). The caseworker interview will be completed by telephone only. </w:t>
      </w:r>
    </w:p>
    <w:p w:rsidR="00AF7976" w:rsidP="00AF7976" w14:paraId="0BADA4F6" w14:textId="77777777">
      <w:pPr>
        <w:spacing w:after="0"/>
        <w:rPr>
          <w:bCs/>
        </w:rPr>
      </w:pPr>
    </w:p>
    <w:p w:rsidR="006561C1" w:rsidP="00112718" w14:paraId="7B3BF597" w14:textId="647439F5">
      <w:pPr>
        <w:spacing w:after="0"/>
        <w:rPr>
          <w:bCs/>
        </w:rPr>
      </w:pPr>
      <w:r>
        <w:rPr>
          <w:rFonts w:eastAsia="Times New Roman" w:cstheme="minorHAnsi"/>
          <w:color w:val="000000"/>
        </w:rPr>
        <w:t>Prior to Phase III, a</w:t>
      </w:r>
      <w:r>
        <w:rPr>
          <w:rFonts w:eastAsia="Times New Roman" w:cstheme="minorHAnsi"/>
          <w:color w:val="000000"/>
        </w:rPr>
        <w:t xml:space="preserve"> panel </w:t>
      </w:r>
      <w:r w:rsidR="009E7E84">
        <w:rPr>
          <w:rFonts w:eastAsia="Times New Roman" w:cstheme="minorHAnsi"/>
          <w:color w:val="000000"/>
        </w:rPr>
        <w:t>with expertise in the child welfare workforce w</w:t>
      </w:r>
      <w:r>
        <w:rPr>
          <w:rFonts w:eastAsia="Times New Roman" w:cstheme="minorHAnsi"/>
          <w:color w:val="000000"/>
        </w:rPr>
        <w:t xml:space="preserve">ere convened to provide input on </w:t>
      </w:r>
      <w:r w:rsidR="009E7E84">
        <w:rPr>
          <w:rFonts w:eastAsia="Times New Roman" w:cstheme="minorHAnsi"/>
          <w:color w:val="000000"/>
        </w:rPr>
        <w:t xml:space="preserve">preliminary </w:t>
      </w:r>
      <w:r>
        <w:rPr>
          <w:rFonts w:eastAsia="Times New Roman" w:cstheme="minorHAnsi"/>
          <w:color w:val="000000"/>
        </w:rPr>
        <w:t xml:space="preserve">research questions, </w:t>
      </w:r>
      <w:r w:rsidR="00A4543C">
        <w:rPr>
          <w:rFonts w:eastAsia="Times New Roman" w:cstheme="minorHAnsi"/>
          <w:color w:val="000000"/>
        </w:rPr>
        <w:t>survey respondents,</w:t>
      </w:r>
      <w:r w:rsidR="00112718">
        <w:rPr>
          <w:rFonts w:eastAsia="Times New Roman" w:cstheme="minorHAnsi"/>
          <w:color w:val="000000"/>
        </w:rPr>
        <w:t xml:space="preserve"> </w:t>
      </w:r>
      <w:r w:rsidR="00A4543C">
        <w:rPr>
          <w:rFonts w:eastAsia="Times New Roman" w:cstheme="minorHAnsi"/>
          <w:color w:val="000000"/>
        </w:rPr>
        <w:t>sampling</w:t>
      </w:r>
      <w:r w:rsidR="009E7E84">
        <w:rPr>
          <w:rFonts w:eastAsia="Times New Roman" w:cstheme="minorHAnsi"/>
          <w:color w:val="000000"/>
        </w:rPr>
        <w:t xml:space="preserve">, and </w:t>
      </w:r>
      <w:r>
        <w:rPr>
          <w:rFonts w:eastAsia="Times New Roman" w:cstheme="minorHAnsi"/>
          <w:color w:val="000000"/>
        </w:rPr>
        <w:t xml:space="preserve">potential constructs and measures to be </w:t>
      </w:r>
      <w:r w:rsidR="00112718">
        <w:rPr>
          <w:rFonts w:eastAsia="Times New Roman" w:cstheme="minorHAnsi"/>
          <w:color w:val="000000"/>
        </w:rPr>
        <w:t xml:space="preserve">included in the data collection instruments.  </w:t>
      </w:r>
      <w:r>
        <w:rPr>
          <w:rFonts w:eastAsia="Times New Roman" w:cstheme="minorHAnsi"/>
          <w:color w:val="000000"/>
        </w:rPr>
        <w:t xml:space="preserve">A review of the workforce literature was </w:t>
      </w:r>
      <w:r w:rsidR="009E7E84">
        <w:rPr>
          <w:rFonts w:eastAsia="Times New Roman" w:cstheme="minorHAnsi"/>
          <w:color w:val="000000"/>
        </w:rPr>
        <w:t xml:space="preserve">also </w:t>
      </w:r>
      <w:r>
        <w:rPr>
          <w:rFonts w:eastAsia="Times New Roman" w:cstheme="minorHAnsi"/>
          <w:color w:val="000000"/>
        </w:rPr>
        <w:t xml:space="preserve">conducted to </w:t>
      </w:r>
      <w:r w:rsidR="009E7E84">
        <w:rPr>
          <w:rFonts w:eastAsia="Times New Roman" w:cstheme="minorHAnsi"/>
          <w:color w:val="000000"/>
        </w:rPr>
        <w:t xml:space="preserve">identify </w:t>
      </w:r>
      <w:r w:rsidR="00526604">
        <w:rPr>
          <w:rFonts w:eastAsia="Times New Roman" w:cstheme="minorHAnsi"/>
          <w:color w:val="000000"/>
        </w:rPr>
        <w:t xml:space="preserve">knowledge gaps and </w:t>
      </w:r>
      <w:r>
        <w:rPr>
          <w:rFonts w:eastAsia="Times New Roman" w:cstheme="minorHAnsi"/>
          <w:color w:val="000000"/>
        </w:rPr>
        <w:t xml:space="preserve">additional constructs and measures </w:t>
      </w:r>
      <w:r w:rsidR="009E7E84">
        <w:rPr>
          <w:rFonts w:eastAsia="Times New Roman" w:cstheme="minorHAnsi"/>
          <w:color w:val="000000"/>
        </w:rPr>
        <w:t xml:space="preserve">of interest.  Standardized and validated measures were incorporated into the </w:t>
      </w:r>
      <w:r w:rsidR="00526604">
        <w:rPr>
          <w:rFonts w:eastAsia="Times New Roman" w:cstheme="minorHAnsi"/>
          <w:color w:val="000000"/>
        </w:rPr>
        <w:t xml:space="preserve">draft data collection instruments </w:t>
      </w:r>
      <w:r w:rsidR="009E7E84">
        <w:rPr>
          <w:rFonts w:eastAsia="Times New Roman" w:cstheme="minorHAnsi"/>
          <w:color w:val="000000"/>
        </w:rPr>
        <w:t>whenever possible.  Draft</w:t>
      </w:r>
      <w:r w:rsidR="00112718">
        <w:rPr>
          <w:rFonts w:eastAsia="Times New Roman" w:cstheme="minorHAnsi"/>
          <w:color w:val="000000"/>
        </w:rPr>
        <w:t xml:space="preserve"> data collection instruments were </w:t>
      </w:r>
      <w:r w:rsidR="009E7E84">
        <w:rPr>
          <w:rFonts w:eastAsia="Times New Roman" w:cstheme="minorHAnsi"/>
          <w:color w:val="000000"/>
        </w:rPr>
        <w:t xml:space="preserve">developed and underwent multiple iterations of review by the project team and selected experts.  </w:t>
      </w:r>
    </w:p>
    <w:p w:rsidR="006561C1" w:rsidP="006561C1" w14:paraId="6BFAD6DC" w14:textId="119329D6">
      <w:pPr>
        <w:spacing w:after="0" w:line="240" w:lineRule="auto"/>
        <w:rPr>
          <w:bCs/>
        </w:rPr>
      </w:pPr>
    </w:p>
    <w:p w:rsidR="00A42C71" w:rsidRPr="001A59B6" w:rsidP="00A42C71" w14:paraId="3E0643E6" w14:textId="2A97627A">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D58A4" w:rsidP="003C725E" w14:paraId="421FC0A6" w14:textId="0AEA6BFC">
      <w:pPr>
        <w:autoSpaceDE w:val="0"/>
        <w:autoSpaceDN w:val="0"/>
        <w:adjustRightInd w:val="0"/>
        <w:spacing w:after="0"/>
        <w:rPr>
          <w:rFonts w:ascii="Calibri" w:hAnsi="Calibri" w:cs="Calibri"/>
        </w:rPr>
      </w:pPr>
      <w:r>
        <w:rPr>
          <w:rFonts w:eastAsia="Times New Roman" w:cstheme="minorHAnsi"/>
          <w:color w:val="000000"/>
        </w:rPr>
        <w:t>T</w:t>
      </w:r>
      <w:r w:rsidR="00FB6E2B">
        <w:rPr>
          <w:rFonts w:eastAsia="Times New Roman" w:cstheme="minorHAnsi"/>
          <w:color w:val="000000"/>
        </w:rPr>
        <w:t xml:space="preserve">he </w:t>
      </w:r>
      <w:r w:rsidR="008A7D27">
        <w:rPr>
          <w:rFonts w:eastAsia="Times New Roman" w:cstheme="minorHAnsi"/>
          <w:color w:val="000000"/>
        </w:rPr>
        <w:t>Co</w:t>
      </w:r>
      <w:r w:rsidR="00FB6E2B">
        <w:rPr>
          <w:rFonts w:eastAsia="Times New Roman" w:cstheme="minorHAnsi"/>
          <w:color w:val="000000"/>
        </w:rPr>
        <w:t>ntractor</w:t>
      </w:r>
      <w:r w:rsidR="008A7D27">
        <w:rPr>
          <w:rFonts w:eastAsia="Times New Roman" w:cstheme="minorHAnsi"/>
          <w:color w:val="000000"/>
        </w:rPr>
        <w:t xml:space="preserve"> </w:t>
      </w:r>
      <w:r w:rsidR="00D41DE9">
        <w:rPr>
          <w:rFonts w:eastAsia="Times New Roman" w:cstheme="minorHAnsi"/>
          <w:color w:val="000000"/>
        </w:rPr>
        <w:t xml:space="preserve">has and </w:t>
      </w:r>
      <w:r w:rsidR="00FB6E2B">
        <w:rPr>
          <w:rFonts w:eastAsia="Times New Roman" w:cstheme="minorHAnsi"/>
          <w:color w:val="000000"/>
        </w:rPr>
        <w:t>will</w:t>
      </w:r>
      <w:r w:rsidR="00D41DE9">
        <w:rPr>
          <w:rFonts w:eastAsia="Times New Roman" w:cstheme="minorHAnsi"/>
          <w:color w:val="000000"/>
        </w:rPr>
        <w:t xml:space="preserve"> continue to</w:t>
      </w:r>
      <w:r w:rsidR="00FB6E2B">
        <w:rPr>
          <w:rFonts w:eastAsia="Times New Roman" w:cstheme="minorHAnsi"/>
          <w:color w:val="000000"/>
        </w:rPr>
        <w:t xml:space="preserve"> collect all data </w:t>
      </w:r>
      <w:r w:rsidR="008A7D27">
        <w:rPr>
          <w:rFonts w:eastAsia="Times New Roman" w:cstheme="minorHAnsi"/>
          <w:color w:val="000000"/>
        </w:rPr>
        <w:t xml:space="preserve">from sampled agency respondents.  </w:t>
      </w:r>
    </w:p>
    <w:p w:rsidR="004B38E2" w:rsidP="00A20CEA" w14:paraId="064F3612" w14:textId="77777777">
      <w:pPr>
        <w:keepNext/>
        <w:spacing w:after="0"/>
        <w:rPr>
          <w:rFonts w:ascii="Calibri" w:hAnsi="Calibri" w:cs="Calibri"/>
        </w:rPr>
      </w:pPr>
    </w:p>
    <w:p w:rsidR="00A20CEA" w:rsidRPr="00A20CEA" w:rsidP="00A20CEA" w14:paraId="6B051AF9" w14:textId="567AC67C">
      <w:pPr>
        <w:keepNext/>
        <w:spacing w:after="0"/>
        <w:rPr>
          <w:rFonts w:ascii="Calibri" w:hAnsi="Calibri" w:cs="Calibri"/>
        </w:rPr>
      </w:pPr>
      <w:r>
        <w:rPr>
          <w:rFonts w:ascii="Calibri" w:hAnsi="Calibri" w:cs="Calibri"/>
        </w:rPr>
        <w:t>Remote follow-up lead</w:t>
      </w:r>
      <w:r w:rsidRPr="00A20CEA">
        <w:rPr>
          <w:rFonts w:ascii="Calibri" w:hAnsi="Calibri" w:cs="Calibri"/>
        </w:rPr>
        <w:t xml:space="preserve"> letters </w:t>
      </w:r>
      <w:r>
        <w:rPr>
          <w:rFonts w:ascii="Calibri" w:hAnsi="Calibri" w:cs="Calibri"/>
        </w:rPr>
        <w:t xml:space="preserve">and fact sheets </w:t>
      </w:r>
      <w:r w:rsidRPr="00A20CEA">
        <w:rPr>
          <w:rFonts w:ascii="Calibri" w:hAnsi="Calibri" w:cs="Calibri"/>
        </w:rPr>
        <w:t>will be mailed to</w:t>
      </w:r>
      <w:r>
        <w:rPr>
          <w:rFonts w:ascii="Calibri" w:hAnsi="Calibri" w:cs="Calibri"/>
        </w:rPr>
        <w:t xml:space="preserve"> caregivers, legal guardians, emancipated youth, young adults </w:t>
      </w:r>
      <w:r w:rsidR="00195A33">
        <w:rPr>
          <w:rFonts w:ascii="Calibri" w:hAnsi="Calibri" w:cs="Calibri"/>
        </w:rPr>
        <w:t>prior to making telephone or in</w:t>
      </w:r>
      <w:r w:rsidR="00CC0441">
        <w:rPr>
          <w:rFonts w:ascii="Calibri" w:hAnsi="Calibri" w:cs="Calibri"/>
        </w:rPr>
        <w:t xml:space="preserve"> </w:t>
      </w:r>
      <w:r w:rsidR="00195A33">
        <w:rPr>
          <w:rFonts w:ascii="Calibri" w:hAnsi="Calibri" w:cs="Calibri"/>
        </w:rPr>
        <w:t xml:space="preserve">person contact </w:t>
      </w:r>
      <w:r>
        <w:rPr>
          <w:rFonts w:ascii="Calibri" w:hAnsi="Calibri" w:cs="Calibri"/>
        </w:rPr>
        <w:t xml:space="preserve">and </w:t>
      </w:r>
      <w:r w:rsidR="00195A33">
        <w:rPr>
          <w:rFonts w:ascii="Calibri" w:hAnsi="Calibri" w:cs="Calibri"/>
        </w:rPr>
        <w:t xml:space="preserve">to </w:t>
      </w:r>
      <w:r>
        <w:rPr>
          <w:rFonts w:ascii="Calibri" w:hAnsi="Calibri" w:cs="Calibri"/>
        </w:rPr>
        <w:t xml:space="preserve">caseworkers </w:t>
      </w:r>
      <w:r w:rsidRPr="00A20CEA">
        <w:rPr>
          <w:rFonts w:ascii="Calibri" w:hAnsi="Calibri" w:cs="Calibri"/>
        </w:rPr>
        <w:t xml:space="preserve">prior to </w:t>
      </w:r>
      <w:r w:rsidR="00793291">
        <w:rPr>
          <w:rFonts w:ascii="Calibri" w:hAnsi="Calibri" w:cs="Calibri"/>
        </w:rPr>
        <w:t xml:space="preserve">making telephone contact. </w:t>
      </w:r>
      <w:r>
        <w:rPr>
          <w:rFonts w:ascii="Calibri" w:hAnsi="Calibri" w:cs="Calibri"/>
        </w:rPr>
        <w:t>Remote l</w:t>
      </w:r>
      <w:r w:rsidRPr="00A20CEA">
        <w:rPr>
          <w:rFonts w:ascii="Calibri" w:hAnsi="Calibri" w:cs="Calibri"/>
        </w:rPr>
        <w:t xml:space="preserve">ead letters </w:t>
      </w:r>
      <w:r>
        <w:rPr>
          <w:rFonts w:ascii="Calibri" w:hAnsi="Calibri" w:cs="Calibri"/>
        </w:rPr>
        <w:t>and fact sheets i</w:t>
      </w:r>
      <w:r w:rsidRPr="00A20CEA">
        <w:rPr>
          <w:rFonts w:ascii="Calibri" w:hAnsi="Calibri" w:cs="Calibri"/>
        </w:rPr>
        <w:t>nclude information on the study’s purpose, how the</w:t>
      </w:r>
      <w:r w:rsidR="001452E0">
        <w:rPr>
          <w:rFonts w:ascii="Calibri" w:hAnsi="Calibri" w:cs="Calibri"/>
        </w:rPr>
        <w:t>y were</w:t>
      </w:r>
      <w:r w:rsidRPr="00A20CEA">
        <w:rPr>
          <w:rFonts w:ascii="Calibri" w:hAnsi="Calibri" w:cs="Calibri"/>
        </w:rPr>
        <w:t xml:space="preserve"> selected, </w:t>
      </w:r>
      <w:r>
        <w:rPr>
          <w:rFonts w:ascii="Calibri" w:hAnsi="Calibri" w:cs="Calibri"/>
        </w:rPr>
        <w:t xml:space="preserve">mode(s) of survey administration, </w:t>
      </w:r>
      <w:r w:rsidRPr="00A20CEA">
        <w:rPr>
          <w:rFonts w:ascii="Calibri" w:hAnsi="Calibri" w:cs="Calibri"/>
        </w:rPr>
        <w:t xml:space="preserve">survey topics to be covered, and assurances of </w:t>
      </w:r>
      <w:r w:rsidRPr="00A20CEA">
        <w:rPr>
          <w:rFonts w:ascii="Calibri" w:hAnsi="Calibri" w:cs="Calibri"/>
        </w:rPr>
        <w:t xml:space="preserve">privacy. </w:t>
      </w:r>
      <w:r>
        <w:rPr>
          <w:rFonts w:ascii="Calibri" w:hAnsi="Calibri" w:cs="Calibri"/>
        </w:rPr>
        <w:t>Remote l</w:t>
      </w:r>
      <w:r w:rsidRPr="00A20CEA">
        <w:rPr>
          <w:rFonts w:ascii="Calibri" w:hAnsi="Calibri" w:cs="Calibri"/>
        </w:rPr>
        <w:t xml:space="preserve">ead letters </w:t>
      </w:r>
      <w:r>
        <w:rPr>
          <w:rFonts w:ascii="Calibri" w:hAnsi="Calibri" w:cs="Calibri"/>
        </w:rPr>
        <w:t xml:space="preserve">and fact sheets are provided in </w:t>
      </w:r>
      <w:r w:rsidRPr="00FB0369">
        <w:rPr>
          <w:rFonts w:ascii="Calibri" w:hAnsi="Calibri" w:cs="Calibri"/>
          <w:b/>
          <w:bCs/>
          <w:i/>
          <w:iCs/>
        </w:rPr>
        <w:t>Appendix F-2</w:t>
      </w:r>
      <w:r>
        <w:rPr>
          <w:rFonts w:ascii="Calibri" w:hAnsi="Calibri" w:cs="Calibri"/>
        </w:rPr>
        <w:t xml:space="preserve">.  </w:t>
      </w:r>
      <w:r w:rsidRPr="00FB0369">
        <w:rPr>
          <w:rFonts w:ascii="Calibri" w:hAnsi="Calibri" w:cs="Calibri"/>
          <w:b/>
          <w:bCs/>
          <w:i/>
          <w:iCs/>
        </w:rPr>
        <w:t>Appendix F-2a</w:t>
      </w:r>
      <w:r>
        <w:rPr>
          <w:rFonts w:ascii="Calibri" w:hAnsi="Calibri" w:cs="Calibri"/>
        </w:rPr>
        <w:t xml:space="preserve"> contains a remote adolescent fact sheet that will be provided to caregivers for </w:t>
      </w:r>
      <w:r w:rsidR="00BB58E7">
        <w:rPr>
          <w:rFonts w:ascii="Calibri" w:hAnsi="Calibri" w:cs="Calibri"/>
        </w:rPr>
        <w:t xml:space="preserve">their adolescent children. </w:t>
      </w:r>
      <w:r>
        <w:rPr>
          <w:rFonts w:ascii="Calibri" w:hAnsi="Calibri" w:cs="Calibri"/>
        </w:rPr>
        <w:t xml:space="preserve"> </w:t>
      </w:r>
    </w:p>
    <w:p w:rsidR="004B38E2" w:rsidP="00A20CEA" w14:paraId="7789C548" w14:textId="77777777">
      <w:pPr>
        <w:keepNext/>
        <w:spacing w:after="0"/>
        <w:rPr>
          <w:rFonts w:ascii="Calibri" w:hAnsi="Calibri" w:cs="Calibri"/>
        </w:rPr>
      </w:pPr>
    </w:p>
    <w:p w:rsidR="00BB58E7" w:rsidP="00A20CEA" w14:paraId="7FE0D173" w14:textId="4E613D2D">
      <w:pPr>
        <w:keepNext/>
        <w:spacing w:after="0"/>
        <w:rPr>
          <w:rFonts w:ascii="Calibri" w:hAnsi="Calibri" w:cs="Calibri"/>
        </w:rPr>
      </w:pPr>
      <w:r>
        <w:rPr>
          <w:rFonts w:ascii="Calibri" w:hAnsi="Calibri" w:cs="Calibri"/>
        </w:rPr>
        <w:t xml:space="preserve">Remote follow-up surveys </w:t>
      </w:r>
      <w:r w:rsidR="00195A33">
        <w:rPr>
          <w:rFonts w:ascii="Calibri" w:hAnsi="Calibri" w:cs="Calibri"/>
        </w:rPr>
        <w:t xml:space="preserve">with caseworkers </w:t>
      </w:r>
      <w:r>
        <w:rPr>
          <w:rFonts w:ascii="Calibri" w:hAnsi="Calibri" w:cs="Calibri"/>
        </w:rPr>
        <w:t>will be conducted by telephone</w:t>
      </w:r>
      <w:r w:rsidR="00195A33">
        <w:rPr>
          <w:rFonts w:ascii="Calibri" w:hAnsi="Calibri" w:cs="Calibri"/>
        </w:rPr>
        <w:t xml:space="preserve">.  Remote follow-up surveys with caregivers, legal guardians, emancipated youth, young adults, and adolescents will be conducted by </w:t>
      </w:r>
      <w:r w:rsidR="00763F20">
        <w:rPr>
          <w:rFonts w:ascii="Calibri" w:hAnsi="Calibri" w:cs="Calibri"/>
        </w:rPr>
        <w:t xml:space="preserve">either by </w:t>
      </w:r>
      <w:r w:rsidR="00195A33">
        <w:rPr>
          <w:rFonts w:ascii="Calibri" w:hAnsi="Calibri" w:cs="Calibri"/>
        </w:rPr>
        <w:t>telephone</w:t>
      </w:r>
      <w:r>
        <w:rPr>
          <w:rFonts w:ascii="Calibri" w:hAnsi="Calibri" w:cs="Calibri"/>
        </w:rPr>
        <w:t xml:space="preserve"> and web</w:t>
      </w:r>
      <w:r w:rsidR="00816E07">
        <w:rPr>
          <w:rFonts w:ascii="Calibri" w:hAnsi="Calibri" w:cs="Calibri"/>
        </w:rPr>
        <w:t xml:space="preserve"> or in</w:t>
      </w:r>
      <w:r w:rsidR="00CC0441">
        <w:rPr>
          <w:rFonts w:ascii="Calibri" w:hAnsi="Calibri" w:cs="Calibri"/>
        </w:rPr>
        <w:t xml:space="preserve"> </w:t>
      </w:r>
      <w:r w:rsidR="00816E07">
        <w:rPr>
          <w:rFonts w:ascii="Calibri" w:hAnsi="Calibri" w:cs="Calibri"/>
        </w:rPr>
        <w:t>person</w:t>
      </w:r>
      <w:r w:rsidR="00763F20">
        <w:rPr>
          <w:rFonts w:ascii="Calibri" w:hAnsi="Calibri" w:cs="Calibri"/>
        </w:rPr>
        <w:t xml:space="preserve"> and web</w:t>
      </w:r>
      <w:r w:rsidRPr="00A20CEA" w:rsidR="00A20CEA">
        <w:rPr>
          <w:rFonts w:ascii="Calibri" w:hAnsi="Calibri" w:cs="Calibri"/>
        </w:rPr>
        <w:t xml:space="preserve">. </w:t>
      </w:r>
      <w:r>
        <w:t>Remote consent and assent forms (</w:t>
      </w:r>
      <w:r w:rsidRPr="00FB0369">
        <w:rPr>
          <w:b/>
          <w:bCs/>
          <w:i/>
          <w:iCs/>
        </w:rPr>
        <w:t>Appendix G-2</w:t>
      </w:r>
      <w:r>
        <w:t>) will be provided to and reviewed with</w:t>
      </w:r>
      <w:r w:rsidRPr="003017B2">
        <w:t xml:space="preserve"> </w:t>
      </w:r>
      <w:r>
        <w:t>participants by telephone</w:t>
      </w:r>
      <w:r w:rsidR="00816E07">
        <w:t xml:space="preserve"> or in</w:t>
      </w:r>
      <w:r w:rsidR="00CC0441">
        <w:t xml:space="preserve"> </w:t>
      </w:r>
      <w:r w:rsidR="00816E07">
        <w:t>person</w:t>
      </w:r>
      <w:r>
        <w:t xml:space="preserve"> to give them the information necessary </w:t>
      </w:r>
      <w:r w:rsidRPr="003017B2">
        <w:t xml:space="preserve">to make an informed decision about </w:t>
      </w:r>
      <w:r>
        <w:t>their survey p</w:t>
      </w:r>
      <w:r w:rsidRPr="003017B2">
        <w:t>articipation</w:t>
      </w:r>
      <w:r>
        <w:t xml:space="preserve">. The consent forms </w:t>
      </w:r>
      <w:r w:rsidR="001222D2">
        <w:t xml:space="preserve">will be the same for remote or </w:t>
      </w:r>
      <w:r>
        <w:t xml:space="preserve">in-person consent forms (Appendix G) with revisions to reflect the </w:t>
      </w:r>
      <w:r w:rsidR="00434EB3">
        <w:t xml:space="preserve">timing of the follow-up interview, use of </w:t>
      </w:r>
      <w:r>
        <w:t>telephone/web</w:t>
      </w:r>
      <w:r w:rsidR="00195A33">
        <w:t>/in-person</w:t>
      </w:r>
      <w:r>
        <w:t xml:space="preserve"> administration modes</w:t>
      </w:r>
      <w:r w:rsidR="00434EB3">
        <w:t xml:space="preserve">, </w:t>
      </w:r>
      <w:r>
        <w:t xml:space="preserve">and </w:t>
      </w:r>
      <w:r w:rsidR="00434EB3">
        <w:t xml:space="preserve">collection of verbal consent.  </w:t>
      </w:r>
      <w:r>
        <w:t xml:space="preserve">Consent will be recorded electronically on the interviewer’s laptop before initiating the telephone </w:t>
      </w:r>
      <w:r w:rsidR="00816E07">
        <w:t xml:space="preserve">or in-person </w:t>
      </w:r>
      <w:r>
        <w:t>survey portion of the remote interview.</w:t>
      </w:r>
      <w:r w:rsidRPr="00A20CEA" w:rsidR="00A20CEA">
        <w:rPr>
          <w:rFonts w:ascii="Calibri" w:hAnsi="Calibri" w:cs="Calibri"/>
        </w:rPr>
        <w:t xml:space="preserve"> The interviewers will provide a copy of the consent form </w:t>
      </w:r>
      <w:r>
        <w:rPr>
          <w:rFonts w:ascii="Calibri" w:hAnsi="Calibri" w:cs="Calibri"/>
        </w:rPr>
        <w:t xml:space="preserve">to </w:t>
      </w:r>
      <w:r w:rsidRPr="00A20CEA" w:rsidR="00A20CEA">
        <w:rPr>
          <w:rFonts w:ascii="Calibri" w:hAnsi="Calibri" w:cs="Calibri"/>
        </w:rPr>
        <w:t xml:space="preserve">the respondent. </w:t>
      </w:r>
      <w:r w:rsidRPr="00793291" w:rsidR="00793291">
        <w:rPr>
          <w:rFonts w:ascii="Calibri" w:hAnsi="Calibri" w:cs="Calibri"/>
        </w:rPr>
        <w:t>If the current caregiver is not the child’s legal guardian, the legal guardian will be asked to provide</w:t>
      </w:r>
      <w:r w:rsidR="00793291">
        <w:rPr>
          <w:rFonts w:ascii="Calibri" w:hAnsi="Calibri" w:cs="Calibri"/>
        </w:rPr>
        <w:t xml:space="preserve"> </w:t>
      </w:r>
      <w:r w:rsidR="0059007B">
        <w:rPr>
          <w:rFonts w:ascii="Calibri" w:hAnsi="Calibri" w:cs="Calibri"/>
        </w:rPr>
        <w:t xml:space="preserve">consent for the </w:t>
      </w:r>
      <w:r w:rsidR="00793291">
        <w:rPr>
          <w:rFonts w:ascii="Calibri" w:hAnsi="Calibri" w:cs="Calibri"/>
        </w:rPr>
        <w:t xml:space="preserve">child to be interviewed. </w:t>
      </w:r>
    </w:p>
    <w:p w:rsidR="00685EA8" w:rsidP="00A20CEA" w14:paraId="78E09576" w14:textId="5AD2D683">
      <w:pPr>
        <w:keepNext/>
        <w:spacing w:after="0"/>
        <w:rPr>
          <w:rFonts w:ascii="Calibri" w:hAnsi="Calibri" w:cs="Calibri"/>
        </w:rPr>
      </w:pPr>
    </w:p>
    <w:p w:rsidR="00BB58E7" w:rsidP="00793291" w14:paraId="324692F3" w14:textId="52D06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r>
        <w:rPr>
          <w:rFonts w:ascii="Calibri" w:hAnsi="Calibri" w:cs="Calibri"/>
        </w:rPr>
        <w:t xml:space="preserve">During the follow-up interviews, </w:t>
      </w:r>
      <w:r>
        <w:rPr>
          <w:szCs w:val="24"/>
        </w:rPr>
        <w:t>caregivers</w:t>
      </w:r>
      <w:r>
        <w:rPr>
          <w:szCs w:val="24"/>
        </w:rPr>
        <w:t xml:space="preserve"> and </w:t>
      </w:r>
      <w:r w:rsidR="006130BA">
        <w:rPr>
          <w:szCs w:val="24"/>
        </w:rPr>
        <w:t xml:space="preserve">youth </w:t>
      </w:r>
      <w:r>
        <w:rPr>
          <w:szCs w:val="24"/>
        </w:rPr>
        <w:t xml:space="preserve">13 years and older will be asked to </w:t>
      </w:r>
      <w:r w:rsidR="00793291">
        <w:rPr>
          <w:szCs w:val="24"/>
        </w:rPr>
        <w:t>consent</w:t>
      </w:r>
      <w:r>
        <w:rPr>
          <w:szCs w:val="24"/>
        </w:rPr>
        <w:t xml:space="preserve"> for their survey data to be linked to administrative data sources. Remote data linkage forms are provided in </w:t>
      </w:r>
      <w:r w:rsidRPr="004B38E2">
        <w:rPr>
          <w:b/>
          <w:bCs/>
          <w:i/>
          <w:iCs/>
          <w:szCs w:val="24"/>
        </w:rPr>
        <w:t>Appendix H-1</w:t>
      </w:r>
      <w:r>
        <w:rPr>
          <w:szCs w:val="24"/>
        </w:rPr>
        <w:t xml:space="preserve">.  A separate linkage form will be used to request that the minor child’s survey data be linked to their Medicaid claims data (see remote authorization forms in </w:t>
      </w:r>
      <w:r w:rsidRPr="0056488C">
        <w:rPr>
          <w:b/>
          <w:i/>
          <w:szCs w:val="24"/>
        </w:rPr>
        <w:t xml:space="preserve">Appendix </w:t>
      </w:r>
      <w:r>
        <w:rPr>
          <w:b/>
          <w:i/>
          <w:szCs w:val="24"/>
        </w:rPr>
        <w:t>I-1</w:t>
      </w:r>
      <w:r w:rsidRPr="004B38E2">
        <w:rPr>
          <w:bCs/>
          <w:i/>
          <w:szCs w:val="24"/>
        </w:rPr>
        <w:t>)</w:t>
      </w:r>
      <w:r w:rsidRPr="004B38E2">
        <w:rPr>
          <w:bCs/>
          <w:szCs w:val="24"/>
        </w:rPr>
        <w:t>.</w:t>
      </w:r>
      <w:r>
        <w:rPr>
          <w:szCs w:val="24"/>
        </w:rPr>
        <w:t xml:space="preserve">  </w:t>
      </w:r>
      <w:r w:rsidR="006130BA">
        <w:rPr>
          <w:szCs w:val="24"/>
        </w:rPr>
        <w:t xml:space="preserve">Respondents will be provided copies of these forms. </w:t>
      </w:r>
      <w:r w:rsidR="00793291">
        <w:rPr>
          <w:szCs w:val="24"/>
        </w:rPr>
        <w:t xml:space="preserve">If the current caregiver is not the child’s legal guardian, the legal guardian will be asked to provide consent for data linkage. </w:t>
      </w:r>
    </w:p>
    <w:p w:rsidR="00A42C71" w:rsidP="00AC0C30" w14:paraId="5F817256" w14:textId="00C70F0F">
      <w:pPr>
        <w:pStyle w:val="BodyText"/>
        <w:spacing w:after="0" w:line="276" w:lineRule="auto"/>
        <w:rPr>
          <w:rFonts w:asciiTheme="minorHAnsi" w:hAnsiTheme="minorHAnsi" w:cstheme="minorHAnsi"/>
          <w:szCs w:val="22"/>
        </w:rPr>
      </w:pPr>
      <w:r>
        <w:rPr>
          <w:rFonts w:asciiTheme="minorHAnsi" w:hAnsiTheme="minorHAnsi" w:cstheme="minorHAnsi"/>
          <w:szCs w:val="22"/>
        </w:rPr>
        <w:t xml:space="preserve">Computer-assisted programs improve survey data quality by eliminating routing errors, implementing logical range checks, and increasing response rates. </w:t>
      </w:r>
      <w:r w:rsidRPr="009D58A4">
        <w:rPr>
          <w:rFonts w:asciiTheme="minorHAnsi" w:hAnsiTheme="minorHAnsi" w:cstheme="minorHAnsi"/>
          <w:szCs w:val="22"/>
        </w:rPr>
        <w:t xml:space="preserve">During </w:t>
      </w:r>
      <w:r w:rsidR="009D58A4">
        <w:rPr>
          <w:rFonts w:asciiTheme="minorHAnsi" w:hAnsiTheme="minorHAnsi" w:cstheme="minorHAnsi"/>
          <w:szCs w:val="22"/>
        </w:rPr>
        <w:t xml:space="preserve">the </w:t>
      </w:r>
      <w:r w:rsidRPr="009D58A4">
        <w:rPr>
          <w:rFonts w:asciiTheme="minorHAnsi" w:hAnsiTheme="minorHAnsi" w:cstheme="minorHAnsi"/>
          <w:szCs w:val="22"/>
        </w:rPr>
        <w:t>data collection</w:t>
      </w:r>
      <w:r w:rsidR="009D58A4">
        <w:rPr>
          <w:rFonts w:asciiTheme="minorHAnsi" w:hAnsiTheme="minorHAnsi" w:cstheme="minorHAnsi"/>
          <w:szCs w:val="22"/>
        </w:rPr>
        <w:t xml:space="preserve"> period</w:t>
      </w:r>
      <w:r w:rsidRPr="009D58A4">
        <w:rPr>
          <w:rFonts w:asciiTheme="minorHAnsi" w:hAnsiTheme="minorHAnsi" w:cstheme="minorHAnsi"/>
          <w:szCs w:val="22"/>
        </w:rPr>
        <w:t>, several data quality monitoring activities will be employed on the study, including telephone verification of completed surveys</w:t>
      </w:r>
      <w:r w:rsidR="00373DBC">
        <w:rPr>
          <w:rFonts w:asciiTheme="minorHAnsi" w:hAnsiTheme="minorHAnsi" w:cstheme="minorHAnsi"/>
          <w:szCs w:val="22"/>
        </w:rPr>
        <w:t xml:space="preserve"> and</w:t>
      </w:r>
      <w:r w:rsidRPr="009D58A4">
        <w:rPr>
          <w:rFonts w:asciiTheme="minorHAnsi" w:hAnsiTheme="minorHAnsi" w:cstheme="minorHAnsi"/>
          <w:szCs w:val="22"/>
        </w:rPr>
        <w:t xml:space="preserve"> data frequency reviews</w:t>
      </w:r>
      <w:r w:rsidR="00373DBC">
        <w:rPr>
          <w:rFonts w:asciiTheme="minorHAnsi" w:hAnsiTheme="minorHAnsi" w:cstheme="minorHAnsi"/>
          <w:szCs w:val="22"/>
        </w:rPr>
        <w:t xml:space="preserve">. </w:t>
      </w:r>
    </w:p>
    <w:p w:rsidR="00A20CA0" w:rsidP="00AC0C30" w14:paraId="6F9962DA" w14:textId="6A722C12">
      <w:pPr>
        <w:pStyle w:val="BodyText"/>
        <w:spacing w:after="0" w:line="276" w:lineRule="auto"/>
        <w:rPr>
          <w:rFonts w:asciiTheme="minorHAnsi" w:hAnsiTheme="minorHAnsi" w:cstheme="minorHAnsi"/>
          <w:szCs w:val="22"/>
        </w:rPr>
      </w:pPr>
    </w:p>
    <w:p w:rsidR="00A20CA0" w:rsidP="00AC0C30" w14:paraId="3911A30E" w14:textId="0E708B4E">
      <w:pPr>
        <w:spacing w:after="0"/>
      </w:pPr>
      <w:r>
        <w:rPr>
          <w:rFonts w:cstheme="minorHAnsi"/>
        </w:rPr>
        <w:t xml:space="preserve">NSCAW </w:t>
      </w:r>
      <w:r w:rsidR="003C4838">
        <w:rPr>
          <w:rFonts w:cstheme="minorHAnsi"/>
        </w:rPr>
        <w:t xml:space="preserve">caregiver and child </w:t>
      </w:r>
      <w:r w:rsidR="00304ECB">
        <w:rPr>
          <w:rFonts w:cstheme="minorHAnsi"/>
        </w:rPr>
        <w:t xml:space="preserve">respondents </w:t>
      </w:r>
      <w:r>
        <w:rPr>
          <w:rFonts w:cstheme="minorHAnsi"/>
        </w:rPr>
        <w:t xml:space="preserve">ages 16 and older </w:t>
      </w:r>
      <w:r w:rsidR="00304ECB">
        <w:rPr>
          <w:rFonts w:cstheme="minorHAnsi"/>
        </w:rPr>
        <w:t xml:space="preserve">are asked to </w:t>
      </w:r>
      <w:r>
        <w:rPr>
          <w:rFonts w:cstheme="minorHAnsi"/>
        </w:rPr>
        <w:t xml:space="preserve">provide contacting information for panel maintenance purposes in the locator </w:t>
      </w:r>
      <w:r w:rsidR="00304ECB">
        <w:rPr>
          <w:rFonts w:cstheme="minorHAnsi"/>
        </w:rPr>
        <w:t xml:space="preserve">(LO and LF) </w:t>
      </w:r>
      <w:r>
        <w:rPr>
          <w:rFonts w:cstheme="minorHAnsi"/>
        </w:rPr>
        <w:t>module</w:t>
      </w:r>
      <w:r w:rsidR="00304ECB">
        <w:rPr>
          <w:rFonts w:cstheme="minorHAnsi"/>
        </w:rPr>
        <w:t xml:space="preserve">s </w:t>
      </w:r>
      <w:r>
        <w:rPr>
          <w:rFonts w:cstheme="minorHAnsi"/>
        </w:rPr>
        <w:t xml:space="preserve">of their surveys.  </w:t>
      </w:r>
      <w:r w:rsidR="004606AF">
        <w:rPr>
          <w:rFonts w:cstheme="minorHAnsi"/>
        </w:rPr>
        <w:t>Panel maintenance activities with NSCAW caregiver and young adult cohort members (I</w:t>
      </w:r>
      <w:r w:rsidR="0020550C">
        <w:rPr>
          <w:rFonts w:cstheme="minorHAnsi"/>
        </w:rPr>
        <w:t>I</w:t>
      </w:r>
      <w:r w:rsidR="004606AF">
        <w:rPr>
          <w:rFonts w:cstheme="minorHAnsi"/>
        </w:rPr>
        <w:t xml:space="preserve"> and II</w:t>
      </w:r>
      <w:r w:rsidR="0020550C">
        <w:rPr>
          <w:rFonts w:cstheme="minorHAnsi"/>
        </w:rPr>
        <w:t>I</w:t>
      </w:r>
      <w:r w:rsidR="004606AF">
        <w:rPr>
          <w:rFonts w:cstheme="minorHAnsi"/>
        </w:rPr>
        <w:t>) will be conducted approximately nine months or more after their most recent interview.</w:t>
      </w:r>
      <w:r w:rsidR="005F041D">
        <w:rPr>
          <w:rFonts w:cstheme="minorHAnsi"/>
        </w:rPr>
        <w:t xml:space="preserve"> </w:t>
      </w:r>
      <w:r w:rsidR="00304ECB">
        <w:rPr>
          <w:rFonts w:cstheme="minorHAnsi"/>
        </w:rPr>
        <w:t xml:space="preserve">Caregiver and young adult cohort members will be recontacted </w:t>
      </w:r>
      <w:r>
        <w:t>at the last known address and/or telephone number to confirm or update th</w:t>
      </w:r>
      <w:r w:rsidR="00304ECB">
        <w:t xml:space="preserve">eir contacting </w:t>
      </w:r>
      <w:r>
        <w:t>information.  A panel maintenance letter (</w:t>
      </w:r>
      <w:hyperlink r:id="rId8" w:history="1">
        <w:r w:rsidRPr="00304ECB">
          <w:rPr>
            <w:rStyle w:val="Hyperlink"/>
            <w:b/>
            <w:bCs/>
            <w:i/>
            <w:iCs/>
          </w:rPr>
          <w:t>A</w:t>
        </w:r>
        <w:r w:rsidR="00304ECB">
          <w:rPr>
            <w:rStyle w:val="Hyperlink"/>
            <w:b/>
            <w:bCs/>
            <w:i/>
            <w:iCs/>
          </w:rPr>
          <w:t>ppendix J</w:t>
        </w:r>
      </w:hyperlink>
      <w:r>
        <w:t>)</w:t>
      </w:r>
      <w:r w:rsidR="00941E0D">
        <w:t xml:space="preserve"> will be </w:t>
      </w:r>
      <w:r>
        <w:t xml:space="preserve">sent via mail and/or email.  Caregiver and young adult respondents </w:t>
      </w:r>
      <w:r w:rsidR="00941E0D">
        <w:t xml:space="preserve">will be </w:t>
      </w:r>
      <w:r>
        <w:t xml:space="preserve">asked to update their contacting information by mailing back a postage paid </w:t>
      </w:r>
      <w:r w:rsidR="00304ECB">
        <w:t xml:space="preserve">panel maintenance </w:t>
      </w:r>
      <w:r>
        <w:t>contact card (</w:t>
      </w:r>
      <w:r w:rsidRPr="00304ECB">
        <w:rPr>
          <w:b/>
          <w:bCs/>
          <w:i/>
          <w:iCs/>
        </w:rPr>
        <w:t>A</w:t>
      </w:r>
      <w:r w:rsidRPr="00304ECB" w:rsidR="00304ECB">
        <w:rPr>
          <w:b/>
          <w:bCs/>
          <w:i/>
          <w:iCs/>
        </w:rPr>
        <w:t>ppendix K</w:t>
      </w:r>
      <w:r>
        <w:t>)</w:t>
      </w:r>
      <w:r w:rsidR="00AC0C30">
        <w:t>, by calling a toll-free project phone number, o</w:t>
      </w:r>
      <w:r>
        <w:t xml:space="preserve">r by visiting a secure project website. </w:t>
      </w:r>
      <w:r w:rsidR="00AC0C30">
        <w:t xml:space="preserve">Contacting information requested will include </w:t>
      </w:r>
      <w:r>
        <w:t xml:space="preserve">address, telephone numbers, email address, and the names and contact information of two people who would always know how to reach the </w:t>
      </w:r>
      <w:r w:rsidR="004606AF">
        <w:t xml:space="preserve">NSCAW </w:t>
      </w:r>
      <w:r w:rsidR="00AC0C30">
        <w:t xml:space="preserve">cohort </w:t>
      </w:r>
      <w:r>
        <w:t>member. If the project team does not receive a mail or website response from the caregiver or young adult respondent or if the package or email is returned as undelivered,</w:t>
      </w:r>
      <w:r w:rsidR="00AC0C30">
        <w:t xml:space="preserve"> field</w:t>
      </w:r>
      <w:r>
        <w:t xml:space="preserve"> interviewers will attempt to contact </w:t>
      </w:r>
      <w:r w:rsidR="00AC0C30">
        <w:t xml:space="preserve">the cohort member </w:t>
      </w:r>
      <w:r>
        <w:t>by phone and</w:t>
      </w:r>
      <w:r w:rsidR="00AC0C30">
        <w:t>/or</w:t>
      </w:r>
      <w:r>
        <w:t xml:space="preserve"> in</w:t>
      </w:r>
      <w:r w:rsidR="008C5DB1">
        <w:t xml:space="preserve"> </w:t>
      </w:r>
      <w:r>
        <w:t xml:space="preserve">person to request updates. When an interviewer reaches a respondent, </w:t>
      </w:r>
      <w:r w:rsidR="00AC0C30">
        <w:t xml:space="preserve">they will enter contacting information in a </w:t>
      </w:r>
      <w:r>
        <w:t xml:space="preserve">short instrument that mirrors the </w:t>
      </w:r>
      <w:r w:rsidR="00AC0C30">
        <w:t xml:space="preserve">contact card and website. </w:t>
      </w:r>
      <w:r w:rsidR="003C4838">
        <w:t xml:space="preserve"> </w:t>
      </w:r>
    </w:p>
    <w:p w:rsidR="00A42C71" w:rsidRPr="001A59B6" w:rsidP="00A42C71" w14:paraId="040C23CA" w14:textId="1B034A84">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625DA5" w:rsidP="00625DA5" w14:paraId="60C5A7FD" w14:textId="77777777">
      <w:pPr>
        <w:spacing w:after="60"/>
        <w:rPr>
          <w:i/>
        </w:rPr>
      </w:pPr>
      <w:r w:rsidRPr="00625DA5">
        <w:rPr>
          <w:i/>
        </w:rPr>
        <w:t>Response Rates</w:t>
      </w:r>
    </w:p>
    <w:p w:rsidR="00C003B2" w:rsidP="005043E7" w14:paraId="12B81F95" w14:textId="30DB0453">
      <w:pPr>
        <w:pStyle w:val="BodyText"/>
        <w:spacing w:after="0" w:line="276" w:lineRule="auto"/>
        <w:rPr>
          <w:rFonts w:asciiTheme="minorHAnsi" w:hAnsiTheme="minorHAnsi" w:cstheme="minorHAnsi"/>
        </w:rPr>
      </w:pPr>
      <w:r>
        <w:rPr>
          <w:rFonts w:asciiTheme="minorHAnsi" w:hAnsiTheme="minorHAnsi" w:cstheme="minorHAnsi"/>
        </w:rPr>
        <w:t xml:space="preserve">The Phase II </w:t>
      </w:r>
      <w:r w:rsidR="00DF5602">
        <w:rPr>
          <w:rFonts w:asciiTheme="minorHAnsi" w:hAnsiTheme="minorHAnsi" w:cstheme="minorHAnsi"/>
        </w:rPr>
        <w:t>baseline data collection is complete</w:t>
      </w:r>
      <w:r w:rsidR="00123BA1">
        <w:rPr>
          <w:rFonts w:asciiTheme="minorHAnsi" w:hAnsiTheme="minorHAnsi" w:cstheme="minorHAnsi"/>
        </w:rPr>
        <w:t>; data analysis is in progress</w:t>
      </w:r>
      <w:r w:rsidR="00DF5602">
        <w:rPr>
          <w:rFonts w:asciiTheme="minorHAnsi" w:hAnsiTheme="minorHAnsi" w:cstheme="minorHAnsi"/>
        </w:rPr>
        <w:t xml:space="preserve">. The Phase II </w:t>
      </w:r>
      <w:r>
        <w:rPr>
          <w:rFonts w:asciiTheme="minorHAnsi" w:hAnsiTheme="minorHAnsi" w:cstheme="minorHAnsi"/>
        </w:rPr>
        <w:t>follow-up wave is in progress. A</w:t>
      </w:r>
      <w:r w:rsidR="00BC4803">
        <w:rPr>
          <w:rFonts w:asciiTheme="minorHAnsi" w:hAnsiTheme="minorHAnsi" w:cstheme="minorHAnsi"/>
        </w:rPr>
        <w:t>n</w:t>
      </w:r>
      <w:r w:rsidR="00DF5602">
        <w:rPr>
          <w:rFonts w:asciiTheme="minorHAnsi" w:hAnsiTheme="minorHAnsi" w:cstheme="minorHAnsi"/>
        </w:rPr>
        <w:t xml:space="preserve"> overall</w:t>
      </w:r>
      <w:r>
        <w:rPr>
          <w:rFonts w:asciiTheme="minorHAnsi" w:hAnsiTheme="minorHAnsi" w:cstheme="minorHAnsi"/>
        </w:rPr>
        <w:t xml:space="preserve"> response rate of 55-68% </w:t>
      </w:r>
      <w:r w:rsidR="00281C64">
        <w:rPr>
          <w:rFonts w:asciiTheme="minorHAnsi" w:hAnsiTheme="minorHAnsi" w:cstheme="minorHAnsi"/>
        </w:rPr>
        <w:t xml:space="preserve">for </w:t>
      </w:r>
      <w:r w:rsidR="009628BC">
        <w:rPr>
          <w:rFonts w:asciiTheme="minorHAnsi" w:hAnsiTheme="minorHAnsi" w:cstheme="minorHAnsi"/>
        </w:rPr>
        <w:t xml:space="preserve">follow-up data collection </w:t>
      </w:r>
      <w:r>
        <w:rPr>
          <w:rFonts w:asciiTheme="minorHAnsi" w:hAnsiTheme="minorHAnsi" w:cstheme="minorHAnsi"/>
        </w:rPr>
        <w:t xml:space="preserve">is anticipated.  A </w:t>
      </w:r>
      <w:r w:rsidR="009628BC">
        <w:rPr>
          <w:rFonts w:asciiTheme="minorHAnsi" w:hAnsiTheme="minorHAnsi" w:cstheme="minorHAnsi"/>
        </w:rPr>
        <w:t xml:space="preserve">follow-up data collection </w:t>
      </w:r>
      <w:r>
        <w:rPr>
          <w:rFonts w:asciiTheme="minorHAnsi" w:hAnsiTheme="minorHAnsi" w:cstheme="minorHAnsi"/>
        </w:rPr>
        <w:t xml:space="preserve">response rate of </w:t>
      </w:r>
      <w:r w:rsidR="009628BC">
        <w:rPr>
          <w:rFonts w:asciiTheme="minorHAnsi" w:hAnsiTheme="minorHAnsi" w:cstheme="minorHAnsi"/>
        </w:rPr>
        <w:t>6</w:t>
      </w:r>
      <w:r>
        <w:rPr>
          <w:rFonts w:asciiTheme="minorHAnsi" w:hAnsiTheme="minorHAnsi" w:cstheme="minorHAnsi"/>
        </w:rPr>
        <w:t xml:space="preserve">0% has been achieved for caregivers, with slightly lower response rates achieved for adolescent and young adult respondents to date.  The addition of an in-person interviewing option during the remote follow-up will allow interviewers and respondents greater flexibility and is intended to support response rate goals. </w:t>
      </w:r>
      <w:r w:rsidR="00123BA1">
        <w:rPr>
          <w:rFonts w:asciiTheme="minorHAnsi" w:hAnsiTheme="minorHAnsi" w:cstheme="minorHAnsi"/>
        </w:rPr>
        <w:t>Additionally, the Phase III data collection is complete; data analysis is in progress.</w:t>
      </w:r>
      <w:r w:rsidR="00147B20">
        <w:rPr>
          <w:rFonts w:asciiTheme="minorHAnsi" w:hAnsiTheme="minorHAnsi" w:cstheme="minorHAnsi"/>
        </w:rPr>
        <w:t xml:space="preserve"> </w:t>
      </w:r>
      <w:r w:rsidR="00F82013">
        <w:rPr>
          <w:rFonts w:asciiTheme="minorHAnsi" w:hAnsiTheme="minorHAnsi" w:cstheme="minorHAnsi"/>
        </w:rPr>
        <w:t>Phase III r</w:t>
      </w:r>
      <w:r w:rsidR="00147B20">
        <w:rPr>
          <w:rFonts w:asciiTheme="minorHAnsi" w:hAnsiTheme="minorHAnsi" w:cstheme="minorHAnsi"/>
        </w:rPr>
        <w:t xml:space="preserve">esponse rates </w:t>
      </w:r>
      <w:r w:rsidR="00AD2255">
        <w:rPr>
          <w:rFonts w:asciiTheme="minorHAnsi" w:hAnsiTheme="minorHAnsi" w:cstheme="minorHAnsi"/>
        </w:rPr>
        <w:t xml:space="preserve">were </w:t>
      </w:r>
      <w:r w:rsidR="00341F6C">
        <w:rPr>
          <w:rFonts w:asciiTheme="minorHAnsi" w:hAnsiTheme="minorHAnsi" w:cstheme="minorHAnsi"/>
        </w:rPr>
        <w:t>78.7% for agency directors, 73.3% for supervisors, and 65.6% for caseworkers</w:t>
      </w:r>
      <w:r w:rsidR="00AD2255">
        <w:rPr>
          <w:rFonts w:asciiTheme="minorHAnsi" w:hAnsiTheme="minorHAnsi" w:cstheme="minorHAnsi"/>
        </w:rPr>
        <w:t xml:space="preserve">. </w:t>
      </w:r>
    </w:p>
    <w:p w:rsidR="00BA2B00" w:rsidP="005043E7" w14:paraId="54469B36" w14:textId="3C1BB6E4">
      <w:pPr>
        <w:pStyle w:val="BodyText"/>
        <w:spacing w:after="0" w:line="276" w:lineRule="auto"/>
        <w:rPr>
          <w:rFonts w:asciiTheme="minorHAnsi" w:hAnsiTheme="minorHAnsi" w:cstheme="minorHAnsi"/>
        </w:rPr>
      </w:pPr>
    </w:p>
    <w:p w:rsidR="00A42C71" w:rsidRPr="00625DA5" w:rsidP="00625DA5" w14:paraId="7D020F8F" w14:textId="77777777">
      <w:pPr>
        <w:spacing w:after="60"/>
        <w:rPr>
          <w:i/>
        </w:rPr>
      </w:pPr>
      <w:bookmarkStart w:id="1" w:name="_Hlk36538850"/>
      <w:r w:rsidRPr="00625DA5">
        <w:rPr>
          <w:i/>
        </w:rPr>
        <w:t>NonResponse</w:t>
      </w:r>
    </w:p>
    <w:p w:rsidR="00EC79F7" w:rsidP="00EC79F7" w14:paraId="7434EF1C" w14:textId="63411657">
      <w:pPr>
        <w:pStyle w:val="BodyText"/>
        <w:spacing w:after="0" w:line="276" w:lineRule="auto"/>
        <w:rPr>
          <w:rFonts w:asciiTheme="minorHAnsi" w:hAnsiTheme="minorHAnsi" w:cstheme="minorHAnsi"/>
        </w:rPr>
      </w:pPr>
      <w:r w:rsidRPr="0069135C">
        <w:rPr>
          <w:rFonts w:asciiTheme="minorHAnsi" w:hAnsiTheme="minorHAnsi" w:cstheme="minorHAnsi"/>
          <w:szCs w:val="22"/>
        </w:rPr>
        <w:t xml:space="preserve">Phase II </w:t>
      </w:r>
      <w:r w:rsidR="00F95C19">
        <w:rPr>
          <w:rFonts w:asciiTheme="minorHAnsi" w:hAnsiTheme="minorHAnsi" w:cstheme="minorHAnsi"/>
          <w:szCs w:val="22"/>
        </w:rPr>
        <w:t xml:space="preserve">analysis </w:t>
      </w:r>
      <w:r w:rsidRPr="0069135C">
        <w:rPr>
          <w:rFonts w:asciiTheme="minorHAnsi" w:hAnsiTheme="minorHAnsi" w:cstheme="minorHAnsi"/>
          <w:szCs w:val="22"/>
        </w:rPr>
        <w:t xml:space="preserve">weights </w:t>
      </w:r>
      <w:r w:rsidR="00955235">
        <w:rPr>
          <w:rFonts w:asciiTheme="minorHAnsi" w:hAnsiTheme="minorHAnsi" w:cstheme="minorHAnsi"/>
          <w:szCs w:val="22"/>
        </w:rPr>
        <w:t>are</w:t>
      </w:r>
      <w:r w:rsidRPr="0069135C">
        <w:rPr>
          <w:rFonts w:asciiTheme="minorHAnsi" w:hAnsiTheme="minorHAnsi" w:cstheme="minorHAnsi"/>
          <w:szCs w:val="22"/>
        </w:rPr>
        <w:t xml:space="preserve"> calculated after each wave of data collection to account for oversampling, nonresponse, unde</w:t>
      </w:r>
      <w:r>
        <w:rPr>
          <w:rFonts w:asciiTheme="minorHAnsi" w:hAnsiTheme="minorHAnsi" w:cstheme="minorHAnsi"/>
          <w:szCs w:val="22"/>
        </w:rPr>
        <w:t>r</w:t>
      </w:r>
      <w:r w:rsidRPr="0069135C">
        <w:rPr>
          <w:rFonts w:asciiTheme="minorHAnsi" w:hAnsiTheme="minorHAnsi" w:cstheme="minorHAnsi"/>
          <w:szCs w:val="22"/>
        </w:rPr>
        <w:t xml:space="preserve"> and over</w:t>
      </w:r>
      <w:r>
        <w:rPr>
          <w:rFonts w:asciiTheme="minorHAnsi" w:hAnsiTheme="minorHAnsi" w:cstheme="minorHAnsi"/>
          <w:szCs w:val="22"/>
        </w:rPr>
        <w:t xml:space="preserve"> </w:t>
      </w:r>
      <w:r w:rsidRPr="0069135C">
        <w:rPr>
          <w:rFonts w:asciiTheme="minorHAnsi" w:hAnsiTheme="minorHAnsi" w:cstheme="minorHAnsi"/>
          <w:szCs w:val="22"/>
        </w:rPr>
        <w:t xml:space="preserve">coverage in certain demographic groups, and extreme weights. </w:t>
      </w:r>
      <w:r>
        <w:rPr>
          <w:rFonts w:asciiTheme="minorHAnsi" w:hAnsiTheme="minorHAnsi" w:cstheme="minorHAnsi"/>
          <w:szCs w:val="22"/>
        </w:rPr>
        <w:t>S</w:t>
      </w:r>
      <w:r w:rsidRPr="0069135C">
        <w:rPr>
          <w:rFonts w:asciiTheme="minorHAnsi" w:hAnsiTheme="minorHAnsi" w:cstheme="minorHAnsi"/>
          <w:szCs w:val="22"/>
        </w:rPr>
        <w:t xml:space="preserve">econdary data (e.g., NCANDS, American Community Survey-ACS) </w:t>
      </w:r>
      <w:r>
        <w:rPr>
          <w:rFonts w:asciiTheme="minorHAnsi" w:hAnsiTheme="minorHAnsi" w:cstheme="minorHAnsi"/>
          <w:szCs w:val="22"/>
        </w:rPr>
        <w:t xml:space="preserve">will be incorporated into </w:t>
      </w:r>
      <w:r w:rsidRPr="0069135C">
        <w:rPr>
          <w:rFonts w:asciiTheme="minorHAnsi" w:hAnsiTheme="minorHAnsi" w:cstheme="minorHAnsi"/>
          <w:szCs w:val="22"/>
        </w:rPr>
        <w:t>the weighting process to compensate for nonresponse. A s</w:t>
      </w:r>
      <w:r w:rsidRPr="0069135C" w:rsidR="00FB6E2B">
        <w:rPr>
          <w:rFonts w:asciiTheme="minorHAnsi" w:hAnsiTheme="minorHAnsi" w:cstheme="minorHAnsi"/>
          <w:szCs w:val="22"/>
        </w:rPr>
        <w:t xml:space="preserve">eparate </w:t>
      </w:r>
      <w:r w:rsidRPr="0069135C" w:rsidR="006561C1">
        <w:rPr>
          <w:rFonts w:asciiTheme="minorHAnsi" w:hAnsiTheme="minorHAnsi" w:cstheme="minorHAnsi"/>
          <w:szCs w:val="22"/>
        </w:rPr>
        <w:t xml:space="preserve">set of </w:t>
      </w:r>
      <w:r w:rsidRPr="0069135C">
        <w:rPr>
          <w:rFonts w:asciiTheme="minorHAnsi" w:hAnsiTheme="minorHAnsi" w:cstheme="minorHAnsi"/>
          <w:szCs w:val="22"/>
        </w:rPr>
        <w:t xml:space="preserve">Phase III </w:t>
      </w:r>
      <w:r w:rsidRPr="0069135C" w:rsidR="006561C1">
        <w:rPr>
          <w:rFonts w:asciiTheme="minorHAnsi" w:hAnsiTheme="minorHAnsi" w:cstheme="minorHAnsi"/>
          <w:szCs w:val="22"/>
        </w:rPr>
        <w:t xml:space="preserve">weights will be </w:t>
      </w:r>
      <w:r w:rsidRPr="0069135C" w:rsidR="00E0079E">
        <w:rPr>
          <w:rFonts w:asciiTheme="minorHAnsi" w:hAnsiTheme="minorHAnsi" w:cstheme="minorHAnsi"/>
          <w:szCs w:val="22"/>
        </w:rPr>
        <w:t xml:space="preserve">computed for </w:t>
      </w:r>
      <w:r w:rsidRPr="0069135C" w:rsidR="000E7629">
        <w:rPr>
          <w:rFonts w:asciiTheme="minorHAnsi" w:hAnsiTheme="minorHAnsi" w:cstheme="minorHAnsi"/>
          <w:szCs w:val="22"/>
        </w:rPr>
        <w:t xml:space="preserve">the </w:t>
      </w:r>
      <w:r w:rsidRPr="0069135C" w:rsidR="006561C1">
        <w:rPr>
          <w:rFonts w:asciiTheme="minorHAnsi" w:hAnsiTheme="minorHAnsi" w:cstheme="minorHAnsi"/>
          <w:szCs w:val="22"/>
        </w:rPr>
        <w:t>agency director</w:t>
      </w:r>
      <w:r w:rsidRPr="0069135C" w:rsidR="00625DA5">
        <w:rPr>
          <w:rFonts w:asciiTheme="minorHAnsi" w:hAnsiTheme="minorHAnsi" w:cstheme="minorHAnsi"/>
          <w:szCs w:val="22"/>
        </w:rPr>
        <w:t>,</w:t>
      </w:r>
      <w:r w:rsidRPr="0069135C" w:rsidR="006561C1">
        <w:rPr>
          <w:rFonts w:asciiTheme="minorHAnsi" w:hAnsiTheme="minorHAnsi" w:cstheme="minorHAnsi"/>
          <w:szCs w:val="22"/>
        </w:rPr>
        <w:t xml:space="preserve"> supervisor</w:t>
      </w:r>
      <w:r w:rsidRPr="0069135C" w:rsidR="00FB6E2B">
        <w:rPr>
          <w:rFonts w:asciiTheme="minorHAnsi" w:hAnsiTheme="minorHAnsi" w:cstheme="minorHAnsi"/>
          <w:szCs w:val="22"/>
        </w:rPr>
        <w:t>,</w:t>
      </w:r>
      <w:r w:rsidRPr="0069135C" w:rsidR="006561C1">
        <w:rPr>
          <w:rFonts w:asciiTheme="minorHAnsi" w:hAnsiTheme="minorHAnsi" w:cstheme="minorHAnsi"/>
          <w:szCs w:val="22"/>
        </w:rPr>
        <w:t xml:space="preserve"> and caseworker</w:t>
      </w:r>
      <w:r w:rsidR="00FB6E2B">
        <w:rPr>
          <w:rFonts w:asciiTheme="minorHAnsi" w:hAnsiTheme="minorHAnsi" w:cstheme="minorHAnsi"/>
        </w:rPr>
        <w:t xml:space="preserve"> surveys</w:t>
      </w:r>
      <w:r w:rsidRPr="00BA0F9F" w:rsidR="006561C1">
        <w:rPr>
          <w:rFonts w:asciiTheme="minorHAnsi" w:hAnsiTheme="minorHAnsi" w:cstheme="minorHAnsi"/>
        </w:rPr>
        <w:t xml:space="preserve">. </w:t>
      </w:r>
      <w:r w:rsidR="00FB6E2B">
        <w:rPr>
          <w:rFonts w:asciiTheme="minorHAnsi" w:hAnsiTheme="minorHAnsi" w:cstheme="minorHAnsi"/>
        </w:rPr>
        <w:t>The t</w:t>
      </w:r>
      <w:r w:rsidRPr="00BA0F9F" w:rsidR="006561C1">
        <w:rPr>
          <w:rFonts w:asciiTheme="minorHAnsi" w:hAnsiTheme="minorHAnsi" w:cstheme="minorHAnsi"/>
        </w:rPr>
        <w:t>h</w:t>
      </w:r>
      <w:r w:rsidR="006561C1">
        <w:rPr>
          <w:rFonts w:asciiTheme="minorHAnsi" w:hAnsiTheme="minorHAnsi" w:cstheme="minorHAnsi"/>
        </w:rPr>
        <w:t>ree sets of</w:t>
      </w:r>
      <w:r w:rsidRPr="00BA0F9F" w:rsidR="006561C1">
        <w:rPr>
          <w:rFonts w:asciiTheme="minorHAnsi" w:hAnsiTheme="minorHAnsi" w:cstheme="minorHAnsi"/>
        </w:rPr>
        <w:t xml:space="preserve"> weights are needed so that the estimates for each unit of analysis reflects its respective target population.</w:t>
      </w:r>
      <w:r>
        <w:rPr>
          <w:rFonts w:asciiTheme="minorHAnsi" w:hAnsiTheme="minorHAnsi" w:cstheme="minorHAnsi"/>
        </w:rPr>
        <w:t xml:space="preserve"> For </w:t>
      </w:r>
      <w:r w:rsidR="00701F72">
        <w:rPr>
          <w:rFonts w:asciiTheme="minorHAnsi" w:hAnsiTheme="minorHAnsi" w:cstheme="minorHAnsi"/>
        </w:rPr>
        <w:t xml:space="preserve">the </w:t>
      </w:r>
      <w:r>
        <w:rPr>
          <w:rFonts w:asciiTheme="minorHAnsi" w:hAnsiTheme="minorHAnsi" w:cstheme="minorHAnsi"/>
        </w:rPr>
        <w:t xml:space="preserve">agency director survey, design weights will be constructed that reflect the unequal probability sample of the agencies, which are the NSCAW III primary sampling units (PSUs). For the supervisor and caseworker surveys, the design weights will reflect both the agency and caseworker within agency selection probabilities. </w:t>
      </w:r>
    </w:p>
    <w:p w:rsidR="00EC79F7" w:rsidP="00EC79F7" w14:paraId="2DC5F68A" w14:textId="77777777">
      <w:pPr>
        <w:pStyle w:val="BodyText"/>
        <w:spacing w:after="0" w:line="276" w:lineRule="auto"/>
        <w:rPr>
          <w:rFonts w:asciiTheme="minorHAnsi" w:hAnsiTheme="minorHAnsi" w:cstheme="minorHAnsi"/>
        </w:rPr>
      </w:pPr>
    </w:p>
    <w:p w:rsidR="00EC79F7" w:rsidP="00EC79F7" w14:paraId="1E8FDF3B" w14:textId="278548DE">
      <w:pPr>
        <w:pStyle w:val="BodyText"/>
        <w:spacing w:after="0" w:line="276" w:lineRule="auto"/>
        <w:rPr>
          <w:rFonts w:asciiTheme="minorHAnsi" w:hAnsiTheme="minorHAnsi" w:cstheme="minorHAnsi"/>
        </w:rPr>
      </w:pPr>
      <w:r>
        <w:rPr>
          <w:rFonts w:asciiTheme="minorHAnsi" w:hAnsiTheme="minorHAnsi" w:cstheme="minorHAnsi"/>
        </w:rPr>
        <w:t>To determine whether the design weights should be adjusted to compensate for nonresponse, the design weighted estimates will be compared to available sampling frame totals. It is unlikely that nonresponse weighting adjustments will be necessary or available for the agency director surveys because their response rate is expected to be high</w:t>
      </w:r>
      <w:r w:rsidR="00701F72">
        <w:rPr>
          <w:rFonts w:asciiTheme="minorHAnsi" w:hAnsiTheme="minorHAnsi" w:cstheme="minorHAnsi"/>
        </w:rPr>
        <w:t xml:space="preserve">. </w:t>
      </w:r>
      <w:r>
        <w:rPr>
          <w:rFonts w:asciiTheme="minorHAnsi" w:hAnsiTheme="minorHAnsi" w:cstheme="minorHAnsi"/>
        </w:rPr>
        <w:t xml:space="preserve">For the supervisor and caseworker surveys, response rates are expected to be lower and nonresponse weighting adjustments may be warranted. If so, various levels of adjustments (e.g., agency, state, or region) will be compared for their impact on the mean squared errors of the estimates. Adjustments providing the best balance between bias reduction and variance inflation will be performed. Characteristics from the sampling frame, as well as from NCANDS data, will be considered in these adjustments. </w:t>
      </w:r>
    </w:p>
    <w:p w:rsidR="00EC79F7" w:rsidP="00EC79F7" w14:paraId="10739EC5" w14:textId="77777777">
      <w:pPr>
        <w:pStyle w:val="BodyText"/>
        <w:spacing w:after="0" w:line="276" w:lineRule="auto"/>
        <w:rPr>
          <w:rFonts w:asciiTheme="minorHAnsi" w:hAnsiTheme="minorHAnsi" w:cstheme="minorHAnsi"/>
        </w:rPr>
      </w:pPr>
    </w:p>
    <w:p w:rsidR="006561C1" w:rsidP="00EC79F7" w14:paraId="454F9DF4" w14:textId="30EE88A5">
      <w:pPr>
        <w:pStyle w:val="BodyText"/>
        <w:spacing w:after="0" w:line="276" w:lineRule="auto"/>
        <w:rPr>
          <w:rFonts w:asciiTheme="minorHAnsi" w:hAnsiTheme="minorHAnsi" w:cstheme="minorHAnsi"/>
        </w:rPr>
      </w:pPr>
      <w:r>
        <w:rPr>
          <w:rFonts w:asciiTheme="minorHAnsi" w:hAnsiTheme="minorHAnsi" w:cstheme="minorHAnsi"/>
        </w:rPr>
        <w:t>I</w:t>
      </w:r>
      <w:r w:rsidRPr="00813B2A">
        <w:rPr>
          <w:rFonts w:asciiTheme="minorHAnsi" w:hAnsiTheme="minorHAnsi" w:cstheme="minorHAnsi"/>
        </w:rPr>
        <w:t xml:space="preserve">tem nonresponse </w:t>
      </w:r>
      <w:r>
        <w:rPr>
          <w:rFonts w:asciiTheme="minorHAnsi" w:hAnsiTheme="minorHAnsi" w:cstheme="minorHAnsi"/>
        </w:rPr>
        <w:t xml:space="preserve">will also be evaluated and controlled to the extent possible. </w:t>
      </w:r>
      <w:r w:rsidR="00F17412">
        <w:rPr>
          <w:rFonts w:asciiTheme="minorHAnsi" w:hAnsiTheme="minorHAnsi" w:cstheme="minorHAnsi"/>
        </w:rPr>
        <w:t xml:space="preserve">We expect that </w:t>
      </w:r>
      <w:r>
        <w:rPr>
          <w:rFonts w:asciiTheme="minorHAnsi" w:hAnsiTheme="minorHAnsi" w:cstheme="minorHAnsi"/>
        </w:rPr>
        <w:t xml:space="preserve">item missingness </w:t>
      </w:r>
      <w:r w:rsidR="00F17412">
        <w:rPr>
          <w:rFonts w:asciiTheme="minorHAnsi" w:hAnsiTheme="minorHAnsi" w:cstheme="minorHAnsi"/>
        </w:rPr>
        <w:t>will be</w:t>
      </w:r>
      <w:r>
        <w:rPr>
          <w:rFonts w:asciiTheme="minorHAnsi" w:hAnsiTheme="minorHAnsi" w:cstheme="minorHAnsi"/>
        </w:rPr>
        <w:t xml:space="preserve"> minimal</w:t>
      </w:r>
      <w:r w:rsidR="009845AA">
        <w:rPr>
          <w:rFonts w:asciiTheme="minorHAnsi" w:hAnsiTheme="minorHAnsi" w:cstheme="minorHAnsi"/>
        </w:rPr>
        <w:t>,</w:t>
      </w:r>
      <w:r>
        <w:rPr>
          <w:rFonts w:asciiTheme="minorHAnsi" w:hAnsiTheme="minorHAnsi" w:cstheme="minorHAnsi"/>
        </w:rPr>
        <w:t xml:space="preserve"> especially </w:t>
      </w:r>
      <w:r w:rsidR="0061407F">
        <w:rPr>
          <w:rFonts w:asciiTheme="minorHAnsi" w:hAnsiTheme="minorHAnsi" w:cstheme="minorHAnsi"/>
        </w:rPr>
        <w:t xml:space="preserve">for </w:t>
      </w:r>
      <w:r w:rsidR="00F17412">
        <w:rPr>
          <w:rFonts w:asciiTheme="minorHAnsi" w:hAnsiTheme="minorHAnsi" w:cstheme="minorHAnsi"/>
        </w:rPr>
        <w:t xml:space="preserve">surveys administered </w:t>
      </w:r>
      <w:r w:rsidR="00685964">
        <w:rPr>
          <w:rFonts w:asciiTheme="minorHAnsi" w:hAnsiTheme="minorHAnsi" w:cstheme="minorHAnsi"/>
        </w:rPr>
        <w:t xml:space="preserve">over the phone or </w:t>
      </w:r>
      <w:r w:rsidR="0061407F">
        <w:rPr>
          <w:rFonts w:asciiTheme="minorHAnsi" w:hAnsiTheme="minorHAnsi" w:cstheme="minorHAnsi"/>
        </w:rPr>
        <w:t xml:space="preserve">in-person </w:t>
      </w:r>
      <w:r w:rsidR="00F17412">
        <w:rPr>
          <w:rFonts w:asciiTheme="minorHAnsi" w:hAnsiTheme="minorHAnsi" w:cstheme="minorHAnsi"/>
        </w:rPr>
        <w:t>by an interviewer</w:t>
      </w:r>
      <w:r w:rsidRPr="00813B2A">
        <w:rPr>
          <w:rFonts w:asciiTheme="minorHAnsi" w:hAnsiTheme="minorHAnsi" w:cstheme="minorHAnsi"/>
        </w:rPr>
        <w:t xml:space="preserve">. </w:t>
      </w:r>
      <w:r w:rsidR="00A10E32">
        <w:rPr>
          <w:rFonts w:asciiTheme="minorHAnsi" w:hAnsiTheme="minorHAnsi" w:cstheme="minorHAnsi"/>
        </w:rPr>
        <w:t>T</w:t>
      </w:r>
      <w:r w:rsidR="00F17412">
        <w:rPr>
          <w:rFonts w:ascii="Calibri" w:hAnsi="Calibri" w:cs="Calibri"/>
        </w:rPr>
        <w:t xml:space="preserve">he </w:t>
      </w:r>
      <w:r w:rsidR="009845AA">
        <w:rPr>
          <w:rFonts w:asciiTheme="minorHAnsi" w:hAnsiTheme="minorHAnsi" w:cstheme="minorHAnsi"/>
        </w:rPr>
        <w:t>level of item nonresponse may be higher</w:t>
      </w:r>
      <w:r w:rsidR="00A10E32">
        <w:rPr>
          <w:rFonts w:asciiTheme="minorHAnsi" w:hAnsiTheme="minorHAnsi" w:cstheme="minorHAnsi"/>
        </w:rPr>
        <w:t xml:space="preserve"> for surveys conducted via web. </w:t>
      </w:r>
      <w:r w:rsidR="009845AA">
        <w:rPr>
          <w:rFonts w:asciiTheme="minorHAnsi" w:hAnsiTheme="minorHAnsi" w:cstheme="minorHAnsi"/>
        </w:rPr>
        <w:t xml:space="preserve"> </w:t>
      </w:r>
      <w:r w:rsidR="00F17412">
        <w:rPr>
          <w:rFonts w:asciiTheme="minorHAnsi" w:hAnsiTheme="minorHAnsi" w:cstheme="minorHAnsi"/>
        </w:rPr>
        <w:t>I</w:t>
      </w:r>
      <w:r>
        <w:rPr>
          <w:rFonts w:asciiTheme="minorHAnsi" w:hAnsiTheme="minorHAnsi" w:cstheme="minorHAnsi"/>
        </w:rPr>
        <w:t xml:space="preserve">mputation </w:t>
      </w:r>
      <w:r w:rsidR="009845AA">
        <w:rPr>
          <w:rFonts w:asciiTheme="minorHAnsi" w:hAnsiTheme="minorHAnsi" w:cstheme="minorHAnsi"/>
        </w:rPr>
        <w:t xml:space="preserve">will </w:t>
      </w:r>
      <w:r>
        <w:rPr>
          <w:rFonts w:asciiTheme="minorHAnsi" w:hAnsiTheme="minorHAnsi" w:cstheme="minorHAnsi"/>
        </w:rPr>
        <w:t xml:space="preserve">be considered </w:t>
      </w:r>
      <w:r w:rsidR="0061407F">
        <w:rPr>
          <w:rFonts w:asciiTheme="minorHAnsi" w:hAnsiTheme="minorHAnsi" w:cstheme="minorHAnsi"/>
        </w:rPr>
        <w:t xml:space="preserve">for cases </w:t>
      </w:r>
      <w:r>
        <w:rPr>
          <w:rFonts w:asciiTheme="minorHAnsi" w:hAnsiTheme="minorHAnsi" w:cstheme="minorHAnsi"/>
        </w:rPr>
        <w:t>where a response to a missing item can be inferred from the patterns of responses in the data.</w:t>
      </w:r>
      <w:r w:rsidRPr="00BA0F9F">
        <w:rPr>
          <w:rFonts w:asciiTheme="minorHAnsi" w:hAnsiTheme="minorHAnsi" w:cstheme="minorHAnsi"/>
        </w:rPr>
        <w:t xml:space="preserve"> </w:t>
      </w:r>
    </w:p>
    <w:p w:rsidR="006561C1" w:rsidRPr="00BA0F9F" w:rsidP="00E0079E" w14:paraId="00DDCAB0" w14:textId="77777777">
      <w:pPr>
        <w:pStyle w:val="BodyText"/>
        <w:spacing w:after="0" w:line="276" w:lineRule="auto"/>
        <w:rPr>
          <w:rFonts w:asciiTheme="minorHAnsi" w:hAnsiTheme="minorHAnsi" w:cstheme="minorHAnsi"/>
        </w:rPr>
      </w:pPr>
    </w:p>
    <w:bookmarkEnd w:id="1"/>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E33D86" w:rsidP="00CB1532" w14:paraId="324FD980" w14:textId="50698B85">
      <w:pPr>
        <w:spacing w:after="0"/>
        <w:rPr>
          <w:rFonts w:cstheme="minorHAnsi"/>
        </w:rPr>
      </w:pPr>
      <w:r>
        <w:rPr>
          <w:rFonts w:ascii="Calibri" w:eastAsia="Times New Roman" w:hAnsi="Calibri" w:cs="Calibri"/>
        </w:rPr>
        <w:t xml:space="preserve">Estimates produced by this work will be prepared for internal use by ACF and external release by the </w:t>
      </w:r>
      <w:r w:rsidRPr="006A5B0C">
        <w:rPr>
          <w:rFonts w:ascii="Calibri" w:eastAsia="Times New Roman" w:hAnsi="Calibri" w:cs="Calibri"/>
        </w:rPr>
        <w:t xml:space="preserve">agency in the form of reports, </w:t>
      </w:r>
      <w:r>
        <w:rPr>
          <w:rFonts w:ascii="Calibri" w:eastAsia="Times New Roman" w:hAnsi="Calibri" w:cs="Calibri"/>
        </w:rPr>
        <w:t>research briefs,</w:t>
      </w:r>
      <w:r w:rsidRPr="006A5B0C">
        <w:rPr>
          <w:rFonts w:ascii="Calibri" w:eastAsia="Times New Roman" w:hAnsi="Calibri" w:cs="Calibri"/>
        </w:rPr>
        <w:t xml:space="preserve"> </w:t>
      </w:r>
      <w:r w:rsidR="00D60BCC">
        <w:rPr>
          <w:rFonts w:ascii="Calibri" w:eastAsia="Times New Roman" w:hAnsi="Calibri" w:cs="Calibri"/>
        </w:rPr>
        <w:t xml:space="preserve">and </w:t>
      </w:r>
      <w:r w:rsidR="00D60BCC">
        <w:rPr>
          <w:rFonts w:cstheme="minorHAnsi"/>
          <w:iCs/>
          <w:color w:val="000000"/>
        </w:rPr>
        <w:t>other publications or presentations</w:t>
      </w:r>
      <w:r w:rsidRPr="006A5B0C">
        <w:rPr>
          <w:rFonts w:ascii="Calibri" w:eastAsia="Times New Roman" w:hAnsi="Calibri" w:cs="Calibri"/>
        </w:rPr>
        <w:t>.</w:t>
      </w:r>
      <w:r>
        <w:rPr>
          <w:rFonts w:ascii="Calibri" w:eastAsia="Times New Roman" w:hAnsi="Calibri" w:cs="Calibri"/>
        </w:rPr>
        <w:t xml:space="preserve">  </w:t>
      </w:r>
      <w:r>
        <w:rPr>
          <w:rFonts w:cstheme="minorHAnsi"/>
        </w:rPr>
        <w:t>T</w:t>
      </w:r>
      <w:r w:rsidRPr="00A55B5D" w:rsidR="006561C1">
        <w:rPr>
          <w:rFonts w:cstheme="minorHAnsi"/>
        </w:rPr>
        <w:t xml:space="preserve">he estimation </w:t>
      </w:r>
      <w:r w:rsidRPr="00A55B5D" w:rsidR="006561C1">
        <w:rPr>
          <w:rFonts w:cstheme="minorHAnsi"/>
        </w:rPr>
        <w:t xml:space="preserve">methods that will be employed in the analysis of the study data will follow statistical best practices. Estimates, including tabulations, descriptive </w:t>
      </w:r>
      <w:r w:rsidRPr="00A55B5D" w:rsidR="006561C1">
        <w:rPr>
          <w:rFonts w:cstheme="minorHAnsi"/>
        </w:rPr>
        <w:t>analyses</w:t>
      </w:r>
      <w:r w:rsidRPr="00A55B5D" w:rsidR="006561C1">
        <w:rPr>
          <w:rFonts w:cstheme="minorHAnsi"/>
        </w:rPr>
        <w:t xml:space="preserve"> and model estimates, will be appropriately weighted for probabilities of selection and if deemed necessary</w:t>
      </w:r>
      <w:r w:rsidR="000C0093">
        <w:rPr>
          <w:rFonts w:cstheme="minorHAnsi"/>
        </w:rPr>
        <w:t>,</w:t>
      </w:r>
      <w:r w:rsidRPr="00A55B5D" w:rsidR="006561C1">
        <w:rPr>
          <w:rFonts w:cstheme="minorHAnsi"/>
        </w:rPr>
        <w:t xml:space="preserve"> adjusted for nonresponse bias. Estimates and their standard errors will be produced using statistical software</w:t>
      </w:r>
      <w:r w:rsidR="000C0093">
        <w:rPr>
          <w:rFonts w:cstheme="minorHAnsi"/>
        </w:rPr>
        <w:t xml:space="preserve">, </w:t>
      </w:r>
      <w:r w:rsidR="00E0079E">
        <w:rPr>
          <w:rFonts w:cstheme="minorHAnsi"/>
        </w:rPr>
        <w:t>s</w:t>
      </w:r>
      <w:r w:rsidRPr="00A55B5D" w:rsidR="006561C1">
        <w:rPr>
          <w:rFonts w:cstheme="minorHAnsi"/>
        </w:rPr>
        <w:t>uch as SUDAAN</w:t>
      </w:r>
      <w:r w:rsidR="000C0093">
        <w:rPr>
          <w:rFonts w:cstheme="minorHAnsi"/>
        </w:rPr>
        <w:t>,</w:t>
      </w:r>
      <w:r w:rsidRPr="00A55B5D" w:rsidR="006561C1">
        <w:rPr>
          <w:rFonts w:cstheme="minorHAnsi"/>
        </w:rPr>
        <w:t xml:space="preserve"> that is designed for weighted clustered samples from finite populations. </w:t>
      </w:r>
    </w:p>
    <w:p w:rsidR="00CB1532" w:rsidP="00CB1532" w14:paraId="48A3A026" w14:textId="4843A26D">
      <w:pPr>
        <w:spacing w:after="0"/>
        <w:rPr>
          <w:rFonts w:cstheme="minorHAnsi"/>
        </w:rPr>
      </w:pPr>
    </w:p>
    <w:p w:rsidR="00CB1532" w:rsidRPr="00CB1532" w:rsidP="00CB1532" w14:paraId="185B4088" w14:textId="5E5AC417">
      <w:pPr>
        <w:pStyle w:val="bodytextpsg"/>
        <w:spacing w:line="276" w:lineRule="auto"/>
        <w:ind w:firstLine="0"/>
        <w:rPr>
          <w:rFonts w:asciiTheme="minorHAnsi" w:hAnsiTheme="minorHAnsi" w:cstheme="minorHAnsi"/>
        </w:rPr>
      </w:pPr>
      <w:r w:rsidRPr="00CB1532">
        <w:rPr>
          <w:rFonts w:asciiTheme="minorHAnsi" w:hAnsiTheme="minorHAnsi" w:cstheme="minorHAnsi"/>
        </w:rPr>
        <w:t xml:space="preserve">Deidentified </w:t>
      </w:r>
      <w:r w:rsidR="008329FF">
        <w:rPr>
          <w:rFonts w:asciiTheme="minorHAnsi" w:hAnsiTheme="minorHAnsi" w:cstheme="minorHAnsi"/>
        </w:rPr>
        <w:t xml:space="preserve">Phase II and Phase </w:t>
      </w:r>
      <w:r w:rsidR="008329FF">
        <w:rPr>
          <w:rFonts w:asciiTheme="minorHAnsi" w:hAnsiTheme="minorHAnsi" w:cstheme="minorHAnsi"/>
        </w:rPr>
        <w:t xml:space="preserve">III </w:t>
      </w:r>
      <w:r w:rsidRPr="00CB1532">
        <w:rPr>
          <w:rFonts w:asciiTheme="minorHAnsi" w:hAnsiTheme="minorHAnsi" w:cstheme="minorHAnsi"/>
        </w:rPr>
        <w:t xml:space="preserve"> data</w:t>
      </w:r>
      <w:r w:rsidRPr="00CB1532">
        <w:rPr>
          <w:rFonts w:asciiTheme="minorHAnsi" w:hAnsiTheme="minorHAnsi" w:cstheme="minorHAnsi"/>
        </w:rPr>
        <w:t xml:space="preserve"> will be archived at the National Data Archive on Child Abuse and Neglect (NDACAN). </w:t>
      </w:r>
      <w:r>
        <w:rPr>
          <w:rFonts w:asciiTheme="minorHAnsi" w:hAnsiTheme="minorHAnsi" w:cstheme="minorHAnsi"/>
        </w:rPr>
        <w:t>A data fil</w:t>
      </w:r>
      <w:r w:rsidRPr="00CB1532">
        <w:rPr>
          <w:rFonts w:asciiTheme="minorHAnsi" w:hAnsiTheme="minorHAnsi" w:cstheme="minorHAnsi"/>
        </w:rPr>
        <w:t>e user’s manual (DFUM</w:t>
      </w:r>
      <w:r>
        <w:rPr>
          <w:rFonts w:asciiTheme="minorHAnsi" w:hAnsiTheme="minorHAnsi" w:cstheme="minorHAnsi"/>
        </w:rPr>
        <w:t xml:space="preserve">) will accompany </w:t>
      </w:r>
      <w:r w:rsidR="00E66E7D">
        <w:rPr>
          <w:rFonts w:asciiTheme="minorHAnsi" w:hAnsiTheme="minorHAnsi" w:cstheme="minorHAnsi"/>
        </w:rPr>
        <w:t>each</w:t>
      </w:r>
      <w:r>
        <w:rPr>
          <w:rFonts w:asciiTheme="minorHAnsi" w:hAnsiTheme="minorHAnsi" w:cstheme="minorHAnsi"/>
        </w:rPr>
        <w:t xml:space="preserve"> dataset. </w:t>
      </w:r>
      <w:r w:rsidRPr="00CB1532">
        <w:rPr>
          <w:rFonts w:asciiTheme="minorHAnsi" w:hAnsiTheme="minorHAnsi" w:cstheme="minorHAnsi"/>
        </w:rPr>
        <w:t xml:space="preserve">The DFUM will include documentation of sampling methods, response rates, population of inference, construction of scoring and derived variables, and construction and appropriate use of survey weights. Also included will be annotated survey specifications and a codebook. The survey specifications will include the question text, variable names, response categories, and skip logic. The codebook will contain frequencies of all the variables in the dataset. </w:t>
      </w:r>
    </w:p>
    <w:p w:rsidR="00CB1532" w:rsidRPr="00CB1532" w:rsidP="006B046A" w14:paraId="65BB1A85" w14:textId="7FC75973">
      <w:pPr>
        <w:spacing w:after="0"/>
        <w:rPr>
          <w:rFonts w:cstheme="minorHAnsi"/>
        </w:rPr>
      </w:pPr>
    </w:p>
    <w:p w:rsidR="00A42C71" w:rsidRPr="001A59B6" w:rsidP="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093BF8" w:rsidP="00665DAC" w14:paraId="69CB3B12" w14:textId="3FB59B1C">
      <w:pPr>
        <w:autoSpaceDE w:val="0"/>
        <w:autoSpaceDN w:val="0"/>
        <w:adjustRightInd w:val="0"/>
        <w:spacing w:after="0"/>
      </w:pPr>
      <w:r>
        <w:t xml:space="preserve">The Phase II child, caregiver, and caseworker surveys, and the Phase III supervisor and caseworker surveys </w:t>
      </w:r>
      <w:r w:rsidRPr="005D7F76">
        <w:t xml:space="preserve">utilize </w:t>
      </w:r>
      <w:r>
        <w:t xml:space="preserve">a </w:t>
      </w:r>
      <w:r w:rsidRPr="005D7F76">
        <w:t>computer-assisted interviewing (CAI)</w:t>
      </w:r>
      <w:r>
        <w:t xml:space="preserve"> program.  </w:t>
      </w:r>
    </w:p>
    <w:p w:rsidR="00511348" w:rsidP="00665DAC" w14:paraId="350C59BD" w14:textId="77777777">
      <w:pPr>
        <w:autoSpaceDE w:val="0"/>
        <w:autoSpaceDN w:val="0"/>
        <w:adjustRightInd w:val="0"/>
        <w:spacing w:after="0"/>
      </w:pPr>
    </w:p>
    <w:p w:rsidR="006561C1" w:rsidRPr="006B0888" w:rsidP="00665DAC" w14:paraId="2E9DB960" w14:textId="64F09172">
      <w:pPr>
        <w:autoSpaceDE w:val="0"/>
        <w:autoSpaceDN w:val="0"/>
        <w:adjustRightInd w:val="0"/>
        <w:spacing w:after="0"/>
        <w:rPr>
          <w:rFonts w:eastAsia="Times New Roman" w:cstheme="minorHAnsi"/>
          <w:bCs/>
          <w:iCs/>
          <w:color w:val="000000"/>
        </w:rPr>
      </w:pPr>
      <w:r w:rsidRPr="00A35870">
        <w:t>The questionnaire program</w:t>
      </w:r>
      <w:r>
        <w:t>s</w:t>
      </w:r>
      <w:r w:rsidRPr="00A35870">
        <w:t xml:space="preserve"> </w:t>
      </w:r>
      <w:r>
        <w:t xml:space="preserve">will ensure data quality by </w:t>
      </w:r>
      <w:r w:rsidRPr="00A35870">
        <w:t>implement</w:t>
      </w:r>
      <w:r>
        <w:t>ing</w:t>
      </w:r>
      <w:r w:rsidRPr="00A35870">
        <w:t xml:space="preserve"> skip </w:t>
      </w:r>
      <w:r>
        <w:t xml:space="preserve">logic, </w:t>
      </w:r>
      <w:r w:rsidRPr="00A35870">
        <w:t>fill</w:t>
      </w:r>
      <w:r>
        <w:t>ing</w:t>
      </w:r>
      <w:r w:rsidRPr="00A35870">
        <w:t xml:space="preserve"> specific wordings based on answers previously provided by the respondent</w:t>
      </w:r>
      <w:r>
        <w:t xml:space="preserve">, and implementing consistency and range checks. The programs will also provide </w:t>
      </w:r>
      <w:r w:rsidRPr="00A35870">
        <w:t>greater expediency with respect to data processing and analysis.</w:t>
      </w:r>
      <w:r>
        <w:t xml:space="preserve"> </w:t>
      </w:r>
      <w:r w:rsidR="00A7509F">
        <w:t xml:space="preserve">Several </w:t>
      </w:r>
      <w:r w:rsidRPr="00A35870">
        <w:t xml:space="preserve">backend processing steps, including editing, coding, and data entry, </w:t>
      </w:r>
      <w:r>
        <w:t xml:space="preserve">will be </w:t>
      </w:r>
      <w:r w:rsidRPr="00A35870">
        <w:t>part o</w:t>
      </w:r>
      <w:r>
        <w:t xml:space="preserve">f the data collection process. </w:t>
      </w:r>
      <w:r w:rsidR="00093BF8">
        <w:t xml:space="preserve">The Phase III </w:t>
      </w:r>
      <w:r w:rsidR="00093BF8">
        <w:rPr>
          <w:rFonts w:eastAsia="Times New Roman" w:cstheme="minorHAnsi"/>
          <w:bCs/>
          <w:iCs/>
          <w:color w:val="000000"/>
        </w:rPr>
        <w:t>agency director survey is interviewer-administered using a paper instrument with a CAI data entry program.</w:t>
      </w:r>
    </w:p>
    <w:p w:rsidR="00A42C71" w:rsidRPr="001A59B6" w:rsidP="00665DAC" w14:paraId="1F57B3E9" w14:textId="1D1BC6F2">
      <w:pPr>
        <w:autoSpaceDE w:val="0"/>
        <w:autoSpaceDN w:val="0"/>
        <w:adjustRightInd w:val="0"/>
        <w:spacing w:after="0"/>
        <w:rPr>
          <w:rFonts w:eastAsia="Times New Roman" w:cstheme="minorHAnsi"/>
          <w:bCs/>
          <w:color w:val="000000"/>
        </w:rPr>
      </w:pPr>
      <w:r>
        <w:rPr>
          <w:rFonts w:eastAsia="Times New Roman" w:cstheme="minorHAnsi"/>
          <w:bCs/>
          <w:color w:val="000000"/>
        </w:rPr>
        <w:t xml:space="preserve"> </w:t>
      </w: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2109C4" w:rsidRPr="002109C4" w:rsidP="005520E7" w14:paraId="07DE1359" w14:textId="4F31089E">
      <w:pPr>
        <w:pStyle w:val="BodyText"/>
        <w:spacing w:after="0" w:line="276" w:lineRule="auto"/>
        <w:rPr>
          <w:rFonts w:asciiTheme="minorHAnsi" w:hAnsiTheme="minorHAnsi" w:cstheme="minorHAnsi"/>
        </w:rPr>
      </w:pPr>
      <w:r w:rsidRPr="002109C4">
        <w:rPr>
          <w:rFonts w:asciiTheme="minorHAnsi" w:hAnsiTheme="minorHAnsi" w:cstheme="minorHAnsi"/>
        </w:rPr>
        <w:t xml:space="preserve">Phase II data analysis will address the most important knowledge gaps about children </w:t>
      </w:r>
      <w:r>
        <w:rPr>
          <w:rFonts w:asciiTheme="minorHAnsi" w:hAnsiTheme="minorHAnsi" w:cstheme="minorHAnsi"/>
        </w:rPr>
        <w:t xml:space="preserve">and families </w:t>
      </w:r>
      <w:r w:rsidRPr="002109C4">
        <w:rPr>
          <w:rFonts w:asciiTheme="minorHAnsi" w:hAnsiTheme="minorHAnsi" w:cstheme="minorHAnsi"/>
        </w:rPr>
        <w:t xml:space="preserve">involved with child welfare and be responsive to ACF’s priorities. Baseline and follow-up data collection reports, research briefs, spotlight reports, and manuscripts will all be key dissemination products. </w:t>
      </w:r>
    </w:p>
    <w:p w:rsidR="005520E7" w:rsidP="005520E7" w14:paraId="6F48B092" w14:textId="59433421">
      <w:pPr>
        <w:pStyle w:val="BodyText"/>
        <w:spacing w:after="0" w:line="276" w:lineRule="auto"/>
        <w:rPr>
          <w:rFonts w:asciiTheme="minorHAnsi" w:hAnsiTheme="minorHAnsi" w:cstheme="minorHAnsi"/>
          <w:szCs w:val="22"/>
        </w:rPr>
      </w:pPr>
      <w:r w:rsidRPr="002109C4">
        <w:rPr>
          <w:rFonts w:asciiTheme="minorHAnsi" w:hAnsiTheme="minorHAnsi" w:cstheme="minorHAnsi"/>
        </w:rPr>
        <w:t>Phase III a</w:t>
      </w:r>
      <w:r w:rsidRPr="002109C4" w:rsidR="006561C1">
        <w:rPr>
          <w:rFonts w:asciiTheme="minorHAnsi" w:hAnsiTheme="minorHAnsi" w:cstheme="minorHAnsi"/>
          <w:szCs w:val="22"/>
        </w:rPr>
        <w:t>nalysis</w:t>
      </w:r>
      <w:r w:rsidRPr="00A55B5D" w:rsidR="006561C1">
        <w:rPr>
          <w:rFonts w:asciiTheme="minorHAnsi" w:hAnsiTheme="minorHAnsi" w:cstheme="minorHAnsi"/>
          <w:szCs w:val="22"/>
        </w:rPr>
        <w:t xml:space="preserve"> will address the</w:t>
      </w:r>
      <w:r w:rsidR="00FE1611">
        <w:rPr>
          <w:rFonts w:asciiTheme="minorHAnsi" w:hAnsiTheme="minorHAnsi" w:cstheme="minorHAnsi"/>
          <w:szCs w:val="22"/>
        </w:rPr>
        <w:t xml:space="preserve"> identified research questions and</w:t>
      </w:r>
      <w:r w:rsidRPr="00A55B5D" w:rsidR="006561C1">
        <w:rPr>
          <w:rFonts w:asciiTheme="minorHAnsi" w:hAnsiTheme="minorHAnsi" w:cstheme="minorHAnsi"/>
          <w:szCs w:val="22"/>
        </w:rPr>
        <w:t xml:space="preserve"> most important knowledge gaps about </w:t>
      </w:r>
      <w:r w:rsidRPr="00A55B5D" w:rsidR="006561C1">
        <w:rPr>
          <w:rFonts w:asciiTheme="minorHAnsi" w:hAnsiTheme="minorHAnsi" w:cstheme="minorHAnsi"/>
          <w:color w:val="000000" w:themeColor="text1"/>
          <w:szCs w:val="22"/>
        </w:rPr>
        <w:t>current workforce in public child welfare agencies, including child welfare staff characteristics and competencies; workforce issues (e.g., recruitment, hiring, retention/turnover); training and professional development; and organizational/agency factors.</w:t>
      </w:r>
      <w:r w:rsidRPr="00A55B5D" w:rsidR="006561C1">
        <w:rPr>
          <w:rFonts w:asciiTheme="minorHAnsi" w:hAnsiTheme="minorHAnsi" w:cstheme="minorHAnsi"/>
          <w:szCs w:val="22"/>
        </w:rPr>
        <w:t xml:space="preserve"> </w:t>
      </w:r>
      <w:r w:rsidR="00766892">
        <w:rPr>
          <w:rFonts w:asciiTheme="minorHAnsi" w:hAnsiTheme="minorHAnsi" w:cstheme="minorHAnsi"/>
          <w:szCs w:val="22"/>
        </w:rPr>
        <w:t xml:space="preserve"> </w:t>
      </w:r>
      <w:r w:rsidRPr="00E33D86">
        <w:rPr>
          <w:rFonts w:asciiTheme="minorHAnsi" w:hAnsiTheme="minorHAnsi" w:cstheme="minorHAnsi"/>
          <w:bCs/>
          <w:szCs w:val="22"/>
        </w:rPr>
        <w:t>Several</w:t>
      </w:r>
      <w:r w:rsidRPr="00401F86">
        <w:rPr>
          <w:rFonts w:asciiTheme="minorHAnsi" w:hAnsiTheme="minorHAnsi" w:cstheme="minorHAnsi"/>
          <w:szCs w:val="22"/>
        </w:rPr>
        <w:t xml:space="preserve"> analysis strategies are planned for </w:t>
      </w:r>
      <w:r>
        <w:rPr>
          <w:rFonts w:asciiTheme="minorHAnsi" w:hAnsiTheme="minorHAnsi" w:cstheme="minorHAnsi"/>
          <w:szCs w:val="22"/>
        </w:rPr>
        <w:t xml:space="preserve">the </w:t>
      </w:r>
      <w:r w:rsidRPr="00401F86">
        <w:rPr>
          <w:rFonts w:asciiTheme="minorHAnsi" w:hAnsiTheme="minorHAnsi" w:cstheme="minorHAnsi"/>
          <w:color w:val="000000" w:themeColor="text1"/>
          <w:szCs w:val="22"/>
        </w:rPr>
        <w:t>workforce survey</w:t>
      </w:r>
      <w:r>
        <w:rPr>
          <w:rFonts w:asciiTheme="minorHAnsi" w:hAnsiTheme="minorHAnsi" w:cstheme="minorHAnsi"/>
          <w:color w:val="000000" w:themeColor="text1"/>
          <w:szCs w:val="22"/>
        </w:rPr>
        <w:t>s</w:t>
      </w:r>
      <w:r w:rsidRPr="00401F86">
        <w:rPr>
          <w:rFonts w:asciiTheme="minorHAnsi" w:hAnsiTheme="minorHAnsi" w:cstheme="minorHAnsi"/>
          <w:szCs w:val="22"/>
        </w:rPr>
        <w:t xml:space="preserve">. First, we will describe the characteristics of </w:t>
      </w:r>
      <w:r w:rsidRPr="00401F86">
        <w:rPr>
          <w:rFonts w:asciiTheme="minorHAnsi" w:hAnsiTheme="minorHAnsi" w:cstheme="minorHAnsi"/>
          <w:color w:val="000000" w:themeColor="text1"/>
          <w:szCs w:val="22"/>
        </w:rPr>
        <w:t>caseworkers, supervisors, and agency directors</w:t>
      </w:r>
      <w:r w:rsidRPr="00401F86">
        <w:rPr>
          <w:rFonts w:asciiTheme="minorHAnsi" w:hAnsiTheme="minorHAnsi" w:cstheme="minorHAnsi"/>
          <w:szCs w:val="22"/>
        </w:rPr>
        <w:t xml:space="preserve"> currently working within the child welfare system. We will use univariate methods to derive subpopulation estimates (proportions and means in particular) of important variables related to child welfare workforce characteristics and competencies, training and professional development, organizational factors, and policy to practice issues with a high degree of precision. The analysis plan will make calculation and interpretation of these estimates a priority.</w:t>
      </w:r>
    </w:p>
    <w:p w:rsidR="005520E7" w:rsidRPr="00401F86" w:rsidP="005520E7" w14:paraId="22176E7A" w14:textId="77777777">
      <w:pPr>
        <w:pStyle w:val="BodyText"/>
        <w:spacing w:after="0" w:line="276" w:lineRule="auto"/>
        <w:rPr>
          <w:rFonts w:asciiTheme="minorHAnsi" w:hAnsiTheme="minorHAnsi" w:cstheme="minorHAnsi"/>
          <w:szCs w:val="22"/>
        </w:rPr>
      </w:pPr>
    </w:p>
    <w:p w:rsidR="005520E7" w:rsidRPr="00A55B5D" w:rsidP="005520E7" w14:paraId="52AAB704" w14:textId="0F62617E">
      <w:pPr>
        <w:pStyle w:val="BodyText"/>
        <w:spacing w:after="0" w:line="276" w:lineRule="auto"/>
        <w:rPr>
          <w:rFonts w:asciiTheme="minorHAnsi" w:hAnsiTheme="minorHAnsi" w:cstheme="minorHAnsi"/>
          <w:szCs w:val="22"/>
        </w:rPr>
      </w:pPr>
      <w:r w:rsidRPr="00A55B5D">
        <w:rPr>
          <w:rFonts w:asciiTheme="minorHAnsi" w:hAnsiTheme="minorHAnsi" w:cstheme="minorHAnsi"/>
          <w:szCs w:val="22"/>
        </w:rPr>
        <w:t xml:space="preserve">Second, we will explore and evaluate </w:t>
      </w:r>
      <w:r w:rsidRPr="00A55B5D">
        <w:rPr>
          <w:rFonts w:asciiTheme="minorHAnsi" w:hAnsiTheme="minorHAnsi" w:cstheme="minorHAnsi"/>
          <w:szCs w:val="22"/>
        </w:rPr>
        <w:t>a number of</w:t>
      </w:r>
      <w:r w:rsidRPr="00A55B5D">
        <w:rPr>
          <w:rFonts w:asciiTheme="minorHAnsi" w:hAnsiTheme="minorHAnsi" w:cstheme="minorHAnsi"/>
          <w:szCs w:val="22"/>
        </w:rPr>
        <w:t xml:space="preserve"> predictors of workforce competencies, job satisfaction, retention, burnout, and turnover variables, primarily through the use of </w:t>
      </w:r>
      <w:r w:rsidRPr="00A55B5D">
        <w:rPr>
          <w:rFonts w:asciiTheme="minorHAnsi" w:hAnsiTheme="minorHAnsi" w:cstheme="minorHAnsi"/>
          <w:i/>
          <w:szCs w:val="22"/>
        </w:rPr>
        <w:t>group comparisons</w:t>
      </w:r>
      <w:r w:rsidRPr="00A55B5D">
        <w:rPr>
          <w:rFonts w:asciiTheme="minorHAnsi" w:hAnsiTheme="minorHAnsi" w:cstheme="minorHAnsi"/>
          <w:szCs w:val="22"/>
        </w:rPr>
        <w:t xml:space="preserve"> and </w:t>
      </w:r>
      <w:r w:rsidRPr="00A55B5D">
        <w:rPr>
          <w:rFonts w:asciiTheme="minorHAnsi" w:hAnsiTheme="minorHAnsi" w:cstheme="minorHAnsi"/>
          <w:i/>
          <w:szCs w:val="22"/>
        </w:rPr>
        <w:t>bivariate correlations</w:t>
      </w:r>
      <w:r w:rsidRPr="00A55B5D">
        <w:rPr>
          <w:rFonts w:asciiTheme="minorHAnsi" w:hAnsiTheme="minorHAnsi" w:cstheme="minorHAnsi"/>
          <w:szCs w:val="22"/>
        </w:rPr>
        <w:t xml:space="preserve">. These include contingency table (crosstab) analysis with appropriate statistical tests (e.g., Pearson’s χ2) and simple regression and correlation procedures. This will enable us, for example, to examine outcomes across type of </w:t>
      </w:r>
      <w:r w:rsidRPr="00A55B5D">
        <w:rPr>
          <w:rFonts w:asciiTheme="minorHAnsi" w:hAnsiTheme="minorHAnsi" w:cstheme="minorHAnsi"/>
          <w:color w:val="000000" w:themeColor="text1"/>
          <w:szCs w:val="22"/>
        </w:rPr>
        <w:t xml:space="preserve">child welfare workforce (caseworkers, supervisors, </w:t>
      </w:r>
      <w:r w:rsidR="00F06241">
        <w:rPr>
          <w:rFonts w:asciiTheme="minorHAnsi" w:hAnsiTheme="minorHAnsi" w:cstheme="minorHAnsi"/>
          <w:color w:val="000000" w:themeColor="text1"/>
          <w:szCs w:val="22"/>
        </w:rPr>
        <w:t xml:space="preserve">and </w:t>
      </w:r>
      <w:r w:rsidRPr="00A55B5D">
        <w:rPr>
          <w:rFonts w:asciiTheme="minorHAnsi" w:hAnsiTheme="minorHAnsi" w:cstheme="minorHAnsi"/>
          <w:color w:val="000000" w:themeColor="text1"/>
          <w:szCs w:val="22"/>
        </w:rPr>
        <w:t>agency directors), education level,</w:t>
      </w:r>
      <w:r w:rsidRPr="00A55B5D">
        <w:rPr>
          <w:rFonts w:asciiTheme="minorHAnsi" w:hAnsiTheme="minorHAnsi" w:cstheme="minorHAnsi"/>
          <w:szCs w:val="22"/>
        </w:rPr>
        <w:t xml:space="preserve"> age groups and gender, on the relationship between competencies, training, organizational factors, and policy with job satisfaction, retention, and turnover. </w:t>
      </w:r>
    </w:p>
    <w:p w:rsidR="005520E7" w:rsidP="005520E7" w14:paraId="326963DA" w14:textId="77777777">
      <w:pPr>
        <w:pStyle w:val="BodyText"/>
        <w:spacing w:after="0" w:line="276" w:lineRule="auto"/>
        <w:rPr>
          <w:rFonts w:asciiTheme="minorHAnsi" w:hAnsiTheme="minorHAnsi" w:cstheme="minorHAnsi"/>
          <w:i/>
          <w:szCs w:val="22"/>
        </w:rPr>
      </w:pPr>
    </w:p>
    <w:p w:rsidR="005520E7" w:rsidRPr="00A55B5D" w:rsidP="005520E7" w14:paraId="7A3BF688" w14:textId="77F5F949">
      <w:pPr>
        <w:pStyle w:val="BodyText"/>
        <w:spacing w:after="0" w:line="276" w:lineRule="auto"/>
        <w:rPr>
          <w:rFonts w:asciiTheme="minorHAnsi" w:hAnsiTheme="minorHAnsi" w:cstheme="minorHAnsi"/>
          <w:szCs w:val="22"/>
        </w:rPr>
      </w:pPr>
      <w:r w:rsidRPr="00A55B5D">
        <w:rPr>
          <w:rFonts w:asciiTheme="minorHAnsi" w:hAnsiTheme="minorHAnsi" w:cstheme="minorHAnsi"/>
          <w:i/>
          <w:szCs w:val="22"/>
        </w:rPr>
        <w:t>M</w:t>
      </w:r>
      <w:r w:rsidRPr="00A55B5D">
        <w:rPr>
          <w:rFonts w:asciiTheme="minorHAnsi" w:hAnsiTheme="minorHAnsi" w:cstheme="minorHAnsi"/>
          <w:i/>
          <w:iCs/>
          <w:szCs w:val="22"/>
        </w:rPr>
        <w:t>ultivariate models</w:t>
      </w:r>
      <w:r w:rsidRPr="00A55B5D">
        <w:rPr>
          <w:rFonts w:asciiTheme="minorHAnsi" w:hAnsiTheme="minorHAnsi" w:cstheme="minorHAnsi"/>
          <w:szCs w:val="22"/>
        </w:rPr>
        <w:t xml:space="preserve"> will play an important part in analysis of NSCAW III-</w:t>
      </w:r>
      <w:r w:rsidRPr="00A55B5D">
        <w:rPr>
          <w:rFonts w:asciiTheme="minorHAnsi" w:hAnsiTheme="minorHAnsi" w:cstheme="minorHAnsi"/>
          <w:color w:val="000000" w:themeColor="text1"/>
          <w:szCs w:val="22"/>
        </w:rPr>
        <w:t>workforce survey</w:t>
      </w:r>
      <w:r w:rsidRPr="00A55B5D">
        <w:rPr>
          <w:rFonts w:asciiTheme="minorHAnsi" w:hAnsiTheme="minorHAnsi" w:cstheme="minorHAnsi"/>
          <w:szCs w:val="22"/>
        </w:rPr>
        <w:t xml:space="preserve">. There are circumstances, for example, in which important questions about what variables predict an outcome must use multivariate methods to </w:t>
      </w:r>
      <w:r w:rsidRPr="00A55B5D">
        <w:rPr>
          <w:rFonts w:asciiTheme="minorHAnsi" w:hAnsiTheme="minorHAnsi" w:cstheme="minorHAnsi"/>
          <w:szCs w:val="22"/>
        </w:rPr>
        <w:t>take into account</w:t>
      </w:r>
      <w:r w:rsidRPr="00A55B5D">
        <w:rPr>
          <w:rFonts w:asciiTheme="minorHAnsi" w:hAnsiTheme="minorHAnsi" w:cstheme="minorHAnsi"/>
          <w:szCs w:val="22"/>
        </w:rPr>
        <w:t xml:space="preserve"> confounding variables that limit interpretation. Methods with multiple predictors may be needed to address the likelihood that some consumers of NSCAW results will interpret bivariate relationships as causal. </w:t>
      </w:r>
      <w:bookmarkStart w:id="2" w:name="_Hlk33614973"/>
      <w:r w:rsidRPr="00A55B5D">
        <w:rPr>
          <w:rFonts w:asciiTheme="minorHAnsi" w:hAnsiTheme="minorHAnsi" w:cstheme="minorHAnsi"/>
          <w:szCs w:val="22"/>
        </w:rPr>
        <w:t>Multiple indicator methods like structural equation modeling may be needed to adapt to measurement error that is likely to arise for some NSCAW measures (Biemer et al., 200</w:t>
      </w:r>
      <w:r>
        <w:rPr>
          <w:rFonts w:asciiTheme="minorHAnsi" w:hAnsiTheme="minorHAnsi" w:cstheme="minorHAnsi"/>
          <w:szCs w:val="22"/>
        </w:rPr>
        <w:t>9</w:t>
      </w:r>
      <w:r w:rsidRPr="00A55B5D">
        <w:rPr>
          <w:rFonts w:asciiTheme="minorHAnsi" w:hAnsiTheme="minorHAnsi" w:cstheme="minorHAnsi"/>
          <w:szCs w:val="22"/>
        </w:rPr>
        <w:t xml:space="preserve">). </w:t>
      </w:r>
      <w:bookmarkEnd w:id="2"/>
      <w:r w:rsidRPr="00A55B5D">
        <w:rPr>
          <w:rFonts w:asciiTheme="minorHAnsi" w:hAnsiTheme="minorHAnsi" w:cstheme="minorHAnsi"/>
          <w:szCs w:val="22"/>
        </w:rPr>
        <w:t xml:space="preserve">Questions about the relationship between agency variables and child welfare workforce outcomes necessitate multivariate analysis, since they require hierarchical linear models that can </w:t>
      </w:r>
      <w:r w:rsidRPr="00A55B5D">
        <w:rPr>
          <w:rFonts w:asciiTheme="minorHAnsi" w:hAnsiTheme="minorHAnsi" w:cstheme="minorHAnsi"/>
          <w:szCs w:val="22"/>
        </w:rPr>
        <w:t>take into account</w:t>
      </w:r>
      <w:r w:rsidRPr="00A55B5D">
        <w:rPr>
          <w:rFonts w:asciiTheme="minorHAnsi" w:hAnsiTheme="minorHAnsi" w:cstheme="minorHAnsi"/>
          <w:szCs w:val="22"/>
        </w:rPr>
        <w:t xml:space="preserve"> sampling both at the agency and child level. The project team will be focused and selective about our use of multivariate methods; the project team will</w:t>
      </w:r>
      <w:r w:rsidRPr="00A55B5D">
        <w:rPr>
          <w:rFonts w:asciiTheme="minorHAnsi" w:hAnsiTheme="minorHAnsi" w:cstheme="minorHAnsi"/>
          <w:i/>
          <w:szCs w:val="22"/>
        </w:rPr>
        <w:t xml:space="preserve"> not</w:t>
      </w:r>
      <w:r w:rsidRPr="00A55B5D">
        <w:rPr>
          <w:rFonts w:asciiTheme="minorHAnsi" w:hAnsiTheme="minorHAnsi" w:cstheme="minorHAnsi"/>
          <w:szCs w:val="22"/>
        </w:rPr>
        <w:t xml:space="preserve"> conduct multivariate methods for every dependent variable and/or if simpler methods will be more appropriate. </w:t>
      </w:r>
    </w:p>
    <w:p w:rsidR="00766892" w:rsidP="00E33D86" w14:paraId="6FDADBB7" w14:textId="77777777">
      <w:pPr>
        <w:pStyle w:val="BodyText"/>
        <w:spacing w:after="0" w:line="276" w:lineRule="auto"/>
        <w:rPr>
          <w:rFonts w:asciiTheme="minorHAnsi" w:hAnsiTheme="minorHAnsi" w:cstheme="minorHAnsi"/>
          <w:szCs w:val="22"/>
        </w:rPr>
      </w:pPr>
      <w:r w:rsidRPr="00A55B5D">
        <w:rPr>
          <w:rFonts w:asciiTheme="minorHAnsi" w:hAnsiTheme="minorHAnsi" w:cstheme="minorHAnsi"/>
          <w:iCs/>
          <w:szCs w:val="22"/>
        </w:rPr>
        <w:t>The</w:t>
      </w:r>
      <w:r w:rsidRPr="00A55B5D">
        <w:rPr>
          <w:rFonts w:asciiTheme="minorHAnsi" w:hAnsiTheme="minorHAnsi" w:cstheme="minorHAnsi"/>
          <w:szCs w:val="22"/>
        </w:rPr>
        <w:t xml:space="preserve"> special requirements of NSCAW preclude using “off the shelf” methods in many circumstances, and require careful programming with sophisticated statistical software such as SUDAAN, </w:t>
      </w:r>
      <w:r w:rsidRPr="00A55B5D">
        <w:rPr>
          <w:rFonts w:asciiTheme="minorHAnsi" w:hAnsiTheme="minorHAnsi" w:cstheme="minorHAnsi"/>
          <w:szCs w:val="22"/>
        </w:rPr>
        <w:t>MPlus</w:t>
      </w:r>
      <w:r w:rsidRPr="00A55B5D">
        <w:rPr>
          <w:rFonts w:asciiTheme="minorHAnsi" w:hAnsiTheme="minorHAnsi" w:cstheme="minorHAnsi"/>
          <w:szCs w:val="22"/>
        </w:rPr>
        <w:t xml:space="preserve">, or R. </w:t>
      </w:r>
      <w:r w:rsidR="00CB1532">
        <w:rPr>
          <w:rFonts w:asciiTheme="minorHAnsi" w:hAnsiTheme="minorHAnsi" w:cstheme="minorHAnsi"/>
          <w:szCs w:val="22"/>
        </w:rPr>
        <w:t xml:space="preserve"> </w:t>
      </w:r>
    </w:p>
    <w:p w:rsidR="00766892" w:rsidP="00E33D86" w14:paraId="430BB9BD" w14:textId="77777777">
      <w:pPr>
        <w:pStyle w:val="BodyText"/>
        <w:spacing w:after="0" w:line="276" w:lineRule="auto"/>
        <w:rPr>
          <w:rFonts w:asciiTheme="minorHAnsi" w:hAnsiTheme="minorHAnsi" w:cstheme="minorHAnsi"/>
          <w:szCs w:val="22"/>
        </w:rPr>
      </w:pPr>
    </w:p>
    <w:p w:rsidR="006561C1" w:rsidRPr="00A55B5D" w:rsidP="00E33D86" w14:paraId="41DF35D5" w14:textId="18646340">
      <w:pPr>
        <w:pStyle w:val="BodyText"/>
        <w:spacing w:after="0" w:line="276" w:lineRule="auto"/>
        <w:rPr>
          <w:rFonts w:asciiTheme="minorHAnsi" w:hAnsiTheme="minorHAnsi" w:cstheme="minorHAnsi"/>
          <w:szCs w:val="22"/>
        </w:rPr>
      </w:pPr>
      <w:r>
        <w:rPr>
          <w:rFonts w:asciiTheme="minorHAnsi" w:hAnsiTheme="minorHAnsi" w:cstheme="minorHAnsi"/>
          <w:b/>
          <w:bCs/>
          <w:i/>
          <w:iCs/>
          <w:szCs w:val="22"/>
        </w:rPr>
        <w:t>Table 2</w:t>
      </w:r>
      <w:r w:rsidRPr="00A55B5D">
        <w:rPr>
          <w:rFonts w:asciiTheme="minorHAnsi" w:hAnsiTheme="minorHAnsi" w:cstheme="minorHAnsi"/>
          <w:b/>
          <w:bCs/>
          <w:i/>
          <w:iCs/>
          <w:szCs w:val="22"/>
        </w:rPr>
        <w:t xml:space="preserve"> </w:t>
      </w:r>
      <w:r w:rsidR="005520E7">
        <w:rPr>
          <w:rFonts w:asciiTheme="minorHAnsi" w:hAnsiTheme="minorHAnsi" w:cstheme="minorHAnsi"/>
          <w:b/>
          <w:bCs/>
          <w:i/>
          <w:iCs/>
          <w:szCs w:val="22"/>
        </w:rPr>
        <w:t xml:space="preserve">summarizes </w:t>
      </w:r>
      <w:r w:rsidRPr="00A55B5D">
        <w:rPr>
          <w:rFonts w:asciiTheme="minorHAnsi" w:hAnsiTheme="minorHAnsi" w:cstheme="minorHAnsi"/>
          <w:szCs w:val="22"/>
        </w:rPr>
        <w:t>the</w:t>
      </w:r>
      <w:r w:rsidR="005520E7">
        <w:rPr>
          <w:rFonts w:asciiTheme="minorHAnsi" w:hAnsiTheme="minorHAnsi" w:cstheme="minorHAnsi"/>
          <w:szCs w:val="22"/>
        </w:rPr>
        <w:t xml:space="preserve"> </w:t>
      </w:r>
      <w:r w:rsidR="00DF1B33">
        <w:rPr>
          <w:rFonts w:asciiTheme="minorHAnsi" w:hAnsiTheme="minorHAnsi" w:cstheme="minorHAnsi"/>
          <w:szCs w:val="22"/>
        </w:rPr>
        <w:t xml:space="preserve">Phase III </w:t>
      </w:r>
      <w:r w:rsidRPr="00A55B5D">
        <w:rPr>
          <w:rFonts w:asciiTheme="minorHAnsi" w:hAnsiTheme="minorHAnsi" w:cstheme="minorHAnsi"/>
          <w:szCs w:val="22"/>
        </w:rPr>
        <w:t>analysis strategie</w:t>
      </w:r>
      <w:r w:rsidR="005520E7">
        <w:rPr>
          <w:rFonts w:asciiTheme="minorHAnsi" w:hAnsiTheme="minorHAnsi" w:cstheme="minorHAnsi"/>
          <w:szCs w:val="22"/>
        </w:rPr>
        <w:t>s, and data sources likely t</w:t>
      </w:r>
      <w:r w:rsidRPr="00A55B5D">
        <w:rPr>
          <w:rFonts w:asciiTheme="minorHAnsi" w:hAnsiTheme="minorHAnsi" w:cstheme="minorHAnsi"/>
          <w:szCs w:val="22"/>
        </w:rPr>
        <w:t>o be used to address each research question.</w:t>
      </w:r>
    </w:p>
    <w:p w:rsidR="006561C1" w:rsidRPr="00E33D86" w:rsidP="006561C1" w14:paraId="253C78CB" w14:textId="0924F9E3">
      <w:pPr>
        <w:pStyle w:val="ExhibitTitle"/>
        <w:rPr>
          <w:rFonts w:asciiTheme="minorHAnsi" w:hAnsiTheme="minorHAnsi" w:cstheme="minorHAnsi"/>
          <w:sz w:val="22"/>
          <w:szCs w:val="22"/>
        </w:rPr>
      </w:pPr>
      <w:r>
        <w:rPr>
          <w:rFonts w:asciiTheme="minorHAnsi" w:hAnsiTheme="minorHAnsi" w:cstheme="minorHAnsi"/>
          <w:sz w:val="22"/>
          <w:szCs w:val="22"/>
        </w:rPr>
        <w:t xml:space="preserve">Table </w:t>
      </w:r>
      <w:r w:rsidRPr="00E33D86" w:rsidR="00E33D86">
        <w:rPr>
          <w:rFonts w:asciiTheme="minorHAnsi" w:hAnsiTheme="minorHAnsi" w:cstheme="minorHAnsi"/>
          <w:sz w:val="22"/>
          <w:szCs w:val="22"/>
        </w:rPr>
        <w:t xml:space="preserve">2. </w:t>
      </w:r>
      <w:r w:rsidRPr="00E33D86">
        <w:rPr>
          <w:rFonts w:asciiTheme="minorHAnsi" w:hAnsiTheme="minorHAnsi" w:cstheme="minorHAnsi"/>
          <w:sz w:val="22"/>
          <w:szCs w:val="22"/>
        </w:rPr>
        <w:t xml:space="preserve"> Research Questions</w:t>
      </w:r>
      <w:r w:rsidR="005520E7">
        <w:rPr>
          <w:rFonts w:asciiTheme="minorHAnsi" w:hAnsiTheme="minorHAnsi" w:cstheme="minorHAnsi"/>
          <w:sz w:val="22"/>
          <w:szCs w:val="22"/>
        </w:rPr>
        <w:t xml:space="preserve">, Analysis Strategies, and </w:t>
      </w:r>
      <w:r w:rsidRPr="00E33D86">
        <w:rPr>
          <w:rFonts w:asciiTheme="minorHAnsi" w:hAnsiTheme="minorHAnsi" w:cstheme="minorHAnsi"/>
          <w:sz w:val="22"/>
          <w:szCs w:val="22"/>
        </w:rPr>
        <w:t xml:space="preserve">Instruments/Data Sources </w:t>
      </w:r>
    </w:p>
    <w:tbl>
      <w:tblPr>
        <w:tblStyle w:val="Graytablecomplex"/>
        <w:tblW w:w="4952" w:type="pct"/>
        <w:jc w:val="center"/>
        <w:tblInd w:w="0" w:type="dxa"/>
        <w:tblLayout w:type="fixed"/>
        <w:tblCellMar>
          <w:left w:w="72" w:type="dxa"/>
          <w:right w:w="72" w:type="dxa"/>
        </w:tblCellMar>
        <w:tblLook w:val="01E0"/>
      </w:tblPr>
      <w:tblGrid>
        <w:gridCol w:w="3060"/>
        <w:gridCol w:w="360"/>
        <w:gridCol w:w="540"/>
        <w:gridCol w:w="360"/>
        <w:gridCol w:w="1350"/>
        <w:gridCol w:w="1442"/>
        <w:gridCol w:w="2158"/>
      </w:tblGrid>
      <w:tr w14:paraId="0C11409A" w14:textId="430E74D2" w:rsidTr="004712A8">
        <w:tblPrEx>
          <w:tblW w:w="4952" w:type="pct"/>
          <w:jc w:val="center"/>
          <w:tblInd w:w="0" w:type="dxa"/>
          <w:tblLayout w:type="fixed"/>
          <w:tblCellMar>
            <w:left w:w="72" w:type="dxa"/>
            <w:right w:w="72" w:type="dxa"/>
          </w:tblCellMar>
          <w:tblLook w:val="01E0"/>
        </w:tblPrEx>
        <w:trPr>
          <w:cantSplit/>
          <w:trHeight w:val="2067"/>
          <w:tblHeader/>
          <w:jc w:val="center"/>
        </w:trPr>
        <w:tc>
          <w:tcPr>
            <w:tcW w:w="1650" w:type="pct"/>
            <w:tcBorders>
              <w:left w:val="nil"/>
              <w:bottom w:val="single" w:sz="6" w:space="0" w:color="auto"/>
              <w:right w:val="single" w:sz="6" w:space="0" w:color="FFFFFF"/>
            </w:tcBorders>
            <w:shd w:val="clear" w:color="auto" w:fill="002060"/>
            <w:vAlign w:val="bottom"/>
            <w:hideMark/>
          </w:tcPr>
          <w:p w:rsidR="006561C1" w:rsidRPr="00E33D86" w:rsidP="009C39CF" w14:paraId="1BF2C96F" w14:textId="64AFE73C">
            <w:pPr>
              <w:pStyle w:val="TableHeader"/>
              <w:keepNext w:val="0"/>
              <w:rPr>
                <w:rFonts w:asciiTheme="minorHAnsi" w:hAnsiTheme="minorHAnsi" w:cstheme="minorHAnsi"/>
              </w:rPr>
            </w:pPr>
            <w:r w:rsidRPr="00E33D86">
              <w:rPr>
                <w:rFonts w:asciiTheme="minorHAnsi" w:hAnsiTheme="minorHAnsi" w:cstheme="minorHAnsi"/>
              </w:rPr>
              <w:t>NSCAW III-</w:t>
            </w:r>
            <w:r w:rsidRPr="00E33D86">
              <w:rPr>
                <w:rFonts w:asciiTheme="minorHAnsi" w:hAnsiTheme="minorHAnsi" w:cstheme="minorHAnsi"/>
                <w:color w:val="000000" w:themeColor="text1"/>
              </w:rPr>
              <w:t xml:space="preserve"> </w:t>
            </w:r>
            <w:r w:rsidRPr="00E33D86">
              <w:rPr>
                <w:rFonts w:asciiTheme="minorHAnsi" w:hAnsiTheme="minorHAnsi" w:cstheme="minorHAnsi"/>
                <w:color w:val="FFFFFF" w:themeColor="background1"/>
              </w:rPr>
              <w:t xml:space="preserve">workforce survey </w:t>
            </w:r>
            <w:r w:rsidRPr="00E33D86">
              <w:rPr>
                <w:rFonts w:asciiTheme="minorHAnsi" w:hAnsiTheme="minorHAnsi" w:cstheme="minorHAnsi"/>
              </w:rPr>
              <w:t>Research Questions</w:t>
            </w:r>
          </w:p>
        </w:tc>
        <w:tc>
          <w:tcPr>
            <w:tcW w:w="194" w:type="pct"/>
            <w:tcBorders>
              <w:left w:val="single" w:sz="6" w:space="0" w:color="FFFFFF"/>
              <w:bottom w:val="single" w:sz="6" w:space="0" w:color="auto"/>
              <w:right w:val="single" w:sz="6" w:space="0" w:color="FFFFFF"/>
            </w:tcBorders>
            <w:shd w:val="clear" w:color="auto" w:fill="002060"/>
            <w:textDirection w:val="btLr"/>
            <w:vAlign w:val="center"/>
            <w:hideMark/>
          </w:tcPr>
          <w:p w:rsidR="006561C1" w:rsidRPr="00E33D86" w:rsidP="009C39CF" w14:paraId="4C2657F4" w14:textId="766624B5">
            <w:pPr>
              <w:pStyle w:val="TableHeader"/>
              <w:keepNext w:val="0"/>
              <w:spacing w:before="0" w:beforeAutospacing="0" w:after="0" w:afterAutospacing="0"/>
              <w:ind w:left="29" w:right="29"/>
              <w:jc w:val="left"/>
              <w:rPr>
                <w:rFonts w:asciiTheme="minorHAnsi" w:hAnsiTheme="minorHAnsi" w:cstheme="minorHAnsi"/>
              </w:rPr>
            </w:pPr>
            <w:r w:rsidRPr="00E33D86">
              <w:rPr>
                <w:rFonts w:asciiTheme="minorHAnsi" w:hAnsiTheme="minorHAnsi" w:cstheme="minorHAnsi"/>
              </w:rPr>
              <w:t>Population estimates</w:t>
            </w:r>
          </w:p>
        </w:tc>
        <w:tc>
          <w:tcPr>
            <w:tcW w:w="291" w:type="pct"/>
            <w:tcBorders>
              <w:left w:val="single" w:sz="6" w:space="0" w:color="FFFFFF"/>
              <w:bottom w:val="single" w:sz="6" w:space="0" w:color="auto"/>
              <w:right w:val="single" w:sz="6" w:space="0" w:color="FFFFFF"/>
            </w:tcBorders>
            <w:shd w:val="clear" w:color="auto" w:fill="002060"/>
            <w:textDirection w:val="btLr"/>
            <w:vAlign w:val="center"/>
            <w:hideMark/>
          </w:tcPr>
          <w:p w:rsidR="006561C1" w:rsidRPr="00E33D86" w:rsidP="009C39CF" w14:paraId="7609010E" w14:textId="2978407E">
            <w:pPr>
              <w:pStyle w:val="TableHeader"/>
              <w:keepNext w:val="0"/>
              <w:spacing w:before="0" w:beforeAutospacing="0" w:after="0" w:afterAutospacing="0"/>
              <w:ind w:left="29" w:right="29"/>
              <w:jc w:val="left"/>
              <w:rPr>
                <w:rFonts w:asciiTheme="minorHAnsi" w:hAnsiTheme="minorHAnsi" w:cstheme="minorHAnsi"/>
              </w:rPr>
            </w:pPr>
            <w:r w:rsidRPr="00E33D86">
              <w:rPr>
                <w:rFonts w:asciiTheme="minorHAnsi" w:hAnsiTheme="minorHAnsi" w:cstheme="minorHAnsi"/>
              </w:rPr>
              <w:t>Group comparisons/ bivariate correlations</w:t>
            </w:r>
          </w:p>
        </w:tc>
        <w:tc>
          <w:tcPr>
            <w:tcW w:w="194" w:type="pct"/>
            <w:tcBorders>
              <w:left w:val="single" w:sz="6" w:space="0" w:color="FFFFFF"/>
              <w:bottom w:val="single" w:sz="6" w:space="0" w:color="auto"/>
              <w:right w:val="single" w:sz="6" w:space="0" w:color="FFFFFF"/>
            </w:tcBorders>
            <w:shd w:val="clear" w:color="auto" w:fill="002060"/>
            <w:textDirection w:val="btLr"/>
            <w:vAlign w:val="center"/>
            <w:hideMark/>
          </w:tcPr>
          <w:p w:rsidR="006561C1" w:rsidRPr="00E33D86" w:rsidP="009C39CF" w14:paraId="527A78FC" w14:textId="3F2F0934">
            <w:pPr>
              <w:pStyle w:val="TableHeader"/>
              <w:keepNext w:val="0"/>
              <w:spacing w:before="0" w:beforeAutospacing="0" w:after="0" w:afterAutospacing="0"/>
              <w:ind w:left="29" w:right="29"/>
              <w:jc w:val="left"/>
              <w:rPr>
                <w:rFonts w:asciiTheme="minorHAnsi" w:hAnsiTheme="minorHAnsi" w:cstheme="minorHAnsi"/>
              </w:rPr>
            </w:pPr>
            <w:r w:rsidRPr="00E33D86">
              <w:rPr>
                <w:rFonts w:asciiTheme="minorHAnsi" w:hAnsiTheme="minorHAnsi" w:cstheme="minorHAnsi"/>
              </w:rPr>
              <w:t>Multivariate models</w:t>
            </w:r>
          </w:p>
        </w:tc>
        <w:tc>
          <w:tcPr>
            <w:tcW w:w="728" w:type="pct"/>
            <w:tcBorders>
              <w:left w:val="single" w:sz="6" w:space="0" w:color="FFFFFF"/>
              <w:bottom w:val="single" w:sz="6" w:space="0" w:color="auto"/>
              <w:right w:val="single" w:sz="6" w:space="0" w:color="FFFFFF"/>
            </w:tcBorders>
            <w:shd w:val="clear" w:color="auto" w:fill="002060"/>
            <w:vAlign w:val="bottom"/>
            <w:hideMark/>
          </w:tcPr>
          <w:p w:rsidR="006561C1" w:rsidRPr="00E33D86" w:rsidP="009C39CF" w14:paraId="3F8041F9" w14:textId="0D7CA927">
            <w:pPr>
              <w:pStyle w:val="TableHeader"/>
              <w:keepNext w:val="0"/>
              <w:rPr>
                <w:rFonts w:asciiTheme="minorHAnsi" w:hAnsiTheme="minorHAnsi" w:cstheme="minorHAnsi"/>
              </w:rPr>
            </w:pPr>
            <w:r w:rsidRPr="00E33D86">
              <w:rPr>
                <w:rFonts w:asciiTheme="minorHAnsi" w:hAnsiTheme="minorHAnsi" w:cstheme="minorHAnsi"/>
              </w:rPr>
              <w:t>Constructs</w:t>
            </w:r>
          </w:p>
        </w:tc>
        <w:tc>
          <w:tcPr>
            <w:tcW w:w="778" w:type="pct"/>
            <w:tcBorders>
              <w:left w:val="single" w:sz="6" w:space="0" w:color="FFFFFF"/>
              <w:bottom w:val="single" w:sz="6" w:space="0" w:color="auto"/>
              <w:right w:val="single" w:sz="6" w:space="0" w:color="FFFFFF"/>
            </w:tcBorders>
            <w:shd w:val="clear" w:color="auto" w:fill="002060"/>
            <w:vAlign w:val="bottom"/>
          </w:tcPr>
          <w:p w:rsidR="006561C1" w:rsidRPr="00E33D86" w:rsidP="009C39CF" w14:paraId="366FD2E9" w14:textId="6A828095">
            <w:pPr>
              <w:pStyle w:val="TableHeader"/>
              <w:keepNext w:val="0"/>
              <w:rPr>
                <w:rFonts w:asciiTheme="minorHAnsi" w:hAnsiTheme="minorHAnsi" w:cstheme="minorHAnsi"/>
              </w:rPr>
            </w:pPr>
            <w:r w:rsidRPr="00E33D86">
              <w:rPr>
                <w:rFonts w:asciiTheme="minorHAnsi" w:hAnsiTheme="minorHAnsi" w:cstheme="minorHAnsi"/>
              </w:rPr>
              <w:t>Potential Respondents of Data Sources</w:t>
            </w:r>
          </w:p>
        </w:tc>
        <w:tc>
          <w:tcPr>
            <w:tcW w:w="1164" w:type="pct"/>
            <w:tcBorders>
              <w:left w:val="single" w:sz="6" w:space="0" w:color="FFFFFF"/>
              <w:bottom w:val="single" w:sz="6" w:space="0" w:color="auto"/>
              <w:right w:val="nil"/>
            </w:tcBorders>
            <w:shd w:val="clear" w:color="auto" w:fill="002060"/>
            <w:vAlign w:val="bottom"/>
            <w:hideMark/>
          </w:tcPr>
          <w:p w:rsidR="006561C1" w:rsidRPr="00E33D86" w:rsidP="009C39CF" w14:paraId="7AFB0C3C" w14:textId="2BB46835">
            <w:pPr>
              <w:pStyle w:val="TableHeader"/>
              <w:keepNext w:val="0"/>
              <w:spacing w:before="100" w:after="100"/>
              <w:rPr>
                <w:rFonts w:asciiTheme="minorHAnsi" w:hAnsiTheme="minorHAnsi" w:cstheme="minorHAnsi"/>
              </w:rPr>
            </w:pPr>
            <w:r w:rsidRPr="00E33D86">
              <w:rPr>
                <w:rFonts w:asciiTheme="minorHAnsi" w:hAnsiTheme="minorHAnsi" w:cstheme="minorHAnsi"/>
              </w:rPr>
              <w:t xml:space="preserve">Potential Data Collection instrument, </w:t>
            </w:r>
            <w:r w:rsidRPr="00E33D86">
              <w:rPr>
                <w:rFonts w:asciiTheme="minorHAnsi" w:hAnsiTheme="minorHAnsi" w:cstheme="minorHAnsi"/>
              </w:rPr>
              <w:t>measure</w:t>
            </w:r>
            <w:r w:rsidRPr="00E33D86">
              <w:rPr>
                <w:rFonts w:asciiTheme="minorHAnsi" w:hAnsiTheme="minorHAnsi" w:cstheme="minorHAnsi"/>
              </w:rPr>
              <w:t xml:space="preserve"> or items</w:t>
            </w:r>
          </w:p>
        </w:tc>
      </w:tr>
      <w:tr w14:paraId="2BD615FB" w14:textId="4629FAE0" w:rsidTr="00511348">
        <w:tblPrEx>
          <w:tblW w:w="4952" w:type="pct"/>
          <w:jc w:val="center"/>
          <w:tblInd w:w="0" w:type="dxa"/>
          <w:tblLayout w:type="fixed"/>
          <w:tblCellMar>
            <w:left w:w="72" w:type="dxa"/>
            <w:right w:w="72" w:type="dxa"/>
          </w:tblCellMar>
          <w:tblLook w:val="01E0"/>
        </w:tblPrEx>
        <w:trPr>
          <w:cantSplit/>
          <w:jc w:val="center"/>
        </w:trPr>
        <w:tc>
          <w:tcPr>
            <w:tcW w:w="0" w:type="pct"/>
            <w:tcBorders>
              <w:top w:val="single" w:sz="6" w:space="0" w:color="auto"/>
              <w:left w:val="nil"/>
              <w:bottom w:val="single" w:sz="6" w:space="0" w:color="auto"/>
              <w:right w:val="single" w:sz="6" w:space="0" w:color="auto"/>
            </w:tcBorders>
            <w:shd w:val="clear" w:color="auto" w:fill="auto"/>
            <w:hideMark/>
          </w:tcPr>
          <w:p w:rsidR="006561C1" w:rsidRPr="00E33D86" w:rsidP="009C39CF" w14:paraId="0CE80F84" w14:textId="30BA4927">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demographic and educational characteristics of the child welfare workforce, including caseworkers, supervisors, and agency directors?</w:t>
            </w:r>
          </w:p>
          <w:p w:rsidR="006561C1" w:rsidRPr="00E33D86" w:rsidP="009C39CF" w14:paraId="3DA7FDF1" w14:textId="76CE2C05">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are the primary roles and responsibilities of the child welfare workforce?</w:t>
            </w:r>
          </w:p>
          <w:p w:rsidR="006561C1" w:rsidRPr="00E33D86" w:rsidP="009C39CF" w14:paraId="70C5C8DC" w14:textId="5B9E93D9">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personal characteristics and competencies (knowledge, skills, and abilities) do child welfare staff members possess and/or demonstrate? </w:t>
            </w:r>
          </w:p>
          <w:p w:rsidR="006561C1" w:rsidRPr="00E33D86" w:rsidP="009C39CF" w14:paraId="6EB7969B" w14:textId="6D9AC19F">
            <w:pPr>
              <w:pStyle w:val="TableText"/>
              <w:keepNext w:val="0"/>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1419ADB9" w14:textId="3CC366D3">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382A5DF6" w14:textId="26CA7632">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4C637258" w14:textId="4025284B">
            <w:pPr>
              <w:pStyle w:val="TableText"/>
              <w:keepNext w:val="0"/>
              <w:jc w:val="center"/>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hideMark/>
          </w:tcPr>
          <w:p w:rsidR="006561C1" w:rsidRPr="00E33D86" w:rsidP="009C39CF" w14:paraId="1E267ADA" w14:textId="2753FEAB">
            <w:pPr>
              <w:rPr>
                <w:rFonts w:asciiTheme="minorHAnsi" w:hAnsiTheme="minorHAnsi" w:cstheme="minorHAnsi"/>
              </w:rPr>
            </w:pPr>
            <w:r w:rsidRPr="00E33D86">
              <w:rPr>
                <w:rFonts w:asciiTheme="minorHAnsi" w:hAnsiTheme="minorHAnsi" w:cstheme="minorHAnsi"/>
                <w:color w:val="000000"/>
              </w:rPr>
              <w:t>Workforce Characteristics and Competencies</w:t>
            </w:r>
          </w:p>
          <w:p w:rsidR="006561C1" w:rsidRPr="00E33D86" w:rsidP="009C39CF" w14:paraId="4543D1B7" w14:textId="5C5DBCA9">
            <w:pPr>
              <w:pStyle w:val="TableText"/>
              <w:keepNext w:val="0"/>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55D12F1F" w14:textId="2498AFD6">
            <w:pPr>
              <w:pStyle w:val="TableBulletLM"/>
              <w:rPr>
                <w:rFonts w:asciiTheme="minorHAnsi" w:hAnsiTheme="minorHAnsi" w:cstheme="minorHAnsi"/>
                <w:szCs w:val="20"/>
              </w:rPr>
            </w:pPr>
            <w:r w:rsidRPr="00E33D86">
              <w:rPr>
                <w:rFonts w:asciiTheme="minorHAnsi" w:hAnsiTheme="minorHAnsi" w:cstheme="minorHAnsi"/>
                <w:szCs w:val="20"/>
              </w:rPr>
              <w:t>Caseworker</w:t>
            </w:r>
          </w:p>
          <w:p w:rsidR="006561C1" w:rsidRPr="00E33D86" w:rsidP="009C39CF" w14:paraId="5509A9B4" w14:textId="2734FC4D">
            <w:pPr>
              <w:pStyle w:val="TableBulletLM"/>
              <w:rPr>
                <w:rFonts w:asciiTheme="minorHAnsi" w:hAnsiTheme="minorHAnsi" w:cstheme="minorHAnsi"/>
                <w:szCs w:val="20"/>
              </w:rPr>
            </w:pPr>
            <w:r w:rsidRPr="00E33D86">
              <w:rPr>
                <w:rFonts w:asciiTheme="minorHAnsi" w:hAnsiTheme="minorHAnsi" w:cstheme="minorHAnsi"/>
                <w:szCs w:val="20"/>
              </w:rPr>
              <w:t>Supervisor</w:t>
            </w:r>
          </w:p>
          <w:p w:rsidR="006561C1" w:rsidRPr="00E33D86" w:rsidP="009C39CF" w14:paraId="6EC03861" w14:textId="782FA078">
            <w:pPr>
              <w:pStyle w:val="TableBulletLM"/>
              <w:rPr>
                <w:rFonts w:asciiTheme="minorHAnsi" w:hAnsiTheme="minorHAnsi" w:cstheme="minorHAnsi"/>
                <w:szCs w:val="20"/>
              </w:rPr>
            </w:pPr>
            <w:r w:rsidRPr="00E33D86">
              <w:rPr>
                <w:rFonts w:asciiTheme="minorHAnsi" w:hAnsiTheme="minorHAnsi" w:cstheme="minorHAnsi"/>
                <w:szCs w:val="20"/>
              </w:rPr>
              <w:t>Agency director</w:t>
            </w:r>
          </w:p>
        </w:tc>
        <w:tc>
          <w:tcPr>
            <w:tcW w:w="0" w:type="pct"/>
            <w:tcBorders>
              <w:top w:val="single" w:sz="6" w:space="0" w:color="auto"/>
              <w:left w:val="single" w:sz="6" w:space="0" w:color="auto"/>
              <w:bottom w:val="single" w:sz="6" w:space="0" w:color="auto"/>
              <w:right w:val="nil"/>
            </w:tcBorders>
            <w:shd w:val="clear" w:color="auto" w:fill="auto"/>
            <w:hideMark/>
          </w:tcPr>
          <w:p w:rsidR="006561C1" w:rsidRPr="00E33D86" w:rsidP="009C39CF" w14:paraId="5F3FC0D8" w14:textId="75868F07">
            <w:pPr>
              <w:pStyle w:val="TableText"/>
              <w:keepNext w:val="0"/>
              <w:rPr>
                <w:rFonts w:asciiTheme="minorHAnsi" w:hAnsiTheme="minorHAnsi" w:cstheme="minorHAnsi"/>
              </w:rPr>
            </w:pPr>
            <w:r w:rsidRPr="00E33D86">
              <w:rPr>
                <w:rFonts w:asciiTheme="minorHAnsi" w:hAnsiTheme="minorHAnsi" w:cstheme="minorHAnsi"/>
              </w:rPr>
              <w:t xml:space="preserve">Title and function within agency; primary roles and responsibilities; prior CWS training/ experience when hired; years of experience; competencies; education; demographics; caseload characteristics variables. </w:t>
            </w:r>
          </w:p>
        </w:tc>
      </w:tr>
      <w:tr w14:paraId="73D1820D" w14:textId="5EEE1807" w:rsidTr="00511348">
        <w:tblPrEx>
          <w:tblW w:w="4952" w:type="pct"/>
          <w:jc w:val="center"/>
          <w:tblInd w:w="0" w:type="dxa"/>
          <w:tblLayout w:type="fixed"/>
          <w:tblCellMar>
            <w:left w:w="72" w:type="dxa"/>
            <w:right w:w="72" w:type="dxa"/>
          </w:tblCellMar>
          <w:tblLook w:val="01E0"/>
        </w:tblPrEx>
        <w:trPr>
          <w:cantSplit/>
          <w:jc w:val="center"/>
        </w:trPr>
        <w:tc>
          <w:tcPr>
            <w:tcW w:w="0" w:type="pct"/>
            <w:tcBorders>
              <w:top w:val="single" w:sz="6" w:space="0" w:color="auto"/>
              <w:left w:val="nil"/>
              <w:bottom w:val="single" w:sz="6" w:space="0" w:color="auto"/>
              <w:right w:val="single" w:sz="6" w:space="0" w:color="auto"/>
            </w:tcBorders>
            <w:shd w:val="clear" w:color="auto" w:fill="auto"/>
            <w:hideMark/>
          </w:tcPr>
          <w:p w:rsidR="006561C1" w:rsidRPr="00E33D86" w:rsidP="009C39CF" w14:paraId="4F160D28" w14:textId="4965E8EF">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What training did child welfare staff possess when they were hired?  Did their training include any courses in child welfare?  What recruitment practices do agencies use to attract and hire child welfare candidates?  What onboarding practices do agencies have for new child welfare workers?</w:t>
            </w:r>
          </w:p>
          <w:p w:rsidR="006561C1" w:rsidRPr="00E33D86" w:rsidP="009C39CF" w14:paraId="1C03A29B" w14:textId="76C1578F">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 xml:space="preserve">What types of training and professional development opportunities are offered to child welfare staff? What factors influence child welfare staffs’ abilities to engage in training and professional development opportunities? </w:t>
            </w:r>
          </w:p>
          <w:p w:rsidR="006561C1" w:rsidRPr="00E33D86" w:rsidP="009C39CF" w14:paraId="5281DD70" w14:textId="1245805B">
            <w:pPr>
              <w:pStyle w:val="TableText"/>
              <w:keepNext w:val="0"/>
              <w:rPr>
                <w:rFonts w:asciiTheme="minorHAnsi" w:hAnsiTheme="minorHAnsi" w:cstheme="minorHAnsi"/>
              </w:rPr>
            </w:pPr>
            <w:r w:rsidRPr="00E33D86">
              <w:rPr>
                <w:rFonts w:asciiTheme="minorHAnsi" w:hAnsiTheme="minorHAnsi" w:cstheme="minorHAnsi"/>
                <w:color w:val="000000" w:themeColor="text1"/>
              </w:rPr>
              <w:t>What training and professional development opportunities do child welfare staff engage in? How does this training and professional development influence job satisfaction, retention, turnover, increased knowledge, and practice?</w:t>
            </w:r>
          </w:p>
        </w:tc>
        <w:tc>
          <w:tcPr>
            <w:tcW w:w="0" w:type="pct"/>
            <w:tcBorders>
              <w:top w:val="single" w:sz="6" w:space="0" w:color="auto"/>
              <w:left w:val="single" w:sz="6" w:space="0" w:color="auto"/>
              <w:bottom w:val="single" w:sz="6" w:space="0" w:color="auto"/>
              <w:right w:val="single" w:sz="6" w:space="0" w:color="auto"/>
            </w:tcBorders>
            <w:shd w:val="clear" w:color="auto" w:fill="auto"/>
            <w:hideMark/>
          </w:tcPr>
          <w:p w:rsidR="006561C1" w:rsidRPr="00E33D86" w:rsidP="009C39CF" w14:paraId="5B18F651" w14:textId="08706A71">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67AE5917" w14:textId="0D317AD8">
            <w:pPr>
              <w:pStyle w:val="TableText"/>
              <w:keepNext w:val="0"/>
              <w:jc w:val="center"/>
              <w:rPr>
                <w:rFonts w:asciiTheme="minorHAnsi" w:hAnsiTheme="minorHAnsi" w:cstheme="minorHAnsi"/>
                <w:b/>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269CB521" w14:textId="3E4257F5">
            <w:pPr>
              <w:pStyle w:val="TableText"/>
              <w:keepNext w:val="0"/>
              <w:jc w:val="center"/>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hideMark/>
          </w:tcPr>
          <w:p w:rsidR="006561C1" w:rsidRPr="00E33D86" w:rsidP="009C39CF" w14:paraId="64DD6A6F" w14:textId="1B4A8161">
            <w:pPr>
              <w:rPr>
                <w:rFonts w:asciiTheme="minorHAnsi" w:hAnsiTheme="minorHAnsi" w:cstheme="minorHAnsi"/>
              </w:rPr>
            </w:pPr>
            <w:r w:rsidRPr="00E33D86">
              <w:rPr>
                <w:rFonts w:asciiTheme="minorHAnsi" w:hAnsiTheme="minorHAnsi" w:cstheme="minorHAnsi"/>
              </w:rPr>
              <w:t xml:space="preserve">Training and Professional Development </w:t>
            </w:r>
          </w:p>
          <w:p w:rsidR="006561C1" w:rsidRPr="00E33D86" w:rsidP="009C39CF" w14:paraId="1D490E0D" w14:textId="14521EE3">
            <w:pPr>
              <w:pStyle w:val="TableText"/>
              <w:keepNext w:val="0"/>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16ACC784" w14:textId="62CA6303">
            <w:pPr>
              <w:pStyle w:val="TableBulletLM"/>
              <w:rPr>
                <w:rFonts w:asciiTheme="minorHAnsi" w:hAnsiTheme="minorHAnsi" w:cstheme="minorHAnsi"/>
                <w:szCs w:val="20"/>
              </w:rPr>
            </w:pPr>
            <w:r w:rsidRPr="00E33D86">
              <w:rPr>
                <w:rFonts w:asciiTheme="minorHAnsi" w:hAnsiTheme="minorHAnsi" w:cstheme="minorHAnsi"/>
                <w:szCs w:val="20"/>
              </w:rPr>
              <w:t>Caseworker</w:t>
            </w:r>
          </w:p>
          <w:p w:rsidR="006561C1" w:rsidRPr="00E33D86" w:rsidP="009C39CF" w14:paraId="7D6ECEAB" w14:textId="436DFA90">
            <w:pPr>
              <w:pStyle w:val="TableBulletLM"/>
              <w:rPr>
                <w:rFonts w:asciiTheme="minorHAnsi" w:hAnsiTheme="minorHAnsi" w:cstheme="minorHAnsi"/>
                <w:szCs w:val="20"/>
              </w:rPr>
            </w:pPr>
            <w:r w:rsidRPr="00E33D86">
              <w:rPr>
                <w:rFonts w:asciiTheme="minorHAnsi" w:hAnsiTheme="minorHAnsi" w:cstheme="minorHAnsi"/>
                <w:szCs w:val="20"/>
              </w:rPr>
              <w:t>Supervisor</w:t>
            </w:r>
          </w:p>
          <w:p w:rsidR="006561C1" w:rsidRPr="00E33D86" w:rsidP="009C39CF" w14:paraId="1EFB6D69" w14:textId="396705C6">
            <w:pPr>
              <w:pStyle w:val="TableBulletLM"/>
              <w:rPr>
                <w:rFonts w:asciiTheme="minorHAnsi" w:hAnsiTheme="minorHAnsi" w:cstheme="minorHAnsi"/>
                <w:szCs w:val="20"/>
              </w:rPr>
            </w:pPr>
            <w:r w:rsidRPr="00E33D86">
              <w:rPr>
                <w:rFonts w:asciiTheme="minorHAnsi" w:hAnsiTheme="minorHAnsi" w:cstheme="minorHAnsi"/>
                <w:szCs w:val="20"/>
              </w:rPr>
              <w:t>Agency director</w:t>
            </w:r>
          </w:p>
        </w:tc>
        <w:tc>
          <w:tcPr>
            <w:tcW w:w="0" w:type="pct"/>
            <w:tcBorders>
              <w:top w:val="single" w:sz="6" w:space="0" w:color="auto"/>
              <w:left w:val="single" w:sz="6" w:space="0" w:color="auto"/>
              <w:bottom w:val="single" w:sz="6" w:space="0" w:color="auto"/>
              <w:right w:val="nil"/>
            </w:tcBorders>
            <w:shd w:val="clear" w:color="auto" w:fill="auto"/>
            <w:hideMark/>
          </w:tcPr>
          <w:p w:rsidR="006561C1" w:rsidRPr="00E33D86" w:rsidP="009C39CF" w14:paraId="2EA10F37" w14:textId="45DD896E">
            <w:pPr>
              <w:pStyle w:val="TableText"/>
              <w:keepNext w:val="0"/>
              <w:rPr>
                <w:rFonts w:asciiTheme="minorHAnsi" w:hAnsiTheme="minorHAnsi" w:cstheme="minorHAnsi"/>
              </w:rPr>
            </w:pPr>
            <w:r w:rsidRPr="00E33D86">
              <w:rPr>
                <w:rFonts w:asciiTheme="minorHAnsi" w:hAnsiTheme="minorHAnsi" w:cstheme="minorHAnsi"/>
              </w:rPr>
              <w:t xml:space="preserve">Types of training received; types of professional opportunities; mentoring; caseworker safety; perception of </w:t>
            </w:r>
            <w:r w:rsidR="00651087">
              <w:rPr>
                <w:rFonts w:asciiTheme="minorHAnsi" w:hAnsiTheme="minorHAnsi" w:cstheme="minorHAnsi"/>
              </w:rPr>
              <w:t xml:space="preserve">casework </w:t>
            </w:r>
            <w:r w:rsidR="00651087">
              <w:rPr>
                <w:rFonts w:asciiTheme="minorHAnsi" w:hAnsiTheme="minorHAnsi" w:cstheme="minorHAnsi"/>
              </w:rPr>
              <w:t xml:space="preserve">preparedness </w:t>
            </w:r>
            <w:r w:rsidRPr="00E33D86">
              <w:rPr>
                <w:rFonts w:asciiTheme="minorHAnsi" w:hAnsiTheme="minorHAnsi" w:cstheme="minorHAnsi"/>
              </w:rPr>
              <w:t xml:space="preserve"> (</w:t>
            </w:r>
            <w:r w:rsidRPr="00E33D86">
              <w:rPr>
                <w:rFonts w:asciiTheme="minorHAnsi" w:hAnsiTheme="minorHAnsi" w:cstheme="minorHAnsi"/>
              </w:rPr>
              <w:t>e.g. court appearances; conducting risk assessments; dealing with resistant clients); supervisory support; quality of supervision</w:t>
            </w:r>
          </w:p>
        </w:tc>
      </w:tr>
      <w:tr w14:paraId="76FEE25B" w14:textId="2D92BD88" w:rsidTr="00511348">
        <w:tblPrEx>
          <w:tblW w:w="4952" w:type="pct"/>
          <w:jc w:val="center"/>
          <w:tblInd w:w="0" w:type="dxa"/>
          <w:tblLayout w:type="fixed"/>
          <w:tblCellMar>
            <w:left w:w="72" w:type="dxa"/>
            <w:right w:w="72" w:type="dxa"/>
          </w:tblCellMar>
          <w:tblLook w:val="01E0"/>
        </w:tblPrEx>
        <w:trPr>
          <w:cantSplit/>
          <w:jc w:val="center"/>
        </w:trPr>
        <w:tc>
          <w:tcPr>
            <w:tcW w:w="0" w:type="pct"/>
            <w:tcBorders>
              <w:top w:val="single" w:sz="6" w:space="0" w:color="auto"/>
              <w:left w:val="nil"/>
              <w:bottom w:val="single" w:sz="6" w:space="0" w:color="auto"/>
              <w:right w:val="single" w:sz="6" w:space="0" w:color="auto"/>
            </w:tcBorders>
            <w:shd w:val="clear" w:color="auto" w:fill="auto"/>
          </w:tcPr>
          <w:p w:rsidR="006561C1" w:rsidRPr="00E33D86" w:rsidP="009C39CF" w14:paraId="47771B18" w14:textId="3856A2E1">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t xml:space="preserve">What is the public child welfare agency landscape? This includes the number of child welfare staff, caseload size, turn-over rates, ratio of supervisors to workers, vacancy rates, salary levels and benefits, and union/non-union.  </w:t>
            </w:r>
          </w:p>
          <w:p w:rsidR="006561C1" w:rsidRPr="00E33D86" w:rsidP="009C39CF" w14:paraId="3F5730A0" w14:textId="6907A566">
            <w:pPr>
              <w:spacing w:after="160"/>
              <w:rPr>
                <w:rFonts w:asciiTheme="minorHAnsi" w:eastAsiaTheme="minorHAnsi" w:hAnsiTheme="minorHAnsi" w:cstheme="minorHAnsi"/>
                <w:color w:val="000000" w:themeColor="text1"/>
              </w:rPr>
            </w:pPr>
            <w:r w:rsidRPr="00E33D86">
              <w:rPr>
                <w:rFonts w:asciiTheme="minorHAnsi" w:hAnsiTheme="minorHAnsi" w:cstheme="minorHAnsi"/>
                <w:color w:val="000000" w:themeColor="text1"/>
              </w:rPr>
              <w:t xml:space="preserve">To what extent are public–private child welfare partnerships taking place? What is the extent of privatization and contracting out?  </w:t>
            </w:r>
          </w:p>
          <w:p w:rsidR="006561C1" w:rsidRPr="00E33D86" w:rsidP="009C39CF" w14:paraId="0EF139DA" w14:textId="2548DC75">
            <w:pPr>
              <w:spacing w:after="160" w:line="256" w:lineRule="auto"/>
              <w:rPr>
                <w:rFonts w:asciiTheme="minorHAnsi" w:hAnsiTheme="minorHAnsi" w:cstheme="minorHAnsi"/>
                <w:color w:val="000000" w:themeColor="text1"/>
              </w:rPr>
            </w:pPr>
            <w:r w:rsidRPr="00E33D86">
              <w:rPr>
                <w:rFonts w:asciiTheme="minorHAnsi" w:hAnsiTheme="minorHAnsi" w:cstheme="minorHAnsi"/>
                <w:noProof/>
                <w:color w:val="000000" w:themeColor="text1"/>
              </w:rPr>
              <w:t xml:space="preserve">What is the organizational culture and climate within the public child welfare agency? </w:t>
            </w:r>
            <w:r w:rsidRPr="00E33D86">
              <w:rPr>
                <w:rFonts w:asciiTheme="minorHAnsi" w:hAnsiTheme="minorHAnsi" w:cstheme="minorHAnsi"/>
                <w:color w:val="000000" w:themeColor="text1"/>
              </w:rPr>
              <w:t>How do organizational culture and climate influence workforce issues</w:t>
            </w:r>
            <w:r w:rsidR="00E33D86">
              <w:rPr>
                <w:rFonts w:asciiTheme="minorHAnsi" w:hAnsiTheme="minorHAnsi" w:cstheme="minorHAnsi"/>
                <w:color w:val="000000" w:themeColor="text1"/>
              </w:rPr>
              <w:t xml:space="preserve">, </w:t>
            </w:r>
            <w:r w:rsidRPr="00E33D86">
              <w:rPr>
                <w:rFonts w:asciiTheme="minorHAnsi" w:hAnsiTheme="minorHAnsi" w:cstheme="minorHAnsi"/>
                <w:color w:val="000000" w:themeColor="text1"/>
              </w:rPr>
              <w:t>including role conflict, burnout, turnover, supervision, caseload/workload, or education and training requirements?</w:t>
            </w:r>
          </w:p>
          <w:p w:rsidR="00320EAD" w:rsidP="009C39CF" w14:paraId="4059B305" w14:textId="2ACF28F9">
            <w:pPr>
              <w:spacing w:after="160" w:line="256" w:lineRule="auto"/>
              <w:rPr>
                <w:rFonts w:asciiTheme="minorHAnsi" w:hAnsiTheme="minorHAnsi" w:cstheme="minorHAnsi"/>
                <w:color w:val="000000" w:themeColor="text1"/>
              </w:rPr>
            </w:pPr>
            <w:r w:rsidRPr="00E33D86">
              <w:rPr>
                <w:rFonts w:asciiTheme="minorHAnsi" w:hAnsiTheme="minorHAnsi" w:cstheme="minorHAnsi"/>
                <w:color w:val="000000" w:themeColor="text1"/>
              </w:rPr>
              <w:t>How do child welfare staffs’ perspectives about organizational culture and climate influence workforce issues?</w:t>
            </w:r>
          </w:p>
          <w:p w:rsidR="006561C1" w:rsidRPr="00E33D86" w:rsidP="009C39CF" w14:paraId="57451DDC" w14:textId="4A86F119">
            <w:pPr>
              <w:spacing w:after="160" w:line="256" w:lineRule="auto"/>
              <w:rPr>
                <w:rFonts w:asciiTheme="minorHAnsi" w:hAnsiTheme="minorHAnsi" w:cstheme="minorHAnsi"/>
                <w:color w:val="000000" w:themeColor="text1"/>
              </w:rPr>
            </w:pPr>
            <w:r w:rsidRPr="0061730B">
              <w:rPr>
                <w:rFonts w:asciiTheme="minorHAnsi" w:hAnsiTheme="minorHAnsi" w:cstheme="minorHAnsi"/>
                <w:color w:val="000000" w:themeColor="text1"/>
              </w:rPr>
              <w:t xml:space="preserve">How has the COVID-19 pandemic potentially influenced </w:t>
            </w:r>
            <w:r w:rsidRPr="00DF1F0B" w:rsidR="00DF1F0B">
              <w:rPr>
                <w:rFonts w:asciiTheme="minorHAnsi" w:hAnsiTheme="minorHAnsi" w:cstheme="minorHAnsi"/>
                <w:color w:val="000000" w:themeColor="text1"/>
              </w:rPr>
              <w:t xml:space="preserve">the work of child welfare staff?  </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11976D92" w14:textId="576B9A24">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79533C0C" w14:textId="224C00DC">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0933998A" w14:textId="50EE5E1B">
            <w:pPr>
              <w:pStyle w:val="TableText"/>
              <w:keepNext w:val="0"/>
              <w:jc w:val="center"/>
              <w:rPr>
                <w:rFonts w:asciiTheme="minorHAnsi" w:hAnsiTheme="minorHAnsi" w:cstheme="minorHAnsi"/>
              </w:rPr>
            </w:pPr>
            <w:r w:rsidRPr="00E33D86">
              <w:rPr>
                <w:rFonts w:ascii="Segoe UI Emoji" w:hAnsi="Segoe UI Emoji" w:cs="Segoe UI Emoji"/>
              </w:rPr>
              <w:t>✔</w:t>
            </w: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1B95FC4E" w14:textId="1D83B212">
            <w:pPr>
              <w:rPr>
                <w:rFonts w:asciiTheme="minorHAnsi" w:hAnsiTheme="minorHAnsi" w:cstheme="minorHAnsi"/>
              </w:rPr>
            </w:pPr>
            <w:r w:rsidRPr="00E33D86">
              <w:rPr>
                <w:rFonts w:asciiTheme="minorHAnsi" w:hAnsiTheme="minorHAnsi" w:cstheme="minorHAnsi"/>
              </w:rPr>
              <w:t xml:space="preserve">Organizational Factors </w:t>
            </w:r>
          </w:p>
          <w:p w:rsidR="006561C1" w:rsidRPr="00E33D86" w:rsidP="009C39CF" w14:paraId="63FD0683" w14:textId="60531C14">
            <w:pPr>
              <w:pStyle w:val="TableText"/>
              <w:keepNext w:val="0"/>
              <w:rPr>
                <w:rFonts w:asciiTheme="minorHAnsi" w:hAnsiTheme="minorHAnsi" w:cstheme="minorHAnsi"/>
              </w:rPr>
            </w:pPr>
          </w:p>
        </w:tc>
        <w:tc>
          <w:tcPr>
            <w:tcW w:w="0" w:type="pct"/>
            <w:tcBorders>
              <w:top w:val="single" w:sz="6" w:space="0" w:color="auto"/>
              <w:left w:val="single" w:sz="6" w:space="0" w:color="auto"/>
              <w:bottom w:val="single" w:sz="6" w:space="0" w:color="auto"/>
              <w:right w:val="single" w:sz="6" w:space="0" w:color="auto"/>
            </w:tcBorders>
            <w:shd w:val="clear" w:color="auto" w:fill="auto"/>
          </w:tcPr>
          <w:p w:rsidR="006561C1" w:rsidRPr="00E33D86" w:rsidP="009C39CF" w14:paraId="7CEFC90C" w14:textId="2B23AC6A">
            <w:pPr>
              <w:pStyle w:val="TableBulletLM"/>
              <w:rPr>
                <w:rFonts w:asciiTheme="minorHAnsi" w:hAnsiTheme="minorHAnsi" w:cstheme="minorHAnsi"/>
                <w:szCs w:val="20"/>
              </w:rPr>
            </w:pPr>
            <w:r w:rsidRPr="00E33D86">
              <w:rPr>
                <w:rFonts w:asciiTheme="minorHAnsi" w:hAnsiTheme="minorHAnsi" w:cstheme="minorHAnsi"/>
                <w:szCs w:val="20"/>
              </w:rPr>
              <w:t>Caseworker</w:t>
            </w:r>
          </w:p>
          <w:p w:rsidR="006561C1" w:rsidRPr="00E33D86" w:rsidP="009C39CF" w14:paraId="1600BC0F" w14:textId="3D43301D">
            <w:pPr>
              <w:pStyle w:val="TableBulletLM"/>
              <w:rPr>
                <w:rFonts w:asciiTheme="minorHAnsi" w:hAnsiTheme="minorHAnsi" w:cstheme="minorHAnsi"/>
                <w:szCs w:val="20"/>
              </w:rPr>
            </w:pPr>
            <w:r w:rsidRPr="00E33D86">
              <w:rPr>
                <w:rFonts w:asciiTheme="minorHAnsi" w:hAnsiTheme="minorHAnsi" w:cstheme="minorHAnsi"/>
                <w:szCs w:val="20"/>
              </w:rPr>
              <w:t>Supervisor</w:t>
            </w:r>
          </w:p>
          <w:p w:rsidR="006561C1" w:rsidRPr="00E33D86" w:rsidP="009C39CF" w14:paraId="353B581A" w14:textId="01AC51EA">
            <w:pPr>
              <w:pStyle w:val="TableBulletLM"/>
              <w:rPr>
                <w:rFonts w:asciiTheme="minorHAnsi" w:hAnsiTheme="minorHAnsi" w:cstheme="minorHAnsi"/>
                <w:szCs w:val="20"/>
              </w:rPr>
            </w:pPr>
            <w:r w:rsidRPr="00E33D86">
              <w:rPr>
                <w:rFonts w:asciiTheme="minorHAnsi" w:hAnsiTheme="minorHAnsi" w:cstheme="minorHAnsi"/>
                <w:szCs w:val="20"/>
              </w:rPr>
              <w:t xml:space="preserve">Agency director </w:t>
            </w:r>
          </w:p>
        </w:tc>
        <w:tc>
          <w:tcPr>
            <w:tcW w:w="0" w:type="pct"/>
            <w:tcBorders>
              <w:top w:val="single" w:sz="6" w:space="0" w:color="auto"/>
              <w:left w:val="single" w:sz="6" w:space="0" w:color="auto"/>
              <w:bottom w:val="single" w:sz="6" w:space="0" w:color="auto"/>
              <w:right w:val="nil"/>
            </w:tcBorders>
            <w:shd w:val="clear" w:color="auto" w:fill="auto"/>
          </w:tcPr>
          <w:p w:rsidR="006561C1" w:rsidRPr="00E33D86" w:rsidP="009C39CF" w14:paraId="40AFB051" w14:textId="5625749C">
            <w:pPr>
              <w:spacing w:after="160" w:line="256" w:lineRule="auto"/>
              <w:rPr>
                <w:rFonts w:asciiTheme="minorHAnsi" w:hAnsiTheme="minorHAnsi" w:cstheme="minorHAnsi"/>
                <w:color w:val="000000"/>
              </w:rPr>
            </w:pPr>
            <w:r w:rsidRPr="00E33D86">
              <w:rPr>
                <w:rFonts w:asciiTheme="minorHAnsi" w:hAnsiTheme="minorHAnsi" w:cstheme="minorHAnsi"/>
              </w:rPr>
              <w:t xml:space="preserve">Supervisory support; quality of supervision; frequency and content of staff meetings; salary level and benefits; stress/burnout (secondary traumatic stress); </w:t>
            </w:r>
            <w:r w:rsidRPr="00E33D86">
              <w:rPr>
                <w:rFonts w:asciiTheme="minorHAnsi" w:hAnsiTheme="minorHAnsi" w:cstheme="minorHAnsi"/>
                <w:color w:val="000000"/>
              </w:rPr>
              <w:t xml:space="preserve">organizational culture, organizational climate, work attitudes; mastery of work; agency structure and organization </w:t>
            </w:r>
          </w:p>
          <w:p w:rsidR="006561C1" w:rsidRPr="00E33D86" w:rsidP="009C39CF" w14:paraId="2F0BE938" w14:textId="75F75C09">
            <w:pPr>
              <w:pStyle w:val="TableText"/>
              <w:keepNext w:val="0"/>
              <w:rPr>
                <w:rFonts w:asciiTheme="minorHAnsi" w:hAnsiTheme="minorHAnsi" w:cstheme="minorHAnsi"/>
              </w:rPr>
            </w:pPr>
          </w:p>
        </w:tc>
      </w:tr>
    </w:tbl>
    <w:p w:rsidR="006561C1" w:rsidP="005E00C7" w14:paraId="7D5C2ED8" w14:textId="799C0B9B">
      <w:pPr>
        <w:pStyle w:val="ExhibitTitlecontinued"/>
        <w:spacing w:after="0"/>
        <w:ind w:left="0" w:firstLine="0"/>
        <w:rPr>
          <w:rFonts w:eastAsia="Times New Roman" w:cstheme="minorHAnsi"/>
          <w:b w:val="0"/>
          <w:bCs/>
          <w:i/>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044256" w:rsidP="005E4284" w14:paraId="6E3ACA1E" w14:textId="59CE00A6">
      <w:pPr>
        <w:pStyle w:val="bodytextpsg"/>
        <w:spacing w:line="240" w:lineRule="auto"/>
        <w:ind w:firstLine="0"/>
        <w:rPr>
          <w:rFonts w:asciiTheme="minorHAnsi" w:hAnsiTheme="minorHAnsi" w:cstheme="minorHAnsi"/>
          <w:iCs/>
          <w:color w:val="000000"/>
        </w:rPr>
      </w:pPr>
      <w:r>
        <w:rPr>
          <w:rFonts w:asciiTheme="minorHAnsi" w:hAnsiTheme="minorHAnsi" w:cstheme="minorHAnsi"/>
          <w:iCs/>
          <w:color w:val="000000"/>
        </w:rPr>
        <w:t>As mentioned previously, we will</w:t>
      </w:r>
      <w:r w:rsidRPr="00044256">
        <w:rPr>
          <w:rFonts w:asciiTheme="minorHAnsi" w:hAnsiTheme="minorHAnsi" w:cstheme="minorHAnsi"/>
          <w:iCs/>
          <w:color w:val="000000"/>
        </w:rPr>
        <w:t xml:space="preserve"> release a </w:t>
      </w:r>
      <w:r>
        <w:rPr>
          <w:rFonts w:asciiTheme="minorHAnsi" w:hAnsiTheme="minorHAnsi" w:cstheme="minorHAnsi"/>
        </w:rPr>
        <w:t>data fil</w:t>
      </w:r>
      <w:r w:rsidRPr="00CB1532">
        <w:rPr>
          <w:rFonts w:asciiTheme="minorHAnsi" w:hAnsiTheme="minorHAnsi" w:cstheme="minorHAnsi"/>
        </w:rPr>
        <w:t>e user’s manual (DFUM</w:t>
      </w:r>
      <w:r>
        <w:rPr>
          <w:rFonts w:asciiTheme="minorHAnsi" w:hAnsiTheme="minorHAnsi" w:cstheme="minorHAnsi"/>
        </w:rPr>
        <w:t xml:space="preserve">) </w:t>
      </w:r>
      <w:r w:rsidRPr="00044256">
        <w:rPr>
          <w:rFonts w:asciiTheme="minorHAnsi" w:hAnsiTheme="minorHAnsi" w:cstheme="minorHAnsi"/>
          <w:iCs/>
          <w:color w:val="000000"/>
        </w:rPr>
        <w:t>to inform and assist researchers who might be interested in using the data for future analyses. The manual includes (1) background</w:t>
      </w:r>
      <w:r>
        <w:rPr>
          <w:rFonts w:asciiTheme="minorHAnsi" w:hAnsiTheme="minorHAnsi" w:cstheme="minorHAnsi"/>
          <w:iCs/>
          <w:color w:val="000000"/>
        </w:rPr>
        <w:t xml:space="preserve"> information about the study</w:t>
      </w:r>
      <w:r w:rsidRPr="00044256">
        <w:rPr>
          <w:rFonts w:asciiTheme="minorHAnsi" w:hAnsiTheme="minorHAnsi" w:cstheme="minorHAnsi"/>
          <w:iCs/>
          <w:color w:val="000000"/>
        </w:rPr>
        <w:t>; (2) information about the sample design on the number of study participants, response rates, and weighting procedures; (3) an overview of the data collection procedures, data collection instruments, and measures; and (4) data preparation and the structure of data files, including data entry, frequency review, data edits, and creation of data files.</w:t>
      </w:r>
      <w:r>
        <w:rPr>
          <w:rFonts w:asciiTheme="minorHAnsi" w:hAnsiTheme="minorHAnsi" w:cstheme="minorHAnsi"/>
          <w:iCs/>
          <w:color w:val="000000"/>
        </w:rPr>
        <w:t xml:space="preserve"> </w:t>
      </w:r>
    </w:p>
    <w:p w:rsidR="00044256" w:rsidP="005E4284" w14:paraId="4D2A0060" w14:textId="1EC6315E">
      <w:pPr>
        <w:pStyle w:val="bodytextpsg"/>
        <w:spacing w:line="240" w:lineRule="auto"/>
        <w:ind w:firstLine="0"/>
        <w:rPr>
          <w:rFonts w:asciiTheme="minorHAnsi" w:hAnsiTheme="minorHAnsi" w:cstheme="minorHAnsi"/>
          <w:iCs/>
          <w:color w:val="000000"/>
        </w:rPr>
      </w:pPr>
    </w:p>
    <w:p w:rsidR="005A1C6B" w:rsidRPr="00153C63" w:rsidP="00153C63" w14:paraId="668C52CA" w14:textId="6BC635FB">
      <w:pPr>
        <w:pStyle w:val="bodytextpsg"/>
        <w:spacing w:line="240" w:lineRule="auto"/>
        <w:ind w:firstLine="0"/>
        <w:rPr>
          <w:rFonts w:asciiTheme="minorHAnsi" w:hAnsiTheme="minorHAnsi" w:cstheme="minorHAnsi"/>
        </w:rPr>
      </w:pPr>
      <w:r>
        <w:rPr>
          <w:rFonts w:asciiTheme="minorHAnsi" w:hAnsiTheme="minorHAnsi" w:cstheme="minorHAnsi"/>
          <w:iCs/>
          <w:color w:val="000000"/>
        </w:rPr>
        <w:t xml:space="preserve">As noted in </w:t>
      </w:r>
      <w:r w:rsidRPr="006B046A">
        <w:rPr>
          <w:rFonts w:asciiTheme="minorHAnsi" w:hAnsiTheme="minorHAnsi" w:cstheme="minorHAnsi"/>
          <w:b/>
          <w:bCs/>
          <w:i/>
          <w:color w:val="000000"/>
        </w:rPr>
        <w:t>Section B6</w:t>
      </w:r>
      <w:r>
        <w:rPr>
          <w:rFonts w:asciiTheme="minorHAnsi" w:hAnsiTheme="minorHAnsi" w:cstheme="minorHAnsi"/>
          <w:iCs/>
          <w:color w:val="000000"/>
        </w:rPr>
        <w:t>, d</w:t>
      </w:r>
      <w:r w:rsidRPr="00671FAE" w:rsidR="00671FAE">
        <w:rPr>
          <w:rFonts w:asciiTheme="minorHAnsi" w:hAnsiTheme="minorHAnsi" w:cstheme="minorHAnsi"/>
          <w:iCs/>
          <w:color w:val="000000"/>
        </w:rPr>
        <w:t>issemination of</w:t>
      </w:r>
      <w:r>
        <w:rPr>
          <w:rFonts w:asciiTheme="minorHAnsi" w:hAnsiTheme="minorHAnsi" w:cstheme="minorHAnsi"/>
          <w:iCs/>
          <w:color w:val="000000"/>
        </w:rPr>
        <w:t xml:space="preserve"> study</w:t>
      </w:r>
      <w:r w:rsidRPr="00671FAE" w:rsidR="00671FAE">
        <w:rPr>
          <w:rFonts w:asciiTheme="minorHAnsi" w:hAnsiTheme="minorHAnsi" w:cstheme="minorHAnsi"/>
          <w:iCs/>
          <w:color w:val="000000"/>
        </w:rPr>
        <w:t xml:space="preserve"> findings may include </w:t>
      </w:r>
      <w:r w:rsidR="000A61EC">
        <w:rPr>
          <w:rFonts w:asciiTheme="minorHAnsi" w:hAnsiTheme="minorHAnsi" w:cstheme="minorHAnsi"/>
          <w:iCs/>
          <w:color w:val="000000"/>
        </w:rPr>
        <w:t xml:space="preserve">reports, research briefs, </w:t>
      </w:r>
      <w:r w:rsidR="00153C63">
        <w:rPr>
          <w:rFonts w:asciiTheme="minorHAnsi" w:hAnsiTheme="minorHAnsi" w:cstheme="minorHAnsi"/>
          <w:iCs/>
          <w:color w:val="000000"/>
        </w:rPr>
        <w:t xml:space="preserve">1-page data spotlights, webinars, </w:t>
      </w:r>
      <w:r>
        <w:rPr>
          <w:rFonts w:asciiTheme="minorHAnsi" w:hAnsiTheme="minorHAnsi" w:cstheme="minorHAnsi"/>
          <w:iCs/>
          <w:color w:val="000000"/>
        </w:rPr>
        <w:t xml:space="preserve">and/or other publications or </w:t>
      </w:r>
      <w:r w:rsidR="000A61EC">
        <w:rPr>
          <w:rFonts w:asciiTheme="minorHAnsi" w:hAnsiTheme="minorHAnsi" w:cstheme="minorHAnsi"/>
          <w:iCs/>
          <w:color w:val="000000"/>
        </w:rPr>
        <w:t xml:space="preserve">presentations. </w:t>
      </w:r>
      <w:r w:rsidR="00D64347">
        <w:rPr>
          <w:rFonts w:asciiTheme="minorHAnsi" w:hAnsiTheme="minorHAnsi" w:cstheme="minorHAnsi"/>
          <w:iCs/>
          <w:color w:val="000000"/>
        </w:rPr>
        <w:t xml:space="preserve">Dissemination materials will </w:t>
      </w:r>
      <w:r w:rsidR="00377B73">
        <w:rPr>
          <w:rFonts w:asciiTheme="minorHAnsi" w:hAnsiTheme="minorHAnsi" w:cstheme="minorHAnsi"/>
          <w:iCs/>
          <w:color w:val="000000"/>
        </w:rPr>
        <w:t xml:space="preserve">include a </w:t>
      </w:r>
      <w:r w:rsidR="00377B73">
        <w:rPr>
          <w:rFonts w:asciiTheme="minorHAnsi" w:hAnsiTheme="minorHAnsi" w:cstheme="minorHAnsi"/>
          <w:iCs/>
          <w:color w:val="000000"/>
        </w:rPr>
        <w:t xml:space="preserve">discussion of the limitations of the data and guidance on how to interpret the findings. </w:t>
      </w:r>
      <w:r w:rsidR="000A61EC">
        <w:rPr>
          <w:rFonts w:asciiTheme="minorHAnsi" w:hAnsiTheme="minorHAnsi" w:cstheme="minorHAnsi"/>
          <w:iCs/>
          <w:color w:val="000000"/>
        </w:rPr>
        <w:t>P</w:t>
      </w:r>
      <w:r w:rsidRPr="00671FAE" w:rsidR="00671FAE">
        <w:rPr>
          <w:rFonts w:asciiTheme="minorHAnsi" w:hAnsiTheme="minorHAnsi" w:cstheme="minorHAnsi"/>
          <w:iCs/>
          <w:color w:val="000000"/>
        </w:rPr>
        <w:t>riority audiences for these products will include researchers</w:t>
      </w:r>
      <w:r w:rsidR="00FE1611">
        <w:rPr>
          <w:rFonts w:asciiTheme="minorHAnsi" w:hAnsiTheme="minorHAnsi" w:cstheme="minorHAnsi"/>
          <w:iCs/>
          <w:color w:val="000000"/>
        </w:rPr>
        <w:t>, program staff, and technical assistance providers</w:t>
      </w:r>
      <w:r w:rsidRPr="00671FAE" w:rsidR="00671FAE">
        <w:rPr>
          <w:rFonts w:asciiTheme="minorHAnsi" w:hAnsiTheme="minorHAnsi" w:cstheme="minorHAnsi"/>
          <w:iCs/>
          <w:color w:val="000000"/>
        </w:rPr>
        <w:t xml:space="preserve"> </w:t>
      </w:r>
      <w:r w:rsidR="00671FAE">
        <w:rPr>
          <w:rFonts w:asciiTheme="minorHAnsi" w:hAnsiTheme="minorHAnsi" w:cstheme="minorHAnsi"/>
          <w:iCs/>
          <w:color w:val="000000"/>
        </w:rPr>
        <w:t xml:space="preserve">interested in the characteristics </w:t>
      </w:r>
      <w:r w:rsidR="00671FAE">
        <w:rPr>
          <w:rFonts w:asciiTheme="minorHAnsi" w:hAnsiTheme="minorHAnsi" w:cstheme="minorHAnsi"/>
          <w:iCs/>
          <w:color w:val="000000"/>
        </w:rPr>
        <w:t>of</w:t>
      </w:r>
      <w:r w:rsidR="00671FAE">
        <w:rPr>
          <w:rFonts w:asciiTheme="minorHAnsi" w:hAnsiTheme="minorHAnsi" w:cstheme="minorHAnsi"/>
          <w:iCs/>
          <w:color w:val="000000"/>
        </w:rPr>
        <w:t xml:space="preserve"> and challenges faced by the </w:t>
      </w:r>
      <w:r w:rsidR="000A61EC">
        <w:rPr>
          <w:rFonts w:asciiTheme="minorHAnsi" w:hAnsiTheme="minorHAnsi" w:cstheme="minorHAnsi"/>
          <w:iCs/>
          <w:color w:val="000000"/>
        </w:rPr>
        <w:t>child welfare</w:t>
      </w:r>
      <w:r w:rsidR="00B92597">
        <w:rPr>
          <w:rFonts w:asciiTheme="minorHAnsi" w:hAnsiTheme="minorHAnsi" w:cstheme="minorHAnsi"/>
          <w:iCs/>
          <w:color w:val="000000"/>
        </w:rPr>
        <w:t xml:space="preserve"> workforce</w:t>
      </w:r>
      <w:r w:rsidRPr="00671FAE" w:rsidR="00671FAE">
        <w:rPr>
          <w:rFonts w:asciiTheme="minorHAnsi" w:hAnsiTheme="minorHAnsi" w:cstheme="minorHAnsi"/>
          <w:iCs/>
          <w:color w:val="000000"/>
        </w:rPr>
        <w:t xml:space="preserve">. </w:t>
      </w:r>
      <w:r w:rsidR="00CB1532">
        <w:rPr>
          <w:rFonts w:asciiTheme="minorHAnsi" w:hAnsiTheme="minorHAnsi" w:cstheme="minorHAnsi"/>
          <w:iCs/>
          <w:color w:val="000000"/>
        </w:rPr>
        <w:t xml:space="preserve">Deidentified data files and documentation made available to the research community via NDACAN will </w:t>
      </w:r>
      <w:r w:rsidRPr="00671FAE" w:rsidR="00671FAE">
        <w:rPr>
          <w:rFonts w:asciiTheme="minorHAnsi" w:hAnsiTheme="minorHAnsi" w:cstheme="minorHAnsi"/>
        </w:rPr>
        <w:t xml:space="preserve">contextualize and assist in </w:t>
      </w:r>
      <w:r w:rsidR="00CB1532">
        <w:rPr>
          <w:rFonts w:asciiTheme="minorHAnsi" w:hAnsiTheme="minorHAnsi" w:cstheme="minorHAnsi"/>
        </w:rPr>
        <w:t xml:space="preserve">the </w:t>
      </w:r>
      <w:r w:rsidRPr="00671FAE" w:rsidR="00671FAE">
        <w:rPr>
          <w:rFonts w:asciiTheme="minorHAnsi" w:hAnsiTheme="minorHAnsi" w:cstheme="minorHAnsi"/>
        </w:rPr>
        <w:t xml:space="preserve">interpretation </w:t>
      </w:r>
      <w:r w:rsidR="00CB1532">
        <w:rPr>
          <w:rFonts w:asciiTheme="minorHAnsi" w:hAnsiTheme="minorHAnsi" w:cstheme="minorHAnsi"/>
        </w:rPr>
        <w:t xml:space="preserve">and use </w:t>
      </w:r>
      <w:r w:rsidRPr="00671FAE" w:rsidR="00671FAE">
        <w:rPr>
          <w:rFonts w:asciiTheme="minorHAnsi" w:hAnsiTheme="minorHAnsi" w:cstheme="minorHAnsi"/>
        </w:rPr>
        <w:t>of the data</w:t>
      </w:r>
      <w:r w:rsidR="00671FAE">
        <w:rPr>
          <w:rFonts w:asciiTheme="minorHAnsi" w:hAnsiTheme="minorHAnsi" w:cstheme="minorHAnsi"/>
        </w:rPr>
        <w:t xml:space="preserve">. </w:t>
      </w:r>
      <w:r w:rsidRPr="00153C63">
        <w:rPr>
          <w:rFonts w:asciiTheme="minorHAnsi" w:hAnsiTheme="minorHAnsi" w:cstheme="minorHAnsi"/>
        </w:rPr>
        <w:t xml:space="preserve">Data collected from agency directors will be merged with other agency-level contextual information available in NCANDS and AFCARS. Data from all workforce surveys will be analyzed </w:t>
      </w:r>
      <w:r w:rsidRPr="00153C63" w:rsidR="00D64347">
        <w:rPr>
          <w:rFonts w:asciiTheme="minorHAnsi" w:hAnsiTheme="minorHAnsi" w:cstheme="minorHAnsi"/>
        </w:rPr>
        <w:t>to</w:t>
      </w:r>
      <w:r w:rsidRPr="00153C63">
        <w:rPr>
          <w:rFonts w:asciiTheme="minorHAnsi" w:hAnsiTheme="minorHAnsi" w:cstheme="minorHAnsi"/>
        </w:rPr>
        <w:t xml:space="preserve"> address the research questions provided in </w:t>
      </w:r>
      <w:r w:rsidRPr="00D06A98" w:rsidR="00D06A98">
        <w:rPr>
          <w:rFonts w:asciiTheme="minorHAnsi" w:hAnsiTheme="minorHAnsi" w:cstheme="minorHAnsi"/>
          <w:b/>
          <w:bCs/>
          <w:i/>
          <w:iCs/>
        </w:rPr>
        <w:t>Section A.2</w:t>
      </w:r>
      <w:r w:rsidRPr="00153C63">
        <w:rPr>
          <w:rFonts w:asciiTheme="minorHAnsi" w:hAnsiTheme="minorHAnsi" w:cstheme="minorHAnsi"/>
        </w:rPr>
        <w:t xml:space="preserve">. </w:t>
      </w:r>
    </w:p>
    <w:p w:rsidR="005A1C6B" w:rsidP="005E4284" w14:paraId="38386520" w14:textId="77777777">
      <w:pPr>
        <w:pStyle w:val="bodytextpsg"/>
        <w:spacing w:line="240" w:lineRule="auto"/>
        <w:ind w:firstLine="0"/>
        <w:rPr>
          <w:rFonts w:asciiTheme="minorHAnsi" w:hAnsiTheme="minorHAnsi" w:cstheme="minorHAnsi"/>
        </w:rPr>
      </w:pPr>
    </w:p>
    <w:p w:rsidR="005E4284" w:rsidRPr="006B14B7" w:rsidP="005E4284" w14:paraId="569B7308" w14:textId="384D8DFB">
      <w:pPr>
        <w:pStyle w:val="bodytextpsg"/>
        <w:spacing w:line="240" w:lineRule="auto"/>
        <w:ind w:firstLine="0"/>
        <w:rPr>
          <w:rFonts w:asciiTheme="minorHAnsi" w:hAnsiTheme="minorHAnsi" w:cstheme="minorHAnsi"/>
        </w:rPr>
      </w:pPr>
      <w:r>
        <w:rPr>
          <w:rFonts w:asciiTheme="minorHAnsi" w:hAnsiTheme="minorHAnsi" w:cstheme="minorHAnsi"/>
        </w:rPr>
        <w:t xml:space="preserve"> </w:t>
      </w:r>
      <w:r w:rsidR="00B92597">
        <w:rPr>
          <w:rFonts w:asciiTheme="minorHAnsi" w:hAnsiTheme="minorHAnsi" w:cstheme="minorHAnsi"/>
        </w:rPr>
        <w:t xml:space="preserve">We anticipate significant interest from the research community given NSCAW’s standing as a nationally representative data source and the employment of a nested design </w:t>
      </w:r>
      <w:r w:rsidR="00AC263B">
        <w:rPr>
          <w:rFonts w:asciiTheme="minorHAnsi" w:hAnsiTheme="minorHAnsi" w:cstheme="minorHAnsi"/>
        </w:rPr>
        <w:t>intended to represent the perspec</w:t>
      </w:r>
      <w:r w:rsidR="009C1B15">
        <w:rPr>
          <w:rFonts w:asciiTheme="minorHAnsi" w:hAnsiTheme="minorHAnsi" w:cstheme="minorHAnsi"/>
        </w:rPr>
        <w:t xml:space="preserve">tives of </w:t>
      </w:r>
      <w:r w:rsidR="00B92597">
        <w:rPr>
          <w:rFonts w:asciiTheme="minorHAnsi" w:hAnsiTheme="minorHAnsi" w:cstheme="minorHAnsi"/>
        </w:rPr>
        <w:t xml:space="preserve">multiple </w:t>
      </w:r>
      <w:r w:rsidR="00AC263B">
        <w:rPr>
          <w:rFonts w:asciiTheme="minorHAnsi" w:hAnsiTheme="minorHAnsi" w:cstheme="minorHAnsi"/>
        </w:rPr>
        <w:t xml:space="preserve">levels of </w:t>
      </w:r>
      <w:r w:rsidR="00B92597">
        <w:rPr>
          <w:rFonts w:asciiTheme="minorHAnsi" w:hAnsiTheme="minorHAnsi" w:cstheme="minorHAnsi"/>
        </w:rPr>
        <w:t xml:space="preserve">child welfare agency personnel. </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1CEC9C93">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008271EA" w:rsidP="008271EA" w14:paraId="251F6956" w14:textId="77777777">
      <w:pPr>
        <w:spacing w:line="240" w:lineRule="auto"/>
        <w:contextualSpacing/>
        <w:rPr>
          <w:rStyle w:val="Emphasis"/>
          <w:rFonts w:cstheme="minorHAnsi"/>
          <w:i w:val="0"/>
          <w:iCs w:val="0"/>
          <w:color w:val="19150F"/>
          <w:lang w:val="en"/>
        </w:rPr>
      </w:pPr>
      <w:r>
        <w:rPr>
          <w:rStyle w:val="Emphasis"/>
          <w:rFonts w:cstheme="minorHAnsi"/>
          <w:i w:val="0"/>
          <w:iCs w:val="0"/>
          <w:color w:val="19150F"/>
          <w:lang w:val="en"/>
        </w:rPr>
        <w:t>Christine Fortunato</w:t>
      </w:r>
    </w:p>
    <w:p w:rsidR="008271EA" w:rsidRPr="007371C6" w:rsidP="008271EA" w14:paraId="4118D1D2" w14:textId="77777777">
      <w:pPr>
        <w:spacing w:line="240" w:lineRule="auto"/>
        <w:contextualSpacing/>
        <w:rPr>
          <w:rFonts w:eastAsia="Times New Roman"/>
        </w:rPr>
      </w:pPr>
      <w:r w:rsidRPr="00851F40">
        <w:rPr>
          <w:rStyle w:val="Emphasis"/>
          <w:rFonts w:cstheme="minorHAnsi"/>
          <w:i w:val="0"/>
          <w:iCs w:val="0"/>
          <w:color w:val="19150F"/>
          <w:lang w:val="en"/>
        </w:rPr>
        <w:t>Senior Social Science Research Analyst</w:t>
      </w:r>
      <w:r w:rsidRPr="00851F40">
        <w:rPr>
          <w:rFonts w:cstheme="minorHAnsi"/>
          <w:i/>
          <w:iCs/>
          <w:color w:val="19150F"/>
          <w:lang w:val="en"/>
        </w:rPr>
        <w:br/>
      </w:r>
      <w:r w:rsidRPr="007371C6">
        <w:rPr>
          <w:rFonts w:eastAsia="Times New Roman"/>
        </w:rPr>
        <w:t>Office of Planning, Research, and Evaluation</w:t>
      </w:r>
    </w:p>
    <w:p w:rsidR="008271EA" w:rsidRPr="00851F40" w:rsidP="008271EA" w14:paraId="70364D5D" w14:textId="77777777">
      <w:pPr>
        <w:spacing w:after="0" w:line="240" w:lineRule="auto"/>
        <w:rPr>
          <w:rFonts w:cstheme="minorHAnsi"/>
          <w:spacing w:val="21"/>
          <w:w w:val="99"/>
        </w:rPr>
      </w:pPr>
      <w:r w:rsidRPr="00851F40">
        <w:rPr>
          <w:rFonts w:cstheme="minorHAnsi"/>
        </w:rPr>
        <w:t>Administration</w:t>
      </w:r>
      <w:r w:rsidRPr="00851F40">
        <w:rPr>
          <w:rFonts w:cstheme="minorHAnsi"/>
          <w:spacing w:val="-13"/>
        </w:rPr>
        <w:t xml:space="preserve"> </w:t>
      </w:r>
      <w:r w:rsidRPr="00851F40">
        <w:rPr>
          <w:rFonts w:cstheme="minorHAnsi"/>
          <w:spacing w:val="-1"/>
        </w:rPr>
        <w:t>for</w:t>
      </w:r>
      <w:r w:rsidRPr="00851F40">
        <w:rPr>
          <w:rFonts w:cstheme="minorHAnsi"/>
          <w:spacing w:val="-10"/>
        </w:rPr>
        <w:t xml:space="preserve"> </w:t>
      </w:r>
      <w:r w:rsidRPr="00851F40">
        <w:rPr>
          <w:rFonts w:cstheme="minorHAnsi"/>
          <w:spacing w:val="-1"/>
        </w:rPr>
        <w:t>Children</w:t>
      </w:r>
      <w:r w:rsidRPr="00851F40">
        <w:rPr>
          <w:rFonts w:cstheme="minorHAnsi"/>
          <w:spacing w:val="-10"/>
        </w:rPr>
        <w:t xml:space="preserve"> </w:t>
      </w:r>
      <w:r w:rsidRPr="00851F40">
        <w:rPr>
          <w:rFonts w:cstheme="minorHAnsi"/>
        </w:rPr>
        <w:t>and</w:t>
      </w:r>
      <w:r w:rsidRPr="00851F40">
        <w:rPr>
          <w:rFonts w:cstheme="minorHAnsi"/>
          <w:spacing w:val="-12"/>
        </w:rPr>
        <w:t xml:space="preserve"> </w:t>
      </w:r>
      <w:r w:rsidRPr="00851F40">
        <w:rPr>
          <w:rFonts w:cstheme="minorHAnsi"/>
          <w:spacing w:val="-1"/>
        </w:rPr>
        <w:t>Families</w:t>
      </w:r>
      <w:r w:rsidRPr="00851F40">
        <w:rPr>
          <w:rFonts w:cstheme="minorHAnsi"/>
          <w:spacing w:val="21"/>
          <w:w w:val="99"/>
        </w:rPr>
        <w:t xml:space="preserve"> </w:t>
      </w:r>
    </w:p>
    <w:p w:rsidR="008271EA" w:rsidRPr="00851F40" w:rsidP="008271EA" w14:paraId="6E42CE16" w14:textId="77777777">
      <w:pPr>
        <w:pStyle w:val="BodyText"/>
        <w:kinsoku w:val="0"/>
        <w:overflowPunct w:val="0"/>
        <w:spacing w:after="0" w:line="240" w:lineRule="auto"/>
        <w:ind w:right="118"/>
        <w:rPr>
          <w:rFonts w:asciiTheme="minorHAnsi" w:hAnsiTheme="minorHAnsi" w:cstheme="minorHAnsi"/>
          <w:spacing w:val="22"/>
          <w:w w:val="99"/>
          <w:szCs w:val="22"/>
        </w:rPr>
      </w:pPr>
      <w:r w:rsidRPr="00851F40">
        <w:rPr>
          <w:rFonts w:asciiTheme="minorHAnsi" w:hAnsiTheme="minorHAnsi" w:cstheme="minorHAnsi"/>
          <w:spacing w:val="-1"/>
          <w:szCs w:val="22"/>
        </w:rPr>
        <w:t>370</w:t>
      </w:r>
      <w:r w:rsidRPr="00851F40">
        <w:rPr>
          <w:rFonts w:asciiTheme="minorHAnsi" w:hAnsiTheme="minorHAnsi" w:cstheme="minorHAnsi"/>
          <w:spacing w:val="-11"/>
          <w:szCs w:val="22"/>
        </w:rPr>
        <w:t xml:space="preserve"> </w:t>
      </w:r>
      <w:r w:rsidRPr="00851F40">
        <w:rPr>
          <w:rFonts w:asciiTheme="minorHAnsi" w:hAnsiTheme="minorHAnsi" w:cstheme="minorHAnsi"/>
          <w:spacing w:val="-1"/>
          <w:szCs w:val="22"/>
        </w:rPr>
        <w:t>L’Enfant</w:t>
      </w:r>
      <w:r w:rsidRPr="00851F40">
        <w:rPr>
          <w:rFonts w:asciiTheme="minorHAnsi" w:hAnsiTheme="minorHAnsi" w:cstheme="minorHAnsi"/>
          <w:spacing w:val="-10"/>
          <w:szCs w:val="22"/>
        </w:rPr>
        <w:t xml:space="preserve"> </w:t>
      </w:r>
      <w:r w:rsidRPr="00851F40">
        <w:rPr>
          <w:rFonts w:asciiTheme="minorHAnsi" w:hAnsiTheme="minorHAnsi" w:cstheme="minorHAnsi"/>
          <w:szCs w:val="22"/>
        </w:rPr>
        <w:t>Promenade,</w:t>
      </w:r>
      <w:r w:rsidRPr="00851F40">
        <w:rPr>
          <w:rFonts w:asciiTheme="minorHAnsi" w:hAnsiTheme="minorHAnsi" w:cstheme="minorHAnsi"/>
          <w:spacing w:val="-12"/>
          <w:szCs w:val="22"/>
        </w:rPr>
        <w:t xml:space="preserve"> </w:t>
      </w:r>
      <w:r w:rsidRPr="00851F40">
        <w:rPr>
          <w:rFonts w:asciiTheme="minorHAnsi" w:hAnsiTheme="minorHAnsi" w:cstheme="minorHAnsi"/>
          <w:spacing w:val="-1"/>
          <w:szCs w:val="22"/>
        </w:rPr>
        <w:t>S.W.</w:t>
      </w:r>
      <w:r w:rsidRPr="00851F40">
        <w:rPr>
          <w:rFonts w:asciiTheme="minorHAnsi" w:hAnsiTheme="minorHAnsi" w:cstheme="minorHAnsi"/>
          <w:spacing w:val="22"/>
          <w:w w:val="99"/>
          <w:szCs w:val="22"/>
        </w:rPr>
        <w:t xml:space="preserve"> </w:t>
      </w:r>
    </w:p>
    <w:p w:rsidR="008271EA" w:rsidP="008271EA" w14:paraId="246A507A" w14:textId="13E91203">
      <w:pPr>
        <w:pStyle w:val="ListParagraph"/>
        <w:spacing w:after="0" w:line="240" w:lineRule="auto"/>
        <w:ind w:left="0"/>
        <w:rPr>
          <w:rFonts w:cstheme="minorHAnsi"/>
          <w:bCs/>
        </w:rPr>
      </w:pPr>
      <w:r w:rsidRPr="00851F40">
        <w:rPr>
          <w:rFonts w:cstheme="minorHAnsi"/>
          <w:spacing w:val="-1"/>
        </w:rPr>
        <w:t>Washington,</w:t>
      </w:r>
      <w:r w:rsidRPr="00851F40">
        <w:rPr>
          <w:rFonts w:cstheme="minorHAnsi"/>
          <w:spacing w:val="-9"/>
        </w:rPr>
        <w:t xml:space="preserve"> </w:t>
      </w:r>
      <w:r w:rsidRPr="00851F40">
        <w:rPr>
          <w:rFonts w:cstheme="minorHAnsi"/>
        </w:rPr>
        <w:t>DC</w:t>
      </w:r>
      <w:r w:rsidRPr="00851F40">
        <w:rPr>
          <w:rFonts w:cstheme="minorHAnsi"/>
          <w:spacing w:val="47"/>
        </w:rPr>
        <w:t xml:space="preserve"> </w:t>
      </w:r>
      <w:r w:rsidRPr="00851F40">
        <w:rPr>
          <w:rFonts w:cstheme="minorHAnsi"/>
        </w:rPr>
        <w:t>20447</w:t>
      </w:r>
    </w:p>
    <w:p w:rsidR="001163E8" w:rsidP="001163E8" w14:paraId="673D064E" w14:textId="4FD369A6">
      <w:pPr>
        <w:pStyle w:val="ListParagraph"/>
        <w:spacing w:after="0" w:line="240" w:lineRule="auto"/>
        <w:ind w:left="0"/>
        <w:rPr>
          <w:rFonts w:cstheme="minorHAnsi"/>
          <w:bCs/>
        </w:rPr>
      </w:pPr>
      <w:hyperlink r:id="rId9" w:history="1">
        <w:r w:rsidRPr="00850F37">
          <w:rPr>
            <w:rStyle w:val="Hyperlink"/>
            <w:rFonts w:cstheme="minorHAnsi"/>
            <w:bCs/>
          </w:rPr>
          <w:t>Christine.Fortunato@acf.hhs.gov</w:t>
        </w:r>
      </w:hyperlink>
      <w:r>
        <w:rPr>
          <w:rFonts w:cstheme="minorHAnsi"/>
          <w:bCs/>
        </w:rPr>
        <w:t xml:space="preserve"> </w:t>
      </w:r>
      <w:r w:rsidRPr="007371C6">
        <w:rPr>
          <w:rFonts w:cstheme="minorHAnsi"/>
          <w:bCs/>
        </w:rPr>
        <w:t xml:space="preserve">| </w:t>
      </w:r>
      <w:r w:rsidRPr="000A61EC" w:rsidR="000A61EC">
        <w:rPr>
          <w:rFonts w:cstheme="minorHAnsi"/>
          <w:bCs/>
        </w:rPr>
        <w:t>20</w:t>
      </w:r>
      <w:r w:rsidR="000A61EC">
        <w:rPr>
          <w:rFonts w:cstheme="minorHAnsi"/>
          <w:bCs/>
        </w:rPr>
        <w:t>2.</w:t>
      </w:r>
      <w:r w:rsidRPr="000A61EC" w:rsidR="000A61EC">
        <w:rPr>
          <w:rFonts w:cstheme="minorHAnsi"/>
          <w:bCs/>
        </w:rPr>
        <w:t>401</w:t>
      </w:r>
      <w:r w:rsidR="000A61EC">
        <w:rPr>
          <w:rFonts w:cstheme="minorHAnsi"/>
          <w:bCs/>
        </w:rPr>
        <w:t>.</w:t>
      </w:r>
      <w:r w:rsidRPr="000A61EC" w:rsidR="000A61EC">
        <w:rPr>
          <w:rFonts w:cstheme="minorHAnsi"/>
          <w:bCs/>
        </w:rPr>
        <w:t>5460</w:t>
      </w:r>
    </w:p>
    <w:p w:rsidR="001163E8" w:rsidP="005E4284" w14:paraId="343D2002" w14:textId="77777777">
      <w:pPr>
        <w:pStyle w:val="ListParagraph"/>
        <w:spacing w:after="0" w:line="240" w:lineRule="auto"/>
        <w:ind w:left="0"/>
        <w:rPr>
          <w:rFonts w:cstheme="minorHAnsi"/>
          <w:bCs/>
        </w:rPr>
      </w:pPr>
    </w:p>
    <w:p w:rsidR="009C39CF" w:rsidP="005E4284" w14:paraId="0AFF1C69" w14:textId="1CC62E34">
      <w:pPr>
        <w:pStyle w:val="ListParagraph"/>
        <w:spacing w:after="0" w:line="240" w:lineRule="auto"/>
        <w:ind w:left="0"/>
        <w:rPr>
          <w:rFonts w:cstheme="minorHAnsi"/>
          <w:bCs/>
        </w:rPr>
      </w:pPr>
      <w:r>
        <w:rPr>
          <w:rFonts w:cstheme="minorHAnsi"/>
          <w:bCs/>
        </w:rPr>
        <w:t>Paul Biemer</w:t>
      </w:r>
    </w:p>
    <w:p w:rsidR="009C39CF" w:rsidP="005E4284" w14:paraId="0C44E4EB" w14:textId="664E6BD7">
      <w:pPr>
        <w:pStyle w:val="ListParagraph"/>
        <w:spacing w:after="0" w:line="240" w:lineRule="auto"/>
        <w:ind w:left="0"/>
        <w:rPr>
          <w:rFonts w:cstheme="minorHAnsi"/>
          <w:bCs/>
        </w:rPr>
      </w:pPr>
      <w:r>
        <w:rPr>
          <w:rFonts w:cstheme="minorHAnsi"/>
          <w:bCs/>
        </w:rPr>
        <w:t>Distinguished Fellow, Statistics</w:t>
      </w:r>
    </w:p>
    <w:p w:rsidR="008271EA" w:rsidP="005E4284" w14:paraId="0B2B1D58" w14:textId="55E7D974">
      <w:pPr>
        <w:pStyle w:val="ListParagraph"/>
        <w:spacing w:after="0" w:line="240" w:lineRule="auto"/>
        <w:ind w:left="0"/>
        <w:rPr>
          <w:rFonts w:cstheme="minorHAnsi"/>
          <w:bCs/>
        </w:rPr>
      </w:pPr>
      <w:r>
        <w:rPr>
          <w:rFonts w:cstheme="minorHAnsi"/>
          <w:bCs/>
        </w:rPr>
        <w:t>RTI International</w:t>
      </w:r>
    </w:p>
    <w:p w:rsidR="008271EA" w:rsidP="005E4284" w14:paraId="3A8E0C2F" w14:textId="683682DF">
      <w:pPr>
        <w:pStyle w:val="ListParagraph"/>
        <w:spacing w:after="0" w:line="240" w:lineRule="auto"/>
        <w:ind w:left="0"/>
        <w:rPr>
          <w:rFonts w:cstheme="minorHAnsi"/>
          <w:bCs/>
        </w:rPr>
      </w:pPr>
      <w:r>
        <w:rPr>
          <w:rFonts w:cstheme="minorHAnsi"/>
          <w:bCs/>
        </w:rPr>
        <w:t>Post Office Box 12194</w:t>
      </w:r>
    </w:p>
    <w:p w:rsidR="008271EA" w:rsidP="005E4284" w14:paraId="0E478D3E" w14:textId="38976468">
      <w:pPr>
        <w:pStyle w:val="ListParagraph"/>
        <w:spacing w:after="0" w:line="240" w:lineRule="auto"/>
        <w:ind w:left="0"/>
        <w:rPr>
          <w:rFonts w:cstheme="minorHAnsi"/>
          <w:bCs/>
        </w:rPr>
      </w:pPr>
      <w:r>
        <w:rPr>
          <w:rFonts w:cstheme="minorHAnsi"/>
          <w:bCs/>
        </w:rPr>
        <w:t>Research Triangle Park, NC  27709</w:t>
      </w:r>
    </w:p>
    <w:p w:rsidR="005E4284" w:rsidP="005E4284" w14:paraId="36341D81" w14:textId="50AC09BB">
      <w:pPr>
        <w:pStyle w:val="ListParagraph"/>
        <w:spacing w:after="0" w:line="240" w:lineRule="auto"/>
        <w:ind w:left="0"/>
        <w:rPr>
          <w:rFonts w:cstheme="minorHAnsi"/>
          <w:bCs/>
        </w:rPr>
      </w:pPr>
      <w:hyperlink r:id="rId10" w:history="1">
        <w:r w:rsidRPr="001163E8" w:rsidR="001163E8">
          <w:rPr>
            <w:rStyle w:val="Hyperlink"/>
            <w:rFonts w:cstheme="minorHAnsi"/>
            <w:bCs/>
          </w:rPr>
          <w:t>ppb@rti.org</w:t>
        </w:r>
      </w:hyperlink>
      <w:r w:rsidR="008271EA">
        <w:rPr>
          <w:rStyle w:val="Hyperlink"/>
          <w:rFonts w:cstheme="minorHAnsi"/>
          <w:bCs/>
        </w:rPr>
        <w:t xml:space="preserve"> </w:t>
      </w:r>
      <w:r w:rsidRPr="007371C6" w:rsidR="008271EA">
        <w:rPr>
          <w:rFonts w:cstheme="minorHAnsi"/>
          <w:bCs/>
        </w:rPr>
        <w:t>| 919.541.6</w:t>
      </w:r>
      <w:r w:rsidR="008271EA">
        <w:rPr>
          <w:rFonts w:cstheme="minorHAnsi"/>
          <w:bCs/>
        </w:rPr>
        <w:t>056</w:t>
      </w:r>
    </w:p>
    <w:p w:rsidR="005E4284" w:rsidP="005E4284" w14:paraId="085CA965" w14:textId="77777777">
      <w:pPr>
        <w:pStyle w:val="ListParagraph"/>
        <w:spacing w:after="0" w:line="240" w:lineRule="auto"/>
        <w:ind w:left="0"/>
        <w:rPr>
          <w:rFonts w:cstheme="minorHAnsi"/>
          <w:bCs/>
        </w:rPr>
      </w:pPr>
    </w:p>
    <w:p w:rsidR="00A42C71" w:rsidRPr="001A59B6" w:rsidP="00A42C71" w14:paraId="2E8E7A92" w14:textId="77777777">
      <w:pPr>
        <w:spacing w:after="0" w:line="240" w:lineRule="auto"/>
        <w:rPr>
          <w:rFonts w:cstheme="minorHAnsi"/>
          <w:b/>
        </w:rPr>
      </w:pPr>
    </w:p>
    <w:p w:rsidR="0047520D" w:rsidP="0047520D" w14:paraId="2AEDAB99" w14:textId="77777777">
      <w:pPr>
        <w:tabs>
          <w:tab w:val="left" w:pos="3600"/>
        </w:tabs>
        <w:spacing w:after="120" w:line="240" w:lineRule="auto"/>
        <w:rPr>
          <w:rFonts w:cstheme="minorHAnsi"/>
          <w:b/>
        </w:rPr>
      </w:pPr>
    </w:p>
    <w:p w:rsidR="00B10654" w:rsidP="00B10654" w14:paraId="6380BC5B" w14:textId="77777777">
      <w:pPr>
        <w:spacing w:after="120" w:line="240" w:lineRule="auto"/>
        <w:rPr>
          <w:b/>
          <w:bCs/>
        </w:rPr>
      </w:pPr>
    </w:p>
    <w:p w:rsidR="00B10654" w:rsidRPr="00610A58" w:rsidP="00B10654" w14:paraId="5CC6D8EE" w14:textId="77777777">
      <w:pPr>
        <w:spacing w:after="120" w:line="240" w:lineRule="auto"/>
        <w:rPr>
          <w:b/>
          <w:bCs/>
        </w:rPr>
      </w:pPr>
      <w:r w:rsidRPr="00610A58">
        <w:rPr>
          <w:b/>
          <w:bCs/>
        </w:rPr>
        <w:t xml:space="preserve">Previously Approved Attachments </w:t>
      </w:r>
    </w:p>
    <w:p w:rsidR="00B10654" w:rsidP="00B10654" w14:paraId="537D158D" w14:textId="795CEFC3">
      <w:pPr>
        <w:spacing w:after="120" w:line="240" w:lineRule="auto"/>
      </w:pPr>
      <w:r>
        <w:t>*</w:t>
      </w:r>
      <w:r>
        <w:t xml:space="preserve">Appendix A: NSCAW III Summary of Interviews </w:t>
      </w:r>
    </w:p>
    <w:p w:rsidR="00D44639" w:rsidP="000A1D82" w14:paraId="7BB54A95" w14:textId="3A554AD8">
      <w:pPr>
        <w:spacing w:after="120" w:line="240" w:lineRule="auto"/>
      </w:pPr>
      <w:r>
        <w:t>*</w:t>
      </w:r>
      <w:r w:rsidR="003C4838">
        <w:t>Appendix A-1: NSCAW III Summary of Remote Interviews</w:t>
      </w:r>
    </w:p>
    <w:p w:rsidR="0020618D" w:rsidP="0020618D" w14:paraId="6E435C6D" w14:textId="27EE0025">
      <w:pPr>
        <w:spacing w:after="120" w:line="240" w:lineRule="auto"/>
        <w:rPr>
          <w:rFonts w:cstheme="minorHAnsi"/>
        </w:rPr>
      </w:pPr>
      <w:r>
        <w:t>*</w:t>
      </w:r>
      <w:r w:rsidRPr="00A005B2">
        <w:rPr>
          <w:rFonts w:cstheme="minorHAnsi"/>
        </w:rPr>
        <w:t>Appendix B: NSCAW III Child Interview</w:t>
      </w:r>
    </w:p>
    <w:p w:rsidR="00511348" w:rsidP="00511348" w14:paraId="16E631A8" w14:textId="77777777">
      <w:pPr>
        <w:spacing w:after="120"/>
      </w:pPr>
      <w:r>
        <w:t>*</w:t>
      </w:r>
      <w:r w:rsidRPr="00A005B2" w:rsidR="0020618D">
        <w:rPr>
          <w:rFonts w:cstheme="minorHAnsi"/>
        </w:rPr>
        <w:t xml:space="preserve">Appendix </w:t>
      </w:r>
      <w:r w:rsidR="0020618D">
        <w:rPr>
          <w:rFonts w:cstheme="minorHAnsi"/>
        </w:rPr>
        <w:t>B-1</w:t>
      </w:r>
      <w:r w:rsidRPr="00A005B2" w:rsidR="0020618D">
        <w:rPr>
          <w:rFonts w:cstheme="minorHAnsi"/>
        </w:rPr>
        <w:t xml:space="preserve">: NSCAW III Child </w:t>
      </w:r>
      <w:r w:rsidR="0020618D">
        <w:rPr>
          <w:rFonts w:cstheme="minorHAnsi"/>
        </w:rPr>
        <w:t xml:space="preserve">Remote </w:t>
      </w:r>
      <w:r w:rsidRPr="00A005B2" w:rsidR="0020618D">
        <w:rPr>
          <w:rFonts w:cstheme="minorHAnsi"/>
        </w:rPr>
        <w:t>Interview</w:t>
      </w:r>
      <w:r>
        <w:rPr>
          <w:rFonts w:cstheme="minorHAnsi"/>
        </w:rPr>
        <w:t xml:space="preserve"> </w:t>
      </w:r>
      <w:r>
        <w:t>(</w:t>
      </w:r>
      <w:r w:rsidRPr="00812D39">
        <w:rPr>
          <w:i/>
          <w:iCs/>
        </w:rPr>
        <w:t>Revisions included with this request</w:t>
      </w:r>
      <w:r w:rsidRPr="00812D39">
        <w:t>)</w:t>
      </w:r>
    </w:p>
    <w:p w:rsidR="001D5859" w:rsidP="000A1D82" w14:paraId="5C3FAFC5" w14:textId="5A66C1D9">
      <w:pPr>
        <w:spacing w:after="120" w:line="240" w:lineRule="auto"/>
        <w:rPr>
          <w:rFonts w:cstheme="minorHAnsi"/>
        </w:rPr>
      </w:pPr>
      <w:r>
        <w:t>*</w:t>
      </w:r>
      <w:r>
        <w:rPr>
          <w:rFonts w:cstheme="minorHAnsi"/>
        </w:rPr>
        <w:t xml:space="preserve">Appendix C: NSCAW III Caregiver Interview </w:t>
      </w:r>
    </w:p>
    <w:p w:rsidR="00511348" w:rsidP="00511348" w14:paraId="316C8BFC" w14:textId="77777777">
      <w:pPr>
        <w:spacing w:after="120"/>
      </w:pPr>
      <w:r>
        <w:t>*</w:t>
      </w:r>
      <w:r w:rsidR="001D5859">
        <w:rPr>
          <w:rFonts w:cstheme="minorHAnsi"/>
        </w:rPr>
        <w:t xml:space="preserve">Appendix C-1: NSCAW III Caregiver Remote Interview </w:t>
      </w:r>
      <w:r>
        <w:t>(</w:t>
      </w:r>
      <w:r w:rsidRPr="00812D39">
        <w:rPr>
          <w:i/>
          <w:iCs/>
        </w:rPr>
        <w:t>Revisions included with this request</w:t>
      </w:r>
      <w:r w:rsidRPr="00812D39">
        <w:t>)</w:t>
      </w:r>
    </w:p>
    <w:p w:rsidR="000A1D82" w:rsidP="000A1D82" w14:paraId="6637784A" w14:textId="20301644">
      <w:pPr>
        <w:spacing w:after="120" w:line="240" w:lineRule="auto"/>
      </w:pPr>
      <w:r>
        <w:t>*</w:t>
      </w:r>
      <w:r>
        <w:t xml:space="preserve">Appendix D: NSCAW III Caseworker Interview </w:t>
      </w:r>
    </w:p>
    <w:p w:rsidR="003C4838" w:rsidP="003C4838" w14:paraId="2E2A9FF1" w14:textId="68FB7428">
      <w:pPr>
        <w:spacing w:after="120" w:line="240" w:lineRule="auto"/>
      </w:pPr>
      <w:r>
        <w:t>*</w:t>
      </w:r>
      <w:r>
        <w:t xml:space="preserve">Appendix D-1: NSCAW III Caseworker Remote Interview </w:t>
      </w:r>
    </w:p>
    <w:p w:rsidR="000A1D82" w:rsidP="000A1D82" w14:paraId="790E9621" w14:textId="3634FC86">
      <w:pPr>
        <w:spacing w:after="120" w:line="240" w:lineRule="auto"/>
      </w:pPr>
      <w:r>
        <w:t>*</w:t>
      </w:r>
      <w:r>
        <w:t>Appendix F: Lead Letters and Fact Sheets</w:t>
      </w:r>
    </w:p>
    <w:p w:rsidR="000A1D82" w:rsidP="000A1D82" w14:paraId="3D7D1B9D" w14:textId="3089396E">
      <w:pPr>
        <w:spacing w:after="120" w:line="240" w:lineRule="auto"/>
        <w:rPr>
          <w:rFonts w:cstheme="minorHAnsi"/>
        </w:rPr>
      </w:pPr>
      <w:r>
        <w:t>*</w:t>
      </w:r>
      <w:r w:rsidRPr="00A005B2">
        <w:rPr>
          <w:rFonts w:cstheme="minorHAnsi"/>
        </w:rPr>
        <w:t>Appendix F-1: Adolescent Fact Sheet</w:t>
      </w:r>
    </w:p>
    <w:p w:rsidR="00511348" w:rsidP="00511348" w14:paraId="64F1B5A8" w14:textId="0FD19BF8">
      <w:pPr>
        <w:spacing w:after="120"/>
      </w:pPr>
      <w:r>
        <w:t>*</w:t>
      </w:r>
      <w:r w:rsidR="003C4838">
        <w:t>Appendix F-2: Remote Lead Letters and Fact Sheets</w:t>
      </w:r>
      <w:r>
        <w:t xml:space="preserve"> (</w:t>
      </w:r>
      <w:r w:rsidRPr="00812D39">
        <w:rPr>
          <w:i/>
          <w:iCs/>
        </w:rPr>
        <w:t>Revisions included with this request</w:t>
      </w:r>
      <w:r w:rsidRPr="00812D39">
        <w:t>)</w:t>
      </w:r>
    </w:p>
    <w:p w:rsidR="00511348" w:rsidP="00511348" w14:paraId="17C69ADC" w14:textId="2E394DC5">
      <w:pPr>
        <w:spacing w:after="120"/>
      </w:pPr>
      <w:r>
        <w:t>*</w:t>
      </w:r>
      <w:r w:rsidRPr="00A005B2" w:rsidR="003C4838">
        <w:rPr>
          <w:rFonts w:cstheme="minorHAnsi"/>
        </w:rPr>
        <w:t>Appendix F-</w:t>
      </w:r>
      <w:r w:rsidR="003C4838">
        <w:rPr>
          <w:rFonts w:cstheme="minorHAnsi"/>
        </w:rPr>
        <w:t>2a</w:t>
      </w:r>
      <w:r w:rsidRPr="00A005B2" w:rsidR="003C4838">
        <w:rPr>
          <w:rFonts w:cstheme="minorHAnsi"/>
        </w:rPr>
        <w:t xml:space="preserve">: </w:t>
      </w:r>
      <w:r w:rsidR="003C4838">
        <w:rPr>
          <w:rFonts w:cstheme="minorHAnsi"/>
        </w:rPr>
        <w:t xml:space="preserve">Remote </w:t>
      </w:r>
      <w:r w:rsidRPr="00A005B2" w:rsidR="003C4838">
        <w:rPr>
          <w:rFonts w:cstheme="minorHAnsi"/>
        </w:rPr>
        <w:t>Adolescent Fact Sheet</w:t>
      </w:r>
      <w:r>
        <w:rPr>
          <w:rFonts w:cstheme="minorHAnsi"/>
        </w:rPr>
        <w:t xml:space="preserve"> </w:t>
      </w:r>
      <w:r>
        <w:t>(</w:t>
      </w:r>
      <w:r w:rsidRPr="00812D39">
        <w:rPr>
          <w:i/>
          <w:iCs/>
        </w:rPr>
        <w:t>Revisions included with this request</w:t>
      </w:r>
      <w:r w:rsidRPr="00812D39">
        <w:t>)</w:t>
      </w:r>
    </w:p>
    <w:p w:rsidR="000A1D82" w:rsidP="000A1D82" w14:paraId="3FA27BBB" w14:textId="31040B8B">
      <w:pPr>
        <w:spacing w:after="120" w:line="240" w:lineRule="auto"/>
      </w:pPr>
      <w:r>
        <w:t>*</w:t>
      </w:r>
      <w:r>
        <w:t xml:space="preserve">Appendix G: Consent and Assent Forms </w:t>
      </w:r>
    </w:p>
    <w:p w:rsidR="000A1D82" w:rsidP="000A1D82" w14:paraId="080167B0" w14:textId="00DB0EF0">
      <w:pPr>
        <w:spacing w:after="120" w:line="240" w:lineRule="auto"/>
        <w:rPr>
          <w:rFonts w:cstheme="minorHAnsi"/>
        </w:rPr>
      </w:pPr>
      <w:r>
        <w:t>*</w:t>
      </w:r>
      <w:r w:rsidRPr="00A005B2">
        <w:rPr>
          <w:rFonts w:cstheme="minorHAnsi"/>
        </w:rPr>
        <w:t xml:space="preserve">Appendix G-1: Caseworker Telephone Mode Consent Form </w:t>
      </w:r>
    </w:p>
    <w:p w:rsidR="003C4838" w:rsidP="003C4838" w14:paraId="020685E3" w14:textId="4C65BA55">
      <w:pPr>
        <w:spacing w:after="120" w:line="240" w:lineRule="auto"/>
      </w:pPr>
      <w:r>
        <w:t>*</w:t>
      </w:r>
      <w:r>
        <w:t xml:space="preserve">Appendix G-2: Remote Consent and Assent Forms </w:t>
      </w:r>
    </w:p>
    <w:p w:rsidR="000A1D82" w:rsidP="000A1D82" w14:paraId="577185A1" w14:textId="3791B0D9">
      <w:pPr>
        <w:spacing w:after="120" w:line="240" w:lineRule="auto"/>
      </w:pPr>
      <w:r>
        <w:t>*</w:t>
      </w:r>
      <w:r>
        <w:t xml:space="preserve">Appendix H: Data Linkage Forms </w:t>
      </w:r>
    </w:p>
    <w:p w:rsidR="003C4838" w:rsidP="003C4838" w14:paraId="4CAF2DD9" w14:textId="7597C5C9">
      <w:pPr>
        <w:spacing w:after="120" w:line="240" w:lineRule="auto"/>
      </w:pPr>
      <w:r>
        <w:t>*</w:t>
      </w:r>
      <w:r>
        <w:t xml:space="preserve">Appendix H-1: Remote Data Linkage Forms </w:t>
      </w:r>
    </w:p>
    <w:p w:rsidR="000A1D82" w:rsidP="000A1D82" w14:paraId="39206361" w14:textId="3D061EFB">
      <w:pPr>
        <w:spacing w:after="120" w:line="240" w:lineRule="auto"/>
      </w:pPr>
      <w:r>
        <w:t>*</w:t>
      </w:r>
      <w:r>
        <w:t>Appendix I: HIPAA Authorization Forms</w:t>
      </w:r>
    </w:p>
    <w:p w:rsidR="003C4838" w:rsidP="003C4838" w14:paraId="1A97568F" w14:textId="19C07193">
      <w:pPr>
        <w:spacing w:after="120" w:line="240" w:lineRule="auto"/>
      </w:pPr>
      <w:r>
        <w:t>*</w:t>
      </w:r>
      <w:r>
        <w:t>Appendix I-1 Remote HIPAA Authorization Forms</w:t>
      </w:r>
    </w:p>
    <w:p w:rsidR="0020618D" w:rsidP="0020618D" w14:paraId="424A8BE6" w14:textId="104CED85">
      <w:pPr>
        <w:spacing w:after="120" w:line="240" w:lineRule="auto"/>
      </w:pPr>
      <w:r>
        <w:t>*</w:t>
      </w:r>
      <w:r>
        <w:t xml:space="preserve">Appendix J: Panel Maintenance Letter </w:t>
      </w:r>
    </w:p>
    <w:p w:rsidR="0020618D" w:rsidRPr="0052165A" w:rsidP="0020618D" w14:paraId="40E5D9E9" w14:textId="0D791BDD">
      <w:pPr>
        <w:spacing w:after="120" w:line="240" w:lineRule="auto"/>
      </w:pPr>
      <w:r>
        <w:t>*</w:t>
      </w:r>
      <w:r>
        <w:t xml:space="preserve">Appendix K: Panel Maintenance Contact Card </w:t>
      </w:r>
    </w:p>
    <w:p w:rsidR="00B10654" w:rsidP="00B10654" w14:paraId="00B09C11" w14:textId="77777777">
      <w:pPr>
        <w:tabs>
          <w:tab w:val="left" w:pos="3600"/>
        </w:tabs>
        <w:spacing w:after="120" w:line="240" w:lineRule="auto"/>
        <w:rPr>
          <w:bCs/>
        </w:rPr>
      </w:pPr>
      <w:r>
        <w:rPr>
          <w:bCs/>
        </w:rPr>
        <w:t xml:space="preserve">Workforce ICR </w:t>
      </w:r>
      <w:r w:rsidRPr="00D97243">
        <w:rPr>
          <w:bCs/>
        </w:rPr>
        <w:t xml:space="preserve">Appendix A: </w:t>
      </w:r>
      <w:r>
        <w:rPr>
          <w:bCs/>
        </w:rPr>
        <w:t xml:space="preserve">NSCAW III Phase II Research Questions </w:t>
      </w:r>
    </w:p>
    <w:p w:rsidR="00B10654" w:rsidP="00B10654" w14:paraId="125FE37D" w14:textId="77777777">
      <w:pPr>
        <w:tabs>
          <w:tab w:val="left" w:pos="3600"/>
        </w:tabs>
        <w:spacing w:after="120" w:line="240" w:lineRule="auto"/>
        <w:rPr>
          <w:bCs/>
        </w:rPr>
      </w:pPr>
      <w:bookmarkStart w:id="3" w:name="_Hlk36223491"/>
      <w:r>
        <w:rPr>
          <w:bCs/>
        </w:rPr>
        <w:t xml:space="preserve">Workforce ICR Appendix B: </w:t>
      </w:r>
      <w:r w:rsidRPr="00D97243">
        <w:rPr>
          <w:bCs/>
        </w:rPr>
        <w:t xml:space="preserve">60-Day Federal Register Notice </w:t>
      </w:r>
    </w:p>
    <w:p w:rsidR="00B10654" w:rsidP="00B10654" w14:paraId="03A6E571" w14:textId="3CE7166F">
      <w:pPr>
        <w:tabs>
          <w:tab w:val="left" w:pos="3600"/>
        </w:tabs>
        <w:spacing w:after="120" w:line="240" w:lineRule="auto"/>
        <w:rPr>
          <w:bCs/>
        </w:rPr>
      </w:pPr>
      <w:r>
        <w:t>*</w:t>
      </w:r>
      <w:r>
        <w:rPr>
          <w:bCs/>
        </w:rPr>
        <w:t>Appendix L</w:t>
      </w:r>
      <w:r>
        <w:rPr>
          <w:bCs/>
        </w:rPr>
        <w:t>: NSCAW III Phase I-II Site Selection and Sampling</w:t>
      </w:r>
      <w:r w:rsidR="00EB0416">
        <w:rPr>
          <w:bCs/>
        </w:rPr>
        <w:t xml:space="preserve"> (Previously approved as </w:t>
      </w:r>
      <w:r w:rsidRPr="003C725E" w:rsidR="00EB0416">
        <w:rPr>
          <w:bCs/>
          <w:i/>
          <w:iCs/>
        </w:rPr>
        <w:t>Workforce ICR Appendix C</w:t>
      </w:r>
      <w:r w:rsidR="00EB0416">
        <w:rPr>
          <w:bCs/>
        </w:rPr>
        <w:t>)</w:t>
      </w:r>
    </w:p>
    <w:p w:rsidR="00B10654" w:rsidP="00B10654" w14:paraId="34BCD36A" w14:textId="77777777">
      <w:pPr>
        <w:spacing w:after="120" w:line="240" w:lineRule="auto"/>
        <w:rPr>
          <w:rFonts w:ascii="Calibri" w:hAnsi="Calibri" w:cs="Calibri"/>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D</w:t>
      </w:r>
      <w:r w:rsidRPr="00163A09">
        <w:rPr>
          <w:rFonts w:ascii="Calibri" w:hAnsi="Calibri" w:cs="Calibri"/>
          <w:bCs/>
        </w:rPr>
        <w:t xml:space="preserve">: </w:t>
      </w:r>
      <w:r>
        <w:rPr>
          <w:rFonts w:ascii="Calibri" w:hAnsi="Calibri" w:cs="Calibri"/>
          <w:bCs/>
        </w:rPr>
        <w:t>Research Questions and Constructs by Respondent Type</w:t>
      </w:r>
    </w:p>
    <w:p w:rsidR="00B10654" w:rsidP="00B10654" w14:paraId="4B0763E9" w14:textId="77777777">
      <w:pPr>
        <w:tabs>
          <w:tab w:val="left" w:pos="3600"/>
        </w:tabs>
        <w:spacing w:after="120" w:line="240" w:lineRule="auto"/>
        <w:rPr>
          <w:bCs/>
        </w:rPr>
      </w:pPr>
      <w:r w:rsidRPr="00D97243">
        <w:rPr>
          <w:bCs/>
        </w:rPr>
        <w:t xml:space="preserve">Instrument 1: </w:t>
      </w:r>
      <w:r>
        <w:rPr>
          <w:bCs/>
        </w:rPr>
        <w:t xml:space="preserve">Agency Director Survey </w:t>
      </w:r>
    </w:p>
    <w:p w:rsidR="00B10654" w:rsidP="00B10654" w14:paraId="7590AE08" w14:textId="77777777">
      <w:pPr>
        <w:tabs>
          <w:tab w:val="left" w:pos="3600"/>
        </w:tabs>
        <w:spacing w:after="120" w:line="240" w:lineRule="auto"/>
        <w:rPr>
          <w:bCs/>
        </w:rPr>
      </w:pPr>
      <w:r w:rsidRPr="00D97243">
        <w:rPr>
          <w:bCs/>
        </w:rPr>
        <w:t xml:space="preserve">Instrument </w:t>
      </w:r>
      <w:r>
        <w:rPr>
          <w:bCs/>
        </w:rPr>
        <w:t>2</w:t>
      </w:r>
      <w:r w:rsidRPr="00D97243">
        <w:rPr>
          <w:bCs/>
        </w:rPr>
        <w:t xml:space="preserve">: </w:t>
      </w:r>
      <w:r>
        <w:rPr>
          <w:bCs/>
        </w:rPr>
        <w:t xml:space="preserve">Supervisor Survey </w:t>
      </w:r>
    </w:p>
    <w:p w:rsidR="00B10654" w:rsidP="00B10654" w14:paraId="4A715CE5" w14:textId="77777777">
      <w:pPr>
        <w:tabs>
          <w:tab w:val="left" w:pos="3600"/>
        </w:tabs>
        <w:spacing w:after="120" w:line="240" w:lineRule="auto"/>
        <w:rPr>
          <w:bCs/>
        </w:rPr>
      </w:pPr>
      <w:r w:rsidRPr="00D97243">
        <w:rPr>
          <w:bCs/>
        </w:rPr>
        <w:t xml:space="preserve">Instrument </w:t>
      </w:r>
      <w:r>
        <w:rPr>
          <w:bCs/>
        </w:rPr>
        <w:t>3</w:t>
      </w:r>
      <w:r w:rsidRPr="00D97243">
        <w:rPr>
          <w:bCs/>
        </w:rPr>
        <w:t xml:space="preserve">: </w:t>
      </w:r>
      <w:r>
        <w:rPr>
          <w:bCs/>
        </w:rPr>
        <w:t xml:space="preserve">Caseworker Survey </w:t>
      </w:r>
    </w:p>
    <w:p w:rsidR="00B10654" w:rsidRPr="00163A09" w:rsidP="00B10654" w14:paraId="7A059DEC" w14:textId="7777777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E</w:t>
      </w:r>
      <w:r w:rsidRPr="00163A09">
        <w:rPr>
          <w:rFonts w:ascii="Calibri" w:hAnsi="Calibri" w:cs="Calibri"/>
          <w:bCs/>
        </w:rPr>
        <w:t xml:space="preserve"> </w:t>
      </w:r>
      <w:r>
        <w:rPr>
          <w:rFonts w:ascii="Calibri" w:hAnsi="Calibri" w:cs="Calibri"/>
          <w:bCs/>
        </w:rPr>
        <w:t xml:space="preserve">Agency Director </w:t>
      </w:r>
      <w:r w:rsidRPr="00163A09">
        <w:rPr>
          <w:bCs/>
        </w:rPr>
        <w:t xml:space="preserve">Lead Letter </w:t>
      </w:r>
    </w:p>
    <w:p w:rsidR="00B10654" w:rsidRPr="00163A09" w:rsidP="00B10654" w14:paraId="448853AE" w14:textId="77777777">
      <w:pPr>
        <w:spacing w:after="120" w:line="240" w:lineRule="auto"/>
        <w:rPr>
          <w:bCs/>
        </w:rPr>
      </w:pPr>
      <w:r>
        <w:rPr>
          <w:bCs/>
        </w:rPr>
        <w:t xml:space="preserve">Workforce ICR </w:t>
      </w:r>
      <w:r w:rsidRPr="00163A09">
        <w:rPr>
          <w:bCs/>
        </w:rPr>
        <w:t>Appendix</w:t>
      </w:r>
      <w:r>
        <w:rPr>
          <w:bCs/>
        </w:rPr>
        <w:t xml:space="preserve"> F</w:t>
      </w:r>
      <w:r w:rsidRPr="00163A09">
        <w:rPr>
          <w:bCs/>
        </w:rPr>
        <w:t xml:space="preserve">: </w:t>
      </w:r>
      <w:r>
        <w:rPr>
          <w:bCs/>
        </w:rPr>
        <w:t xml:space="preserve">Supervisor Lead Letter </w:t>
      </w:r>
    </w:p>
    <w:p w:rsidR="00B10654" w:rsidP="00B10654" w14:paraId="3CFF183F"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G</w:t>
      </w:r>
      <w:r w:rsidRPr="00163A09">
        <w:rPr>
          <w:rFonts w:ascii="Calibri" w:hAnsi="Calibri" w:cs="Calibri"/>
          <w:bCs/>
        </w:rPr>
        <w:t xml:space="preserve">: </w:t>
      </w:r>
      <w:r>
        <w:rPr>
          <w:rFonts w:ascii="Calibri" w:hAnsi="Calibri" w:cs="Calibri"/>
          <w:bCs/>
        </w:rPr>
        <w:t xml:space="preserve">Caseworker Lead Letter </w:t>
      </w:r>
    </w:p>
    <w:p w:rsidR="00B10654" w:rsidRPr="00163A09" w:rsidP="00B10654" w14:paraId="21520128" w14:textId="77777777">
      <w:pPr>
        <w:spacing w:after="120" w:line="240" w:lineRule="auto"/>
        <w:rPr>
          <w:b/>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H</w:t>
      </w:r>
      <w:r w:rsidRPr="00163A09">
        <w:rPr>
          <w:rFonts w:ascii="Calibri" w:hAnsi="Calibri" w:cs="Calibri"/>
          <w:bCs/>
        </w:rPr>
        <w:t xml:space="preserve">: </w:t>
      </w:r>
      <w:r>
        <w:rPr>
          <w:rFonts w:ascii="Calibri" w:hAnsi="Calibri" w:cs="Calibri"/>
          <w:bCs/>
        </w:rPr>
        <w:t xml:space="preserve">Agency Director Consent Form </w:t>
      </w:r>
    </w:p>
    <w:p w:rsidR="00B10654" w:rsidRPr="00163A09" w:rsidP="00B10654" w14:paraId="62030DF5" w14:textId="77777777">
      <w:pPr>
        <w:spacing w:after="120" w:line="240" w:lineRule="auto"/>
        <w:rPr>
          <w:bCs/>
        </w:rPr>
      </w:pPr>
      <w:r>
        <w:rPr>
          <w:bCs/>
        </w:rPr>
        <w:t xml:space="preserve">Workforce ICR </w:t>
      </w:r>
      <w:r w:rsidRPr="00163A09">
        <w:rPr>
          <w:bCs/>
        </w:rPr>
        <w:t>Appendix</w:t>
      </w:r>
      <w:r>
        <w:rPr>
          <w:bCs/>
        </w:rPr>
        <w:t xml:space="preserve"> I</w:t>
      </w:r>
      <w:r w:rsidRPr="00163A09">
        <w:rPr>
          <w:bCs/>
        </w:rPr>
        <w:t xml:space="preserve">: </w:t>
      </w:r>
      <w:r>
        <w:rPr>
          <w:bCs/>
        </w:rPr>
        <w:t xml:space="preserve">Supervisor </w:t>
      </w:r>
      <w:r w:rsidRPr="00163A09">
        <w:rPr>
          <w:bCs/>
        </w:rPr>
        <w:t xml:space="preserve">Consent Form </w:t>
      </w:r>
    </w:p>
    <w:p w:rsidR="00B10654" w:rsidP="00B10654" w14:paraId="2A3B5336" w14:textId="77777777">
      <w:pPr>
        <w:spacing w:after="120" w:line="240" w:lineRule="auto"/>
        <w:rPr>
          <w:bCs/>
        </w:rPr>
      </w:pPr>
      <w:r>
        <w:rPr>
          <w:bCs/>
        </w:rPr>
        <w:t xml:space="preserve">Workforce ICR </w:t>
      </w:r>
      <w:r w:rsidRPr="00163A09">
        <w:rPr>
          <w:bCs/>
        </w:rPr>
        <w:t>Appendix</w:t>
      </w:r>
      <w:r w:rsidRPr="00163A09">
        <w:rPr>
          <w:rFonts w:ascii="Calibri" w:hAnsi="Calibri" w:cs="Calibri"/>
          <w:bCs/>
        </w:rPr>
        <w:t xml:space="preserve"> </w:t>
      </w:r>
      <w:r>
        <w:rPr>
          <w:rFonts w:ascii="Calibri" w:hAnsi="Calibri" w:cs="Calibri"/>
          <w:bCs/>
        </w:rPr>
        <w:t>J</w:t>
      </w:r>
      <w:r w:rsidRPr="00163A09">
        <w:rPr>
          <w:rFonts w:ascii="Calibri" w:hAnsi="Calibri" w:cs="Calibri"/>
          <w:bCs/>
        </w:rPr>
        <w:t xml:space="preserve">: </w:t>
      </w:r>
      <w:r>
        <w:rPr>
          <w:rFonts w:ascii="Calibri" w:hAnsi="Calibri" w:cs="Calibri"/>
          <w:bCs/>
        </w:rPr>
        <w:t xml:space="preserve">Caseworker Consent Form </w:t>
      </w:r>
    </w:p>
    <w:p w:rsidR="00C41079" w14:paraId="40F404FA" w14:textId="1278723A">
      <w:r>
        <w:br w:type="page"/>
      </w:r>
    </w:p>
    <w:p w:rsidR="00B10654" w:rsidP="00B10654" w14:paraId="31C2C6C1" w14:textId="77777777"/>
    <w:bookmarkEnd w:id="3"/>
    <w:p w:rsidR="00083227" w:rsidP="007C3BE1" w14:paraId="44A21B93" w14:textId="69CEA135">
      <w:pPr>
        <w:jc w:val="center"/>
        <w:rPr>
          <w:b/>
          <w:bCs/>
        </w:rPr>
      </w:pPr>
      <w:r w:rsidRPr="007C3BE1">
        <w:rPr>
          <w:b/>
          <w:bCs/>
        </w:rPr>
        <w:t>References</w:t>
      </w:r>
    </w:p>
    <w:p w:rsidR="007C3BE1" w:rsidRPr="007C3BE1" w:rsidP="007C3BE1" w14:paraId="6E275489" w14:textId="77777777">
      <w:pPr>
        <w:pStyle w:val="EndNoteBibliography"/>
        <w:spacing w:after="0"/>
        <w:ind w:left="720" w:hanging="720"/>
        <w:rPr>
          <w:rFonts w:asciiTheme="minorHAnsi" w:hAnsiTheme="minorHAnsi" w:cstheme="minorHAnsi"/>
        </w:rPr>
      </w:pPr>
      <w:bookmarkStart w:id="4" w:name="_ENREF_1"/>
      <w:bookmarkStart w:id="5" w:name="_Hlk32220080"/>
      <w:r w:rsidRPr="007C3BE1">
        <w:rPr>
          <w:rFonts w:asciiTheme="minorHAnsi" w:hAnsiTheme="minorHAnsi" w:cstheme="minorHAnsi"/>
        </w:rPr>
        <w:t xml:space="preserve">Bai, Y., Wells, R., &amp; </w:t>
      </w:r>
      <w:r w:rsidRPr="007C3BE1">
        <w:rPr>
          <w:rFonts w:asciiTheme="minorHAnsi" w:hAnsiTheme="minorHAnsi" w:cstheme="minorHAnsi"/>
        </w:rPr>
        <w:t>Hillemeier</w:t>
      </w:r>
      <w:r w:rsidRPr="007C3BE1">
        <w:rPr>
          <w:rFonts w:asciiTheme="minorHAnsi" w:hAnsiTheme="minorHAnsi" w:cstheme="minorHAnsi"/>
        </w:rPr>
        <w:t>, M. M. (2009). Coordination between child welfare agencies</w:t>
      </w:r>
      <w:bookmarkEnd w:id="4"/>
      <w:r w:rsidRPr="007C3BE1">
        <w:rPr>
          <w:rFonts w:asciiTheme="minorHAnsi" w:hAnsiTheme="minorHAnsi" w:cstheme="minorHAnsi"/>
        </w:rPr>
        <w:t xml:space="preserve"> </w:t>
      </w:r>
    </w:p>
    <w:p w:rsidR="007C3BE1" w:rsidRPr="007C3BE1" w:rsidP="007C3BE1" w14:paraId="75E2F437" w14:textId="77777777">
      <w:pPr>
        <w:pStyle w:val="EndNoteBibliography"/>
        <w:spacing w:after="0"/>
        <w:ind w:left="720" w:hanging="720"/>
        <w:rPr>
          <w:rFonts w:asciiTheme="minorHAnsi" w:hAnsiTheme="minorHAnsi" w:cstheme="minorHAnsi"/>
          <w:i/>
          <w:iCs/>
        </w:rPr>
      </w:pPr>
      <w:r w:rsidRPr="007C3BE1">
        <w:rPr>
          <w:rFonts w:asciiTheme="minorHAnsi" w:hAnsiTheme="minorHAnsi" w:cstheme="minorHAnsi"/>
        </w:rPr>
        <w:t xml:space="preserve">and mental health service providers, children's service use, and outcomes. </w:t>
      </w:r>
      <w:r w:rsidRPr="007C3BE1">
        <w:rPr>
          <w:rFonts w:asciiTheme="minorHAnsi" w:hAnsiTheme="minorHAnsi" w:cstheme="minorHAnsi"/>
          <w:i/>
          <w:iCs/>
        </w:rPr>
        <w:t xml:space="preserve">Child abuse &amp; neglect, </w:t>
      </w:r>
    </w:p>
    <w:p w:rsidR="007C3BE1" w:rsidRPr="007C3BE1" w:rsidP="007C3BE1" w14:paraId="1EBFEA47" w14:textId="77777777">
      <w:pPr>
        <w:pStyle w:val="EndNoteBibliography"/>
        <w:spacing w:after="0"/>
        <w:ind w:left="720" w:hanging="720"/>
        <w:rPr>
          <w:rFonts w:asciiTheme="minorHAnsi" w:hAnsiTheme="minorHAnsi" w:cstheme="minorHAnsi"/>
          <w:sz w:val="24"/>
          <w:szCs w:val="24"/>
        </w:rPr>
      </w:pPr>
      <w:r w:rsidRPr="007C3BE1">
        <w:rPr>
          <w:rFonts w:asciiTheme="minorHAnsi" w:hAnsiTheme="minorHAnsi" w:cstheme="minorHAnsi"/>
          <w:i/>
          <w:iCs/>
        </w:rPr>
        <w:t>33</w:t>
      </w:r>
      <w:r w:rsidRPr="007C3BE1">
        <w:rPr>
          <w:rFonts w:asciiTheme="minorHAnsi" w:hAnsiTheme="minorHAnsi" w:cstheme="minorHAnsi"/>
        </w:rPr>
        <w:t>(6), 372-381.</w:t>
      </w:r>
      <w:r w:rsidRPr="007C3BE1">
        <w:rPr>
          <w:rFonts w:asciiTheme="minorHAnsi" w:hAnsiTheme="minorHAnsi" w:cstheme="minorHAnsi"/>
          <w:sz w:val="24"/>
          <w:szCs w:val="24"/>
        </w:rPr>
        <w:t xml:space="preserve"> </w:t>
      </w:r>
    </w:p>
    <w:p w:rsidR="007C3BE1" w:rsidRPr="007C3BE1" w:rsidP="007C3BE1" w14:paraId="564262D6" w14:textId="77777777">
      <w:pPr>
        <w:spacing w:after="0" w:line="240" w:lineRule="auto"/>
        <w:rPr>
          <w:rFonts w:cstheme="minorHAnsi"/>
        </w:rPr>
      </w:pPr>
    </w:p>
    <w:p w:rsidR="007C3BE1" w:rsidRPr="00012562" w:rsidP="007C3BE1" w14:paraId="370B63BE" w14:textId="438B68DB">
      <w:pPr>
        <w:spacing w:after="0" w:line="240" w:lineRule="auto"/>
        <w:rPr>
          <w:rFonts w:cstheme="minorHAnsi"/>
        </w:rPr>
      </w:pPr>
      <w:r w:rsidRPr="00E15574">
        <w:rPr>
          <w:rFonts w:cstheme="minorHAnsi"/>
        </w:rPr>
        <w:t xml:space="preserve">Biemer, P., Christ, S., &amp; </w:t>
      </w:r>
      <w:r w:rsidRPr="00E15574">
        <w:rPr>
          <w:rFonts w:cstheme="minorHAnsi"/>
        </w:rPr>
        <w:t>Weisen</w:t>
      </w:r>
      <w:r w:rsidRPr="00E15574">
        <w:rPr>
          <w:rFonts w:cstheme="minorHAnsi"/>
        </w:rPr>
        <w:t xml:space="preserve">, C. (2009). A general approach for estimating scale score reliability for panel survey data. </w:t>
      </w:r>
      <w:r w:rsidRPr="00012562">
        <w:rPr>
          <w:rFonts w:cstheme="minorHAnsi"/>
          <w:i/>
          <w:iCs/>
        </w:rPr>
        <w:t>Psychological Methods</w:t>
      </w:r>
      <w:r w:rsidRPr="00012562">
        <w:rPr>
          <w:rFonts w:cstheme="minorHAnsi"/>
        </w:rPr>
        <w:t xml:space="preserve">, </w:t>
      </w:r>
      <w:r w:rsidRPr="00012562">
        <w:rPr>
          <w:rFonts w:cstheme="minorHAnsi"/>
          <w:i/>
          <w:iCs/>
        </w:rPr>
        <w:t>14</w:t>
      </w:r>
      <w:r w:rsidRPr="00012562">
        <w:rPr>
          <w:rFonts w:cstheme="minorHAnsi"/>
        </w:rPr>
        <w:t>(4), 400–412</w:t>
      </w:r>
      <w:bookmarkEnd w:id="5"/>
      <w:r w:rsidRPr="00012562">
        <w:rPr>
          <w:rFonts w:cstheme="minorHAnsi"/>
        </w:rPr>
        <w:t>.</w:t>
      </w:r>
    </w:p>
    <w:p w:rsidR="007C3BE1" w:rsidRPr="00012562" w:rsidP="007C3BE1" w14:paraId="112D0AD1" w14:textId="77777777">
      <w:pPr>
        <w:spacing w:after="0" w:line="240" w:lineRule="auto"/>
        <w:rPr>
          <w:rFonts w:cstheme="minorHAnsi"/>
        </w:rPr>
      </w:pPr>
    </w:p>
    <w:p w:rsidR="007C3BE1" w:rsidRPr="00E637F6" w:rsidP="007C3BE1" w14:paraId="7B248285" w14:textId="5AABF042">
      <w:pPr>
        <w:spacing w:after="0" w:line="240" w:lineRule="auto"/>
        <w:rPr>
          <w:rFonts w:cstheme="minorHAnsi"/>
        </w:rPr>
      </w:pPr>
      <w:r w:rsidRPr="00E637F6">
        <w:rPr>
          <w:rFonts w:cstheme="minorHAnsi"/>
        </w:rPr>
        <w:t xml:space="preserve">Folsom, R. E., &amp; Singh, A. C. (2000). The generalized exponential model for sampling weight calibration for extreme values, nonresponse, and poststratification. In </w:t>
      </w:r>
      <w:r w:rsidRPr="00E637F6">
        <w:rPr>
          <w:rStyle w:val="Emphasis"/>
          <w:rFonts w:cstheme="minorHAnsi"/>
        </w:rPr>
        <w:t>Proceedings of the 2000 Joint Statistical Meetings, American Statistical Association, Survey Research Methods Section, Indianapolis, IN</w:t>
      </w:r>
      <w:r w:rsidRPr="00E637F6">
        <w:rPr>
          <w:rFonts w:cstheme="minorHAnsi"/>
        </w:rPr>
        <w:t xml:space="preserve"> (pp. 598–603). Alexandria, VA: American Statistical Association.</w:t>
      </w:r>
    </w:p>
    <w:p w:rsidR="007C3BE1" w:rsidRPr="007C3BE1" w:rsidP="007C3BE1" w14:paraId="1E6999DA" w14:textId="77777777">
      <w:pPr>
        <w:autoSpaceDE w:val="0"/>
        <w:autoSpaceDN w:val="0"/>
        <w:spacing w:after="0" w:line="240" w:lineRule="auto"/>
        <w:rPr>
          <w:rFonts w:cstheme="minorHAnsi"/>
        </w:rPr>
      </w:pPr>
    </w:p>
    <w:p w:rsidR="007C3BE1" w:rsidRPr="007C3BE1" w:rsidP="007C3BE1" w14:paraId="06BAF577" w14:textId="72FE3CA6">
      <w:pPr>
        <w:autoSpaceDE w:val="0"/>
        <w:autoSpaceDN w:val="0"/>
        <w:spacing w:after="0" w:line="240" w:lineRule="auto"/>
        <w:rPr>
          <w:rFonts w:cstheme="minorHAnsi"/>
        </w:rPr>
      </w:pPr>
      <w:r w:rsidRPr="007C3BE1">
        <w:rPr>
          <w:rFonts w:cstheme="minorHAnsi"/>
        </w:rPr>
        <w:t xml:space="preserve">Jacobson, N.S. &amp; Truax, P. (1991). Clinical significance: A statistical approach to defining meaningful change in psychotherapy research. </w:t>
      </w:r>
      <w:r w:rsidRPr="007C3BE1">
        <w:rPr>
          <w:rFonts w:cstheme="minorHAnsi"/>
          <w:i/>
          <w:iCs/>
        </w:rPr>
        <w:t>Journal of Consulting and Clinical Psychology</w:t>
      </w:r>
      <w:r w:rsidRPr="007C3BE1">
        <w:rPr>
          <w:rFonts w:cstheme="minorHAnsi"/>
        </w:rPr>
        <w:t xml:space="preserve">, </w:t>
      </w:r>
      <w:r w:rsidRPr="007C3BE1">
        <w:rPr>
          <w:rFonts w:cstheme="minorHAnsi"/>
          <w:i/>
          <w:iCs/>
        </w:rPr>
        <w:t>59</w:t>
      </w:r>
      <w:r w:rsidRPr="007C3BE1">
        <w:rPr>
          <w:rFonts w:cstheme="minorHAnsi"/>
        </w:rPr>
        <w:t>, 12–19.</w:t>
      </w:r>
    </w:p>
    <w:p w:rsidR="007C3BE1" w:rsidP="007C3BE1" w14:paraId="79772120" w14:textId="77777777"/>
    <w:p w:rsidR="007C3BE1" w:rsidRPr="007C3BE1" w:rsidP="007C3BE1" w14:paraId="786046E5" w14:textId="77777777">
      <w:pPr>
        <w:rPr>
          <w:b/>
          <w:bCs/>
        </w:rPr>
      </w:pP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C76EDD" w14:paraId="03A5A331" w14:textId="2407F6C1">
        <w:pPr>
          <w:pStyle w:val="Footer"/>
          <w:jc w:val="right"/>
        </w:pPr>
        <w:r>
          <w:fldChar w:fldCharType="begin"/>
        </w:r>
        <w:r>
          <w:instrText xml:space="preserve"> PAGE   \* MERGEFORMAT </w:instrText>
        </w:r>
        <w:r>
          <w:fldChar w:fldCharType="separate"/>
        </w:r>
        <w:r w:rsidR="008E413C">
          <w:rPr>
            <w:noProof/>
          </w:rPr>
          <w:t>3</w:t>
        </w:r>
        <w:r>
          <w:rPr>
            <w:noProof/>
          </w:rPr>
          <w:fldChar w:fldCharType="end"/>
        </w:r>
      </w:p>
    </w:sdtContent>
  </w:sdt>
  <w:p w:rsidR="00C76EDD" w14:paraId="04723F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EDD"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C76EDD"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D16112"/>
    <w:multiLevelType w:val="hybridMultilevel"/>
    <w:tmpl w:val="7C2ACC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
    <w:nsid w:val="079056ED"/>
    <w:multiLevelType w:val="multilevel"/>
    <w:tmpl w:val="1CE0304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C2086A"/>
    <w:multiLevelType w:val="hybridMultilevel"/>
    <w:tmpl w:val="E69EF3C6"/>
    <w:lvl w:ilvl="0">
      <w:start w:val="1"/>
      <w:numFmt w:val="bullet"/>
      <w:lvlText w:val=""/>
      <w:lvlJc w:val="left"/>
      <w:pPr>
        <w:ind w:left="765" w:hanging="360"/>
      </w:pPr>
      <w:rPr>
        <w:rFonts w:ascii="Symbol" w:hAnsi="Symbol" w:cs="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cs="Wingdings" w:hint="default"/>
      </w:rPr>
    </w:lvl>
    <w:lvl w:ilvl="3" w:tentative="1">
      <w:start w:val="1"/>
      <w:numFmt w:val="bullet"/>
      <w:lvlText w:val=""/>
      <w:lvlJc w:val="left"/>
      <w:pPr>
        <w:ind w:left="2925" w:hanging="360"/>
      </w:pPr>
      <w:rPr>
        <w:rFonts w:ascii="Symbol" w:hAnsi="Symbol" w:cs="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cs="Wingdings" w:hint="default"/>
      </w:rPr>
    </w:lvl>
    <w:lvl w:ilvl="6" w:tentative="1">
      <w:start w:val="1"/>
      <w:numFmt w:val="bullet"/>
      <w:lvlText w:val=""/>
      <w:lvlJc w:val="left"/>
      <w:pPr>
        <w:ind w:left="5085" w:hanging="360"/>
      </w:pPr>
      <w:rPr>
        <w:rFonts w:ascii="Symbol" w:hAnsi="Symbol" w:cs="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cs="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40B0AD4"/>
    <w:multiLevelType w:val="multilevel"/>
    <w:tmpl w:val="B04CF1F0"/>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110" w:hanging="720"/>
      </w:pPr>
      <w:rPr>
        <w:rFonts w:hint="default"/>
      </w:rPr>
    </w:lvl>
    <w:lvl w:ilvl="2">
      <w:start w:val="1"/>
      <w:numFmt w:val="decimal"/>
      <w:pStyle w:val="Heading3"/>
      <w:lvlText w:val="%1.%2.%3"/>
      <w:lvlJc w:val="left"/>
      <w:pPr>
        <w:ind w:left="-639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423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2430" w:hanging="1800"/>
      </w:pPr>
      <w:rPr>
        <w:rFonts w:hint="default"/>
      </w:rPr>
    </w:lvl>
    <w:lvl w:ilvl="7">
      <w:start w:val="1"/>
      <w:numFmt w:val="decimal"/>
      <w:lvlText w:val="%1.%2.%3.%4.%5.%6.%7.%8"/>
      <w:lvlJc w:val="left"/>
      <w:pPr>
        <w:ind w:left="-1350" w:hanging="2160"/>
      </w:pPr>
      <w:rPr>
        <w:rFonts w:hint="default"/>
      </w:rPr>
    </w:lvl>
    <w:lvl w:ilvl="8">
      <w:start w:val="1"/>
      <w:numFmt w:val="decimal"/>
      <w:lvlText w:val="%1.%2.%3.%4.%5.%6.%7.%8.%9"/>
      <w:lvlJc w:val="left"/>
      <w:pPr>
        <w:ind w:left="-270" w:hanging="2520"/>
      </w:pPr>
      <w:rPr>
        <w:rFonts w:hint="default"/>
      </w:rPr>
    </w:lvl>
  </w:abstractNum>
  <w:abstractNum w:abstractNumId="2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5135540">
    <w:abstractNumId w:val="7"/>
  </w:num>
  <w:num w:numId="2" w16cid:durableId="1077172411">
    <w:abstractNumId w:val="19"/>
  </w:num>
  <w:num w:numId="3" w16cid:durableId="832721380">
    <w:abstractNumId w:val="6"/>
  </w:num>
  <w:num w:numId="4" w16cid:durableId="1072267100">
    <w:abstractNumId w:val="24"/>
  </w:num>
  <w:num w:numId="5" w16cid:durableId="1707678719">
    <w:abstractNumId w:val="15"/>
  </w:num>
  <w:num w:numId="6" w16cid:durableId="1857957635">
    <w:abstractNumId w:val="31"/>
  </w:num>
  <w:num w:numId="7" w16cid:durableId="1654873483">
    <w:abstractNumId w:val="5"/>
  </w:num>
  <w:num w:numId="8" w16cid:durableId="1404446527">
    <w:abstractNumId w:val="10"/>
  </w:num>
  <w:num w:numId="9" w16cid:durableId="401608126">
    <w:abstractNumId w:val="14"/>
  </w:num>
  <w:num w:numId="10" w16cid:durableId="144709986">
    <w:abstractNumId w:val="30"/>
  </w:num>
  <w:num w:numId="11" w16cid:durableId="48311504">
    <w:abstractNumId w:val="33"/>
  </w:num>
  <w:num w:numId="12" w16cid:durableId="769545443">
    <w:abstractNumId w:val="27"/>
  </w:num>
  <w:num w:numId="13" w16cid:durableId="139466334">
    <w:abstractNumId w:val="23"/>
  </w:num>
  <w:num w:numId="14" w16cid:durableId="1661347637">
    <w:abstractNumId w:val="29"/>
  </w:num>
  <w:num w:numId="15" w16cid:durableId="1282148471">
    <w:abstractNumId w:val="16"/>
  </w:num>
  <w:num w:numId="16" w16cid:durableId="1605921229">
    <w:abstractNumId w:val="22"/>
  </w:num>
  <w:num w:numId="17" w16cid:durableId="538978490">
    <w:abstractNumId w:val="12"/>
  </w:num>
  <w:num w:numId="18" w16cid:durableId="290212226">
    <w:abstractNumId w:val="9"/>
  </w:num>
  <w:num w:numId="19" w16cid:durableId="1651596813">
    <w:abstractNumId w:val="8"/>
  </w:num>
  <w:num w:numId="20" w16cid:durableId="1508710919">
    <w:abstractNumId w:val="21"/>
  </w:num>
  <w:num w:numId="21" w16cid:durableId="1945576327">
    <w:abstractNumId w:val="0"/>
  </w:num>
  <w:num w:numId="22" w16cid:durableId="2000620151">
    <w:abstractNumId w:val="3"/>
  </w:num>
  <w:num w:numId="23" w16cid:durableId="1620986716">
    <w:abstractNumId w:val="17"/>
  </w:num>
  <w:num w:numId="24" w16cid:durableId="1108551154">
    <w:abstractNumId w:val="4"/>
  </w:num>
  <w:num w:numId="25" w16cid:durableId="1473210998">
    <w:abstractNumId w:val="11"/>
  </w:num>
  <w:num w:numId="26" w16cid:durableId="1526361556">
    <w:abstractNumId w:val="20"/>
  </w:num>
  <w:num w:numId="27" w16cid:durableId="1829440834">
    <w:abstractNumId w:val="32"/>
  </w:num>
  <w:num w:numId="28" w16cid:durableId="1746151127">
    <w:abstractNumId w:val="26"/>
  </w:num>
  <w:num w:numId="29" w16cid:durableId="759987500">
    <w:abstractNumId w:val="18"/>
  </w:num>
  <w:num w:numId="30" w16cid:durableId="2128813207">
    <w:abstractNumId w:val="2"/>
  </w:num>
  <w:num w:numId="31" w16cid:durableId="931553484">
    <w:abstractNumId w:val="28"/>
  </w:num>
  <w:num w:numId="32" w16cid:durableId="1505630702">
    <w:abstractNumId w:val="1"/>
  </w:num>
  <w:num w:numId="33" w16cid:durableId="589119028">
    <w:abstractNumId w:val="13"/>
  </w:num>
  <w:num w:numId="34" w16cid:durableId="2034264242">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D60"/>
    <w:rsid w:val="00011383"/>
    <w:rsid w:val="0001255D"/>
    <w:rsid w:val="00012562"/>
    <w:rsid w:val="00012E3F"/>
    <w:rsid w:val="00017574"/>
    <w:rsid w:val="0002347E"/>
    <w:rsid w:val="00027A38"/>
    <w:rsid w:val="00027E79"/>
    <w:rsid w:val="00031838"/>
    <w:rsid w:val="00031DB0"/>
    <w:rsid w:val="00037900"/>
    <w:rsid w:val="0004063C"/>
    <w:rsid w:val="00041DCA"/>
    <w:rsid w:val="0004247F"/>
    <w:rsid w:val="00044153"/>
    <w:rsid w:val="00044256"/>
    <w:rsid w:val="0004535D"/>
    <w:rsid w:val="00057F96"/>
    <w:rsid w:val="00062A91"/>
    <w:rsid w:val="00062AFB"/>
    <w:rsid w:val="000655DD"/>
    <w:rsid w:val="000674F6"/>
    <w:rsid w:val="00071F79"/>
    <w:rsid w:val="0007251B"/>
    <w:rsid w:val="000733A5"/>
    <w:rsid w:val="0007439C"/>
    <w:rsid w:val="00074F32"/>
    <w:rsid w:val="00082C5B"/>
    <w:rsid w:val="00083227"/>
    <w:rsid w:val="00086CBE"/>
    <w:rsid w:val="000903B7"/>
    <w:rsid w:val="00090812"/>
    <w:rsid w:val="000921F0"/>
    <w:rsid w:val="00093BF8"/>
    <w:rsid w:val="0009466E"/>
    <w:rsid w:val="000A012A"/>
    <w:rsid w:val="000A1D82"/>
    <w:rsid w:val="000A61EC"/>
    <w:rsid w:val="000C0093"/>
    <w:rsid w:val="000C3EB6"/>
    <w:rsid w:val="000D4E9A"/>
    <w:rsid w:val="000D7D44"/>
    <w:rsid w:val="000E1045"/>
    <w:rsid w:val="000E1A04"/>
    <w:rsid w:val="000E3C78"/>
    <w:rsid w:val="000E6D1B"/>
    <w:rsid w:val="000E6F76"/>
    <w:rsid w:val="000E7629"/>
    <w:rsid w:val="000F0FF6"/>
    <w:rsid w:val="000F1E4A"/>
    <w:rsid w:val="000F6620"/>
    <w:rsid w:val="00100D34"/>
    <w:rsid w:val="001021E5"/>
    <w:rsid w:val="00103EFD"/>
    <w:rsid w:val="001062D3"/>
    <w:rsid w:val="00107D87"/>
    <w:rsid w:val="00112718"/>
    <w:rsid w:val="001163E8"/>
    <w:rsid w:val="001222D2"/>
    <w:rsid w:val="00123BA1"/>
    <w:rsid w:val="001253F4"/>
    <w:rsid w:val="00144878"/>
    <w:rsid w:val="00144975"/>
    <w:rsid w:val="001452E0"/>
    <w:rsid w:val="00147B20"/>
    <w:rsid w:val="00147C2B"/>
    <w:rsid w:val="00153C63"/>
    <w:rsid w:val="001562D2"/>
    <w:rsid w:val="00157178"/>
    <w:rsid w:val="00157482"/>
    <w:rsid w:val="00163A09"/>
    <w:rsid w:val="00163D1F"/>
    <w:rsid w:val="001707D8"/>
    <w:rsid w:val="001710DA"/>
    <w:rsid w:val="00171A09"/>
    <w:rsid w:val="00173000"/>
    <w:rsid w:val="001855A8"/>
    <w:rsid w:val="00195A33"/>
    <w:rsid w:val="00196A24"/>
    <w:rsid w:val="001A4694"/>
    <w:rsid w:val="001A59B6"/>
    <w:rsid w:val="001A649B"/>
    <w:rsid w:val="001A6F06"/>
    <w:rsid w:val="001B0A76"/>
    <w:rsid w:val="001B113E"/>
    <w:rsid w:val="001B4585"/>
    <w:rsid w:val="001B6719"/>
    <w:rsid w:val="001C7AD3"/>
    <w:rsid w:val="001D5859"/>
    <w:rsid w:val="001D7031"/>
    <w:rsid w:val="001F57F5"/>
    <w:rsid w:val="001F7EE8"/>
    <w:rsid w:val="0020401C"/>
    <w:rsid w:val="0020550C"/>
    <w:rsid w:val="0020618D"/>
    <w:rsid w:val="0020629A"/>
    <w:rsid w:val="00206E11"/>
    <w:rsid w:val="00206E79"/>
    <w:rsid w:val="00206FE3"/>
    <w:rsid w:val="00207554"/>
    <w:rsid w:val="002109C4"/>
    <w:rsid w:val="00211261"/>
    <w:rsid w:val="002214BD"/>
    <w:rsid w:val="00223F70"/>
    <w:rsid w:val="00230F8B"/>
    <w:rsid w:val="002327A4"/>
    <w:rsid w:val="00233B70"/>
    <w:rsid w:val="002517BB"/>
    <w:rsid w:val="00256E24"/>
    <w:rsid w:val="00265491"/>
    <w:rsid w:val="0027442F"/>
    <w:rsid w:val="00276CE2"/>
    <w:rsid w:val="00281C64"/>
    <w:rsid w:val="0028589C"/>
    <w:rsid w:val="0028744E"/>
    <w:rsid w:val="00287AF1"/>
    <w:rsid w:val="00292087"/>
    <w:rsid w:val="00295DE0"/>
    <w:rsid w:val="002A41C6"/>
    <w:rsid w:val="002A6C0C"/>
    <w:rsid w:val="002B785B"/>
    <w:rsid w:val="002C0F3E"/>
    <w:rsid w:val="002C4F75"/>
    <w:rsid w:val="002C6740"/>
    <w:rsid w:val="002D5B16"/>
    <w:rsid w:val="002D6543"/>
    <w:rsid w:val="002E2048"/>
    <w:rsid w:val="002E6CCF"/>
    <w:rsid w:val="002F33D0"/>
    <w:rsid w:val="002F6525"/>
    <w:rsid w:val="003002CD"/>
    <w:rsid w:val="00300722"/>
    <w:rsid w:val="003017B2"/>
    <w:rsid w:val="0030316D"/>
    <w:rsid w:val="00304ECB"/>
    <w:rsid w:val="00306187"/>
    <w:rsid w:val="003175F6"/>
    <w:rsid w:val="00320EAD"/>
    <w:rsid w:val="00340E74"/>
    <w:rsid w:val="00341F6C"/>
    <w:rsid w:val="003546C1"/>
    <w:rsid w:val="00356900"/>
    <w:rsid w:val="00362240"/>
    <w:rsid w:val="00362D89"/>
    <w:rsid w:val="00364048"/>
    <w:rsid w:val="003736A5"/>
    <w:rsid w:val="00373D2F"/>
    <w:rsid w:val="00373DBC"/>
    <w:rsid w:val="00377B73"/>
    <w:rsid w:val="003810AA"/>
    <w:rsid w:val="003836E1"/>
    <w:rsid w:val="00390F85"/>
    <w:rsid w:val="00396BFC"/>
    <w:rsid w:val="003A368F"/>
    <w:rsid w:val="003A7774"/>
    <w:rsid w:val="003C2289"/>
    <w:rsid w:val="003C4838"/>
    <w:rsid w:val="003C5F24"/>
    <w:rsid w:val="003C6C95"/>
    <w:rsid w:val="003C725E"/>
    <w:rsid w:val="003C7358"/>
    <w:rsid w:val="003C7640"/>
    <w:rsid w:val="003D1CA3"/>
    <w:rsid w:val="003E61F6"/>
    <w:rsid w:val="003F277D"/>
    <w:rsid w:val="00400816"/>
    <w:rsid w:val="00401F86"/>
    <w:rsid w:val="00403887"/>
    <w:rsid w:val="00407537"/>
    <w:rsid w:val="00410755"/>
    <w:rsid w:val="00411C3A"/>
    <w:rsid w:val="004165BD"/>
    <w:rsid w:val="004166B3"/>
    <w:rsid w:val="00421FF9"/>
    <w:rsid w:val="0042220D"/>
    <w:rsid w:val="00426E32"/>
    <w:rsid w:val="0043304B"/>
    <w:rsid w:val="0043377A"/>
    <w:rsid w:val="00434EB3"/>
    <w:rsid w:val="00437489"/>
    <w:rsid w:val="004379B6"/>
    <w:rsid w:val="00442620"/>
    <w:rsid w:val="0044428E"/>
    <w:rsid w:val="004443C8"/>
    <w:rsid w:val="00446465"/>
    <w:rsid w:val="00454F17"/>
    <w:rsid w:val="00455AD8"/>
    <w:rsid w:val="004606AF"/>
    <w:rsid w:val="00460D54"/>
    <w:rsid w:val="00461D3E"/>
    <w:rsid w:val="004706CC"/>
    <w:rsid w:val="004712A8"/>
    <w:rsid w:val="0047520D"/>
    <w:rsid w:val="00475E93"/>
    <w:rsid w:val="00476B18"/>
    <w:rsid w:val="00477567"/>
    <w:rsid w:val="0048563D"/>
    <w:rsid w:val="00496EC6"/>
    <w:rsid w:val="004B0531"/>
    <w:rsid w:val="004B38E2"/>
    <w:rsid w:val="004B75AC"/>
    <w:rsid w:val="004C3644"/>
    <w:rsid w:val="004D12DD"/>
    <w:rsid w:val="004D3420"/>
    <w:rsid w:val="004D4EF7"/>
    <w:rsid w:val="004D777E"/>
    <w:rsid w:val="004E3680"/>
    <w:rsid w:val="004E5778"/>
    <w:rsid w:val="004E7ED8"/>
    <w:rsid w:val="004F0291"/>
    <w:rsid w:val="004F2244"/>
    <w:rsid w:val="004F6840"/>
    <w:rsid w:val="004F7311"/>
    <w:rsid w:val="005000D3"/>
    <w:rsid w:val="0050376D"/>
    <w:rsid w:val="005043E7"/>
    <w:rsid w:val="00511348"/>
    <w:rsid w:val="00512C25"/>
    <w:rsid w:val="00514047"/>
    <w:rsid w:val="005151DA"/>
    <w:rsid w:val="0052165A"/>
    <w:rsid w:val="00526604"/>
    <w:rsid w:val="005302CB"/>
    <w:rsid w:val="00533856"/>
    <w:rsid w:val="00533FDB"/>
    <w:rsid w:val="00541842"/>
    <w:rsid w:val="0055177B"/>
    <w:rsid w:val="005520E7"/>
    <w:rsid w:val="0055434C"/>
    <w:rsid w:val="00562618"/>
    <w:rsid w:val="0056488C"/>
    <w:rsid w:val="00570E34"/>
    <w:rsid w:val="0058164E"/>
    <w:rsid w:val="00583264"/>
    <w:rsid w:val="0059007B"/>
    <w:rsid w:val="00591283"/>
    <w:rsid w:val="0059281F"/>
    <w:rsid w:val="005A0295"/>
    <w:rsid w:val="005A0E1F"/>
    <w:rsid w:val="005A1C6B"/>
    <w:rsid w:val="005A61CE"/>
    <w:rsid w:val="005A7E5A"/>
    <w:rsid w:val="005B1285"/>
    <w:rsid w:val="005B1410"/>
    <w:rsid w:val="005B5886"/>
    <w:rsid w:val="005C33A6"/>
    <w:rsid w:val="005C3A38"/>
    <w:rsid w:val="005D4A40"/>
    <w:rsid w:val="005D7F76"/>
    <w:rsid w:val="005E00C7"/>
    <w:rsid w:val="005E14DC"/>
    <w:rsid w:val="005E2299"/>
    <w:rsid w:val="005E4284"/>
    <w:rsid w:val="005E493B"/>
    <w:rsid w:val="005E6EDE"/>
    <w:rsid w:val="005F041D"/>
    <w:rsid w:val="005F2951"/>
    <w:rsid w:val="005F57CA"/>
    <w:rsid w:val="005F5E2F"/>
    <w:rsid w:val="00605840"/>
    <w:rsid w:val="0061010B"/>
    <w:rsid w:val="00610A58"/>
    <w:rsid w:val="006130BA"/>
    <w:rsid w:val="0061407F"/>
    <w:rsid w:val="00616273"/>
    <w:rsid w:val="0061730B"/>
    <w:rsid w:val="006179E7"/>
    <w:rsid w:val="00623B86"/>
    <w:rsid w:val="00624DDC"/>
    <w:rsid w:val="00624F1E"/>
    <w:rsid w:val="006253B6"/>
    <w:rsid w:val="006257ED"/>
    <w:rsid w:val="00625DA5"/>
    <w:rsid w:val="0062686E"/>
    <w:rsid w:val="00630B30"/>
    <w:rsid w:val="00631FCF"/>
    <w:rsid w:val="00644B83"/>
    <w:rsid w:val="00651087"/>
    <w:rsid w:val="0065133B"/>
    <w:rsid w:val="00651FF6"/>
    <w:rsid w:val="006561C1"/>
    <w:rsid w:val="0066424E"/>
    <w:rsid w:val="00665DAC"/>
    <w:rsid w:val="00666D76"/>
    <w:rsid w:val="00671FAE"/>
    <w:rsid w:val="0068303E"/>
    <w:rsid w:val="0068383E"/>
    <w:rsid w:val="00685964"/>
    <w:rsid w:val="00685EA8"/>
    <w:rsid w:val="0069135C"/>
    <w:rsid w:val="006A4D02"/>
    <w:rsid w:val="006A5B0C"/>
    <w:rsid w:val="006B046A"/>
    <w:rsid w:val="006B0888"/>
    <w:rsid w:val="006B14B7"/>
    <w:rsid w:val="006B1BF9"/>
    <w:rsid w:val="006B31DA"/>
    <w:rsid w:val="006B53F1"/>
    <w:rsid w:val="006B6037"/>
    <w:rsid w:val="006B6210"/>
    <w:rsid w:val="006B6E12"/>
    <w:rsid w:val="006C0CCE"/>
    <w:rsid w:val="006C0E56"/>
    <w:rsid w:val="006C482B"/>
    <w:rsid w:val="006D1A2C"/>
    <w:rsid w:val="006E2236"/>
    <w:rsid w:val="006E4F82"/>
    <w:rsid w:val="006E543D"/>
    <w:rsid w:val="006E5E14"/>
    <w:rsid w:val="006E75A6"/>
    <w:rsid w:val="00701F72"/>
    <w:rsid w:val="00703054"/>
    <w:rsid w:val="00711562"/>
    <w:rsid w:val="0071208F"/>
    <w:rsid w:val="00716419"/>
    <w:rsid w:val="00717BDC"/>
    <w:rsid w:val="00723A28"/>
    <w:rsid w:val="00723D6F"/>
    <w:rsid w:val="00726AED"/>
    <w:rsid w:val="00730FBE"/>
    <w:rsid w:val="00734F7C"/>
    <w:rsid w:val="00736B62"/>
    <w:rsid w:val="007371C6"/>
    <w:rsid w:val="00763F20"/>
    <w:rsid w:val="00764C85"/>
    <w:rsid w:val="00764D7F"/>
    <w:rsid w:val="00766892"/>
    <w:rsid w:val="007733D5"/>
    <w:rsid w:val="00776180"/>
    <w:rsid w:val="0077693C"/>
    <w:rsid w:val="00793291"/>
    <w:rsid w:val="007937EB"/>
    <w:rsid w:val="00793B7C"/>
    <w:rsid w:val="00793E3E"/>
    <w:rsid w:val="007A00E2"/>
    <w:rsid w:val="007A29C5"/>
    <w:rsid w:val="007A4EE7"/>
    <w:rsid w:val="007A622A"/>
    <w:rsid w:val="007A67FB"/>
    <w:rsid w:val="007B0F46"/>
    <w:rsid w:val="007C3BE1"/>
    <w:rsid w:val="007C7B4B"/>
    <w:rsid w:val="007D0487"/>
    <w:rsid w:val="007D752D"/>
    <w:rsid w:val="007E6DF2"/>
    <w:rsid w:val="0080227F"/>
    <w:rsid w:val="00804779"/>
    <w:rsid w:val="0080727B"/>
    <w:rsid w:val="00807F7F"/>
    <w:rsid w:val="008116B3"/>
    <w:rsid w:val="00812D39"/>
    <w:rsid w:val="00813B2A"/>
    <w:rsid w:val="00816E07"/>
    <w:rsid w:val="0081794C"/>
    <w:rsid w:val="0082132F"/>
    <w:rsid w:val="00823428"/>
    <w:rsid w:val="008271EA"/>
    <w:rsid w:val="0082751C"/>
    <w:rsid w:val="008329FF"/>
    <w:rsid w:val="008369BA"/>
    <w:rsid w:val="00840D32"/>
    <w:rsid w:val="00843933"/>
    <w:rsid w:val="008447F1"/>
    <w:rsid w:val="0084670F"/>
    <w:rsid w:val="00850F37"/>
    <w:rsid w:val="008515C7"/>
    <w:rsid w:val="00851F40"/>
    <w:rsid w:val="00853A9F"/>
    <w:rsid w:val="0085665D"/>
    <w:rsid w:val="008574C6"/>
    <w:rsid w:val="008575FE"/>
    <w:rsid w:val="0086372F"/>
    <w:rsid w:val="00863FA9"/>
    <w:rsid w:val="00864C1F"/>
    <w:rsid w:val="00870FA1"/>
    <w:rsid w:val="00872995"/>
    <w:rsid w:val="00875220"/>
    <w:rsid w:val="0087630A"/>
    <w:rsid w:val="00883873"/>
    <w:rsid w:val="00891CD9"/>
    <w:rsid w:val="00894E12"/>
    <w:rsid w:val="008A51A5"/>
    <w:rsid w:val="008A5B26"/>
    <w:rsid w:val="008A7D27"/>
    <w:rsid w:val="008B66C5"/>
    <w:rsid w:val="008B6833"/>
    <w:rsid w:val="008C5DB1"/>
    <w:rsid w:val="008D1B8B"/>
    <w:rsid w:val="008E0239"/>
    <w:rsid w:val="008E413C"/>
    <w:rsid w:val="008E4718"/>
    <w:rsid w:val="008F2446"/>
    <w:rsid w:val="00901040"/>
    <w:rsid w:val="00903475"/>
    <w:rsid w:val="00906A3F"/>
    <w:rsid w:val="009139B3"/>
    <w:rsid w:val="00923F25"/>
    <w:rsid w:val="00941E0D"/>
    <w:rsid w:val="00945F06"/>
    <w:rsid w:val="009509E9"/>
    <w:rsid w:val="009518DD"/>
    <w:rsid w:val="00955235"/>
    <w:rsid w:val="009628BC"/>
    <w:rsid w:val="00963503"/>
    <w:rsid w:val="0096560D"/>
    <w:rsid w:val="00965DBD"/>
    <w:rsid w:val="00971944"/>
    <w:rsid w:val="009815C6"/>
    <w:rsid w:val="009845AA"/>
    <w:rsid w:val="00985335"/>
    <w:rsid w:val="00986A0F"/>
    <w:rsid w:val="00993861"/>
    <w:rsid w:val="00996201"/>
    <w:rsid w:val="009A39E1"/>
    <w:rsid w:val="009A3AD8"/>
    <w:rsid w:val="009A6EE8"/>
    <w:rsid w:val="009B0F58"/>
    <w:rsid w:val="009B2393"/>
    <w:rsid w:val="009B2EBA"/>
    <w:rsid w:val="009C1A63"/>
    <w:rsid w:val="009C1B15"/>
    <w:rsid w:val="009C3380"/>
    <w:rsid w:val="009C39CF"/>
    <w:rsid w:val="009C7FE5"/>
    <w:rsid w:val="009D58A4"/>
    <w:rsid w:val="009D5AF7"/>
    <w:rsid w:val="009E0A7E"/>
    <w:rsid w:val="009E28F5"/>
    <w:rsid w:val="009E2935"/>
    <w:rsid w:val="009E619A"/>
    <w:rsid w:val="009E7E38"/>
    <w:rsid w:val="009E7E84"/>
    <w:rsid w:val="009F1542"/>
    <w:rsid w:val="009F265B"/>
    <w:rsid w:val="009F482C"/>
    <w:rsid w:val="009F68DB"/>
    <w:rsid w:val="00A005B2"/>
    <w:rsid w:val="00A00C9B"/>
    <w:rsid w:val="00A03E3F"/>
    <w:rsid w:val="00A05C03"/>
    <w:rsid w:val="00A10E32"/>
    <w:rsid w:val="00A1108E"/>
    <w:rsid w:val="00A1290C"/>
    <w:rsid w:val="00A20CA0"/>
    <w:rsid w:val="00A20CEA"/>
    <w:rsid w:val="00A22C34"/>
    <w:rsid w:val="00A25247"/>
    <w:rsid w:val="00A27CD0"/>
    <w:rsid w:val="00A35870"/>
    <w:rsid w:val="00A362B6"/>
    <w:rsid w:val="00A40036"/>
    <w:rsid w:val="00A42C71"/>
    <w:rsid w:val="00A4543C"/>
    <w:rsid w:val="00A55B5D"/>
    <w:rsid w:val="00A60A28"/>
    <w:rsid w:val="00A62274"/>
    <w:rsid w:val="00A64B82"/>
    <w:rsid w:val="00A67DFF"/>
    <w:rsid w:val="00A71475"/>
    <w:rsid w:val="00A714DC"/>
    <w:rsid w:val="00A7179C"/>
    <w:rsid w:val="00A7509F"/>
    <w:rsid w:val="00A761CB"/>
    <w:rsid w:val="00A763DE"/>
    <w:rsid w:val="00A7785A"/>
    <w:rsid w:val="00A85701"/>
    <w:rsid w:val="00A950B1"/>
    <w:rsid w:val="00AA1BA1"/>
    <w:rsid w:val="00AC0C30"/>
    <w:rsid w:val="00AC263B"/>
    <w:rsid w:val="00AC267D"/>
    <w:rsid w:val="00AC446E"/>
    <w:rsid w:val="00AC5613"/>
    <w:rsid w:val="00AD2255"/>
    <w:rsid w:val="00AD3261"/>
    <w:rsid w:val="00AD4355"/>
    <w:rsid w:val="00AE0B73"/>
    <w:rsid w:val="00AE3F5F"/>
    <w:rsid w:val="00AF7976"/>
    <w:rsid w:val="00B10654"/>
    <w:rsid w:val="00B13DC4"/>
    <w:rsid w:val="00B17B7C"/>
    <w:rsid w:val="00B219E6"/>
    <w:rsid w:val="00B23277"/>
    <w:rsid w:val="00B235D5"/>
    <w:rsid w:val="00B245AD"/>
    <w:rsid w:val="00B327AB"/>
    <w:rsid w:val="00B32D7C"/>
    <w:rsid w:val="00B3687B"/>
    <w:rsid w:val="00B4182B"/>
    <w:rsid w:val="00B4266C"/>
    <w:rsid w:val="00B43DF6"/>
    <w:rsid w:val="00B51B58"/>
    <w:rsid w:val="00B55E54"/>
    <w:rsid w:val="00B56589"/>
    <w:rsid w:val="00B61DC8"/>
    <w:rsid w:val="00B64D05"/>
    <w:rsid w:val="00B671A4"/>
    <w:rsid w:val="00B70460"/>
    <w:rsid w:val="00B70BC4"/>
    <w:rsid w:val="00B72C64"/>
    <w:rsid w:val="00B8245F"/>
    <w:rsid w:val="00B846EE"/>
    <w:rsid w:val="00B92597"/>
    <w:rsid w:val="00B9441B"/>
    <w:rsid w:val="00B95ADD"/>
    <w:rsid w:val="00BA0F9F"/>
    <w:rsid w:val="00BA2B00"/>
    <w:rsid w:val="00BA3235"/>
    <w:rsid w:val="00BA4633"/>
    <w:rsid w:val="00BA5034"/>
    <w:rsid w:val="00BB19F1"/>
    <w:rsid w:val="00BB4BF8"/>
    <w:rsid w:val="00BB58E7"/>
    <w:rsid w:val="00BB6F8B"/>
    <w:rsid w:val="00BB75A1"/>
    <w:rsid w:val="00BC1E49"/>
    <w:rsid w:val="00BC435A"/>
    <w:rsid w:val="00BC4803"/>
    <w:rsid w:val="00BC72AA"/>
    <w:rsid w:val="00BD702B"/>
    <w:rsid w:val="00BD7B78"/>
    <w:rsid w:val="00BE38F5"/>
    <w:rsid w:val="00BE3B9A"/>
    <w:rsid w:val="00BE45BC"/>
    <w:rsid w:val="00BE6795"/>
    <w:rsid w:val="00BE773B"/>
    <w:rsid w:val="00C003B2"/>
    <w:rsid w:val="00C05352"/>
    <w:rsid w:val="00C11D3C"/>
    <w:rsid w:val="00C1777A"/>
    <w:rsid w:val="00C32404"/>
    <w:rsid w:val="00C32C8A"/>
    <w:rsid w:val="00C41079"/>
    <w:rsid w:val="00C473B5"/>
    <w:rsid w:val="00C50BAF"/>
    <w:rsid w:val="00C518DF"/>
    <w:rsid w:val="00C52910"/>
    <w:rsid w:val="00C53DD8"/>
    <w:rsid w:val="00C5409E"/>
    <w:rsid w:val="00C555CA"/>
    <w:rsid w:val="00C55AE0"/>
    <w:rsid w:val="00C63C8F"/>
    <w:rsid w:val="00C711C6"/>
    <w:rsid w:val="00C73360"/>
    <w:rsid w:val="00C76A81"/>
    <w:rsid w:val="00C76EDD"/>
    <w:rsid w:val="00C86CB2"/>
    <w:rsid w:val="00C91C71"/>
    <w:rsid w:val="00C95126"/>
    <w:rsid w:val="00CA72A5"/>
    <w:rsid w:val="00CB1532"/>
    <w:rsid w:val="00CB19F0"/>
    <w:rsid w:val="00CC0441"/>
    <w:rsid w:val="00CC07BF"/>
    <w:rsid w:val="00CC1045"/>
    <w:rsid w:val="00CC4651"/>
    <w:rsid w:val="00CC6120"/>
    <w:rsid w:val="00CE018E"/>
    <w:rsid w:val="00CE0825"/>
    <w:rsid w:val="00CE5A43"/>
    <w:rsid w:val="00CE67CE"/>
    <w:rsid w:val="00CE7A4A"/>
    <w:rsid w:val="00CF546E"/>
    <w:rsid w:val="00CF6854"/>
    <w:rsid w:val="00D04C57"/>
    <w:rsid w:val="00D06A98"/>
    <w:rsid w:val="00D11B94"/>
    <w:rsid w:val="00D1343F"/>
    <w:rsid w:val="00D13AA8"/>
    <w:rsid w:val="00D239B5"/>
    <w:rsid w:val="00D243DB"/>
    <w:rsid w:val="00D32B72"/>
    <w:rsid w:val="00D34007"/>
    <w:rsid w:val="00D4033C"/>
    <w:rsid w:val="00D409EF"/>
    <w:rsid w:val="00D41DE9"/>
    <w:rsid w:val="00D436F2"/>
    <w:rsid w:val="00D44639"/>
    <w:rsid w:val="00D45504"/>
    <w:rsid w:val="00D517E3"/>
    <w:rsid w:val="00D5346A"/>
    <w:rsid w:val="00D55767"/>
    <w:rsid w:val="00D55A50"/>
    <w:rsid w:val="00D568C8"/>
    <w:rsid w:val="00D60BCC"/>
    <w:rsid w:val="00D63F8B"/>
    <w:rsid w:val="00D64347"/>
    <w:rsid w:val="00D67526"/>
    <w:rsid w:val="00D71BA0"/>
    <w:rsid w:val="00D72BD2"/>
    <w:rsid w:val="00D749DF"/>
    <w:rsid w:val="00D76A07"/>
    <w:rsid w:val="00D82755"/>
    <w:rsid w:val="00D82E67"/>
    <w:rsid w:val="00D831AC"/>
    <w:rsid w:val="00D86F3F"/>
    <w:rsid w:val="00D87E56"/>
    <w:rsid w:val="00D91188"/>
    <w:rsid w:val="00D95E35"/>
    <w:rsid w:val="00D97243"/>
    <w:rsid w:val="00D97926"/>
    <w:rsid w:val="00DA24F7"/>
    <w:rsid w:val="00DA3557"/>
    <w:rsid w:val="00DA4701"/>
    <w:rsid w:val="00DC35E6"/>
    <w:rsid w:val="00DC6137"/>
    <w:rsid w:val="00DC65F2"/>
    <w:rsid w:val="00DC7876"/>
    <w:rsid w:val="00DC7DD5"/>
    <w:rsid w:val="00DE3329"/>
    <w:rsid w:val="00DE3ED7"/>
    <w:rsid w:val="00DE7531"/>
    <w:rsid w:val="00DF1291"/>
    <w:rsid w:val="00DF1B33"/>
    <w:rsid w:val="00DF1F0B"/>
    <w:rsid w:val="00DF5602"/>
    <w:rsid w:val="00E0079E"/>
    <w:rsid w:val="00E04C51"/>
    <w:rsid w:val="00E05217"/>
    <w:rsid w:val="00E06B77"/>
    <w:rsid w:val="00E1283F"/>
    <w:rsid w:val="00E1392C"/>
    <w:rsid w:val="00E15574"/>
    <w:rsid w:val="00E219B9"/>
    <w:rsid w:val="00E22AC6"/>
    <w:rsid w:val="00E24830"/>
    <w:rsid w:val="00E318A6"/>
    <w:rsid w:val="00E33D86"/>
    <w:rsid w:val="00E34E56"/>
    <w:rsid w:val="00E41C62"/>
    <w:rsid w:val="00E41EE9"/>
    <w:rsid w:val="00E42569"/>
    <w:rsid w:val="00E461D4"/>
    <w:rsid w:val="00E507B5"/>
    <w:rsid w:val="00E54F58"/>
    <w:rsid w:val="00E55AB1"/>
    <w:rsid w:val="00E56B8A"/>
    <w:rsid w:val="00E57A8D"/>
    <w:rsid w:val="00E62285"/>
    <w:rsid w:val="00E62819"/>
    <w:rsid w:val="00E633B8"/>
    <w:rsid w:val="00E637F6"/>
    <w:rsid w:val="00E64537"/>
    <w:rsid w:val="00E66E7D"/>
    <w:rsid w:val="00E6746E"/>
    <w:rsid w:val="00E70492"/>
    <w:rsid w:val="00E71E25"/>
    <w:rsid w:val="00E75B02"/>
    <w:rsid w:val="00E77B3F"/>
    <w:rsid w:val="00E811C0"/>
    <w:rsid w:val="00E9045F"/>
    <w:rsid w:val="00E93F9D"/>
    <w:rsid w:val="00E96C4F"/>
    <w:rsid w:val="00EA0D4F"/>
    <w:rsid w:val="00EA405B"/>
    <w:rsid w:val="00EB0416"/>
    <w:rsid w:val="00EB2A9F"/>
    <w:rsid w:val="00EB4C26"/>
    <w:rsid w:val="00EB5AA2"/>
    <w:rsid w:val="00EB6134"/>
    <w:rsid w:val="00EC1165"/>
    <w:rsid w:val="00EC1A6C"/>
    <w:rsid w:val="00EC4A12"/>
    <w:rsid w:val="00EC79F7"/>
    <w:rsid w:val="00ED7509"/>
    <w:rsid w:val="00EE0AC5"/>
    <w:rsid w:val="00EE378A"/>
    <w:rsid w:val="00EE38AF"/>
    <w:rsid w:val="00EF254B"/>
    <w:rsid w:val="00EF2C27"/>
    <w:rsid w:val="00EF4FF2"/>
    <w:rsid w:val="00F00ECF"/>
    <w:rsid w:val="00F0402B"/>
    <w:rsid w:val="00F04790"/>
    <w:rsid w:val="00F06241"/>
    <w:rsid w:val="00F071DE"/>
    <w:rsid w:val="00F07AF0"/>
    <w:rsid w:val="00F17412"/>
    <w:rsid w:val="00F20179"/>
    <w:rsid w:val="00F41A0F"/>
    <w:rsid w:val="00F42246"/>
    <w:rsid w:val="00F472E7"/>
    <w:rsid w:val="00F55F71"/>
    <w:rsid w:val="00F663CB"/>
    <w:rsid w:val="00F67345"/>
    <w:rsid w:val="00F73468"/>
    <w:rsid w:val="00F74630"/>
    <w:rsid w:val="00F82013"/>
    <w:rsid w:val="00F83E7B"/>
    <w:rsid w:val="00F90F85"/>
    <w:rsid w:val="00F9122A"/>
    <w:rsid w:val="00F95C19"/>
    <w:rsid w:val="00F9631C"/>
    <w:rsid w:val="00FA0515"/>
    <w:rsid w:val="00FA0F5C"/>
    <w:rsid w:val="00FA6D2C"/>
    <w:rsid w:val="00FB0369"/>
    <w:rsid w:val="00FB14B0"/>
    <w:rsid w:val="00FB5BF6"/>
    <w:rsid w:val="00FB6E2B"/>
    <w:rsid w:val="00FC779A"/>
    <w:rsid w:val="00FD3D0F"/>
    <w:rsid w:val="00FD45CA"/>
    <w:rsid w:val="00FE1611"/>
    <w:rsid w:val="00FE2BD9"/>
    <w:rsid w:val="00FE3333"/>
    <w:rsid w:val="00FF4F98"/>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7A00E2"/>
    <w:pPr>
      <w:keepNext/>
      <w:pageBreakBefore/>
      <w:numPr>
        <w:numId w:val="31"/>
      </w:numPr>
      <w:spacing w:after="360" w:line="240" w:lineRule="auto"/>
      <w:jc w:val="center"/>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1"/>
    <w:qFormat/>
    <w:rsid w:val="007A00E2"/>
    <w:pPr>
      <w:keepNext/>
      <w:numPr>
        <w:ilvl w:val="1"/>
        <w:numId w:val="31"/>
      </w:numPr>
      <w:spacing w:after="240" w:line="240" w:lineRule="auto"/>
      <w:outlineLvl w:val="1"/>
    </w:pPr>
    <w:rPr>
      <w:rFonts w:ascii="Arial" w:eastAsia="Times New Roman" w:hAnsi="Arial" w:cs="Arial"/>
      <w:b/>
      <w:bCs/>
      <w:iCs/>
      <w:sz w:val="24"/>
      <w:szCs w:val="28"/>
    </w:rPr>
  </w:style>
  <w:style w:type="paragraph" w:styleId="Heading3">
    <w:name w:val="heading 3"/>
    <w:basedOn w:val="Normal"/>
    <w:next w:val="Normal"/>
    <w:link w:val="Heading3Char"/>
    <w:qFormat/>
    <w:rsid w:val="007A00E2"/>
    <w:pPr>
      <w:keepNext/>
      <w:numPr>
        <w:ilvl w:val="2"/>
        <w:numId w:val="31"/>
      </w:numPr>
      <w:spacing w:after="240" w:line="240" w:lineRule="auto"/>
      <w:ind w:left="0" w:firstLine="0"/>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9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rsid w:val="006561C1"/>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6561C1"/>
    <w:rPr>
      <w:rFonts w:ascii="Times New Roman" w:eastAsia="Times New Roman" w:hAnsi="Times New Roman" w:cs="Times New Roman"/>
      <w:szCs w:val="20"/>
    </w:rPr>
  </w:style>
  <w:style w:type="paragraph" w:customStyle="1" w:styleId="ExhibitTitle">
    <w:name w:val="Exhibit Title"/>
    <w:link w:val="ExhibitTitleChar"/>
    <w:qFormat/>
    <w:rsid w:val="006561C1"/>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paragraph" w:customStyle="1" w:styleId="TableText">
    <w:name w:val="Table Text"/>
    <w:basedOn w:val="Normal"/>
    <w:qFormat/>
    <w:rsid w:val="006561C1"/>
    <w:pPr>
      <w:keepNext/>
      <w:spacing w:before="60" w:after="60" w:line="240" w:lineRule="auto"/>
    </w:pPr>
    <w:rPr>
      <w:rFonts w:ascii="Times New Roman" w:eastAsia="Times New Roman" w:hAnsi="Times New Roman" w:cs="Times New Roman"/>
      <w:snapToGrid w:val="0"/>
      <w:sz w:val="20"/>
      <w:szCs w:val="20"/>
    </w:rPr>
  </w:style>
  <w:style w:type="paragraph" w:customStyle="1" w:styleId="TableBulletLM">
    <w:name w:val="Table Bullet LM"/>
    <w:basedOn w:val="ListBullet"/>
    <w:qFormat/>
    <w:rsid w:val="006561C1"/>
    <w:pPr>
      <w:numPr>
        <w:numId w:val="0"/>
      </w:numPr>
      <w:spacing w:before="60" w:after="60" w:line="200" w:lineRule="exact"/>
      <w:ind w:left="288" w:hanging="288"/>
      <w:contextualSpacing w:val="0"/>
    </w:pPr>
    <w:rPr>
      <w:rFonts w:ascii="Times New Roman" w:eastAsia="MS Mincho" w:hAnsi="Times New Roman" w:cs="Times New Roman"/>
      <w:sz w:val="20"/>
      <w:szCs w:val="18"/>
    </w:rPr>
  </w:style>
  <w:style w:type="character" w:customStyle="1" w:styleId="ExhibitTitleChar">
    <w:name w:val="Exhibit Title Char"/>
    <w:basedOn w:val="DefaultParagraphFont"/>
    <w:link w:val="ExhibitTitle"/>
    <w:locked/>
    <w:rsid w:val="006561C1"/>
    <w:rPr>
      <w:rFonts w:ascii="Times New Roman" w:eastAsia="Arial Unicode MS" w:hAnsi="Times New Roman" w:cs="Arial Unicode MS"/>
      <w:b/>
      <w:bCs/>
      <w:color w:val="000000"/>
      <w:sz w:val="24"/>
      <w:szCs w:val="24"/>
      <w:u w:color="455560"/>
      <w:bdr w:val="nil"/>
    </w:rPr>
  </w:style>
  <w:style w:type="paragraph" w:customStyle="1" w:styleId="TableHeader">
    <w:name w:val="Table Header"/>
    <w:basedOn w:val="Normal"/>
    <w:qFormat/>
    <w:rsid w:val="006561C1"/>
    <w:pPr>
      <w:keepNext/>
      <w:spacing w:before="80" w:after="80" w:line="240" w:lineRule="auto"/>
      <w:jc w:val="center"/>
    </w:pPr>
    <w:rPr>
      <w:rFonts w:ascii="Times New Roman" w:eastAsia="Times New Roman" w:hAnsi="Times New Roman" w:cs="Times New Roman"/>
      <w:b/>
      <w:snapToGrid w:val="0"/>
      <w:sz w:val="20"/>
      <w:szCs w:val="20"/>
    </w:rPr>
  </w:style>
  <w:style w:type="paragraph" w:customStyle="1" w:styleId="ExhibitTitlecontinued">
    <w:name w:val="Exhibit Title continued"/>
    <w:basedOn w:val="ExhibitTitle"/>
    <w:uiPriority w:val="1"/>
    <w:qFormat/>
    <w:rsid w:val="006561C1"/>
    <w:pPr>
      <w:pBdr>
        <w:top w:val="none" w:sz="0" w:space="0" w:color="auto"/>
        <w:left w:val="none" w:sz="0" w:space="0" w:color="auto"/>
        <w:bottom w:val="none" w:sz="0" w:space="0" w:color="auto"/>
        <w:right w:val="none" w:sz="0" w:space="0" w:color="auto"/>
        <w:between w:val="none" w:sz="0" w:space="0" w:color="auto"/>
        <w:bar w:val="none" w:sz="0" w:space="0" w:color="auto"/>
      </w:pBdr>
      <w:spacing w:before="0"/>
      <w:ind w:left="1080" w:hanging="1080"/>
    </w:pPr>
    <w:rPr>
      <w:rFonts w:eastAsiaTheme="minorHAnsi" w:cs="Arial"/>
      <w:bCs w:val="0"/>
      <w:snapToGrid w:val="0"/>
      <w:spacing w:val="1"/>
      <w:szCs w:val="22"/>
      <w:bdr w:val="none" w:sz="0" w:space="0" w:color="auto"/>
    </w:rPr>
  </w:style>
  <w:style w:type="table" w:customStyle="1" w:styleId="Graytablecomplex">
    <w:name w:val="Gray_table_complex"/>
    <w:basedOn w:val="TableNormal"/>
    <w:rsid w:val="006561C1"/>
    <w:pPr>
      <w:spacing w:before="40" w:after="40" w:line="240" w:lineRule="auto"/>
    </w:pPr>
    <w:rPr>
      <w:rFonts w:ascii="Arial" w:eastAsia="Times New Roman" w:hAnsi="Arial" w:cs="Times New Roman"/>
      <w:sz w:val="20"/>
      <w:szCs w:val="20"/>
    </w:rPr>
    <w:tblPr>
      <w:tblInd w:w="0" w:type="dxa"/>
      <w:tblBorders>
        <w:insideH w:val="single" w:sz="6" w:space="0" w:color="auto"/>
        <w:insideV w:val="single" w:sz="6" w:space="0" w:color="auto"/>
      </w:tblBorders>
    </w:tblPr>
    <w:tblStylePr w:type="firstRow">
      <w:pPr>
        <w:wordWrap/>
        <w:spacing w:before="100" w:beforeLines="0" w:beforeAutospacing="1" w:after="100" w:afterLines="0" w:afterAutospacing="1" w:line="240" w:lineRule="auto"/>
      </w:pPr>
      <w:tblPr/>
      <w:tcPr>
        <w:tcBorders>
          <w:top w:val="single" w:sz="12" w:space="0" w:color="auto"/>
        </w:tcBorders>
        <w:shd w:val="clear" w:color="auto" w:fill="0A357E"/>
      </w:tcPr>
    </w:tblStylePr>
    <w:tblStylePr w:type="lastRow">
      <w:tblPr/>
      <w:tcPr>
        <w:tcBorders>
          <w:bottom w:val="single" w:sz="12" w:space="0" w:color="auto"/>
        </w:tcBorders>
      </w:tcPr>
    </w:tblStylePr>
    <w:tblStylePr w:type="firstCol">
      <w:tblPr/>
      <w:tcPr>
        <w:shd w:val="clear" w:color="auto" w:fill="D9D9D9"/>
      </w:tcPr>
    </w:tblStylePr>
  </w:style>
  <w:style w:type="paragraph" w:styleId="ListBullet">
    <w:name w:val="List Bullet"/>
    <w:basedOn w:val="Normal"/>
    <w:uiPriority w:val="99"/>
    <w:semiHidden/>
    <w:unhideWhenUsed/>
    <w:rsid w:val="006561C1"/>
    <w:pPr>
      <w:numPr>
        <w:numId w:val="30"/>
      </w:numPr>
      <w:ind w:left="360" w:hanging="360"/>
      <w:contextualSpacing/>
    </w:pPr>
  </w:style>
  <w:style w:type="paragraph" w:customStyle="1" w:styleId="bodytextpsg">
    <w:name w:val="body text_psg"/>
    <w:basedOn w:val="Normal"/>
    <w:rsid w:val="005E4284"/>
    <w:pPr>
      <w:spacing w:after="0" w:line="460" w:lineRule="exact"/>
      <w:ind w:firstLine="360"/>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7A00E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7A00E2"/>
    <w:rPr>
      <w:rFonts w:ascii="Arial" w:eastAsia="Times New Roman" w:hAnsi="Arial" w:cs="Arial"/>
      <w:b/>
      <w:bCs/>
      <w:iCs/>
      <w:sz w:val="24"/>
      <w:szCs w:val="28"/>
    </w:rPr>
  </w:style>
  <w:style w:type="character" w:customStyle="1" w:styleId="Heading3Char">
    <w:name w:val="Heading 3 Char"/>
    <w:basedOn w:val="DefaultParagraphFont"/>
    <w:link w:val="Heading3"/>
    <w:rsid w:val="007A00E2"/>
    <w:rPr>
      <w:rFonts w:ascii="Arial" w:eastAsia="Times New Roman" w:hAnsi="Arial" w:cs="Arial"/>
      <w:b/>
      <w:bCs/>
      <w:szCs w:val="26"/>
    </w:rPr>
  </w:style>
  <w:style w:type="character" w:styleId="Emphasis">
    <w:name w:val="Emphasis"/>
    <w:basedOn w:val="DefaultParagraphFont"/>
    <w:uiPriority w:val="20"/>
    <w:qFormat/>
    <w:rsid w:val="008271EA"/>
    <w:rPr>
      <w:i/>
      <w:iCs/>
    </w:rPr>
  </w:style>
  <w:style w:type="character" w:customStyle="1" w:styleId="UnresolvedMention1">
    <w:name w:val="Unresolved Mention1"/>
    <w:basedOn w:val="DefaultParagraphFont"/>
    <w:uiPriority w:val="99"/>
    <w:semiHidden/>
    <w:unhideWhenUsed/>
    <w:rsid w:val="001163E8"/>
    <w:rPr>
      <w:color w:val="605E5C"/>
      <w:shd w:val="clear" w:color="auto" w:fill="E1DFDD"/>
    </w:rPr>
  </w:style>
  <w:style w:type="character" w:customStyle="1" w:styleId="EndNoteBibliographyChar">
    <w:name w:val="EndNote Bibliography Char"/>
    <w:basedOn w:val="DefaultParagraphFont"/>
    <w:link w:val="EndNoteBibliography"/>
    <w:locked/>
    <w:rsid w:val="007C3BE1"/>
    <w:rPr>
      <w:rFonts w:ascii="Calibri" w:hAnsi="Calibri" w:cs="Calibri"/>
    </w:rPr>
  </w:style>
  <w:style w:type="paragraph" w:customStyle="1" w:styleId="EndNoteBibliography">
    <w:name w:val="EndNote Bibliography"/>
    <w:basedOn w:val="Normal"/>
    <w:link w:val="EndNoteBibliographyChar"/>
    <w:rsid w:val="007C3BE1"/>
    <w:pPr>
      <w:spacing w:after="160" w:line="240" w:lineRule="auto"/>
    </w:pPr>
    <w:rPr>
      <w:rFonts w:ascii="Calibri" w:hAnsi="Calibri" w:cs="Calibri"/>
    </w:rPr>
  </w:style>
  <w:style w:type="character" w:customStyle="1" w:styleId="P1-StandParaChar">
    <w:name w:val="P1-Stand Para Char"/>
    <w:basedOn w:val="DefaultParagraphFont"/>
    <w:link w:val="P1-StandPara"/>
    <w:locked/>
    <w:rsid w:val="005A1C6B"/>
    <w:rPr>
      <w:rFonts w:ascii="Garamond" w:hAnsi="Garamond"/>
      <w:sz w:val="24"/>
    </w:rPr>
  </w:style>
  <w:style w:type="paragraph" w:customStyle="1" w:styleId="P1-StandPara">
    <w:name w:val="P1-Stand Para"/>
    <w:basedOn w:val="Normal"/>
    <w:link w:val="P1-StandParaChar"/>
    <w:rsid w:val="005A1C6B"/>
    <w:pPr>
      <w:spacing w:after="0" w:line="360" w:lineRule="atLeast"/>
      <w:ind w:firstLine="1152"/>
    </w:pPr>
    <w:rPr>
      <w:rFonts w:ascii="Garamond" w:hAnsi="Garamond"/>
      <w:sz w:val="24"/>
    </w:rPr>
  </w:style>
  <w:style w:type="paragraph" w:customStyle="1" w:styleId="xmsonormal">
    <w:name w:val="x_msonormal"/>
    <w:basedOn w:val="Normal"/>
    <w:rsid w:val="006E543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pb@rti.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rtifile02\NSCAW_III\DataCollection\Tracing%20Effort_NSCAW%20II%20Cohort\Updated%20Materials\Panel%20Maintenence\NSCAW%20Panel%20Maintenance%20Letter.docx" TargetMode="External" /><Relationship Id="rId9" Type="http://schemas.openxmlformats.org/officeDocument/2006/relationships/hyperlink" Target="mailto:Christine.Fortunato@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2.xml><?xml version="1.0" encoding="utf-8"?>
<ds:datastoreItem xmlns:ds="http://schemas.openxmlformats.org/officeDocument/2006/customXml" ds:itemID="{E43C611F-61D5-428D-AF87-7CC3F11DDC4E}">
  <ds:schemaRefs>
    <ds:schemaRef ds:uri="http://schemas.openxmlformats.org/officeDocument/2006/bibliography"/>
  </ds:schemaRefs>
</ds:datastoreItem>
</file>

<file path=customXml/itemProps3.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5358</Words>
  <Characters>30546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Smith</dc:creator>
  <cp:lastModifiedBy>Jones, Molly (ACF)</cp:lastModifiedBy>
  <cp:revision>3</cp:revision>
  <dcterms:created xsi:type="dcterms:W3CDTF">2023-07-18T21:19:00Z</dcterms:created>
  <dcterms:modified xsi:type="dcterms:W3CDTF">2023-07-19T16:43:00Z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