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537" w:rsidRPr="00B051D2" w:rsidP="000550C7" w14:paraId="470AC4A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000936D4" w:rsidRPr="00B051D2" w:rsidP="000550C7" w14:paraId="0326BB59" w14:textId="6EC8228A">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rPr>
      </w:pPr>
      <w:bookmarkStart w:id="0" w:name="OLE_LINK1"/>
      <w:r>
        <w:rPr>
          <w:rFonts w:ascii="Times New Roman" w:hAnsi="Times New Roman"/>
          <w:b/>
          <w:noProof w:val="0"/>
          <w:sz w:val="24"/>
        </w:rPr>
        <w:t>Recordkeeping Requirements for the Transfer of Electronic Prescriptions for Controlled Substances (EPCS) in Schedules II-V between Pharmacies for Initial Filling</w:t>
      </w:r>
    </w:p>
    <w:bookmarkEnd w:id="0"/>
    <w:p w:rsidR="001A64B0" w:rsidP="000550C7" w14:paraId="7FEDEACB" w14:textId="1895AB0F">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rPr>
      </w:pPr>
      <w:r w:rsidRPr="00B051D2">
        <w:rPr>
          <w:rFonts w:ascii="Times New Roman" w:hAnsi="Times New Roman"/>
          <w:b/>
          <w:noProof w:val="0"/>
          <w:sz w:val="24"/>
        </w:rPr>
        <w:t xml:space="preserve">OMB </w:t>
      </w:r>
      <w:r w:rsidRPr="00B051D2" w:rsidR="004A0B75">
        <w:rPr>
          <w:rFonts w:ascii="Times New Roman" w:hAnsi="Times New Roman"/>
          <w:b/>
          <w:noProof w:val="0"/>
          <w:sz w:val="24"/>
        </w:rPr>
        <w:t xml:space="preserve">Approval </w:t>
      </w:r>
      <w:r w:rsidR="00813BD7">
        <w:rPr>
          <w:rFonts w:ascii="Times New Roman" w:hAnsi="Times New Roman"/>
          <w:b/>
          <w:noProof w:val="0"/>
          <w:sz w:val="24"/>
        </w:rPr>
        <w:t>#</w:t>
      </w:r>
      <w:r w:rsidR="001C47F6">
        <w:rPr>
          <w:rFonts w:ascii="Times New Roman" w:hAnsi="Times New Roman"/>
          <w:b/>
          <w:noProof w:val="0"/>
          <w:sz w:val="24"/>
        </w:rPr>
        <w:t>1117-</w:t>
      </w:r>
      <w:r w:rsidR="00851B10">
        <w:rPr>
          <w:rFonts w:ascii="Times New Roman" w:hAnsi="Times New Roman"/>
          <w:b/>
          <w:noProof w:val="0"/>
          <w:sz w:val="24"/>
        </w:rPr>
        <w:t>0061</w:t>
      </w:r>
    </w:p>
    <w:p w:rsidR="00B051D2" w:rsidP="000550C7" w14:paraId="6555670E"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Times New Roman" w:hAnsi="Times New Roman"/>
          <w:b/>
          <w:noProof w:val="0"/>
          <w:sz w:val="24"/>
        </w:rPr>
      </w:pPr>
    </w:p>
    <w:p w:rsidR="00B051D2" w:rsidRPr="00B051D2" w:rsidP="004B077C" w14:paraId="185F77DA" w14:textId="4CB5AC31">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contextualSpacing/>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w:t>
      </w:r>
      <w:r w:rsidR="00412512">
        <w:rPr>
          <w:rFonts w:ascii="Times New Roman" w:hAnsi="Times New Roman"/>
          <w:noProof w:val="0"/>
          <w:sz w:val="24"/>
        </w:rPr>
        <w:t xml:space="preserve"> </w:t>
      </w:r>
      <w:r w:rsidR="00FF39B0">
        <w:rPr>
          <w:rFonts w:ascii="Times New Roman" w:hAnsi="Times New Roman"/>
          <w:noProof w:val="0"/>
          <w:sz w:val="24"/>
        </w:rPr>
        <w:t xml:space="preserve">new </w:t>
      </w:r>
      <w:r>
        <w:rPr>
          <w:rFonts w:ascii="Times New Roman" w:hAnsi="Times New Roman"/>
          <w:noProof w:val="0"/>
          <w:sz w:val="24"/>
        </w:rPr>
        <w:t>collection of information</w:t>
      </w:r>
      <w:r w:rsidR="00FF39B0">
        <w:rPr>
          <w:rFonts w:ascii="Times New Roman" w:hAnsi="Times New Roman"/>
          <w:noProof w:val="0"/>
          <w:sz w:val="24"/>
        </w:rPr>
        <w:t xml:space="preserve">, </w:t>
      </w:r>
      <w:r w:rsidR="008E1B3A">
        <w:rPr>
          <w:rFonts w:ascii="Times New Roman" w:hAnsi="Times New Roman"/>
          <w:noProof w:val="0"/>
          <w:sz w:val="24"/>
        </w:rPr>
        <w:t xml:space="preserve">Recordkeeping Requirements for the </w:t>
      </w:r>
      <w:r w:rsidR="00FF39B0">
        <w:rPr>
          <w:rFonts w:ascii="Times New Roman" w:hAnsi="Times New Roman"/>
          <w:noProof w:val="0"/>
          <w:sz w:val="24"/>
        </w:rPr>
        <w:t xml:space="preserve">Transfer of Electronic Prescriptions for Controlled Substances (EPCS) </w:t>
      </w:r>
      <w:r w:rsidR="008E1B3A">
        <w:rPr>
          <w:rFonts w:ascii="Times New Roman" w:hAnsi="Times New Roman"/>
          <w:noProof w:val="0"/>
          <w:sz w:val="24"/>
        </w:rPr>
        <w:t xml:space="preserve">in Schedules II-V </w:t>
      </w:r>
      <w:r w:rsidR="00FF39B0">
        <w:rPr>
          <w:rFonts w:ascii="Times New Roman" w:hAnsi="Times New Roman"/>
          <w:noProof w:val="0"/>
          <w:sz w:val="24"/>
        </w:rPr>
        <w:t>between Pharmacies for Initial Filling</w:t>
      </w:r>
      <w:r w:rsidR="00AA4A98">
        <w:rPr>
          <w:rFonts w:ascii="Times New Roman" w:hAnsi="Times New Roman"/>
          <w:noProof w:val="0"/>
          <w:sz w:val="24"/>
        </w:rPr>
        <w:t>.</w:t>
      </w:r>
    </w:p>
    <w:p w:rsidR="000C1537" w:rsidP="004B077C" w14:paraId="2185B206" w14:textId="573D0C6B">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contextualSpacing/>
        <w:rPr>
          <w:rFonts w:ascii="Times New Roman" w:hAnsi="Times New Roman"/>
          <w:b/>
          <w:noProof w:val="0"/>
          <w:sz w:val="24"/>
        </w:rPr>
      </w:pPr>
    </w:p>
    <w:p w:rsidR="00181D95" w:rsidP="004B077C" w14:paraId="32AAF48D" w14:textId="71F92E1D">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contextualSpacing/>
        <w:rPr>
          <w:rFonts w:ascii="Times New Roman" w:hAnsi="Times New Roman"/>
          <w:noProof w:val="0"/>
          <w:sz w:val="24"/>
        </w:rPr>
      </w:pPr>
      <w:r w:rsidRPr="008E1B3A">
        <w:rPr>
          <w:rFonts w:ascii="Times New Roman" w:hAnsi="Times New Roman"/>
          <w:noProof w:val="0"/>
          <w:sz w:val="24"/>
        </w:rPr>
        <w:t xml:space="preserve">This information collection request is associated with DEA’s </w:t>
      </w:r>
      <w:r w:rsidR="00851B10">
        <w:rPr>
          <w:rFonts w:ascii="Times New Roman" w:hAnsi="Times New Roman"/>
          <w:noProof w:val="0"/>
          <w:sz w:val="24"/>
        </w:rPr>
        <w:t>final rule</w:t>
      </w:r>
      <w:r w:rsidR="00FC3D26">
        <w:rPr>
          <w:rFonts w:ascii="Times New Roman" w:hAnsi="Times New Roman"/>
          <w:noProof w:val="0"/>
          <w:sz w:val="24"/>
        </w:rPr>
        <w:t>,</w:t>
      </w:r>
      <w:r w:rsidRPr="008E1B3A" w:rsidR="00FC3D26">
        <w:rPr>
          <w:rFonts w:ascii="Times New Roman" w:hAnsi="Times New Roman"/>
          <w:noProof w:val="0"/>
          <w:sz w:val="24"/>
        </w:rPr>
        <w:t xml:space="preserve"> </w:t>
      </w:r>
      <w:r w:rsidRPr="008E1B3A">
        <w:rPr>
          <w:rFonts w:ascii="Times New Roman" w:hAnsi="Times New Roman"/>
          <w:noProof w:val="0"/>
          <w:sz w:val="24"/>
        </w:rPr>
        <w:t>Transfer of Prescription Information between Pharmacies for Initial Filling of Electronic Prescriptions for Schedules II-V Controlled Substances</w:t>
      </w:r>
      <w:r w:rsidR="00520344">
        <w:rPr>
          <w:rFonts w:ascii="Times New Roman" w:hAnsi="Times New Roman"/>
          <w:noProof w:val="0"/>
          <w:sz w:val="24"/>
        </w:rPr>
        <w:t xml:space="preserve">, DEA-637, </w:t>
      </w:r>
      <w:r w:rsidR="00647620">
        <w:rPr>
          <w:rFonts w:ascii="Times New Roman" w:hAnsi="Times New Roman"/>
          <w:noProof w:val="0"/>
          <w:sz w:val="24"/>
        </w:rPr>
        <w:t>RIN 1117-</w:t>
      </w:r>
      <w:r w:rsidR="00752FA4">
        <w:rPr>
          <w:rFonts w:ascii="Times New Roman" w:hAnsi="Times New Roman"/>
          <w:noProof w:val="0"/>
          <w:sz w:val="24"/>
        </w:rPr>
        <w:t>AB64</w:t>
      </w:r>
      <w:r w:rsidR="00647620">
        <w:rPr>
          <w:rFonts w:ascii="Times New Roman" w:hAnsi="Times New Roman"/>
          <w:noProof w:val="0"/>
          <w:sz w:val="24"/>
        </w:rPr>
        <w:t xml:space="preserve">.  </w:t>
      </w:r>
      <w:r w:rsidR="00FC3D26">
        <w:rPr>
          <w:rFonts w:ascii="Times New Roman" w:hAnsi="Times New Roman"/>
          <w:noProof w:val="0"/>
          <w:sz w:val="24"/>
        </w:rPr>
        <w:t xml:space="preserve">DEA is </w:t>
      </w:r>
      <w:r w:rsidR="00851B10">
        <w:rPr>
          <w:rFonts w:ascii="Times New Roman" w:hAnsi="Times New Roman"/>
          <w:noProof w:val="0"/>
          <w:sz w:val="24"/>
        </w:rPr>
        <w:t>finalizing revisions to the regulations</w:t>
      </w:r>
      <w:r w:rsidR="00FC3D26">
        <w:rPr>
          <w:rFonts w:ascii="Times New Roman" w:hAnsi="Times New Roman"/>
          <w:noProof w:val="0"/>
          <w:sz w:val="24"/>
        </w:rPr>
        <w:t xml:space="preserve"> to permit the transfer of unfilled electronic prescriptions for controlled substances (EPCS) in schedules II-V between registered pharmacies.  </w:t>
      </w:r>
      <w:r w:rsidR="00DC5700">
        <w:rPr>
          <w:rFonts w:ascii="Times New Roman" w:hAnsi="Times New Roman"/>
          <w:noProof w:val="0"/>
          <w:sz w:val="24"/>
        </w:rPr>
        <w:t>Th</w:t>
      </w:r>
      <w:r w:rsidR="005017D6">
        <w:rPr>
          <w:rFonts w:ascii="Times New Roman" w:hAnsi="Times New Roman"/>
          <w:noProof w:val="0"/>
          <w:sz w:val="24"/>
        </w:rPr>
        <w:t>is information request would require pharmacies to create and maintain records documenting the transfer of unfilled EPCS between pharmacies.</w:t>
      </w:r>
      <w:r w:rsidR="00B67343">
        <w:rPr>
          <w:rFonts w:ascii="Times New Roman" w:hAnsi="Times New Roman"/>
          <w:noProof w:val="0"/>
          <w:sz w:val="24"/>
        </w:rPr>
        <w:t xml:space="preserve"> </w:t>
      </w:r>
    </w:p>
    <w:p w:rsidR="00FC3D26" w:rsidRPr="008E1B3A" w:rsidP="000550C7" w14:paraId="226EAF3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noProof w:val="0"/>
          <w:sz w:val="24"/>
        </w:rPr>
      </w:pPr>
    </w:p>
    <w:p w:rsidR="000C1537" w:rsidRPr="00B051D2" w:rsidP="000550C7" w14:paraId="210B6321"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noProof w:val="0"/>
          <w:sz w:val="24"/>
        </w:rPr>
      </w:pPr>
      <w:r w:rsidRPr="00B051D2">
        <w:rPr>
          <w:rFonts w:ascii="Times New Roman" w:hAnsi="Times New Roman"/>
          <w:b/>
          <w:noProof w:val="0"/>
          <w:sz w:val="24"/>
        </w:rPr>
        <w:t xml:space="preserve">Part </w:t>
      </w:r>
      <w:r w:rsidRPr="00B051D2">
        <w:rPr>
          <w:rFonts w:ascii="Times New Roman" w:hAnsi="Times New Roman"/>
          <w:b/>
          <w:noProof w:val="0"/>
          <w:sz w:val="24"/>
        </w:rPr>
        <w:t xml:space="preserve">A. </w:t>
      </w:r>
      <w:r w:rsidR="00D52432">
        <w:rPr>
          <w:rFonts w:ascii="Times New Roman" w:hAnsi="Times New Roman"/>
          <w:b/>
          <w:noProof w:val="0"/>
          <w:sz w:val="24"/>
        </w:rPr>
        <w:t>Justification</w:t>
      </w:r>
      <w:r w:rsidRPr="00B051D2" w:rsidR="00B051D2">
        <w:rPr>
          <w:rFonts w:ascii="Times New Roman" w:hAnsi="Times New Roman"/>
          <w:b/>
          <w:noProof w:val="0"/>
          <w:sz w:val="24"/>
        </w:rPr>
        <w:t xml:space="preserve"> </w:t>
      </w:r>
    </w:p>
    <w:p w:rsidR="001A64B0" w:rsidP="000550C7" w14:paraId="4CE69F6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noProof w:val="0"/>
          <w:sz w:val="24"/>
        </w:rPr>
      </w:pPr>
    </w:p>
    <w:p w:rsidR="004F65F6" w:rsidP="006563A4" w14:paraId="55021DBD" w14:textId="28444DB5">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1. </w:t>
      </w:r>
      <w:r w:rsidRPr="001B4940" w:rsidR="00090C0E">
        <w:rPr>
          <w:rFonts w:ascii="Times New Roman" w:hAnsi="Times New Roman"/>
          <w:noProof w:val="0"/>
          <w:sz w:val="24"/>
          <w:szCs w:val="24"/>
        </w:rPr>
        <w:t xml:space="preserve"> </w:t>
      </w:r>
      <w:r w:rsidR="00FC3D26">
        <w:rPr>
          <w:rFonts w:ascii="Times New Roman" w:hAnsi="Times New Roman"/>
          <w:noProof w:val="0"/>
          <w:sz w:val="24"/>
          <w:szCs w:val="24"/>
        </w:rPr>
        <w:t xml:space="preserve">DEA implements and enforces the Comprehensive Drug Abuse Prevention and Control Act of 1970, </w:t>
      </w:r>
      <w:r w:rsidR="0016040B">
        <w:rPr>
          <w:rFonts w:ascii="Times New Roman" w:hAnsi="Times New Roman"/>
          <w:noProof w:val="0"/>
          <w:sz w:val="24"/>
          <w:szCs w:val="24"/>
        </w:rPr>
        <w:t>often referred to as the Controlled Substances Act (CSA)</w:t>
      </w:r>
      <w:r w:rsidR="00FC3D26">
        <w:rPr>
          <w:rFonts w:ascii="Times New Roman" w:hAnsi="Times New Roman"/>
          <w:noProof w:val="0"/>
          <w:sz w:val="24"/>
          <w:szCs w:val="24"/>
        </w:rPr>
        <w:t>,</w:t>
      </w:r>
      <w:r w:rsidR="0016040B">
        <w:rPr>
          <w:rFonts w:ascii="Times New Roman" w:hAnsi="Times New Roman"/>
          <w:noProof w:val="0"/>
          <w:sz w:val="24"/>
          <w:szCs w:val="24"/>
        </w:rPr>
        <w:t xml:space="preserve"> and the Controlled Substance Import and Export Act (CSIEA),</w:t>
      </w:r>
      <w:r w:rsidR="00FC3D26">
        <w:rPr>
          <w:rFonts w:ascii="Times New Roman" w:hAnsi="Times New Roman"/>
          <w:noProof w:val="0"/>
          <w:sz w:val="24"/>
          <w:szCs w:val="24"/>
        </w:rPr>
        <w:t xml:space="preserve"> as amended.</w:t>
      </w:r>
      <w:r>
        <w:rPr>
          <w:rStyle w:val="FootnoteReference"/>
          <w:rFonts w:ascii="Times New Roman" w:hAnsi="Times New Roman"/>
          <w:noProof w:val="0"/>
          <w:sz w:val="24"/>
          <w:szCs w:val="24"/>
          <w:vertAlign w:val="superscript"/>
        </w:rPr>
        <w:footnoteReference w:id="3"/>
      </w:r>
      <w:r w:rsidR="00FC3D26">
        <w:rPr>
          <w:rFonts w:ascii="Times New Roman" w:hAnsi="Times New Roman"/>
          <w:noProof w:val="0"/>
          <w:sz w:val="24"/>
          <w:szCs w:val="24"/>
        </w:rPr>
        <w:t xml:space="preserve">  </w:t>
      </w:r>
      <w:r w:rsidR="00A703BB">
        <w:rPr>
          <w:rFonts w:ascii="Times New Roman" w:hAnsi="Times New Roman"/>
          <w:noProof w:val="0"/>
          <w:sz w:val="24"/>
          <w:szCs w:val="24"/>
        </w:rPr>
        <w:t>The</w:t>
      </w:r>
      <w:r w:rsidR="0016040B">
        <w:rPr>
          <w:rFonts w:ascii="Times New Roman" w:hAnsi="Times New Roman"/>
          <w:noProof w:val="0"/>
          <w:sz w:val="24"/>
          <w:szCs w:val="24"/>
        </w:rPr>
        <w:t xml:space="preserve"> CSA</w:t>
      </w:r>
      <w:r w:rsidR="00A703BB">
        <w:rPr>
          <w:rFonts w:ascii="Times New Roman" w:hAnsi="Times New Roman"/>
          <w:noProof w:val="0"/>
          <w:sz w:val="24"/>
          <w:szCs w:val="24"/>
        </w:rPr>
        <w:t xml:space="preserve"> requires every DEA registrant</w:t>
      </w:r>
      <w:r w:rsidR="0016040B">
        <w:rPr>
          <w:rFonts w:ascii="Times New Roman" w:hAnsi="Times New Roman"/>
          <w:noProof w:val="0"/>
          <w:sz w:val="24"/>
          <w:szCs w:val="24"/>
        </w:rPr>
        <w:t xml:space="preserve"> </w:t>
      </w:r>
      <w:r w:rsidR="00A703BB">
        <w:rPr>
          <w:rFonts w:ascii="Times New Roman" w:hAnsi="Times New Roman"/>
          <w:noProof w:val="0"/>
          <w:sz w:val="24"/>
          <w:szCs w:val="24"/>
        </w:rPr>
        <w:t>to make a biennial inventory and maintain, on a current basis, a complete and accurate record of each controlled substance manufactured, received, sold, delivered, or otherwise disposed of.</w:t>
      </w:r>
      <w:r>
        <w:rPr>
          <w:rStyle w:val="FootnoteReference"/>
          <w:rFonts w:ascii="Times New Roman" w:hAnsi="Times New Roman"/>
          <w:noProof w:val="0"/>
          <w:sz w:val="24"/>
          <w:szCs w:val="24"/>
          <w:vertAlign w:val="superscript"/>
        </w:rPr>
        <w:footnoteReference w:id="4"/>
      </w:r>
      <w:r>
        <w:rPr>
          <w:rFonts w:ascii="Times New Roman" w:hAnsi="Times New Roman"/>
          <w:noProof w:val="0"/>
          <w:sz w:val="24"/>
          <w:szCs w:val="24"/>
        </w:rPr>
        <w:t xml:space="preserve">  These records must be maintained separately from all other records of the registrant, or alternatively, in the case of nonnarcotic controlled substances, be in such form that required information is readily retrievable from ordinary business records of the registrant.</w:t>
      </w:r>
      <w:r>
        <w:rPr>
          <w:rStyle w:val="FootnoteReference"/>
          <w:rFonts w:ascii="Times New Roman" w:hAnsi="Times New Roman"/>
          <w:noProof w:val="0"/>
          <w:sz w:val="24"/>
          <w:szCs w:val="24"/>
          <w:vertAlign w:val="superscript"/>
        </w:rPr>
        <w:footnoteReference w:id="5"/>
      </w:r>
      <w:r>
        <w:rPr>
          <w:rFonts w:ascii="Times New Roman" w:hAnsi="Times New Roman"/>
          <w:noProof w:val="0"/>
          <w:sz w:val="24"/>
          <w:szCs w:val="24"/>
        </w:rPr>
        <w:t xml:space="preserve">  The records maintained by registrants must be retained and available for at least two years for inspection and copying by officers or employees of the United States as authorized by the Attorney General.</w:t>
      </w:r>
      <w:r>
        <w:rPr>
          <w:rStyle w:val="FootnoteReference"/>
          <w:rFonts w:ascii="Times New Roman" w:hAnsi="Times New Roman"/>
          <w:noProof w:val="0"/>
          <w:sz w:val="24"/>
          <w:szCs w:val="24"/>
          <w:vertAlign w:val="superscript"/>
        </w:rPr>
        <w:footnoteReference w:id="6"/>
      </w:r>
      <w:r w:rsidRPr="004F65F6">
        <w:rPr>
          <w:rFonts w:ascii="Times New Roman" w:hAnsi="Times New Roman"/>
          <w:noProof w:val="0"/>
          <w:sz w:val="24"/>
          <w:szCs w:val="24"/>
          <w:vertAlign w:val="superscript"/>
        </w:rPr>
        <w:t xml:space="preserve"> </w:t>
      </w:r>
      <w:r>
        <w:rPr>
          <w:rFonts w:ascii="Times New Roman" w:hAnsi="Times New Roman"/>
          <w:noProof w:val="0"/>
          <w:sz w:val="24"/>
          <w:szCs w:val="24"/>
        </w:rPr>
        <w:t xml:space="preserve"> The records must be in accordance with and contain such relevant information as may be required by regulations promulgated by DEA.</w:t>
      </w:r>
      <w:r>
        <w:rPr>
          <w:rStyle w:val="FootnoteReference"/>
          <w:rFonts w:ascii="Times New Roman" w:hAnsi="Times New Roman"/>
          <w:noProof w:val="0"/>
          <w:sz w:val="24"/>
          <w:szCs w:val="24"/>
          <w:vertAlign w:val="superscript"/>
        </w:rPr>
        <w:footnoteReference w:id="7"/>
      </w:r>
    </w:p>
    <w:p w:rsidR="00FC3D26" w:rsidP="004B077C" w14:paraId="39EE8170" w14:textId="6FBBD1CE">
      <w:pPr>
        <w:ind w:firstLine="360"/>
        <w:contextualSpacing/>
        <w:jc w:val="both"/>
        <w:rPr>
          <w:rFonts w:ascii="Times New Roman" w:hAnsi="Times New Roman"/>
          <w:noProof w:val="0"/>
          <w:sz w:val="24"/>
          <w:szCs w:val="24"/>
        </w:rPr>
      </w:pPr>
      <w:r>
        <w:rPr>
          <w:rFonts w:ascii="Times New Roman" w:hAnsi="Times New Roman"/>
          <w:noProof w:val="0"/>
          <w:sz w:val="24"/>
          <w:szCs w:val="24"/>
        </w:rPr>
        <w:t xml:space="preserve"> </w:t>
      </w:r>
    </w:p>
    <w:p w:rsidR="00FC3D26" w:rsidP="004B077C" w14:paraId="3B5FA162" w14:textId="2BDB5697">
      <w:pPr>
        <w:ind w:firstLine="360"/>
        <w:contextualSpacing/>
        <w:jc w:val="both"/>
        <w:rPr>
          <w:rFonts w:ascii="Times New Roman" w:hAnsi="Times New Roman"/>
          <w:noProof w:val="0"/>
          <w:sz w:val="24"/>
          <w:szCs w:val="24"/>
        </w:rPr>
      </w:pPr>
      <w:r>
        <w:rPr>
          <w:rFonts w:ascii="Times New Roman" w:hAnsi="Times New Roman"/>
          <w:noProof w:val="0"/>
          <w:sz w:val="24"/>
          <w:szCs w:val="24"/>
        </w:rPr>
        <w:t xml:space="preserve">Under this final rule, </w:t>
      </w:r>
      <w:r>
        <w:rPr>
          <w:rFonts w:ascii="Times New Roman" w:hAnsi="Times New Roman"/>
          <w:noProof w:val="0"/>
          <w:sz w:val="24"/>
          <w:szCs w:val="24"/>
        </w:rPr>
        <w:t xml:space="preserve">DEA is </w:t>
      </w:r>
      <w:r w:rsidR="005017D6">
        <w:rPr>
          <w:rFonts w:ascii="Times New Roman" w:hAnsi="Times New Roman"/>
          <w:noProof w:val="0"/>
          <w:sz w:val="24"/>
          <w:szCs w:val="24"/>
        </w:rPr>
        <w:t xml:space="preserve">permitting a registered retail pharmacy to transfer unfilled EPCS to another registered retail pharmacy for initial dispensing upon request from the patient.  </w:t>
      </w:r>
      <w:r w:rsidR="00F2538C">
        <w:rPr>
          <w:rFonts w:ascii="Times New Roman" w:hAnsi="Times New Roman"/>
          <w:noProof w:val="0"/>
          <w:sz w:val="24"/>
          <w:szCs w:val="24"/>
        </w:rPr>
        <w:t>The</w:t>
      </w:r>
      <w:r>
        <w:rPr>
          <w:rFonts w:ascii="Times New Roman" w:hAnsi="Times New Roman"/>
          <w:noProof w:val="0"/>
          <w:sz w:val="24"/>
          <w:szCs w:val="24"/>
        </w:rPr>
        <w:t xml:space="preserve"> </w:t>
      </w:r>
      <w:r w:rsidR="00851B10">
        <w:rPr>
          <w:rFonts w:ascii="Times New Roman" w:hAnsi="Times New Roman"/>
          <w:noProof w:val="0"/>
          <w:sz w:val="24"/>
          <w:szCs w:val="24"/>
        </w:rPr>
        <w:t xml:space="preserve">final </w:t>
      </w:r>
      <w:r>
        <w:rPr>
          <w:rFonts w:ascii="Times New Roman" w:hAnsi="Times New Roman"/>
          <w:noProof w:val="0"/>
          <w:sz w:val="24"/>
          <w:szCs w:val="24"/>
        </w:rPr>
        <w:t>rule require</w:t>
      </w:r>
      <w:r w:rsidR="00851B10">
        <w:rPr>
          <w:rFonts w:ascii="Times New Roman" w:hAnsi="Times New Roman"/>
          <w:noProof w:val="0"/>
          <w:sz w:val="24"/>
          <w:szCs w:val="24"/>
        </w:rPr>
        <w:t>s</w:t>
      </w:r>
      <w:r>
        <w:rPr>
          <w:rFonts w:ascii="Times New Roman" w:hAnsi="Times New Roman"/>
          <w:noProof w:val="0"/>
          <w:sz w:val="24"/>
          <w:szCs w:val="24"/>
        </w:rPr>
        <w:t xml:space="preserve"> the transferring pharmacy to note in the electronic prescription record that the prescription was transferred</w:t>
      </w:r>
      <w:r w:rsidR="000A48E5">
        <w:rPr>
          <w:rFonts w:ascii="Times New Roman" w:hAnsi="Times New Roman"/>
          <w:noProof w:val="0"/>
          <w:sz w:val="24"/>
          <w:szCs w:val="24"/>
        </w:rPr>
        <w:t xml:space="preserve">, and </w:t>
      </w:r>
      <w:r w:rsidR="00F2538C">
        <w:rPr>
          <w:rFonts w:ascii="Times New Roman" w:hAnsi="Times New Roman"/>
          <w:noProof w:val="0"/>
          <w:sz w:val="24"/>
          <w:szCs w:val="24"/>
        </w:rPr>
        <w:t>add to the prescription record</w:t>
      </w:r>
      <w:r>
        <w:rPr>
          <w:rFonts w:ascii="Times New Roman" w:hAnsi="Times New Roman"/>
          <w:noProof w:val="0"/>
          <w:sz w:val="24"/>
          <w:szCs w:val="24"/>
        </w:rPr>
        <w:t xml:space="preserve"> the name, address, and DEA registration number of the </w:t>
      </w:r>
      <w:r w:rsidR="00F2538C">
        <w:rPr>
          <w:rFonts w:ascii="Times New Roman" w:hAnsi="Times New Roman"/>
          <w:noProof w:val="0"/>
          <w:sz w:val="24"/>
          <w:szCs w:val="24"/>
        </w:rPr>
        <w:t>pharmacy to which</w:t>
      </w:r>
      <w:r>
        <w:rPr>
          <w:rFonts w:ascii="Times New Roman" w:hAnsi="Times New Roman"/>
          <w:noProof w:val="0"/>
          <w:sz w:val="24"/>
          <w:szCs w:val="24"/>
        </w:rPr>
        <w:t xml:space="preserve"> the</w:t>
      </w:r>
      <w:r w:rsidR="00F2538C">
        <w:rPr>
          <w:rFonts w:ascii="Times New Roman" w:hAnsi="Times New Roman"/>
          <w:noProof w:val="0"/>
          <w:sz w:val="24"/>
          <w:szCs w:val="24"/>
        </w:rPr>
        <w:t xml:space="preserve"> prescription was transferred, the name of the pharmacist receiving the</w:t>
      </w:r>
      <w:r>
        <w:rPr>
          <w:rFonts w:ascii="Times New Roman" w:hAnsi="Times New Roman"/>
          <w:noProof w:val="0"/>
          <w:sz w:val="24"/>
          <w:szCs w:val="24"/>
        </w:rPr>
        <w:t xml:space="preserve"> transfer</w:t>
      </w:r>
      <w:r w:rsidR="00851B10">
        <w:rPr>
          <w:rFonts w:ascii="Times New Roman" w:hAnsi="Times New Roman"/>
          <w:noProof w:val="0"/>
          <w:sz w:val="24"/>
          <w:szCs w:val="24"/>
        </w:rPr>
        <w:t>,</w:t>
      </w:r>
      <w:r>
        <w:rPr>
          <w:rFonts w:ascii="Times New Roman" w:hAnsi="Times New Roman"/>
          <w:noProof w:val="0"/>
          <w:sz w:val="24"/>
          <w:szCs w:val="24"/>
        </w:rPr>
        <w:t xml:space="preserve"> </w:t>
      </w:r>
      <w:r w:rsidR="00F2538C">
        <w:rPr>
          <w:rFonts w:ascii="Times New Roman" w:hAnsi="Times New Roman"/>
          <w:noProof w:val="0"/>
          <w:sz w:val="24"/>
          <w:szCs w:val="24"/>
        </w:rPr>
        <w:t>the name of the transferring pharmacist</w:t>
      </w:r>
      <w:r>
        <w:rPr>
          <w:rFonts w:ascii="Times New Roman" w:hAnsi="Times New Roman"/>
          <w:noProof w:val="0"/>
          <w:sz w:val="24"/>
          <w:szCs w:val="24"/>
        </w:rPr>
        <w:t>, and the date of the transfer</w:t>
      </w:r>
      <w:r w:rsidR="00F2538C">
        <w:rPr>
          <w:rFonts w:ascii="Times New Roman" w:hAnsi="Times New Roman"/>
          <w:noProof w:val="0"/>
          <w:sz w:val="24"/>
          <w:szCs w:val="24"/>
        </w:rPr>
        <w:t xml:space="preserve">. </w:t>
      </w:r>
      <w:r w:rsidR="000A48E5">
        <w:rPr>
          <w:rFonts w:ascii="Times New Roman" w:hAnsi="Times New Roman"/>
          <w:noProof w:val="0"/>
          <w:sz w:val="24"/>
          <w:szCs w:val="24"/>
        </w:rPr>
        <w:t xml:space="preserve"> </w:t>
      </w:r>
      <w:r w:rsidR="00F2538C">
        <w:rPr>
          <w:rFonts w:ascii="Times New Roman" w:hAnsi="Times New Roman"/>
          <w:noProof w:val="0"/>
          <w:sz w:val="24"/>
          <w:szCs w:val="24"/>
        </w:rPr>
        <w:t>Similarly,</w:t>
      </w:r>
      <w:r w:rsidRPr="00F2538C" w:rsidR="00F2538C">
        <w:t xml:space="preserve"> </w:t>
      </w:r>
      <w:r w:rsidRPr="00F2538C" w:rsidR="00F2538C">
        <w:rPr>
          <w:rFonts w:ascii="Times New Roman" w:hAnsi="Times New Roman"/>
          <w:noProof w:val="0"/>
          <w:sz w:val="24"/>
          <w:szCs w:val="24"/>
        </w:rPr>
        <w:t>the rule require</w:t>
      </w:r>
      <w:r w:rsidR="00851B10">
        <w:rPr>
          <w:rFonts w:ascii="Times New Roman" w:hAnsi="Times New Roman"/>
          <w:noProof w:val="0"/>
          <w:sz w:val="24"/>
          <w:szCs w:val="24"/>
        </w:rPr>
        <w:t>s</w:t>
      </w:r>
      <w:r w:rsidRPr="00F2538C" w:rsidR="00F2538C">
        <w:rPr>
          <w:rFonts w:ascii="Times New Roman" w:hAnsi="Times New Roman"/>
          <w:noProof w:val="0"/>
          <w:sz w:val="24"/>
          <w:szCs w:val="24"/>
        </w:rPr>
        <w:t xml:space="preserve"> the pharmacy receiving the transfer to record the name, </w:t>
      </w:r>
      <w:r w:rsidRPr="00F2538C" w:rsidR="00F2538C">
        <w:rPr>
          <w:rFonts w:ascii="Times New Roman" w:hAnsi="Times New Roman"/>
          <w:noProof w:val="0"/>
          <w:sz w:val="24"/>
          <w:szCs w:val="24"/>
        </w:rPr>
        <w:t>address, and DEA registration number of the transferring pharmacy, the name of the transferring pharmacist, the name of the pharmacist receiving the transfer, and the date of the transfer.</w:t>
      </w:r>
      <w:r>
        <w:rPr>
          <w:rFonts w:ascii="Times New Roman" w:hAnsi="Times New Roman"/>
          <w:noProof w:val="0"/>
          <w:sz w:val="24"/>
          <w:szCs w:val="24"/>
        </w:rPr>
        <w:t xml:space="preserve">  </w:t>
      </w:r>
      <w:r w:rsidR="000A48E5">
        <w:rPr>
          <w:rFonts w:ascii="Times New Roman" w:hAnsi="Times New Roman"/>
          <w:noProof w:val="0"/>
          <w:sz w:val="24"/>
          <w:szCs w:val="24"/>
        </w:rPr>
        <w:t xml:space="preserve">These </w:t>
      </w:r>
      <w:r w:rsidR="00A334B2">
        <w:rPr>
          <w:rFonts w:ascii="Times New Roman" w:hAnsi="Times New Roman"/>
          <w:noProof w:val="0"/>
          <w:sz w:val="24"/>
          <w:szCs w:val="24"/>
        </w:rPr>
        <w:t>records must</w:t>
      </w:r>
      <w:r w:rsidR="000A48E5">
        <w:rPr>
          <w:rFonts w:ascii="Times New Roman" w:hAnsi="Times New Roman"/>
          <w:noProof w:val="0"/>
          <w:sz w:val="24"/>
          <w:szCs w:val="24"/>
        </w:rPr>
        <w:t xml:space="preserve"> be retained by both pharmacies for at least two years from the date of the transfer.  </w:t>
      </w:r>
    </w:p>
    <w:p w:rsidR="00512671" w:rsidP="000550C7" w14:paraId="2E0949EE" w14:textId="091C0EC0">
      <w:pPr>
        <w:contextualSpacing/>
        <w:jc w:val="both"/>
        <w:rPr>
          <w:rFonts w:ascii="Times New Roman" w:hAnsi="Times New Roman"/>
          <w:noProof w:val="0"/>
          <w:sz w:val="24"/>
          <w:szCs w:val="24"/>
        </w:rPr>
      </w:pPr>
    </w:p>
    <w:p w:rsidR="00BC5E35" w:rsidP="006563A4" w14:paraId="22C766C6" w14:textId="0F1DFE32">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2. </w:t>
      </w:r>
      <w:r w:rsidRPr="001B4940" w:rsidR="00090C0E">
        <w:rPr>
          <w:rFonts w:ascii="Times New Roman" w:hAnsi="Times New Roman"/>
          <w:noProof w:val="0"/>
          <w:sz w:val="24"/>
          <w:szCs w:val="24"/>
        </w:rPr>
        <w:t xml:space="preserve"> </w:t>
      </w:r>
      <w:r w:rsidR="00A334B2">
        <w:rPr>
          <w:rFonts w:ascii="Times New Roman" w:hAnsi="Times New Roman"/>
          <w:noProof w:val="0"/>
          <w:sz w:val="24"/>
          <w:szCs w:val="24"/>
        </w:rPr>
        <w:t xml:space="preserve">This information collection would require </w:t>
      </w:r>
      <w:r w:rsidR="0071658B">
        <w:rPr>
          <w:rFonts w:ascii="Times New Roman" w:hAnsi="Times New Roman"/>
          <w:noProof w:val="0"/>
          <w:sz w:val="24"/>
          <w:szCs w:val="24"/>
        </w:rPr>
        <w:t>the</w:t>
      </w:r>
      <w:r>
        <w:rPr>
          <w:rFonts w:ascii="Times New Roman" w:hAnsi="Times New Roman"/>
          <w:noProof w:val="0"/>
          <w:sz w:val="24"/>
          <w:szCs w:val="24"/>
        </w:rPr>
        <w:t xml:space="preserve"> transferring pharmacy to update the electronic prescription record to note that the prescription was transferred, and to add the following information:  the name, address, and DEA registration number of the pharmacy to which the prescription was transferred; the name of the pharmacist receiving the transfer; the name of the transferring pharmacist; and the date of the transfer.  The pharmacy receiving the transfer would be required to update the electronic prescription record with the name, address, and DEA registration number of the pharmacy transferring the prescription, the name of the transferring pharmacist, the name of the pharmacist receiving the transfer, and the date of the transfer.</w:t>
      </w:r>
    </w:p>
    <w:p w:rsidR="00BC5E35" w:rsidP="004B077C" w14:paraId="6E06F671" w14:textId="74B6F33B">
      <w:pPr>
        <w:ind w:firstLine="360"/>
        <w:contextualSpacing/>
        <w:jc w:val="both"/>
        <w:rPr>
          <w:rFonts w:ascii="Times New Roman" w:hAnsi="Times New Roman"/>
          <w:noProof w:val="0"/>
          <w:sz w:val="24"/>
          <w:szCs w:val="24"/>
        </w:rPr>
      </w:pPr>
    </w:p>
    <w:p w:rsidR="00BC5E35" w:rsidP="004B077C" w14:paraId="0A54B63E" w14:textId="2A09E582">
      <w:pPr>
        <w:ind w:firstLine="360"/>
        <w:contextualSpacing/>
        <w:jc w:val="both"/>
        <w:rPr>
          <w:rFonts w:ascii="Times New Roman" w:hAnsi="Times New Roman"/>
          <w:noProof w:val="0"/>
          <w:sz w:val="24"/>
          <w:szCs w:val="24"/>
        </w:rPr>
      </w:pPr>
      <w:r>
        <w:rPr>
          <w:rFonts w:ascii="Times New Roman" w:hAnsi="Times New Roman"/>
          <w:noProof w:val="0"/>
          <w:sz w:val="24"/>
          <w:szCs w:val="24"/>
        </w:rPr>
        <w:t xml:space="preserve">These recordkeeping requirements enable </w:t>
      </w:r>
      <w:r w:rsidRPr="00BC5E35">
        <w:rPr>
          <w:rFonts w:ascii="Times New Roman" w:hAnsi="Times New Roman"/>
          <w:noProof w:val="0"/>
          <w:sz w:val="24"/>
          <w:szCs w:val="24"/>
        </w:rPr>
        <w:t xml:space="preserve">DEA to maintain complete accountability for all </w:t>
      </w:r>
      <w:r>
        <w:rPr>
          <w:rFonts w:ascii="Times New Roman" w:hAnsi="Times New Roman"/>
          <w:noProof w:val="0"/>
          <w:sz w:val="24"/>
          <w:szCs w:val="24"/>
        </w:rPr>
        <w:t>EPCS</w:t>
      </w:r>
      <w:r w:rsidRPr="00BC5E35">
        <w:rPr>
          <w:rFonts w:ascii="Times New Roman" w:hAnsi="Times New Roman"/>
          <w:noProof w:val="0"/>
          <w:sz w:val="24"/>
          <w:szCs w:val="24"/>
        </w:rPr>
        <w:t xml:space="preserve"> dispensed by a p</w:t>
      </w:r>
      <w:r>
        <w:rPr>
          <w:rFonts w:ascii="Times New Roman" w:hAnsi="Times New Roman"/>
          <w:noProof w:val="0"/>
          <w:sz w:val="24"/>
          <w:szCs w:val="24"/>
        </w:rPr>
        <w:t>harmacy</w:t>
      </w:r>
      <w:r w:rsidRPr="00BC5E35">
        <w:rPr>
          <w:rFonts w:ascii="Times New Roman" w:hAnsi="Times New Roman"/>
          <w:noProof w:val="0"/>
          <w:sz w:val="24"/>
          <w:szCs w:val="24"/>
        </w:rPr>
        <w:t>.  This accountability allow</w:t>
      </w:r>
      <w:r>
        <w:rPr>
          <w:rFonts w:ascii="Times New Roman" w:hAnsi="Times New Roman"/>
          <w:noProof w:val="0"/>
          <w:sz w:val="24"/>
          <w:szCs w:val="24"/>
        </w:rPr>
        <w:t>s</w:t>
      </w:r>
      <w:r w:rsidRPr="00BC5E35">
        <w:rPr>
          <w:rFonts w:ascii="Times New Roman" w:hAnsi="Times New Roman"/>
          <w:noProof w:val="0"/>
          <w:sz w:val="24"/>
          <w:szCs w:val="24"/>
        </w:rPr>
        <w:t xml:space="preserve"> DEA to maintain a closed system of distribution for </w:t>
      </w:r>
      <w:r>
        <w:rPr>
          <w:rFonts w:ascii="Times New Roman" w:hAnsi="Times New Roman"/>
          <w:noProof w:val="0"/>
          <w:sz w:val="24"/>
          <w:szCs w:val="24"/>
        </w:rPr>
        <w:t>EPCS</w:t>
      </w:r>
      <w:r>
        <w:rPr>
          <w:rFonts w:ascii="Times New Roman" w:hAnsi="Times New Roman"/>
          <w:noProof w:val="0"/>
          <w:sz w:val="24"/>
          <w:szCs w:val="24"/>
        </w:rPr>
        <w:t xml:space="preserve"> and</w:t>
      </w:r>
      <w:r w:rsidR="00295D62">
        <w:rPr>
          <w:rFonts w:ascii="Times New Roman" w:hAnsi="Times New Roman"/>
          <w:noProof w:val="0"/>
          <w:sz w:val="24"/>
          <w:szCs w:val="24"/>
        </w:rPr>
        <w:t xml:space="preserve"> reduce</w:t>
      </w:r>
      <w:r>
        <w:rPr>
          <w:rFonts w:ascii="Times New Roman" w:hAnsi="Times New Roman"/>
          <w:noProof w:val="0"/>
          <w:sz w:val="24"/>
          <w:szCs w:val="24"/>
        </w:rPr>
        <w:t>s</w:t>
      </w:r>
      <w:r w:rsidR="00295D62">
        <w:rPr>
          <w:rFonts w:ascii="Times New Roman" w:hAnsi="Times New Roman"/>
          <w:noProof w:val="0"/>
          <w:sz w:val="24"/>
          <w:szCs w:val="24"/>
        </w:rPr>
        <w:t xml:space="preserve"> opportunities for diversion</w:t>
      </w:r>
      <w:r w:rsidRPr="00BC5E35">
        <w:rPr>
          <w:rFonts w:ascii="Times New Roman" w:hAnsi="Times New Roman"/>
          <w:noProof w:val="0"/>
          <w:sz w:val="24"/>
          <w:szCs w:val="24"/>
        </w:rPr>
        <w:t>.</w:t>
      </w:r>
    </w:p>
    <w:p w:rsidR="00001766" w:rsidP="000550C7" w14:paraId="5F5C59F9" w14:textId="77777777">
      <w:pPr>
        <w:contextualSpacing/>
        <w:jc w:val="both"/>
        <w:rPr>
          <w:rFonts w:ascii="Times New Roman" w:hAnsi="Times New Roman"/>
          <w:noProof w:val="0"/>
          <w:sz w:val="24"/>
          <w:szCs w:val="24"/>
        </w:rPr>
      </w:pPr>
    </w:p>
    <w:p w:rsidR="00AA4A98" w:rsidRPr="00813A52" w:rsidP="006563A4" w14:paraId="039547B8" w14:textId="69E0CA2C">
      <w:pPr>
        <w:contextualSpacing/>
        <w:rPr>
          <w:rFonts w:ascii="Times New Roman" w:hAnsi="Times New Roman"/>
          <w:noProof w:val="0"/>
          <w:sz w:val="24"/>
          <w:szCs w:val="24"/>
        </w:rPr>
      </w:pPr>
      <w:r w:rsidRPr="001B4940">
        <w:rPr>
          <w:rFonts w:ascii="Times New Roman" w:hAnsi="Times New Roman"/>
          <w:noProof w:val="0"/>
          <w:sz w:val="24"/>
          <w:szCs w:val="24"/>
        </w:rPr>
        <w:t xml:space="preserve">3. </w:t>
      </w:r>
      <w:r w:rsidRPr="001B4940" w:rsidR="00090C0E">
        <w:rPr>
          <w:rFonts w:ascii="Times New Roman" w:hAnsi="Times New Roman"/>
          <w:noProof w:val="0"/>
          <w:sz w:val="24"/>
          <w:szCs w:val="24"/>
        </w:rPr>
        <w:t xml:space="preserve"> </w:t>
      </w:r>
      <w:r w:rsidR="00001766">
        <w:rPr>
          <w:rFonts w:ascii="Times New Roman" w:hAnsi="Times New Roman"/>
          <w:noProof w:val="0"/>
          <w:sz w:val="24"/>
          <w:szCs w:val="24"/>
        </w:rPr>
        <w:t>These requirements do not involve reporting, and therefore, issues related to electronic submission are not applicable.  The records of EPCS transfers between pharmacies will be maintained electronically in the pharmacies’ electronic prescription applications.</w:t>
      </w:r>
    </w:p>
    <w:p w:rsidR="00AA4A98" w:rsidRPr="001B4940" w:rsidP="000550C7" w14:paraId="6DEC4EA2" w14:textId="77777777">
      <w:pPr>
        <w:contextualSpacing/>
        <w:rPr>
          <w:rFonts w:ascii="Times New Roman" w:hAnsi="Times New Roman"/>
          <w:noProof w:val="0"/>
          <w:sz w:val="24"/>
          <w:szCs w:val="24"/>
        </w:rPr>
      </w:pPr>
    </w:p>
    <w:p w:rsidR="00CE207E" w:rsidRPr="000550C7" w:rsidP="006563A4" w14:paraId="7141AC5B" w14:textId="5EAB2BA2">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4. </w:t>
      </w:r>
      <w:r w:rsidRPr="000550C7" w:rsidR="00090C0E">
        <w:rPr>
          <w:rFonts w:ascii="Times New Roman" w:hAnsi="Times New Roman"/>
          <w:noProof w:val="0"/>
          <w:sz w:val="24"/>
          <w:szCs w:val="24"/>
        </w:rPr>
        <w:t xml:space="preserve"> </w:t>
      </w:r>
      <w:r w:rsidR="00AA4671">
        <w:rPr>
          <w:rFonts w:ascii="Times New Roman" w:hAnsi="Times New Roman"/>
          <w:noProof w:val="0"/>
          <w:sz w:val="24"/>
          <w:szCs w:val="24"/>
        </w:rPr>
        <w:t>DEA has made efforts to identify and prevent duplication of information.  The collection of this information is unique to DEA and is not duplicative.</w:t>
      </w:r>
    </w:p>
    <w:p w:rsidR="00AF2AFA" w:rsidRPr="001B4940" w:rsidP="000550C7" w14:paraId="7F7E0735" w14:textId="77777777">
      <w:pPr>
        <w:tabs>
          <w:tab w:val="left" w:pos="720"/>
          <w:tab w:val="left" w:pos="1440"/>
          <w:tab w:val="left" w:pos="2160"/>
        </w:tabs>
        <w:contextualSpacing/>
        <w:rPr>
          <w:rFonts w:ascii="Times New Roman" w:hAnsi="Times New Roman"/>
          <w:noProof w:val="0"/>
          <w:sz w:val="24"/>
          <w:szCs w:val="24"/>
        </w:rPr>
      </w:pPr>
    </w:p>
    <w:p w:rsidR="00CE207E" w:rsidRPr="000550C7" w:rsidP="006563A4" w14:paraId="7E285278" w14:textId="7F80EEAE">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5. </w:t>
      </w:r>
      <w:r w:rsidRPr="001B4940" w:rsidR="00090C0E">
        <w:rPr>
          <w:rFonts w:ascii="Times New Roman" w:hAnsi="Times New Roman"/>
          <w:noProof w:val="0"/>
          <w:sz w:val="24"/>
          <w:szCs w:val="24"/>
        </w:rPr>
        <w:t xml:space="preserve"> </w:t>
      </w:r>
      <w:r w:rsidR="00AA4671">
        <w:rPr>
          <w:rFonts w:ascii="Times New Roman" w:hAnsi="Times New Roman"/>
          <w:noProof w:val="0"/>
          <w:sz w:val="24"/>
          <w:szCs w:val="24"/>
        </w:rPr>
        <w:t>DEA</w:t>
      </w:r>
      <w:r w:rsidR="00B13743">
        <w:rPr>
          <w:rFonts w:ascii="Times New Roman" w:hAnsi="Times New Roman"/>
          <w:noProof w:val="0"/>
          <w:sz w:val="24"/>
          <w:szCs w:val="24"/>
        </w:rPr>
        <w:t xml:space="preserve"> expects this collection will not </w:t>
      </w:r>
      <w:r w:rsidR="00AA4671">
        <w:rPr>
          <w:rFonts w:ascii="Times New Roman" w:hAnsi="Times New Roman"/>
          <w:noProof w:val="0"/>
          <w:sz w:val="24"/>
          <w:szCs w:val="24"/>
        </w:rPr>
        <w:t>have a significant economic impact on a substantial number of small entities</w:t>
      </w:r>
      <w:r w:rsidR="00B13743">
        <w:rPr>
          <w:rFonts w:ascii="Times New Roman" w:hAnsi="Times New Roman"/>
          <w:noProof w:val="0"/>
          <w:sz w:val="24"/>
          <w:szCs w:val="24"/>
        </w:rPr>
        <w:t xml:space="preserve"> within the meaning and intent of the Regulatory Flexibility Act, 5 U.S.C. 601-612</w:t>
      </w:r>
      <w:r w:rsidR="00AA4671">
        <w:rPr>
          <w:rFonts w:ascii="Times New Roman" w:hAnsi="Times New Roman"/>
          <w:noProof w:val="0"/>
          <w:sz w:val="24"/>
          <w:szCs w:val="24"/>
        </w:rPr>
        <w:t>.</w:t>
      </w:r>
    </w:p>
    <w:p w:rsidR="00E975C5" w:rsidRPr="001B4940" w:rsidP="000550C7" w14:paraId="6BF0C63E" w14:textId="77777777">
      <w:pPr>
        <w:contextualSpacing/>
        <w:rPr>
          <w:rFonts w:ascii="Times New Roman" w:hAnsi="Times New Roman"/>
          <w:noProof w:val="0"/>
          <w:sz w:val="24"/>
          <w:szCs w:val="24"/>
        </w:rPr>
      </w:pPr>
    </w:p>
    <w:p w:rsidR="00FC3D26" w:rsidRPr="001B4940" w:rsidP="006563A4" w14:paraId="2A2210C4" w14:textId="5C89BE74">
      <w:pPr>
        <w:contextualSpacing/>
        <w:rPr>
          <w:rFonts w:ascii="Times New Roman" w:hAnsi="Times New Roman"/>
          <w:noProof w:val="0"/>
          <w:sz w:val="24"/>
          <w:szCs w:val="24"/>
        </w:rPr>
      </w:pPr>
      <w:r w:rsidRPr="001B4940">
        <w:rPr>
          <w:rFonts w:ascii="Times New Roman" w:hAnsi="Times New Roman"/>
          <w:noProof w:val="0"/>
          <w:sz w:val="24"/>
          <w:szCs w:val="24"/>
        </w:rPr>
        <w:t xml:space="preserve">6. </w:t>
      </w:r>
      <w:r w:rsidRPr="001B4940" w:rsidR="00090C0E">
        <w:rPr>
          <w:rFonts w:ascii="Times New Roman" w:hAnsi="Times New Roman"/>
          <w:noProof w:val="0"/>
          <w:sz w:val="24"/>
          <w:szCs w:val="24"/>
        </w:rPr>
        <w:t xml:space="preserve"> </w:t>
      </w:r>
      <w:r>
        <w:rPr>
          <w:rFonts w:ascii="Times New Roman" w:hAnsi="Times New Roman"/>
          <w:noProof w:val="0"/>
          <w:sz w:val="24"/>
          <w:szCs w:val="24"/>
        </w:rPr>
        <w:t>Pursuant to 21 U.S.C. 827(b), records must be maintained for a period of at least two years.  DEA does not have the authority to reduce the burden or period of recordkeeping.  Failure to collect the information or to conduct the collection less frequently will contravene the CSA, reduce accountability, and increase the risks of diversion.</w:t>
      </w:r>
    </w:p>
    <w:p w:rsidR="008964A5" w:rsidRPr="001B4940" w:rsidP="000550C7" w14:paraId="259FA390" w14:textId="77777777">
      <w:pPr>
        <w:contextualSpacing/>
        <w:rPr>
          <w:rFonts w:ascii="Times New Roman" w:hAnsi="Times New Roman"/>
          <w:noProof w:val="0"/>
          <w:sz w:val="24"/>
          <w:szCs w:val="24"/>
        </w:rPr>
      </w:pPr>
    </w:p>
    <w:p w:rsidR="00CE207E" w:rsidRPr="001B4940" w:rsidP="006563A4" w14:paraId="19992B7C" w14:textId="150286FE">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7. </w:t>
      </w:r>
      <w:r w:rsidRPr="000550C7" w:rsidR="00090C0E">
        <w:rPr>
          <w:rFonts w:ascii="Times New Roman" w:hAnsi="Times New Roman"/>
          <w:noProof w:val="0"/>
          <w:sz w:val="24"/>
          <w:szCs w:val="24"/>
        </w:rPr>
        <w:t xml:space="preserve"> </w:t>
      </w:r>
      <w:r w:rsidRPr="00AA4A98" w:rsidR="00AD6D9C">
        <w:rPr>
          <w:rFonts w:ascii="Times New Roman" w:hAnsi="Times New Roman"/>
          <w:noProof w:val="0"/>
          <w:sz w:val="24"/>
          <w:szCs w:val="24"/>
        </w:rPr>
        <w:t xml:space="preserve">There are no special circumstances applicable to this information collection. </w:t>
      </w:r>
    </w:p>
    <w:p w:rsidR="00695627" w:rsidRPr="001B4940" w:rsidP="000550C7" w14:paraId="2425ED5E" w14:textId="77777777">
      <w:pPr>
        <w:contextualSpacing/>
        <w:rPr>
          <w:rFonts w:ascii="Times New Roman" w:hAnsi="Times New Roman"/>
          <w:noProof w:val="0"/>
          <w:sz w:val="24"/>
          <w:szCs w:val="24"/>
        </w:rPr>
      </w:pPr>
    </w:p>
    <w:p w:rsidR="00530949" w:rsidP="006563A4" w14:paraId="06A39E80" w14:textId="20EFD171">
      <w:pPr>
        <w:tabs>
          <w:tab w:val="left" w:pos="720"/>
          <w:tab w:val="left" w:pos="1440"/>
          <w:tab w:val="left" w:pos="2160"/>
        </w:tabs>
        <w:contextualSpacing/>
        <w:rPr>
          <w:rFonts w:ascii="Times New Roman" w:hAnsi="Times New Roman"/>
          <w:sz w:val="24"/>
          <w:szCs w:val="24"/>
        </w:rPr>
      </w:pPr>
      <w:r w:rsidRPr="001B4940">
        <w:rPr>
          <w:rFonts w:ascii="Times New Roman" w:hAnsi="Times New Roman"/>
          <w:noProof w:val="0"/>
          <w:sz w:val="24"/>
          <w:szCs w:val="24"/>
        </w:rPr>
        <w:t xml:space="preserve">8. </w:t>
      </w:r>
      <w:r w:rsidRPr="001B4940" w:rsidR="00090C0E">
        <w:rPr>
          <w:rFonts w:ascii="Times New Roman" w:hAnsi="Times New Roman"/>
          <w:noProof w:val="0"/>
          <w:sz w:val="24"/>
          <w:szCs w:val="24"/>
        </w:rPr>
        <w:t xml:space="preserve"> </w:t>
      </w:r>
      <w:r w:rsidR="00976CFE">
        <w:rPr>
          <w:rFonts w:ascii="Times New Roman" w:hAnsi="Times New Roman"/>
          <w:sz w:val="24"/>
          <w:szCs w:val="24"/>
        </w:rPr>
        <w:t>The 60-day Notice was published i</w:t>
      </w:r>
      <w:r>
        <w:rPr>
          <w:rFonts w:ascii="Times New Roman" w:hAnsi="Times New Roman"/>
          <w:sz w:val="24"/>
          <w:szCs w:val="24"/>
        </w:rPr>
        <w:t xml:space="preserve">n the </w:t>
      </w:r>
      <w:r w:rsidRPr="00E87C0B">
        <w:rPr>
          <w:rFonts w:ascii="Times New Roman" w:hAnsi="Times New Roman"/>
          <w:i/>
          <w:sz w:val="24"/>
          <w:szCs w:val="24"/>
        </w:rPr>
        <w:t>Federal Register</w:t>
      </w:r>
      <w:r>
        <w:rPr>
          <w:rFonts w:ascii="Times New Roman" w:hAnsi="Times New Roman"/>
          <w:sz w:val="24"/>
          <w:szCs w:val="24"/>
        </w:rPr>
        <w:t xml:space="preserve"> on November 19, 2021 at 86 FR 64881.  </w:t>
      </w:r>
      <w:r w:rsidR="00976CFE">
        <w:rPr>
          <w:rFonts w:ascii="Times New Roman" w:hAnsi="Times New Roman"/>
          <w:sz w:val="24"/>
          <w:szCs w:val="24"/>
        </w:rPr>
        <w:t>The comment period ended on January 18, 2022.</w:t>
      </w:r>
      <w:r w:rsidR="006E6456">
        <w:rPr>
          <w:rFonts w:ascii="Times New Roman" w:hAnsi="Times New Roman"/>
          <w:sz w:val="24"/>
          <w:szCs w:val="24"/>
        </w:rPr>
        <w:t xml:space="preserve"> </w:t>
      </w:r>
      <w:r w:rsidR="00976CFE">
        <w:rPr>
          <w:rFonts w:ascii="Times New Roman" w:hAnsi="Times New Roman"/>
          <w:sz w:val="24"/>
          <w:szCs w:val="24"/>
        </w:rPr>
        <w:t xml:space="preserve"> No comments were received</w:t>
      </w:r>
      <w:r w:rsidR="00096518">
        <w:rPr>
          <w:rFonts w:ascii="Times New Roman" w:hAnsi="Times New Roman"/>
          <w:sz w:val="24"/>
          <w:szCs w:val="24"/>
        </w:rPr>
        <w:t>.</w:t>
      </w:r>
      <w:r w:rsidR="00F710BC">
        <w:rPr>
          <w:rFonts w:ascii="Times New Roman" w:hAnsi="Times New Roman"/>
          <w:sz w:val="24"/>
          <w:szCs w:val="24"/>
        </w:rPr>
        <w:t xml:space="preserve">  The final rule published in the </w:t>
      </w:r>
      <w:r w:rsidRPr="000A3366" w:rsidR="00F710BC">
        <w:rPr>
          <w:rFonts w:ascii="Times New Roman" w:hAnsi="Times New Roman"/>
          <w:i/>
          <w:sz w:val="24"/>
          <w:szCs w:val="24"/>
        </w:rPr>
        <w:t>Federal Register</w:t>
      </w:r>
      <w:r w:rsidR="00F710BC">
        <w:rPr>
          <w:rFonts w:ascii="Times New Roman" w:hAnsi="Times New Roman"/>
          <w:sz w:val="24"/>
          <w:szCs w:val="24"/>
        </w:rPr>
        <w:t xml:space="preserve"> on </w:t>
      </w:r>
      <w:r w:rsidR="00DC44DE">
        <w:rPr>
          <w:rFonts w:ascii="Times New Roman" w:hAnsi="Times New Roman"/>
          <w:sz w:val="24"/>
          <w:szCs w:val="24"/>
        </w:rPr>
        <w:t>July 2</w:t>
      </w:r>
      <w:r w:rsidR="00983DED">
        <w:rPr>
          <w:rFonts w:ascii="Times New Roman" w:hAnsi="Times New Roman"/>
          <w:sz w:val="24"/>
          <w:szCs w:val="24"/>
        </w:rPr>
        <w:t>7</w:t>
      </w:r>
      <w:r w:rsidR="00B108F3">
        <w:rPr>
          <w:rFonts w:ascii="Times New Roman" w:hAnsi="Times New Roman"/>
          <w:sz w:val="24"/>
          <w:szCs w:val="24"/>
        </w:rPr>
        <w:t>, 2023</w:t>
      </w:r>
      <w:r w:rsidR="00F710BC">
        <w:rPr>
          <w:rFonts w:ascii="Times New Roman" w:hAnsi="Times New Roman"/>
          <w:sz w:val="24"/>
          <w:szCs w:val="24"/>
        </w:rPr>
        <w:t xml:space="preserve">, at </w:t>
      </w:r>
      <w:r w:rsidR="006E6456">
        <w:rPr>
          <w:rFonts w:ascii="Times New Roman" w:hAnsi="Times New Roman"/>
          <w:sz w:val="24"/>
          <w:szCs w:val="24"/>
        </w:rPr>
        <w:t>88</w:t>
      </w:r>
      <w:r w:rsidR="00F710BC">
        <w:rPr>
          <w:rFonts w:ascii="Times New Roman" w:hAnsi="Times New Roman"/>
          <w:sz w:val="24"/>
          <w:szCs w:val="24"/>
        </w:rPr>
        <w:t xml:space="preserve"> FR</w:t>
      </w:r>
      <w:r w:rsidR="006E6456">
        <w:rPr>
          <w:rFonts w:ascii="Times New Roman" w:hAnsi="Times New Roman"/>
          <w:sz w:val="24"/>
          <w:szCs w:val="24"/>
        </w:rPr>
        <w:t xml:space="preserve"> 48365</w:t>
      </w:r>
      <w:r w:rsidR="00F710BC">
        <w:rPr>
          <w:rFonts w:ascii="Times New Roman" w:hAnsi="Times New Roman"/>
          <w:sz w:val="24"/>
          <w:szCs w:val="24"/>
        </w:rPr>
        <w:t>.</w:t>
      </w:r>
    </w:p>
    <w:p w:rsidR="00AA4A98" w:rsidP="004B077C" w14:paraId="4A315D90" w14:textId="11B4C03D">
      <w:pPr>
        <w:ind w:firstLine="360"/>
        <w:contextualSpacing/>
        <w:rPr>
          <w:rFonts w:ascii="Times New Roman" w:hAnsi="Times New Roman"/>
          <w:sz w:val="24"/>
          <w:szCs w:val="24"/>
        </w:rPr>
      </w:pPr>
    </w:p>
    <w:p w:rsidR="00695627" w:rsidRPr="00AA4A98" w:rsidP="004B077C" w14:paraId="1CB616C4" w14:textId="26288720">
      <w:pPr>
        <w:ind w:firstLine="360"/>
        <w:contextualSpacing/>
        <w:rPr>
          <w:rFonts w:ascii="Times New Roman" w:hAnsi="Times New Roman"/>
          <w:sz w:val="24"/>
          <w:szCs w:val="24"/>
        </w:rPr>
      </w:pPr>
      <w:r w:rsidRPr="00AA4A98">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003E411E" w:rsidRPr="00AA4A98" w:rsidP="000550C7" w14:paraId="10941062" w14:textId="77777777">
      <w:pPr>
        <w:contextualSpacing/>
        <w:rPr>
          <w:rFonts w:ascii="Times New Roman" w:hAnsi="Times New Roman"/>
          <w:sz w:val="24"/>
          <w:szCs w:val="24"/>
        </w:rPr>
      </w:pPr>
    </w:p>
    <w:p w:rsidR="00072531" w:rsidRPr="000550C7" w:rsidP="006563A4" w14:paraId="30523E30" w14:textId="259BC96C">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9. </w:t>
      </w:r>
      <w:r w:rsidRPr="001B4940" w:rsidR="00090C0E">
        <w:rPr>
          <w:rFonts w:ascii="Times New Roman" w:hAnsi="Times New Roman"/>
          <w:noProof w:val="0"/>
          <w:sz w:val="24"/>
          <w:szCs w:val="24"/>
        </w:rPr>
        <w:t xml:space="preserve"> </w:t>
      </w:r>
      <w:r w:rsidRPr="000550C7" w:rsidR="00A52C58">
        <w:rPr>
          <w:rFonts w:ascii="Times New Roman" w:hAnsi="Times New Roman"/>
          <w:noProof w:val="0"/>
          <w:sz w:val="24"/>
          <w:szCs w:val="24"/>
        </w:rPr>
        <w:t>This collection of information does not propose to provide any payment or gift to respondents.</w:t>
      </w:r>
    </w:p>
    <w:p w:rsidR="00A52C58" w:rsidRPr="000550C7" w:rsidP="000550C7" w14:paraId="5E289146" w14:textId="77777777">
      <w:pPr>
        <w:contextualSpacing/>
        <w:rPr>
          <w:rFonts w:ascii="Times New Roman" w:hAnsi="Times New Roman"/>
          <w:noProof w:val="0"/>
          <w:sz w:val="24"/>
          <w:szCs w:val="24"/>
        </w:rPr>
      </w:pPr>
    </w:p>
    <w:p w:rsidR="001A64B0" w:rsidRPr="00AA4A98" w:rsidP="006563A4" w14:paraId="6FFC89FC" w14:textId="69461E7A">
      <w:pPr>
        <w:tabs>
          <w:tab w:val="left" w:pos="720"/>
          <w:tab w:val="left" w:pos="1440"/>
          <w:tab w:val="left" w:pos="2160"/>
        </w:tabs>
        <w:contextualSpacing/>
        <w:rPr>
          <w:rFonts w:ascii="Times New Roman" w:hAnsi="Times New Roman"/>
          <w:sz w:val="24"/>
          <w:szCs w:val="24"/>
        </w:rPr>
      </w:pPr>
      <w:r w:rsidRPr="000550C7">
        <w:rPr>
          <w:rFonts w:ascii="Times New Roman" w:hAnsi="Times New Roman"/>
          <w:noProof w:val="0"/>
          <w:sz w:val="24"/>
          <w:szCs w:val="24"/>
        </w:rPr>
        <w:t xml:space="preserve">10. </w:t>
      </w:r>
      <w:r w:rsidRPr="000550C7" w:rsidR="00090C0E">
        <w:rPr>
          <w:rFonts w:ascii="Times New Roman" w:hAnsi="Times New Roman"/>
          <w:noProof w:val="0"/>
          <w:sz w:val="24"/>
          <w:szCs w:val="24"/>
        </w:rPr>
        <w:t xml:space="preserve"> </w:t>
      </w:r>
      <w:r w:rsidRPr="00AA4A98" w:rsid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009151B2" w:rsidRPr="001B4940" w:rsidP="000550C7" w14:paraId="46467AAA" w14:textId="77777777">
      <w:pPr>
        <w:contextualSpacing/>
        <w:rPr>
          <w:rFonts w:ascii="Times New Roman" w:hAnsi="Times New Roman"/>
          <w:noProof w:val="0"/>
          <w:sz w:val="24"/>
          <w:szCs w:val="24"/>
        </w:rPr>
      </w:pPr>
    </w:p>
    <w:p w:rsidR="00072531" w:rsidRPr="000550C7" w:rsidP="006563A4" w14:paraId="08DF6B20" w14:textId="3F925976">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11. </w:t>
      </w:r>
      <w:r w:rsidRPr="000550C7" w:rsidR="00090C0E">
        <w:rPr>
          <w:rFonts w:ascii="Times New Roman" w:hAnsi="Times New Roman"/>
          <w:noProof w:val="0"/>
          <w:sz w:val="24"/>
          <w:szCs w:val="24"/>
        </w:rPr>
        <w:t xml:space="preserve"> </w:t>
      </w:r>
      <w:r w:rsidRPr="000550C7" w:rsidR="00B051D2">
        <w:rPr>
          <w:rFonts w:ascii="Times New Roman" w:hAnsi="Times New Roman"/>
          <w:noProof w:val="0"/>
          <w:sz w:val="24"/>
          <w:szCs w:val="24"/>
        </w:rPr>
        <w:t xml:space="preserve">This collection of information does </w:t>
      </w:r>
      <w:r w:rsidR="00181D95">
        <w:rPr>
          <w:rFonts w:ascii="Times New Roman" w:hAnsi="Times New Roman"/>
          <w:noProof w:val="0"/>
          <w:sz w:val="24"/>
          <w:szCs w:val="24"/>
        </w:rPr>
        <w:t xml:space="preserve">not </w:t>
      </w:r>
      <w:r w:rsidRPr="000550C7" w:rsidR="00B051D2">
        <w:rPr>
          <w:rFonts w:ascii="Times New Roman" w:hAnsi="Times New Roman"/>
          <w:noProof w:val="0"/>
          <w:sz w:val="24"/>
          <w:szCs w:val="24"/>
        </w:rPr>
        <w:t>ask any questions of a sensitive nature.</w:t>
      </w:r>
    </w:p>
    <w:p w:rsidR="00B051D2" w:rsidRPr="000550C7" w:rsidP="000550C7" w14:paraId="7E1D5A47" w14:textId="77777777">
      <w:pPr>
        <w:tabs>
          <w:tab w:val="left" w:pos="720"/>
          <w:tab w:val="left" w:pos="1440"/>
          <w:tab w:val="left" w:pos="2160"/>
        </w:tabs>
        <w:contextualSpacing/>
        <w:rPr>
          <w:rFonts w:ascii="Times New Roman" w:hAnsi="Times New Roman"/>
          <w:noProof w:val="0"/>
          <w:sz w:val="24"/>
          <w:szCs w:val="24"/>
        </w:rPr>
      </w:pPr>
    </w:p>
    <w:p w:rsidR="001B0FF5" w:rsidP="006563A4" w14:paraId="30F446C1" w14:textId="71CAF33B">
      <w:pPr>
        <w:pStyle w:val="BodyText2"/>
        <w:spacing w:line="240" w:lineRule="auto"/>
        <w:contextualSpacing/>
      </w:pPr>
      <w:r w:rsidRPr="000550C7">
        <w:rPr>
          <w:szCs w:val="24"/>
        </w:rPr>
        <w:t>12.</w:t>
      </w:r>
      <w:r w:rsidRPr="000550C7" w:rsidR="00090C0E">
        <w:rPr>
          <w:szCs w:val="24"/>
        </w:rPr>
        <w:t xml:space="preserve"> </w:t>
      </w:r>
      <w:r w:rsidRPr="000550C7">
        <w:rPr>
          <w:szCs w:val="24"/>
        </w:rPr>
        <w:t xml:space="preserve"> </w:t>
      </w:r>
      <w:r>
        <w:t>This rule will affect</w:t>
      </w:r>
      <w:r w:rsidR="006E6456">
        <w:t xml:space="preserve"> a</w:t>
      </w:r>
      <w:r>
        <w:t xml:space="preserve">pproximately </w:t>
      </w:r>
      <w:bookmarkStart w:id="1" w:name="OLE_LINK9"/>
      <w:r>
        <w:t xml:space="preserve">70,567 </w:t>
      </w:r>
      <w:bookmarkEnd w:id="1"/>
      <w:r>
        <w:t>pharmacies who are registering with DEA</w:t>
      </w:r>
      <w:r w:rsidR="00C21A7E">
        <w:t xml:space="preserve"> to handle control substances</w:t>
      </w:r>
      <w:r>
        <w:t>.</w:t>
      </w:r>
      <w:r w:rsidR="00C21A7E">
        <w:t xml:space="preserve"> DEA estimates that each pharmacy will transfer around 354.273244 EPCS. The total number of transfer a year is 25,000,000 (70,567*354.273244).</w:t>
      </w:r>
    </w:p>
    <w:p w:rsidR="00C21A7E" w:rsidP="000550C7" w14:paraId="0926461E" w14:textId="6A788346">
      <w:pPr>
        <w:contextualSpacing/>
        <w:rPr>
          <w:rFonts w:ascii="Times New Roman" w:hAnsi="Times New Roman"/>
          <w:sz w:val="24"/>
          <w:szCs w:val="24"/>
        </w:rPr>
      </w:pPr>
    </w:p>
    <w:p w:rsidR="00C21A7E" w:rsidRPr="00C21A7E" w:rsidP="00C21A7E" w14:paraId="406CDBF1" w14:textId="2847D806">
      <w:pPr>
        <w:contextualSpacing/>
        <w:rPr>
          <w:rFonts w:ascii="Times New Roman" w:hAnsi="Times New Roman"/>
          <w:sz w:val="24"/>
          <w:szCs w:val="24"/>
        </w:rPr>
      </w:pPr>
      <w:r w:rsidRPr="00C21A7E">
        <w:rPr>
          <w:rFonts w:ascii="Times New Roman" w:hAnsi="Times New Roman"/>
          <w:sz w:val="24"/>
          <w:szCs w:val="24"/>
        </w:rPr>
        <w:t xml:space="preserve">DEA estimates the required time to complete a </w:t>
      </w:r>
      <w:r>
        <w:rPr>
          <w:rFonts w:ascii="Times New Roman" w:hAnsi="Times New Roman"/>
          <w:sz w:val="24"/>
          <w:szCs w:val="24"/>
        </w:rPr>
        <w:t>transfer of EPCS</w:t>
      </w:r>
      <w:r w:rsidRPr="00C21A7E">
        <w:rPr>
          <w:rFonts w:ascii="Times New Roman" w:hAnsi="Times New Roman"/>
          <w:sz w:val="24"/>
          <w:szCs w:val="24"/>
        </w:rPr>
        <w:t xml:space="preserve"> would be </w:t>
      </w:r>
      <w:r>
        <w:rPr>
          <w:rFonts w:ascii="Times New Roman" w:hAnsi="Times New Roman"/>
          <w:sz w:val="24"/>
          <w:szCs w:val="24"/>
        </w:rPr>
        <w:t>3 minutes</w:t>
      </w:r>
      <w:r w:rsidRPr="00C21A7E">
        <w:rPr>
          <w:rFonts w:ascii="Times New Roman" w:hAnsi="Times New Roman"/>
          <w:sz w:val="24"/>
          <w:szCs w:val="24"/>
        </w:rPr>
        <w:t>.</w:t>
      </w:r>
      <w:r>
        <w:rPr>
          <w:rFonts w:ascii="Times New Roman" w:hAnsi="Times New Roman"/>
          <w:sz w:val="24"/>
          <w:szCs w:val="24"/>
        </w:rPr>
        <w:t xml:space="preserve"> Hence, the total annual burden of transfering EPCS is 1,250,000 hours (25,000,000*3/60)</w:t>
      </w:r>
    </w:p>
    <w:p w:rsidR="00C21A7E" w:rsidRPr="00C21A7E" w:rsidP="00C21A7E" w14:paraId="2B3E8006" w14:textId="77777777">
      <w:pPr>
        <w:contextualSpacing/>
        <w:rPr>
          <w:rFonts w:ascii="Times New Roman" w:hAnsi="Times New Roman"/>
          <w:sz w:val="24"/>
          <w:szCs w:val="24"/>
        </w:rPr>
      </w:pPr>
    </w:p>
    <w:p w:rsidR="00C21A7E" w:rsidP="00C21A7E" w14:paraId="2C510CD7" w14:textId="589F94AA">
      <w:pPr>
        <w:rPr>
          <w:rFonts w:ascii="Times New Roman" w:hAnsi="Times New Roman"/>
          <w:noProof w:val="0"/>
          <w:sz w:val="24"/>
          <w:szCs w:val="24"/>
        </w:rPr>
      </w:pPr>
      <w:r w:rsidRPr="00C21A7E">
        <w:rPr>
          <w:rFonts w:ascii="Times New Roman" w:hAnsi="Times New Roman"/>
          <w:sz w:val="24"/>
          <w:szCs w:val="24"/>
        </w:rPr>
        <w:t>Based on the reported hourly wage of $6</w:t>
      </w:r>
      <w:r>
        <w:rPr>
          <w:rFonts w:ascii="Times New Roman" w:hAnsi="Times New Roman"/>
          <w:sz w:val="24"/>
          <w:szCs w:val="24"/>
        </w:rPr>
        <w:t>1</w:t>
      </w:r>
      <w:r w:rsidRPr="00C21A7E">
        <w:rPr>
          <w:rFonts w:ascii="Times New Roman" w:hAnsi="Times New Roman"/>
          <w:sz w:val="24"/>
          <w:szCs w:val="24"/>
        </w:rPr>
        <w:t>.</w:t>
      </w:r>
      <w:r>
        <w:rPr>
          <w:rFonts w:ascii="Times New Roman" w:hAnsi="Times New Roman"/>
          <w:sz w:val="24"/>
          <w:szCs w:val="24"/>
        </w:rPr>
        <w:t>58</w:t>
      </w:r>
      <w:r>
        <w:rPr>
          <w:rStyle w:val="FootnoteReference"/>
          <w:rFonts w:eastAsia="SimSun"/>
          <w:sz w:val="24"/>
          <w:szCs w:val="24"/>
          <w:vertAlign w:val="superscript"/>
        </w:rPr>
        <w:footnoteReference w:id="8"/>
      </w:r>
      <w:r>
        <w:rPr>
          <w:rFonts w:ascii="Times New Roman" w:hAnsi="Times New Roman"/>
          <w:noProof w:val="0"/>
          <w:sz w:val="24"/>
          <w:szCs w:val="24"/>
        </w:rPr>
        <w:t xml:space="preserve"> </w:t>
      </w:r>
      <w:r w:rsidRPr="00C21A7E">
        <w:rPr>
          <w:rFonts w:ascii="Times New Roman" w:hAnsi="Times New Roman"/>
          <w:sz w:val="24"/>
          <w:szCs w:val="24"/>
        </w:rPr>
        <w:t>and the loaded benefits of 4</w:t>
      </w:r>
      <w:r w:rsidR="00247B5A">
        <w:rPr>
          <w:rFonts w:ascii="Times New Roman" w:hAnsi="Times New Roman"/>
          <w:sz w:val="24"/>
          <w:szCs w:val="24"/>
        </w:rPr>
        <w:t>2</w:t>
      </w:r>
      <w:r w:rsidRPr="00C21A7E">
        <w:rPr>
          <w:rFonts w:ascii="Times New Roman" w:hAnsi="Times New Roman"/>
          <w:sz w:val="24"/>
          <w:szCs w:val="24"/>
        </w:rPr>
        <w:t>.</w:t>
      </w:r>
      <w:r w:rsidR="00247B5A">
        <w:rPr>
          <w:rFonts w:ascii="Times New Roman" w:hAnsi="Times New Roman"/>
          <w:sz w:val="24"/>
          <w:szCs w:val="24"/>
        </w:rPr>
        <w:t>9</w:t>
      </w:r>
      <w:r w:rsidRPr="00C21A7E">
        <w:rPr>
          <w:rFonts w:ascii="Times New Roman" w:hAnsi="Times New Roman"/>
          <w:sz w:val="24"/>
          <w:szCs w:val="24"/>
        </w:rPr>
        <w:t>%,</w:t>
      </w:r>
      <w:r>
        <w:rPr>
          <w:rStyle w:val="FootnoteReference"/>
          <w:rFonts w:eastAsia="SimSun"/>
          <w:sz w:val="24"/>
          <w:szCs w:val="24"/>
          <w:vertAlign w:val="superscript"/>
        </w:rPr>
        <w:footnoteReference w:id="9"/>
      </w:r>
      <w:r w:rsidRPr="00C21A7E">
        <w:rPr>
          <w:rFonts w:ascii="Times New Roman" w:hAnsi="Times New Roman"/>
          <w:sz w:val="24"/>
          <w:szCs w:val="24"/>
        </w:rPr>
        <w:t xml:space="preserve"> DEA estimates hourly loaded labor rate of a pharmacist is $8</w:t>
      </w:r>
      <w:r w:rsidR="00247B5A">
        <w:rPr>
          <w:rFonts w:ascii="Times New Roman" w:hAnsi="Times New Roman"/>
          <w:sz w:val="24"/>
          <w:szCs w:val="24"/>
        </w:rPr>
        <w:t>8</w:t>
      </w:r>
      <w:r w:rsidRPr="00C21A7E">
        <w:rPr>
          <w:rFonts w:ascii="Times New Roman" w:hAnsi="Times New Roman"/>
          <w:sz w:val="24"/>
          <w:szCs w:val="24"/>
        </w:rPr>
        <w:t>.</w:t>
      </w:r>
      <w:r w:rsidR="00247B5A">
        <w:rPr>
          <w:rFonts w:ascii="Times New Roman" w:hAnsi="Times New Roman"/>
          <w:sz w:val="24"/>
          <w:szCs w:val="24"/>
        </w:rPr>
        <w:t xml:space="preserve"> </w:t>
      </w:r>
    </w:p>
    <w:p w:rsidR="00C21A7E" w:rsidRPr="000550C7" w:rsidP="000550C7" w14:paraId="77997E3F" w14:textId="77777777">
      <w:pPr>
        <w:contextualSpacing/>
        <w:rPr>
          <w:rFonts w:ascii="Times New Roman" w:hAnsi="Times New Roman"/>
          <w:sz w:val="24"/>
          <w:szCs w:val="24"/>
        </w:rPr>
      </w:pPr>
    </w:p>
    <w:tbl>
      <w:tblPr>
        <w:tblStyle w:val="TableGrid"/>
        <w:tblW w:w="10069" w:type="dxa"/>
        <w:tblLook w:val="04A0"/>
      </w:tblPr>
      <w:tblGrid>
        <w:gridCol w:w="1439"/>
        <w:gridCol w:w="1415"/>
        <w:gridCol w:w="1356"/>
        <w:gridCol w:w="1296"/>
        <w:gridCol w:w="1097"/>
        <w:gridCol w:w="1176"/>
        <w:gridCol w:w="961"/>
        <w:gridCol w:w="1329"/>
      </w:tblGrid>
      <w:tr w14:paraId="43301A76" w14:textId="77777777" w:rsidTr="006563A4">
        <w:tblPrEx>
          <w:tblW w:w="10069" w:type="dxa"/>
          <w:tblLook w:val="04A0"/>
        </w:tblPrEx>
        <w:tc>
          <w:tcPr>
            <w:tcW w:w="1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48DD79BE" w14:textId="77777777">
            <w:pPr>
              <w:jc w:val="center"/>
              <w:rPr>
                <w:b/>
                <w:noProof w:val="0"/>
                <w:sz w:val="22"/>
                <w:szCs w:val="22"/>
              </w:rPr>
            </w:pPr>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73945499" w14:textId="77777777">
            <w:pPr>
              <w:jc w:val="center"/>
              <w:rPr>
                <w:b/>
                <w:sz w:val="22"/>
                <w:szCs w:val="22"/>
              </w:rPr>
            </w:pPr>
            <w:r>
              <w:rPr>
                <w:b/>
                <w:sz w:val="22"/>
                <w:szCs w:val="22"/>
              </w:rPr>
              <w:t>Number of Respondents</w:t>
            </w:r>
          </w:p>
        </w:tc>
        <w:tc>
          <w:tcPr>
            <w:tcW w:w="135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1C7E64F9" w14:textId="77777777">
            <w:pPr>
              <w:jc w:val="center"/>
              <w:rPr>
                <w:b/>
                <w:sz w:val="22"/>
                <w:szCs w:val="22"/>
              </w:rPr>
            </w:pPr>
            <w:r>
              <w:rPr>
                <w:b/>
                <w:sz w:val="22"/>
                <w:szCs w:val="22"/>
              </w:rPr>
              <w:t>Frequency</w:t>
            </w:r>
          </w:p>
        </w:tc>
        <w:tc>
          <w:tcPr>
            <w:tcW w:w="129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37F473CF" w14:textId="77777777">
            <w:pPr>
              <w:jc w:val="cente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380B8D63" w14:textId="77777777">
            <w:pPr>
              <w:jc w:val="center"/>
              <w:rPr>
                <w:b/>
                <w:sz w:val="22"/>
                <w:szCs w:val="22"/>
              </w:rPr>
            </w:pPr>
            <w:r>
              <w:rPr>
                <w:b/>
                <w:sz w:val="22"/>
                <w:szCs w:val="22"/>
              </w:rPr>
              <w:t>Time Per Response</w:t>
            </w:r>
          </w:p>
        </w:tc>
        <w:tc>
          <w:tcPr>
            <w:tcW w:w="11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2E3BE9DB" w14:textId="77777777">
            <w:pPr>
              <w:jc w:val="center"/>
              <w:rPr>
                <w:b/>
                <w:sz w:val="22"/>
                <w:szCs w:val="22"/>
              </w:rPr>
            </w:pPr>
            <w:r>
              <w:rPr>
                <w:b/>
                <w:sz w:val="22"/>
                <w:szCs w:val="22"/>
              </w:rPr>
              <w:t>Total Annual Burden (Hours)</w:t>
            </w:r>
          </w:p>
        </w:tc>
        <w:tc>
          <w:tcPr>
            <w:tcW w:w="96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4B8736B2" w14:textId="77777777">
            <w:pPr>
              <w:jc w:val="center"/>
              <w:rPr>
                <w:b/>
                <w:sz w:val="22"/>
                <w:szCs w:val="22"/>
              </w:rPr>
            </w:pPr>
            <w:r>
              <w:rPr>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481016" w:rsidP="006563A4" w14:paraId="1D4A3716" w14:textId="77777777">
            <w:pPr>
              <w:jc w:val="center"/>
              <w:rPr>
                <w:b/>
                <w:sz w:val="22"/>
                <w:szCs w:val="22"/>
              </w:rPr>
            </w:pPr>
            <w:r>
              <w:rPr>
                <w:b/>
                <w:sz w:val="22"/>
                <w:szCs w:val="22"/>
              </w:rPr>
              <w:t>Monetized Value of Respondent Time</w:t>
            </w:r>
          </w:p>
        </w:tc>
      </w:tr>
      <w:tr w14:paraId="1E08F046" w14:textId="77777777" w:rsidTr="006563A4">
        <w:tblPrEx>
          <w:tblW w:w="10069" w:type="dxa"/>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481016" w:rsidRPr="00607ECB" w:rsidP="006563A4" w14:paraId="2774080C" w14:textId="0F978A8A">
            <w:pPr>
              <w:rPr>
                <w:sz w:val="22"/>
                <w:szCs w:val="22"/>
              </w:rPr>
            </w:pPr>
            <w:r w:rsidRPr="00607ECB">
              <w:rPr>
                <w:sz w:val="22"/>
                <w:szCs w:val="22"/>
              </w:rPr>
              <w:t>Transfer of ESCP</w:t>
            </w:r>
          </w:p>
        </w:tc>
        <w:tc>
          <w:tcPr>
            <w:tcW w:w="1415" w:type="dxa"/>
            <w:tcBorders>
              <w:top w:val="single" w:sz="4" w:space="0" w:color="auto"/>
              <w:left w:val="single" w:sz="4" w:space="0" w:color="auto"/>
              <w:bottom w:val="single" w:sz="4" w:space="0" w:color="auto"/>
              <w:right w:val="single" w:sz="4" w:space="0" w:color="auto"/>
            </w:tcBorders>
            <w:vAlign w:val="bottom"/>
            <w:hideMark/>
          </w:tcPr>
          <w:p w:rsidR="00481016" w14:paraId="29656C68" w14:textId="286E668F">
            <w:pPr>
              <w:jc w:val="right"/>
              <w:rPr>
                <w:sz w:val="22"/>
                <w:szCs w:val="22"/>
              </w:rPr>
            </w:pPr>
            <w:r>
              <w:t>70,567</w:t>
            </w:r>
          </w:p>
        </w:tc>
        <w:tc>
          <w:tcPr>
            <w:tcW w:w="1356" w:type="dxa"/>
            <w:tcBorders>
              <w:top w:val="single" w:sz="4" w:space="0" w:color="auto"/>
              <w:left w:val="single" w:sz="4" w:space="0" w:color="auto"/>
              <w:bottom w:val="single" w:sz="4" w:space="0" w:color="auto"/>
              <w:right w:val="single" w:sz="4" w:space="0" w:color="auto"/>
            </w:tcBorders>
            <w:vAlign w:val="bottom"/>
            <w:hideMark/>
          </w:tcPr>
          <w:p w:rsidR="00481016" w14:paraId="32FCA687" w14:textId="2D93D4D7">
            <w:pPr>
              <w:jc w:val="right"/>
              <w:rPr>
                <w:sz w:val="22"/>
                <w:szCs w:val="22"/>
              </w:rPr>
            </w:pPr>
            <w:r w:rsidRPr="002A5027">
              <w:t>354.273244</w:t>
            </w:r>
          </w:p>
        </w:tc>
        <w:tc>
          <w:tcPr>
            <w:tcW w:w="1296" w:type="dxa"/>
            <w:tcBorders>
              <w:top w:val="single" w:sz="4" w:space="0" w:color="auto"/>
              <w:left w:val="single" w:sz="4" w:space="0" w:color="auto"/>
              <w:bottom w:val="single" w:sz="4" w:space="0" w:color="auto"/>
              <w:right w:val="single" w:sz="4" w:space="0" w:color="auto"/>
            </w:tcBorders>
            <w:vAlign w:val="bottom"/>
            <w:hideMark/>
          </w:tcPr>
          <w:p w:rsidR="00481016" w14:paraId="218D4D3B" w14:textId="387E3272">
            <w:pPr>
              <w:jc w:val="right"/>
              <w:rPr>
                <w:sz w:val="22"/>
                <w:szCs w:val="22"/>
              </w:rPr>
            </w:pPr>
            <w:r>
              <w:t>25,000,000</w:t>
            </w:r>
          </w:p>
        </w:tc>
        <w:tc>
          <w:tcPr>
            <w:tcW w:w="1097" w:type="dxa"/>
            <w:tcBorders>
              <w:top w:val="single" w:sz="4" w:space="0" w:color="auto"/>
              <w:left w:val="single" w:sz="4" w:space="0" w:color="auto"/>
              <w:bottom w:val="single" w:sz="4" w:space="0" w:color="auto"/>
              <w:right w:val="single" w:sz="4" w:space="0" w:color="auto"/>
            </w:tcBorders>
            <w:vAlign w:val="bottom"/>
            <w:hideMark/>
          </w:tcPr>
          <w:p w:rsidR="00481016" w14:paraId="44D88F26" w14:textId="24D50C55">
            <w:pPr>
              <w:jc w:val="right"/>
              <w:rPr>
                <w:sz w:val="22"/>
                <w:szCs w:val="22"/>
              </w:rPr>
            </w:pPr>
            <w:r>
              <w:rPr>
                <w:sz w:val="22"/>
                <w:szCs w:val="22"/>
              </w:rPr>
              <w:t>3 mins</w:t>
            </w:r>
          </w:p>
        </w:tc>
        <w:tc>
          <w:tcPr>
            <w:tcW w:w="1176" w:type="dxa"/>
            <w:tcBorders>
              <w:top w:val="single" w:sz="4" w:space="0" w:color="auto"/>
              <w:left w:val="single" w:sz="4" w:space="0" w:color="auto"/>
              <w:bottom w:val="single" w:sz="4" w:space="0" w:color="auto"/>
              <w:right w:val="single" w:sz="4" w:space="0" w:color="auto"/>
            </w:tcBorders>
            <w:vAlign w:val="bottom"/>
            <w:hideMark/>
          </w:tcPr>
          <w:p w:rsidR="00481016" w14:paraId="42F87FEB" w14:textId="69D2FCD0">
            <w:pPr>
              <w:jc w:val="right"/>
              <w:rPr>
                <w:sz w:val="22"/>
                <w:szCs w:val="22"/>
              </w:rPr>
            </w:pPr>
            <w:r>
              <w:t>1,250,000</w:t>
            </w:r>
          </w:p>
        </w:tc>
        <w:tc>
          <w:tcPr>
            <w:tcW w:w="961" w:type="dxa"/>
            <w:tcBorders>
              <w:top w:val="single" w:sz="4" w:space="0" w:color="auto"/>
              <w:left w:val="single" w:sz="4" w:space="0" w:color="auto"/>
              <w:bottom w:val="single" w:sz="4" w:space="0" w:color="auto"/>
              <w:right w:val="single" w:sz="4" w:space="0" w:color="auto"/>
            </w:tcBorders>
            <w:vAlign w:val="bottom"/>
          </w:tcPr>
          <w:p w:rsidR="00481016" w:rsidRPr="00481016" w14:paraId="52502F6A" w14:textId="6BCEEE28">
            <w:pPr>
              <w:jc w:val="right"/>
              <w:rPr>
                <w:sz w:val="22"/>
                <w:szCs w:val="22"/>
              </w:rPr>
            </w:pPr>
            <w:r>
              <w:rPr>
                <w:sz w:val="22"/>
                <w:szCs w:val="22"/>
              </w:rPr>
              <w:t>88</w:t>
            </w:r>
          </w:p>
        </w:tc>
        <w:tc>
          <w:tcPr>
            <w:tcW w:w="1329" w:type="dxa"/>
            <w:tcBorders>
              <w:top w:val="single" w:sz="4" w:space="0" w:color="auto"/>
              <w:left w:val="single" w:sz="4" w:space="0" w:color="auto"/>
              <w:bottom w:val="single" w:sz="4" w:space="0" w:color="auto"/>
              <w:right w:val="single" w:sz="4" w:space="0" w:color="auto"/>
            </w:tcBorders>
            <w:vAlign w:val="bottom"/>
          </w:tcPr>
          <w:p w:rsidR="00481016" w14:paraId="6937D590" w14:textId="0536E179">
            <w:pPr>
              <w:jc w:val="right"/>
              <w:rPr>
                <w:sz w:val="22"/>
                <w:szCs w:val="22"/>
              </w:rPr>
            </w:pPr>
            <w:r>
              <w:rPr>
                <w:sz w:val="22"/>
                <w:szCs w:val="22"/>
              </w:rPr>
              <w:t>110,000,000</w:t>
            </w:r>
          </w:p>
        </w:tc>
      </w:tr>
      <w:tr w14:paraId="20B3D0DA" w14:textId="77777777" w:rsidTr="006563A4">
        <w:tblPrEx>
          <w:tblW w:w="10069" w:type="dxa"/>
          <w:tblLook w:val="04A0"/>
        </w:tblPrEx>
        <w:tc>
          <w:tcPr>
            <w:tcW w:w="1439" w:type="dxa"/>
            <w:tcBorders>
              <w:top w:val="single" w:sz="4" w:space="0" w:color="auto"/>
              <w:left w:val="single" w:sz="4" w:space="0" w:color="auto"/>
              <w:bottom w:val="single" w:sz="4" w:space="0" w:color="auto"/>
              <w:right w:val="single" w:sz="4" w:space="0" w:color="auto"/>
            </w:tcBorders>
            <w:hideMark/>
          </w:tcPr>
          <w:p w:rsidR="00481016" w14:paraId="3252A33C" w14:textId="77777777">
            <w:pPr>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481016" w14:paraId="274CF922" w14:textId="20788375">
            <w:pPr>
              <w:jc w:val="right"/>
              <w:rPr>
                <w:b/>
                <w:i/>
                <w:sz w:val="22"/>
                <w:szCs w:val="22"/>
              </w:rPr>
            </w:pPr>
            <w:r>
              <w:rPr>
                <w:b/>
                <w:i/>
                <w:sz w:val="22"/>
                <w:szCs w:val="22"/>
              </w:rPr>
              <w:t>70,</w:t>
            </w:r>
            <w:r w:rsidR="00607ECB">
              <w:rPr>
                <w:b/>
                <w:i/>
                <w:sz w:val="22"/>
                <w:szCs w:val="22"/>
              </w:rPr>
              <w:t>567</w:t>
            </w:r>
          </w:p>
        </w:tc>
        <w:tc>
          <w:tcPr>
            <w:tcW w:w="1356" w:type="dxa"/>
            <w:tcBorders>
              <w:top w:val="single" w:sz="4" w:space="0" w:color="auto"/>
              <w:left w:val="single" w:sz="4" w:space="0" w:color="auto"/>
              <w:bottom w:val="single" w:sz="4" w:space="0" w:color="auto"/>
              <w:right w:val="single" w:sz="4" w:space="0" w:color="auto"/>
            </w:tcBorders>
            <w:vAlign w:val="bottom"/>
          </w:tcPr>
          <w:p w:rsidR="00481016" w14:paraId="4EFE5A01" w14:textId="77777777">
            <w:pPr>
              <w:jc w:val="center"/>
              <w:rPr>
                <w:b/>
                <w:i/>
                <w:sz w:val="22"/>
                <w:szCs w:val="22"/>
              </w:rPr>
            </w:pPr>
          </w:p>
        </w:tc>
        <w:tc>
          <w:tcPr>
            <w:tcW w:w="1296" w:type="dxa"/>
            <w:tcBorders>
              <w:top w:val="single" w:sz="4" w:space="0" w:color="auto"/>
              <w:left w:val="single" w:sz="4" w:space="0" w:color="auto"/>
              <w:bottom w:val="single" w:sz="4" w:space="0" w:color="auto"/>
              <w:right w:val="single" w:sz="4" w:space="0" w:color="auto"/>
            </w:tcBorders>
            <w:vAlign w:val="bottom"/>
          </w:tcPr>
          <w:p w:rsidR="00481016" w14:paraId="0ECFAB3D" w14:textId="7FEB334E">
            <w:pPr>
              <w:jc w:val="right"/>
              <w:rPr>
                <w:b/>
                <w:i/>
                <w:sz w:val="22"/>
                <w:szCs w:val="22"/>
              </w:rPr>
            </w:pPr>
            <w:r>
              <w:rPr>
                <w:b/>
                <w:i/>
                <w:sz w:val="22"/>
                <w:szCs w:val="22"/>
              </w:rPr>
              <w:t>25,000,000</w:t>
            </w:r>
          </w:p>
        </w:tc>
        <w:tc>
          <w:tcPr>
            <w:tcW w:w="1097" w:type="dxa"/>
            <w:tcBorders>
              <w:top w:val="single" w:sz="4" w:space="0" w:color="auto"/>
              <w:left w:val="single" w:sz="4" w:space="0" w:color="auto"/>
              <w:bottom w:val="single" w:sz="4" w:space="0" w:color="auto"/>
              <w:right w:val="single" w:sz="4" w:space="0" w:color="auto"/>
            </w:tcBorders>
            <w:vAlign w:val="bottom"/>
          </w:tcPr>
          <w:p w:rsidR="00481016" w14:paraId="4FE8F297" w14:textId="77777777">
            <w:pPr>
              <w:jc w:val="right"/>
              <w:rPr>
                <w:b/>
                <w:i/>
                <w:sz w:val="22"/>
                <w:szCs w:val="22"/>
              </w:rPr>
            </w:pPr>
          </w:p>
        </w:tc>
        <w:tc>
          <w:tcPr>
            <w:tcW w:w="1176" w:type="dxa"/>
            <w:tcBorders>
              <w:top w:val="single" w:sz="4" w:space="0" w:color="auto"/>
              <w:left w:val="single" w:sz="4" w:space="0" w:color="auto"/>
              <w:bottom w:val="single" w:sz="4" w:space="0" w:color="auto"/>
              <w:right w:val="single" w:sz="4" w:space="0" w:color="auto"/>
            </w:tcBorders>
            <w:vAlign w:val="bottom"/>
          </w:tcPr>
          <w:p w:rsidR="00481016" w14:paraId="36AF63DF" w14:textId="05C32D20">
            <w:pPr>
              <w:jc w:val="right"/>
              <w:rPr>
                <w:b/>
                <w:i/>
                <w:sz w:val="22"/>
                <w:szCs w:val="22"/>
              </w:rPr>
            </w:pPr>
            <w:r>
              <w:rPr>
                <w:b/>
                <w:i/>
                <w:sz w:val="22"/>
                <w:szCs w:val="22"/>
              </w:rPr>
              <w:t>1,250,000</w:t>
            </w:r>
          </w:p>
        </w:tc>
        <w:tc>
          <w:tcPr>
            <w:tcW w:w="961" w:type="dxa"/>
            <w:tcBorders>
              <w:top w:val="single" w:sz="4" w:space="0" w:color="auto"/>
              <w:left w:val="single" w:sz="4" w:space="0" w:color="auto"/>
              <w:bottom w:val="single" w:sz="4" w:space="0" w:color="auto"/>
              <w:right w:val="single" w:sz="4" w:space="0" w:color="auto"/>
            </w:tcBorders>
            <w:vAlign w:val="bottom"/>
          </w:tcPr>
          <w:p w:rsidR="00481016" w14:paraId="019733C3" w14:textId="77777777">
            <w:pPr>
              <w:jc w:val="right"/>
              <w:rPr>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481016" w14:paraId="20A979D6" w14:textId="3F8886A9">
            <w:pPr>
              <w:jc w:val="right"/>
              <w:rPr>
                <w:b/>
                <w:i/>
                <w:sz w:val="22"/>
                <w:szCs w:val="22"/>
              </w:rPr>
            </w:pPr>
            <w:r>
              <w:rPr>
                <w:b/>
                <w:i/>
                <w:sz w:val="22"/>
                <w:szCs w:val="22"/>
              </w:rPr>
              <w:t>110,000,000</w:t>
            </w:r>
          </w:p>
        </w:tc>
      </w:tr>
    </w:tbl>
    <w:p w:rsidR="00572EEB" w:rsidRPr="00AA4A98" w:rsidP="000550C7" w14:paraId="0B64C868" w14:textId="77777777">
      <w:pPr>
        <w:contextualSpacing/>
        <w:rPr>
          <w:rFonts w:ascii="Times New Roman" w:hAnsi="Times New Roman"/>
          <w:sz w:val="24"/>
          <w:szCs w:val="24"/>
        </w:rPr>
      </w:pPr>
    </w:p>
    <w:p w:rsidR="00E75B77" w:rsidP="006563A4" w14:paraId="34E5F832" w14:textId="6E04B8BA">
      <w:pPr>
        <w:contextualSpacing/>
        <w:rPr>
          <w:rFonts w:ascii="Times New Roman" w:hAnsi="Times New Roman"/>
          <w:sz w:val="24"/>
          <w:szCs w:val="24"/>
        </w:rPr>
      </w:pPr>
      <w:r w:rsidRPr="00AA4A98">
        <w:rPr>
          <w:rFonts w:ascii="Times New Roman" w:hAnsi="Times New Roman"/>
          <w:sz w:val="24"/>
          <w:szCs w:val="24"/>
        </w:rPr>
        <w:t xml:space="preserve">13.  </w:t>
      </w:r>
      <w:r w:rsidRPr="00384754" w:rsidR="00E66732">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00E66732" w:rsidRPr="00AA4A98" w:rsidP="000550C7" w14:paraId="75611E9D" w14:textId="77777777">
      <w:pPr>
        <w:contextualSpacing/>
        <w:rPr>
          <w:rFonts w:ascii="Times New Roman" w:hAnsi="Times New Roman"/>
          <w:sz w:val="24"/>
          <w:szCs w:val="24"/>
        </w:rPr>
      </w:pPr>
    </w:p>
    <w:p w:rsidR="00D22ADC" w:rsidRPr="00AA4A98" w:rsidP="006563A4" w14:paraId="43E0C9CE" w14:textId="1A540748">
      <w:pPr>
        <w:contextualSpacing/>
        <w:rPr>
          <w:rFonts w:ascii="Times New Roman" w:hAnsi="Times New Roman"/>
          <w:sz w:val="24"/>
          <w:szCs w:val="24"/>
        </w:rPr>
      </w:pPr>
      <w:r w:rsidRPr="00AA4A98">
        <w:rPr>
          <w:rFonts w:ascii="Times New Roman" w:hAnsi="Times New Roman"/>
          <w:sz w:val="24"/>
          <w:szCs w:val="24"/>
        </w:rPr>
        <w:t xml:space="preserve">14.  </w:t>
      </w:r>
      <w:bookmarkStart w:id="2" w:name="OLE_LINK5"/>
      <w:bookmarkStart w:id="3" w:name="OLE_LINK6"/>
      <w:r w:rsidRPr="004B077C" w:rsidR="004B077C">
        <w:rPr>
          <w:rFonts w:ascii="Times New Roman" w:hAnsi="Times New Roman"/>
          <w:sz w:val="24"/>
          <w:szCs w:val="24"/>
        </w:rPr>
        <w:t>The required information is recorded and maintained by respondents.  There is no cost to the Federal Government.</w:t>
      </w:r>
    </w:p>
    <w:bookmarkEnd w:id="2"/>
    <w:bookmarkEnd w:id="3"/>
    <w:p w:rsidR="00E75B77" w:rsidRPr="00AA4A98" w:rsidP="000550C7" w14:paraId="2D94AF06" w14:textId="77777777">
      <w:pPr>
        <w:contextualSpacing/>
        <w:rPr>
          <w:rFonts w:ascii="Times New Roman" w:hAnsi="Times New Roman"/>
          <w:sz w:val="24"/>
          <w:szCs w:val="24"/>
        </w:rPr>
      </w:pPr>
    </w:p>
    <w:p w:rsidR="00CC40DC" w:rsidRPr="00AA4A98" w:rsidP="006563A4" w14:paraId="12B8F88A" w14:textId="1B8704F4">
      <w:pPr>
        <w:tabs>
          <w:tab w:val="left" w:pos="720"/>
          <w:tab w:val="left" w:pos="1440"/>
          <w:tab w:val="left" w:pos="2160"/>
        </w:tabs>
        <w:contextualSpacing/>
        <w:jc w:val="both"/>
        <w:rPr>
          <w:rFonts w:ascii="Times New Roman" w:hAnsi="Times New Roman"/>
          <w:sz w:val="24"/>
          <w:szCs w:val="24"/>
        </w:rPr>
      </w:pPr>
      <w:r w:rsidRPr="001B4940">
        <w:rPr>
          <w:rFonts w:ascii="Times New Roman" w:hAnsi="Times New Roman"/>
          <w:noProof w:val="0"/>
          <w:sz w:val="24"/>
          <w:szCs w:val="24"/>
        </w:rPr>
        <w:t>15.</w:t>
      </w:r>
      <w:r w:rsidRPr="001B4940" w:rsidR="00090C0E">
        <w:rPr>
          <w:rFonts w:ascii="Times New Roman" w:hAnsi="Times New Roman"/>
          <w:noProof w:val="0"/>
          <w:sz w:val="24"/>
          <w:szCs w:val="24"/>
        </w:rPr>
        <w:t xml:space="preserve"> </w:t>
      </w:r>
      <w:r w:rsidRPr="000550C7">
        <w:rPr>
          <w:rFonts w:ascii="Times New Roman" w:hAnsi="Times New Roman"/>
          <w:noProof w:val="0"/>
          <w:sz w:val="24"/>
          <w:szCs w:val="24"/>
        </w:rPr>
        <w:t xml:space="preserve"> </w:t>
      </w:r>
      <w:r w:rsidR="00295D62">
        <w:rPr>
          <w:rFonts w:ascii="Times New Roman" w:hAnsi="Times New Roman"/>
          <w:sz w:val="24"/>
          <w:szCs w:val="24"/>
        </w:rPr>
        <w:t xml:space="preserve">This is a new collection being created as part of DEA’s </w:t>
      </w:r>
      <w:r w:rsidRPr="008E1B3A" w:rsidR="00295D62">
        <w:rPr>
          <w:rFonts w:ascii="Times New Roman" w:hAnsi="Times New Roman"/>
          <w:noProof w:val="0"/>
          <w:sz w:val="24"/>
        </w:rPr>
        <w:t>Transfer of Prescription Information between Pharmacies for Initial Filling of Electronic Prescriptions for Schedules II-V Controlled Substances</w:t>
      </w:r>
      <w:r w:rsidR="00295D62">
        <w:rPr>
          <w:rFonts w:ascii="Times New Roman" w:hAnsi="Times New Roman"/>
          <w:noProof w:val="0"/>
          <w:sz w:val="24"/>
        </w:rPr>
        <w:t xml:space="preserve"> rulemaking, RIN 1117-AB64.</w:t>
      </w:r>
    </w:p>
    <w:p w:rsidR="00695627" w:rsidRPr="001B4940" w:rsidP="000550C7" w14:paraId="5D237197" w14:textId="77777777">
      <w:pPr>
        <w:tabs>
          <w:tab w:val="left" w:pos="720"/>
          <w:tab w:val="left" w:pos="1440"/>
          <w:tab w:val="left" w:pos="2160"/>
        </w:tabs>
        <w:contextualSpacing/>
        <w:rPr>
          <w:rFonts w:ascii="Times New Roman" w:hAnsi="Times New Roman"/>
          <w:noProof w:val="0"/>
          <w:sz w:val="24"/>
          <w:szCs w:val="24"/>
        </w:rPr>
      </w:pPr>
    </w:p>
    <w:p w:rsidR="000C1537" w:rsidRPr="000550C7" w:rsidP="000550C7" w14:paraId="098EF5F4" w14:textId="37E1562C">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16. </w:t>
      </w:r>
      <w:r w:rsidRPr="000550C7" w:rsidR="00090C0E">
        <w:rPr>
          <w:rFonts w:ascii="Times New Roman" w:hAnsi="Times New Roman"/>
          <w:noProof w:val="0"/>
          <w:sz w:val="24"/>
          <w:szCs w:val="24"/>
        </w:rPr>
        <w:t xml:space="preserve"> </w:t>
      </w:r>
      <w:r w:rsidRPr="000550C7" w:rsidR="00B051D2">
        <w:rPr>
          <w:rFonts w:ascii="Times New Roman" w:hAnsi="Times New Roman"/>
          <w:noProof w:val="0"/>
          <w:sz w:val="24"/>
          <w:szCs w:val="24"/>
        </w:rPr>
        <w:t>DEA will not publish the results of the information collected</w:t>
      </w:r>
      <w:r w:rsidRPr="000550C7">
        <w:rPr>
          <w:rFonts w:ascii="Times New Roman" w:hAnsi="Times New Roman"/>
          <w:noProof w:val="0"/>
          <w:sz w:val="24"/>
          <w:szCs w:val="24"/>
        </w:rPr>
        <w:t>.</w:t>
      </w:r>
    </w:p>
    <w:p w:rsidR="00695627" w:rsidRPr="000550C7" w:rsidP="000550C7" w14:paraId="4C7E5693" w14:textId="77777777">
      <w:pPr>
        <w:tabs>
          <w:tab w:val="left" w:pos="720"/>
        </w:tabs>
        <w:contextualSpacing/>
        <w:jc w:val="both"/>
        <w:rPr>
          <w:rFonts w:ascii="Times New Roman" w:hAnsi="Times New Roman"/>
          <w:noProof w:val="0"/>
          <w:sz w:val="24"/>
          <w:szCs w:val="24"/>
        </w:rPr>
      </w:pPr>
    </w:p>
    <w:p w:rsidR="00504512" w:rsidRPr="00043464" w:rsidP="006563A4" w14:paraId="6370E739" w14:textId="54871627">
      <w:pPr>
        <w:tabs>
          <w:tab w:val="left" w:pos="720"/>
        </w:tabs>
        <w:contextualSpacing/>
        <w:jc w:val="both"/>
        <w:rPr>
          <w:rFonts w:ascii="Times New Roman" w:hAnsi="Times New Roman"/>
          <w:noProof w:val="0"/>
          <w:sz w:val="24"/>
          <w:szCs w:val="24"/>
        </w:rPr>
      </w:pPr>
      <w:r w:rsidRPr="000550C7">
        <w:rPr>
          <w:rFonts w:ascii="Times New Roman" w:hAnsi="Times New Roman"/>
          <w:noProof w:val="0"/>
          <w:sz w:val="24"/>
          <w:szCs w:val="24"/>
        </w:rPr>
        <w:t xml:space="preserve">17. </w:t>
      </w:r>
      <w:r w:rsidRPr="000550C7" w:rsidR="00090C0E">
        <w:rPr>
          <w:rFonts w:ascii="Times New Roman" w:hAnsi="Times New Roman"/>
          <w:noProof w:val="0"/>
          <w:sz w:val="24"/>
          <w:szCs w:val="24"/>
        </w:rPr>
        <w:t xml:space="preserve"> </w:t>
      </w:r>
      <w:r w:rsidRPr="00043464">
        <w:rPr>
          <w:rFonts w:ascii="Times New Roman" w:hAnsi="Times New Roman"/>
          <w:noProof w:val="0"/>
          <w:sz w:val="24"/>
          <w:szCs w:val="24"/>
        </w:rPr>
        <w:t>DEA is not seeking approval not to display the expiration date for OMB approval of this information collection.</w:t>
      </w:r>
    </w:p>
    <w:p w:rsidR="00072531" w:rsidP="000550C7" w14:paraId="6C5DD32A" w14:textId="4CF4670A">
      <w:pPr>
        <w:contextualSpacing/>
        <w:rPr>
          <w:rFonts w:ascii="Times New Roman" w:hAnsi="Times New Roman"/>
          <w:noProof w:val="0"/>
          <w:sz w:val="24"/>
        </w:rPr>
      </w:pPr>
      <w:r w:rsidRPr="00C27E82">
        <w:rPr>
          <w:rFonts w:ascii="Times New Roman" w:hAnsi="Times New Roman"/>
          <w:b/>
          <w:noProof w:val="0"/>
          <w:sz w:val="24"/>
        </w:rPr>
        <w:t xml:space="preserve"> </w:t>
      </w:r>
    </w:p>
    <w:p w:rsidR="00CE3759" w:rsidP="006563A4" w14:paraId="45E75DD2" w14:textId="1EF76EB8">
      <w:pPr>
        <w:tabs>
          <w:tab w:val="left" w:pos="720"/>
          <w:tab w:val="left" w:pos="1440"/>
          <w:tab w:val="left" w:pos="2160"/>
        </w:tabs>
        <w:contextualSpacing/>
        <w:jc w:val="both"/>
        <w:rPr>
          <w:rFonts w:ascii="Times New Roman" w:hAnsi="Times New Roman"/>
          <w:b/>
          <w:sz w:val="24"/>
          <w:szCs w:val="24"/>
        </w:rPr>
      </w:pPr>
      <w:r>
        <w:rPr>
          <w:rFonts w:ascii="Times New Roman" w:hAnsi="Times New Roman"/>
          <w:noProof w:val="0"/>
          <w:sz w:val="24"/>
        </w:rPr>
        <w:t xml:space="preserve">18. </w:t>
      </w:r>
      <w:r w:rsidR="00090C0E">
        <w:rPr>
          <w:rFonts w:ascii="Times New Roman" w:hAnsi="Times New Roman"/>
          <w:noProof w:val="0"/>
          <w:sz w:val="24"/>
        </w:rPr>
        <w:t xml:space="preserve"> </w:t>
      </w:r>
      <w:bookmarkStart w:id="4" w:name="_GoBack"/>
      <w:bookmarkEnd w:id="4"/>
      <w:r w:rsidR="00B051D2">
        <w:rPr>
          <w:rFonts w:ascii="Times New Roman" w:hAnsi="Times New Roman"/>
          <w:noProof w:val="0"/>
          <w:sz w:val="24"/>
        </w:rPr>
        <w:t xml:space="preserve">DEA is not seeking an exception to the certification statement “Certification for Paperwork Reduction Act Submissions” for this collection of information.  </w:t>
      </w:r>
    </w:p>
    <w:p w:rsidR="00CE3759" w:rsidP="000550C7" w14:paraId="58071D13" w14:textId="77777777">
      <w:pPr>
        <w:contextualSpacing/>
        <w:rPr>
          <w:rFonts w:ascii="Times New Roman" w:hAnsi="Times New Roman"/>
          <w:b/>
          <w:sz w:val="24"/>
          <w:szCs w:val="24"/>
        </w:rPr>
      </w:pPr>
    </w:p>
    <w:p w:rsidR="000C1537" w:rsidRPr="00B051D2" w:rsidP="000550C7" w14:paraId="23F34F4D" w14:textId="77777777">
      <w:pPr>
        <w:contextualSpacing/>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P="000550C7" w14:paraId="4835F7F1" w14:textId="77777777">
      <w:pPr>
        <w:contextualSpacing/>
        <w:rPr>
          <w:rFonts w:ascii="Times New Roman" w:hAnsi="Times New Roman"/>
          <w:sz w:val="24"/>
          <w:szCs w:val="24"/>
        </w:rPr>
      </w:pPr>
    </w:p>
    <w:p w:rsidR="000C1537" w:rsidRPr="000C1537" w:rsidP="004B077C" w14:paraId="5975B084" w14:textId="6DEBF51B">
      <w:pPr>
        <w:ind w:firstLine="360"/>
        <w:contextualSpacing/>
        <w:rPr>
          <w:rFonts w:ascii="Times New Roman" w:hAnsi="Times New Roman"/>
          <w:sz w:val="24"/>
          <w:szCs w:val="24"/>
        </w:rPr>
      </w:pPr>
      <w:r>
        <w:rPr>
          <w:rFonts w:ascii="Times New Roman" w:hAnsi="Times New Roman"/>
          <w:sz w:val="24"/>
          <w:szCs w:val="24"/>
        </w:rPr>
        <w:t>D</w:t>
      </w:r>
      <w:r w:rsidR="00B35B59">
        <w:rPr>
          <w:rFonts w:ascii="Times New Roman" w:hAnsi="Times New Roman"/>
          <w:sz w:val="24"/>
          <w:szCs w:val="24"/>
        </w:rPr>
        <w:t>EA will not be</w:t>
      </w:r>
      <w:r w:rsidRPr="000C1537" w:rsidR="00B35B59">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1142312181"/>
      <w:docPartObj>
        <w:docPartGallery w:val="Page Numbers (Bottom of Page)"/>
        <w:docPartUnique/>
      </w:docPartObj>
    </w:sdtPr>
    <w:sdtEndPr>
      <w:rPr>
        <w:noProof/>
      </w:rPr>
    </w:sdtEndPr>
    <w:sdtContent>
      <w:p w:rsidR="00572EEB" w14:paraId="6D66A05C" w14:textId="00BF8888">
        <w:pPr>
          <w:pStyle w:val="Footer"/>
          <w:jc w:val="center"/>
        </w:pPr>
        <w:r>
          <w:rPr>
            <w:noProof w:val="0"/>
          </w:rPr>
          <w:fldChar w:fldCharType="begin"/>
        </w:r>
        <w:r>
          <w:instrText xml:space="preserve"> PAGE   \* MERGEFORMAT </w:instrText>
        </w:r>
        <w:r>
          <w:rPr>
            <w:noProof w:val="0"/>
          </w:rPr>
          <w:fldChar w:fldCharType="separate"/>
        </w:r>
        <w:r w:rsidR="00EA4EC1">
          <w:t>5</w:t>
        </w:r>
        <w:r>
          <w:fldChar w:fldCharType="end"/>
        </w:r>
      </w:p>
    </w:sdtContent>
  </w:sdt>
  <w:p w:rsidR="00572EEB" w14:paraId="1522CE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04598" w14:paraId="745D3280" w14:textId="77777777">
      <w:r>
        <w:separator/>
      </w:r>
    </w:p>
  </w:footnote>
  <w:footnote w:type="continuationSeparator" w:id="1">
    <w:p w:rsidR="00204598" w14:paraId="33B1DAEF" w14:textId="77777777">
      <w:r>
        <w:continuationSeparator/>
      </w:r>
    </w:p>
  </w:footnote>
  <w:footnote w:type="continuationNotice" w:id="2">
    <w:p w:rsidR="0002793F" w14:paraId="3F475BB3" w14:textId="77777777"/>
  </w:footnote>
  <w:footnote w:id="3">
    <w:p w:rsidR="0016040B" w:rsidRPr="0016040B" w14:paraId="3C2CA85A" w14:textId="3CC2178E">
      <w:pPr>
        <w:pStyle w:val="FootnoteText"/>
        <w:rPr>
          <w:rFonts w:ascii="Times New Roman" w:hAnsi="Times New Roman"/>
        </w:rPr>
      </w:pPr>
      <w:r w:rsidRPr="0016040B">
        <w:rPr>
          <w:rStyle w:val="FootnoteReference"/>
          <w:rFonts w:ascii="Times New Roman" w:hAnsi="Times New Roman"/>
          <w:vertAlign w:val="superscript"/>
        </w:rPr>
        <w:footnoteRef/>
      </w:r>
      <w:r w:rsidRPr="0016040B">
        <w:rPr>
          <w:rFonts w:ascii="Times New Roman" w:hAnsi="Times New Roman"/>
          <w:vertAlign w:val="superscript"/>
        </w:rPr>
        <w:t xml:space="preserve"> </w:t>
      </w:r>
      <w:r w:rsidRPr="0016040B">
        <w:rPr>
          <w:rFonts w:ascii="Times New Roman" w:hAnsi="Times New Roman"/>
        </w:rPr>
        <w:t>21 U.S.C. 801-971.</w:t>
      </w:r>
    </w:p>
  </w:footnote>
  <w:footnote w:id="4">
    <w:p w:rsidR="004F65F6" w:rsidRPr="004F65F6" w14:paraId="09C25DBD" w14:textId="7CB8DED4">
      <w:pPr>
        <w:pStyle w:val="FootnoteText"/>
        <w:rPr>
          <w:rFonts w:ascii="Times New Roman" w:hAnsi="Times New Roman"/>
        </w:rPr>
      </w:pPr>
      <w:r w:rsidRPr="004F65F6">
        <w:rPr>
          <w:rStyle w:val="FootnoteReference"/>
          <w:rFonts w:ascii="Times New Roman" w:hAnsi="Times New Roman"/>
          <w:vertAlign w:val="superscript"/>
        </w:rPr>
        <w:footnoteRef/>
      </w:r>
      <w:r w:rsidRPr="004F65F6">
        <w:rPr>
          <w:rFonts w:ascii="Times New Roman" w:hAnsi="Times New Roman"/>
          <w:vertAlign w:val="superscript"/>
        </w:rPr>
        <w:t xml:space="preserve"> </w:t>
      </w:r>
      <w:r w:rsidRPr="004F65F6">
        <w:rPr>
          <w:rFonts w:ascii="Times New Roman" w:hAnsi="Times New Roman"/>
        </w:rPr>
        <w:t>21 U.S.C. 827 and 958.</w:t>
      </w:r>
    </w:p>
  </w:footnote>
  <w:footnote w:id="5">
    <w:p w:rsidR="004F65F6" w:rsidRPr="004F65F6" w14:paraId="671BA802" w14:textId="49A028B9">
      <w:pPr>
        <w:pStyle w:val="FootnoteText"/>
        <w:rPr>
          <w:rFonts w:ascii="Times New Roman" w:hAnsi="Times New Roman"/>
        </w:rPr>
      </w:pPr>
      <w:r w:rsidRPr="004F65F6">
        <w:rPr>
          <w:rStyle w:val="FootnoteReference"/>
          <w:rFonts w:ascii="Times New Roman" w:hAnsi="Times New Roman"/>
          <w:vertAlign w:val="superscript"/>
        </w:rPr>
        <w:footnoteRef/>
      </w:r>
      <w:r w:rsidRPr="004F65F6">
        <w:rPr>
          <w:rFonts w:ascii="Times New Roman" w:hAnsi="Times New Roman"/>
          <w:vertAlign w:val="superscript"/>
        </w:rPr>
        <w:t xml:space="preserve"> </w:t>
      </w:r>
      <w:r w:rsidRPr="004F65F6">
        <w:rPr>
          <w:rFonts w:ascii="Times New Roman" w:hAnsi="Times New Roman"/>
        </w:rPr>
        <w:t>21 U.S.C. 827(b)(2).</w:t>
      </w:r>
    </w:p>
  </w:footnote>
  <w:footnote w:id="6">
    <w:p w:rsidR="004F65F6" w:rsidRPr="004F65F6" w14:paraId="5AE90999" w14:textId="1F82E536">
      <w:pPr>
        <w:pStyle w:val="FootnoteText"/>
        <w:rPr>
          <w:rFonts w:ascii="Times New Roman" w:hAnsi="Times New Roman"/>
        </w:rPr>
      </w:pPr>
      <w:r w:rsidRPr="004F65F6">
        <w:rPr>
          <w:rStyle w:val="FootnoteReference"/>
          <w:rFonts w:ascii="Times New Roman" w:hAnsi="Times New Roman"/>
          <w:vertAlign w:val="superscript"/>
        </w:rPr>
        <w:footnoteRef/>
      </w:r>
      <w:r w:rsidRPr="004F65F6">
        <w:rPr>
          <w:rFonts w:ascii="Times New Roman" w:hAnsi="Times New Roman"/>
        </w:rPr>
        <w:t xml:space="preserve"> 21 U.S.C. 827(b)(3).</w:t>
      </w:r>
    </w:p>
  </w:footnote>
  <w:footnote w:id="7">
    <w:p w:rsidR="004F65F6" w:rsidRPr="004F65F6" w14:paraId="75509708" w14:textId="53EE0C7A">
      <w:pPr>
        <w:pStyle w:val="FootnoteText"/>
        <w:rPr>
          <w:rFonts w:ascii="Times New Roman" w:hAnsi="Times New Roman"/>
        </w:rPr>
      </w:pPr>
      <w:r w:rsidRPr="004F65F6">
        <w:rPr>
          <w:rStyle w:val="FootnoteReference"/>
          <w:rFonts w:ascii="Times New Roman" w:hAnsi="Times New Roman"/>
          <w:vertAlign w:val="superscript"/>
        </w:rPr>
        <w:footnoteRef/>
      </w:r>
      <w:r w:rsidRPr="004F65F6">
        <w:rPr>
          <w:rFonts w:ascii="Times New Roman" w:hAnsi="Times New Roman"/>
          <w:vertAlign w:val="superscript"/>
        </w:rPr>
        <w:t xml:space="preserve"> </w:t>
      </w:r>
      <w:r w:rsidRPr="004F65F6">
        <w:rPr>
          <w:rFonts w:ascii="Times New Roman" w:hAnsi="Times New Roman"/>
        </w:rPr>
        <w:t>21 U.S.C. 827(b)(1).</w:t>
      </w:r>
    </w:p>
  </w:footnote>
  <w:footnote w:id="8">
    <w:p w:rsidR="00C21A7E" w:rsidP="00C21A7E" w14:paraId="51670FB1" w14:textId="77777777">
      <w:pPr>
        <w:pStyle w:val="FootnoteText"/>
      </w:pPr>
      <w:r>
        <w:rPr>
          <w:rStyle w:val="FootnoteReference"/>
          <w:vertAlign w:val="superscript"/>
        </w:rPr>
        <w:footnoteRef/>
      </w:r>
      <w:r>
        <w:rPr>
          <w:rFonts w:ascii="Times New Roman" w:hAnsi="Times New Roman"/>
        </w:rPr>
        <w:t xml:space="preserve"> Used average of median hourly wages for 29-1051 Pharmacists to represent the occupation of the responding person.  Bureau of Labor Statistics (BLS), May 2019 National Occupational Employment and Wage Estimates United States.  http://www.bls.gov/oes/current/oes_nat.htm</w:t>
      </w:r>
    </w:p>
  </w:footnote>
  <w:footnote w:id="9">
    <w:p w:rsidR="00247B5A" w:rsidP="00247B5A" w14:paraId="3CE55A81" w14:textId="77777777">
      <w:pPr>
        <w:pStyle w:val="FootnoteText"/>
      </w:pPr>
      <w:r>
        <w:rPr>
          <w:rStyle w:val="FootnoteReference"/>
          <w:vertAlign w:val="superscript"/>
        </w:rPr>
        <w:footnoteRef/>
      </w:r>
      <w:r>
        <w:rPr>
          <w:rFonts w:ascii="Times New Roman" w:hAnsi="Times New Roman"/>
        </w:rPr>
        <w:t xml:space="preserve"> BLS, “Employer Costs for Employee Compensation – September 2020” (ECEC).  The ECEC reports that average benefits for private industry is 30.3% of total compensation.  The 30.0% of total compensation equates to 42.9% (30.0% / 70.0%) load on wages and salaries.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44DE" w:rsidP="00DC44DE" w14:paraId="4135A7B7" w14:textId="155F592B">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noProof w:val="0"/>
      </w:rPr>
    </w:pPr>
    <w:r w:rsidRPr="006563A4">
      <w:rPr>
        <w:rFonts w:ascii="Times New Roman" w:hAnsi="Times New Roman"/>
        <w:noProof w:val="0"/>
      </w:rPr>
      <w:t>Recordkeeping Requirements for the Transfer of Electronic Prescriptions for Controlled Substances (EPCS) in Schedules II-V between Pharmacies for Initial Filling</w:t>
    </w:r>
  </w:p>
  <w:p w:rsidR="00DC44DE" w:rsidP="00DC44DE" w14:paraId="30A58CD5" w14:textId="29A0049C">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noProof w:val="0"/>
      </w:rPr>
    </w:pPr>
    <w:r>
      <w:rPr>
        <w:rFonts w:ascii="Times New Roman" w:hAnsi="Times New Roman"/>
        <w:noProof w:val="0"/>
      </w:rPr>
      <w:t>OMB Control Number:  1117-0061</w:t>
    </w:r>
  </w:p>
  <w:p w:rsidR="00DC44DE" w:rsidRPr="006563A4" w:rsidP="006563A4" w14:paraId="7ADD8FDD" w14:textId="5BF16CDB">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noProof w:val="0"/>
      </w:rPr>
    </w:pPr>
    <w:r>
      <w:rPr>
        <w:rFonts w:ascii="Times New Roman" w:hAnsi="Times New Roman"/>
        <w:noProof w:val="0"/>
      </w:rPr>
      <w:t xml:space="preserve">OMB Expiration Date: NA </w:t>
    </w:r>
  </w:p>
  <w:p w:rsidR="00572EEB" w14:paraId="22D18204" w14:textId="77777777">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C1BD6"/>
    <w:multiLevelType w:val="hybridMultilevel"/>
    <w:tmpl w:val="1576D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1766"/>
    <w:rsid w:val="00003CA9"/>
    <w:rsid w:val="0001166E"/>
    <w:rsid w:val="00014C4D"/>
    <w:rsid w:val="0001747B"/>
    <w:rsid w:val="00024E2B"/>
    <w:rsid w:val="0002793F"/>
    <w:rsid w:val="000307CF"/>
    <w:rsid w:val="00040C64"/>
    <w:rsid w:val="00043464"/>
    <w:rsid w:val="00047F50"/>
    <w:rsid w:val="000550C7"/>
    <w:rsid w:val="00055CCA"/>
    <w:rsid w:val="00072531"/>
    <w:rsid w:val="00072975"/>
    <w:rsid w:val="000729D4"/>
    <w:rsid w:val="00073D7B"/>
    <w:rsid w:val="00080B50"/>
    <w:rsid w:val="00090C0E"/>
    <w:rsid w:val="00090EEB"/>
    <w:rsid w:val="000936D4"/>
    <w:rsid w:val="0009395B"/>
    <w:rsid w:val="00096518"/>
    <w:rsid w:val="000A3366"/>
    <w:rsid w:val="000A48E5"/>
    <w:rsid w:val="000B05CC"/>
    <w:rsid w:val="000B0778"/>
    <w:rsid w:val="000B2518"/>
    <w:rsid w:val="000B30D6"/>
    <w:rsid w:val="000B3A44"/>
    <w:rsid w:val="000C1537"/>
    <w:rsid w:val="000C233D"/>
    <w:rsid w:val="000C3BE0"/>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40B"/>
    <w:rsid w:val="00160BA0"/>
    <w:rsid w:val="001610B9"/>
    <w:rsid w:val="00181D95"/>
    <w:rsid w:val="00187730"/>
    <w:rsid w:val="001945E3"/>
    <w:rsid w:val="001948C7"/>
    <w:rsid w:val="001A64B0"/>
    <w:rsid w:val="001A6B52"/>
    <w:rsid w:val="001A7C2B"/>
    <w:rsid w:val="001B0FF5"/>
    <w:rsid w:val="001B3C46"/>
    <w:rsid w:val="001B4940"/>
    <w:rsid w:val="001B509D"/>
    <w:rsid w:val="001B6D6B"/>
    <w:rsid w:val="001C0567"/>
    <w:rsid w:val="001C1292"/>
    <w:rsid w:val="001C47F6"/>
    <w:rsid w:val="001C7DE4"/>
    <w:rsid w:val="001D0C8C"/>
    <w:rsid w:val="001D1C52"/>
    <w:rsid w:val="001D593B"/>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364CB"/>
    <w:rsid w:val="0023781B"/>
    <w:rsid w:val="00247B5A"/>
    <w:rsid w:val="00253917"/>
    <w:rsid w:val="00254B07"/>
    <w:rsid w:val="00256291"/>
    <w:rsid w:val="00264BA6"/>
    <w:rsid w:val="00266EDA"/>
    <w:rsid w:val="00267D10"/>
    <w:rsid w:val="0027229C"/>
    <w:rsid w:val="002727CA"/>
    <w:rsid w:val="00285AF3"/>
    <w:rsid w:val="0028737B"/>
    <w:rsid w:val="00287834"/>
    <w:rsid w:val="002939D5"/>
    <w:rsid w:val="00295D62"/>
    <w:rsid w:val="00296FD9"/>
    <w:rsid w:val="002A5027"/>
    <w:rsid w:val="002A785B"/>
    <w:rsid w:val="002B3988"/>
    <w:rsid w:val="002C5672"/>
    <w:rsid w:val="002D03DF"/>
    <w:rsid w:val="002D08DA"/>
    <w:rsid w:val="002D2CA4"/>
    <w:rsid w:val="002D7617"/>
    <w:rsid w:val="002E1925"/>
    <w:rsid w:val="002E364E"/>
    <w:rsid w:val="002E3BAD"/>
    <w:rsid w:val="002E4B64"/>
    <w:rsid w:val="002F0759"/>
    <w:rsid w:val="003045D7"/>
    <w:rsid w:val="00310BF5"/>
    <w:rsid w:val="00317FEB"/>
    <w:rsid w:val="003238E0"/>
    <w:rsid w:val="00331303"/>
    <w:rsid w:val="003323BE"/>
    <w:rsid w:val="00335B7D"/>
    <w:rsid w:val="00340835"/>
    <w:rsid w:val="003415E1"/>
    <w:rsid w:val="00347A3F"/>
    <w:rsid w:val="00355983"/>
    <w:rsid w:val="0035613D"/>
    <w:rsid w:val="00356C68"/>
    <w:rsid w:val="003632C4"/>
    <w:rsid w:val="00363E37"/>
    <w:rsid w:val="003744B7"/>
    <w:rsid w:val="00381749"/>
    <w:rsid w:val="00384754"/>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2512"/>
    <w:rsid w:val="00417CC2"/>
    <w:rsid w:val="004202AA"/>
    <w:rsid w:val="00436B13"/>
    <w:rsid w:val="004374B0"/>
    <w:rsid w:val="00441C24"/>
    <w:rsid w:val="004457EC"/>
    <w:rsid w:val="00447D09"/>
    <w:rsid w:val="00451D6C"/>
    <w:rsid w:val="004523E4"/>
    <w:rsid w:val="004547B8"/>
    <w:rsid w:val="00457043"/>
    <w:rsid w:val="00460751"/>
    <w:rsid w:val="00467313"/>
    <w:rsid w:val="004679E7"/>
    <w:rsid w:val="00473372"/>
    <w:rsid w:val="00480BEE"/>
    <w:rsid w:val="00481016"/>
    <w:rsid w:val="00484015"/>
    <w:rsid w:val="00485B3F"/>
    <w:rsid w:val="004878FE"/>
    <w:rsid w:val="004965E6"/>
    <w:rsid w:val="004A0B75"/>
    <w:rsid w:val="004A1D5E"/>
    <w:rsid w:val="004A6D84"/>
    <w:rsid w:val="004B077C"/>
    <w:rsid w:val="004B6259"/>
    <w:rsid w:val="004C089F"/>
    <w:rsid w:val="004C31A0"/>
    <w:rsid w:val="004C501D"/>
    <w:rsid w:val="004C57AA"/>
    <w:rsid w:val="004D68DA"/>
    <w:rsid w:val="004D7C03"/>
    <w:rsid w:val="004E5AD0"/>
    <w:rsid w:val="004E7783"/>
    <w:rsid w:val="004F2230"/>
    <w:rsid w:val="004F5024"/>
    <w:rsid w:val="004F65F6"/>
    <w:rsid w:val="00501458"/>
    <w:rsid w:val="005017D6"/>
    <w:rsid w:val="00503848"/>
    <w:rsid w:val="00504512"/>
    <w:rsid w:val="00512671"/>
    <w:rsid w:val="00516270"/>
    <w:rsid w:val="00520344"/>
    <w:rsid w:val="00520B1C"/>
    <w:rsid w:val="00530949"/>
    <w:rsid w:val="00531600"/>
    <w:rsid w:val="005322C9"/>
    <w:rsid w:val="0053425E"/>
    <w:rsid w:val="00562D6D"/>
    <w:rsid w:val="00563B33"/>
    <w:rsid w:val="00564F07"/>
    <w:rsid w:val="00572EEB"/>
    <w:rsid w:val="005825C6"/>
    <w:rsid w:val="00583984"/>
    <w:rsid w:val="00584F45"/>
    <w:rsid w:val="0059407C"/>
    <w:rsid w:val="005A0509"/>
    <w:rsid w:val="005A1D74"/>
    <w:rsid w:val="005A4781"/>
    <w:rsid w:val="005C6149"/>
    <w:rsid w:val="005D5AAF"/>
    <w:rsid w:val="005D7A95"/>
    <w:rsid w:val="005E1C3C"/>
    <w:rsid w:val="005E70FF"/>
    <w:rsid w:val="005F45D8"/>
    <w:rsid w:val="00602468"/>
    <w:rsid w:val="00603426"/>
    <w:rsid w:val="00606C77"/>
    <w:rsid w:val="00607165"/>
    <w:rsid w:val="00607ECB"/>
    <w:rsid w:val="00630832"/>
    <w:rsid w:val="00630964"/>
    <w:rsid w:val="006365D8"/>
    <w:rsid w:val="00640CC3"/>
    <w:rsid w:val="00640EAE"/>
    <w:rsid w:val="00645EBD"/>
    <w:rsid w:val="00647620"/>
    <w:rsid w:val="0065322F"/>
    <w:rsid w:val="00653760"/>
    <w:rsid w:val="00653D0F"/>
    <w:rsid w:val="00655AD9"/>
    <w:rsid w:val="006563A4"/>
    <w:rsid w:val="00660C66"/>
    <w:rsid w:val="00662A09"/>
    <w:rsid w:val="00665335"/>
    <w:rsid w:val="00674684"/>
    <w:rsid w:val="00692B39"/>
    <w:rsid w:val="00695627"/>
    <w:rsid w:val="0069717E"/>
    <w:rsid w:val="00697A45"/>
    <w:rsid w:val="00697EC4"/>
    <w:rsid w:val="006A278B"/>
    <w:rsid w:val="006A44AB"/>
    <w:rsid w:val="006A5FAE"/>
    <w:rsid w:val="006A7E04"/>
    <w:rsid w:val="006B1E12"/>
    <w:rsid w:val="006B1E52"/>
    <w:rsid w:val="006B63F1"/>
    <w:rsid w:val="006D3114"/>
    <w:rsid w:val="006D6B26"/>
    <w:rsid w:val="006D6E52"/>
    <w:rsid w:val="006D7F5D"/>
    <w:rsid w:val="006E0755"/>
    <w:rsid w:val="006E6456"/>
    <w:rsid w:val="006F5F73"/>
    <w:rsid w:val="0070093C"/>
    <w:rsid w:val="00707072"/>
    <w:rsid w:val="00711DA2"/>
    <w:rsid w:val="00713B1A"/>
    <w:rsid w:val="007164CA"/>
    <w:rsid w:val="0071658B"/>
    <w:rsid w:val="0072448E"/>
    <w:rsid w:val="007257A3"/>
    <w:rsid w:val="00727DE4"/>
    <w:rsid w:val="00733CBE"/>
    <w:rsid w:val="007341E2"/>
    <w:rsid w:val="007403FB"/>
    <w:rsid w:val="00743F18"/>
    <w:rsid w:val="0074466F"/>
    <w:rsid w:val="00752FA4"/>
    <w:rsid w:val="00753F1E"/>
    <w:rsid w:val="00760231"/>
    <w:rsid w:val="00762166"/>
    <w:rsid w:val="007706D5"/>
    <w:rsid w:val="00776F7B"/>
    <w:rsid w:val="0078590F"/>
    <w:rsid w:val="0079012C"/>
    <w:rsid w:val="007A0905"/>
    <w:rsid w:val="007A6E5F"/>
    <w:rsid w:val="007B06D5"/>
    <w:rsid w:val="007B0BA3"/>
    <w:rsid w:val="007B20CA"/>
    <w:rsid w:val="007C1A51"/>
    <w:rsid w:val="007C1FFE"/>
    <w:rsid w:val="007C787E"/>
    <w:rsid w:val="007D58E1"/>
    <w:rsid w:val="007D6549"/>
    <w:rsid w:val="007E493D"/>
    <w:rsid w:val="007E4956"/>
    <w:rsid w:val="007F1BC8"/>
    <w:rsid w:val="007F1D5F"/>
    <w:rsid w:val="0080166A"/>
    <w:rsid w:val="00802AF9"/>
    <w:rsid w:val="00803E02"/>
    <w:rsid w:val="00805055"/>
    <w:rsid w:val="0080720C"/>
    <w:rsid w:val="008118F0"/>
    <w:rsid w:val="00813A52"/>
    <w:rsid w:val="00813BD7"/>
    <w:rsid w:val="00822772"/>
    <w:rsid w:val="00823529"/>
    <w:rsid w:val="00824714"/>
    <w:rsid w:val="008248A2"/>
    <w:rsid w:val="0082680D"/>
    <w:rsid w:val="00827400"/>
    <w:rsid w:val="00827435"/>
    <w:rsid w:val="008333E1"/>
    <w:rsid w:val="00833B1E"/>
    <w:rsid w:val="00834E3F"/>
    <w:rsid w:val="00837798"/>
    <w:rsid w:val="0084494A"/>
    <w:rsid w:val="008458D9"/>
    <w:rsid w:val="00851B10"/>
    <w:rsid w:val="008535D1"/>
    <w:rsid w:val="00860ED2"/>
    <w:rsid w:val="0086467C"/>
    <w:rsid w:val="00867199"/>
    <w:rsid w:val="00875C53"/>
    <w:rsid w:val="00875FE9"/>
    <w:rsid w:val="00882D9D"/>
    <w:rsid w:val="00885594"/>
    <w:rsid w:val="00887D98"/>
    <w:rsid w:val="008964A5"/>
    <w:rsid w:val="008970AF"/>
    <w:rsid w:val="008A3424"/>
    <w:rsid w:val="008B12B1"/>
    <w:rsid w:val="008B5B93"/>
    <w:rsid w:val="008B7B24"/>
    <w:rsid w:val="008C00BD"/>
    <w:rsid w:val="008C26E1"/>
    <w:rsid w:val="008C5125"/>
    <w:rsid w:val="008D2D46"/>
    <w:rsid w:val="008E0063"/>
    <w:rsid w:val="008E1B3A"/>
    <w:rsid w:val="008E1FB0"/>
    <w:rsid w:val="008E7B3E"/>
    <w:rsid w:val="008E7D52"/>
    <w:rsid w:val="008F7D40"/>
    <w:rsid w:val="00904E80"/>
    <w:rsid w:val="00905192"/>
    <w:rsid w:val="009105A3"/>
    <w:rsid w:val="00912BEB"/>
    <w:rsid w:val="009151B2"/>
    <w:rsid w:val="009167C4"/>
    <w:rsid w:val="009173BD"/>
    <w:rsid w:val="00921795"/>
    <w:rsid w:val="00922573"/>
    <w:rsid w:val="009356AB"/>
    <w:rsid w:val="00936A27"/>
    <w:rsid w:val="00942B59"/>
    <w:rsid w:val="009523DE"/>
    <w:rsid w:val="00956DC2"/>
    <w:rsid w:val="00970E8B"/>
    <w:rsid w:val="00976CFE"/>
    <w:rsid w:val="009822CD"/>
    <w:rsid w:val="00982C2B"/>
    <w:rsid w:val="00983DED"/>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13C8"/>
    <w:rsid w:val="009F38A1"/>
    <w:rsid w:val="00A00BBC"/>
    <w:rsid w:val="00A03B7A"/>
    <w:rsid w:val="00A07710"/>
    <w:rsid w:val="00A11FC3"/>
    <w:rsid w:val="00A13A11"/>
    <w:rsid w:val="00A32B3D"/>
    <w:rsid w:val="00A334B2"/>
    <w:rsid w:val="00A338B6"/>
    <w:rsid w:val="00A36638"/>
    <w:rsid w:val="00A421CA"/>
    <w:rsid w:val="00A4256B"/>
    <w:rsid w:val="00A42A92"/>
    <w:rsid w:val="00A43EB9"/>
    <w:rsid w:val="00A5110C"/>
    <w:rsid w:val="00A52C58"/>
    <w:rsid w:val="00A52E4C"/>
    <w:rsid w:val="00A62661"/>
    <w:rsid w:val="00A65D73"/>
    <w:rsid w:val="00A65E30"/>
    <w:rsid w:val="00A703BB"/>
    <w:rsid w:val="00A71AA6"/>
    <w:rsid w:val="00A808A3"/>
    <w:rsid w:val="00A80C70"/>
    <w:rsid w:val="00A83187"/>
    <w:rsid w:val="00A903BA"/>
    <w:rsid w:val="00AA4671"/>
    <w:rsid w:val="00AA4A98"/>
    <w:rsid w:val="00AA6AD4"/>
    <w:rsid w:val="00AB20A0"/>
    <w:rsid w:val="00AB4176"/>
    <w:rsid w:val="00AB4B8C"/>
    <w:rsid w:val="00AD005D"/>
    <w:rsid w:val="00AD0446"/>
    <w:rsid w:val="00AD6472"/>
    <w:rsid w:val="00AD6D9C"/>
    <w:rsid w:val="00AE52E1"/>
    <w:rsid w:val="00AF2AFA"/>
    <w:rsid w:val="00B02534"/>
    <w:rsid w:val="00B051D2"/>
    <w:rsid w:val="00B07F5C"/>
    <w:rsid w:val="00B108F3"/>
    <w:rsid w:val="00B1316D"/>
    <w:rsid w:val="00B13743"/>
    <w:rsid w:val="00B17FFB"/>
    <w:rsid w:val="00B200CE"/>
    <w:rsid w:val="00B251B2"/>
    <w:rsid w:val="00B346F1"/>
    <w:rsid w:val="00B35B59"/>
    <w:rsid w:val="00B37310"/>
    <w:rsid w:val="00B40956"/>
    <w:rsid w:val="00B446BC"/>
    <w:rsid w:val="00B50163"/>
    <w:rsid w:val="00B51820"/>
    <w:rsid w:val="00B558D9"/>
    <w:rsid w:val="00B55AE0"/>
    <w:rsid w:val="00B561F4"/>
    <w:rsid w:val="00B577EF"/>
    <w:rsid w:val="00B6707D"/>
    <w:rsid w:val="00B67343"/>
    <w:rsid w:val="00B71445"/>
    <w:rsid w:val="00B91C3E"/>
    <w:rsid w:val="00B96EE6"/>
    <w:rsid w:val="00BA2667"/>
    <w:rsid w:val="00BA6FC2"/>
    <w:rsid w:val="00BB1DBD"/>
    <w:rsid w:val="00BB3A79"/>
    <w:rsid w:val="00BC5E35"/>
    <w:rsid w:val="00BC7AA4"/>
    <w:rsid w:val="00BD4078"/>
    <w:rsid w:val="00BD5FE2"/>
    <w:rsid w:val="00BE16A2"/>
    <w:rsid w:val="00BF25A0"/>
    <w:rsid w:val="00BF2C0B"/>
    <w:rsid w:val="00C002A3"/>
    <w:rsid w:val="00C052D7"/>
    <w:rsid w:val="00C11AD3"/>
    <w:rsid w:val="00C20074"/>
    <w:rsid w:val="00C209E3"/>
    <w:rsid w:val="00C21A7E"/>
    <w:rsid w:val="00C21AF9"/>
    <w:rsid w:val="00C2303D"/>
    <w:rsid w:val="00C23E21"/>
    <w:rsid w:val="00C26699"/>
    <w:rsid w:val="00C27E82"/>
    <w:rsid w:val="00C31749"/>
    <w:rsid w:val="00C3623C"/>
    <w:rsid w:val="00C409B9"/>
    <w:rsid w:val="00C41304"/>
    <w:rsid w:val="00C42F38"/>
    <w:rsid w:val="00C44FE6"/>
    <w:rsid w:val="00C45343"/>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5091"/>
    <w:rsid w:val="00CB7F7B"/>
    <w:rsid w:val="00CC40DC"/>
    <w:rsid w:val="00CD6F66"/>
    <w:rsid w:val="00CE1499"/>
    <w:rsid w:val="00CE207E"/>
    <w:rsid w:val="00CE36A7"/>
    <w:rsid w:val="00CE3759"/>
    <w:rsid w:val="00CE4844"/>
    <w:rsid w:val="00CE7CB0"/>
    <w:rsid w:val="00D03E0F"/>
    <w:rsid w:val="00D11975"/>
    <w:rsid w:val="00D167D9"/>
    <w:rsid w:val="00D22ADC"/>
    <w:rsid w:val="00D274B8"/>
    <w:rsid w:val="00D3631A"/>
    <w:rsid w:val="00D401C9"/>
    <w:rsid w:val="00D40FC5"/>
    <w:rsid w:val="00D41931"/>
    <w:rsid w:val="00D511DB"/>
    <w:rsid w:val="00D52432"/>
    <w:rsid w:val="00D66333"/>
    <w:rsid w:val="00D673B5"/>
    <w:rsid w:val="00D81D93"/>
    <w:rsid w:val="00D84EDF"/>
    <w:rsid w:val="00D90F04"/>
    <w:rsid w:val="00DA0FF4"/>
    <w:rsid w:val="00DB1B0A"/>
    <w:rsid w:val="00DB7313"/>
    <w:rsid w:val="00DB766B"/>
    <w:rsid w:val="00DC2025"/>
    <w:rsid w:val="00DC44DE"/>
    <w:rsid w:val="00DC5700"/>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41DE5"/>
    <w:rsid w:val="00E42A97"/>
    <w:rsid w:val="00E55C83"/>
    <w:rsid w:val="00E564E0"/>
    <w:rsid w:val="00E66732"/>
    <w:rsid w:val="00E75B77"/>
    <w:rsid w:val="00E820A7"/>
    <w:rsid w:val="00E85EDF"/>
    <w:rsid w:val="00E8666E"/>
    <w:rsid w:val="00E87C0B"/>
    <w:rsid w:val="00E9198D"/>
    <w:rsid w:val="00E92365"/>
    <w:rsid w:val="00E92CB6"/>
    <w:rsid w:val="00E9376C"/>
    <w:rsid w:val="00E975C5"/>
    <w:rsid w:val="00EA0482"/>
    <w:rsid w:val="00EA4EC1"/>
    <w:rsid w:val="00EA5A7C"/>
    <w:rsid w:val="00EA62D1"/>
    <w:rsid w:val="00EB48F5"/>
    <w:rsid w:val="00ED0562"/>
    <w:rsid w:val="00ED0C58"/>
    <w:rsid w:val="00ED317F"/>
    <w:rsid w:val="00ED55A6"/>
    <w:rsid w:val="00ED7611"/>
    <w:rsid w:val="00ED7FCB"/>
    <w:rsid w:val="00EE1041"/>
    <w:rsid w:val="00EE7FA9"/>
    <w:rsid w:val="00EF0E84"/>
    <w:rsid w:val="00EF4675"/>
    <w:rsid w:val="00F03133"/>
    <w:rsid w:val="00F11648"/>
    <w:rsid w:val="00F13405"/>
    <w:rsid w:val="00F16738"/>
    <w:rsid w:val="00F174BE"/>
    <w:rsid w:val="00F178A6"/>
    <w:rsid w:val="00F208C8"/>
    <w:rsid w:val="00F23297"/>
    <w:rsid w:val="00F2538C"/>
    <w:rsid w:val="00F27151"/>
    <w:rsid w:val="00F304A0"/>
    <w:rsid w:val="00F316B4"/>
    <w:rsid w:val="00F359E9"/>
    <w:rsid w:val="00F36B34"/>
    <w:rsid w:val="00F374E1"/>
    <w:rsid w:val="00F37A40"/>
    <w:rsid w:val="00F41ED7"/>
    <w:rsid w:val="00F42B31"/>
    <w:rsid w:val="00F43BDC"/>
    <w:rsid w:val="00F64EA5"/>
    <w:rsid w:val="00F710BC"/>
    <w:rsid w:val="00F750AE"/>
    <w:rsid w:val="00F76D5E"/>
    <w:rsid w:val="00F804CC"/>
    <w:rsid w:val="00F80965"/>
    <w:rsid w:val="00F80B6A"/>
    <w:rsid w:val="00F83073"/>
    <w:rsid w:val="00F91DB5"/>
    <w:rsid w:val="00FB41E0"/>
    <w:rsid w:val="00FB4835"/>
    <w:rsid w:val="00FB7BDC"/>
    <w:rsid w:val="00FC3989"/>
    <w:rsid w:val="00FC3D26"/>
    <w:rsid w:val="00FC504F"/>
    <w:rsid w:val="00FD41F2"/>
    <w:rsid w:val="00FE5729"/>
    <w:rsid w:val="00FE5CBD"/>
    <w:rsid w:val="00FE5CED"/>
    <w:rsid w:val="00FF39B0"/>
    <w:rsid w:val="00FF5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D15F53"/>
  <w15:docId w15:val="{77F8AB83-D3C8-49EE-AE39-348BBF5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semiHidden/>
    <w:unhideWhenUsed/>
    <w:rsid w:val="00202FD8"/>
    <w:rPr>
      <w:sz w:val="16"/>
      <w:szCs w:val="16"/>
    </w:rPr>
  </w:style>
  <w:style w:type="paragraph" w:styleId="CommentText">
    <w:name w:val="annotation text"/>
    <w:basedOn w:val="Normal"/>
    <w:link w:val="CommentTextChar"/>
    <w:semiHidden/>
    <w:unhideWhenUsed/>
    <w:rsid w:val="00202FD8"/>
  </w:style>
  <w:style w:type="character" w:customStyle="1" w:styleId="CommentTextChar">
    <w:name w:val="Comment Text Char"/>
    <w:basedOn w:val="DefaultParagraphFont"/>
    <w:link w:val="CommentText"/>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C762-7199-412F-B66B-9C0FE646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827A4-EA28-446D-A69F-27CF502F5F40}">
  <ds:schemaRefs>
    <ds:schemaRef ds:uri="http://schemas.microsoft.com/sharepoint/v3/contenttype/forms"/>
  </ds:schemaRefs>
</ds:datastoreItem>
</file>

<file path=customXml/itemProps3.xml><?xml version="1.0" encoding="utf-8"?>
<ds:datastoreItem xmlns:ds="http://schemas.openxmlformats.org/officeDocument/2006/customXml" ds:itemID="{5B877622-C344-44D6-8966-54C936BECC9C}">
  <ds:schemaRefs>
    <ds:schemaRef ds:uri="http://schemas.microsoft.com/office/2006/documentManagement/types"/>
    <ds:schemaRef ds:uri="http://purl.org/dc/elements/1.1/"/>
    <ds:schemaRef ds:uri="http://www.w3.org/XML/1998/namespace"/>
    <ds:schemaRef ds:uri="c2287735-bcfa-44b1-b621-4f7c9c60dac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B28A274-BECA-44B3-B627-5A40F01C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Frye, Christa</cp:lastModifiedBy>
  <cp:revision>4</cp:revision>
  <cp:lastPrinted>2016-06-22T12:45:00Z</cp:lastPrinted>
  <dcterms:created xsi:type="dcterms:W3CDTF">2023-07-27T18:45:00Z</dcterms:created>
  <dcterms:modified xsi:type="dcterms:W3CDTF">2023-07-27T18:47:00Z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