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095" w:rsidRPr="00596C3F" w:rsidP="00421095" w14:paraId="5AC31AE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596C3F">
        <w:rPr>
          <w:b/>
          <w:bCs/>
        </w:rPr>
        <w:t>Collection of Information Employing Statistical Methods</w:t>
      </w:r>
    </w:p>
    <w:p w:rsidR="00421095" w:rsidRPr="00596C3F" w:rsidP="00421095" w14:paraId="09ECFB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4901" w:rsidRPr="009C0B37" w:rsidP="53D65BBC" w14:paraId="637DD076" w14:textId="77E4B077">
      <w:pPr>
        <w:pStyle w:val="ListParagraph"/>
        <w:numPr>
          <w:ilvl w:val="0"/>
          <w:numId w:val="7"/>
        </w:numPr>
        <w:rPr>
          <w:u w:val="single"/>
        </w:rPr>
      </w:pPr>
      <w:r w:rsidRPr="53D65BBC">
        <w:rPr>
          <w:b/>
          <w:bCs/>
          <w:u w:val="single"/>
        </w:rPr>
        <w:t>Universe and Respondent Selection</w:t>
      </w:r>
      <w:r w:rsidR="009C0B37">
        <w:t xml:space="preserve"> </w:t>
      </w:r>
    </w:p>
    <w:p w:rsidR="006B4C83" w:rsidP="009C0B37" w14:paraId="0B677459" w14:textId="77777777"/>
    <w:p w:rsidR="00EB262E" w:rsidP="004A6B77" w14:paraId="073A93D6" w14:textId="4E8523A5">
      <w:r w:rsidRPr="002A55FF">
        <w:t xml:space="preserve">The universe for the </w:t>
      </w:r>
      <w:r w:rsidR="000742F6">
        <w:t xml:space="preserve">2023 </w:t>
      </w:r>
      <w:r w:rsidRPr="000742F6" w:rsidR="000742F6">
        <w:t xml:space="preserve">Law Enforcement Management and Administrative Statistics </w:t>
      </w:r>
      <w:r w:rsidR="00BF6A4D">
        <w:rPr>
          <w:rStyle w:val="ui-provider"/>
        </w:rPr>
        <w:t xml:space="preserve">Post-Academy Training </w:t>
      </w:r>
      <w:r w:rsidR="00F239D4">
        <w:rPr>
          <w:rStyle w:val="ui-provider"/>
        </w:rPr>
        <w:t xml:space="preserve">and Officer Wellness </w:t>
      </w:r>
      <w:r w:rsidRPr="000742F6" w:rsidR="009F5952">
        <w:t>(LEMAS</w:t>
      </w:r>
      <w:r w:rsidR="009F5952">
        <w:t xml:space="preserve"> PATOW) </w:t>
      </w:r>
      <w:r w:rsidR="00576E85">
        <w:rPr>
          <w:rStyle w:val="ui-provider"/>
        </w:rPr>
        <w:t>s</w:t>
      </w:r>
      <w:r w:rsidR="00BF6A4D">
        <w:rPr>
          <w:rStyle w:val="ui-provider"/>
        </w:rPr>
        <w:t xml:space="preserve">urvey </w:t>
      </w:r>
      <w:r w:rsidR="000742F6">
        <w:t xml:space="preserve">will consist of </w:t>
      </w:r>
      <w:r w:rsidR="002E0A6F">
        <w:t xml:space="preserve">all </w:t>
      </w:r>
      <w:r w:rsidRPr="00007A5C" w:rsidR="009774FA">
        <w:t>general-purpose</w:t>
      </w:r>
      <w:r w:rsidRPr="00007A5C" w:rsidR="000742F6">
        <w:t xml:space="preserve"> </w:t>
      </w:r>
      <w:r w:rsidR="008C452C">
        <w:t xml:space="preserve">law enforcement </w:t>
      </w:r>
      <w:r w:rsidRPr="00007A5C" w:rsidR="000742F6">
        <w:t xml:space="preserve">agencies </w:t>
      </w:r>
      <w:r w:rsidR="00CE1B1D">
        <w:t xml:space="preserve">(LEAs) </w:t>
      </w:r>
      <w:r w:rsidR="009E4FAB">
        <w:t xml:space="preserve">within the U.S. </w:t>
      </w:r>
      <w:r w:rsidRPr="00007A5C" w:rsidR="000742F6">
        <w:t>to represent the population of active, publicly funded primary state agencies; sheriffs’ offices; and municipal, county, or regional police departments</w:t>
      </w:r>
      <w:r w:rsidR="008906D6">
        <w:t xml:space="preserve">. </w:t>
      </w:r>
      <w:r w:rsidRPr="007E7724" w:rsidR="007E7724">
        <w:t xml:space="preserve">They are distinct from special-purpose agencies, sheriffs’ offices with jail and court duties only, and federal </w:t>
      </w:r>
      <w:r w:rsidR="00CE1B1D">
        <w:t>LEAs</w:t>
      </w:r>
      <w:r w:rsidRPr="007E7724" w:rsidR="007E7724">
        <w:t>.</w:t>
      </w:r>
      <w:r w:rsidR="007E7724">
        <w:t xml:space="preserve"> </w:t>
      </w:r>
      <w:r w:rsidRPr="00596C3F" w:rsidR="009F5952">
        <w:t xml:space="preserve">The target population for the </w:t>
      </w:r>
      <w:r w:rsidR="009F5952">
        <w:t>2023</w:t>
      </w:r>
      <w:r w:rsidRPr="00B478DB" w:rsidR="009F5952">
        <w:t xml:space="preserve"> </w:t>
      </w:r>
      <w:r w:rsidRPr="000742F6" w:rsidR="009F5952">
        <w:t>LEMAS</w:t>
      </w:r>
      <w:r w:rsidR="009F5952">
        <w:t xml:space="preserve"> PATOW</w:t>
      </w:r>
      <w:r w:rsidRPr="00B478DB" w:rsidR="009F5952">
        <w:t xml:space="preserve"> </w:t>
      </w:r>
      <w:r w:rsidR="009F5952">
        <w:t xml:space="preserve">survey </w:t>
      </w:r>
      <w:r w:rsidRPr="00596C3F" w:rsidR="009F5952">
        <w:t xml:space="preserve">is all </w:t>
      </w:r>
      <w:r w:rsidR="009F5952">
        <w:t>general-purpose agencies</w:t>
      </w:r>
      <w:r w:rsidRPr="00596C3F" w:rsidR="009F5952">
        <w:t xml:space="preserve"> </w:t>
      </w:r>
      <w:r w:rsidR="009F5952">
        <w:t xml:space="preserve">that employ the equivalent of </w:t>
      </w:r>
      <w:r w:rsidRPr="00596C3F" w:rsidR="009F5952">
        <w:t>at least one full</w:t>
      </w:r>
      <w:r w:rsidR="009F5952">
        <w:t>-</w:t>
      </w:r>
      <w:r w:rsidRPr="00596C3F" w:rsidR="009F5952">
        <w:t xml:space="preserve">time </w:t>
      </w:r>
      <w:r w:rsidR="009C76F0">
        <w:t xml:space="preserve">equivalent (FTE) </w:t>
      </w:r>
      <w:r w:rsidRPr="00596C3F" w:rsidR="009F5952">
        <w:t xml:space="preserve">sworn </w:t>
      </w:r>
      <w:r w:rsidR="009C76F0">
        <w:t>personnel</w:t>
      </w:r>
      <w:r w:rsidRPr="00596C3F" w:rsidR="009F5952">
        <w:t>.</w:t>
      </w:r>
      <w:r>
        <w:rPr>
          <w:rStyle w:val="FootnoteReference"/>
        </w:rPr>
        <w:footnoteReference w:id="2"/>
      </w:r>
    </w:p>
    <w:p w:rsidR="004A6B77" w:rsidP="00E6742D" w14:paraId="77F5CEAB" w14:textId="77777777">
      <w:pPr>
        <w:pStyle w:val="SP-SglSpPara"/>
        <w:ind w:firstLine="0"/>
        <w:jc w:val="left"/>
        <w:rPr>
          <w:sz w:val="24"/>
          <w:szCs w:val="24"/>
        </w:rPr>
      </w:pPr>
    </w:p>
    <w:p w:rsidR="007F6472" w:rsidP="001479BB" w14:paraId="003AC174" w14:textId="44E40006">
      <w:bookmarkStart w:id="0" w:name="_Hlk128553045"/>
      <w:r>
        <w:t xml:space="preserve">The survey universe is based on </w:t>
      </w:r>
      <w:r w:rsidRPr="002A55FF">
        <w:t>the Law Enforcement Agency Roster (LEAR)</w:t>
      </w:r>
      <w:r>
        <w:t xml:space="preserve"> that RTI maintains for </w:t>
      </w:r>
      <w:r w:rsidR="009F5952">
        <w:t>the Bureau of Justice Statistics (</w:t>
      </w:r>
      <w:r>
        <w:t>BJS</w:t>
      </w:r>
      <w:r w:rsidR="009F5952">
        <w:t>)</w:t>
      </w:r>
      <w:r>
        <w:t>.</w:t>
      </w:r>
      <w:r w:rsidR="009774FA">
        <w:t xml:space="preserve"> </w:t>
      </w:r>
      <w:r w:rsidRPr="007351C8" w:rsidR="004A6B77">
        <w:t>T</w:t>
      </w:r>
      <w:r w:rsidRPr="002A55FF" w:rsidR="004A6B77">
        <w:t xml:space="preserve">he LEAR </w:t>
      </w:r>
      <w:r w:rsidR="004A6B77">
        <w:t xml:space="preserve">was </w:t>
      </w:r>
      <w:r w:rsidR="001479BB">
        <w:t xml:space="preserve">first developed in </w:t>
      </w:r>
      <w:r w:rsidRPr="002A55FF" w:rsidR="004A6B77">
        <w:t>2016</w:t>
      </w:r>
      <w:r w:rsidR="001479BB">
        <w:t xml:space="preserve"> and</w:t>
      </w:r>
      <w:bookmarkEnd w:id="0"/>
      <w:r w:rsidR="007B1C4D">
        <w:t xml:space="preserve"> has since been updated with data from </w:t>
      </w:r>
      <w:r w:rsidR="00B74820">
        <w:t xml:space="preserve">public membership listings and other BJS data collections, including </w:t>
      </w:r>
      <w:r w:rsidR="007B1C4D">
        <w:t>t</w:t>
      </w:r>
      <w:r w:rsidR="00C617FA">
        <w:t>he 2</w:t>
      </w:r>
      <w:r w:rsidR="00B74820">
        <w:t>016 LEMAS</w:t>
      </w:r>
      <w:r w:rsidR="00F04A0D">
        <w:t xml:space="preserve"> </w:t>
      </w:r>
      <w:r w:rsidR="00FD4D81">
        <w:t>c</w:t>
      </w:r>
      <w:r w:rsidR="00F04A0D">
        <w:t>ore</w:t>
      </w:r>
      <w:r w:rsidR="00B74820">
        <w:t xml:space="preserve">, 2016 LEMAS Body-Worn Camera Supplement, </w:t>
      </w:r>
      <w:r w:rsidR="00F04A0D">
        <w:t>2018 C</w:t>
      </w:r>
      <w:r w:rsidR="00FD4D81">
        <w:t>ensus of State and Local Law Enforcement Agencies (C</w:t>
      </w:r>
      <w:r w:rsidR="00F04A0D">
        <w:t>SLLEA</w:t>
      </w:r>
      <w:r w:rsidR="00FD4D81">
        <w:t>)</w:t>
      </w:r>
      <w:r w:rsidR="00F04A0D">
        <w:t xml:space="preserve">, </w:t>
      </w:r>
      <w:r w:rsidR="00B74820">
        <w:t>2</w:t>
      </w:r>
      <w:r w:rsidR="00C617FA">
        <w:t>020 LEMA</w:t>
      </w:r>
      <w:r w:rsidR="007B1C4D">
        <w:t>S</w:t>
      </w:r>
      <w:r w:rsidR="00F04A0D">
        <w:t xml:space="preserve"> Core</w:t>
      </w:r>
      <w:r w:rsidR="007B1C4D">
        <w:t>,</w:t>
      </w:r>
      <w:r w:rsidR="00975508">
        <w:t xml:space="preserve"> </w:t>
      </w:r>
      <w:r w:rsidR="00FD4D81">
        <w:t xml:space="preserve">and </w:t>
      </w:r>
      <w:r w:rsidR="007B1C4D">
        <w:t xml:space="preserve">2021 </w:t>
      </w:r>
      <w:r w:rsidR="00FD4D81">
        <w:t>Survey of Campus Law Enforcement Agencies (</w:t>
      </w:r>
      <w:r w:rsidR="007B1C4D">
        <w:t>SCLEA</w:t>
      </w:r>
      <w:r w:rsidR="00FD4D81">
        <w:t xml:space="preserve">). The LEAR will also incorporate updates from the </w:t>
      </w:r>
      <w:r w:rsidR="00975508">
        <w:t>2022 CSLLEA</w:t>
      </w:r>
      <w:r w:rsidR="00FD4D81">
        <w:t>, which is currently in the field</w:t>
      </w:r>
      <w:r w:rsidR="000527DF">
        <w:t xml:space="preserve">. </w:t>
      </w:r>
      <w:r w:rsidR="007B1C4D">
        <w:t xml:space="preserve">These data collections </w:t>
      </w:r>
      <w:r w:rsidR="00BB4A75">
        <w:t xml:space="preserve">provided updates on </w:t>
      </w:r>
      <w:r>
        <w:t>agencies’ in-service and in-scope status</w:t>
      </w:r>
      <w:r w:rsidR="00B74820">
        <w:t xml:space="preserve"> and current contact information for a survey point of contact</w:t>
      </w:r>
      <w:r w:rsidR="00030044">
        <w:t xml:space="preserve"> and agency head</w:t>
      </w:r>
      <w:r>
        <w:t xml:space="preserve">. </w:t>
      </w:r>
    </w:p>
    <w:p w:rsidR="007E7724" w:rsidP="001479BB" w14:paraId="4E60812B" w14:textId="1295D56C"/>
    <w:p w:rsidR="007E7724" w:rsidP="001479BB" w14:paraId="192941EA" w14:textId="49148064">
      <w:r>
        <w:t>RTI also developed the Agency Record Management System (ARMS) as a portal to identify, validate, and upload changes to agency records in the LEAR. The ARMS also added functionality to allow BJS to continuously update contact information.</w:t>
      </w:r>
    </w:p>
    <w:p w:rsidR="00570ECF" w:rsidP="00570ECF" w14:paraId="14CBFAD5" w14:textId="77777777">
      <w:pPr>
        <w:rPr>
          <w:i/>
        </w:rPr>
      </w:pPr>
    </w:p>
    <w:p w:rsidR="00570ECF" w:rsidP="00570ECF" w14:paraId="4A4AD077" w14:textId="57F9CCD2">
      <w:r>
        <w:rPr>
          <w:i/>
        </w:rPr>
        <w:t xml:space="preserve">Elimination of Out-of-Scope Agencies for </w:t>
      </w:r>
      <w:r w:rsidR="006037A2">
        <w:rPr>
          <w:i/>
        </w:rPr>
        <w:t xml:space="preserve">the </w:t>
      </w:r>
      <w:r w:rsidR="006A11F3">
        <w:rPr>
          <w:i/>
        </w:rPr>
        <w:t xml:space="preserve">2023 </w:t>
      </w:r>
      <w:r w:rsidR="006037A2">
        <w:rPr>
          <w:i/>
        </w:rPr>
        <w:t xml:space="preserve">LEMAS </w:t>
      </w:r>
      <w:r w:rsidR="001479BB">
        <w:rPr>
          <w:i/>
        </w:rPr>
        <w:t>PA</w:t>
      </w:r>
      <w:r w:rsidR="00F239D4">
        <w:rPr>
          <w:i/>
        </w:rPr>
        <w:t>TOW Survey</w:t>
      </w:r>
      <w:r>
        <w:t xml:space="preserve">. </w:t>
      </w:r>
      <w:r w:rsidR="008906D6">
        <w:t xml:space="preserve">A survey sample of 3,500 </w:t>
      </w:r>
      <w:r w:rsidR="009F5952">
        <w:t xml:space="preserve">general-purpose </w:t>
      </w:r>
      <w:r w:rsidR="008906D6">
        <w:t xml:space="preserve">agencies </w:t>
      </w:r>
      <w:r w:rsidR="009F5952">
        <w:t xml:space="preserve">with at least one FTE </w:t>
      </w:r>
      <w:r w:rsidR="009C76F0">
        <w:t xml:space="preserve">sworn personnel </w:t>
      </w:r>
      <w:r w:rsidR="008906D6">
        <w:t xml:space="preserve">will be selected from the universe. </w:t>
      </w:r>
      <w:r w:rsidRPr="002A55FF">
        <w:t>The following actions have been taken to reduce the possibility of including out</w:t>
      </w:r>
      <w:r>
        <w:t>-</w:t>
      </w:r>
      <w:r w:rsidRPr="002A55FF">
        <w:t>of</w:t>
      </w:r>
      <w:r>
        <w:t>-</w:t>
      </w:r>
      <w:r w:rsidRPr="002A55FF">
        <w:t>scope agencies</w:t>
      </w:r>
      <w:r>
        <w:t xml:space="preserve"> from the LEAR:</w:t>
      </w:r>
    </w:p>
    <w:p w:rsidR="00AC5E3A" w:rsidP="00570ECF" w14:paraId="7AB371DB" w14:textId="77777777"/>
    <w:p w:rsidR="00570ECF" w:rsidRPr="002A55FF" w:rsidP="00570ECF" w14:paraId="41FC6FCD" w14:textId="669B79F3">
      <w:pPr>
        <w:pStyle w:val="ListParagraph"/>
        <w:numPr>
          <w:ilvl w:val="0"/>
          <w:numId w:val="28"/>
        </w:numPr>
      </w:pPr>
      <w:r w:rsidRPr="002A55FF">
        <w:t xml:space="preserve">Non-publicly funded </w:t>
      </w:r>
      <w:r>
        <w:t>LEAs</w:t>
      </w:r>
      <w:r w:rsidRPr="002A55FF">
        <w:t xml:space="preserve"> (e.g., </w:t>
      </w:r>
      <w:r>
        <w:t xml:space="preserve">those serving </w:t>
      </w:r>
      <w:r w:rsidRPr="002A55FF">
        <w:t>private universities)</w:t>
      </w:r>
      <w:r>
        <w:t xml:space="preserve"> </w:t>
      </w:r>
      <w:r w:rsidR="00A46869">
        <w:t>were</w:t>
      </w:r>
      <w:r>
        <w:t xml:space="preserve"> vetted to reduce out-</w:t>
      </w:r>
      <w:r w:rsidRPr="002A55FF">
        <w:t>of</w:t>
      </w:r>
      <w:r>
        <w:t>-</w:t>
      </w:r>
      <w:r w:rsidRPr="002A55FF">
        <w:t xml:space="preserve">scope agency participation. </w:t>
      </w:r>
    </w:p>
    <w:p w:rsidR="00570ECF" w:rsidRPr="002A55FF" w:rsidP="00570ECF" w14:paraId="0C59EC35" w14:textId="635B0900">
      <w:pPr>
        <w:pStyle w:val="ListParagraph"/>
        <w:numPr>
          <w:ilvl w:val="0"/>
          <w:numId w:val="28"/>
        </w:numPr>
      </w:pPr>
      <w:r w:rsidRPr="002A55FF">
        <w:t xml:space="preserve">Publicly available information was reviewed to determine if agencies do not have </w:t>
      </w:r>
      <w:r>
        <w:t xml:space="preserve">general </w:t>
      </w:r>
      <w:r w:rsidRPr="002A55FF">
        <w:t xml:space="preserve">sworn law enforcement authority. </w:t>
      </w:r>
    </w:p>
    <w:p w:rsidR="00570ECF" w:rsidRPr="002A55FF" w:rsidP="00570ECF" w14:paraId="70C773D5" w14:textId="3203CAD3">
      <w:pPr>
        <w:pStyle w:val="ListParagraph"/>
        <w:numPr>
          <w:ilvl w:val="0"/>
          <w:numId w:val="28"/>
        </w:numPr>
      </w:pPr>
      <w:r>
        <w:t>Agency</w:t>
      </w:r>
      <w:r w:rsidRPr="002A55FF">
        <w:t xml:space="preserve"> size </w:t>
      </w:r>
      <w:r w:rsidR="00A46869">
        <w:t>was</w:t>
      </w:r>
      <w:r w:rsidRPr="002A55FF">
        <w:t xml:space="preserve"> checked across a variety of sources</w:t>
      </w:r>
      <w:r>
        <w:t xml:space="preserve">, including </w:t>
      </w:r>
      <w:r w:rsidR="007B7C06">
        <w:t xml:space="preserve">the </w:t>
      </w:r>
      <w:r w:rsidR="00FD4D81">
        <w:t xml:space="preserve">2020 LEMAS core </w:t>
      </w:r>
      <w:r w:rsidR="007B7C06">
        <w:t xml:space="preserve">and prior </w:t>
      </w:r>
      <w:r>
        <w:t>waves</w:t>
      </w:r>
      <w:r w:rsidR="007B7C06">
        <w:t xml:space="preserve"> of the </w:t>
      </w:r>
      <w:r w:rsidR="00FD4D81">
        <w:t xml:space="preserve">CSLLEA. Agencies will also be checked against the 2022 CSLLEA </w:t>
      </w:r>
      <w:r w:rsidR="00FD4D81">
        <w:t>in order</w:t>
      </w:r>
      <w:r w:rsidR="006037A2">
        <w:t xml:space="preserve"> </w:t>
      </w:r>
      <w:r w:rsidRPr="002A55FF">
        <w:t>to</w:t>
      </w:r>
      <w:r w:rsidRPr="002A55FF">
        <w:t xml:space="preserve"> </w:t>
      </w:r>
      <w:r>
        <w:t>attempt to minimize</w:t>
      </w:r>
      <w:r w:rsidRPr="002A55FF">
        <w:t xml:space="preserve"> the number of agencies </w:t>
      </w:r>
      <w:r>
        <w:t xml:space="preserve">in the frame </w:t>
      </w:r>
      <w:r w:rsidRPr="002A55FF">
        <w:t xml:space="preserve">with less than one </w:t>
      </w:r>
      <w:r w:rsidR="009C76F0">
        <w:t>FTE</w:t>
      </w:r>
      <w:r>
        <w:t xml:space="preserve"> </w:t>
      </w:r>
      <w:r w:rsidRPr="002A55FF">
        <w:t>sworn</w:t>
      </w:r>
      <w:r>
        <w:t xml:space="preserve"> </w:t>
      </w:r>
      <w:r w:rsidR="009C76F0">
        <w:t>personnel</w:t>
      </w:r>
      <w:r w:rsidRPr="002A55FF">
        <w:t xml:space="preserve">. </w:t>
      </w:r>
    </w:p>
    <w:p w:rsidR="007F6472" w:rsidP="00366193" w14:paraId="76988E0E" w14:textId="77777777"/>
    <w:p w:rsidR="00030044" w:rsidP="00366193" w14:paraId="481F6A87" w14:textId="1F13D0AE">
      <w:r>
        <w:t xml:space="preserve">RTI </w:t>
      </w:r>
      <w:r>
        <w:t xml:space="preserve">will </w:t>
      </w:r>
      <w:r>
        <w:t>extract all cases from the current LEAR that me</w:t>
      </w:r>
      <w:r w:rsidR="009774FA">
        <w:t>e</w:t>
      </w:r>
      <w:r>
        <w:t>t the criteria</w:t>
      </w:r>
      <w:r w:rsidR="00A46869">
        <w:t xml:space="preserve"> described above</w:t>
      </w:r>
      <w:r w:rsidR="00AF5AEB">
        <w:t xml:space="preserve"> as the first step in frame construction for the 2023 LEMAS </w:t>
      </w:r>
      <w:r w:rsidR="001479BB">
        <w:t>PAT</w:t>
      </w:r>
      <w:r w:rsidR="00F239D4">
        <w:t xml:space="preserve">OW </w:t>
      </w:r>
      <w:r w:rsidR="00576E85">
        <w:t>s</w:t>
      </w:r>
      <w:r w:rsidR="00F239D4">
        <w:t>urvey.</w:t>
      </w:r>
      <w:r w:rsidRPr="00E777EC" w:rsidR="00E777EC">
        <w:t xml:space="preserve"> </w:t>
      </w:r>
      <w:r w:rsidR="007E7724">
        <w:t xml:space="preserve">Approximately 16,000 general-purpose agencies eligible for PATOW currently exist in the LEAR. </w:t>
      </w:r>
      <w:r w:rsidR="00F86091">
        <w:t>Additionally, a</w:t>
      </w:r>
      <w:r w:rsidR="00E777EC">
        <w:t xml:space="preserve">ny </w:t>
      </w:r>
      <w:r w:rsidR="00E777EC">
        <w:t xml:space="preserve">agencies that are out of service, contract with another agency, </w:t>
      </w:r>
      <w:r w:rsidR="00146AF9">
        <w:t xml:space="preserve">or </w:t>
      </w:r>
      <w:r w:rsidR="00E777EC">
        <w:t xml:space="preserve">do not have police operations will be defined as out of scope. </w:t>
      </w:r>
    </w:p>
    <w:p w:rsidR="00030044" w:rsidP="00366193" w14:paraId="12115173" w14:textId="77777777"/>
    <w:p w:rsidR="00611B5F" w:rsidP="00366193" w14:paraId="44918EB1" w14:textId="09EA114B">
      <w:r w:rsidRPr="00F1339C">
        <w:t>The LEAR is routinely updated to reflect the changing landscape of LEA</w:t>
      </w:r>
      <w:r>
        <w:t>s in</w:t>
      </w:r>
      <w:r w:rsidRPr="00F1339C">
        <w:t xml:space="preserve"> operation. </w:t>
      </w:r>
      <w:r>
        <w:t>D</w:t>
      </w:r>
      <w:r w:rsidRPr="00F1339C">
        <w:t xml:space="preserve">ata from the </w:t>
      </w:r>
      <w:r>
        <w:t xml:space="preserve">ongoing </w:t>
      </w:r>
      <w:r w:rsidRPr="00F1339C">
        <w:t>20</w:t>
      </w:r>
      <w:r>
        <w:t>22</w:t>
      </w:r>
      <w:r w:rsidRPr="00F1339C">
        <w:t xml:space="preserve"> CSLLEA </w:t>
      </w:r>
      <w:r>
        <w:t>will be the primary source to identify ineligibles and will be</w:t>
      </w:r>
      <w:r w:rsidRPr="00F1339C">
        <w:t xml:space="preserve"> merged into the LEAR to ensure that </w:t>
      </w:r>
      <w:r>
        <w:t>it</w:t>
      </w:r>
      <w:r w:rsidRPr="00F1339C">
        <w:t xml:space="preserve"> contains the most accurate and timely data available</w:t>
      </w:r>
      <w:r>
        <w:t xml:space="preserve"> before the</w:t>
      </w:r>
      <w:r w:rsidR="00AF5AEB">
        <w:t xml:space="preserve"> LEMAS </w:t>
      </w:r>
      <w:r w:rsidR="001479BB">
        <w:t>PAT</w:t>
      </w:r>
      <w:r w:rsidR="00F239D4">
        <w:t xml:space="preserve">OW </w:t>
      </w:r>
      <w:r>
        <w:t>sample is created</w:t>
      </w:r>
      <w:r w:rsidRPr="00F1339C">
        <w:t>.</w:t>
      </w:r>
      <w:r>
        <w:t xml:space="preserve"> </w:t>
      </w:r>
    </w:p>
    <w:p w:rsidR="007A6C4A" w:rsidP="00366193" w14:paraId="6B46C09A" w14:textId="1457B6EE"/>
    <w:p w:rsidR="00091EBD" w:rsidP="00091EBD" w14:paraId="379D0EC9" w14:textId="77777777">
      <w:r>
        <w:t>RTI will also review the addresses, phone numbers, and agency head names of cases in the preliminary frame to identify possible duplicates. Any matches will be reviewed to identify true duplicates from non-matches with similar characteristics. For example, small police departments and county sheriff’s offices are often located at the same address. Duplicates will then be dropped from the frame.</w:t>
      </w:r>
    </w:p>
    <w:p w:rsidR="00091EBD" w:rsidP="00091EBD" w14:paraId="1F4D18C0" w14:textId="77777777"/>
    <w:p w:rsidR="00091EBD" w:rsidP="00091EBD" w14:paraId="6BBB4E85" w14:textId="77777777">
      <w:r>
        <w:t xml:space="preserve">Status issues (i.e., whether the agency is still an operational agency), potential duplicates, and other eligibility issues that are not easily resolved will be investigated by reviewing information from previous BJS data collections and through online searches. Research will be done online using publicly sourced information. Sources will include (1) records from prior surveys, (2) law enforcement and government webpages, (3) city-, county-, or organization-level budgets, (4) official governmental reports, and (5) news reports/articles from reputable sources. All updated data will be entered in the ARMS and then tracked and approved through the standard verification process before becoming part of LEAR. </w:t>
      </w:r>
    </w:p>
    <w:p w:rsidR="00091EBD" w:rsidP="00091EBD" w14:paraId="0BC03D2E" w14:textId="77777777"/>
    <w:p w:rsidR="009C76F0" w:rsidP="00366193" w14:paraId="313C74C6" w14:textId="464C6E54">
      <w:r>
        <w:t>The</w:t>
      </w:r>
      <w:r w:rsidRPr="00B62B62">
        <w:t xml:space="preserve"> LEMAS </w:t>
      </w:r>
      <w:r>
        <w:t xml:space="preserve">PATOW </w:t>
      </w:r>
      <w:r w:rsidR="00E97BF5">
        <w:t xml:space="preserve">will </w:t>
      </w:r>
      <w:r w:rsidRPr="00B62B62">
        <w:t xml:space="preserve">use </w:t>
      </w:r>
      <w:r w:rsidR="00E97BF5">
        <w:t xml:space="preserve">the same sampling methodology as the LEMAS core -- </w:t>
      </w:r>
      <w:r w:rsidRPr="00B62B62">
        <w:t>a stratified simple random sample design in which LEAs are stratified by agency type and agency size. Agency type has three categories: (1) local</w:t>
      </w:r>
      <w:r>
        <w:t xml:space="preserve"> and county</w:t>
      </w:r>
      <w:r w:rsidRPr="00B62B62">
        <w:t xml:space="preserve"> police</w:t>
      </w:r>
      <w:r>
        <w:t xml:space="preserve"> departments</w:t>
      </w:r>
      <w:r w:rsidRPr="00B62B62">
        <w:t xml:space="preserve">, (2) </w:t>
      </w:r>
      <w:r>
        <w:t>s</w:t>
      </w:r>
      <w:r w:rsidRPr="00B62B62">
        <w:t xml:space="preserve">heriff’s offices, and (3) </w:t>
      </w:r>
      <w:r w:rsidR="00EA4AEF">
        <w:t xml:space="preserve">primary </w:t>
      </w:r>
      <w:r w:rsidRPr="00B62B62">
        <w:t xml:space="preserve">state police. To obtain a representative sample of all agency sizes, </w:t>
      </w:r>
      <w:r>
        <w:t>agency type is further stratified by</w:t>
      </w:r>
      <w:r w:rsidRPr="00B62B62">
        <w:t xml:space="preserve"> agency size</w:t>
      </w:r>
      <w:r w:rsidR="00D84C95">
        <w:t xml:space="preserve"> except for state police</w:t>
      </w:r>
      <w:r w:rsidRPr="00B62B62">
        <w:t>. Agency size is split into seven categories: (1) 1</w:t>
      </w:r>
      <w:r>
        <w:t>-1.5</w:t>
      </w:r>
      <w:r w:rsidRPr="00B62B62">
        <w:t xml:space="preserve"> </w:t>
      </w:r>
      <w:r>
        <w:t>FTE</w:t>
      </w:r>
      <w:r w:rsidRPr="00B62B62">
        <w:t>, (2) 2 – 4</w:t>
      </w:r>
      <w:r>
        <w:t>.5</w:t>
      </w:r>
      <w:r w:rsidRPr="00B62B62">
        <w:t xml:space="preserve"> </w:t>
      </w:r>
      <w:r>
        <w:t>FTEs</w:t>
      </w:r>
      <w:r w:rsidRPr="00B62B62">
        <w:t xml:space="preserve"> (3) 5 – 9</w:t>
      </w:r>
      <w:r>
        <w:t>.5</w:t>
      </w:r>
      <w:r w:rsidRPr="00B62B62">
        <w:t xml:space="preserve"> </w:t>
      </w:r>
      <w:r>
        <w:t>FTEs</w:t>
      </w:r>
      <w:r w:rsidRPr="00B62B62">
        <w:t>, (4) 10 – 24</w:t>
      </w:r>
      <w:r>
        <w:t>.5</w:t>
      </w:r>
      <w:r w:rsidRPr="00B62B62">
        <w:t xml:space="preserve"> </w:t>
      </w:r>
      <w:r>
        <w:t>FTEs</w:t>
      </w:r>
      <w:r w:rsidRPr="00B62B62">
        <w:t>, (5) 25 – 49</w:t>
      </w:r>
      <w:r>
        <w:t>.5</w:t>
      </w:r>
      <w:r w:rsidRPr="00B62B62">
        <w:t xml:space="preserve"> </w:t>
      </w:r>
      <w:r>
        <w:t>FTEs</w:t>
      </w:r>
      <w:r w:rsidRPr="00B62B62">
        <w:t>, (6) 50 – 99</w:t>
      </w:r>
      <w:r>
        <w:t>.5</w:t>
      </w:r>
      <w:r w:rsidRPr="00B62B62">
        <w:t xml:space="preserve"> </w:t>
      </w:r>
      <w:r>
        <w:t>FTEs</w:t>
      </w:r>
      <w:r w:rsidRPr="00B62B62">
        <w:t xml:space="preserve">, and (7) 100 or more </w:t>
      </w:r>
      <w:r>
        <w:t>FTE sworn personnel</w:t>
      </w:r>
      <w:r w:rsidRPr="00B62B62">
        <w:t xml:space="preserve">. </w:t>
      </w:r>
    </w:p>
    <w:p w:rsidR="009C76F0" w:rsidP="00366193" w14:paraId="40F18F06" w14:textId="77777777"/>
    <w:p w:rsidR="007A6C4A" w:rsidP="00366193" w14:paraId="041179FE" w14:textId="60A5DAA0">
      <w:r w:rsidRPr="007A6C4A">
        <w:t xml:space="preserve">All </w:t>
      </w:r>
      <w:r w:rsidR="00EA4AEF">
        <w:t xml:space="preserve">primary </w:t>
      </w:r>
      <w:r w:rsidRPr="007A6C4A">
        <w:t xml:space="preserve">state </w:t>
      </w:r>
      <w:r w:rsidR="00E97BF5">
        <w:t xml:space="preserve">police </w:t>
      </w:r>
      <w:r w:rsidRPr="007A6C4A">
        <w:t xml:space="preserve">agencies </w:t>
      </w:r>
      <w:r w:rsidR="00E97BF5">
        <w:t>(N=49)</w:t>
      </w:r>
      <w:r>
        <w:rPr>
          <w:rStyle w:val="FootnoteReference"/>
        </w:rPr>
        <w:footnoteReference w:id="3"/>
      </w:r>
      <w:r w:rsidR="00E97BF5">
        <w:t xml:space="preserve"> </w:t>
      </w:r>
      <w:r w:rsidRPr="007A6C4A">
        <w:t xml:space="preserve">and agencies with 100 or more full-time </w:t>
      </w:r>
      <w:r w:rsidRPr="007A6C4A" w:rsidR="00E27181">
        <w:t xml:space="preserve">equivalent </w:t>
      </w:r>
      <w:r w:rsidRPr="007A6C4A">
        <w:t xml:space="preserve">sworn officers </w:t>
      </w:r>
      <w:r w:rsidR="009E4FAB">
        <w:t>(</w:t>
      </w:r>
      <w:r w:rsidR="00921CF6">
        <w:t xml:space="preserve">approximately </w:t>
      </w:r>
      <w:r w:rsidR="009E4FAB">
        <w:t>N=</w:t>
      </w:r>
      <w:r w:rsidR="007E7724">
        <w:t>1,030</w:t>
      </w:r>
      <w:r w:rsidR="009E4FAB">
        <w:t xml:space="preserve">) </w:t>
      </w:r>
      <w:r w:rsidRPr="007A6C4A">
        <w:t xml:space="preserve">will be selected with certainty. All other agencies will be placed into </w:t>
      </w:r>
      <w:r>
        <w:t>n</w:t>
      </w:r>
      <w:r w:rsidRPr="00007A5C">
        <w:t>on–self-representing</w:t>
      </w:r>
      <w:r w:rsidRPr="007A6C4A">
        <w:t xml:space="preserve"> </w:t>
      </w:r>
      <w:r>
        <w:t>(</w:t>
      </w:r>
      <w:r w:rsidRPr="007A6C4A">
        <w:t>NSR</w:t>
      </w:r>
      <w:r>
        <w:t>)</w:t>
      </w:r>
      <w:r w:rsidRPr="007A6C4A">
        <w:t xml:space="preserve"> strata defined by agency type and number of officers. </w:t>
      </w:r>
      <w:r w:rsidR="00E27181">
        <w:t>T</w:t>
      </w:r>
      <w:r w:rsidRPr="007A6C4A">
        <w:t xml:space="preserve">he sample </w:t>
      </w:r>
      <w:r w:rsidR="00E27181">
        <w:t xml:space="preserve">will be selected </w:t>
      </w:r>
      <w:r w:rsidRPr="007A6C4A">
        <w:t>such that the anticipated respondents are proportionally allocated across NSR strata, which will result in more cases allocated to strata with historically lower response rates.</w:t>
      </w:r>
    </w:p>
    <w:p w:rsidR="007A6C4A" w:rsidP="00366193" w14:paraId="24C3C0D8" w14:textId="04C9EC40"/>
    <w:p w:rsidR="007A6C4A" w:rsidP="007A6C4A" w14:paraId="028AA4E8" w14:textId="548DF5BF">
      <w:r w:rsidRPr="007A6C4A">
        <w:t>Starting with the 2020 LEMAS</w:t>
      </w:r>
      <w:r w:rsidR="00F04A0D">
        <w:t xml:space="preserve"> </w:t>
      </w:r>
      <w:r w:rsidR="00E97BF5">
        <w:t>c</w:t>
      </w:r>
      <w:r w:rsidR="00F04A0D">
        <w:t>ore</w:t>
      </w:r>
      <w:r w:rsidRPr="007A6C4A">
        <w:t>, RTI developed a new strategy to reduce burden on smaller agencies over time. NSR agencies now have a low probability of being selected in more than one of the next five waves of LEMAS</w:t>
      </w:r>
      <w:r w:rsidR="00E27181">
        <w:t xml:space="preserve"> </w:t>
      </w:r>
      <w:r w:rsidR="00E97BF5">
        <w:t>c</w:t>
      </w:r>
      <w:r w:rsidRPr="007A6C4A">
        <w:t xml:space="preserve">ore or </w:t>
      </w:r>
      <w:r w:rsidR="00E97BF5">
        <w:t>s</w:t>
      </w:r>
      <w:r w:rsidRPr="007A6C4A">
        <w:t xml:space="preserve">upplement administrations. NSR LEAs were assigned a permanent random number (PRN) and sorted by PRN within strata. The PRN is a random number selected uniformly between 0 and 1. After sorting the frame by the PRN, the first </w:t>
      </w:r>
      <m:oMath>
        <m:sSub>
          <m:sSubPr>
            <m:ctrlPr>
              <w:rPr>
                <w:rFonts w:ascii="Cambria Math" w:hAnsi="Cambria Math"/>
              </w:rPr>
            </m:ctrlPr>
          </m:sSubPr>
          <m:e>
            <m:r>
              <w:rPr>
                <w:rFonts w:ascii="Cambria Math" w:hAnsi="Cambria Math"/>
              </w:rPr>
              <m:t>n</m:t>
            </m:r>
          </m:e>
          <m:sub>
            <m:r>
              <w:rPr>
                <w:rFonts w:ascii="Cambria Math" w:hAnsi="Cambria Math"/>
              </w:rPr>
              <m:t>h</m:t>
            </m:r>
          </m:sub>
        </m:sSub>
      </m:oMath>
      <w:r w:rsidRPr="007A6C4A">
        <w:t xml:space="preserve"> agencies in each stratum were selected for the 2020 LEMAS, where </w:t>
      </w:r>
      <m:oMath>
        <m:sSub>
          <m:sSubPr>
            <m:ctrlPr>
              <w:rPr>
                <w:rFonts w:ascii="Cambria Math" w:hAnsi="Cambria Math"/>
              </w:rPr>
            </m:ctrlPr>
          </m:sSubPr>
          <m:e>
            <m:r>
              <w:rPr>
                <w:rFonts w:ascii="Cambria Math" w:hAnsi="Cambria Math"/>
              </w:rPr>
              <m:t>n</m:t>
            </m:r>
          </m:e>
          <m:sub>
            <m:r>
              <w:rPr>
                <w:rFonts w:ascii="Cambria Math" w:hAnsi="Cambria Math"/>
              </w:rPr>
              <m:t>h</m:t>
            </m:r>
          </m:sub>
        </m:sSub>
      </m:oMath>
      <w:r w:rsidRPr="007A6C4A">
        <w:t xml:space="preserve"> is the sample size for each stratum. </w:t>
      </w:r>
    </w:p>
    <w:p w:rsidR="006A11F3" w:rsidRPr="007A6C4A" w:rsidP="007A6C4A" w14:paraId="05B61485" w14:textId="77777777"/>
    <w:p w:rsidR="007A6C4A" w:rsidRPr="007A6C4A" w:rsidP="007A6C4A" w14:paraId="1BE513B4" w14:textId="1F0C6218">
      <w:r w:rsidRPr="007A6C4A">
        <w:t xml:space="preserve">For the </w:t>
      </w:r>
      <w:r w:rsidR="00D16BCF">
        <w:t xml:space="preserve">2023 </w:t>
      </w:r>
      <w:r w:rsidRPr="007A6C4A">
        <w:t xml:space="preserve">LEMAS </w:t>
      </w:r>
      <w:r w:rsidR="001479BB">
        <w:t>PAT</w:t>
      </w:r>
      <w:r w:rsidR="00F239D4">
        <w:t xml:space="preserve">OW </w:t>
      </w:r>
      <w:r w:rsidR="00576E85">
        <w:t>s</w:t>
      </w:r>
      <w:r w:rsidR="00F239D4">
        <w:t>urvey</w:t>
      </w:r>
      <w:r w:rsidRPr="007A6C4A">
        <w:t xml:space="preserve">, the following steps </w:t>
      </w:r>
      <w:r w:rsidR="00E27181">
        <w:t xml:space="preserve">will be done </w:t>
      </w:r>
      <w:r w:rsidRPr="007A6C4A">
        <w:t>to select the NSR sample:</w:t>
      </w:r>
    </w:p>
    <w:p w:rsidR="00030044" w:rsidRPr="00030044" w:rsidP="00030044" w14:paraId="52B3E7E7" w14:textId="77777777">
      <w:pPr>
        <w:numPr>
          <w:ilvl w:val="0"/>
          <w:numId w:val="30"/>
        </w:numPr>
      </w:pPr>
      <w:r w:rsidRPr="00030044">
        <w:t>Any recently identified new agencies will be added to the frame and be assigned a PRN.</w:t>
      </w:r>
    </w:p>
    <w:p w:rsidR="00030044" w:rsidRPr="00030044" w:rsidP="00030044" w14:paraId="5AD47C15" w14:textId="74F18849">
      <w:pPr>
        <w:numPr>
          <w:ilvl w:val="0"/>
          <w:numId w:val="30"/>
        </w:numPr>
      </w:pPr>
      <w:r w:rsidRPr="00030044">
        <w:t>Closed or otherwise ineligible agencies will be removed from the frame.</w:t>
      </w:r>
    </w:p>
    <w:p w:rsidR="00030044" w:rsidRPr="00030044" w:rsidP="00030044" w14:paraId="24A91270" w14:textId="19937394">
      <w:pPr>
        <w:numPr>
          <w:ilvl w:val="0"/>
          <w:numId w:val="30"/>
        </w:numPr>
      </w:pPr>
      <w:r w:rsidRPr="00030044">
        <w:t xml:space="preserve">If needed, strata assignments </w:t>
      </w:r>
      <w:r w:rsidR="00F04A0D">
        <w:t>will</w:t>
      </w:r>
      <w:r w:rsidRPr="00030044" w:rsidR="00F04A0D">
        <w:t xml:space="preserve"> </w:t>
      </w:r>
      <w:r w:rsidRPr="00030044">
        <w:t>be updated based on new size information.</w:t>
      </w:r>
    </w:p>
    <w:p w:rsidR="00030044" w:rsidRPr="00030044" w:rsidP="00030044" w14:paraId="0535203E" w14:textId="65197B1F">
      <w:pPr>
        <w:numPr>
          <w:ilvl w:val="0"/>
          <w:numId w:val="30"/>
        </w:numPr>
      </w:pPr>
      <w:r w:rsidRPr="00030044">
        <w:t>A new sample will be selected by beginning after the maximum PRN from the 2020 LEMAS</w:t>
      </w:r>
      <w:r w:rsidR="00F04A0D">
        <w:t xml:space="preserve"> </w:t>
      </w:r>
      <w:r w:rsidR="00E97BF5">
        <w:t>c</w:t>
      </w:r>
      <w:r w:rsidRPr="00030044">
        <w:t xml:space="preserve">ore in each stratum and selecting the next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agencies in the stratum where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is the sample size for the stratum. </w:t>
      </w:r>
    </w:p>
    <w:p w:rsidR="00030044" w:rsidRPr="00030044" w:rsidP="00030044" w14:paraId="62229DEC" w14:textId="0AA2F4C6">
      <w:pPr>
        <w:numPr>
          <w:ilvl w:val="0"/>
          <w:numId w:val="30"/>
        </w:numPr>
      </w:pPr>
      <w:r w:rsidRPr="00030044">
        <w:t xml:space="preserve">The sampling weight is calculated as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r>
          <m:rPr>
            <m:lit/>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is the population size of the stratum at the time of sampling. </w:t>
      </w:r>
    </w:p>
    <w:p w:rsidR="00473176" w:rsidP="00473176" w14:paraId="063CF285" w14:textId="77777777"/>
    <w:p w:rsidR="00272F96" w:rsidP="00272F96" w14:paraId="704B8F24" w14:textId="3E2D6976">
      <w:r w:rsidRPr="00B62B62">
        <w:t>The LEMAS has traditionally experienced a high response rate</w:t>
      </w:r>
      <w:r>
        <w:t xml:space="preserve">; </w:t>
      </w:r>
      <w:r w:rsidRPr="00B62B62">
        <w:t xml:space="preserve">the </w:t>
      </w:r>
      <w:r>
        <w:t>2020</w:t>
      </w:r>
      <w:r w:rsidRPr="00B62B62">
        <w:t xml:space="preserve"> LEMAS had an overall response rate of </w:t>
      </w:r>
      <w:r w:rsidR="00CB1B35">
        <w:t>78.4</w:t>
      </w:r>
      <w:r>
        <w:t xml:space="preserve"> percent</w:t>
      </w:r>
      <w:r w:rsidRPr="00B62B62">
        <w:t xml:space="preserve">. However, as seen in </w:t>
      </w:r>
      <w:r w:rsidRPr="008A30F7">
        <w:t>Table 1</w:t>
      </w:r>
      <w:r w:rsidRPr="00241C86">
        <w:t>, the response rate varied by agency type and agency size. As a result, we will assume a response rate that differs by agency type and size. Lower response rates are assumed for sheriffs and smaller agencies</w:t>
      </w:r>
      <w:r w:rsidRPr="00241C86" w:rsidR="00672D35">
        <w:t xml:space="preserve">, and these </w:t>
      </w:r>
      <w:r w:rsidRPr="00241C86" w:rsidR="00CB1B35">
        <w:t xml:space="preserve">assumed </w:t>
      </w:r>
      <w:r w:rsidRPr="00241C86" w:rsidR="00672D35">
        <w:t xml:space="preserve">response rates are presented in </w:t>
      </w:r>
      <w:r w:rsidRPr="008A30F7" w:rsidR="00672D35">
        <w:t>Table 2</w:t>
      </w:r>
      <w:r w:rsidRPr="00241C86">
        <w:t>.</w:t>
      </w:r>
      <w:r w:rsidRPr="00B62B62">
        <w:t xml:space="preserve"> </w:t>
      </w:r>
    </w:p>
    <w:p w:rsidR="00272F96" w:rsidRPr="0000409E" w:rsidP="00272F96" w14:paraId="1DBF4A0C" w14:textId="77777777"/>
    <w:p w:rsidR="00272F96" w:rsidRPr="002E1515" w:rsidP="00272F96" w14:paraId="4E886C79" w14:textId="01692E26">
      <w:pPr>
        <w:keepNext/>
        <w:spacing w:after="200"/>
        <w:ind w:right="90"/>
        <w:rPr>
          <w:rFonts w:eastAsia="Calibri"/>
          <w:b/>
          <w:bCs/>
        </w:rPr>
      </w:pPr>
      <w:r w:rsidRPr="002E1515">
        <w:rPr>
          <w:rFonts w:eastAsia="Calibri"/>
          <w:b/>
          <w:bCs/>
        </w:rPr>
        <w:t xml:space="preserve">Table </w:t>
      </w:r>
      <w:r w:rsidRPr="002E1515">
        <w:rPr>
          <w:rFonts w:eastAsia="Calibri"/>
          <w:b/>
          <w:bCs/>
        </w:rPr>
        <w:fldChar w:fldCharType="begin"/>
      </w:r>
      <w:r w:rsidRPr="002E1515">
        <w:rPr>
          <w:rFonts w:eastAsia="Calibri"/>
          <w:b/>
          <w:bCs/>
        </w:rPr>
        <w:instrText xml:space="preserve"> SEQ Table \* ARABIC </w:instrText>
      </w:r>
      <w:r w:rsidRPr="002E1515">
        <w:rPr>
          <w:rFonts w:eastAsia="Calibri"/>
          <w:b/>
          <w:bCs/>
        </w:rPr>
        <w:fldChar w:fldCharType="separate"/>
      </w:r>
      <w:r>
        <w:rPr>
          <w:rFonts w:eastAsia="Calibri"/>
          <w:b/>
          <w:bCs/>
          <w:noProof/>
        </w:rPr>
        <w:t>1</w:t>
      </w:r>
      <w:r w:rsidRPr="002E1515">
        <w:rPr>
          <w:rFonts w:eastAsia="Calibri"/>
          <w:b/>
          <w:bCs/>
        </w:rPr>
        <w:fldChar w:fldCharType="end"/>
      </w:r>
      <w:r w:rsidR="00AB4688">
        <w:rPr>
          <w:rFonts w:eastAsia="Calibri"/>
          <w:b/>
          <w:bCs/>
        </w:rPr>
        <w:t>.</w:t>
      </w:r>
      <w:r w:rsidRPr="002E1515">
        <w:rPr>
          <w:rFonts w:eastAsia="Calibri"/>
          <w:b/>
          <w:bCs/>
        </w:rPr>
        <w:t xml:space="preserve"> </w:t>
      </w:r>
      <w:r>
        <w:rPr>
          <w:rFonts w:eastAsia="Calibri"/>
          <w:b/>
          <w:bCs/>
        </w:rPr>
        <w:t>2020</w:t>
      </w:r>
      <w:r w:rsidRPr="002E1515">
        <w:rPr>
          <w:rFonts w:eastAsia="Calibri"/>
          <w:b/>
          <w:bCs/>
        </w:rPr>
        <w:t xml:space="preserve"> LEMA</w:t>
      </w:r>
      <w:r>
        <w:rPr>
          <w:rFonts w:eastAsia="Calibri"/>
          <w:b/>
          <w:bCs/>
        </w:rPr>
        <w:t xml:space="preserve">S </w:t>
      </w:r>
      <w:r w:rsidR="00CB1B35">
        <w:rPr>
          <w:rFonts w:eastAsia="Calibri"/>
          <w:b/>
          <w:bCs/>
        </w:rPr>
        <w:t>s</w:t>
      </w:r>
      <w:r>
        <w:rPr>
          <w:rFonts w:eastAsia="Calibri"/>
          <w:b/>
          <w:bCs/>
        </w:rPr>
        <w:t xml:space="preserve">urvey </w:t>
      </w:r>
      <w:r w:rsidR="00CB1B35">
        <w:rPr>
          <w:rFonts w:eastAsia="Calibri"/>
          <w:b/>
          <w:bCs/>
        </w:rPr>
        <w:t>r</w:t>
      </w:r>
      <w:r w:rsidRPr="002E1515">
        <w:rPr>
          <w:rFonts w:eastAsia="Calibri"/>
          <w:b/>
          <w:bCs/>
        </w:rPr>
        <w:t xml:space="preserve">esponse </w:t>
      </w:r>
      <w:r w:rsidR="00CB1B35">
        <w:rPr>
          <w:rFonts w:eastAsia="Calibri"/>
          <w:b/>
          <w:bCs/>
        </w:rPr>
        <w:t>r</w:t>
      </w:r>
      <w:r w:rsidRPr="002E1515">
        <w:rPr>
          <w:rFonts w:eastAsia="Calibri"/>
          <w:b/>
          <w:bCs/>
        </w:rPr>
        <w:t>ates</w:t>
      </w:r>
      <w:r>
        <w:rPr>
          <w:rFonts w:eastAsia="Calibri"/>
          <w:b/>
          <w:bCs/>
        </w:rPr>
        <w:t xml:space="preserve">, by </w:t>
      </w:r>
      <w:r w:rsidR="00CB1B35">
        <w:rPr>
          <w:rFonts w:eastAsia="Calibri"/>
          <w:b/>
          <w:bCs/>
        </w:rPr>
        <w:t>a</w:t>
      </w:r>
      <w:r>
        <w:rPr>
          <w:rFonts w:eastAsia="Calibri"/>
          <w:b/>
          <w:bCs/>
        </w:rPr>
        <w:t xml:space="preserve">gency </w:t>
      </w:r>
      <w:r w:rsidR="00CB1B35">
        <w:rPr>
          <w:rFonts w:eastAsia="Calibri"/>
          <w:b/>
          <w:bCs/>
        </w:rPr>
        <w:t>t</w:t>
      </w:r>
      <w:r w:rsidRPr="002E1515">
        <w:rPr>
          <w:rFonts w:eastAsia="Calibri"/>
          <w:b/>
          <w:bCs/>
        </w:rPr>
        <w:t xml:space="preserve">ype and </w:t>
      </w:r>
      <w:r w:rsidR="00CB1B35">
        <w:rPr>
          <w:rFonts w:eastAsia="Calibri"/>
          <w:b/>
          <w:bCs/>
        </w:rPr>
        <w:t>s</w:t>
      </w:r>
      <w:r w:rsidRPr="002E1515">
        <w:rPr>
          <w:rFonts w:eastAsia="Calibri"/>
          <w:b/>
          <w:bCs/>
        </w:rPr>
        <w:t>ize</w:t>
      </w:r>
    </w:p>
    <w:tbl>
      <w:tblPr>
        <w:tblStyle w:val="TableGrid"/>
        <w:tblW w:w="0" w:type="auto"/>
        <w:tblLook w:val="04A0"/>
      </w:tblPr>
      <w:tblGrid>
        <w:gridCol w:w="1615"/>
        <w:gridCol w:w="1350"/>
        <w:gridCol w:w="990"/>
        <w:gridCol w:w="1177"/>
      </w:tblGrid>
      <w:tr w14:paraId="37A4CCEA" w14:textId="77777777" w:rsidTr="00A747BF">
        <w:tblPrEx>
          <w:tblW w:w="0" w:type="auto"/>
          <w:tblLook w:val="04A0"/>
        </w:tblPrEx>
        <w:trPr>
          <w:tblHeader/>
        </w:trPr>
        <w:tc>
          <w:tcPr>
            <w:tcW w:w="1615" w:type="dxa"/>
            <w:shd w:val="clear" w:color="auto" w:fill="auto"/>
          </w:tcPr>
          <w:p w:rsidR="00272F96" w:rsidRPr="00A747BF" w:rsidP="008A27A8" w14:paraId="62B64E0C" w14:textId="77777777">
            <w:pPr>
              <w:jc w:val="center"/>
              <w:rPr>
                <w:b/>
                <w:bCs/>
              </w:rPr>
            </w:pPr>
            <w:r w:rsidRPr="00A747BF">
              <w:rPr>
                <w:b/>
                <w:bCs/>
              </w:rPr>
              <w:t>Agency Type</w:t>
            </w:r>
          </w:p>
        </w:tc>
        <w:tc>
          <w:tcPr>
            <w:tcW w:w="1350" w:type="dxa"/>
            <w:shd w:val="clear" w:color="auto" w:fill="auto"/>
          </w:tcPr>
          <w:p w:rsidR="00272F96" w:rsidRPr="00A747BF" w:rsidP="008A27A8" w14:paraId="06DD1860" w14:textId="77777777">
            <w:pPr>
              <w:jc w:val="center"/>
              <w:rPr>
                <w:b/>
                <w:bCs/>
              </w:rPr>
            </w:pPr>
            <w:r w:rsidRPr="00A747BF">
              <w:rPr>
                <w:b/>
                <w:bCs/>
              </w:rPr>
              <w:t xml:space="preserve">Agency </w:t>
            </w:r>
            <w:r w:rsidRPr="00A747BF">
              <w:rPr>
                <w:b/>
                <w:bCs/>
              </w:rPr>
              <w:t>Size</w:t>
            </w:r>
            <w:r w:rsidRPr="00A747BF">
              <w:rPr>
                <w:b/>
                <w:bCs/>
                <w:vertAlign w:val="superscript"/>
              </w:rPr>
              <w:t>a</w:t>
            </w:r>
          </w:p>
        </w:tc>
        <w:tc>
          <w:tcPr>
            <w:tcW w:w="990" w:type="dxa"/>
            <w:shd w:val="clear" w:color="auto" w:fill="auto"/>
          </w:tcPr>
          <w:p w:rsidR="00272F96" w:rsidRPr="00A747BF" w:rsidP="008A27A8" w14:paraId="6AFCD192" w14:textId="77777777">
            <w:pPr>
              <w:jc w:val="center"/>
              <w:rPr>
                <w:b/>
                <w:bCs/>
              </w:rPr>
            </w:pPr>
            <w:r w:rsidRPr="00A747BF">
              <w:rPr>
                <w:b/>
                <w:bCs/>
              </w:rPr>
              <w:t>Sample Size</w:t>
            </w:r>
          </w:p>
        </w:tc>
        <w:tc>
          <w:tcPr>
            <w:tcW w:w="1170" w:type="dxa"/>
            <w:shd w:val="clear" w:color="auto" w:fill="auto"/>
          </w:tcPr>
          <w:p w:rsidR="00272F96" w:rsidRPr="00A747BF" w:rsidP="008A27A8" w14:paraId="0000BECF" w14:textId="77777777">
            <w:pPr>
              <w:jc w:val="center"/>
              <w:rPr>
                <w:b/>
                <w:bCs/>
              </w:rPr>
            </w:pPr>
            <w:r w:rsidRPr="00A747BF">
              <w:rPr>
                <w:b/>
                <w:bCs/>
              </w:rPr>
              <w:t>Response Rate</w:t>
            </w:r>
          </w:p>
        </w:tc>
      </w:tr>
      <w:tr w14:paraId="7E3CD4B2" w14:textId="77777777" w:rsidTr="008A27A8">
        <w:tblPrEx>
          <w:tblW w:w="0" w:type="auto"/>
          <w:tblLook w:val="04A0"/>
        </w:tblPrEx>
        <w:tc>
          <w:tcPr>
            <w:tcW w:w="1615" w:type="dxa"/>
            <w:vMerge w:val="restart"/>
          </w:tcPr>
          <w:p w:rsidR="00272F96" w:rsidRPr="002E1515" w:rsidP="008A27A8" w14:paraId="4855EBF3" w14:textId="77777777">
            <w:r w:rsidRPr="002E1515">
              <w:t>Local Police</w:t>
            </w:r>
          </w:p>
        </w:tc>
        <w:tc>
          <w:tcPr>
            <w:tcW w:w="1350" w:type="dxa"/>
            <w:vAlign w:val="bottom"/>
          </w:tcPr>
          <w:p w:rsidR="00272F96" w:rsidRPr="002E1515" w:rsidP="008A27A8" w14:paraId="2349A0B9" w14:textId="77777777">
            <w:r w:rsidRPr="002E1515">
              <w:t>100+</w:t>
            </w:r>
          </w:p>
        </w:tc>
        <w:tc>
          <w:tcPr>
            <w:tcW w:w="990" w:type="dxa"/>
            <w:vAlign w:val="bottom"/>
          </w:tcPr>
          <w:p w:rsidR="00272F96" w:rsidRPr="005C1237" w:rsidP="008A27A8" w14:paraId="5AA78BB5" w14:textId="1E539F93">
            <w:pPr>
              <w:jc w:val="right"/>
            </w:pPr>
            <w:r w:rsidRPr="005C1237">
              <w:rPr>
                <w:color w:val="000000"/>
              </w:rPr>
              <w:t>6</w:t>
            </w:r>
            <w:r w:rsidR="00021ED9">
              <w:rPr>
                <w:color w:val="000000"/>
              </w:rPr>
              <w:t>69</w:t>
            </w:r>
          </w:p>
        </w:tc>
        <w:tc>
          <w:tcPr>
            <w:tcW w:w="1170" w:type="dxa"/>
            <w:vAlign w:val="bottom"/>
          </w:tcPr>
          <w:p w:rsidR="00272F96" w:rsidRPr="005C1237" w:rsidP="008A27A8" w14:paraId="68A788ED" w14:textId="79CA1EA3">
            <w:pPr>
              <w:jc w:val="right"/>
            </w:pPr>
            <w:r w:rsidRPr="005C1237">
              <w:rPr>
                <w:color w:val="000000"/>
              </w:rPr>
              <w:t>88.</w:t>
            </w:r>
            <w:r w:rsidR="00021ED9">
              <w:rPr>
                <w:color w:val="000000"/>
              </w:rPr>
              <w:t>5</w:t>
            </w:r>
          </w:p>
        </w:tc>
      </w:tr>
      <w:tr w14:paraId="7E5FAADA" w14:textId="77777777" w:rsidTr="007055B5">
        <w:tblPrEx>
          <w:tblW w:w="0" w:type="auto"/>
          <w:tblLook w:val="04A0"/>
        </w:tblPrEx>
        <w:tc>
          <w:tcPr>
            <w:tcW w:w="1615" w:type="dxa"/>
            <w:vMerge/>
          </w:tcPr>
          <w:p w:rsidR="00021ED9" w:rsidRPr="002E1515" w:rsidP="00021ED9" w14:paraId="7EB8A061" w14:textId="77777777"/>
        </w:tc>
        <w:tc>
          <w:tcPr>
            <w:tcW w:w="1350" w:type="dxa"/>
            <w:vAlign w:val="bottom"/>
          </w:tcPr>
          <w:p w:rsidR="00021ED9" w:rsidRPr="002E1515" w:rsidP="00021ED9" w14:paraId="0BEDA2DA" w14:textId="77777777">
            <w:r w:rsidRPr="002E1515">
              <w:t>50-99</w:t>
            </w:r>
            <w:r>
              <w:t>.5</w:t>
            </w:r>
          </w:p>
        </w:tc>
        <w:tc>
          <w:tcPr>
            <w:tcW w:w="990" w:type="dxa"/>
            <w:vAlign w:val="center"/>
          </w:tcPr>
          <w:p w:rsidR="00021ED9" w:rsidRPr="00021ED9" w:rsidP="00021ED9" w14:paraId="368D312E" w14:textId="6B1DF7A4">
            <w:pPr>
              <w:jc w:val="right"/>
              <w:rPr>
                <w:color w:val="000000"/>
              </w:rPr>
            </w:pPr>
            <w:r w:rsidRPr="00021ED9">
              <w:rPr>
                <w:color w:val="000000"/>
              </w:rPr>
              <w:t>147</w:t>
            </w:r>
          </w:p>
        </w:tc>
        <w:tc>
          <w:tcPr>
            <w:tcW w:w="1170" w:type="dxa"/>
            <w:vAlign w:val="center"/>
          </w:tcPr>
          <w:p w:rsidR="00021ED9" w:rsidRPr="00021ED9" w:rsidP="00021ED9" w14:paraId="61A47D16" w14:textId="6888CE32">
            <w:pPr>
              <w:jc w:val="right"/>
              <w:rPr>
                <w:color w:val="000000"/>
              </w:rPr>
            </w:pPr>
            <w:r w:rsidRPr="00021ED9">
              <w:rPr>
                <w:color w:val="000000"/>
              </w:rPr>
              <w:t>83.7</w:t>
            </w:r>
          </w:p>
        </w:tc>
      </w:tr>
      <w:tr w14:paraId="77E91B05" w14:textId="77777777" w:rsidTr="007055B5">
        <w:tblPrEx>
          <w:tblW w:w="0" w:type="auto"/>
          <w:tblLook w:val="04A0"/>
        </w:tblPrEx>
        <w:tc>
          <w:tcPr>
            <w:tcW w:w="1615" w:type="dxa"/>
            <w:vMerge/>
          </w:tcPr>
          <w:p w:rsidR="00021ED9" w:rsidRPr="002E1515" w:rsidP="00021ED9" w14:paraId="372A62AF" w14:textId="77777777"/>
        </w:tc>
        <w:tc>
          <w:tcPr>
            <w:tcW w:w="1350" w:type="dxa"/>
            <w:vAlign w:val="bottom"/>
          </w:tcPr>
          <w:p w:rsidR="00021ED9" w:rsidRPr="002E1515" w:rsidP="00021ED9" w14:paraId="7018A638" w14:textId="77777777">
            <w:r w:rsidRPr="002E1515">
              <w:t>25-49</w:t>
            </w:r>
            <w:r>
              <w:t>.5</w:t>
            </w:r>
          </w:p>
        </w:tc>
        <w:tc>
          <w:tcPr>
            <w:tcW w:w="990" w:type="dxa"/>
            <w:vAlign w:val="center"/>
          </w:tcPr>
          <w:p w:rsidR="00021ED9" w:rsidRPr="00021ED9" w:rsidP="00021ED9" w14:paraId="7CAD9997" w14:textId="09D95635">
            <w:pPr>
              <w:jc w:val="right"/>
              <w:rPr>
                <w:color w:val="000000"/>
              </w:rPr>
            </w:pPr>
            <w:r w:rsidRPr="00021ED9">
              <w:rPr>
                <w:color w:val="000000"/>
              </w:rPr>
              <w:t>290</w:t>
            </w:r>
          </w:p>
        </w:tc>
        <w:tc>
          <w:tcPr>
            <w:tcW w:w="1170" w:type="dxa"/>
            <w:vAlign w:val="center"/>
          </w:tcPr>
          <w:p w:rsidR="00021ED9" w:rsidRPr="00021ED9" w:rsidP="00021ED9" w14:paraId="2AEA41C0" w14:textId="3D3FBFAE">
            <w:pPr>
              <w:jc w:val="right"/>
              <w:rPr>
                <w:color w:val="000000"/>
              </w:rPr>
            </w:pPr>
            <w:r w:rsidRPr="00021ED9">
              <w:rPr>
                <w:color w:val="000000"/>
              </w:rPr>
              <w:t>80.3</w:t>
            </w:r>
          </w:p>
        </w:tc>
      </w:tr>
      <w:tr w14:paraId="020D7B1F" w14:textId="77777777" w:rsidTr="007055B5">
        <w:tblPrEx>
          <w:tblW w:w="0" w:type="auto"/>
          <w:tblLook w:val="04A0"/>
        </w:tblPrEx>
        <w:tc>
          <w:tcPr>
            <w:tcW w:w="1615" w:type="dxa"/>
            <w:vMerge/>
          </w:tcPr>
          <w:p w:rsidR="00021ED9" w:rsidRPr="002E1515" w:rsidP="00021ED9" w14:paraId="44BE7877" w14:textId="77777777"/>
        </w:tc>
        <w:tc>
          <w:tcPr>
            <w:tcW w:w="1350" w:type="dxa"/>
            <w:vAlign w:val="bottom"/>
          </w:tcPr>
          <w:p w:rsidR="00021ED9" w:rsidRPr="002E1515" w:rsidP="00021ED9" w14:paraId="5A204B90" w14:textId="77777777">
            <w:r w:rsidRPr="002E1515">
              <w:t>10-24</w:t>
            </w:r>
            <w:r>
              <w:t>.5</w:t>
            </w:r>
          </w:p>
        </w:tc>
        <w:tc>
          <w:tcPr>
            <w:tcW w:w="990" w:type="dxa"/>
            <w:vAlign w:val="center"/>
          </w:tcPr>
          <w:p w:rsidR="00021ED9" w:rsidRPr="00021ED9" w:rsidP="00021ED9" w14:paraId="23FFC774" w14:textId="5B53FAEA">
            <w:pPr>
              <w:jc w:val="right"/>
              <w:rPr>
                <w:color w:val="000000"/>
              </w:rPr>
            </w:pPr>
            <w:r w:rsidRPr="00021ED9">
              <w:rPr>
                <w:color w:val="000000"/>
              </w:rPr>
              <w:t>573</w:t>
            </w:r>
          </w:p>
        </w:tc>
        <w:tc>
          <w:tcPr>
            <w:tcW w:w="1170" w:type="dxa"/>
            <w:vAlign w:val="center"/>
          </w:tcPr>
          <w:p w:rsidR="00021ED9" w:rsidRPr="00021ED9" w:rsidP="00021ED9" w14:paraId="26937573" w14:textId="67CFB020">
            <w:pPr>
              <w:jc w:val="right"/>
              <w:rPr>
                <w:color w:val="000000"/>
              </w:rPr>
            </w:pPr>
            <w:r w:rsidRPr="00021ED9">
              <w:rPr>
                <w:color w:val="000000"/>
              </w:rPr>
              <w:t>80.7</w:t>
            </w:r>
          </w:p>
        </w:tc>
      </w:tr>
      <w:tr w14:paraId="2FC77F0D" w14:textId="77777777" w:rsidTr="007055B5">
        <w:tblPrEx>
          <w:tblW w:w="0" w:type="auto"/>
          <w:tblLook w:val="04A0"/>
        </w:tblPrEx>
        <w:tc>
          <w:tcPr>
            <w:tcW w:w="1615" w:type="dxa"/>
            <w:vMerge/>
          </w:tcPr>
          <w:p w:rsidR="00021ED9" w:rsidRPr="002E1515" w:rsidP="00021ED9" w14:paraId="5A390C88" w14:textId="77777777"/>
        </w:tc>
        <w:tc>
          <w:tcPr>
            <w:tcW w:w="1350" w:type="dxa"/>
            <w:vAlign w:val="bottom"/>
          </w:tcPr>
          <w:p w:rsidR="00021ED9" w:rsidRPr="002E1515" w:rsidP="00021ED9" w14:paraId="59A2A70E" w14:textId="77777777">
            <w:r w:rsidRPr="002E1515">
              <w:t>5-9</w:t>
            </w:r>
            <w:r>
              <w:t>.5</w:t>
            </w:r>
          </w:p>
        </w:tc>
        <w:tc>
          <w:tcPr>
            <w:tcW w:w="990" w:type="dxa"/>
            <w:vAlign w:val="center"/>
          </w:tcPr>
          <w:p w:rsidR="00021ED9" w:rsidRPr="00021ED9" w:rsidP="00021ED9" w14:paraId="4FEFB946" w14:textId="56FFF265">
            <w:pPr>
              <w:jc w:val="right"/>
              <w:rPr>
                <w:color w:val="000000"/>
              </w:rPr>
            </w:pPr>
            <w:r w:rsidRPr="00021ED9">
              <w:rPr>
                <w:color w:val="000000"/>
              </w:rPr>
              <w:t>499</w:t>
            </w:r>
          </w:p>
        </w:tc>
        <w:tc>
          <w:tcPr>
            <w:tcW w:w="1170" w:type="dxa"/>
            <w:vAlign w:val="center"/>
          </w:tcPr>
          <w:p w:rsidR="00021ED9" w:rsidRPr="00021ED9" w:rsidP="00021ED9" w14:paraId="3AA38F91" w14:textId="38934A8C">
            <w:pPr>
              <w:jc w:val="right"/>
              <w:rPr>
                <w:color w:val="000000"/>
              </w:rPr>
            </w:pPr>
            <w:r w:rsidRPr="00021ED9">
              <w:rPr>
                <w:color w:val="000000"/>
              </w:rPr>
              <w:t>77.2</w:t>
            </w:r>
          </w:p>
        </w:tc>
      </w:tr>
      <w:tr w14:paraId="4B2DD1C8" w14:textId="77777777" w:rsidTr="007055B5">
        <w:tblPrEx>
          <w:tblW w:w="0" w:type="auto"/>
          <w:tblLook w:val="04A0"/>
        </w:tblPrEx>
        <w:tc>
          <w:tcPr>
            <w:tcW w:w="1615" w:type="dxa"/>
            <w:vMerge/>
          </w:tcPr>
          <w:p w:rsidR="00021ED9" w:rsidRPr="002E1515" w:rsidP="00021ED9" w14:paraId="1361D33E" w14:textId="77777777"/>
        </w:tc>
        <w:tc>
          <w:tcPr>
            <w:tcW w:w="1350" w:type="dxa"/>
            <w:vAlign w:val="bottom"/>
          </w:tcPr>
          <w:p w:rsidR="00021ED9" w:rsidRPr="002E1515" w:rsidP="00021ED9" w14:paraId="2AF1A9DF" w14:textId="77777777">
            <w:r w:rsidRPr="002E1515">
              <w:t>2-4</w:t>
            </w:r>
            <w:r>
              <w:t>.5</w:t>
            </w:r>
          </w:p>
        </w:tc>
        <w:tc>
          <w:tcPr>
            <w:tcW w:w="990" w:type="dxa"/>
            <w:vAlign w:val="center"/>
          </w:tcPr>
          <w:p w:rsidR="00021ED9" w:rsidRPr="00021ED9" w:rsidP="00021ED9" w14:paraId="140E9A45" w14:textId="6E7AFF44">
            <w:pPr>
              <w:jc w:val="right"/>
              <w:rPr>
                <w:color w:val="000000"/>
              </w:rPr>
            </w:pPr>
            <w:r w:rsidRPr="00021ED9">
              <w:rPr>
                <w:color w:val="000000"/>
              </w:rPr>
              <w:t>346</w:t>
            </w:r>
          </w:p>
        </w:tc>
        <w:tc>
          <w:tcPr>
            <w:tcW w:w="1170" w:type="dxa"/>
            <w:vAlign w:val="center"/>
          </w:tcPr>
          <w:p w:rsidR="00021ED9" w:rsidRPr="00021ED9" w:rsidP="00021ED9" w14:paraId="0F40FCC5" w14:textId="58E93CF3">
            <w:pPr>
              <w:jc w:val="right"/>
              <w:rPr>
                <w:color w:val="000000"/>
              </w:rPr>
            </w:pPr>
            <w:r w:rsidRPr="00021ED9">
              <w:rPr>
                <w:color w:val="000000"/>
              </w:rPr>
              <w:t>66.7</w:t>
            </w:r>
          </w:p>
        </w:tc>
      </w:tr>
      <w:tr w14:paraId="5FD1E248" w14:textId="77777777" w:rsidTr="007055B5">
        <w:tblPrEx>
          <w:tblW w:w="0" w:type="auto"/>
          <w:tblLook w:val="04A0"/>
        </w:tblPrEx>
        <w:tc>
          <w:tcPr>
            <w:tcW w:w="1615" w:type="dxa"/>
            <w:vMerge/>
          </w:tcPr>
          <w:p w:rsidR="00021ED9" w:rsidRPr="002E1515" w:rsidP="00021ED9" w14:paraId="37D5B2AF" w14:textId="77777777"/>
        </w:tc>
        <w:tc>
          <w:tcPr>
            <w:tcW w:w="1350" w:type="dxa"/>
            <w:vAlign w:val="bottom"/>
          </w:tcPr>
          <w:p w:rsidR="00021ED9" w:rsidRPr="002E1515" w:rsidP="00021ED9" w14:paraId="1C34B2ED" w14:textId="77777777">
            <w:r w:rsidRPr="002E1515">
              <w:t>1</w:t>
            </w:r>
            <w:r>
              <w:t>-1.5</w:t>
            </w:r>
          </w:p>
        </w:tc>
        <w:tc>
          <w:tcPr>
            <w:tcW w:w="990" w:type="dxa"/>
            <w:vAlign w:val="center"/>
          </w:tcPr>
          <w:p w:rsidR="00021ED9" w:rsidRPr="00021ED9" w:rsidP="00021ED9" w14:paraId="2CC0EF49" w14:textId="2E9A5F2C">
            <w:pPr>
              <w:jc w:val="right"/>
              <w:rPr>
                <w:color w:val="000000"/>
              </w:rPr>
            </w:pPr>
            <w:r w:rsidRPr="00021ED9">
              <w:rPr>
                <w:color w:val="000000"/>
              </w:rPr>
              <w:t>107</w:t>
            </w:r>
          </w:p>
        </w:tc>
        <w:tc>
          <w:tcPr>
            <w:tcW w:w="1170" w:type="dxa"/>
            <w:vAlign w:val="center"/>
          </w:tcPr>
          <w:p w:rsidR="00021ED9" w:rsidRPr="00021ED9" w:rsidP="00021ED9" w14:paraId="00A89E69" w14:textId="150D0BF0">
            <w:pPr>
              <w:jc w:val="right"/>
              <w:rPr>
                <w:color w:val="000000"/>
              </w:rPr>
            </w:pPr>
            <w:r w:rsidRPr="00021ED9">
              <w:rPr>
                <w:color w:val="000000"/>
              </w:rPr>
              <w:t>66.0</w:t>
            </w:r>
          </w:p>
        </w:tc>
      </w:tr>
      <w:tr w14:paraId="00AF976B" w14:textId="77777777" w:rsidTr="008A27A8">
        <w:tblPrEx>
          <w:tblW w:w="0" w:type="auto"/>
          <w:tblLook w:val="04A0"/>
        </w:tblPrEx>
        <w:tc>
          <w:tcPr>
            <w:tcW w:w="1615" w:type="dxa"/>
            <w:vMerge w:val="restart"/>
          </w:tcPr>
          <w:p w:rsidR="00272F96" w:rsidRPr="002E1515" w:rsidP="008A27A8" w14:paraId="11E2D095" w14:textId="77777777">
            <w:r w:rsidRPr="002E1515">
              <w:t>Sheriff</w:t>
            </w:r>
            <w:r>
              <w:t>’s</w:t>
            </w:r>
            <w:r w:rsidRPr="002E1515">
              <w:t xml:space="preserve"> Office</w:t>
            </w:r>
          </w:p>
        </w:tc>
        <w:tc>
          <w:tcPr>
            <w:tcW w:w="1350" w:type="dxa"/>
            <w:vAlign w:val="bottom"/>
          </w:tcPr>
          <w:p w:rsidR="00272F96" w:rsidRPr="002E1515" w:rsidP="008A27A8" w14:paraId="45689CB3" w14:textId="77777777">
            <w:r w:rsidRPr="002E1515">
              <w:t>100+</w:t>
            </w:r>
          </w:p>
        </w:tc>
        <w:tc>
          <w:tcPr>
            <w:tcW w:w="990" w:type="dxa"/>
            <w:vAlign w:val="bottom"/>
          </w:tcPr>
          <w:p w:rsidR="00272F96" w:rsidRPr="00021ED9" w:rsidP="008A27A8" w14:paraId="59505E2F" w14:textId="0374F56E">
            <w:pPr>
              <w:jc w:val="right"/>
              <w:rPr>
                <w:color w:val="000000"/>
              </w:rPr>
            </w:pPr>
            <w:r w:rsidRPr="005C1237">
              <w:rPr>
                <w:color w:val="000000"/>
              </w:rPr>
              <w:t>3</w:t>
            </w:r>
            <w:r w:rsidR="00021ED9">
              <w:rPr>
                <w:color w:val="000000"/>
              </w:rPr>
              <w:t>69</w:t>
            </w:r>
          </w:p>
        </w:tc>
        <w:tc>
          <w:tcPr>
            <w:tcW w:w="1170" w:type="dxa"/>
            <w:vAlign w:val="bottom"/>
          </w:tcPr>
          <w:p w:rsidR="00272F96" w:rsidRPr="005C1237" w:rsidP="008A27A8" w14:paraId="7B3A2523" w14:textId="48D80617">
            <w:pPr>
              <w:jc w:val="right"/>
            </w:pPr>
            <w:r w:rsidRPr="005C1237">
              <w:rPr>
                <w:color w:val="000000"/>
              </w:rPr>
              <w:t>75.</w:t>
            </w:r>
            <w:r w:rsidR="00021ED9">
              <w:rPr>
                <w:color w:val="000000"/>
              </w:rPr>
              <w:t>5</w:t>
            </w:r>
          </w:p>
        </w:tc>
      </w:tr>
      <w:tr w14:paraId="1DA8A252" w14:textId="77777777" w:rsidTr="007055B5">
        <w:tblPrEx>
          <w:tblW w:w="0" w:type="auto"/>
          <w:tblLook w:val="04A0"/>
        </w:tblPrEx>
        <w:tc>
          <w:tcPr>
            <w:tcW w:w="1615" w:type="dxa"/>
            <w:vMerge/>
          </w:tcPr>
          <w:p w:rsidR="00021ED9" w:rsidRPr="002E1515" w:rsidP="00021ED9" w14:paraId="6B50A655" w14:textId="77777777"/>
        </w:tc>
        <w:tc>
          <w:tcPr>
            <w:tcW w:w="1350" w:type="dxa"/>
            <w:vAlign w:val="bottom"/>
          </w:tcPr>
          <w:p w:rsidR="00021ED9" w:rsidRPr="002E1515" w:rsidP="00021ED9" w14:paraId="1009E925" w14:textId="77777777">
            <w:r w:rsidRPr="002E1515">
              <w:t>50-99</w:t>
            </w:r>
            <w:r>
              <w:t>.5</w:t>
            </w:r>
          </w:p>
        </w:tc>
        <w:tc>
          <w:tcPr>
            <w:tcW w:w="990" w:type="dxa"/>
            <w:vAlign w:val="center"/>
          </w:tcPr>
          <w:p w:rsidR="00021ED9" w:rsidRPr="00021ED9" w:rsidP="00021ED9" w14:paraId="6741DC6C" w14:textId="6E6783F5">
            <w:pPr>
              <w:jc w:val="right"/>
              <w:rPr>
                <w:color w:val="000000"/>
              </w:rPr>
            </w:pPr>
            <w:r w:rsidRPr="00021ED9">
              <w:rPr>
                <w:color w:val="000000"/>
              </w:rPr>
              <w:t>67</w:t>
            </w:r>
          </w:p>
        </w:tc>
        <w:tc>
          <w:tcPr>
            <w:tcW w:w="1170" w:type="dxa"/>
            <w:vAlign w:val="center"/>
          </w:tcPr>
          <w:p w:rsidR="00021ED9" w:rsidRPr="00021ED9" w:rsidP="00021ED9" w14:paraId="64B20CF9" w14:textId="7F6DD6B1">
            <w:pPr>
              <w:jc w:val="right"/>
              <w:rPr>
                <w:color w:val="000000"/>
              </w:rPr>
            </w:pPr>
            <w:r w:rsidRPr="00021ED9">
              <w:rPr>
                <w:color w:val="000000"/>
              </w:rPr>
              <w:t>60.0</w:t>
            </w:r>
          </w:p>
        </w:tc>
      </w:tr>
      <w:tr w14:paraId="6E0DD85F" w14:textId="77777777" w:rsidTr="007055B5">
        <w:tblPrEx>
          <w:tblW w:w="0" w:type="auto"/>
          <w:tblLook w:val="04A0"/>
        </w:tblPrEx>
        <w:tc>
          <w:tcPr>
            <w:tcW w:w="1615" w:type="dxa"/>
            <w:vMerge/>
          </w:tcPr>
          <w:p w:rsidR="00021ED9" w:rsidRPr="002E1515" w:rsidP="00021ED9" w14:paraId="6967F2E9" w14:textId="77777777"/>
        </w:tc>
        <w:tc>
          <w:tcPr>
            <w:tcW w:w="1350" w:type="dxa"/>
            <w:vAlign w:val="bottom"/>
          </w:tcPr>
          <w:p w:rsidR="00021ED9" w:rsidRPr="002E1515" w:rsidP="00021ED9" w14:paraId="53DECDA7" w14:textId="77777777">
            <w:r w:rsidRPr="002E1515">
              <w:t>25-49</w:t>
            </w:r>
            <w:r>
              <w:t>.5</w:t>
            </w:r>
          </w:p>
        </w:tc>
        <w:tc>
          <w:tcPr>
            <w:tcW w:w="990" w:type="dxa"/>
            <w:vAlign w:val="center"/>
          </w:tcPr>
          <w:p w:rsidR="00021ED9" w:rsidRPr="00021ED9" w:rsidP="00021ED9" w14:paraId="258466EC" w14:textId="31B34263">
            <w:pPr>
              <w:jc w:val="right"/>
              <w:rPr>
                <w:color w:val="000000"/>
              </w:rPr>
            </w:pPr>
            <w:r w:rsidRPr="00021ED9">
              <w:rPr>
                <w:color w:val="000000"/>
              </w:rPr>
              <w:t>111</w:t>
            </w:r>
          </w:p>
        </w:tc>
        <w:tc>
          <w:tcPr>
            <w:tcW w:w="1170" w:type="dxa"/>
            <w:vAlign w:val="center"/>
          </w:tcPr>
          <w:p w:rsidR="00021ED9" w:rsidRPr="00021ED9" w:rsidP="00021ED9" w14:paraId="636D2ABF" w14:textId="250DD570">
            <w:pPr>
              <w:jc w:val="right"/>
              <w:rPr>
                <w:color w:val="000000"/>
              </w:rPr>
            </w:pPr>
            <w:r w:rsidRPr="00021ED9">
              <w:rPr>
                <w:color w:val="000000"/>
              </w:rPr>
              <w:t>67.0</w:t>
            </w:r>
          </w:p>
        </w:tc>
      </w:tr>
      <w:tr w14:paraId="57ACDC82" w14:textId="77777777" w:rsidTr="007055B5">
        <w:tblPrEx>
          <w:tblW w:w="0" w:type="auto"/>
          <w:tblLook w:val="04A0"/>
        </w:tblPrEx>
        <w:tc>
          <w:tcPr>
            <w:tcW w:w="1615" w:type="dxa"/>
            <w:vMerge/>
          </w:tcPr>
          <w:p w:rsidR="00021ED9" w:rsidRPr="002E1515" w:rsidP="00021ED9" w14:paraId="24329F70" w14:textId="77777777"/>
        </w:tc>
        <w:tc>
          <w:tcPr>
            <w:tcW w:w="1350" w:type="dxa"/>
            <w:vAlign w:val="bottom"/>
          </w:tcPr>
          <w:p w:rsidR="00021ED9" w:rsidRPr="002E1515" w:rsidP="00021ED9" w14:paraId="451B46F5" w14:textId="77777777">
            <w:r w:rsidRPr="002E1515">
              <w:t>10-24</w:t>
            </w:r>
            <w:r>
              <w:t>.5</w:t>
            </w:r>
          </w:p>
        </w:tc>
        <w:tc>
          <w:tcPr>
            <w:tcW w:w="990" w:type="dxa"/>
            <w:vAlign w:val="center"/>
          </w:tcPr>
          <w:p w:rsidR="00021ED9" w:rsidRPr="00021ED9" w:rsidP="00021ED9" w14:paraId="427DF27B" w14:textId="290F53A4">
            <w:pPr>
              <w:jc w:val="right"/>
              <w:rPr>
                <w:color w:val="000000"/>
              </w:rPr>
            </w:pPr>
            <w:r w:rsidRPr="00021ED9">
              <w:rPr>
                <w:color w:val="000000"/>
              </w:rPr>
              <w:t>162</w:t>
            </w:r>
          </w:p>
        </w:tc>
        <w:tc>
          <w:tcPr>
            <w:tcW w:w="1170" w:type="dxa"/>
            <w:vAlign w:val="center"/>
          </w:tcPr>
          <w:p w:rsidR="00021ED9" w:rsidRPr="00021ED9" w:rsidP="00021ED9" w14:paraId="74CC2B7A" w14:textId="13534C20">
            <w:pPr>
              <w:jc w:val="right"/>
              <w:rPr>
                <w:color w:val="000000"/>
              </w:rPr>
            </w:pPr>
            <w:r w:rsidRPr="00021ED9">
              <w:rPr>
                <w:color w:val="000000"/>
              </w:rPr>
              <w:t>76.1</w:t>
            </w:r>
          </w:p>
        </w:tc>
      </w:tr>
      <w:tr w14:paraId="52D048D0" w14:textId="77777777" w:rsidTr="007055B5">
        <w:tblPrEx>
          <w:tblW w:w="0" w:type="auto"/>
          <w:tblLook w:val="04A0"/>
        </w:tblPrEx>
        <w:tc>
          <w:tcPr>
            <w:tcW w:w="1615" w:type="dxa"/>
            <w:vMerge/>
          </w:tcPr>
          <w:p w:rsidR="00021ED9" w:rsidRPr="002E1515" w:rsidP="00021ED9" w14:paraId="1D94445D" w14:textId="77777777"/>
        </w:tc>
        <w:tc>
          <w:tcPr>
            <w:tcW w:w="1350" w:type="dxa"/>
            <w:vAlign w:val="bottom"/>
          </w:tcPr>
          <w:p w:rsidR="00021ED9" w:rsidRPr="002E1515" w:rsidP="00021ED9" w14:paraId="5C0F7528" w14:textId="77777777">
            <w:r w:rsidRPr="002E1515">
              <w:t>5-9</w:t>
            </w:r>
            <w:r>
              <w:t>.5</w:t>
            </w:r>
          </w:p>
        </w:tc>
        <w:tc>
          <w:tcPr>
            <w:tcW w:w="990" w:type="dxa"/>
            <w:vAlign w:val="center"/>
          </w:tcPr>
          <w:p w:rsidR="00021ED9" w:rsidRPr="00021ED9" w:rsidP="00021ED9" w14:paraId="580E6369" w14:textId="004C7D62">
            <w:pPr>
              <w:jc w:val="right"/>
              <w:rPr>
                <w:color w:val="000000"/>
              </w:rPr>
            </w:pPr>
            <w:r w:rsidRPr="00021ED9">
              <w:rPr>
                <w:color w:val="000000"/>
              </w:rPr>
              <w:t>80</w:t>
            </w:r>
          </w:p>
        </w:tc>
        <w:tc>
          <w:tcPr>
            <w:tcW w:w="1170" w:type="dxa"/>
            <w:vAlign w:val="center"/>
          </w:tcPr>
          <w:p w:rsidR="00021ED9" w:rsidRPr="00021ED9" w:rsidP="00021ED9" w14:paraId="3B0891DB" w14:textId="689D680E">
            <w:pPr>
              <w:jc w:val="right"/>
              <w:rPr>
                <w:color w:val="000000"/>
              </w:rPr>
            </w:pPr>
            <w:r w:rsidRPr="00021ED9">
              <w:rPr>
                <w:color w:val="000000"/>
              </w:rPr>
              <w:t>71.0</w:t>
            </w:r>
          </w:p>
        </w:tc>
      </w:tr>
      <w:tr w14:paraId="316656E5" w14:textId="77777777" w:rsidTr="007055B5">
        <w:tblPrEx>
          <w:tblW w:w="0" w:type="auto"/>
          <w:tblLook w:val="04A0"/>
        </w:tblPrEx>
        <w:tc>
          <w:tcPr>
            <w:tcW w:w="1615" w:type="dxa"/>
            <w:vMerge/>
          </w:tcPr>
          <w:p w:rsidR="00021ED9" w:rsidRPr="002E1515" w:rsidP="00021ED9" w14:paraId="1B862DA1" w14:textId="77777777"/>
        </w:tc>
        <w:tc>
          <w:tcPr>
            <w:tcW w:w="1350" w:type="dxa"/>
            <w:vAlign w:val="bottom"/>
          </w:tcPr>
          <w:p w:rsidR="00021ED9" w:rsidRPr="002E1515" w:rsidP="00021ED9" w14:paraId="059139B5" w14:textId="77777777">
            <w:r w:rsidRPr="002E1515">
              <w:t>2-4</w:t>
            </w:r>
            <w:r>
              <w:t>.5</w:t>
            </w:r>
          </w:p>
        </w:tc>
        <w:tc>
          <w:tcPr>
            <w:tcW w:w="990" w:type="dxa"/>
            <w:vAlign w:val="center"/>
          </w:tcPr>
          <w:p w:rsidR="00021ED9" w:rsidRPr="00021ED9" w:rsidP="00021ED9" w14:paraId="2F5F7B6B" w14:textId="7C2B8B83">
            <w:pPr>
              <w:jc w:val="right"/>
              <w:rPr>
                <w:color w:val="000000"/>
              </w:rPr>
            </w:pPr>
            <w:r w:rsidRPr="00021ED9">
              <w:rPr>
                <w:color w:val="000000"/>
              </w:rPr>
              <w:t>28</w:t>
            </w:r>
          </w:p>
        </w:tc>
        <w:tc>
          <w:tcPr>
            <w:tcW w:w="1170" w:type="dxa"/>
            <w:vAlign w:val="center"/>
          </w:tcPr>
          <w:p w:rsidR="00021ED9" w:rsidRPr="00021ED9" w:rsidP="00021ED9" w14:paraId="7D0E8737" w14:textId="1C5E3FF1">
            <w:pPr>
              <w:jc w:val="right"/>
              <w:rPr>
                <w:color w:val="000000"/>
              </w:rPr>
            </w:pPr>
            <w:r w:rsidRPr="00021ED9">
              <w:rPr>
                <w:color w:val="000000"/>
              </w:rPr>
              <w:t>58.6</w:t>
            </w:r>
          </w:p>
        </w:tc>
      </w:tr>
      <w:tr w14:paraId="321C9C14" w14:textId="77777777" w:rsidTr="007055B5">
        <w:tblPrEx>
          <w:tblW w:w="0" w:type="auto"/>
          <w:tblLook w:val="04A0"/>
        </w:tblPrEx>
        <w:tc>
          <w:tcPr>
            <w:tcW w:w="1615" w:type="dxa"/>
            <w:vMerge/>
          </w:tcPr>
          <w:p w:rsidR="00021ED9" w:rsidRPr="002E1515" w:rsidP="00021ED9" w14:paraId="3E206A3B" w14:textId="77777777"/>
        </w:tc>
        <w:tc>
          <w:tcPr>
            <w:tcW w:w="1350" w:type="dxa"/>
            <w:vAlign w:val="bottom"/>
          </w:tcPr>
          <w:p w:rsidR="00021ED9" w:rsidRPr="002E1515" w:rsidP="00021ED9" w14:paraId="7C982781" w14:textId="77777777">
            <w:r w:rsidRPr="002E1515">
              <w:t>1</w:t>
            </w:r>
            <w:r>
              <w:t>-1.5</w:t>
            </w:r>
          </w:p>
        </w:tc>
        <w:tc>
          <w:tcPr>
            <w:tcW w:w="990" w:type="dxa"/>
            <w:vAlign w:val="center"/>
          </w:tcPr>
          <w:p w:rsidR="00021ED9" w:rsidRPr="00021ED9" w:rsidP="00021ED9" w14:paraId="74308A67" w14:textId="27C57985">
            <w:pPr>
              <w:jc w:val="right"/>
              <w:rPr>
                <w:color w:val="000000"/>
              </w:rPr>
            </w:pPr>
            <w:r w:rsidRPr="00021ED9">
              <w:rPr>
                <w:color w:val="000000"/>
              </w:rPr>
              <w:t>3</w:t>
            </w:r>
          </w:p>
        </w:tc>
        <w:tc>
          <w:tcPr>
            <w:tcW w:w="1170" w:type="dxa"/>
            <w:vAlign w:val="bottom"/>
          </w:tcPr>
          <w:p w:rsidR="00021ED9" w:rsidRPr="005C1237" w:rsidP="00021ED9" w14:paraId="053A8C14" w14:textId="03ECB6F9">
            <w:pPr>
              <w:jc w:val="right"/>
            </w:pPr>
            <w:r>
              <w:rPr>
                <w:color w:val="000000"/>
                <w:sz w:val="20"/>
                <w:szCs w:val="20"/>
              </w:rPr>
              <w:t>N/A*</w:t>
            </w:r>
          </w:p>
        </w:tc>
      </w:tr>
      <w:tr w14:paraId="54DE2853" w14:textId="77777777" w:rsidTr="008A27A8">
        <w:tblPrEx>
          <w:tblW w:w="0" w:type="auto"/>
          <w:tblLook w:val="04A0"/>
        </w:tblPrEx>
        <w:tc>
          <w:tcPr>
            <w:tcW w:w="1615" w:type="dxa"/>
          </w:tcPr>
          <w:p w:rsidR="00272F96" w:rsidRPr="002E1515" w:rsidP="008A27A8" w14:paraId="0E9C89AE" w14:textId="77777777">
            <w:r w:rsidRPr="002E1515">
              <w:t>State</w:t>
            </w:r>
          </w:p>
        </w:tc>
        <w:tc>
          <w:tcPr>
            <w:tcW w:w="1350" w:type="dxa"/>
          </w:tcPr>
          <w:p w:rsidR="00272F96" w:rsidRPr="002E1515" w:rsidP="008A27A8" w14:paraId="265A8698" w14:textId="77777777">
            <w:r w:rsidRPr="002E1515">
              <w:t>All</w:t>
            </w:r>
          </w:p>
        </w:tc>
        <w:tc>
          <w:tcPr>
            <w:tcW w:w="990" w:type="dxa"/>
            <w:vAlign w:val="bottom"/>
          </w:tcPr>
          <w:p w:rsidR="00272F96" w:rsidRPr="005C1237" w:rsidP="008A27A8" w14:paraId="79EA3966" w14:textId="77777777">
            <w:pPr>
              <w:jc w:val="right"/>
            </w:pPr>
            <w:r w:rsidRPr="005C1237">
              <w:rPr>
                <w:color w:val="000000"/>
              </w:rPr>
              <w:t>49</w:t>
            </w:r>
          </w:p>
        </w:tc>
        <w:tc>
          <w:tcPr>
            <w:tcW w:w="1170" w:type="dxa"/>
            <w:vAlign w:val="bottom"/>
          </w:tcPr>
          <w:p w:rsidR="00272F96" w:rsidRPr="005C1237" w:rsidP="008A27A8" w14:paraId="29A9097F" w14:textId="68D0881C">
            <w:pPr>
              <w:jc w:val="right"/>
            </w:pPr>
            <w:r>
              <w:rPr>
                <w:color w:val="000000"/>
              </w:rPr>
              <w:t>98.0</w:t>
            </w:r>
          </w:p>
        </w:tc>
      </w:tr>
    </w:tbl>
    <w:p w:rsidR="00272F96" w:rsidP="00272F96" w14:paraId="69BDD429" w14:textId="721FFDAC">
      <w:pPr>
        <w:pStyle w:val="SP-SglSpPara"/>
        <w:ind w:firstLine="0"/>
        <w:jc w:val="left"/>
        <w:rPr>
          <w:sz w:val="20"/>
        </w:rPr>
      </w:pPr>
      <w:r w:rsidRPr="00C06CDB">
        <w:rPr>
          <w:vertAlign w:val="superscript"/>
        </w:rPr>
        <w:t>a</w:t>
      </w:r>
      <w:r>
        <w:rPr>
          <w:vertAlign w:val="superscript"/>
        </w:rPr>
        <w:t xml:space="preserve"> </w:t>
      </w:r>
      <w:r w:rsidRPr="00D534B2">
        <w:rPr>
          <w:sz w:val="20"/>
        </w:rPr>
        <w:t xml:space="preserve">Number of </w:t>
      </w:r>
      <w:r>
        <w:rPr>
          <w:sz w:val="20"/>
        </w:rPr>
        <w:t xml:space="preserve">full-time </w:t>
      </w:r>
      <w:r>
        <w:rPr>
          <w:sz w:val="20"/>
        </w:rPr>
        <w:t>equivalent</w:t>
      </w:r>
      <w:r>
        <w:rPr>
          <w:sz w:val="20"/>
        </w:rPr>
        <w:t xml:space="preserve"> sworn</w:t>
      </w:r>
      <w:r w:rsidRPr="00D534B2">
        <w:rPr>
          <w:sz w:val="20"/>
        </w:rPr>
        <w:t xml:space="preserve"> officers</w:t>
      </w:r>
      <w:r>
        <w:rPr>
          <w:sz w:val="20"/>
        </w:rPr>
        <w:t>.</w:t>
      </w:r>
    </w:p>
    <w:p w:rsidR="00021ED9" w:rsidRPr="00021ED9" w:rsidP="00021ED9" w14:paraId="230675CB" w14:textId="4BBECA37">
      <w:pPr>
        <w:pStyle w:val="Heading1"/>
        <w:ind w:left="0"/>
        <w:rPr>
          <w:rFonts w:ascii="Times New Roman" w:hAnsi="Times New Roman" w:eastAsiaTheme="minorHAnsi" w:cs="Times New Roman"/>
          <w:b w:val="0"/>
          <w:color w:val="auto"/>
          <w:sz w:val="20"/>
          <w:szCs w:val="20"/>
          <w:lang w:eastAsia="en-US"/>
        </w:rPr>
      </w:pPr>
      <w:bookmarkStart w:id="1" w:name="_Toc131334276"/>
      <w:r w:rsidRPr="00021ED9">
        <w:rPr>
          <w:rFonts w:ascii="Times New Roman" w:hAnsi="Times New Roman" w:eastAsiaTheme="minorHAnsi" w:cs="Times New Roman"/>
          <w:b w:val="0"/>
          <w:color w:val="auto"/>
          <w:sz w:val="20"/>
          <w:szCs w:val="20"/>
          <w:lang w:eastAsia="en-US"/>
        </w:rPr>
        <w:t>*Note: All three sampled agencies were found to be ineligible during LEMAS 2020 data collection.</w:t>
      </w:r>
      <w:bookmarkEnd w:id="1"/>
    </w:p>
    <w:p w:rsidR="00021ED9" w:rsidRPr="00D534B2" w:rsidP="00272F96" w14:paraId="5053B707" w14:textId="77777777">
      <w:pPr>
        <w:pStyle w:val="SP-SglSpPara"/>
        <w:ind w:firstLine="0"/>
        <w:jc w:val="left"/>
        <w:rPr>
          <w:sz w:val="20"/>
        </w:rPr>
      </w:pPr>
    </w:p>
    <w:p w:rsidR="00272F96" w:rsidRPr="00CB1B35" w:rsidP="00CB1B35" w14:paraId="2AA93FEB" w14:textId="77777777">
      <w:pPr>
        <w:rPr>
          <w:rFonts w:eastAsia="Calibri"/>
        </w:rPr>
      </w:pPr>
    </w:p>
    <w:p w:rsidR="00672D35" w:rsidRPr="008A2D7A" w:rsidP="00672D35" w14:paraId="6A20D324" w14:textId="3B1C06AD">
      <w:pPr>
        <w:keepNext/>
        <w:keepLines/>
        <w:spacing w:after="200"/>
        <w:rPr>
          <w:rFonts w:eastAsia="Calibri"/>
          <w:b/>
          <w:bCs/>
          <w:i/>
          <w:iCs/>
          <w:color w:val="1F497D"/>
        </w:rPr>
      </w:pPr>
      <w:bookmarkStart w:id="2" w:name="_Ref442686135"/>
      <w:r w:rsidRPr="008A2D7A">
        <w:rPr>
          <w:rFonts w:eastAsia="Calibri"/>
          <w:b/>
          <w:bCs/>
        </w:rPr>
        <w:t xml:space="preserve">Table </w:t>
      </w:r>
      <w:r w:rsidRPr="008A2D7A">
        <w:rPr>
          <w:rFonts w:eastAsia="Calibri"/>
          <w:b/>
          <w:bCs/>
        </w:rPr>
        <w:fldChar w:fldCharType="begin"/>
      </w:r>
      <w:r w:rsidRPr="008A2D7A">
        <w:rPr>
          <w:rFonts w:eastAsia="Calibri"/>
          <w:b/>
          <w:bCs/>
        </w:rPr>
        <w:instrText xml:space="preserve"> SEQ Table \* ARABIC </w:instrText>
      </w:r>
      <w:r w:rsidRPr="008A2D7A">
        <w:rPr>
          <w:rFonts w:eastAsia="Calibri"/>
          <w:b/>
          <w:bCs/>
        </w:rPr>
        <w:fldChar w:fldCharType="separate"/>
      </w:r>
      <w:r>
        <w:rPr>
          <w:rFonts w:eastAsia="Calibri"/>
          <w:b/>
          <w:bCs/>
          <w:noProof/>
        </w:rPr>
        <w:t>2</w:t>
      </w:r>
      <w:r w:rsidRPr="008A2D7A">
        <w:rPr>
          <w:rFonts w:eastAsia="Calibri"/>
          <w:b/>
          <w:bCs/>
        </w:rPr>
        <w:fldChar w:fldCharType="end"/>
      </w:r>
      <w:bookmarkEnd w:id="2"/>
      <w:r w:rsidR="00AB4688">
        <w:rPr>
          <w:rFonts w:eastAsia="Calibri"/>
          <w:b/>
          <w:bCs/>
        </w:rPr>
        <w:t>.</w:t>
      </w:r>
      <w:r>
        <w:rPr>
          <w:rFonts w:eastAsia="Calibri"/>
          <w:b/>
          <w:bCs/>
        </w:rPr>
        <w:t xml:space="preserve"> Assumed </w:t>
      </w:r>
      <w:r w:rsidR="00CB1B35">
        <w:rPr>
          <w:rFonts w:eastAsia="Calibri"/>
          <w:b/>
          <w:bCs/>
        </w:rPr>
        <w:t>r</w:t>
      </w:r>
      <w:r w:rsidRPr="008A2D7A">
        <w:rPr>
          <w:rFonts w:eastAsia="Calibri"/>
          <w:b/>
          <w:bCs/>
        </w:rPr>
        <w:t xml:space="preserve">esponse </w:t>
      </w:r>
      <w:r w:rsidR="00CB1B35">
        <w:rPr>
          <w:rFonts w:eastAsia="Calibri"/>
          <w:b/>
          <w:bCs/>
        </w:rPr>
        <w:t>r</w:t>
      </w:r>
      <w:r w:rsidRPr="008A2D7A">
        <w:rPr>
          <w:rFonts w:eastAsia="Calibri"/>
          <w:b/>
          <w:bCs/>
        </w:rPr>
        <w:t>ates</w:t>
      </w:r>
      <w:r>
        <w:rPr>
          <w:rFonts w:eastAsia="Calibri"/>
          <w:b/>
          <w:bCs/>
        </w:rPr>
        <w:t xml:space="preserve"> for the 202</w:t>
      </w:r>
      <w:r w:rsidR="00CB1B35">
        <w:rPr>
          <w:rFonts w:eastAsia="Calibri"/>
          <w:b/>
          <w:bCs/>
        </w:rPr>
        <w:t>3</w:t>
      </w:r>
      <w:r>
        <w:rPr>
          <w:rFonts w:eastAsia="Calibri"/>
          <w:b/>
          <w:bCs/>
        </w:rPr>
        <w:t xml:space="preserve"> LEMAS</w:t>
      </w:r>
      <w:r w:rsidR="00CB1B35">
        <w:rPr>
          <w:rFonts w:eastAsia="Calibri"/>
          <w:b/>
          <w:bCs/>
        </w:rPr>
        <w:t xml:space="preserve"> PATOW</w:t>
      </w:r>
      <w:r>
        <w:rPr>
          <w:rFonts w:eastAsia="Calibri"/>
          <w:b/>
          <w:bCs/>
        </w:rPr>
        <w:t>,</w:t>
      </w:r>
      <w:r w:rsidRPr="008A2D7A">
        <w:rPr>
          <w:rFonts w:eastAsia="Calibri"/>
          <w:b/>
          <w:bCs/>
        </w:rPr>
        <w:t xml:space="preserve"> by </w:t>
      </w:r>
      <w:r w:rsidR="00CB1B35">
        <w:rPr>
          <w:rFonts w:eastAsia="Calibri"/>
          <w:b/>
          <w:bCs/>
        </w:rPr>
        <w:t>a</w:t>
      </w:r>
      <w:r>
        <w:rPr>
          <w:rFonts w:eastAsia="Calibri"/>
          <w:b/>
          <w:bCs/>
        </w:rPr>
        <w:t xml:space="preserve">gency </w:t>
      </w:r>
      <w:r w:rsidR="00CB1B35">
        <w:rPr>
          <w:rFonts w:eastAsia="Calibri"/>
          <w:b/>
          <w:bCs/>
        </w:rPr>
        <w:t>t</w:t>
      </w:r>
      <w:r w:rsidRPr="008A2D7A">
        <w:rPr>
          <w:rFonts w:eastAsia="Calibri"/>
          <w:b/>
          <w:bCs/>
        </w:rPr>
        <w:t xml:space="preserve">ype and </w:t>
      </w:r>
      <w:r w:rsidR="00CB1B35">
        <w:rPr>
          <w:rFonts w:eastAsia="Calibri"/>
          <w:b/>
          <w:bCs/>
        </w:rPr>
        <w:t>s</w:t>
      </w:r>
      <w:r>
        <w:rPr>
          <w:rFonts w:eastAsia="Calibri"/>
          <w:b/>
          <w:bCs/>
        </w:rPr>
        <w:t>elf-</w:t>
      </w:r>
      <w:r w:rsidR="00CB1B35">
        <w:rPr>
          <w:rFonts w:eastAsia="Calibri"/>
          <w:b/>
          <w:bCs/>
        </w:rPr>
        <w:t>r</w:t>
      </w:r>
      <w:r>
        <w:rPr>
          <w:rFonts w:eastAsia="Calibri"/>
          <w:b/>
          <w:bCs/>
        </w:rPr>
        <w:t xml:space="preserve">epresentation </w:t>
      </w:r>
      <w:r w:rsidR="00CB1B35">
        <w:rPr>
          <w:rFonts w:eastAsia="Calibri"/>
          <w:b/>
          <w:bCs/>
        </w:rPr>
        <w:t>s</w:t>
      </w:r>
      <w:r>
        <w:rPr>
          <w:rFonts w:eastAsia="Calibri"/>
          <w:b/>
          <w:bCs/>
        </w:rPr>
        <w:t>tatus</w:t>
      </w:r>
    </w:p>
    <w:tbl>
      <w:tblPr>
        <w:tblStyle w:val="TableGrid1"/>
        <w:tblW w:w="0" w:type="auto"/>
        <w:tblLook w:val="04A0"/>
      </w:tblPr>
      <w:tblGrid>
        <w:gridCol w:w="3116"/>
        <w:gridCol w:w="3117"/>
        <w:gridCol w:w="3117"/>
      </w:tblGrid>
      <w:tr w14:paraId="65734375" w14:textId="77777777" w:rsidTr="00A747BF">
        <w:tblPrEx>
          <w:tblW w:w="0" w:type="auto"/>
          <w:tblLook w:val="04A0"/>
        </w:tblPrEx>
        <w:trPr>
          <w:tblHeader/>
        </w:trPr>
        <w:tc>
          <w:tcPr>
            <w:tcW w:w="3116" w:type="dxa"/>
            <w:shd w:val="clear" w:color="auto" w:fill="auto"/>
          </w:tcPr>
          <w:p w:rsidR="00672D35" w:rsidRPr="00A747BF" w:rsidP="008A27A8" w14:paraId="0850F295" w14:textId="77777777">
            <w:pPr>
              <w:keepNext/>
              <w:keepLines/>
              <w:rPr>
                <w:b/>
                <w:bCs/>
              </w:rPr>
            </w:pPr>
            <w:r w:rsidRPr="00A747BF">
              <w:rPr>
                <w:b/>
                <w:bCs/>
              </w:rPr>
              <w:t>Agency Type</w:t>
            </w:r>
          </w:p>
        </w:tc>
        <w:tc>
          <w:tcPr>
            <w:tcW w:w="3117" w:type="dxa"/>
            <w:shd w:val="clear" w:color="auto" w:fill="auto"/>
          </w:tcPr>
          <w:p w:rsidR="00672D35" w:rsidRPr="00A747BF" w:rsidP="008A27A8" w14:paraId="24770430" w14:textId="77777777">
            <w:pPr>
              <w:keepNext/>
              <w:keepLines/>
              <w:rPr>
                <w:b/>
                <w:bCs/>
              </w:rPr>
            </w:pPr>
            <w:r w:rsidRPr="00A747BF">
              <w:rPr>
                <w:b/>
                <w:bCs/>
              </w:rPr>
              <w:t>Self-Representation Status</w:t>
            </w:r>
          </w:p>
        </w:tc>
        <w:tc>
          <w:tcPr>
            <w:tcW w:w="3117" w:type="dxa"/>
            <w:shd w:val="clear" w:color="auto" w:fill="auto"/>
          </w:tcPr>
          <w:p w:rsidR="00672D35" w:rsidRPr="00A747BF" w:rsidP="008A27A8" w14:paraId="04E878E9" w14:textId="77777777">
            <w:pPr>
              <w:keepNext/>
              <w:keepLines/>
              <w:rPr>
                <w:b/>
                <w:bCs/>
              </w:rPr>
            </w:pPr>
            <w:r w:rsidRPr="00A747BF">
              <w:rPr>
                <w:b/>
                <w:bCs/>
              </w:rPr>
              <w:t>Response Rate</w:t>
            </w:r>
          </w:p>
        </w:tc>
      </w:tr>
      <w:tr w14:paraId="255FB6B1" w14:textId="77777777" w:rsidTr="008A27A8">
        <w:tblPrEx>
          <w:tblW w:w="0" w:type="auto"/>
          <w:tblLook w:val="04A0"/>
        </w:tblPrEx>
        <w:tc>
          <w:tcPr>
            <w:tcW w:w="3116" w:type="dxa"/>
          </w:tcPr>
          <w:p w:rsidR="00672D35" w:rsidRPr="008A2D7A" w:rsidP="008A27A8" w14:paraId="11EFBDEB" w14:textId="77777777">
            <w:pPr>
              <w:keepNext/>
              <w:keepLines/>
            </w:pPr>
            <w:r w:rsidRPr="008A2D7A">
              <w:t>Local Police</w:t>
            </w:r>
          </w:p>
        </w:tc>
        <w:tc>
          <w:tcPr>
            <w:tcW w:w="3117" w:type="dxa"/>
          </w:tcPr>
          <w:p w:rsidR="00672D35" w:rsidRPr="008A2D7A" w:rsidP="008A27A8" w14:paraId="35558EC1" w14:textId="77777777">
            <w:pPr>
              <w:keepNext/>
              <w:keepLines/>
            </w:pPr>
            <w:r w:rsidRPr="008A2D7A">
              <w:t>Self-representing</w:t>
            </w:r>
          </w:p>
        </w:tc>
        <w:tc>
          <w:tcPr>
            <w:tcW w:w="3117" w:type="dxa"/>
          </w:tcPr>
          <w:p w:rsidR="00672D35" w:rsidRPr="008A2D7A" w:rsidP="008A27A8" w14:paraId="2E52464D" w14:textId="77777777">
            <w:pPr>
              <w:keepNext/>
              <w:keepLines/>
            </w:pPr>
            <w:r w:rsidRPr="008A2D7A">
              <w:t>9</w:t>
            </w:r>
            <w:r>
              <w:t>0</w:t>
            </w:r>
            <w:r w:rsidRPr="008A2D7A">
              <w:t>%</w:t>
            </w:r>
          </w:p>
        </w:tc>
      </w:tr>
      <w:tr w14:paraId="7388BDEE" w14:textId="77777777" w:rsidTr="008A27A8">
        <w:tblPrEx>
          <w:tblW w:w="0" w:type="auto"/>
          <w:tblLook w:val="04A0"/>
        </w:tblPrEx>
        <w:tc>
          <w:tcPr>
            <w:tcW w:w="3116" w:type="dxa"/>
          </w:tcPr>
          <w:p w:rsidR="00672D35" w:rsidRPr="008A2D7A" w:rsidP="008A27A8" w14:paraId="63F0590C" w14:textId="77777777">
            <w:pPr>
              <w:keepNext/>
              <w:keepLines/>
            </w:pPr>
          </w:p>
        </w:tc>
        <w:tc>
          <w:tcPr>
            <w:tcW w:w="3117" w:type="dxa"/>
          </w:tcPr>
          <w:p w:rsidR="00672D35" w:rsidRPr="008A2D7A" w:rsidP="008A27A8" w14:paraId="16951CC5" w14:textId="77777777">
            <w:pPr>
              <w:keepNext/>
              <w:keepLines/>
              <w:rPr>
                <w:vertAlign w:val="superscript"/>
              </w:rPr>
            </w:pPr>
            <w:r w:rsidRPr="008A2D7A">
              <w:t>Non-self-</w:t>
            </w:r>
            <w:r w:rsidRPr="008A2D7A">
              <w:t>representing</w:t>
            </w:r>
            <w:r w:rsidRPr="00D534B2">
              <w:rPr>
                <w:vertAlign w:val="superscript"/>
              </w:rPr>
              <w:t>a</w:t>
            </w:r>
          </w:p>
        </w:tc>
        <w:tc>
          <w:tcPr>
            <w:tcW w:w="3117" w:type="dxa"/>
          </w:tcPr>
          <w:p w:rsidR="00672D35" w:rsidRPr="008A2D7A" w:rsidP="008A27A8" w14:paraId="717D6B42" w14:textId="77777777">
            <w:pPr>
              <w:keepNext/>
              <w:keepLines/>
            </w:pPr>
            <w:r>
              <w:t>80</w:t>
            </w:r>
            <w:r w:rsidRPr="008A2D7A">
              <w:t>%</w:t>
            </w:r>
          </w:p>
        </w:tc>
      </w:tr>
      <w:tr w14:paraId="67DAFF84" w14:textId="77777777" w:rsidTr="008A27A8">
        <w:tblPrEx>
          <w:tblW w:w="0" w:type="auto"/>
          <w:tblLook w:val="04A0"/>
        </w:tblPrEx>
        <w:tc>
          <w:tcPr>
            <w:tcW w:w="3116" w:type="dxa"/>
          </w:tcPr>
          <w:p w:rsidR="00672D35" w:rsidRPr="008A2D7A" w:rsidP="008A27A8" w14:paraId="5FEB5682" w14:textId="77777777">
            <w:pPr>
              <w:keepNext/>
              <w:keepLines/>
            </w:pPr>
            <w:r w:rsidRPr="008A2D7A">
              <w:t>Sheriff’s Office</w:t>
            </w:r>
          </w:p>
        </w:tc>
        <w:tc>
          <w:tcPr>
            <w:tcW w:w="3117" w:type="dxa"/>
          </w:tcPr>
          <w:p w:rsidR="00672D35" w:rsidRPr="008A2D7A" w:rsidP="008A27A8" w14:paraId="6262AD97" w14:textId="77777777">
            <w:pPr>
              <w:keepNext/>
              <w:keepLines/>
            </w:pPr>
            <w:r w:rsidRPr="008A2D7A">
              <w:t>Self-representing</w:t>
            </w:r>
          </w:p>
        </w:tc>
        <w:tc>
          <w:tcPr>
            <w:tcW w:w="3117" w:type="dxa"/>
          </w:tcPr>
          <w:p w:rsidR="00672D35" w:rsidRPr="00435C84" w:rsidP="008A27A8" w14:paraId="7EAA5710" w14:textId="77777777">
            <w:pPr>
              <w:keepNext/>
              <w:keepLines/>
            </w:pPr>
            <w:r w:rsidRPr="00435C84">
              <w:t>80%</w:t>
            </w:r>
          </w:p>
        </w:tc>
      </w:tr>
      <w:tr w14:paraId="08C43BCA" w14:textId="77777777" w:rsidTr="008A27A8">
        <w:tblPrEx>
          <w:tblW w:w="0" w:type="auto"/>
          <w:tblLook w:val="04A0"/>
        </w:tblPrEx>
        <w:tc>
          <w:tcPr>
            <w:tcW w:w="3116" w:type="dxa"/>
          </w:tcPr>
          <w:p w:rsidR="00672D35" w:rsidRPr="008A2D7A" w:rsidP="008A27A8" w14:paraId="57894AC9" w14:textId="77777777">
            <w:pPr>
              <w:keepNext/>
              <w:keepLines/>
            </w:pPr>
          </w:p>
        </w:tc>
        <w:tc>
          <w:tcPr>
            <w:tcW w:w="3117" w:type="dxa"/>
          </w:tcPr>
          <w:p w:rsidR="00672D35" w:rsidRPr="008A2D7A" w:rsidP="008A27A8" w14:paraId="4906E712" w14:textId="77777777">
            <w:pPr>
              <w:keepNext/>
              <w:keepLines/>
            </w:pPr>
            <w:r w:rsidRPr="008A2D7A">
              <w:t>Non-self-</w:t>
            </w:r>
            <w:r w:rsidRPr="008A2D7A">
              <w:t>representing</w:t>
            </w:r>
            <w:r w:rsidRPr="00C06CDB">
              <w:rPr>
                <w:vertAlign w:val="superscript"/>
              </w:rPr>
              <w:t>a</w:t>
            </w:r>
          </w:p>
        </w:tc>
        <w:tc>
          <w:tcPr>
            <w:tcW w:w="3117" w:type="dxa"/>
          </w:tcPr>
          <w:p w:rsidR="00672D35" w:rsidRPr="00435C84" w:rsidP="008A27A8" w14:paraId="28DB8684" w14:textId="7B5F90D0">
            <w:pPr>
              <w:keepNext/>
              <w:keepLines/>
            </w:pPr>
            <w:r w:rsidRPr="00435C84">
              <w:t>7</w:t>
            </w:r>
            <w:r w:rsidR="00415881">
              <w:t>4</w:t>
            </w:r>
            <w:r w:rsidRPr="00435C84">
              <w:t>%</w:t>
            </w:r>
          </w:p>
        </w:tc>
      </w:tr>
      <w:tr w14:paraId="41D940A6" w14:textId="77777777" w:rsidTr="008A27A8">
        <w:tblPrEx>
          <w:tblW w:w="0" w:type="auto"/>
          <w:tblLook w:val="04A0"/>
        </w:tblPrEx>
        <w:tc>
          <w:tcPr>
            <w:tcW w:w="3116" w:type="dxa"/>
            <w:tcBorders>
              <w:bottom w:val="single" w:sz="4" w:space="0" w:color="000000"/>
            </w:tcBorders>
          </w:tcPr>
          <w:p w:rsidR="00672D35" w:rsidRPr="008A2D7A" w:rsidP="008A27A8" w14:paraId="6B3672F2" w14:textId="77777777">
            <w:pPr>
              <w:keepNext/>
              <w:keepLines/>
            </w:pPr>
            <w:r w:rsidRPr="008A2D7A">
              <w:t>State Police</w:t>
            </w:r>
          </w:p>
        </w:tc>
        <w:tc>
          <w:tcPr>
            <w:tcW w:w="3117" w:type="dxa"/>
            <w:tcBorders>
              <w:bottom w:val="single" w:sz="4" w:space="0" w:color="000000"/>
            </w:tcBorders>
          </w:tcPr>
          <w:p w:rsidR="00672D35" w:rsidRPr="008A2D7A" w:rsidP="008A27A8" w14:paraId="22E4A175" w14:textId="77777777">
            <w:pPr>
              <w:keepNext/>
              <w:keepLines/>
            </w:pPr>
            <w:r w:rsidRPr="008A2D7A">
              <w:t>Self-representing</w:t>
            </w:r>
          </w:p>
        </w:tc>
        <w:tc>
          <w:tcPr>
            <w:tcW w:w="3117" w:type="dxa"/>
          </w:tcPr>
          <w:p w:rsidR="00672D35" w:rsidRPr="00435C84" w:rsidP="008A27A8" w14:paraId="3812BC94" w14:textId="77777777">
            <w:pPr>
              <w:keepNext/>
              <w:keepLines/>
            </w:pPr>
            <w:r w:rsidRPr="00435C84">
              <w:t>90%</w:t>
            </w:r>
          </w:p>
        </w:tc>
      </w:tr>
      <w:tr w14:paraId="0F5014E3" w14:textId="77777777" w:rsidTr="008A27A8">
        <w:tblPrEx>
          <w:tblW w:w="0" w:type="auto"/>
          <w:tblLook w:val="04A0"/>
        </w:tblPrEx>
        <w:tc>
          <w:tcPr>
            <w:tcW w:w="3116" w:type="dxa"/>
            <w:tcBorders>
              <w:right w:val="nil"/>
            </w:tcBorders>
          </w:tcPr>
          <w:p w:rsidR="00672D35" w:rsidRPr="008A2D7A" w:rsidP="008A27A8" w14:paraId="4691F3B3" w14:textId="77777777">
            <w:pPr>
              <w:keepNext/>
              <w:keepLines/>
            </w:pPr>
            <w:r>
              <w:t>All agencies</w:t>
            </w:r>
          </w:p>
        </w:tc>
        <w:tc>
          <w:tcPr>
            <w:tcW w:w="3117" w:type="dxa"/>
            <w:tcBorders>
              <w:left w:val="nil"/>
            </w:tcBorders>
          </w:tcPr>
          <w:p w:rsidR="00672D35" w:rsidRPr="008A2D7A" w:rsidP="008A27A8" w14:paraId="683EFA3C" w14:textId="77777777">
            <w:pPr>
              <w:keepNext/>
              <w:keepLines/>
            </w:pPr>
          </w:p>
        </w:tc>
        <w:tc>
          <w:tcPr>
            <w:tcW w:w="3117" w:type="dxa"/>
          </w:tcPr>
          <w:p w:rsidR="00672D35" w:rsidRPr="00435C84" w:rsidP="008A27A8" w14:paraId="5312B254" w14:textId="1C436571">
            <w:pPr>
              <w:keepNext/>
              <w:keepLines/>
            </w:pPr>
            <w:r w:rsidRPr="00435C84">
              <w:t>8</w:t>
            </w:r>
            <w:r w:rsidR="00415881">
              <w:t>1</w:t>
            </w:r>
            <w:r w:rsidRPr="00435C84">
              <w:t>%</w:t>
            </w:r>
          </w:p>
        </w:tc>
      </w:tr>
    </w:tbl>
    <w:p w:rsidR="00672D35" w:rsidP="00672D35" w14:paraId="0E3E102D" w14:textId="77777777">
      <w:pPr>
        <w:rPr>
          <w:sz w:val="20"/>
          <w:szCs w:val="20"/>
        </w:rPr>
      </w:pPr>
      <w:r w:rsidRPr="00D534B2">
        <w:rPr>
          <w:sz w:val="20"/>
          <w:szCs w:val="20"/>
          <w:vertAlign w:val="superscript"/>
        </w:rPr>
        <w:t>a</w:t>
      </w:r>
      <w:r>
        <w:rPr>
          <w:sz w:val="20"/>
          <w:szCs w:val="20"/>
        </w:rPr>
        <w:t xml:space="preserve"> </w:t>
      </w:r>
      <w:r w:rsidRPr="00C06CDB">
        <w:rPr>
          <w:sz w:val="20"/>
          <w:szCs w:val="20"/>
        </w:rPr>
        <w:t>Non-self-</w:t>
      </w:r>
      <w:r w:rsidRPr="00C06CDB">
        <w:rPr>
          <w:sz w:val="20"/>
          <w:szCs w:val="20"/>
        </w:rPr>
        <w:t xml:space="preserve">representing agencies are comprised of agencies with less than 100 </w:t>
      </w:r>
      <w:r>
        <w:rPr>
          <w:sz w:val="20"/>
          <w:szCs w:val="20"/>
        </w:rPr>
        <w:t>FTEs</w:t>
      </w:r>
      <w:r w:rsidRPr="00C06CDB">
        <w:rPr>
          <w:sz w:val="20"/>
          <w:szCs w:val="20"/>
        </w:rPr>
        <w:t xml:space="preserve">. </w:t>
      </w:r>
    </w:p>
    <w:p w:rsidR="00272F96" w:rsidP="004A6B77" w14:paraId="22452750" w14:textId="3A8110B4"/>
    <w:p w:rsidR="00CB1B35" w:rsidP="00CB1B35" w14:paraId="6EF07D91" w14:textId="72E69DA6">
      <w:pPr>
        <w:pStyle w:val="SP-SglSpPara"/>
        <w:ind w:firstLine="0"/>
        <w:jc w:val="left"/>
      </w:pPr>
      <w:r w:rsidRPr="00156904">
        <w:rPr>
          <w:sz w:val="24"/>
          <w:szCs w:val="24"/>
        </w:rPr>
        <w:t xml:space="preserve">The sample size allocation obtained through the proportional number of agencies is presented in </w:t>
      </w:r>
      <w:r w:rsidRPr="008A30F7">
        <w:rPr>
          <w:bCs/>
          <w:sz w:val="24"/>
          <w:szCs w:val="24"/>
        </w:rPr>
        <w:t>Table 3</w:t>
      </w:r>
      <w:r w:rsidRPr="00156904">
        <w:rPr>
          <w:sz w:val="24"/>
          <w:szCs w:val="24"/>
        </w:rPr>
        <w:t xml:space="preserve">. Based on the response rate assumptions, the design calls for a sample size of </w:t>
      </w:r>
      <w:r>
        <w:rPr>
          <w:sz w:val="24"/>
          <w:szCs w:val="24"/>
        </w:rPr>
        <w:t>3,500</w:t>
      </w:r>
      <w:r w:rsidRPr="00156904">
        <w:rPr>
          <w:sz w:val="24"/>
          <w:szCs w:val="24"/>
        </w:rPr>
        <w:t xml:space="preserve"> with </w:t>
      </w:r>
      <w:r w:rsidRPr="002925F3">
        <w:rPr>
          <w:sz w:val="24"/>
          <w:szCs w:val="24"/>
        </w:rPr>
        <w:t>2,</w:t>
      </w:r>
      <w:r>
        <w:rPr>
          <w:sz w:val="24"/>
          <w:szCs w:val="24"/>
        </w:rPr>
        <w:t>850</w:t>
      </w:r>
      <w:r w:rsidRPr="0020485B">
        <w:rPr>
          <w:sz w:val="24"/>
          <w:szCs w:val="24"/>
        </w:rPr>
        <w:t xml:space="preserve"> complete</w:t>
      </w:r>
      <w:r w:rsidRPr="00156904">
        <w:rPr>
          <w:sz w:val="24"/>
          <w:szCs w:val="24"/>
        </w:rPr>
        <w:t xml:space="preserve"> questionnaires expected. </w:t>
      </w:r>
    </w:p>
    <w:p w:rsidR="00CB1B35" w:rsidRPr="00156904" w:rsidP="00CB1B35" w14:paraId="1B0E15B8" w14:textId="77777777">
      <w:pPr>
        <w:pStyle w:val="SP-SglSpPara"/>
        <w:ind w:firstLine="0"/>
        <w:jc w:val="left"/>
      </w:pPr>
    </w:p>
    <w:p w:rsidR="00CB1B35" w:rsidP="00CB1B35" w14:paraId="0663F902" w14:textId="3D38EE65">
      <w:pPr>
        <w:pStyle w:val="Caption"/>
        <w:keepNext/>
        <w:rPr>
          <w:rFonts w:ascii="Times New Roman" w:eastAsia="Calibri" w:hAnsi="Times New Roman" w:cs="Times New Roman"/>
          <w:b/>
          <w:bCs/>
          <w:i w:val="0"/>
          <w:iCs w:val="0"/>
          <w:color w:val="auto"/>
          <w:sz w:val="24"/>
          <w:szCs w:val="24"/>
        </w:rPr>
      </w:pPr>
      <w:r w:rsidRPr="004D5CEA">
        <w:rPr>
          <w:rFonts w:ascii="Times New Roman" w:eastAsia="Calibri" w:hAnsi="Times New Roman" w:cs="Times New Roman"/>
          <w:b/>
          <w:bCs/>
          <w:i w:val="0"/>
          <w:iCs w:val="0"/>
          <w:color w:val="auto"/>
          <w:sz w:val="24"/>
          <w:szCs w:val="24"/>
        </w:rPr>
        <w:t xml:space="preserve">Table </w:t>
      </w:r>
      <w:r>
        <w:rPr>
          <w:rFonts w:ascii="Times New Roman" w:eastAsia="Calibri" w:hAnsi="Times New Roman" w:cs="Times New Roman"/>
          <w:b/>
          <w:bCs/>
          <w:i w:val="0"/>
          <w:iCs w:val="0"/>
          <w:color w:val="auto"/>
          <w:sz w:val="24"/>
          <w:szCs w:val="24"/>
        </w:rPr>
        <w:t>3</w:t>
      </w:r>
      <w:r w:rsidR="00AB4688">
        <w:rPr>
          <w:rFonts w:ascii="Times New Roman" w:eastAsia="Calibri" w:hAnsi="Times New Roman" w:cs="Times New Roman"/>
          <w:b/>
          <w:bCs/>
          <w:i w:val="0"/>
          <w:iCs w:val="0"/>
          <w:color w:val="auto"/>
          <w:sz w:val="24"/>
          <w:szCs w:val="24"/>
        </w:rPr>
        <w:t>.</w:t>
      </w:r>
      <w:r>
        <w:rPr>
          <w:rFonts w:ascii="Times New Roman" w:eastAsia="Calibri" w:hAnsi="Times New Roman" w:cs="Times New Roman"/>
          <w:b/>
          <w:bCs/>
          <w:i w:val="0"/>
          <w:iCs w:val="0"/>
          <w:color w:val="auto"/>
          <w:sz w:val="24"/>
          <w:szCs w:val="24"/>
        </w:rPr>
        <w:t xml:space="preserve"> Sample size a</w:t>
      </w:r>
      <w:r w:rsidRPr="004D5CEA">
        <w:rPr>
          <w:rFonts w:ascii="Times New Roman" w:eastAsia="Calibri" w:hAnsi="Times New Roman" w:cs="Times New Roman"/>
          <w:b/>
          <w:bCs/>
          <w:i w:val="0"/>
          <w:iCs w:val="0"/>
          <w:color w:val="auto"/>
          <w:sz w:val="24"/>
          <w:szCs w:val="24"/>
        </w:rPr>
        <w:t>llocation</w:t>
      </w:r>
      <w:r>
        <w:rPr>
          <w:rFonts w:ascii="Times New Roman" w:eastAsia="Calibri" w:hAnsi="Times New Roman" w:cs="Times New Roman"/>
          <w:b/>
          <w:bCs/>
          <w:i w:val="0"/>
          <w:iCs w:val="0"/>
          <w:color w:val="auto"/>
          <w:sz w:val="24"/>
          <w:szCs w:val="24"/>
        </w:rPr>
        <w:t xml:space="preserve"> based on the proportion to number of agencies by s</w:t>
      </w:r>
      <w:r w:rsidRPr="004D5CEA">
        <w:rPr>
          <w:rFonts w:ascii="Times New Roman" w:eastAsia="Calibri" w:hAnsi="Times New Roman" w:cs="Times New Roman"/>
          <w:b/>
          <w:bCs/>
          <w:i w:val="0"/>
          <w:iCs w:val="0"/>
          <w:color w:val="auto"/>
          <w:sz w:val="24"/>
          <w:szCs w:val="24"/>
        </w:rPr>
        <w:t>tratum</w:t>
      </w:r>
      <w:r>
        <w:rPr>
          <w:rFonts w:ascii="Times New Roman" w:eastAsia="Calibri" w:hAnsi="Times New Roman" w:cs="Times New Roman"/>
          <w:b/>
          <w:bCs/>
          <w:i w:val="0"/>
          <w:iCs w:val="0"/>
          <w:color w:val="auto"/>
          <w:sz w:val="24"/>
          <w:szCs w:val="24"/>
        </w:rPr>
        <w:t>, 2023 LEMAS PATOW</w:t>
      </w:r>
    </w:p>
    <w:tbl>
      <w:tblPr>
        <w:tblStyle w:val="TableGrid"/>
        <w:tblW w:w="9450" w:type="dxa"/>
        <w:tblLayout w:type="fixed"/>
        <w:tblLook w:val="04A0"/>
      </w:tblPr>
      <w:tblGrid>
        <w:gridCol w:w="2645"/>
        <w:gridCol w:w="2110"/>
        <w:gridCol w:w="2359"/>
        <w:gridCol w:w="2336"/>
      </w:tblGrid>
      <w:tr w14:paraId="6FBB01D6" w14:textId="77777777" w:rsidTr="00A747BF">
        <w:tblPrEx>
          <w:tblW w:w="9450" w:type="dxa"/>
          <w:tblLayout w:type="fixed"/>
          <w:tblLook w:val="04A0"/>
        </w:tblPrEx>
        <w:trPr>
          <w:tblHeader/>
        </w:trPr>
        <w:tc>
          <w:tcPr>
            <w:tcW w:w="264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B1B35" w:rsidRPr="00A747BF" w:rsidP="008A27A8" w14:paraId="445467F1" w14:textId="77777777">
            <w:pPr>
              <w:jc w:val="center"/>
              <w:rPr>
                <w:b/>
                <w:bCs/>
              </w:rPr>
            </w:pPr>
            <w:r w:rsidRPr="00A747BF">
              <w:rPr>
                <w:b/>
                <w:bCs/>
              </w:rPr>
              <w:t>Agency Type</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B1B35" w:rsidRPr="00A747BF" w:rsidP="008A27A8" w14:paraId="75245473" w14:textId="77777777">
            <w:pPr>
              <w:jc w:val="center"/>
              <w:rPr>
                <w:b/>
                <w:bCs/>
              </w:rPr>
            </w:pPr>
            <w:r w:rsidRPr="00A747BF">
              <w:rPr>
                <w:b/>
                <w:bCs/>
              </w:rPr>
              <w:t xml:space="preserve">Agency </w:t>
            </w:r>
            <w:r w:rsidRPr="00A747BF">
              <w:rPr>
                <w:b/>
                <w:bCs/>
              </w:rPr>
              <w:t>Size</w:t>
            </w:r>
            <w:r w:rsidRPr="00A747BF">
              <w:rPr>
                <w:b/>
                <w:bCs/>
                <w:vertAlign w:val="superscript"/>
              </w:rPr>
              <w:t>a</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B1B35" w:rsidRPr="00A747BF" w:rsidP="008A27A8" w14:paraId="0DC8C00F" w14:textId="77777777">
            <w:pPr>
              <w:jc w:val="center"/>
              <w:rPr>
                <w:b/>
                <w:bCs/>
              </w:rPr>
            </w:pPr>
            <w:r w:rsidRPr="00A747BF">
              <w:rPr>
                <w:b/>
                <w:bCs/>
              </w:rPr>
              <w:t>Sample Size</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B1B35" w:rsidRPr="00A747BF" w:rsidP="008A27A8" w14:paraId="697CB1B9" w14:textId="77777777">
            <w:pPr>
              <w:jc w:val="center"/>
              <w:rPr>
                <w:b/>
                <w:bCs/>
              </w:rPr>
            </w:pPr>
            <w:r w:rsidRPr="00A747BF">
              <w:rPr>
                <w:b/>
                <w:bCs/>
              </w:rPr>
              <w:t>Expected Respondents</w:t>
            </w:r>
          </w:p>
        </w:tc>
      </w:tr>
      <w:tr w14:paraId="5BC8C903" w14:textId="77777777" w:rsidTr="008A27A8">
        <w:tblPrEx>
          <w:tblW w:w="9450" w:type="dxa"/>
          <w:tblLayout w:type="fixed"/>
          <w:tblLook w:val="04A0"/>
        </w:tblPrEx>
        <w:tc>
          <w:tcPr>
            <w:tcW w:w="2645" w:type="dxa"/>
            <w:vMerge w:val="restart"/>
            <w:tcBorders>
              <w:top w:val="single" w:sz="4" w:space="0" w:color="000000"/>
              <w:left w:val="single" w:sz="4" w:space="0" w:color="000000"/>
              <w:bottom w:val="single" w:sz="4" w:space="0" w:color="000000"/>
              <w:right w:val="single" w:sz="4" w:space="0" w:color="000000"/>
            </w:tcBorders>
            <w:hideMark/>
          </w:tcPr>
          <w:p w:rsidR="00CB1B35" w:rsidP="008A27A8" w14:paraId="744263B4" w14:textId="77777777">
            <w:r>
              <w:t>Local Police</w:t>
            </w:r>
          </w:p>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31F7DF10" w14:textId="77777777">
            <w:pPr>
              <w:jc w:val="right"/>
            </w:pPr>
            <w:r>
              <w:t>100+</w:t>
            </w:r>
          </w:p>
        </w:tc>
        <w:tc>
          <w:tcPr>
            <w:tcW w:w="2359" w:type="dxa"/>
            <w:tcBorders>
              <w:top w:val="single" w:sz="4" w:space="0" w:color="000000"/>
              <w:left w:val="single" w:sz="4" w:space="0" w:color="000000"/>
              <w:bottom w:val="single" w:sz="4" w:space="0" w:color="000000"/>
              <w:right w:val="single" w:sz="4" w:space="0" w:color="000000"/>
            </w:tcBorders>
            <w:hideMark/>
          </w:tcPr>
          <w:p w:rsidR="00CB1B35" w:rsidRPr="00216E1D" w:rsidP="008A27A8" w14:paraId="0D35273B" w14:textId="77777777">
            <w:pPr>
              <w:jc w:val="right"/>
            </w:pPr>
            <w:r w:rsidRPr="00216E1D">
              <w:t>669</w:t>
            </w:r>
          </w:p>
        </w:tc>
        <w:tc>
          <w:tcPr>
            <w:tcW w:w="2336" w:type="dxa"/>
            <w:tcBorders>
              <w:top w:val="single" w:sz="4" w:space="0" w:color="000000"/>
              <w:left w:val="single" w:sz="4" w:space="0" w:color="000000"/>
              <w:bottom w:val="single" w:sz="4" w:space="0" w:color="000000"/>
              <w:right w:val="single" w:sz="4" w:space="0" w:color="000000"/>
            </w:tcBorders>
            <w:hideMark/>
          </w:tcPr>
          <w:p w:rsidR="00CB1B35" w:rsidRPr="00216E1D" w:rsidP="008A27A8" w14:paraId="4B2EC1AC" w14:textId="77777777">
            <w:pPr>
              <w:jc w:val="right"/>
            </w:pPr>
            <w:r w:rsidRPr="00216E1D">
              <w:t>602</w:t>
            </w:r>
          </w:p>
        </w:tc>
      </w:tr>
      <w:tr w14:paraId="20F6F440"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40D456A6"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2D0D00FD" w14:textId="77777777">
            <w:pPr>
              <w:jc w:val="right"/>
            </w:pPr>
            <w:r>
              <w:t>50-99.5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66EBA5DA" w14:textId="77777777">
            <w:pPr>
              <w:jc w:val="right"/>
            </w:pPr>
            <w:r w:rsidRPr="00216E1D">
              <w:rPr>
                <w:color w:val="000000"/>
              </w:rPr>
              <w:t>148</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79468205" w14:textId="77777777">
            <w:pPr>
              <w:jc w:val="right"/>
            </w:pPr>
            <w:r w:rsidRPr="00216E1D">
              <w:rPr>
                <w:color w:val="000000"/>
              </w:rPr>
              <w:t>118</w:t>
            </w:r>
          </w:p>
        </w:tc>
      </w:tr>
      <w:tr w14:paraId="3C82A693"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3D050D99"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05E771F7" w14:textId="77777777">
            <w:pPr>
              <w:jc w:val="right"/>
            </w:pPr>
            <w:r>
              <w:t>25-49.5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1B0BB9DE" w14:textId="77777777">
            <w:pPr>
              <w:jc w:val="right"/>
            </w:pPr>
            <w:r w:rsidRPr="00216E1D">
              <w:rPr>
                <w:color w:val="000000"/>
              </w:rPr>
              <w:t>287</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2BE648C6" w14:textId="77777777">
            <w:pPr>
              <w:jc w:val="right"/>
            </w:pPr>
            <w:r w:rsidRPr="00216E1D">
              <w:rPr>
                <w:color w:val="000000"/>
              </w:rPr>
              <w:t>230</w:t>
            </w:r>
          </w:p>
        </w:tc>
      </w:tr>
      <w:tr w14:paraId="42C9B320"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7B3D3CA6"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774CB80B" w14:textId="77777777">
            <w:pPr>
              <w:jc w:val="right"/>
            </w:pPr>
            <w:r>
              <w:t>10-24.5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553D750E" w14:textId="77777777">
            <w:pPr>
              <w:jc w:val="right"/>
            </w:pPr>
            <w:r w:rsidRPr="00216E1D">
              <w:rPr>
                <w:color w:val="000000"/>
              </w:rPr>
              <w:t>565</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31C08C0E" w14:textId="77777777">
            <w:pPr>
              <w:jc w:val="right"/>
            </w:pPr>
            <w:r w:rsidRPr="00216E1D">
              <w:rPr>
                <w:color w:val="000000"/>
              </w:rPr>
              <w:t>454</w:t>
            </w:r>
          </w:p>
        </w:tc>
      </w:tr>
      <w:tr w14:paraId="4C0C7BFF"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4EE9BBC0"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77D48884" w14:textId="77777777">
            <w:pPr>
              <w:jc w:val="right"/>
            </w:pPr>
            <w:r>
              <w:t>5-9.5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2F863301" w14:textId="77777777">
            <w:pPr>
              <w:jc w:val="right"/>
            </w:pPr>
            <w:r w:rsidRPr="00216E1D">
              <w:rPr>
                <w:color w:val="000000"/>
              </w:rPr>
              <w:t>494</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4A5F7B5D" w14:textId="77777777">
            <w:pPr>
              <w:jc w:val="right"/>
            </w:pPr>
            <w:r w:rsidRPr="00216E1D">
              <w:rPr>
                <w:color w:val="000000"/>
              </w:rPr>
              <w:t>396</w:t>
            </w:r>
          </w:p>
        </w:tc>
      </w:tr>
      <w:tr w14:paraId="4436E3EB"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15FDBDFB"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426DFF94" w14:textId="77777777">
            <w:pPr>
              <w:jc w:val="right"/>
            </w:pPr>
            <w:r>
              <w:t>2-4.5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10F2AFDA" w14:textId="77777777">
            <w:pPr>
              <w:jc w:val="right"/>
            </w:pPr>
            <w:r w:rsidRPr="00216E1D">
              <w:rPr>
                <w:color w:val="000000"/>
              </w:rPr>
              <w:t>343</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495104ED" w14:textId="77777777">
            <w:pPr>
              <w:jc w:val="right"/>
            </w:pPr>
            <w:r w:rsidRPr="00216E1D">
              <w:rPr>
                <w:color w:val="000000"/>
              </w:rPr>
              <w:t>275</w:t>
            </w:r>
          </w:p>
        </w:tc>
      </w:tr>
      <w:tr w14:paraId="474749BD"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08D296D3"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11F0D813" w14:textId="77777777">
            <w:pPr>
              <w:jc w:val="right"/>
            </w:pPr>
            <w:r>
              <w:t>1-1.5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5F9E05F3" w14:textId="77777777">
            <w:pPr>
              <w:jc w:val="right"/>
            </w:pPr>
            <w:r w:rsidRPr="00216E1D">
              <w:rPr>
                <w:color w:val="000000"/>
              </w:rPr>
              <w:t>108</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4C572C32" w14:textId="77777777">
            <w:pPr>
              <w:jc w:val="right"/>
            </w:pPr>
            <w:r w:rsidRPr="00216E1D">
              <w:rPr>
                <w:color w:val="000000"/>
              </w:rPr>
              <w:t>86</w:t>
            </w:r>
          </w:p>
        </w:tc>
      </w:tr>
      <w:tr w14:paraId="5709A7E6" w14:textId="77777777" w:rsidTr="008A27A8">
        <w:tblPrEx>
          <w:tblW w:w="9450" w:type="dxa"/>
          <w:tblLayout w:type="fixed"/>
          <w:tblLook w:val="04A0"/>
        </w:tblPrEx>
        <w:tc>
          <w:tcPr>
            <w:tcW w:w="2645" w:type="dxa"/>
            <w:vMerge w:val="restart"/>
            <w:tcBorders>
              <w:top w:val="single" w:sz="4" w:space="0" w:color="000000"/>
              <w:left w:val="single" w:sz="4" w:space="0" w:color="000000"/>
              <w:bottom w:val="single" w:sz="4" w:space="0" w:color="000000"/>
              <w:right w:val="single" w:sz="4" w:space="0" w:color="000000"/>
            </w:tcBorders>
            <w:hideMark/>
          </w:tcPr>
          <w:p w:rsidR="00CB1B35" w:rsidP="008A27A8" w14:paraId="14E4ADC1" w14:textId="77777777">
            <w:r>
              <w:t>Sheriff’s Office</w:t>
            </w:r>
          </w:p>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23EA93A4" w14:textId="77777777">
            <w:pPr>
              <w:jc w:val="right"/>
            </w:pPr>
            <w:r>
              <w:t>100+</w:t>
            </w:r>
          </w:p>
        </w:tc>
        <w:tc>
          <w:tcPr>
            <w:tcW w:w="2359" w:type="dxa"/>
            <w:tcBorders>
              <w:top w:val="single" w:sz="4" w:space="0" w:color="000000"/>
              <w:left w:val="single" w:sz="4" w:space="0" w:color="000000"/>
              <w:bottom w:val="single" w:sz="4" w:space="0" w:color="000000"/>
              <w:right w:val="single" w:sz="4" w:space="0" w:color="000000"/>
            </w:tcBorders>
            <w:hideMark/>
          </w:tcPr>
          <w:p w:rsidR="00CB1B35" w:rsidRPr="00216E1D" w:rsidP="008A27A8" w14:paraId="792EBBD6" w14:textId="77777777">
            <w:pPr>
              <w:jc w:val="right"/>
            </w:pPr>
            <w:r w:rsidRPr="00216E1D">
              <w:t>369</w:t>
            </w:r>
          </w:p>
        </w:tc>
        <w:tc>
          <w:tcPr>
            <w:tcW w:w="2336" w:type="dxa"/>
            <w:tcBorders>
              <w:top w:val="single" w:sz="4" w:space="0" w:color="000000"/>
              <w:left w:val="single" w:sz="4" w:space="0" w:color="000000"/>
              <w:bottom w:val="single" w:sz="4" w:space="0" w:color="000000"/>
              <w:right w:val="single" w:sz="4" w:space="0" w:color="000000"/>
            </w:tcBorders>
            <w:hideMark/>
          </w:tcPr>
          <w:p w:rsidR="00CB1B35" w:rsidRPr="00216E1D" w:rsidP="008A27A8" w14:paraId="10E908F7" w14:textId="77777777">
            <w:pPr>
              <w:jc w:val="right"/>
            </w:pPr>
            <w:r w:rsidRPr="00216E1D">
              <w:t>295</w:t>
            </w:r>
          </w:p>
        </w:tc>
      </w:tr>
      <w:tr w14:paraId="7B8B9637"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287AF6ED"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105FA9CF" w14:textId="77777777">
            <w:pPr>
              <w:jc w:val="right"/>
            </w:pPr>
            <w:r>
              <w:t>50-99.5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41021728" w14:textId="77777777">
            <w:pPr>
              <w:jc w:val="right"/>
            </w:pPr>
            <w:r w:rsidRPr="00216E1D">
              <w:rPr>
                <w:color w:val="000000"/>
              </w:rPr>
              <w:t>71</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083F32C6" w14:textId="77777777">
            <w:pPr>
              <w:jc w:val="right"/>
            </w:pPr>
            <w:r w:rsidRPr="00216E1D">
              <w:rPr>
                <w:color w:val="000000"/>
              </w:rPr>
              <w:t>53</w:t>
            </w:r>
          </w:p>
        </w:tc>
      </w:tr>
      <w:tr w14:paraId="62BD8B7D"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350EB657"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1075F2E9" w14:textId="77777777">
            <w:pPr>
              <w:jc w:val="right"/>
            </w:pPr>
            <w:r>
              <w:t>25-49.5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17F49D2E" w14:textId="77777777">
            <w:pPr>
              <w:jc w:val="right"/>
            </w:pPr>
            <w:r w:rsidRPr="00216E1D">
              <w:rPr>
                <w:color w:val="000000"/>
              </w:rPr>
              <w:t>113</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1E3E9A98" w14:textId="77777777">
            <w:pPr>
              <w:jc w:val="right"/>
            </w:pPr>
            <w:r w:rsidRPr="00216E1D">
              <w:rPr>
                <w:color w:val="000000"/>
              </w:rPr>
              <w:t>85</w:t>
            </w:r>
          </w:p>
        </w:tc>
      </w:tr>
      <w:tr w14:paraId="31B5B87E"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1C9D252F"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53A84FB1" w14:textId="77777777">
            <w:pPr>
              <w:jc w:val="right"/>
            </w:pPr>
            <w:r>
              <w:t>10-24.5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7B062E69" w14:textId="77777777">
            <w:pPr>
              <w:jc w:val="right"/>
            </w:pPr>
            <w:r w:rsidRPr="00216E1D">
              <w:rPr>
                <w:color w:val="000000"/>
              </w:rPr>
              <w:t>163</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372F6EAD" w14:textId="77777777">
            <w:pPr>
              <w:jc w:val="right"/>
            </w:pPr>
            <w:r w:rsidRPr="00216E1D">
              <w:rPr>
                <w:color w:val="000000"/>
              </w:rPr>
              <w:t>122</w:t>
            </w:r>
          </w:p>
        </w:tc>
      </w:tr>
      <w:tr w14:paraId="726E412E"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237384DB"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21BC7930" w14:textId="77777777">
            <w:pPr>
              <w:jc w:val="right"/>
            </w:pPr>
            <w:r>
              <w:t>5-9.5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5681DFAF" w14:textId="77777777">
            <w:pPr>
              <w:jc w:val="right"/>
            </w:pPr>
            <w:r w:rsidRPr="00216E1D">
              <w:rPr>
                <w:color w:val="000000"/>
              </w:rPr>
              <w:t>83</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4F6F0DB9" w14:textId="77777777">
            <w:pPr>
              <w:jc w:val="right"/>
            </w:pPr>
            <w:r w:rsidRPr="00216E1D">
              <w:rPr>
                <w:color w:val="000000"/>
              </w:rPr>
              <w:t>62</w:t>
            </w:r>
          </w:p>
        </w:tc>
      </w:tr>
      <w:tr w14:paraId="0AD996E3"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0AC76CC9"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1FA5243A" w14:textId="77777777">
            <w:pPr>
              <w:jc w:val="right"/>
            </w:pPr>
            <w:r>
              <w:t>2-4.5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1D6B8A4E" w14:textId="77777777">
            <w:pPr>
              <w:jc w:val="right"/>
            </w:pPr>
            <w:r w:rsidRPr="00216E1D">
              <w:rPr>
                <w:color w:val="000000"/>
              </w:rPr>
              <w:t>31</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41A5A5E2" w14:textId="77777777">
            <w:pPr>
              <w:jc w:val="right"/>
            </w:pPr>
            <w:r w:rsidRPr="00216E1D">
              <w:rPr>
                <w:color w:val="000000"/>
              </w:rPr>
              <w:t>23</w:t>
            </w:r>
          </w:p>
        </w:tc>
      </w:tr>
      <w:tr w14:paraId="1D7A3B8A" w14:textId="77777777" w:rsidTr="008A27A8">
        <w:tblPrEx>
          <w:tblW w:w="9450" w:type="dxa"/>
          <w:tblLayout w:type="fixed"/>
          <w:tblLook w:val="04A0"/>
        </w:tblPrEx>
        <w:tc>
          <w:tcPr>
            <w:tcW w:w="2645" w:type="dxa"/>
            <w:vMerge/>
            <w:tcBorders>
              <w:top w:val="single" w:sz="4" w:space="0" w:color="000000"/>
              <w:left w:val="single" w:sz="4" w:space="0" w:color="000000"/>
              <w:bottom w:val="single" w:sz="4" w:space="0" w:color="000000"/>
              <w:right w:val="single" w:sz="4" w:space="0" w:color="000000"/>
            </w:tcBorders>
            <w:vAlign w:val="center"/>
            <w:hideMark/>
          </w:tcPr>
          <w:p w:rsidR="00CB1B35" w:rsidP="008A27A8" w14:paraId="587E3664" w14:textId="77777777"/>
        </w:tc>
        <w:tc>
          <w:tcPr>
            <w:tcW w:w="2110" w:type="dxa"/>
            <w:tcBorders>
              <w:top w:val="single" w:sz="4" w:space="0" w:color="000000"/>
              <w:left w:val="single" w:sz="4" w:space="0" w:color="000000"/>
              <w:bottom w:val="single" w:sz="4" w:space="0" w:color="000000"/>
              <w:right w:val="single" w:sz="4" w:space="0" w:color="000000"/>
            </w:tcBorders>
            <w:vAlign w:val="bottom"/>
            <w:hideMark/>
          </w:tcPr>
          <w:p w:rsidR="00CB1B35" w:rsidP="008A27A8" w14:paraId="7CF96F71" w14:textId="77777777">
            <w:pPr>
              <w:jc w:val="right"/>
            </w:pPr>
            <w:r>
              <w:t>1-1.5</w:t>
            </w:r>
          </w:p>
        </w:tc>
        <w:tc>
          <w:tcPr>
            <w:tcW w:w="2359"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08354F72" w14:textId="77777777">
            <w:pPr>
              <w:jc w:val="right"/>
            </w:pPr>
            <w:r w:rsidRPr="00216E1D">
              <w:rPr>
                <w:color w:val="000000"/>
              </w:rPr>
              <w:t>7</w:t>
            </w:r>
          </w:p>
        </w:tc>
        <w:tc>
          <w:tcPr>
            <w:tcW w:w="2336" w:type="dxa"/>
            <w:tcBorders>
              <w:top w:val="single" w:sz="4" w:space="0" w:color="000000"/>
              <w:left w:val="single" w:sz="4" w:space="0" w:color="000000"/>
              <w:bottom w:val="single" w:sz="4" w:space="0" w:color="000000"/>
              <w:right w:val="single" w:sz="4" w:space="0" w:color="000000"/>
            </w:tcBorders>
            <w:vAlign w:val="bottom"/>
            <w:hideMark/>
          </w:tcPr>
          <w:p w:rsidR="00CB1B35" w:rsidRPr="00216E1D" w:rsidP="008A27A8" w14:paraId="0035729A" w14:textId="77777777">
            <w:pPr>
              <w:jc w:val="right"/>
            </w:pPr>
            <w:r w:rsidRPr="00216E1D">
              <w:rPr>
                <w:color w:val="000000"/>
              </w:rPr>
              <w:t>5</w:t>
            </w:r>
          </w:p>
        </w:tc>
      </w:tr>
      <w:tr w14:paraId="0E587571" w14:textId="77777777" w:rsidTr="008A27A8">
        <w:tblPrEx>
          <w:tblW w:w="9450" w:type="dxa"/>
          <w:tblLayout w:type="fixed"/>
          <w:tblLook w:val="04A0"/>
        </w:tblPrEx>
        <w:tc>
          <w:tcPr>
            <w:tcW w:w="2645" w:type="dxa"/>
            <w:tcBorders>
              <w:top w:val="single" w:sz="4" w:space="0" w:color="000000"/>
              <w:left w:val="single" w:sz="4" w:space="0" w:color="000000"/>
              <w:bottom w:val="single" w:sz="4" w:space="0" w:color="000000"/>
              <w:right w:val="single" w:sz="4" w:space="0" w:color="000000"/>
            </w:tcBorders>
            <w:hideMark/>
          </w:tcPr>
          <w:p w:rsidR="00CB1B35" w:rsidP="008A27A8" w14:paraId="754ADC72" w14:textId="77777777">
            <w:r>
              <w:t>State Police</w:t>
            </w:r>
          </w:p>
        </w:tc>
        <w:tc>
          <w:tcPr>
            <w:tcW w:w="2110" w:type="dxa"/>
            <w:tcBorders>
              <w:top w:val="single" w:sz="4" w:space="0" w:color="000000"/>
              <w:left w:val="single" w:sz="4" w:space="0" w:color="000000"/>
              <w:bottom w:val="single" w:sz="4" w:space="0" w:color="000000"/>
              <w:right w:val="single" w:sz="4" w:space="0" w:color="000000"/>
            </w:tcBorders>
            <w:hideMark/>
          </w:tcPr>
          <w:p w:rsidR="00CB1B35" w:rsidP="008A27A8" w14:paraId="53F7FC4C" w14:textId="77777777">
            <w:pPr>
              <w:jc w:val="right"/>
            </w:pPr>
            <w:r>
              <w:t>All</w:t>
            </w:r>
          </w:p>
        </w:tc>
        <w:tc>
          <w:tcPr>
            <w:tcW w:w="2359" w:type="dxa"/>
            <w:tcBorders>
              <w:top w:val="single" w:sz="4" w:space="0" w:color="000000"/>
              <w:left w:val="single" w:sz="4" w:space="0" w:color="000000"/>
              <w:bottom w:val="single" w:sz="4" w:space="0" w:color="000000"/>
              <w:right w:val="single" w:sz="4" w:space="0" w:color="000000"/>
            </w:tcBorders>
            <w:hideMark/>
          </w:tcPr>
          <w:p w:rsidR="00CB1B35" w:rsidRPr="00216E1D" w:rsidP="008A27A8" w14:paraId="6B96C540" w14:textId="77777777">
            <w:pPr>
              <w:jc w:val="right"/>
            </w:pPr>
            <w:r w:rsidRPr="00216E1D">
              <w:t>49</w:t>
            </w:r>
          </w:p>
        </w:tc>
        <w:tc>
          <w:tcPr>
            <w:tcW w:w="2336" w:type="dxa"/>
            <w:tcBorders>
              <w:top w:val="single" w:sz="4" w:space="0" w:color="000000"/>
              <w:left w:val="single" w:sz="4" w:space="0" w:color="000000"/>
              <w:bottom w:val="single" w:sz="4" w:space="0" w:color="000000"/>
              <w:right w:val="single" w:sz="4" w:space="0" w:color="000000"/>
            </w:tcBorders>
            <w:hideMark/>
          </w:tcPr>
          <w:p w:rsidR="00CB1B35" w:rsidRPr="00216E1D" w:rsidP="008A27A8" w14:paraId="121A19B2" w14:textId="77777777">
            <w:pPr>
              <w:jc w:val="right"/>
            </w:pPr>
            <w:r w:rsidRPr="00216E1D">
              <w:t>44</w:t>
            </w:r>
          </w:p>
        </w:tc>
      </w:tr>
      <w:tr w14:paraId="1EB3AA70" w14:textId="77777777" w:rsidTr="008A27A8">
        <w:tblPrEx>
          <w:tblW w:w="9450" w:type="dxa"/>
          <w:tblLayout w:type="fixed"/>
          <w:tblLook w:val="04A0"/>
        </w:tblPrEx>
        <w:tc>
          <w:tcPr>
            <w:tcW w:w="4755" w:type="dxa"/>
            <w:gridSpan w:val="2"/>
            <w:tcBorders>
              <w:top w:val="single" w:sz="4" w:space="0" w:color="000000"/>
              <w:left w:val="single" w:sz="4" w:space="0" w:color="000000"/>
              <w:bottom w:val="single" w:sz="4" w:space="0" w:color="000000"/>
              <w:right w:val="single" w:sz="4" w:space="0" w:color="000000"/>
            </w:tcBorders>
            <w:hideMark/>
          </w:tcPr>
          <w:p w:rsidR="00CB1B35" w:rsidP="008A27A8" w14:paraId="729E373B" w14:textId="77777777">
            <w:r>
              <w:rPr>
                <w:b/>
                <w:bCs/>
              </w:rPr>
              <w:t>Total</w:t>
            </w:r>
          </w:p>
        </w:tc>
        <w:tc>
          <w:tcPr>
            <w:tcW w:w="2359" w:type="dxa"/>
            <w:tcBorders>
              <w:top w:val="single" w:sz="4" w:space="0" w:color="000000"/>
              <w:left w:val="single" w:sz="4" w:space="0" w:color="000000"/>
              <w:bottom w:val="single" w:sz="4" w:space="0" w:color="000000"/>
              <w:right w:val="single" w:sz="4" w:space="0" w:color="000000"/>
            </w:tcBorders>
            <w:hideMark/>
          </w:tcPr>
          <w:p w:rsidR="00CB1B35" w:rsidP="008A27A8" w14:paraId="3AB9C1B4" w14:textId="77777777">
            <w:pPr>
              <w:jc w:val="right"/>
              <w:rPr>
                <w:b/>
                <w:bCs/>
              </w:rPr>
            </w:pPr>
            <w:r>
              <w:rPr>
                <w:b/>
                <w:bCs/>
              </w:rPr>
              <w:t>3,500</w:t>
            </w:r>
          </w:p>
        </w:tc>
        <w:tc>
          <w:tcPr>
            <w:tcW w:w="2336" w:type="dxa"/>
            <w:tcBorders>
              <w:top w:val="single" w:sz="4" w:space="0" w:color="000000"/>
              <w:left w:val="single" w:sz="4" w:space="0" w:color="000000"/>
              <w:bottom w:val="single" w:sz="4" w:space="0" w:color="000000"/>
              <w:right w:val="single" w:sz="4" w:space="0" w:color="000000"/>
            </w:tcBorders>
            <w:hideMark/>
          </w:tcPr>
          <w:p w:rsidR="00CB1B35" w:rsidP="008A27A8" w14:paraId="0348E631" w14:textId="77777777">
            <w:pPr>
              <w:jc w:val="right"/>
              <w:rPr>
                <w:b/>
                <w:bCs/>
              </w:rPr>
            </w:pPr>
            <w:r>
              <w:rPr>
                <w:b/>
                <w:bCs/>
              </w:rPr>
              <w:t>2,850</w:t>
            </w:r>
          </w:p>
        </w:tc>
      </w:tr>
    </w:tbl>
    <w:p w:rsidR="00CB1B35" w:rsidP="00CB1B35" w14:paraId="6D9E4CD9" w14:textId="77777777">
      <w:pPr>
        <w:pStyle w:val="SP-SglSpPara"/>
        <w:tabs>
          <w:tab w:val="left" w:pos="-540"/>
        </w:tabs>
        <w:ind w:left="-540" w:right="-720" w:firstLine="540"/>
        <w:jc w:val="left"/>
        <w:rPr>
          <w:sz w:val="20"/>
        </w:rPr>
      </w:pPr>
      <w:r>
        <w:rPr>
          <w:vertAlign w:val="superscript"/>
        </w:rPr>
        <w:t xml:space="preserve">a </w:t>
      </w:r>
      <w:r>
        <w:rPr>
          <w:sz w:val="20"/>
        </w:rPr>
        <w:t>Number of</w:t>
      </w:r>
      <w:r>
        <w:rPr>
          <w:sz w:val="20"/>
        </w:rPr>
        <w:t xml:space="preserve"> full-time equivalent officers. </w:t>
      </w:r>
    </w:p>
    <w:p w:rsidR="00CB1B35" w:rsidP="004A6B77" w14:paraId="3624D566" w14:textId="72E82845"/>
    <w:p w:rsidR="00CB1B35" w:rsidP="004A6B77" w14:paraId="4F5DC664" w14:textId="5B90D6BF"/>
    <w:p w:rsidR="00C0707D" w:rsidRPr="00596C3F" w:rsidP="00C0707D" w14:paraId="3887824D" w14:textId="77777777">
      <w:pPr>
        <w:pStyle w:val="Default"/>
        <w:rPr>
          <w:rFonts w:ascii="Times New Roman" w:hAnsi="Times New Roman" w:eastAsiaTheme="minorHAnsi" w:cs="Times New Roman"/>
          <w:b/>
          <w:color w:val="auto"/>
        </w:rPr>
      </w:pPr>
      <w:r w:rsidRPr="00596C3F">
        <w:rPr>
          <w:rFonts w:ascii="Times New Roman" w:hAnsi="Times New Roman" w:eastAsiaTheme="minorHAnsi" w:cs="Times New Roman"/>
          <w:b/>
          <w:color w:val="auto"/>
        </w:rPr>
        <w:t>Sampling Error</w:t>
      </w:r>
    </w:p>
    <w:p w:rsidR="00CB1B35" w:rsidP="009C7EC2" w14:paraId="5E8B5738" w14:textId="01B8F715">
      <w:pPr>
        <w:rPr>
          <w:rFonts w:eastAsiaTheme="minorHAnsi"/>
        </w:rPr>
      </w:pPr>
      <w:r w:rsidRPr="007A395A">
        <w:rPr>
          <w:rFonts w:eastAsiaTheme="minorHAnsi"/>
        </w:rPr>
        <w:t xml:space="preserve">Relative standard error (RSE) is used as the measure of precision in the sampling design where the RSE is the ratio of a measure and its standard error. RSE is a standardized measure of precision regardless of estimate value. </w:t>
      </w:r>
      <w:r>
        <w:rPr>
          <w:rFonts w:eastAsiaTheme="minorHAnsi"/>
        </w:rPr>
        <w:t>We examined the RSE</w:t>
      </w:r>
      <w:r w:rsidRPr="00C0707D" w:rsidR="00C0707D">
        <w:rPr>
          <w:rFonts w:eastAsiaTheme="minorHAnsi"/>
        </w:rPr>
        <w:t xml:space="preserve"> </w:t>
      </w:r>
      <w:r w:rsidRPr="00596C3F" w:rsidR="00C0707D">
        <w:rPr>
          <w:rFonts w:eastAsiaTheme="minorHAnsi"/>
        </w:rPr>
        <w:t>in all analytic domains for the prevalence of</w:t>
      </w:r>
      <w:r w:rsidR="00C0707D">
        <w:rPr>
          <w:rFonts w:eastAsiaTheme="minorHAnsi"/>
        </w:rPr>
        <w:t xml:space="preserve"> agencies having </w:t>
      </w:r>
      <w:r w:rsidR="00C0707D">
        <w:t>state mandated in-service training from</w:t>
      </w:r>
      <w:r w:rsidR="003B1270">
        <w:t xml:space="preserve"> the 2020</w:t>
      </w:r>
      <w:r w:rsidR="00C0707D">
        <w:t xml:space="preserve"> LEMA</w:t>
      </w:r>
      <w:r w:rsidR="00707D2D">
        <w:t>S</w:t>
      </w:r>
      <w:r>
        <w:t xml:space="preserve"> (</w:t>
      </w:r>
      <w:r w:rsidRPr="008A30F7">
        <w:t>Table 4</w:t>
      </w:r>
      <w:r>
        <w:t>)</w:t>
      </w:r>
      <w:r w:rsidRPr="00C0707D" w:rsidR="00C0707D">
        <w:rPr>
          <w:rFonts w:eastAsiaTheme="minorHAnsi"/>
        </w:rPr>
        <w:t>.</w:t>
      </w:r>
      <w:r w:rsidRPr="001802FC" w:rsidR="00707D2D">
        <w:t xml:space="preserve"> </w:t>
      </w:r>
      <w:r w:rsidRPr="0044289C" w:rsidR="00C0707D">
        <w:rPr>
          <w:rFonts w:eastAsiaTheme="minorHAnsi"/>
        </w:rPr>
        <w:t>RSE is a standardized measure of precision regardless of estimate value</w:t>
      </w:r>
      <w:r w:rsidR="00707D2D">
        <w:rPr>
          <w:rFonts w:eastAsiaTheme="minorHAnsi"/>
        </w:rPr>
        <w:t xml:space="preserve"> and is useful in </w:t>
      </w:r>
      <w:r w:rsidR="00707D2D">
        <w:rPr>
          <w:rFonts w:eastAsiaTheme="minorHAnsi"/>
        </w:rPr>
        <w:t>comparing different populations</w:t>
      </w:r>
      <w:r w:rsidRPr="0044289C" w:rsidR="00C0707D">
        <w:rPr>
          <w:rFonts w:eastAsiaTheme="minorHAnsi"/>
        </w:rPr>
        <w:t>.</w:t>
      </w:r>
      <w:r w:rsidR="00C0707D">
        <w:rPr>
          <w:rFonts w:eastAsiaTheme="minorHAnsi"/>
        </w:rPr>
        <w:t xml:space="preserve"> </w:t>
      </w:r>
      <w:r w:rsidR="00087065">
        <w:rPr>
          <w:rFonts w:eastAsiaTheme="minorHAnsi"/>
        </w:rPr>
        <w:t>While t</w:t>
      </w:r>
      <w:r w:rsidRPr="00250546" w:rsidR="00087065">
        <w:t xml:space="preserve">here are no </w:t>
      </w:r>
      <w:r w:rsidR="00087065">
        <w:t>absolute</w:t>
      </w:r>
      <w:r w:rsidRPr="00250546" w:rsidR="00087065">
        <w:t xml:space="preserve"> limits on acceptable RSE values</w:t>
      </w:r>
      <w:r w:rsidR="00087065">
        <w:t>, a</w:t>
      </w:r>
      <w:r w:rsidR="00DA2C00">
        <w:rPr>
          <w:rFonts w:eastAsiaTheme="minorHAnsi"/>
        </w:rPr>
        <w:t xml:space="preserve"> lower RSE is often desirable</w:t>
      </w:r>
      <w:r w:rsidR="00087065">
        <w:rPr>
          <w:rFonts w:eastAsiaTheme="minorHAnsi"/>
        </w:rPr>
        <w:t xml:space="preserve"> which is shown in the table below.</w:t>
      </w:r>
    </w:p>
    <w:p w:rsidR="00707D2D" w:rsidP="003B1270" w14:paraId="319B2511" w14:textId="77777777">
      <w:pPr>
        <w:rPr>
          <w:rFonts w:eastAsiaTheme="minorHAnsi"/>
        </w:rPr>
      </w:pPr>
    </w:p>
    <w:p w:rsidR="003B1270" w:rsidP="007055B5" w14:paraId="50A05768" w14:textId="60975207">
      <w:pPr>
        <w:pStyle w:val="Caption"/>
        <w:keepNext/>
      </w:pPr>
      <w:r w:rsidRPr="004D5CEA">
        <w:rPr>
          <w:rFonts w:ascii="Times New Roman" w:eastAsia="Calibri" w:hAnsi="Times New Roman" w:cs="Times New Roman"/>
          <w:b/>
          <w:bCs/>
          <w:i w:val="0"/>
          <w:iCs w:val="0"/>
          <w:color w:val="auto"/>
          <w:sz w:val="24"/>
          <w:szCs w:val="24"/>
        </w:rPr>
        <w:t xml:space="preserve">Table </w:t>
      </w:r>
      <w:r>
        <w:rPr>
          <w:rFonts w:ascii="Times New Roman" w:eastAsia="Calibri" w:hAnsi="Times New Roman" w:cs="Times New Roman"/>
          <w:b/>
          <w:bCs/>
          <w:i w:val="0"/>
          <w:iCs w:val="0"/>
          <w:color w:val="auto"/>
          <w:sz w:val="24"/>
          <w:szCs w:val="24"/>
        </w:rPr>
        <w:t>4: RSE of state mandated in-service training by analytic domain, 202</w:t>
      </w:r>
      <w:r w:rsidR="00707D2D">
        <w:rPr>
          <w:rFonts w:ascii="Times New Roman" w:eastAsia="Calibri" w:hAnsi="Times New Roman" w:cs="Times New Roman"/>
          <w:b/>
          <w:bCs/>
          <w:i w:val="0"/>
          <w:iCs w:val="0"/>
          <w:color w:val="auto"/>
          <w:sz w:val="24"/>
          <w:szCs w:val="24"/>
        </w:rPr>
        <w:t>0</w:t>
      </w:r>
      <w:r>
        <w:rPr>
          <w:rFonts w:ascii="Times New Roman" w:eastAsia="Calibri" w:hAnsi="Times New Roman" w:cs="Times New Roman"/>
          <w:b/>
          <w:bCs/>
          <w:i w:val="0"/>
          <w:iCs w:val="0"/>
          <w:color w:val="auto"/>
          <w:sz w:val="24"/>
          <w:szCs w:val="24"/>
        </w:rPr>
        <w:t xml:space="preserve"> LEMAS </w:t>
      </w:r>
    </w:p>
    <w:tbl>
      <w:tblPr>
        <w:tblStyle w:val="TableGrid"/>
        <w:tblW w:w="0" w:type="auto"/>
        <w:tblInd w:w="-5" w:type="dxa"/>
        <w:tblLayout w:type="fixed"/>
        <w:tblLook w:val="04A0"/>
      </w:tblPr>
      <w:tblGrid>
        <w:gridCol w:w="1729"/>
        <w:gridCol w:w="1454"/>
        <w:gridCol w:w="1454"/>
        <w:gridCol w:w="1454"/>
        <w:gridCol w:w="1454"/>
        <w:gridCol w:w="1454"/>
      </w:tblGrid>
      <w:tr w14:paraId="005C9963" w14:textId="77777777" w:rsidTr="00A747BF">
        <w:tblPrEx>
          <w:tblW w:w="0" w:type="auto"/>
          <w:tblInd w:w="-5" w:type="dxa"/>
          <w:tblLayout w:type="fixed"/>
          <w:tblLook w:val="04A0"/>
        </w:tblPrEx>
        <w:tc>
          <w:tcPr>
            <w:tcW w:w="1729" w:type="dxa"/>
          </w:tcPr>
          <w:p w:rsidR="003B1270" w:rsidRPr="00596C3F" w:rsidP="00F867AE" w14:paraId="183C019E" w14:textId="77777777">
            <w:pPr>
              <w:jc w:val="center"/>
              <w:rPr>
                <w:b/>
                <w:bCs/>
              </w:rPr>
            </w:pPr>
            <w:r w:rsidRPr="00596C3F">
              <w:rPr>
                <w:b/>
                <w:bCs/>
              </w:rPr>
              <w:t>National</w:t>
            </w:r>
          </w:p>
        </w:tc>
        <w:tc>
          <w:tcPr>
            <w:tcW w:w="1454" w:type="dxa"/>
          </w:tcPr>
          <w:p w:rsidR="003B1270" w:rsidRPr="00596C3F" w:rsidP="00F867AE" w14:paraId="5116D819" w14:textId="02AD8AFF">
            <w:pPr>
              <w:jc w:val="center"/>
              <w:rPr>
                <w:b/>
                <w:bCs/>
              </w:rPr>
            </w:pPr>
            <w:r w:rsidRPr="00596C3F">
              <w:rPr>
                <w:b/>
                <w:bCs/>
              </w:rPr>
              <w:t>Local Police</w:t>
            </w:r>
            <w:r>
              <w:rPr>
                <w:b/>
                <w:bCs/>
              </w:rPr>
              <w:t xml:space="preserve"> SR</w:t>
            </w:r>
          </w:p>
        </w:tc>
        <w:tc>
          <w:tcPr>
            <w:tcW w:w="1454" w:type="dxa"/>
          </w:tcPr>
          <w:p w:rsidR="003B1270" w:rsidRPr="00596C3F" w:rsidP="00F867AE" w14:paraId="746D1EC8" w14:textId="681AACBC">
            <w:pPr>
              <w:jc w:val="center"/>
              <w:rPr>
                <w:b/>
                <w:bCs/>
              </w:rPr>
            </w:pPr>
            <w:r w:rsidRPr="00596C3F">
              <w:rPr>
                <w:b/>
                <w:bCs/>
              </w:rPr>
              <w:t>Sheriff</w:t>
            </w:r>
            <w:r>
              <w:rPr>
                <w:b/>
                <w:bCs/>
              </w:rPr>
              <w:t xml:space="preserve"> SR</w:t>
            </w:r>
          </w:p>
        </w:tc>
        <w:tc>
          <w:tcPr>
            <w:tcW w:w="1454" w:type="dxa"/>
          </w:tcPr>
          <w:p w:rsidR="003B1270" w:rsidRPr="00596C3F" w:rsidP="00F867AE" w14:paraId="1942C77C" w14:textId="6B397E7C">
            <w:pPr>
              <w:jc w:val="center"/>
              <w:rPr>
                <w:b/>
                <w:bCs/>
              </w:rPr>
            </w:pPr>
            <w:r w:rsidRPr="00596C3F">
              <w:rPr>
                <w:b/>
                <w:bCs/>
              </w:rPr>
              <w:t>State</w:t>
            </w:r>
            <w:r>
              <w:rPr>
                <w:b/>
                <w:bCs/>
              </w:rPr>
              <w:t>*</w:t>
            </w:r>
          </w:p>
        </w:tc>
        <w:tc>
          <w:tcPr>
            <w:tcW w:w="1454" w:type="dxa"/>
          </w:tcPr>
          <w:p w:rsidR="003B1270" w:rsidRPr="00596C3F" w:rsidP="00F867AE" w14:paraId="31EB9805" w14:textId="77777777">
            <w:pPr>
              <w:jc w:val="center"/>
              <w:rPr>
                <w:b/>
                <w:bCs/>
              </w:rPr>
            </w:pPr>
            <w:r w:rsidRPr="00596C3F">
              <w:rPr>
                <w:b/>
                <w:bCs/>
              </w:rPr>
              <w:t>Local Police NSR</w:t>
            </w:r>
          </w:p>
        </w:tc>
        <w:tc>
          <w:tcPr>
            <w:tcW w:w="1454" w:type="dxa"/>
          </w:tcPr>
          <w:p w:rsidR="003B1270" w:rsidRPr="00596C3F" w:rsidP="00F867AE" w14:paraId="3633C598" w14:textId="77777777">
            <w:pPr>
              <w:jc w:val="center"/>
              <w:rPr>
                <w:b/>
                <w:bCs/>
              </w:rPr>
            </w:pPr>
            <w:r w:rsidRPr="00596C3F">
              <w:rPr>
                <w:b/>
                <w:bCs/>
              </w:rPr>
              <w:t>Sheriff</w:t>
            </w:r>
          </w:p>
          <w:p w:rsidR="003B1270" w:rsidRPr="00596C3F" w:rsidP="00F867AE" w14:paraId="7B302085" w14:textId="77777777">
            <w:pPr>
              <w:jc w:val="center"/>
              <w:rPr>
                <w:b/>
                <w:bCs/>
              </w:rPr>
            </w:pPr>
            <w:r w:rsidRPr="00596C3F">
              <w:rPr>
                <w:b/>
                <w:bCs/>
              </w:rPr>
              <w:t>NSR</w:t>
            </w:r>
          </w:p>
        </w:tc>
      </w:tr>
      <w:tr w14:paraId="7D8841E1" w14:textId="77777777" w:rsidTr="00A747BF">
        <w:tblPrEx>
          <w:tblW w:w="0" w:type="auto"/>
          <w:tblInd w:w="-5" w:type="dxa"/>
          <w:tblLayout w:type="fixed"/>
          <w:tblLook w:val="04A0"/>
        </w:tblPrEx>
        <w:tc>
          <w:tcPr>
            <w:tcW w:w="1729" w:type="dxa"/>
          </w:tcPr>
          <w:p w:rsidR="003B1270" w:rsidRPr="00596C3F" w:rsidP="00F867AE" w14:paraId="7B75233C" w14:textId="5EFE8D35">
            <w:pPr>
              <w:jc w:val="right"/>
            </w:pPr>
            <w:r>
              <w:t>0.</w:t>
            </w:r>
            <w:r w:rsidR="00D75BCD">
              <w:t>4</w:t>
            </w:r>
            <w:r>
              <w:t>8</w:t>
            </w:r>
            <w:r w:rsidRPr="00596C3F">
              <w:t>%</w:t>
            </w:r>
          </w:p>
        </w:tc>
        <w:tc>
          <w:tcPr>
            <w:tcW w:w="1454" w:type="dxa"/>
          </w:tcPr>
          <w:p w:rsidR="003B1270" w:rsidRPr="00596C3F" w:rsidP="00F867AE" w14:paraId="57D59E72" w14:textId="1DEC6AC0">
            <w:pPr>
              <w:jc w:val="right"/>
            </w:pPr>
            <w:r>
              <w:t>0.</w:t>
            </w:r>
            <w:r w:rsidR="00D75BCD">
              <w:t>57</w:t>
            </w:r>
            <w:r w:rsidRPr="00596C3F">
              <w:t>%</w:t>
            </w:r>
          </w:p>
        </w:tc>
        <w:tc>
          <w:tcPr>
            <w:tcW w:w="1454" w:type="dxa"/>
          </w:tcPr>
          <w:p w:rsidR="003B1270" w:rsidRPr="00596C3F" w:rsidP="00F867AE" w14:paraId="392C67FC" w14:textId="5AFC7A2E">
            <w:pPr>
              <w:jc w:val="right"/>
            </w:pPr>
            <w:r>
              <w:t>0.</w:t>
            </w:r>
            <w:r w:rsidR="00D75BCD">
              <w:t>73</w:t>
            </w:r>
            <w:r w:rsidRPr="00596C3F">
              <w:t>%</w:t>
            </w:r>
          </w:p>
        </w:tc>
        <w:tc>
          <w:tcPr>
            <w:tcW w:w="1454" w:type="dxa"/>
          </w:tcPr>
          <w:p w:rsidR="003B1270" w:rsidRPr="00596C3F" w:rsidP="00F867AE" w14:paraId="779E0FF3" w14:textId="088E3A34">
            <w:pPr>
              <w:jc w:val="right"/>
            </w:pPr>
            <w:r>
              <w:t>0.00</w:t>
            </w:r>
            <w:r w:rsidRPr="00596C3F">
              <w:t>%</w:t>
            </w:r>
          </w:p>
        </w:tc>
        <w:tc>
          <w:tcPr>
            <w:tcW w:w="1454" w:type="dxa"/>
          </w:tcPr>
          <w:p w:rsidR="003B1270" w:rsidRPr="00596C3F" w:rsidP="00F867AE" w14:paraId="05D6E294" w14:textId="3C8570D6">
            <w:pPr>
              <w:jc w:val="right"/>
            </w:pPr>
            <w:r>
              <w:t>0.</w:t>
            </w:r>
            <w:r w:rsidR="00D75BCD">
              <w:t>58</w:t>
            </w:r>
            <w:r w:rsidRPr="00596C3F">
              <w:t>%</w:t>
            </w:r>
          </w:p>
        </w:tc>
        <w:tc>
          <w:tcPr>
            <w:tcW w:w="1454" w:type="dxa"/>
          </w:tcPr>
          <w:p w:rsidR="003B1270" w:rsidRPr="00596C3F" w:rsidP="00F867AE" w14:paraId="1FBF00A3" w14:textId="5C710E27">
            <w:pPr>
              <w:jc w:val="right"/>
            </w:pPr>
            <w:r>
              <w:t>1.</w:t>
            </w:r>
            <w:r w:rsidR="00D75BCD">
              <w:t>14</w:t>
            </w:r>
            <w:r w:rsidRPr="00596C3F">
              <w:t>%</w:t>
            </w:r>
          </w:p>
        </w:tc>
      </w:tr>
    </w:tbl>
    <w:p w:rsidR="003B1270" w:rsidRPr="00323CA2" w:rsidP="007055B5" w14:paraId="3FBF7165" w14:textId="461FA875">
      <w:pPr>
        <w:pStyle w:val="SP-SglSpPara"/>
        <w:tabs>
          <w:tab w:val="left" w:pos="-540"/>
        </w:tabs>
        <w:ind w:left="-180" w:right="-720" w:firstLine="0"/>
        <w:jc w:val="left"/>
        <w:rPr>
          <w:sz w:val="20"/>
        </w:rPr>
      </w:pPr>
      <w:r>
        <w:rPr>
          <w:sz w:val="20"/>
        </w:rPr>
        <w:t xml:space="preserve">  </w:t>
      </w:r>
      <w:r w:rsidRPr="00323CA2">
        <w:rPr>
          <w:sz w:val="20"/>
        </w:rPr>
        <w:t>Note: all state agencies had state mandated in-service training hours</w:t>
      </w:r>
    </w:p>
    <w:p w:rsidR="00CB1B35" w:rsidP="004A6B77" w14:paraId="1EA15ABA" w14:textId="2F226651"/>
    <w:p w:rsidR="009C0B37" w:rsidP="007055B5" w14:paraId="6218E84D" w14:textId="77777777"/>
    <w:p w:rsidR="00A6699A" w:rsidP="7F342760" w14:paraId="71D15AF0" w14:textId="5210ABF4">
      <w:pPr>
        <w:pStyle w:val="ListParagraph"/>
        <w:numPr>
          <w:ilvl w:val="0"/>
          <w:numId w:val="7"/>
        </w:numPr>
        <w:rPr>
          <w:b/>
          <w:bCs/>
          <w:u w:val="single"/>
        </w:rPr>
      </w:pPr>
      <w:r w:rsidRPr="35107414">
        <w:rPr>
          <w:b/>
          <w:bCs/>
          <w:u w:val="single"/>
        </w:rPr>
        <w:t>Procedures for Collecting Information</w:t>
      </w:r>
    </w:p>
    <w:p w:rsidR="003E6B67" w:rsidRPr="00596C3F" w:rsidP="0088712E" w14:paraId="38254581" w14:textId="77777777">
      <w:pPr>
        <w:pStyle w:val="ListParagraph"/>
        <w:ind w:left="0"/>
        <w:rPr>
          <w:b/>
          <w:u w:val="single"/>
        </w:rPr>
      </w:pPr>
    </w:p>
    <w:p w:rsidR="003E6B67" w:rsidRPr="00660FFC" w:rsidP="003E6B67" w14:paraId="79AA93EC" w14:textId="4938759A">
      <w:pPr>
        <w:tabs>
          <w:tab w:val="left" w:pos="360"/>
          <w:tab w:val="left" w:pos="720"/>
        </w:tabs>
        <w:rPr>
          <w:b/>
          <w:bCs/>
        </w:rPr>
      </w:pPr>
      <w:r w:rsidRPr="00660FFC">
        <w:rPr>
          <w:b/>
          <w:bCs/>
        </w:rPr>
        <w:t>Data Collection Procedures</w:t>
      </w:r>
      <w:r w:rsidRPr="00660FFC" w:rsidR="00660FFC">
        <w:rPr>
          <w:b/>
          <w:bCs/>
        </w:rPr>
        <w:t xml:space="preserve"> </w:t>
      </w:r>
    </w:p>
    <w:p w:rsidR="009F1D6B" w:rsidP="009774FA" w14:paraId="5A32FD04" w14:textId="6A34AE06">
      <w:pPr>
        <w:tabs>
          <w:tab w:val="left" w:pos="360"/>
          <w:tab w:val="left" w:pos="720"/>
        </w:tabs>
      </w:pPr>
      <w:r w:rsidRPr="00007A5C">
        <w:t xml:space="preserve">The </w:t>
      </w:r>
      <w:r w:rsidR="001479BB">
        <w:t>LEMAS PAT</w:t>
      </w:r>
      <w:r w:rsidR="00F239D4">
        <w:t xml:space="preserve">OW </w:t>
      </w:r>
      <w:r w:rsidR="00576E85">
        <w:t>s</w:t>
      </w:r>
      <w:r w:rsidR="00F239D4">
        <w:t>urvey</w:t>
      </w:r>
      <w:r w:rsidRPr="00007A5C" w:rsidR="001479BB">
        <w:t xml:space="preserve"> </w:t>
      </w:r>
      <w:r w:rsidRPr="00007A5C">
        <w:t xml:space="preserve">data </w:t>
      </w:r>
      <w:r w:rsidRPr="00A747BF">
        <w:t>collection effort will mirror the protocol used for the 2020 LEMAS</w:t>
      </w:r>
      <w:r w:rsidRPr="00A747BF" w:rsidR="008D7F52">
        <w:t xml:space="preserve"> </w:t>
      </w:r>
      <w:r w:rsidRPr="00A747BF" w:rsidR="00CB5064">
        <w:t>c</w:t>
      </w:r>
      <w:r w:rsidRPr="00A747BF" w:rsidR="00F04A0D">
        <w:t xml:space="preserve">ore </w:t>
      </w:r>
      <w:r w:rsidRPr="00A747BF" w:rsidR="008D7F52">
        <w:t>with some enhancements</w:t>
      </w:r>
      <w:r w:rsidRPr="00A747BF" w:rsidR="000618F1">
        <w:t xml:space="preserve"> (see </w:t>
      </w:r>
      <w:r w:rsidRPr="008A30F7" w:rsidR="000618F1">
        <w:t xml:space="preserve">Table </w:t>
      </w:r>
      <w:r w:rsidRPr="008A30F7" w:rsidR="00A747BF">
        <w:t>5</w:t>
      </w:r>
      <w:r w:rsidRPr="00A747BF" w:rsidR="000618F1">
        <w:t>)</w:t>
      </w:r>
      <w:r w:rsidRPr="00A747BF">
        <w:t xml:space="preserve">. </w:t>
      </w:r>
      <w:r w:rsidRPr="00A747BF" w:rsidR="00337FEB">
        <w:t>Data collection will begin with a survey prenotification letter mailed via U</w:t>
      </w:r>
      <w:r w:rsidRPr="00A747BF" w:rsidR="00761663">
        <w:t xml:space="preserve">nited </w:t>
      </w:r>
      <w:r w:rsidRPr="00A747BF" w:rsidR="00337FEB">
        <w:t>S</w:t>
      </w:r>
      <w:r w:rsidRPr="00A747BF" w:rsidR="00761663">
        <w:t xml:space="preserve">tates </w:t>
      </w:r>
      <w:r w:rsidRPr="00A747BF" w:rsidR="00337FEB">
        <w:t>P</w:t>
      </w:r>
      <w:r w:rsidRPr="00A747BF" w:rsidR="00761663">
        <w:t xml:space="preserve">ostal </w:t>
      </w:r>
      <w:r w:rsidRPr="00A747BF" w:rsidR="00337FEB">
        <w:t>S</w:t>
      </w:r>
      <w:r w:rsidRPr="00A747BF" w:rsidR="00761663">
        <w:t>ervice</w:t>
      </w:r>
      <w:r w:rsidRPr="00A747BF" w:rsidR="00337FEB">
        <w:t xml:space="preserve"> </w:t>
      </w:r>
      <w:r w:rsidRPr="00A747BF" w:rsidR="00761663">
        <w:t xml:space="preserve">(USPS) </w:t>
      </w:r>
      <w:r w:rsidRPr="00A747BF" w:rsidR="00337FEB">
        <w:t xml:space="preserve">to the </w:t>
      </w:r>
      <w:r w:rsidRPr="00A747BF" w:rsidR="00CB5064">
        <w:t>point of contact (</w:t>
      </w:r>
      <w:r w:rsidRPr="00A747BF" w:rsidR="00337FEB">
        <w:t>POC</w:t>
      </w:r>
      <w:r w:rsidRPr="00A747BF" w:rsidR="00CB5064">
        <w:t>)</w:t>
      </w:r>
      <w:r w:rsidRPr="00A747BF" w:rsidR="00337FEB">
        <w:t xml:space="preserve"> for each LEA to inform them about the survey</w:t>
      </w:r>
      <w:r w:rsidR="00337FEB">
        <w:t xml:space="preserve"> (</w:t>
      </w:r>
      <w:r w:rsidRPr="00D82900" w:rsidR="00337FEB">
        <w:rPr>
          <w:b/>
          <w:bCs/>
        </w:rPr>
        <w:t xml:space="preserve">Attachment </w:t>
      </w:r>
      <w:r w:rsidRPr="00D82900" w:rsidR="00241C86">
        <w:rPr>
          <w:b/>
          <w:bCs/>
        </w:rPr>
        <w:t>6</w:t>
      </w:r>
      <w:r w:rsidR="00337FEB">
        <w:t>)</w:t>
      </w:r>
      <w:r w:rsidRPr="35107414" w:rsidR="00337FEB">
        <w:t>. This letter will be signed by the Director of BJS and explain the purpose and significance of the survey.</w:t>
      </w:r>
      <w:r w:rsidR="00337FEB">
        <w:t xml:space="preserve"> </w:t>
      </w:r>
      <w:r w:rsidR="00761663">
        <w:t>I</w:t>
      </w:r>
      <w:r w:rsidRPr="009F1D6B">
        <w:t xml:space="preserve">nstructions for changing the POC and contact information for the study </w:t>
      </w:r>
      <w:r w:rsidR="00761663">
        <w:t>H</w:t>
      </w:r>
      <w:r w:rsidRPr="009F1D6B">
        <w:t xml:space="preserve">elp </w:t>
      </w:r>
      <w:r w:rsidR="00761663">
        <w:t>D</w:t>
      </w:r>
      <w:r w:rsidRPr="009F1D6B">
        <w:t>esk</w:t>
      </w:r>
      <w:r w:rsidR="00761663">
        <w:t xml:space="preserve"> will be included</w:t>
      </w:r>
      <w:r w:rsidRPr="009F1D6B">
        <w:t xml:space="preserve">. One week after the prenotification mailing, the same information </w:t>
      </w:r>
      <w:r w:rsidR="00761663">
        <w:t xml:space="preserve">will be emailed </w:t>
      </w:r>
      <w:r w:rsidRPr="009F1D6B">
        <w:t>to the agency heads</w:t>
      </w:r>
      <w:r w:rsidR="008D7F52">
        <w:t xml:space="preserve"> </w:t>
      </w:r>
      <w:r w:rsidR="008D7F52">
        <w:rPr>
          <w:b/>
          <w:bCs/>
        </w:rPr>
        <w:t>(</w:t>
      </w:r>
      <w:r w:rsidRPr="00D82900" w:rsidR="008D7F52">
        <w:rPr>
          <w:b/>
          <w:bCs/>
        </w:rPr>
        <w:t xml:space="preserve">Attachment </w:t>
      </w:r>
      <w:r w:rsidRPr="00D82900" w:rsidR="00241C86">
        <w:rPr>
          <w:b/>
          <w:bCs/>
        </w:rPr>
        <w:t>7</w:t>
      </w:r>
      <w:r w:rsidR="008D7F52">
        <w:rPr>
          <w:b/>
          <w:bCs/>
        </w:rPr>
        <w:t>)</w:t>
      </w:r>
      <w:r w:rsidRPr="009F1D6B">
        <w:t>.</w:t>
      </w:r>
      <w:r w:rsidR="000D4B8D">
        <w:t xml:space="preserve"> Also included</w:t>
      </w:r>
      <w:r w:rsidRPr="35107414" w:rsidR="000D4B8D">
        <w:t xml:space="preserve"> </w:t>
      </w:r>
      <w:r w:rsidR="000D4B8D">
        <w:t xml:space="preserve">with the prenotification </w:t>
      </w:r>
      <w:r w:rsidRPr="35107414" w:rsidR="000D4B8D">
        <w:t xml:space="preserve">will be a letter of support signed by </w:t>
      </w:r>
      <w:r w:rsidR="000D4B8D">
        <w:t>supporting organizations and stakeholders</w:t>
      </w:r>
      <w:r w:rsidR="001B7478">
        <w:t xml:space="preserve">. We will reach out for support from major law enforcement organizations, </w:t>
      </w:r>
      <w:r w:rsidR="00F02625">
        <w:t>such as the International Association of Chiefs of Police (IACP), National Sheriffs’ Association (NSA), Small and Rural Law Enforcement Executives Association (SRLEEA), and the International Association of Directors of Law Enforcement Standards and Training (IADLEST)</w:t>
      </w:r>
      <w:r w:rsidR="000E7F64">
        <w:t xml:space="preserve"> </w:t>
      </w:r>
      <w:r w:rsidRPr="00D82900" w:rsidR="000D4B8D">
        <w:rPr>
          <w:b/>
          <w:bCs/>
        </w:rPr>
        <w:t xml:space="preserve">(Attachment </w:t>
      </w:r>
      <w:r w:rsidRPr="00D82900" w:rsidR="00241C86">
        <w:rPr>
          <w:b/>
          <w:bCs/>
        </w:rPr>
        <w:t>8</w:t>
      </w:r>
      <w:r w:rsidRPr="35107414" w:rsidR="000D4B8D">
        <w:t>).</w:t>
      </w:r>
    </w:p>
    <w:p w:rsidR="009F1D6B" w14:paraId="50B1C293" w14:textId="77777777"/>
    <w:p w:rsidR="000D4B8D" w14:paraId="075A1432" w14:textId="1A5A51EE">
      <w:r w:rsidRPr="009F1D6B">
        <w:t>One week after that email, survey invitation packets</w:t>
      </w:r>
      <w:r w:rsidR="00761663">
        <w:t xml:space="preserve"> will be sent via USPS</w:t>
      </w:r>
      <w:r>
        <w:t xml:space="preserve">. </w:t>
      </w:r>
      <w:r w:rsidRPr="009F1D6B">
        <w:t xml:space="preserve">The </w:t>
      </w:r>
      <w:r w:rsidRPr="35107414" w:rsidR="00337FEB">
        <w:t>survey invitation letter</w:t>
      </w:r>
      <w:r w:rsidR="00337FEB">
        <w:t xml:space="preserve"> (</w:t>
      </w:r>
      <w:r w:rsidRPr="00D82900" w:rsidR="00337FEB">
        <w:rPr>
          <w:b/>
          <w:bCs/>
        </w:rPr>
        <w:t xml:space="preserve">Attachment </w:t>
      </w:r>
      <w:r w:rsidRPr="00D82900" w:rsidR="00241C86">
        <w:rPr>
          <w:b/>
          <w:bCs/>
        </w:rPr>
        <w:t>9</w:t>
      </w:r>
      <w:r w:rsidR="00337FEB">
        <w:t xml:space="preserve">) </w:t>
      </w:r>
      <w:r w:rsidRPr="009F1D6B">
        <w:t>will announce the survey launch</w:t>
      </w:r>
      <w:r w:rsidR="00337FEB">
        <w:t xml:space="preserve"> </w:t>
      </w:r>
      <w:r w:rsidR="00761663">
        <w:t xml:space="preserve">and </w:t>
      </w:r>
      <w:r w:rsidRPr="009F1D6B" w:rsidR="00337FEB">
        <w:t xml:space="preserve">provide the survey web address and log-in credentials and information about the survey topics so that the agency can </w:t>
      </w:r>
      <w:r w:rsidR="00761663">
        <w:t>identify</w:t>
      </w:r>
      <w:r w:rsidRPr="009F1D6B" w:rsidR="00761663">
        <w:t xml:space="preserve"> </w:t>
      </w:r>
      <w:r w:rsidRPr="009F1D6B" w:rsidR="00337FEB">
        <w:t>the most appropriate respondent.</w:t>
      </w:r>
      <w:r w:rsidRPr="00337FEB" w:rsidR="00337FEB">
        <w:t xml:space="preserve"> </w:t>
      </w:r>
      <w:r w:rsidRPr="35107414" w:rsidR="00337FEB">
        <w:t>The</w:t>
      </w:r>
      <w:r w:rsidR="00337FEB">
        <w:t xml:space="preserve"> letter</w:t>
      </w:r>
      <w:r w:rsidRPr="35107414" w:rsidR="00337FEB">
        <w:t xml:space="preserve"> will also provide a toll-free telephone number and project-specific email address for the survey Help Desk, should the </w:t>
      </w:r>
      <w:r w:rsidR="00337FEB">
        <w:t>agency</w:t>
      </w:r>
      <w:r w:rsidRPr="35107414" w:rsidR="00337FEB">
        <w:t xml:space="preserve"> have any questions. Instructions for changing the POC via the survey website, fax, or telephone will be included</w:t>
      </w:r>
      <w:r w:rsidR="00337FEB">
        <w:t>,</w:t>
      </w:r>
      <w:r w:rsidRPr="35107414" w:rsidR="00337FEB">
        <w:t xml:space="preserve"> in the event the LEA needs to change the POC to a more appropriate person.</w:t>
      </w:r>
      <w:r w:rsidR="00337FEB">
        <w:t xml:space="preserve"> </w:t>
      </w:r>
      <w:r w:rsidRPr="35107414">
        <w:t xml:space="preserve">Included with the </w:t>
      </w:r>
      <w:r>
        <w:t>cover</w:t>
      </w:r>
      <w:r w:rsidRPr="35107414">
        <w:t xml:space="preserve"> letter will be an informational flyer (</w:t>
      </w:r>
      <w:r w:rsidRPr="00D82900">
        <w:rPr>
          <w:b/>
          <w:bCs/>
        </w:rPr>
        <w:t xml:space="preserve">Attachment </w:t>
      </w:r>
      <w:r w:rsidRPr="00D82900" w:rsidR="00241C86">
        <w:rPr>
          <w:b/>
          <w:bCs/>
        </w:rPr>
        <w:t>10</w:t>
      </w:r>
      <w:r w:rsidRPr="35107414">
        <w:t xml:space="preserve">). The flyer will describe the overall BJS law enforcement survey program and how the </w:t>
      </w:r>
      <w:r>
        <w:t xml:space="preserve">LEMAS </w:t>
      </w:r>
      <w:r w:rsidR="001479BB">
        <w:t>PAT</w:t>
      </w:r>
      <w:r w:rsidR="00F239D4">
        <w:t xml:space="preserve">OW </w:t>
      </w:r>
      <w:r w:rsidR="00576E85">
        <w:t>s</w:t>
      </w:r>
      <w:r w:rsidR="00F239D4">
        <w:t>urvey</w:t>
      </w:r>
      <w:r w:rsidRPr="35107414" w:rsidR="001479BB">
        <w:t xml:space="preserve"> </w:t>
      </w:r>
      <w:r w:rsidRPr="35107414">
        <w:t>relates to the LEMAS</w:t>
      </w:r>
      <w:r w:rsidR="00761663">
        <w:t xml:space="preserve"> </w:t>
      </w:r>
      <w:r w:rsidR="00CB5064">
        <w:t>c</w:t>
      </w:r>
      <w:r>
        <w:t>ore</w:t>
      </w:r>
      <w:r w:rsidRPr="35107414">
        <w:t xml:space="preserve"> and other BJS collections. </w:t>
      </w:r>
      <w:r w:rsidR="00A747BF">
        <w:t>One-third of sampled agencies will also receive a Pre-Survey Worksheet as part of an experiment (</w:t>
      </w:r>
      <w:r w:rsidRPr="00D82900" w:rsidR="00A747BF">
        <w:rPr>
          <w:b/>
          <w:bCs/>
        </w:rPr>
        <w:t xml:space="preserve">Attachment </w:t>
      </w:r>
      <w:r w:rsidRPr="00D82900" w:rsidR="000C1B2E">
        <w:rPr>
          <w:b/>
          <w:bCs/>
        </w:rPr>
        <w:t>1</w:t>
      </w:r>
      <w:r w:rsidRPr="00D82900" w:rsidR="00241C86">
        <w:rPr>
          <w:b/>
          <w:bCs/>
        </w:rPr>
        <w:t>1</w:t>
      </w:r>
      <w:r w:rsidR="00A747BF">
        <w:t>, see Survey Invitation Experiment below).</w:t>
      </w:r>
    </w:p>
    <w:p w:rsidR="000D4B8D" w14:paraId="5016EBB7" w14:textId="77777777"/>
    <w:p w:rsidR="0080140E" w:rsidP="0080140E" w14:paraId="20BFF16D" w14:textId="054B5D69">
      <w:r w:rsidRPr="50392E28">
        <w:t xml:space="preserve">After the invitation letter mailing, </w:t>
      </w:r>
      <w:r>
        <w:t xml:space="preserve">non-responding </w:t>
      </w:r>
      <w:r w:rsidRPr="50392E28">
        <w:t>agencies will receive</w:t>
      </w:r>
      <w:r w:rsidR="00DA609A">
        <w:t xml:space="preserve"> </w:t>
      </w:r>
      <w:r>
        <w:t>several reminders</w:t>
      </w:r>
      <w:r w:rsidRPr="50392E28">
        <w:t xml:space="preserve"> </w:t>
      </w:r>
      <w:r w:rsidR="00E03801">
        <w:t xml:space="preserve">from RTI and behalf of BJS </w:t>
      </w:r>
      <w:r>
        <w:t>(</w:t>
      </w:r>
      <w:r w:rsidRPr="00D82900">
        <w:rPr>
          <w:b/>
          <w:bCs/>
        </w:rPr>
        <w:t xml:space="preserve">Attachments </w:t>
      </w:r>
      <w:r w:rsidRPr="00D82900" w:rsidR="00A747BF">
        <w:rPr>
          <w:b/>
          <w:bCs/>
        </w:rPr>
        <w:t>1</w:t>
      </w:r>
      <w:r w:rsidRPr="00D82900" w:rsidR="00241C86">
        <w:rPr>
          <w:b/>
          <w:bCs/>
        </w:rPr>
        <w:t>2</w:t>
      </w:r>
      <w:r w:rsidRPr="00D82900" w:rsidR="00A747BF">
        <w:rPr>
          <w:b/>
          <w:bCs/>
        </w:rPr>
        <w:t>-1</w:t>
      </w:r>
      <w:r w:rsidRPr="00D82900" w:rsidR="00241C86">
        <w:rPr>
          <w:b/>
          <w:bCs/>
        </w:rPr>
        <w:t>8</w:t>
      </w:r>
      <w:r>
        <w:t>)</w:t>
      </w:r>
      <w:r w:rsidR="00BE4E21">
        <w:t xml:space="preserve">. Non-respondents that have not completed a survey will also receive </w:t>
      </w:r>
      <w:r>
        <w:t>an end of the study notification (</w:t>
      </w:r>
      <w:r w:rsidRPr="00D82900">
        <w:rPr>
          <w:b/>
          <w:bCs/>
        </w:rPr>
        <w:t xml:space="preserve">Attachment </w:t>
      </w:r>
      <w:r w:rsidRPr="00D82900" w:rsidR="00A747BF">
        <w:rPr>
          <w:b/>
          <w:bCs/>
        </w:rPr>
        <w:t>1</w:t>
      </w:r>
      <w:r w:rsidRPr="00D82900" w:rsidR="00241C86">
        <w:rPr>
          <w:b/>
          <w:bCs/>
        </w:rPr>
        <w:t>9</w:t>
      </w:r>
      <w:r w:rsidR="00E03801">
        <w:t>).</w:t>
      </w:r>
      <w:r w:rsidRPr="0080140E">
        <w:t xml:space="preserve"> </w:t>
      </w:r>
      <w:r w:rsidRPr="35107414">
        <w:t>Throughout the data collection period, respondents will receive a thank-you letter</w:t>
      </w:r>
      <w:r>
        <w:t xml:space="preserve"> </w:t>
      </w:r>
      <w:r w:rsidRPr="003427B1">
        <w:t>(</w:t>
      </w:r>
      <w:r w:rsidRPr="00D82900">
        <w:rPr>
          <w:b/>
          <w:bCs/>
        </w:rPr>
        <w:t xml:space="preserve">Attachment </w:t>
      </w:r>
      <w:r w:rsidRPr="00D82900" w:rsidR="00241C86">
        <w:rPr>
          <w:b/>
          <w:bCs/>
        </w:rPr>
        <w:t>20</w:t>
      </w:r>
      <w:r w:rsidRPr="003427B1">
        <w:t>)</w:t>
      </w:r>
      <w:r>
        <w:t xml:space="preserve"> once they have completed the survey</w:t>
      </w:r>
      <w:r w:rsidRPr="003427B1">
        <w:t>.</w:t>
      </w:r>
      <w:r>
        <w:t xml:space="preserve"> </w:t>
      </w:r>
      <w:r w:rsidRPr="35107414">
        <w:t xml:space="preserve">The text will formally acknowledge receipt of the survey and state that the agency may be contacted for clarification once their survey responses are processed. </w:t>
      </w:r>
    </w:p>
    <w:p w:rsidR="3BDCE1F0" w14:paraId="542B3FB0" w14:textId="7E9DB3F7"/>
    <w:p w:rsidR="00C818EB" w14:paraId="140E3908" w14:textId="73B35E91"/>
    <w:p w:rsidR="00AB4688" w14:paraId="433FCC59" w14:textId="77777777"/>
    <w:p w:rsidR="0080140E" w:rsidRPr="00A747BF" w14:paraId="0734A117" w14:textId="7F1983C5">
      <w:pPr>
        <w:rPr>
          <w:b/>
          <w:bCs/>
        </w:rPr>
      </w:pPr>
      <w:r w:rsidRPr="00A747BF">
        <w:rPr>
          <w:b/>
          <w:bCs/>
        </w:rPr>
        <w:t xml:space="preserve">Table </w:t>
      </w:r>
      <w:r w:rsidRPr="00A747BF" w:rsidR="00E70CBF">
        <w:rPr>
          <w:b/>
          <w:bCs/>
        </w:rPr>
        <w:t>5</w:t>
      </w:r>
      <w:r w:rsidRPr="00A747BF">
        <w:rPr>
          <w:b/>
          <w:bCs/>
        </w:rPr>
        <w:t xml:space="preserve">. </w:t>
      </w:r>
      <w:r w:rsidRPr="00A747BF" w:rsidR="000618F1">
        <w:rPr>
          <w:b/>
          <w:bCs/>
        </w:rPr>
        <w:t xml:space="preserve">Outreach </w:t>
      </w:r>
      <w:r w:rsidRPr="00A747BF" w:rsidR="00AB4688">
        <w:rPr>
          <w:b/>
          <w:bCs/>
        </w:rPr>
        <w:t>s</w:t>
      </w:r>
      <w:r w:rsidRPr="00A747BF" w:rsidR="000618F1">
        <w:rPr>
          <w:b/>
          <w:bCs/>
        </w:rPr>
        <w:t>chedule for 2023 LEMAS PATOW</w:t>
      </w:r>
    </w:p>
    <w:p w:rsidR="00AB4688" w14:paraId="42E30229" w14:textId="77777777"/>
    <w:tbl>
      <w:tblPr>
        <w:tblStyle w:val="TableGrid"/>
        <w:tblW w:w="0" w:type="auto"/>
        <w:tblLook w:val="04A0"/>
      </w:tblPr>
      <w:tblGrid>
        <w:gridCol w:w="2337"/>
        <w:gridCol w:w="2337"/>
        <w:gridCol w:w="2338"/>
        <w:gridCol w:w="2338"/>
      </w:tblGrid>
      <w:tr w14:paraId="209B9464" w14:textId="77777777" w:rsidTr="00C818EB">
        <w:tblPrEx>
          <w:tblW w:w="0" w:type="auto"/>
          <w:tblLook w:val="04A0"/>
        </w:tblPrEx>
        <w:tc>
          <w:tcPr>
            <w:tcW w:w="2337" w:type="dxa"/>
          </w:tcPr>
          <w:p w:rsidR="00C818EB" w:rsidRPr="00A3257D" w14:paraId="18C8FC77" w14:textId="3895AEE0">
            <w:pPr>
              <w:rPr>
                <w:b/>
                <w:bCs/>
              </w:rPr>
            </w:pPr>
            <w:r w:rsidRPr="00A3257D">
              <w:rPr>
                <w:b/>
                <w:bCs/>
              </w:rPr>
              <w:t>Survey Communication</w:t>
            </w:r>
          </w:p>
        </w:tc>
        <w:tc>
          <w:tcPr>
            <w:tcW w:w="2337" w:type="dxa"/>
          </w:tcPr>
          <w:p w:rsidR="00C818EB" w:rsidRPr="00A3257D" w:rsidP="009774FA" w14:paraId="718A29E9" w14:textId="4E435342">
            <w:pPr>
              <w:jc w:val="center"/>
              <w:rPr>
                <w:b/>
                <w:bCs/>
              </w:rPr>
            </w:pPr>
            <w:r>
              <w:rPr>
                <w:b/>
                <w:bCs/>
              </w:rPr>
              <w:t>Project Week</w:t>
            </w:r>
          </w:p>
        </w:tc>
        <w:tc>
          <w:tcPr>
            <w:tcW w:w="2338" w:type="dxa"/>
          </w:tcPr>
          <w:p w:rsidR="00C818EB" w:rsidRPr="00A3257D" w:rsidP="009774FA" w14:paraId="5C76B0D3" w14:textId="65B4F943">
            <w:pPr>
              <w:jc w:val="center"/>
              <w:rPr>
                <w:b/>
                <w:bCs/>
              </w:rPr>
            </w:pPr>
            <w:r w:rsidRPr="00A3257D">
              <w:rPr>
                <w:b/>
                <w:bCs/>
              </w:rPr>
              <w:t>Mode</w:t>
            </w:r>
          </w:p>
        </w:tc>
        <w:tc>
          <w:tcPr>
            <w:tcW w:w="2338" w:type="dxa"/>
          </w:tcPr>
          <w:p w:rsidR="00C818EB" w:rsidRPr="00A3257D" w:rsidP="009774FA" w14:paraId="506A7F1E" w14:textId="1A5B2C8C">
            <w:pPr>
              <w:jc w:val="center"/>
              <w:rPr>
                <w:b/>
                <w:bCs/>
              </w:rPr>
            </w:pPr>
            <w:r w:rsidRPr="00A3257D">
              <w:rPr>
                <w:b/>
                <w:bCs/>
              </w:rPr>
              <w:t xml:space="preserve">Attachment </w:t>
            </w:r>
          </w:p>
        </w:tc>
      </w:tr>
      <w:tr w14:paraId="1EE67789" w14:textId="77777777" w:rsidTr="00C818EB">
        <w:tblPrEx>
          <w:tblW w:w="0" w:type="auto"/>
          <w:tblLook w:val="04A0"/>
        </w:tblPrEx>
        <w:tc>
          <w:tcPr>
            <w:tcW w:w="2337" w:type="dxa"/>
          </w:tcPr>
          <w:p w:rsidR="000618F1" w14:paraId="4EDBBD31" w14:textId="3179F512">
            <w:r>
              <w:t>Pre-notification</w:t>
            </w:r>
            <w:r w:rsidR="00D42B9E">
              <w:t>s</w:t>
            </w:r>
          </w:p>
        </w:tc>
        <w:tc>
          <w:tcPr>
            <w:tcW w:w="2337" w:type="dxa"/>
          </w:tcPr>
          <w:p w:rsidR="000618F1" w:rsidP="009774FA" w14:paraId="5EF5E8F3" w14:textId="342F8805">
            <w:pPr>
              <w:jc w:val="center"/>
            </w:pPr>
            <w:r>
              <w:t xml:space="preserve">1-2 weeks prior to </w:t>
            </w:r>
            <w:r w:rsidR="00D42B9E">
              <w:t>invitation</w:t>
            </w:r>
          </w:p>
        </w:tc>
        <w:tc>
          <w:tcPr>
            <w:tcW w:w="2338" w:type="dxa"/>
          </w:tcPr>
          <w:p w:rsidR="000618F1" w:rsidP="009774FA" w14:paraId="1AF69E8D" w14:textId="1397A280">
            <w:pPr>
              <w:jc w:val="center"/>
            </w:pPr>
            <w:r>
              <w:t>Mail, Email</w:t>
            </w:r>
          </w:p>
        </w:tc>
        <w:tc>
          <w:tcPr>
            <w:tcW w:w="2338" w:type="dxa"/>
          </w:tcPr>
          <w:p w:rsidR="000618F1" w:rsidP="009774FA" w14:paraId="022D4CC3" w14:textId="374B3074">
            <w:pPr>
              <w:jc w:val="center"/>
            </w:pPr>
            <w:r>
              <w:t>6,7</w:t>
            </w:r>
          </w:p>
        </w:tc>
      </w:tr>
      <w:tr w14:paraId="332180A3" w14:textId="77777777" w:rsidTr="00C818EB">
        <w:tblPrEx>
          <w:tblW w:w="0" w:type="auto"/>
          <w:tblLook w:val="04A0"/>
        </w:tblPrEx>
        <w:tc>
          <w:tcPr>
            <w:tcW w:w="2337" w:type="dxa"/>
          </w:tcPr>
          <w:p w:rsidR="00D42B9E" w14:paraId="305BE60F" w14:textId="251155CE">
            <w:r>
              <w:t>Letter of support</w:t>
            </w:r>
          </w:p>
        </w:tc>
        <w:tc>
          <w:tcPr>
            <w:tcW w:w="2337" w:type="dxa"/>
          </w:tcPr>
          <w:p w:rsidR="00D42B9E" w:rsidP="009774FA" w14:paraId="5095A198" w14:textId="5E024C3B">
            <w:pPr>
              <w:jc w:val="center"/>
            </w:pPr>
            <w:r>
              <w:t>1 week prior to invitation</w:t>
            </w:r>
          </w:p>
        </w:tc>
        <w:tc>
          <w:tcPr>
            <w:tcW w:w="2338" w:type="dxa"/>
          </w:tcPr>
          <w:p w:rsidR="00D42B9E" w:rsidP="009774FA" w14:paraId="17651D63" w14:textId="65E05187">
            <w:pPr>
              <w:jc w:val="center"/>
            </w:pPr>
            <w:r>
              <w:t>Email</w:t>
            </w:r>
          </w:p>
        </w:tc>
        <w:tc>
          <w:tcPr>
            <w:tcW w:w="2338" w:type="dxa"/>
          </w:tcPr>
          <w:p w:rsidR="00D42B9E" w:rsidP="009774FA" w14:paraId="1D25184A" w14:textId="5A8EAB87">
            <w:pPr>
              <w:jc w:val="center"/>
            </w:pPr>
            <w:r>
              <w:t>8</w:t>
            </w:r>
          </w:p>
        </w:tc>
      </w:tr>
      <w:tr w14:paraId="325E2C6B" w14:textId="77777777" w:rsidTr="00C818EB">
        <w:tblPrEx>
          <w:tblW w:w="0" w:type="auto"/>
          <w:tblLook w:val="04A0"/>
        </w:tblPrEx>
        <w:tc>
          <w:tcPr>
            <w:tcW w:w="2337" w:type="dxa"/>
          </w:tcPr>
          <w:p w:rsidR="00C818EB" w14:paraId="137A93BD" w14:textId="7CA0355D">
            <w:r>
              <w:t>Invitation</w:t>
            </w:r>
            <w:r w:rsidR="00D42B9E">
              <w:t xml:space="preserve"> and Informational Flyer</w:t>
            </w:r>
            <w:r w:rsidR="00BC5F1F">
              <w:t xml:space="preserve"> (and Experimental Worksheet, when applicable)</w:t>
            </w:r>
          </w:p>
        </w:tc>
        <w:tc>
          <w:tcPr>
            <w:tcW w:w="2337" w:type="dxa"/>
          </w:tcPr>
          <w:p w:rsidR="00C818EB" w:rsidP="009774FA" w14:paraId="60827B98" w14:textId="7C54325F">
            <w:pPr>
              <w:jc w:val="center"/>
            </w:pPr>
            <w:r>
              <w:t>1</w:t>
            </w:r>
          </w:p>
        </w:tc>
        <w:tc>
          <w:tcPr>
            <w:tcW w:w="2338" w:type="dxa"/>
          </w:tcPr>
          <w:p w:rsidR="00C818EB" w:rsidP="009774FA" w14:paraId="08CC706E" w14:textId="2A68D22B">
            <w:pPr>
              <w:jc w:val="center"/>
            </w:pPr>
            <w:r>
              <w:t>Mail</w:t>
            </w:r>
          </w:p>
        </w:tc>
        <w:tc>
          <w:tcPr>
            <w:tcW w:w="2338" w:type="dxa"/>
          </w:tcPr>
          <w:p w:rsidR="00C818EB" w:rsidP="009774FA" w14:paraId="2601E941" w14:textId="6670689A">
            <w:pPr>
              <w:jc w:val="center"/>
            </w:pPr>
            <w:r>
              <w:t xml:space="preserve"> 9</w:t>
            </w:r>
            <w:r w:rsidR="00241C86">
              <w:t>,10,11</w:t>
            </w:r>
          </w:p>
        </w:tc>
      </w:tr>
      <w:tr w14:paraId="5F112B11" w14:textId="77777777" w:rsidTr="00C818EB">
        <w:tblPrEx>
          <w:tblW w:w="0" w:type="auto"/>
          <w:tblLook w:val="04A0"/>
        </w:tblPrEx>
        <w:tc>
          <w:tcPr>
            <w:tcW w:w="2337" w:type="dxa"/>
          </w:tcPr>
          <w:p w:rsidR="00C818EB" w14:paraId="0B9888CA" w14:textId="5A15DA27">
            <w:r>
              <w:t>First Reminder</w:t>
            </w:r>
          </w:p>
        </w:tc>
        <w:tc>
          <w:tcPr>
            <w:tcW w:w="2337" w:type="dxa"/>
          </w:tcPr>
          <w:p w:rsidR="00C818EB" w:rsidP="009774FA" w14:paraId="75C4534B" w14:textId="1475E6BE">
            <w:pPr>
              <w:jc w:val="center"/>
            </w:pPr>
            <w:r>
              <w:t>3</w:t>
            </w:r>
          </w:p>
        </w:tc>
        <w:tc>
          <w:tcPr>
            <w:tcW w:w="2338" w:type="dxa"/>
          </w:tcPr>
          <w:p w:rsidR="00C818EB" w:rsidP="009774FA" w14:paraId="07BC6101" w14:textId="6A79FA82">
            <w:pPr>
              <w:jc w:val="center"/>
            </w:pPr>
            <w:r>
              <w:t>Email</w:t>
            </w:r>
          </w:p>
        </w:tc>
        <w:tc>
          <w:tcPr>
            <w:tcW w:w="2338" w:type="dxa"/>
          </w:tcPr>
          <w:p w:rsidR="00C818EB" w:rsidP="009774FA" w14:paraId="60E22779" w14:textId="0169CE4A">
            <w:pPr>
              <w:jc w:val="center"/>
            </w:pPr>
            <w:r>
              <w:t>1</w:t>
            </w:r>
            <w:r w:rsidR="00241C86">
              <w:t>2</w:t>
            </w:r>
          </w:p>
        </w:tc>
      </w:tr>
      <w:tr w14:paraId="42279588" w14:textId="77777777" w:rsidTr="00C818EB">
        <w:tblPrEx>
          <w:tblW w:w="0" w:type="auto"/>
          <w:tblLook w:val="04A0"/>
        </w:tblPrEx>
        <w:tc>
          <w:tcPr>
            <w:tcW w:w="2337" w:type="dxa"/>
          </w:tcPr>
          <w:p w:rsidR="00C818EB" w14:paraId="30AE0A69" w14:textId="1003B547">
            <w:r>
              <w:t>Second Reminder</w:t>
            </w:r>
          </w:p>
        </w:tc>
        <w:tc>
          <w:tcPr>
            <w:tcW w:w="2337" w:type="dxa"/>
          </w:tcPr>
          <w:p w:rsidR="00C818EB" w:rsidP="009774FA" w14:paraId="1FD232D1" w14:textId="4F3281AD">
            <w:pPr>
              <w:jc w:val="center"/>
            </w:pPr>
            <w:r>
              <w:t>4</w:t>
            </w:r>
          </w:p>
        </w:tc>
        <w:tc>
          <w:tcPr>
            <w:tcW w:w="2338" w:type="dxa"/>
          </w:tcPr>
          <w:p w:rsidR="00C818EB" w:rsidP="009774FA" w14:paraId="5DF43924" w14:textId="6204EB49">
            <w:pPr>
              <w:jc w:val="center"/>
            </w:pPr>
            <w:r>
              <w:t>Mail</w:t>
            </w:r>
          </w:p>
        </w:tc>
        <w:tc>
          <w:tcPr>
            <w:tcW w:w="2338" w:type="dxa"/>
          </w:tcPr>
          <w:p w:rsidR="00C818EB" w:rsidP="009774FA" w14:paraId="7D410346" w14:textId="531BA767">
            <w:pPr>
              <w:jc w:val="center"/>
            </w:pPr>
            <w:r>
              <w:t>1</w:t>
            </w:r>
            <w:r w:rsidR="00241C86">
              <w:t>3</w:t>
            </w:r>
          </w:p>
        </w:tc>
      </w:tr>
      <w:tr w14:paraId="40AF813A" w14:textId="77777777" w:rsidTr="00C818EB">
        <w:tblPrEx>
          <w:tblW w:w="0" w:type="auto"/>
          <w:tblLook w:val="04A0"/>
        </w:tblPrEx>
        <w:tc>
          <w:tcPr>
            <w:tcW w:w="2337" w:type="dxa"/>
          </w:tcPr>
          <w:p w:rsidR="00C818EB" w14:paraId="03A05B0D" w14:textId="5FB36B94">
            <w:r>
              <w:t>Third Reminder</w:t>
            </w:r>
          </w:p>
        </w:tc>
        <w:tc>
          <w:tcPr>
            <w:tcW w:w="2337" w:type="dxa"/>
          </w:tcPr>
          <w:p w:rsidR="00C818EB" w:rsidP="009774FA" w14:paraId="39D1B0A1" w14:textId="6ED35C23">
            <w:pPr>
              <w:jc w:val="center"/>
            </w:pPr>
            <w:r>
              <w:t>7</w:t>
            </w:r>
          </w:p>
        </w:tc>
        <w:tc>
          <w:tcPr>
            <w:tcW w:w="2338" w:type="dxa"/>
          </w:tcPr>
          <w:p w:rsidR="00C818EB" w:rsidP="009774FA" w14:paraId="3C71DF17" w14:textId="6A193CA1">
            <w:pPr>
              <w:jc w:val="center"/>
            </w:pPr>
            <w:r>
              <w:t>Email</w:t>
            </w:r>
          </w:p>
        </w:tc>
        <w:tc>
          <w:tcPr>
            <w:tcW w:w="2338" w:type="dxa"/>
          </w:tcPr>
          <w:p w:rsidR="00C818EB" w:rsidP="009774FA" w14:paraId="77883D95" w14:textId="66F1EEF0">
            <w:pPr>
              <w:jc w:val="center"/>
            </w:pPr>
            <w:r>
              <w:t>1</w:t>
            </w:r>
            <w:r w:rsidR="00241C86">
              <w:t>4</w:t>
            </w:r>
          </w:p>
        </w:tc>
      </w:tr>
      <w:tr w14:paraId="2009D734" w14:textId="77777777" w:rsidTr="00C818EB">
        <w:tblPrEx>
          <w:tblW w:w="0" w:type="auto"/>
          <w:tblLook w:val="04A0"/>
        </w:tblPrEx>
        <w:tc>
          <w:tcPr>
            <w:tcW w:w="2337" w:type="dxa"/>
          </w:tcPr>
          <w:p w:rsidR="00C818EB" w14:paraId="27FD70E7" w14:textId="03064335">
            <w:r>
              <w:t>Fourth Reminder</w:t>
            </w:r>
          </w:p>
        </w:tc>
        <w:tc>
          <w:tcPr>
            <w:tcW w:w="2337" w:type="dxa"/>
          </w:tcPr>
          <w:p w:rsidR="00C818EB" w:rsidP="009774FA" w14:paraId="40E117CC" w14:textId="54579F92">
            <w:pPr>
              <w:jc w:val="center"/>
            </w:pPr>
            <w:r>
              <w:t>8</w:t>
            </w:r>
          </w:p>
        </w:tc>
        <w:tc>
          <w:tcPr>
            <w:tcW w:w="2338" w:type="dxa"/>
          </w:tcPr>
          <w:p w:rsidR="00C818EB" w:rsidP="009774FA" w14:paraId="165ACAB3" w14:textId="3F774C78">
            <w:pPr>
              <w:jc w:val="center"/>
            </w:pPr>
            <w:r>
              <w:t>Mail</w:t>
            </w:r>
          </w:p>
        </w:tc>
        <w:tc>
          <w:tcPr>
            <w:tcW w:w="2338" w:type="dxa"/>
          </w:tcPr>
          <w:p w:rsidR="00C818EB" w:rsidP="009774FA" w14:paraId="341EE37C" w14:textId="6A684E4B">
            <w:pPr>
              <w:jc w:val="center"/>
            </w:pPr>
            <w:r>
              <w:t>1</w:t>
            </w:r>
            <w:r w:rsidR="00241C86">
              <w:t>5</w:t>
            </w:r>
          </w:p>
        </w:tc>
      </w:tr>
      <w:tr w14:paraId="4057427F" w14:textId="77777777" w:rsidTr="00C818EB">
        <w:tblPrEx>
          <w:tblW w:w="0" w:type="auto"/>
          <w:tblLook w:val="04A0"/>
        </w:tblPrEx>
        <w:tc>
          <w:tcPr>
            <w:tcW w:w="2337" w:type="dxa"/>
          </w:tcPr>
          <w:p w:rsidR="00C818EB" w14:paraId="3491A07C" w14:textId="22D559A8">
            <w:r>
              <w:t>Prompting Calls</w:t>
            </w:r>
          </w:p>
        </w:tc>
        <w:tc>
          <w:tcPr>
            <w:tcW w:w="2337" w:type="dxa"/>
          </w:tcPr>
          <w:p w:rsidR="00C818EB" w:rsidP="009774FA" w14:paraId="51C69089" w14:textId="1F0C9A32">
            <w:pPr>
              <w:jc w:val="center"/>
            </w:pPr>
            <w:r>
              <w:t>11-16</w:t>
            </w:r>
          </w:p>
        </w:tc>
        <w:tc>
          <w:tcPr>
            <w:tcW w:w="2338" w:type="dxa"/>
          </w:tcPr>
          <w:p w:rsidR="00C818EB" w:rsidP="009774FA" w14:paraId="49A3A94B" w14:textId="43366A92">
            <w:pPr>
              <w:jc w:val="center"/>
            </w:pPr>
            <w:r>
              <w:t>Phone</w:t>
            </w:r>
          </w:p>
        </w:tc>
        <w:tc>
          <w:tcPr>
            <w:tcW w:w="2338" w:type="dxa"/>
          </w:tcPr>
          <w:p w:rsidR="00C818EB" w:rsidP="009774FA" w14:paraId="26A26DB3" w14:textId="3E907CAC">
            <w:pPr>
              <w:jc w:val="center"/>
            </w:pPr>
            <w:r>
              <w:t>1</w:t>
            </w:r>
            <w:r w:rsidR="00241C86">
              <w:t>6</w:t>
            </w:r>
          </w:p>
        </w:tc>
      </w:tr>
      <w:tr w14:paraId="2660E8BD" w14:textId="77777777" w:rsidTr="00C818EB">
        <w:tblPrEx>
          <w:tblW w:w="0" w:type="auto"/>
          <w:tblLook w:val="04A0"/>
        </w:tblPrEx>
        <w:tc>
          <w:tcPr>
            <w:tcW w:w="2337" w:type="dxa"/>
          </w:tcPr>
          <w:p w:rsidR="00C818EB" w14:paraId="6E9ECD23" w14:textId="2CA3C1CE">
            <w:r>
              <w:t>Fifth Reminder</w:t>
            </w:r>
          </w:p>
        </w:tc>
        <w:tc>
          <w:tcPr>
            <w:tcW w:w="2337" w:type="dxa"/>
          </w:tcPr>
          <w:p w:rsidR="00C818EB" w:rsidP="009774FA" w14:paraId="5D30B119" w14:textId="494957F1">
            <w:pPr>
              <w:jc w:val="center"/>
            </w:pPr>
            <w:r>
              <w:t>19</w:t>
            </w:r>
          </w:p>
        </w:tc>
        <w:tc>
          <w:tcPr>
            <w:tcW w:w="2338" w:type="dxa"/>
          </w:tcPr>
          <w:p w:rsidR="00C818EB" w:rsidP="009774FA" w14:paraId="3006EFD0" w14:textId="465B28FE">
            <w:pPr>
              <w:jc w:val="center"/>
            </w:pPr>
            <w:r>
              <w:t>Mail</w:t>
            </w:r>
          </w:p>
        </w:tc>
        <w:tc>
          <w:tcPr>
            <w:tcW w:w="2338" w:type="dxa"/>
          </w:tcPr>
          <w:p w:rsidR="00C818EB" w:rsidP="009774FA" w14:paraId="152ACF57" w14:textId="480B9BC4">
            <w:pPr>
              <w:jc w:val="center"/>
            </w:pPr>
            <w:r>
              <w:t>1</w:t>
            </w:r>
            <w:r w:rsidR="00241C86">
              <w:t>7</w:t>
            </w:r>
          </w:p>
        </w:tc>
      </w:tr>
      <w:tr w14:paraId="4FD071A8" w14:textId="77777777" w:rsidTr="00C818EB">
        <w:tblPrEx>
          <w:tblW w:w="0" w:type="auto"/>
          <w:tblLook w:val="04A0"/>
        </w:tblPrEx>
        <w:tc>
          <w:tcPr>
            <w:tcW w:w="2337" w:type="dxa"/>
          </w:tcPr>
          <w:p w:rsidR="00C818EB" w14:paraId="6ECD73F9" w14:textId="3F8EFCF6">
            <w:r>
              <w:t>Sixth Reminder</w:t>
            </w:r>
          </w:p>
        </w:tc>
        <w:tc>
          <w:tcPr>
            <w:tcW w:w="2337" w:type="dxa"/>
          </w:tcPr>
          <w:p w:rsidR="00C818EB" w:rsidP="009774FA" w14:paraId="5AE70513" w14:textId="59C01DAC">
            <w:pPr>
              <w:jc w:val="center"/>
            </w:pPr>
            <w:r>
              <w:t>22</w:t>
            </w:r>
          </w:p>
        </w:tc>
        <w:tc>
          <w:tcPr>
            <w:tcW w:w="2338" w:type="dxa"/>
          </w:tcPr>
          <w:p w:rsidR="00C818EB" w:rsidP="009774FA" w14:paraId="6BBAA036" w14:textId="275742E6">
            <w:pPr>
              <w:jc w:val="center"/>
            </w:pPr>
            <w:r>
              <w:t>Email</w:t>
            </w:r>
          </w:p>
        </w:tc>
        <w:tc>
          <w:tcPr>
            <w:tcW w:w="2338" w:type="dxa"/>
          </w:tcPr>
          <w:p w:rsidR="00C818EB" w:rsidP="009774FA" w14:paraId="71A1308C" w14:textId="00637A69">
            <w:pPr>
              <w:jc w:val="center"/>
            </w:pPr>
            <w:r>
              <w:t>1</w:t>
            </w:r>
            <w:r w:rsidR="00241C86">
              <w:t>8</w:t>
            </w:r>
          </w:p>
        </w:tc>
      </w:tr>
      <w:tr w14:paraId="14530995" w14:textId="77777777" w:rsidTr="00C818EB">
        <w:tblPrEx>
          <w:tblW w:w="0" w:type="auto"/>
          <w:tblLook w:val="04A0"/>
        </w:tblPrEx>
        <w:tc>
          <w:tcPr>
            <w:tcW w:w="2337" w:type="dxa"/>
          </w:tcPr>
          <w:p w:rsidR="00C818EB" w14:paraId="1CF562F4" w14:textId="44C4DA6D">
            <w:r>
              <w:t>End of Study Notice</w:t>
            </w:r>
          </w:p>
        </w:tc>
        <w:tc>
          <w:tcPr>
            <w:tcW w:w="2337" w:type="dxa"/>
          </w:tcPr>
          <w:p w:rsidR="00C818EB" w:rsidP="009774FA" w14:paraId="0CE1FE6A" w14:textId="3E570927">
            <w:pPr>
              <w:jc w:val="center"/>
            </w:pPr>
            <w:r>
              <w:t>23</w:t>
            </w:r>
          </w:p>
        </w:tc>
        <w:tc>
          <w:tcPr>
            <w:tcW w:w="2338" w:type="dxa"/>
          </w:tcPr>
          <w:p w:rsidR="00C818EB" w:rsidP="009774FA" w14:paraId="54E9DED4" w14:textId="316DC417">
            <w:pPr>
              <w:jc w:val="center"/>
            </w:pPr>
            <w:r>
              <w:t>Mail</w:t>
            </w:r>
          </w:p>
        </w:tc>
        <w:tc>
          <w:tcPr>
            <w:tcW w:w="2338" w:type="dxa"/>
          </w:tcPr>
          <w:p w:rsidR="00C818EB" w:rsidP="009774FA" w14:paraId="2B165F4E" w14:textId="035BB736">
            <w:pPr>
              <w:jc w:val="center"/>
            </w:pPr>
            <w:r>
              <w:t>1</w:t>
            </w:r>
            <w:r w:rsidR="00241C86">
              <w:t>9</w:t>
            </w:r>
          </w:p>
        </w:tc>
      </w:tr>
      <w:tr w14:paraId="427A493F" w14:textId="77777777" w:rsidTr="00C818EB">
        <w:tblPrEx>
          <w:tblW w:w="0" w:type="auto"/>
          <w:tblLook w:val="04A0"/>
        </w:tblPrEx>
        <w:tc>
          <w:tcPr>
            <w:tcW w:w="2337" w:type="dxa"/>
          </w:tcPr>
          <w:p w:rsidR="00C818EB" w14:paraId="4D6106F5" w14:textId="2ACA7D94">
            <w:r>
              <w:t>Thank You Notice</w:t>
            </w:r>
          </w:p>
        </w:tc>
        <w:tc>
          <w:tcPr>
            <w:tcW w:w="2337" w:type="dxa"/>
          </w:tcPr>
          <w:p w:rsidR="00C818EB" w:rsidP="009774FA" w14:paraId="1E54BA33" w14:textId="1BFAC244">
            <w:pPr>
              <w:jc w:val="center"/>
            </w:pPr>
            <w:r>
              <w:t>2-25</w:t>
            </w:r>
          </w:p>
        </w:tc>
        <w:tc>
          <w:tcPr>
            <w:tcW w:w="2338" w:type="dxa"/>
          </w:tcPr>
          <w:p w:rsidR="00C818EB" w:rsidP="009774FA" w14:paraId="3377FE29" w14:textId="13A333F1">
            <w:pPr>
              <w:jc w:val="center"/>
            </w:pPr>
            <w:r>
              <w:t>Mail</w:t>
            </w:r>
          </w:p>
        </w:tc>
        <w:tc>
          <w:tcPr>
            <w:tcW w:w="2338" w:type="dxa"/>
          </w:tcPr>
          <w:p w:rsidR="00C818EB" w:rsidP="009774FA" w14:paraId="1D5E3740" w14:textId="70903469">
            <w:pPr>
              <w:jc w:val="center"/>
            </w:pPr>
            <w:r>
              <w:t>20</w:t>
            </w:r>
          </w:p>
        </w:tc>
      </w:tr>
    </w:tbl>
    <w:p w:rsidR="00C818EB" w14:paraId="444F9E80" w14:textId="77777777"/>
    <w:p w:rsidR="004A2AF9" w14:paraId="4EC79A5D" w14:textId="0E89AAC7"/>
    <w:p w:rsidR="004A2AF9" w:rsidP="004A2AF9" w14:paraId="080563D4" w14:textId="5FA09A10">
      <w:r>
        <w:t xml:space="preserve">The 2023 LEMAS </w:t>
      </w:r>
      <w:r w:rsidR="001479BB">
        <w:t>PAT</w:t>
      </w:r>
      <w:r w:rsidR="00F239D4">
        <w:t xml:space="preserve">OW </w:t>
      </w:r>
      <w:r w:rsidR="00576E85">
        <w:t>s</w:t>
      </w:r>
      <w:r w:rsidR="00F239D4">
        <w:t>urvey</w:t>
      </w:r>
      <w:r w:rsidR="001479BB">
        <w:t xml:space="preserve"> </w:t>
      </w:r>
      <w:r>
        <w:t xml:space="preserve">will employ a </w:t>
      </w:r>
      <w:r w:rsidRPr="00E8229B">
        <w:t>multi-mode approach that relies primarily on web-based data collection</w:t>
      </w:r>
      <w:r>
        <w:t xml:space="preserve"> with hardcopy surveys provided </w:t>
      </w:r>
      <w:r w:rsidR="00A3257D">
        <w:t>in reminder</w:t>
      </w:r>
      <w:r>
        <w:t xml:space="preserve"> outreach</w:t>
      </w:r>
      <w:r w:rsidR="00A3257D">
        <w:t>, in line with standard web-first protocols</w:t>
      </w:r>
      <w:r>
        <w:t xml:space="preserve">. When the 2020 LEMAS </w:t>
      </w:r>
      <w:r w:rsidR="00CC00F9">
        <w:t xml:space="preserve">Core </w:t>
      </w:r>
      <w:r w:rsidRPr="3F1902C0">
        <w:t xml:space="preserve">ended data collection, there was an overall response rate of </w:t>
      </w:r>
      <w:r w:rsidR="001A6BA5">
        <w:t>78.4</w:t>
      </w:r>
      <w:r w:rsidRPr="3F1902C0">
        <w:t xml:space="preserve">% (about </w:t>
      </w:r>
      <w:r w:rsidR="001A6BA5">
        <w:t>2,700</w:t>
      </w:r>
      <w:r w:rsidRPr="3F1902C0" w:rsidR="001A6BA5">
        <w:t xml:space="preserve"> </w:t>
      </w:r>
      <w:r w:rsidRPr="3F1902C0">
        <w:t xml:space="preserve">agencies). Of these, </w:t>
      </w:r>
      <w:r w:rsidR="001A6BA5">
        <w:t xml:space="preserve">2,380 </w:t>
      </w:r>
      <w:r w:rsidRPr="3F1902C0">
        <w:t>agencies (</w:t>
      </w:r>
      <w:r w:rsidR="001A6BA5">
        <w:t>88</w:t>
      </w:r>
      <w:r w:rsidRPr="3F1902C0">
        <w:t xml:space="preserve">%) responded via </w:t>
      </w:r>
      <w:r>
        <w:t xml:space="preserve">the </w:t>
      </w:r>
      <w:r w:rsidRPr="3F1902C0">
        <w:t>web.</w:t>
      </w:r>
      <w:r w:rsidR="00957D35">
        <w:t xml:space="preserve"> </w:t>
      </w:r>
      <w:r w:rsidRPr="3F1902C0">
        <w:t xml:space="preserve">Due to increased web-based capabilities of </w:t>
      </w:r>
      <w:r w:rsidR="00E16934">
        <w:t>LEAs</w:t>
      </w:r>
      <w:r w:rsidRPr="3F1902C0">
        <w:t xml:space="preserve"> and the project’s strong encouragement to respond using the web-based data collection tool, BJS expects that most of the agencies responding to the </w:t>
      </w:r>
      <w:r>
        <w:t xml:space="preserve">2023 LEMAS </w:t>
      </w:r>
      <w:r w:rsidR="001479BB">
        <w:t>PAT</w:t>
      </w:r>
      <w:r w:rsidR="00F239D4">
        <w:t xml:space="preserve">OW </w:t>
      </w:r>
      <w:r w:rsidR="00576E85">
        <w:t>s</w:t>
      </w:r>
      <w:r w:rsidR="00F239D4">
        <w:t>urvey</w:t>
      </w:r>
      <w:r w:rsidRPr="3F1902C0" w:rsidR="001479BB">
        <w:t xml:space="preserve"> </w:t>
      </w:r>
      <w:r w:rsidRPr="3F1902C0">
        <w:t xml:space="preserve">will use the web-based option. </w:t>
      </w:r>
    </w:p>
    <w:p w:rsidR="3BDCE1F0" w14:paraId="5B1597D1" w14:textId="56B50324"/>
    <w:p w:rsidR="00660FFC" w14:paraId="79465637" w14:textId="0046134A">
      <w:pPr>
        <w:rPr>
          <w:b/>
        </w:rPr>
      </w:pPr>
      <w:r>
        <w:rPr>
          <w:b/>
        </w:rPr>
        <w:t xml:space="preserve">Survey Invitation </w:t>
      </w:r>
      <w:r>
        <w:rPr>
          <w:b/>
        </w:rPr>
        <w:t>Experiment</w:t>
      </w:r>
    </w:p>
    <w:p w:rsidR="00D25E15" w:rsidRPr="007055B5" w:rsidP="00D25E15" w14:paraId="3A263F14" w14:textId="77777777">
      <w:r w:rsidRPr="007055B5">
        <w:t xml:space="preserve">Data collected through law enforcement surveys often include quality issues such as inaccurate reporting, item non-response, and potential error in estimation of operational budgets. A critical challenge in maintaining data quality and integrity for future BJS law enforcement surveys is to better prepare and guide respondents in answering questions that require the review of administrative records. </w:t>
      </w:r>
    </w:p>
    <w:p w:rsidR="00D25E15" w:rsidP="00D25E15" w14:paraId="6154B0A2" w14:textId="77777777"/>
    <w:p w:rsidR="00D25E15" w:rsidRPr="007055B5" w:rsidP="00D25E15" w14:paraId="684EAF71" w14:textId="163BEE83">
      <w:r w:rsidRPr="007055B5">
        <w:t xml:space="preserve">Previous research has demonstrated that providing respondents with a brief pre-notification letter containing basic information about the survey purpose and the survey questions can result in </w:t>
      </w:r>
      <w:r w:rsidRPr="007055B5">
        <w:t>improved data quality</w:t>
      </w:r>
      <w:r w:rsidR="00DE7E6C">
        <w:t>.</w:t>
      </w:r>
      <w:r>
        <w:rPr>
          <w:rStyle w:val="FootnoteReference"/>
        </w:rPr>
        <w:footnoteReference w:id="4"/>
      </w:r>
      <w:r w:rsidRPr="007055B5">
        <w:rPr>
          <w:vertAlign w:val="superscript"/>
        </w:rPr>
        <w:t>,</w:t>
      </w:r>
      <w:r>
        <w:rPr>
          <w:rStyle w:val="FootnoteReference"/>
        </w:rPr>
        <w:footnoteReference w:id="5"/>
      </w:r>
      <w:r w:rsidRPr="007055B5">
        <w:t xml:space="preserve"> This impact has been observed across different modes of pre-notifications</w:t>
      </w:r>
      <w:r>
        <w:rPr>
          <w:rStyle w:val="FootnoteReference"/>
        </w:rPr>
        <w:footnoteReference w:id="6"/>
      </w:r>
      <w:r w:rsidRPr="007055B5">
        <w:t xml:space="preserve"> and has even been associated with a decrease in item non-response</w:t>
      </w:r>
      <w:r w:rsidR="00DE7E6C">
        <w:t>.</w:t>
      </w:r>
      <w:r>
        <w:rPr>
          <w:rStyle w:val="FootnoteReference"/>
        </w:rPr>
        <w:footnoteReference w:id="7"/>
      </w:r>
      <w:r w:rsidRPr="007055B5">
        <w:t xml:space="preserve"> However, the literature provides limited evidence on the effectiveness of providing </w:t>
      </w:r>
      <w:r w:rsidR="00DE7E6C">
        <w:t>a</w:t>
      </w:r>
      <w:r w:rsidRPr="007055B5">
        <w:t xml:space="preserve"> data worksheet</w:t>
      </w:r>
      <w:r w:rsidR="00DE7E6C">
        <w:t xml:space="preserve"> prior to survey administration, which </w:t>
      </w:r>
      <w:r w:rsidR="00530BBC">
        <w:t>would</w:t>
      </w:r>
      <w:r w:rsidRPr="007055B5" w:rsidR="00530BBC">
        <w:t xml:space="preserve"> </w:t>
      </w:r>
      <w:r w:rsidRPr="007055B5">
        <w:t xml:space="preserve">allow </w:t>
      </w:r>
      <w:r w:rsidR="00DE7E6C">
        <w:t xml:space="preserve">the </w:t>
      </w:r>
      <w:r w:rsidRPr="007055B5">
        <w:t>respondent to consult with colleagues and collect administrative data in advance</w:t>
      </w:r>
      <w:r w:rsidR="001D45ED">
        <w:t xml:space="preserve">. The purpose is to enhance </w:t>
      </w:r>
      <w:r w:rsidRPr="007055B5">
        <w:t>accura</w:t>
      </w:r>
      <w:r w:rsidR="001D45ED">
        <w:t xml:space="preserve">cy in </w:t>
      </w:r>
      <w:r w:rsidRPr="007055B5">
        <w:t>answer</w:t>
      </w:r>
      <w:r w:rsidR="001D45ED">
        <w:t>ing</w:t>
      </w:r>
      <w:r w:rsidRPr="007055B5">
        <w:t xml:space="preserve"> specific numeric survey questions (e.g., operating budgets, number of sworn officers). Although LEMAS </w:t>
      </w:r>
      <w:r w:rsidR="001D45ED">
        <w:t xml:space="preserve">PATOW will </w:t>
      </w:r>
      <w:r w:rsidRPr="007055B5">
        <w:t>provide a paper version of the survey for download prior to online data entry, this remains a passive approach, and a paper survey is not provided to all nonrespond</w:t>
      </w:r>
      <w:r w:rsidR="001D45ED">
        <w:t>ent</w:t>
      </w:r>
      <w:r w:rsidRPr="007055B5">
        <w:t xml:space="preserve">s until a later survey reminder. It is unclear how many respondents download the paper version of the survey in advance or use the provided paper survey and whether they use </w:t>
      </w:r>
      <w:r w:rsidR="001D45ED">
        <w:t xml:space="preserve">the paper copy </w:t>
      </w:r>
      <w:r w:rsidRPr="007055B5">
        <w:t xml:space="preserve">to collect administrative data </w:t>
      </w:r>
      <w:r w:rsidR="001D45ED">
        <w:t>before</w:t>
      </w:r>
      <w:r w:rsidRPr="007055B5">
        <w:t xml:space="preserve"> ultimately submit</w:t>
      </w:r>
      <w:r w:rsidR="001D45ED">
        <w:t>ting the survey</w:t>
      </w:r>
      <w:r w:rsidRPr="007055B5">
        <w:t xml:space="preserve"> by web. Given the benefits of providing a pre-notification letter and the potential benefit of providing an advance data worksheet to respondents, it is warranted to investigate whether actively providing an advance worksheet would enhance data quality in surveys with burdensome administrative survey questions.</w:t>
      </w:r>
    </w:p>
    <w:p w:rsidR="00D25E15" w:rsidP="00D25E15" w14:paraId="0DFFF194" w14:textId="77777777"/>
    <w:p w:rsidR="00D25E15" w:rsidRPr="007055B5" w:rsidP="00D25E15" w14:paraId="2DAD5F57" w14:textId="6307BA0F">
      <w:r w:rsidRPr="007055B5">
        <w:t>Currently, several data quality measures are in place on studies such as CSLLEA and CLETA to address anticipated problems such as the agencies’ fiscal year operation</w:t>
      </w:r>
      <w:r w:rsidR="001D45ED">
        <w:t>al</w:t>
      </w:r>
      <w:r w:rsidRPr="007055B5">
        <w:t xml:space="preserve"> budget. For example, one data quality check is to incorporate a survey prompt based on a threshold of a ±20% change from the previous data provided by the agency. This alerts the respondent of an expected range based on their previous survey submission. A similar data quality flag has also been used during data quality follow-up calls with agencies that responded using a paper instrument. Another measure is additional instructions that respondents should exclude major costs that could drive up the budget value, such as construction or equipment purchases. Furthermore, instructions are provided to the respondent to report data for the fiscal year that includes the reference dates since different entities use different fiscal year calendars. Finally, respondents are allowed to provide an estimate and mark a box to indicate that the value was estimated. However, providing agencies with the questions requiring numeric responses, such as the fiscal year budget item, in advance gives them an opportunity to consult with colleagues and review administrative records leading to better data quality.</w:t>
      </w:r>
      <w:r w:rsidR="000E7F64">
        <w:t xml:space="preserve">  </w:t>
      </w:r>
      <w:r w:rsidRPr="007055B5">
        <w:t xml:space="preserve"> </w:t>
      </w:r>
    </w:p>
    <w:p w:rsidR="00D25E15" w:rsidP="00D25E15" w14:paraId="06937714" w14:textId="77777777">
      <w:pPr>
        <w:rPr>
          <w:b/>
          <w:bCs/>
        </w:rPr>
      </w:pPr>
    </w:p>
    <w:p w:rsidR="00D25E15" w:rsidRPr="007055B5" w:rsidP="00D25E15" w14:paraId="038C0DDD" w14:textId="6CBAB8DE">
      <w:r w:rsidRPr="007055B5">
        <w:rPr>
          <w:i/>
          <w:iCs/>
        </w:rPr>
        <w:t>Experimental design</w:t>
      </w:r>
      <w:r w:rsidR="00AB4688">
        <w:rPr>
          <w:i/>
          <w:iCs/>
        </w:rPr>
        <w:t xml:space="preserve">. </w:t>
      </w:r>
      <w:r w:rsidR="001D45ED">
        <w:t>BJS plans to conduct an</w:t>
      </w:r>
      <w:r w:rsidRPr="007055B5">
        <w:t xml:space="preserve"> experiment to formally test the effectiveness of </w:t>
      </w:r>
      <w:r w:rsidR="001D45ED">
        <w:t xml:space="preserve">an </w:t>
      </w:r>
      <w:r w:rsidRPr="007055B5">
        <w:t>advance data worksheet in the LEMAS PATOW, with the aim of better directing and preparing respondents to answer critical data points such as the fiscal year operating and training budgets, numeric questions on training hours, and questions on staffing.</w:t>
      </w:r>
    </w:p>
    <w:p w:rsidR="00D25E15" w:rsidP="00D25E15" w14:paraId="3EDB1D06" w14:textId="77777777"/>
    <w:p w:rsidR="00D25E15" w:rsidRPr="007055B5" w:rsidP="00D25E15" w14:paraId="2EFC9075" w14:textId="10F5C033">
      <w:r w:rsidRPr="007055B5">
        <w:t xml:space="preserve">The proposed experiment includes an equal sample distributed among the following three groups, from an overall sample of 3,500, during the upcoming administration of the LEMAS PATOW: </w:t>
      </w:r>
    </w:p>
    <w:p w:rsidR="00D25E15" w:rsidRPr="007055B5" w:rsidP="00D25E15" w14:paraId="2A3EA2AF" w14:textId="56862A3D">
      <w:pPr>
        <w:pStyle w:val="ListParagraph"/>
        <w:numPr>
          <w:ilvl w:val="0"/>
          <w:numId w:val="31"/>
        </w:numPr>
        <w:spacing w:after="160" w:line="256" w:lineRule="auto"/>
      </w:pPr>
      <w:r w:rsidRPr="007055B5">
        <w:t xml:space="preserve">Group 1 – Control group conducted in accordance with the </w:t>
      </w:r>
      <w:r w:rsidR="001D45ED">
        <w:t xml:space="preserve">standard PATOW data collection procedures </w:t>
      </w:r>
    </w:p>
    <w:p w:rsidR="00D25E15" w:rsidRPr="007055B5" w:rsidP="00D25E15" w14:paraId="3FF3E6AC" w14:textId="77777777">
      <w:pPr>
        <w:pStyle w:val="ListParagraph"/>
        <w:numPr>
          <w:ilvl w:val="0"/>
          <w:numId w:val="31"/>
        </w:numPr>
        <w:spacing w:after="160" w:line="256" w:lineRule="auto"/>
      </w:pPr>
      <w:r w:rsidRPr="007055B5">
        <w:t>Group 2 – Experimental group which would be provided with the paper instrument at the time of the initial invitation</w:t>
      </w:r>
    </w:p>
    <w:p w:rsidR="00D25E15" w:rsidRPr="007055B5" w:rsidP="00D25E15" w14:paraId="0AE518D3" w14:textId="77777777">
      <w:pPr>
        <w:pStyle w:val="ListParagraph"/>
        <w:numPr>
          <w:ilvl w:val="0"/>
          <w:numId w:val="31"/>
        </w:numPr>
        <w:spacing w:after="160" w:line="256" w:lineRule="auto"/>
      </w:pPr>
      <w:r w:rsidRPr="007055B5">
        <w:t>Group 3 – Experimental group which would be sent the advance data worksheet at the time of the initial invitation</w:t>
      </w:r>
    </w:p>
    <w:p w:rsidR="00F02625" w:rsidRPr="00D25E15" w:rsidP="00D25E15" w14:paraId="365BEC0E" w14:textId="27713338">
      <w:pPr>
        <w:rPr>
          <w:b/>
        </w:rPr>
      </w:pPr>
      <w:r w:rsidRPr="007055B5">
        <w:t>All agencies will receive an initial invitation by mail. Group 1 is the standard approach where respondents are asked to submit data online, but they are informed that a paper version of the survey is available to download from the website or that one can be sent to them upon request. Groups 2 and 3 are asked to submit data online in the initial invitation, but a paper instrument (Group 2) or worksheet (Group 3) is included in their initial survey invitation envelope. The worksheet includes all survey items related to operating budget and other survey items requesting numeric data (e.g., number of staff, number of hours)</w:t>
      </w:r>
      <w:r>
        <w:t xml:space="preserve"> in the LEMAS PATOW (</w:t>
      </w:r>
      <w:r w:rsidRPr="00D82900" w:rsidR="00BC5F1F">
        <w:rPr>
          <w:b/>
          <w:bCs/>
        </w:rPr>
        <w:t xml:space="preserve">Attachment </w:t>
      </w:r>
      <w:r w:rsidRPr="00D82900" w:rsidR="000C1B2E">
        <w:rPr>
          <w:b/>
          <w:bCs/>
        </w:rPr>
        <w:t>1</w:t>
      </w:r>
      <w:r w:rsidRPr="00D82900" w:rsidR="00241C86">
        <w:rPr>
          <w:b/>
          <w:bCs/>
        </w:rPr>
        <w:t>1</w:t>
      </w:r>
      <w:r>
        <w:t>)</w:t>
      </w:r>
      <w:r w:rsidRPr="007055B5">
        <w:t>.</w:t>
      </w:r>
    </w:p>
    <w:p w:rsidR="006F5892" w:rsidRPr="00D25E15" w:rsidP="00660FFC" w14:paraId="433C31D5" w14:textId="77777777"/>
    <w:p w:rsidR="006F5892" w:rsidP="006F5892" w14:paraId="4C974442" w14:textId="5252FE81">
      <w:pPr>
        <w:pStyle w:val="Caption"/>
        <w:keepNext/>
        <w:rPr>
          <w:rFonts w:ascii="Times New Roman" w:eastAsia="Calibri" w:hAnsi="Times New Roman" w:cs="Times New Roman"/>
          <w:b/>
          <w:bCs/>
          <w:i w:val="0"/>
          <w:iCs w:val="0"/>
          <w:color w:val="auto"/>
          <w:sz w:val="24"/>
          <w:szCs w:val="24"/>
        </w:rPr>
      </w:pPr>
      <w:r w:rsidRPr="004D5CEA">
        <w:rPr>
          <w:rFonts w:ascii="Times New Roman" w:eastAsia="Calibri" w:hAnsi="Times New Roman" w:cs="Times New Roman"/>
          <w:b/>
          <w:bCs/>
          <w:i w:val="0"/>
          <w:iCs w:val="0"/>
          <w:color w:val="auto"/>
          <w:sz w:val="24"/>
          <w:szCs w:val="24"/>
        </w:rPr>
        <w:t xml:space="preserve">Table </w:t>
      </w:r>
      <w:r w:rsidR="00E70CBF">
        <w:rPr>
          <w:rFonts w:ascii="Times New Roman" w:eastAsia="Calibri" w:hAnsi="Times New Roman" w:cs="Times New Roman"/>
          <w:b/>
          <w:bCs/>
          <w:i w:val="0"/>
          <w:iCs w:val="0"/>
          <w:color w:val="auto"/>
          <w:sz w:val="24"/>
          <w:szCs w:val="24"/>
        </w:rPr>
        <w:t>6</w:t>
      </w:r>
      <w:r w:rsidR="00AB4688">
        <w:rPr>
          <w:rFonts w:ascii="Times New Roman" w:eastAsia="Calibri" w:hAnsi="Times New Roman" w:cs="Times New Roman"/>
          <w:b/>
          <w:bCs/>
          <w:i w:val="0"/>
          <w:iCs w:val="0"/>
          <w:color w:val="auto"/>
          <w:sz w:val="24"/>
          <w:szCs w:val="24"/>
        </w:rPr>
        <w:t>.</w:t>
      </w:r>
      <w:r>
        <w:rPr>
          <w:rFonts w:ascii="Times New Roman" w:eastAsia="Calibri" w:hAnsi="Times New Roman" w:cs="Times New Roman"/>
          <w:b/>
          <w:bCs/>
          <w:i w:val="0"/>
          <w:iCs w:val="0"/>
          <w:color w:val="auto"/>
          <w:sz w:val="24"/>
          <w:szCs w:val="24"/>
        </w:rPr>
        <w:t xml:space="preserve"> Sample size a</w:t>
      </w:r>
      <w:r w:rsidRPr="004D5CEA">
        <w:rPr>
          <w:rFonts w:ascii="Times New Roman" w:eastAsia="Calibri" w:hAnsi="Times New Roman" w:cs="Times New Roman"/>
          <w:b/>
          <w:bCs/>
          <w:i w:val="0"/>
          <w:iCs w:val="0"/>
          <w:color w:val="auto"/>
          <w:sz w:val="24"/>
          <w:szCs w:val="24"/>
        </w:rPr>
        <w:t>llocation</w:t>
      </w:r>
      <w:r>
        <w:rPr>
          <w:rFonts w:ascii="Times New Roman" w:eastAsia="Calibri" w:hAnsi="Times New Roman" w:cs="Times New Roman"/>
          <w:b/>
          <w:bCs/>
          <w:i w:val="0"/>
          <w:iCs w:val="0"/>
          <w:color w:val="auto"/>
          <w:sz w:val="24"/>
          <w:szCs w:val="24"/>
        </w:rPr>
        <w:t xml:space="preserve"> by </w:t>
      </w:r>
      <w:r w:rsidR="00B34E7F">
        <w:rPr>
          <w:rFonts w:ascii="Times New Roman" w:eastAsia="Calibri" w:hAnsi="Times New Roman" w:cs="Times New Roman"/>
          <w:b/>
          <w:bCs/>
          <w:i w:val="0"/>
          <w:iCs w:val="0"/>
          <w:color w:val="auto"/>
          <w:sz w:val="24"/>
          <w:szCs w:val="24"/>
        </w:rPr>
        <w:t>agency type, size, and g</w:t>
      </w:r>
      <w:r>
        <w:rPr>
          <w:rFonts w:ascii="Times New Roman" w:eastAsia="Calibri" w:hAnsi="Times New Roman" w:cs="Times New Roman"/>
          <w:b/>
          <w:bCs/>
          <w:i w:val="0"/>
          <w:iCs w:val="0"/>
          <w:color w:val="auto"/>
          <w:sz w:val="24"/>
          <w:szCs w:val="24"/>
        </w:rPr>
        <w:t>roup, 2023 LEMAS PATOW</w:t>
      </w:r>
    </w:p>
    <w:p w:rsidR="00660FFC" w:rsidRPr="00D25E15" w:rsidP="00660FFC" w14:paraId="47D7FD36" w14:textId="77777777"/>
    <w:tbl>
      <w:tblPr>
        <w:tblW w:w="9440" w:type="dxa"/>
        <w:tblLook w:val="04A0"/>
      </w:tblPr>
      <w:tblGrid>
        <w:gridCol w:w="1540"/>
        <w:gridCol w:w="2593"/>
        <w:gridCol w:w="1100"/>
        <w:gridCol w:w="1204"/>
        <w:gridCol w:w="1415"/>
        <w:gridCol w:w="1588"/>
      </w:tblGrid>
      <w:tr w14:paraId="6DDE2FDE" w14:textId="77777777" w:rsidTr="00D82900">
        <w:tblPrEx>
          <w:tblW w:w="9440" w:type="dxa"/>
          <w:tblLook w:val="04A0"/>
        </w:tblPrEx>
        <w:trPr>
          <w:trHeight w:val="880"/>
        </w:trPr>
        <w:tc>
          <w:tcPr>
            <w:tcW w:w="1540" w:type="dxa"/>
            <w:tcBorders>
              <w:top w:val="single" w:sz="8" w:space="0" w:color="auto"/>
              <w:left w:val="single" w:sz="8" w:space="0" w:color="auto"/>
              <w:bottom w:val="single" w:sz="8" w:space="0" w:color="auto"/>
              <w:right w:val="single" w:sz="4" w:space="0" w:color="auto"/>
            </w:tcBorders>
            <w:shd w:val="clear" w:color="auto" w:fill="auto"/>
            <w:hideMark/>
          </w:tcPr>
          <w:p w:rsidR="00AC0A2E" w:rsidRPr="007055B5" w:rsidP="00AC0A2E" w14:paraId="0F4A8EEC" w14:textId="77777777">
            <w:pPr>
              <w:jc w:val="center"/>
              <w:rPr>
                <w:b/>
                <w:bCs/>
                <w:color w:val="000000"/>
              </w:rPr>
            </w:pPr>
            <w:r w:rsidRPr="007055B5">
              <w:rPr>
                <w:b/>
                <w:bCs/>
                <w:color w:val="000000"/>
              </w:rPr>
              <w:t>Agency Type</w:t>
            </w:r>
          </w:p>
        </w:tc>
        <w:tc>
          <w:tcPr>
            <w:tcW w:w="2593" w:type="dxa"/>
            <w:tcBorders>
              <w:top w:val="single" w:sz="8" w:space="0" w:color="auto"/>
              <w:left w:val="nil"/>
              <w:bottom w:val="single" w:sz="8" w:space="0" w:color="auto"/>
              <w:right w:val="single" w:sz="4" w:space="0" w:color="auto"/>
            </w:tcBorders>
            <w:shd w:val="clear" w:color="auto" w:fill="auto"/>
            <w:hideMark/>
          </w:tcPr>
          <w:p w:rsidR="00AC0A2E" w:rsidRPr="007055B5" w:rsidP="00AC0A2E" w14:paraId="3A59A5B6" w14:textId="77777777">
            <w:pPr>
              <w:jc w:val="center"/>
              <w:rPr>
                <w:b/>
                <w:bCs/>
                <w:color w:val="000000"/>
              </w:rPr>
            </w:pPr>
            <w:r w:rsidRPr="007055B5">
              <w:rPr>
                <w:b/>
                <w:bCs/>
                <w:color w:val="000000"/>
              </w:rPr>
              <w:t>Size (FTE) from Frame</w:t>
            </w:r>
          </w:p>
        </w:tc>
        <w:tc>
          <w:tcPr>
            <w:tcW w:w="1100" w:type="dxa"/>
            <w:tcBorders>
              <w:top w:val="single" w:sz="8" w:space="0" w:color="auto"/>
              <w:left w:val="nil"/>
              <w:bottom w:val="single" w:sz="8" w:space="0" w:color="auto"/>
              <w:right w:val="single" w:sz="4" w:space="0" w:color="auto"/>
            </w:tcBorders>
            <w:shd w:val="clear" w:color="auto" w:fill="auto"/>
            <w:hideMark/>
          </w:tcPr>
          <w:p w:rsidR="00AC0A2E" w:rsidRPr="007055B5" w:rsidP="00AC0A2E" w14:paraId="1C3716E1" w14:textId="015F39B1">
            <w:pPr>
              <w:jc w:val="center"/>
              <w:rPr>
                <w:b/>
                <w:bCs/>
                <w:color w:val="000000"/>
              </w:rPr>
            </w:pPr>
            <w:r w:rsidRPr="007055B5">
              <w:rPr>
                <w:b/>
                <w:bCs/>
                <w:color w:val="000000"/>
              </w:rPr>
              <w:t>Total Sample Size</w:t>
            </w:r>
          </w:p>
        </w:tc>
        <w:tc>
          <w:tcPr>
            <w:tcW w:w="1204" w:type="dxa"/>
            <w:tcBorders>
              <w:top w:val="single" w:sz="8" w:space="0" w:color="auto"/>
              <w:left w:val="nil"/>
              <w:bottom w:val="single" w:sz="8" w:space="0" w:color="auto"/>
              <w:right w:val="single" w:sz="4" w:space="0" w:color="auto"/>
            </w:tcBorders>
            <w:shd w:val="clear" w:color="auto" w:fill="auto"/>
            <w:hideMark/>
          </w:tcPr>
          <w:p w:rsidR="00AC0A2E" w:rsidRPr="007055B5" w:rsidP="00AC0A2E" w14:paraId="08756E76" w14:textId="1E262B2C">
            <w:pPr>
              <w:jc w:val="center"/>
              <w:rPr>
                <w:b/>
                <w:bCs/>
                <w:color w:val="000000"/>
              </w:rPr>
            </w:pPr>
            <w:r w:rsidRPr="007055B5">
              <w:rPr>
                <w:b/>
                <w:bCs/>
                <w:color w:val="000000"/>
              </w:rPr>
              <w:t>Group 1 (Control)</w:t>
            </w:r>
          </w:p>
        </w:tc>
        <w:tc>
          <w:tcPr>
            <w:tcW w:w="1415" w:type="dxa"/>
            <w:tcBorders>
              <w:top w:val="single" w:sz="8" w:space="0" w:color="auto"/>
              <w:left w:val="nil"/>
              <w:bottom w:val="single" w:sz="8" w:space="0" w:color="auto"/>
              <w:right w:val="single" w:sz="4" w:space="0" w:color="auto"/>
            </w:tcBorders>
            <w:shd w:val="clear" w:color="auto" w:fill="auto"/>
            <w:hideMark/>
          </w:tcPr>
          <w:p w:rsidR="00AC0A2E" w:rsidRPr="007055B5" w:rsidP="00AC0A2E" w14:paraId="1C1B6B9A" w14:textId="667FFBEF">
            <w:pPr>
              <w:jc w:val="center"/>
              <w:rPr>
                <w:b/>
                <w:bCs/>
                <w:color w:val="000000"/>
              </w:rPr>
            </w:pPr>
            <w:r w:rsidRPr="007055B5">
              <w:rPr>
                <w:b/>
                <w:bCs/>
                <w:color w:val="000000"/>
              </w:rPr>
              <w:t xml:space="preserve">Group 2 </w:t>
            </w:r>
            <w:r w:rsidR="00D82900">
              <w:rPr>
                <w:b/>
                <w:bCs/>
                <w:color w:val="000000"/>
              </w:rPr>
              <w:t>(Paper Instrument</w:t>
            </w:r>
          </w:p>
        </w:tc>
        <w:tc>
          <w:tcPr>
            <w:tcW w:w="1588" w:type="dxa"/>
            <w:tcBorders>
              <w:top w:val="single" w:sz="8" w:space="0" w:color="auto"/>
              <w:left w:val="nil"/>
              <w:bottom w:val="single" w:sz="8" w:space="0" w:color="auto"/>
              <w:right w:val="single" w:sz="8" w:space="0" w:color="auto"/>
            </w:tcBorders>
            <w:shd w:val="clear" w:color="auto" w:fill="auto"/>
            <w:hideMark/>
          </w:tcPr>
          <w:p w:rsidR="00AC0A2E" w:rsidRPr="007055B5" w:rsidP="00AC0A2E" w14:paraId="62FBB867" w14:textId="56F0DB50">
            <w:pPr>
              <w:jc w:val="center"/>
              <w:rPr>
                <w:b/>
                <w:bCs/>
                <w:color w:val="000000"/>
              </w:rPr>
            </w:pPr>
            <w:r w:rsidRPr="007055B5">
              <w:rPr>
                <w:b/>
                <w:bCs/>
                <w:color w:val="000000"/>
              </w:rPr>
              <w:t xml:space="preserve">Group 3 </w:t>
            </w:r>
            <w:r w:rsidR="00D82900">
              <w:rPr>
                <w:b/>
                <w:bCs/>
                <w:color w:val="000000"/>
              </w:rPr>
              <w:t>(Worksheet)</w:t>
            </w:r>
          </w:p>
        </w:tc>
      </w:tr>
      <w:tr w14:paraId="1864181A" w14:textId="77777777" w:rsidTr="00D82900">
        <w:tblPrEx>
          <w:tblW w:w="9440" w:type="dxa"/>
          <w:tblLook w:val="04A0"/>
        </w:tblPrEx>
        <w:trPr>
          <w:trHeight w:val="290"/>
        </w:trPr>
        <w:tc>
          <w:tcPr>
            <w:tcW w:w="1540" w:type="dxa"/>
            <w:vMerge w:val="restart"/>
            <w:tcBorders>
              <w:top w:val="nil"/>
              <w:left w:val="single" w:sz="8" w:space="0" w:color="auto"/>
              <w:bottom w:val="nil"/>
              <w:right w:val="single" w:sz="4" w:space="0" w:color="auto"/>
            </w:tcBorders>
            <w:shd w:val="clear" w:color="auto" w:fill="auto"/>
            <w:noWrap/>
            <w:vAlign w:val="center"/>
            <w:hideMark/>
          </w:tcPr>
          <w:p w:rsidR="001F59A2" w:rsidRPr="007055B5" w:rsidP="001F59A2" w14:paraId="7FDF396D" w14:textId="77777777">
            <w:pPr>
              <w:rPr>
                <w:color w:val="000000"/>
              </w:rPr>
            </w:pPr>
            <w:r w:rsidRPr="007055B5">
              <w:rPr>
                <w:color w:val="000000"/>
              </w:rPr>
              <w:t xml:space="preserve">Local Police </w:t>
            </w:r>
          </w:p>
        </w:tc>
        <w:tc>
          <w:tcPr>
            <w:tcW w:w="2593" w:type="dxa"/>
            <w:tcBorders>
              <w:top w:val="single" w:sz="8" w:space="0" w:color="auto"/>
              <w:left w:val="nil"/>
              <w:bottom w:val="single" w:sz="4" w:space="0" w:color="auto"/>
              <w:right w:val="single" w:sz="4" w:space="0" w:color="auto"/>
            </w:tcBorders>
            <w:shd w:val="clear" w:color="auto" w:fill="auto"/>
            <w:noWrap/>
            <w:vAlign w:val="bottom"/>
            <w:hideMark/>
          </w:tcPr>
          <w:p w:rsidR="001F59A2" w:rsidRPr="007055B5" w:rsidP="001F59A2" w14:paraId="31AB0C73" w14:textId="77777777">
            <w:pPr>
              <w:rPr>
                <w:b/>
                <w:bCs/>
                <w:color w:val="000000"/>
              </w:rPr>
            </w:pPr>
            <w:r w:rsidRPr="007055B5">
              <w:rPr>
                <w:b/>
                <w:bCs/>
                <w:color w:val="000000"/>
              </w:rPr>
              <w:t>All</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rsidR="001F59A2" w:rsidRPr="007055B5" w:rsidP="00D82900" w14:paraId="0A096961" w14:textId="4896A383">
            <w:pPr>
              <w:jc w:val="center"/>
              <w:rPr>
                <w:b/>
                <w:bCs/>
                <w:color w:val="000000"/>
              </w:rPr>
            </w:pPr>
            <w:r w:rsidRPr="007055B5">
              <w:rPr>
                <w:b/>
                <w:bCs/>
                <w:color w:val="000000"/>
              </w:rPr>
              <w:t>2,614</w:t>
            </w:r>
          </w:p>
        </w:tc>
        <w:tc>
          <w:tcPr>
            <w:tcW w:w="1204" w:type="dxa"/>
            <w:tcBorders>
              <w:top w:val="single" w:sz="8" w:space="0" w:color="auto"/>
              <w:left w:val="nil"/>
              <w:bottom w:val="single" w:sz="4" w:space="0" w:color="auto"/>
              <w:right w:val="single" w:sz="4" w:space="0" w:color="auto"/>
            </w:tcBorders>
            <w:shd w:val="clear" w:color="auto" w:fill="auto"/>
            <w:noWrap/>
            <w:vAlign w:val="center"/>
            <w:hideMark/>
          </w:tcPr>
          <w:p w:rsidR="001F59A2" w:rsidRPr="007055B5" w:rsidP="00D82900" w14:paraId="261C5A4C" w14:textId="199539F7">
            <w:pPr>
              <w:jc w:val="center"/>
              <w:rPr>
                <w:b/>
                <w:bCs/>
                <w:color w:val="000000"/>
              </w:rPr>
            </w:pPr>
            <w:r w:rsidRPr="007055B5">
              <w:rPr>
                <w:b/>
                <w:bCs/>
                <w:color w:val="000000"/>
              </w:rPr>
              <w:t>872</w:t>
            </w:r>
          </w:p>
        </w:tc>
        <w:tc>
          <w:tcPr>
            <w:tcW w:w="1415" w:type="dxa"/>
            <w:tcBorders>
              <w:top w:val="single" w:sz="8" w:space="0" w:color="auto"/>
              <w:left w:val="nil"/>
              <w:bottom w:val="single" w:sz="4" w:space="0" w:color="auto"/>
              <w:right w:val="single" w:sz="4" w:space="0" w:color="auto"/>
            </w:tcBorders>
            <w:shd w:val="clear" w:color="auto" w:fill="auto"/>
            <w:noWrap/>
            <w:vAlign w:val="center"/>
            <w:hideMark/>
          </w:tcPr>
          <w:p w:rsidR="001F59A2" w:rsidRPr="007055B5" w:rsidP="00D82900" w14:paraId="28C0E7F5" w14:textId="251A041A">
            <w:pPr>
              <w:jc w:val="center"/>
              <w:rPr>
                <w:b/>
                <w:bCs/>
                <w:color w:val="000000"/>
              </w:rPr>
            </w:pPr>
            <w:r w:rsidRPr="007055B5">
              <w:rPr>
                <w:b/>
                <w:bCs/>
                <w:color w:val="000000"/>
              </w:rPr>
              <w:t>871</w:t>
            </w:r>
          </w:p>
        </w:tc>
        <w:tc>
          <w:tcPr>
            <w:tcW w:w="1588" w:type="dxa"/>
            <w:tcBorders>
              <w:top w:val="single" w:sz="8" w:space="0" w:color="auto"/>
              <w:left w:val="nil"/>
              <w:bottom w:val="single" w:sz="4" w:space="0" w:color="auto"/>
              <w:right w:val="single" w:sz="8" w:space="0" w:color="auto"/>
            </w:tcBorders>
            <w:shd w:val="clear" w:color="auto" w:fill="auto"/>
            <w:noWrap/>
            <w:vAlign w:val="center"/>
            <w:hideMark/>
          </w:tcPr>
          <w:p w:rsidR="001F59A2" w:rsidRPr="007055B5" w:rsidP="00D82900" w14:paraId="0B8F6D63" w14:textId="3ACC3886">
            <w:pPr>
              <w:jc w:val="center"/>
              <w:rPr>
                <w:b/>
                <w:bCs/>
                <w:color w:val="000000"/>
              </w:rPr>
            </w:pPr>
            <w:r w:rsidRPr="007055B5">
              <w:rPr>
                <w:b/>
                <w:bCs/>
                <w:color w:val="000000"/>
              </w:rPr>
              <w:t>871</w:t>
            </w:r>
          </w:p>
        </w:tc>
      </w:tr>
      <w:tr w14:paraId="0A1B122E" w14:textId="77777777" w:rsidTr="00D82900">
        <w:tblPrEx>
          <w:tblW w:w="9440" w:type="dxa"/>
          <w:tblLook w:val="04A0"/>
        </w:tblPrEx>
        <w:trPr>
          <w:trHeight w:val="290"/>
        </w:trPr>
        <w:tc>
          <w:tcPr>
            <w:tcW w:w="1540" w:type="dxa"/>
            <w:vMerge/>
            <w:tcBorders>
              <w:top w:val="nil"/>
              <w:left w:val="single" w:sz="8" w:space="0" w:color="auto"/>
              <w:bottom w:val="nil"/>
              <w:right w:val="single" w:sz="4" w:space="0" w:color="auto"/>
            </w:tcBorders>
            <w:vAlign w:val="center"/>
            <w:hideMark/>
          </w:tcPr>
          <w:p w:rsidR="001F59A2" w:rsidRPr="007055B5" w:rsidP="001F59A2" w14:paraId="52FD6C92" w14:textId="77777777">
            <w:pPr>
              <w:rPr>
                <w:color w:val="000000"/>
              </w:rPr>
            </w:pPr>
          </w:p>
        </w:tc>
        <w:tc>
          <w:tcPr>
            <w:tcW w:w="2593" w:type="dxa"/>
            <w:tcBorders>
              <w:top w:val="single" w:sz="4" w:space="0" w:color="auto"/>
              <w:left w:val="nil"/>
              <w:bottom w:val="single" w:sz="4" w:space="0" w:color="auto"/>
              <w:right w:val="single" w:sz="4" w:space="0" w:color="auto"/>
            </w:tcBorders>
            <w:shd w:val="clear" w:color="auto" w:fill="auto"/>
            <w:noWrap/>
            <w:vAlign w:val="bottom"/>
            <w:hideMark/>
          </w:tcPr>
          <w:p w:rsidR="001F59A2" w:rsidRPr="007055B5" w:rsidP="001F59A2" w14:paraId="5F3AEFAF" w14:textId="77777777">
            <w:pPr>
              <w:rPr>
                <w:color w:val="000000"/>
              </w:rPr>
            </w:pPr>
            <w:r w:rsidRPr="007055B5">
              <w:rPr>
                <w:color w:val="000000"/>
              </w:rPr>
              <w:t>Large (FTE &gt; 99.9)</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1F59A2" w:rsidRPr="007055B5" w:rsidP="00DB1CA0" w14:paraId="7309F3D3" w14:textId="12DB99D1">
            <w:pPr>
              <w:jc w:val="center"/>
              <w:rPr>
                <w:color w:val="000000"/>
              </w:rPr>
            </w:pPr>
            <w:r w:rsidRPr="007055B5">
              <w:rPr>
                <w:color w:val="000000"/>
              </w:rPr>
              <w:t>669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1F59A2" w:rsidRPr="007055B5" w:rsidP="00DB1CA0" w14:paraId="5FDBCB07" w14:textId="198B63D5">
            <w:pPr>
              <w:jc w:val="center"/>
              <w:rPr>
                <w:color w:val="000000"/>
              </w:rPr>
            </w:pPr>
            <w:r w:rsidRPr="007055B5">
              <w:rPr>
                <w:color w:val="000000"/>
              </w:rPr>
              <w:t>223</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1F59A2" w:rsidRPr="007055B5" w:rsidP="00DB1CA0" w14:paraId="0E08C29B" w14:textId="6F2AAF89">
            <w:pPr>
              <w:jc w:val="center"/>
              <w:rPr>
                <w:color w:val="000000"/>
              </w:rPr>
            </w:pPr>
            <w:r w:rsidRPr="007055B5">
              <w:rPr>
                <w:color w:val="000000"/>
              </w:rPr>
              <w:t>223</w:t>
            </w:r>
          </w:p>
        </w:tc>
        <w:tc>
          <w:tcPr>
            <w:tcW w:w="1588" w:type="dxa"/>
            <w:tcBorders>
              <w:top w:val="single" w:sz="4" w:space="0" w:color="auto"/>
              <w:left w:val="nil"/>
              <w:bottom w:val="single" w:sz="4" w:space="0" w:color="auto"/>
              <w:right w:val="single" w:sz="8" w:space="0" w:color="auto"/>
            </w:tcBorders>
            <w:shd w:val="clear" w:color="auto" w:fill="auto"/>
            <w:noWrap/>
            <w:vAlign w:val="center"/>
            <w:hideMark/>
          </w:tcPr>
          <w:p w:rsidR="001F59A2" w:rsidRPr="007055B5" w:rsidP="00DB1CA0" w14:paraId="011E7FD7" w14:textId="4BFB6165">
            <w:pPr>
              <w:jc w:val="center"/>
              <w:rPr>
                <w:color w:val="000000"/>
              </w:rPr>
            </w:pPr>
            <w:r w:rsidRPr="007055B5">
              <w:rPr>
                <w:color w:val="000000"/>
              </w:rPr>
              <w:t>223</w:t>
            </w:r>
          </w:p>
        </w:tc>
      </w:tr>
      <w:tr w14:paraId="2EBA50C3" w14:textId="77777777" w:rsidTr="00D82900">
        <w:tblPrEx>
          <w:tblW w:w="9440" w:type="dxa"/>
          <w:tblLook w:val="04A0"/>
        </w:tblPrEx>
        <w:trPr>
          <w:trHeight w:val="300"/>
        </w:trPr>
        <w:tc>
          <w:tcPr>
            <w:tcW w:w="1540" w:type="dxa"/>
            <w:vMerge/>
            <w:tcBorders>
              <w:top w:val="nil"/>
              <w:left w:val="single" w:sz="8" w:space="0" w:color="auto"/>
              <w:bottom w:val="nil"/>
              <w:right w:val="single" w:sz="4" w:space="0" w:color="auto"/>
            </w:tcBorders>
            <w:vAlign w:val="center"/>
            <w:hideMark/>
          </w:tcPr>
          <w:p w:rsidR="001F59A2" w:rsidRPr="007055B5" w:rsidP="001F59A2" w14:paraId="4B953598" w14:textId="77777777">
            <w:pPr>
              <w:rPr>
                <w:color w:val="000000"/>
              </w:rPr>
            </w:pPr>
          </w:p>
        </w:tc>
        <w:tc>
          <w:tcPr>
            <w:tcW w:w="2593" w:type="dxa"/>
            <w:tcBorders>
              <w:top w:val="single" w:sz="4" w:space="0" w:color="auto"/>
              <w:left w:val="nil"/>
              <w:bottom w:val="single" w:sz="8" w:space="0" w:color="auto"/>
              <w:right w:val="single" w:sz="4" w:space="0" w:color="auto"/>
            </w:tcBorders>
            <w:shd w:val="clear" w:color="auto" w:fill="auto"/>
            <w:noWrap/>
            <w:vAlign w:val="bottom"/>
            <w:hideMark/>
          </w:tcPr>
          <w:p w:rsidR="001F59A2" w:rsidRPr="007055B5" w:rsidP="001F59A2" w14:paraId="3635E71E" w14:textId="77777777">
            <w:pPr>
              <w:rPr>
                <w:color w:val="000000"/>
              </w:rPr>
            </w:pPr>
            <w:r w:rsidRPr="007055B5">
              <w:rPr>
                <w:color w:val="000000"/>
              </w:rPr>
              <w:t>Non-Large (FTE &lt;= 99.9)</w:t>
            </w:r>
          </w:p>
        </w:tc>
        <w:tc>
          <w:tcPr>
            <w:tcW w:w="1100" w:type="dxa"/>
            <w:tcBorders>
              <w:top w:val="single" w:sz="4" w:space="0" w:color="auto"/>
              <w:left w:val="nil"/>
              <w:bottom w:val="single" w:sz="8" w:space="0" w:color="auto"/>
              <w:right w:val="single" w:sz="4" w:space="0" w:color="auto"/>
            </w:tcBorders>
            <w:shd w:val="clear" w:color="auto" w:fill="auto"/>
            <w:noWrap/>
            <w:vAlign w:val="center"/>
            <w:hideMark/>
          </w:tcPr>
          <w:p w:rsidR="001F59A2" w:rsidRPr="007055B5" w:rsidP="00DB1CA0" w14:paraId="4CF0326E" w14:textId="3A6ABFAC">
            <w:pPr>
              <w:jc w:val="center"/>
              <w:rPr>
                <w:color w:val="000000"/>
              </w:rPr>
            </w:pPr>
            <w:r w:rsidRPr="007055B5">
              <w:rPr>
                <w:color w:val="000000"/>
              </w:rPr>
              <w:t>1,945</w:t>
            </w:r>
          </w:p>
        </w:tc>
        <w:tc>
          <w:tcPr>
            <w:tcW w:w="1204" w:type="dxa"/>
            <w:tcBorders>
              <w:top w:val="single" w:sz="4" w:space="0" w:color="auto"/>
              <w:left w:val="nil"/>
              <w:bottom w:val="single" w:sz="8" w:space="0" w:color="auto"/>
              <w:right w:val="single" w:sz="4" w:space="0" w:color="auto"/>
            </w:tcBorders>
            <w:shd w:val="clear" w:color="auto" w:fill="auto"/>
            <w:noWrap/>
            <w:vAlign w:val="center"/>
            <w:hideMark/>
          </w:tcPr>
          <w:p w:rsidR="001F59A2" w:rsidRPr="007055B5" w:rsidP="00DB1CA0" w14:paraId="35CB7935" w14:textId="61BCF86F">
            <w:pPr>
              <w:jc w:val="center"/>
              <w:rPr>
                <w:color w:val="000000"/>
              </w:rPr>
            </w:pPr>
            <w:r w:rsidRPr="007055B5">
              <w:rPr>
                <w:color w:val="000000"/>
              </w:rPr>
              <w:t>649</w:t>
            </w:r>
          </w:p>
        </w:tc>
        <w:tc>
          <w:tcPr>
            <w:tcW w:w="1415" w:type="dxa"/>
            <w:tcBorders>
              <w:top w:val="single" w:sz="4" w:space="0" w:color="auto"/>
              <w:left w:val="nil"/>
              <w:bottom w:val="single" w:sz="8" w:space="0" w:color="auto"/>
              <w:right w:val="single" w:sz="4" w:space="0" w:color="auto"/>
            </w:tcBorders>
            <w:shd w:val="clear" w:color="auto" w:fill="auto"/>
            <w:noWrap/>
            <w:vAlign w:val="center"/>
            <w:hideMark/>
          </w:tcPr>
          <w:p w:rsidR="001F59A2" w:rsidRPr="007055B5" w:rsidP="00DB1CA0" w14:paraId="59F5B886" w14:textId="217C14D5">
            <w:pPr>
              <w:jc w:val="center"/>
              <w:rPr>
                <w:color w:val="000000"/>
              </w:rPr>
            </w:pPr>
            <w:r w:rsidRPr="007055B5">
              <w:rPr>
                <w:color w:val="000000"/>
              </w:rPr>
              <w:t>648</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rsidR="001F59A2" w:rsidRPr="007055B5" w:rsidP="00DB1CA0" w14:paraId="42B4D774" w14:textId="6D14C590">
            <w:pPr>
              <w:jc w:val="center"/>
              <w:rPr>
                <w:color w:val="000000"/>
              </w:rPr>
            </w:pPr>
            <w:r w:rsidRPr="007055B5">
              <w:rPr>
                <w:color w:val="000000"/>
              </w:rPr>
              <w:t>648</w:t>
            </w:r>
          </w:p>
        </w:tc>
      </w:tr>
      <w:tr w14:paraId="0A7E9441" w14:textId="77777777" w:rsidTr="00D82900">
        <w:tblPrEx>
          <w:tblW w:w="9440" w:type="dxa"/>
          <w:tblLook w:val="04A0"/>
        </w:tblPrEx>
        <w:trPr>
          <w:trHeight w:val="290"/>
        </w:trPr>
        <w:tc>
          <w:tcPr>
            <w:tcW w:w="15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F59A2" w:rsidRPr="007055B5" w:rsidP="001F59A2" w14:paraId="3CB91797" w14:textId="0EF261EF">
            <w:pPr>
              <w:rPr>
                <w:color w:val="000000"/>
              </w:rPr>
            </w:pPr>
            <w:r w:rsidRPr="007055B5">
              <w:rPr>
                <w:color w:val="000000"/>
              </w:rPr>
              <w:t>Sheriff</w:t>
            </w:r>
            <w:r w:rsidR="000069E1">
              <w:rPr>
                <w:color w:val="000000"/>
              </w:rPr>
              <w:t>’s</w:t>
            </w:r>
            <w:r w:rsidRPr="007055B5">
              <w:rPr>
                <w:color w:val="000000"/>
              </w:rPr>
              <w:t xml:space="preserve"> Office </w:t>
            </w:r>
          </w:p>
        </w:tc>
        <w:tc>
          <w:tcPr>
            <w:tcW w:w="2593" w:type="dxa"/>
            <w:tcBorders>
              <w:top w:val="single" w:sz="8" w:space="0" w:color="auto"/>
              <w:left w:val="nil"/>
              <w:bottom w:val="single" w:sz="4" w:space="0" w:color="auto"/>
              <w:right w:val="single" w:sz="4" w:space="0" w:color="auto"/>
            </w:tcBorders>
            <w:shd w:val="clear" w:color="auto" w:fill="auto"/>
            <w:noWrap/>
            <w:vAlign w:val="bottom"/>
            <w:hideMark/>
          </w:tcPr>
          <w:p w:rsidR="001F59A2" w:rsidRPr="007055B5" w:rsidP="001F59A2" w14:paraId="23CAD206" w14:textId="77777777">
            <w:pPr>
              <w:rPr>
                <w:b/>
                <w:bCs/>
                <w:color w:val="000000"/>
              </w:rPr>
            </w:pPr>
            <w:r w:rsidRPr="007055B5">
              <w:rPr>
                <w:b/>
                <w:bCs/>
                <w:color w:val="000000"/>
              </w:rPr>
              <w:t>All</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rsidR="001F59A2" w:rsidRPr="007055B5" w:rsidP="00DB1CA0" w14:paraId="36E805AC" w14:textId="0A8E16FD">
            <w:pPr>
              <w:jc w:val="center"/>
              <w:rPr>
                <w:b/>
                <w:bCs/>
                <w:color w:val="000000"/>
              </w:rPr>
            </w:pPr>
            <w:r w:rsidRPr="007055B5">
              <w:rPr>
                <w:b/>
                <w:bCs/>
                <w:color w:val="000000"/>
              </w:rPr>
              <w:t>837</w:t>
            </w:r>
          </w:p>
        </w:tc>
        <w:tc>
          <w:tcPr>
            <w:tcW w:w="1204" w:type="dxa"/>
            <w:tcBorders>
              <w:top w:val="single" w:sz="8" w:space="0" w:color="auto"/>
              <w:left w:val="nil"/>
              <w:bottom w:val="single" w:sz="4" w:space="0" w:color="auto"/>
              <w:right w:val="single" w:sz="4" w:space="0" w:color="auto"/>
            </w:tcBorders>
            <w:shd w:val="clear" w:color="auto" w:fill="auto"/>
            <w:noWrap/>
            <w:vAlign w:val="center"/>
            <w:hideMark/>
          </w:tcPr>
          <w:p w:rsidR="001F59A2" w:rsidRPr="007055B5" w:rsidP="00DB1CA0" w14:paraId="7E2E7AFC" w14:textId="18A5A1A2">
            <w:pPr>
              <w:jc w:val="center"/>
              <w:rPr>
                <w:b/>
                <w:bCs/>
                <w:color w:val="000000"/>
              </w:rPr>
            </w:pPr>
            <w:r w:rsidRPr="007055B5">
              <w:rPr>
                <w:b/>
                <w:bCs/>
                <w:color w:val="000000"/>
              </w:rPr>
              <w:t>279</w:t>
            </w:r>
          </w:p>
        </w:tc>
        <w:tc>
          <w:tcPr>
            <w:tcW w:w="1415" w:type="dxa"/>
            <w:tcBorders>
              <w:top w:val="single" w:sz="8" w:space="0" w:color="auto"/>
              <w:left w:val="nil"/>
              <w:bottom w:val="single" w:sz="4" w:space="0" w:color="auto"/>
              <w:right w:val="single" w:sz="4" w:space="0" w:color="auto"/>
            </w:tcBorders>
            <w:shd w:val="clear" w:color="auto" w:fill="auto"/>
            <w:noWrap/>
            <w:vAlign w:val="center"/>
            <w:hideMark/>
          </w:tcPr>
          <w:p w:rsidR="001F59A2" w:rsidRPr="007055B5" w:rsidP="00DB1CA0" w14:paraId="58311E24" w14:textId="363BFB4D">
            <w:pPr>
              <w:jc w:val="center"/>
              <w:rPr>
                <w:b/>
                <w:bCs/>
                <w:color w:val="000000"/>
              </w:rPr>
            </w:pPr>
            <w:r w:rsidRPr="007055B5">
              <w:rPr>
                <w:b/>
                <w:bCs/>
                <w:color w:val="000000"/>
              </w:rPr>
              <w:t>279</w:t>
            </w:r>
          </w:p>
        </w:tc>
        <w:tc>
          <w:tcPr>
            <w:tcW w:w="1588" w:type="dxa"/>
            <w:tcBorders>
              <w:top w:val="single" w:sz="8" w:space="0" w:color="auto"/>
              <w:left w:val="nil"/>
              <w:bottom w:val="single" w:sz="4" w:space="0" w:color="auto"/>
              <w:right w:val="single" w:sz="8" w:space="0" w:color="auto"/>
            </w:tcBorders>
            <w:shd w:val="clear" w:color="auto" w:fill="auto"/>
            <w:noWrap/>
            <w:vAlign w:val="center"/>
            <w:hideMark/>
          </w:tcPr>
          <w:p w:rsidR="001F59A2" w:rsidRPr="007055B5" w:rsidP="00DB1CA0" w14:paraId="6F5E2A02" w14:textId="30E24C9C">
            <w:pPr>
              <w:jc w:val="center"/>
              <w:rPr>
                <w:b/>
                <w:bCs/>
                <w:color w:val="000000"/>
              </w:rPr>
            </w:pPr>
            <w:r w:rsidRPr="007055B5">
              <w:rPr>
                <w:b/>
                <w:bCs/>
                <w:color w:val="000000"/>
              </w:rPr>
              <w:t>279</w:t>
            </w:r>
          </w:p>
        </w:tc>
      </w:tr>
      <w:tr w14:paraId="20EFCEC8" w14:textId="77777777" w:rsidTr="00D82900">
        <w:tblPrEx>
          <w:tblW w:w="9440" w:type="dxa"/>
          <w:tblLook w:val="04A0"/>
        </w:tblPrEx>
        <w:trPr>
          <w:trHeight w:val="290"/>
        </w:trPr>
        <w:tc>
          <w:tcPr>
            <w:tcW w:w="1540" w:type="dxa"/>
            <w:vMerge/>
            <w:tcBorders>
              <w:top w:val="single" w:sz="8" w:space="0" w:color="auto"/>
              <w:left w:val="single" w:sz="8" w:space="0" w:color="auto"/>
              <w:bottom w:val="single" w:sz="8" w:space="0" w:color="000000"/>
              <w:right w:val="single" w:sz="4" w:space="0" w:color="auto"/>
            </w:tcBorders>
            <w:vAlign w:val="center"/>
            <w:hideMark/>
          </w:tcPr>
          <w:p w:rsidR="001F59A2" w:rsidRPr="007055B5" w:rsidP="001F59A2" w14:paraId="350A291A" w14:textId="77777777">
            <w:pPr>
              <w:rPr>
                <w:color w:val="000000"/>
              </w:rPr>
            </w:pPr>
          </w:p>
        </w:tc>
        <w:tc>
          <w:tcPr>
            <w:tcW w:w="2593" w:type="dxa"/>
            <w:tcBorders>
              <w:top w:val="single" w:sz="4" w:space="0" w:color="auto"/>
              <w:left w:val="nil"/>
              <w:bottom w:val="single" w:sz="4" w:space="0" w:color="auto"/>
              <w:right w:val="single" w:sz="4" w:space="0" w:color="auto"/>
            </w:tcBorders>
            <w:shd w:val="clear" w:color="auto" w:fill="auto"/>
            <w:noWrap/>
            <w:vAlign w:val="bottom"/>
            <w:hideMark/>
          </w:tcPr>
          <w:p w:rsidR="001F59A2" w:rsidRPr="007055B5" w:rsidP="001F59A2" w14:paraId="61D799B8" w14:textId="77777777">
            <w:pPr>
              <w:rPr>
                <w:color w:val="000000"/>
              </w:rPr>
            </w:pPr>
            <w:r w:rsidRPr="007055B5">
              <w:rPr>
                <w:color w:val="000000"/>
              </w:rPr>
              <w:t>Large (FTE &gt; 99.9)</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1F59A2" w:rsidRPr="007055B5" w:rsidP="00DB1CA0" w14:paraId="2731086E" w14:textId="7FE00F0F">
            <w:pPr>
              <w:jc w:val="center"/>
              <w:rPr>
                <w:color w:val="000000"/>
              </w:rPr>
            </w:pPr>
            <w:r w:rsidRPr="007055B5">
              <w:rPr>
                <w:color w:val="000000"/>
              </w:rPr>
              <w:t>369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1F59A2" w:rsidRPr="007055B5" w:rsidP="00DB1CA0" w14:paraId="1F1D1C9C" w14:textId="36F9F78D">
            <w:pPr>
              <w:jc w:val="center"/>
              <w:rPr>
                <w:color w:val="000000"/>
              </w:rPr>
            </w:pPr>
            <w:r w:rsidRPr="007055B5">
              <w:rPr>
                <w:color w:val="000000"/>
              </w:rPr>
              <w:t>123</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1F59A2" w:rsidRPr="007055B5" w:rsidP="00DB1CA0" w14:paraId="3ADF4C70" w14:textId="011EEBCA">
            <w:pPr>
              <w:jc w:val="center"/>
              <w:rPr>
                <w:color w:val="000000"/>
              </w:rPr>
            </w:pPr>
            <w:r w:rsidRPr="007055B5">
              <w:rPr>
                <w:color w:val="000000"/>
              </w:rPr>
              <w:t>123</w:t>
            </w:r>
          </w:p>
        </w:tc>
        <w:tc>
          <w:tcPr>
            <w:tcW w:w="1588" w:type="dxa"/>
            <w:tcBorders>
              <w:top w:val="single" w:sz="4" w:space="0" w:color="auto"/>
              <w:left w:val="nil"/>
              <w:bottom w:val="single" w:sz="4" w:space="0" w:color="auto"/>
              <w:right w:val="single" w:sz="8" w:space="0" w:color="auto"/>
            </w:tcBorders>
            <w:shd w:val="clear" w:color="auto" w:fill="auto"/>
            <w:noWrap/>
            <w:vAlign w:val="center"/>
            <w:hideMark/>
          </w:tcPr>
          <w:p w:rsidR="001F59A2" w:rsidRPr="007055B5" w:rsidP="00DB1CA0" w14:paraId="23842E45" w14:textId="63FAC91F">
            <w:pPr>
              <w:jc w:val="center"/>
              <w:rPr>
                <w:color w:val="000000"/>
              </w:rPr>
            </w:pPr>
            <w:r w:rsidRPr="007055B5">
              <w:rPr>
                <w:color w:val="000000"/>
              </w:rPr>
              <w:t>123</w:t>
            </w:r>
          </w:p>
        </w:tc>
      </w:tr>
      <w:tr w14:paraId="366E9F17" w14:textId="77777777" w:rsidTr="00D82900">
        <w:tblPrEx>
          <w:tblW w:w="9440" w:type="dxa"/>
          <w:tblLook w:val="04A0"/>
        </w:tblPrEx>
        <w:trPr>
          <w:trHeight w:val="300"/>
        </w:trPr>
        <w:tc>
          <w:tcPr>
            <w:tcW w:w="1540" w:type="dxa"/>
            <w:vMerge/>
            <w:tcBorders>
              <w:top w:val="single" w:sz="8" w:space="0" w:color="auto"/>
              <w:left w:val="single" w:sz="8" w:space="0" w:color="auto"/>
              <w:bottom w:val="single" w:sz="8" w:space="0" w:color="auto"/>
              <w:right w:val="single" w:sz="4" w:space="0" w:color="auto"/>
            </w:tcBorders>
            <w:vAlign w:val="center"/>
            <w:hideMark/>
          </w:tcPr>
          <w:p w:rsidR="001F59A2" w:rsidRPr="007055B5" w:rsidP="001F59A2" w14:paraId="2ADC8D99" w14:textId="77777777">
            <w:pPr>
              <w:rPr>
                <w:color w:val="000000"/>
              </w:rPr>
            </w:pPr>
          </w:p>
        </w:tc>
        <w:tc>
          <w:tcPr>
            <w:tcW w:w="2593" w:type="dxa"/>
            <w:tcBorders>
              <w:top w:val="single" w:sz="4" w:space="0" w:color="auto"/>
              <w:left w:val="nil"/>
              <w:bottom w:val="single" w:sz="8" w:space="0" w:color="auto"/>
              <w:right w:val="single" w:sz="4" w:space="0" w:color="auto"/>
            </w:tcBorders>
            <w:shd w:val="clear" w:color="auto" w:fill="auto"/>
            <w:noWrap/>
            <w:vAlign w:val="bottom"/>
            <w:hideMark/>
          </w:tcPr>
          <w:p w:rsidR="001F59A2" w:rsidRPr="007055B5" w:rsidP="001F59A2" w14:paraId="6A30F03C" w14:textId="77777777">
            <w:pPr>
              <w:rPr>
                <w:color w:val="000000"/>
              </w:rPr>
            </w:pPr>
            <w:r w:rsidRPr="007055B5">
              <w:rPr>
                <w:color w:val="000000"/>
              </w:rPr>
              <w:t>Non-Large (FTE &lt;= 99.9)</w:t>
            </w:r>
          </w:p>
        </w:tc>
        <w:tc>
          <w:tcPr>
            <w:tcW w:w="1100" w:type="dxa"/>
            <w:tcBorders>
              <w:top w:val="single" w:sz="4" w:space="0" w:color="auto"/>
              <w:left w:val="nil"/>
              <w:bottom w:val="single" w:sz="8" w:space="0" w:color="auto"/>
              <w:right w:val="single" w:sz="4" w:space="0" w:color="auto"/>
            </w:tcBorders>
            <w:shd w:val="clear" w:color="auto" w:fill="auto"/>
            <w:noWrap/>
            <w:vAlign w:val="center"/>
            <w:hideMark/>
          </w:tcPr>
          <w:p w:rsidR="001F59A2" w:rsidRPr="007055B5" w:rsidP="00DB1CA0" w14:paraId="727D1CD6" w14:textId="26D917EA">
            <w:pPr>
              <w:jc w:val="center"/>
              <w:rPr>
                <w:color w:val="000000"/>
              </w:rPr>
            </w:pPr>
            <w:r w:rsidRPr="007055B5">
              <w:rPr>
                <w:color w:val="000000"/>
              </w:rPr>
              <w:t>468</w:t>
            </w:r>
          </w:p>
        </w:tc>
        <w:tc>
          <w:tcPr>
            <w:tcW w:w="1204" w:type="dxa"/>
            <w:tcBorders>
              <w:top w:val="single" w:sz="4" w:space="0" w:color="auto"/>
              <w:left w:val="nil"/>
              <w:bottom w:val="single" w:sz="8" w:space="0" w:color="auto"/>
              <w:right w:val="single" w:sz="4" w:space="0" w:color="auto"/>
            </w:tcBorders>
            <w:shd w:val="clear" w:color="auto" w:fill="auto"/>
            <w:noWrap/>
            <w:vAlign w:val="center"/>
            <w:hideMark/>
          </w:tcPr>
          <w:p w:rsidR="001F59A2" w:rsidRPr="007055B5" w:rsidP="00DB1CA0" w14:paraId="44C8454A" w14:textId="03869822">
            <w:pPr>
              <w:jc w:val="center"/>
              <w:rPr>
                <w:color w:val="000000"/>
              </w:rPr>
            </w:pPr>
            <w:r w:rsidRPr="007055B5">
              <w:rPr>
                <w:color w:val="000000"/>
              </w:rPr>
              <w:t>156</w:t>
            </w:r>
          </w:p>
        </w:tc>
        <w:tc>
          <w:tcPr>
            <w:tcW w:w="1415" w:type="dxa"/>
            <w:tcBorders>
              <w:top w:val="single" w:sz="4" w:space="0" w:color="auto"/>
              <w:left w:val="nil"/>
              <w:bottom w:val="single" w:sz="8" w:space="0" w:color="auto"/>
              <w:right w:val="single" w:sz="4" w:space="0" w:color="auto"/>
            </w:tcBorders>
            <w:shd w:val="clear" w:color="auto" w:fill="auto"/>
            <w:noWrap/>
            <w:vAlign w:val="center"/>
            <w:hideMark/>
          </w:tcPr>
          <w:p w:rsidR="001F59A2" w:rsidRPr="007055B5" w:rsidP="00DB1CA0" w14:paraId="5216F1FC" w14:textId="21DE1457">
            <w:pPr>
              <w:jc w:val="center"/>
              <w:rPr>
                <w:color w:val="000000"/>
              </w:rPr>
            </w:pPr>
            <w:r w:rsidRPr="007055B5">
              <w:rPr>
                <w:color w:val="000000"/>
              </w:rPr>
              <w:t>156</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rsidR="001F59A2" w:rsidRPr="007055B5" w:rsidP="00DB1CA0" w14:paraId="554E4309" w14:textId="42F7567C">
            <w:pPr>
              <w:jc w:val="center"/>
              <w:rPr>
                <w:color w:val="000000"/>
              </w:rPr>
            </w:pPr>
            <w:r w:rsidRPr="007055B5">
              <w:rPr>
                <w:color w:val="000000"/>
              </w:rPr>
              <w:t>156</w:t>
            </w:r>
          </w:p>
        </w:tc>
      </w:tr>
      <w:tr w14:paraId="54CD7BE6" w14:textId="77777777" w:rsidTr="00DB1CA0">
        <w:tblPrEx>
          <w:tblW w:w="9440" w:type="dxa"/>
          <w:tblLook w:val="04A0"/>
        </w:tblPrEx>
        <w:trPr>
          <w:trHeight w:val="300"/>
        </w:trPr>
        <w:tc>
          <w:tcPr>
            <w:tcW w:w="1540" w:type="dxa"/>
            <w:vMerge w:val="restart"/>
            <w:tcBorders>
              <w:top w:val="single" w:sz="8" w:space="0" w:color="auto"/>
              <w:left w:val="single" w:sz="8" w:space="0" w:color="auto"/>
              <w:bottom w:val="single" w:sz="4" w:space="0" w:color="auto"/>
              <w:right w:val="single" w:sz="4" w:space="0" w:color="auto"/>
            </w:tcBorders>
            <w:vAlign w:val="center"/>
          </w:tcPr>
          <w:p w:rsidR="001B7478" w:rsidRPr="007055B5" w:rsidP="001B7478" w14:paraId="11DFA724" w14:textId="092F7FAE">
            <w:pPr>
              <w:rPr>
                <w:color w:val="000000"/>
              </w:rPr>
            </w:pPr>
            <w:r>
              <w:rPr>
                <w:color w:val="000000"/>
              </w:rPr>
              <w:t>Primary State Police</w:t>
            </w:r>
          </w:p>
        </w:tc>
        <w:tc>
          <w:tcPr>
            <w:tcW w:w="2593" w:type="dxa"/>
            <w:tcBorders>
              <w:top w:val="single" w:sz="8" w:space="0" w:color="auto"/>
              <w:left w:val="nil"/>
              <w:bottom w:val="single" w:sz="4" w:space="0" w:color="auto"/>
              <w:right w:val="single" w:sz="4" w:space="0" w:color="auto"/>
            </w:tcBorders>
            <w:shd w:val="clear" w:color="auto" w:fill="auto"/>
            <w:noWrap/>
            <w:vAlign w:val="bottom"/>
          </w:tcPr>
          <w:p w:rsidR="001B7478" w:rsidRPr="007055B5" w:rsidP="001B7478" w14:paraId="4C1BC19B" w14:textId="5DF374EA">
            <w:pPr>
              <w:rPr>
                <w:color w:val="000000"/>
              </w:rPr>
            </w:pPr>
            <w:r w:rsidRPr="007055B5">
              <w:rPr>
                <w:b/>
                <w:bCs/>
                <w:color w:val="000000"/>
              </w:rPr>
              <w:t>All</w:t>
            </w:r>
          </w:p>
        </w:tc>
        <w:tc>
          <w:tcPr>
            <w:tcW w:w="1100" w:type="dxa"/>
            <w:tcBorders>
              <w:top w:val="single" w:sz="8" w:space="0" w:color="auto"/>
              <w:left w:val="nil"/>
              <w:bottom w:val="single" w:sz="4" w:space="0" w:color="auto"/>
              <w:right w:val="single" w:sz="4" w:space="0" w:color="auto"/>
            </w:tcBorders>
            <w:shd w:val="clear" w:color="auto" w:fill="auto"/>
            <w:noWrap/>
            <w:vAlign w:val="center"/>
          </w:tcPr>
          <w:p w:rsidR="001B7478" w:rsidRPr="007055B5" w:rsidP="00DB1CA0" w14:paraId="5FDF339E" w14:textId="33F96DC1">
            <w:pPr>
              <w:jc w:val="center"/>
              <w:rPr>
                <w:color w:val="000000"/>
              </w:rPr>
            </w:pPr>
            <w:r>
              <w:rPr>
                <w:b/>
                <w:bCs/>
                <w:color w:val="000000"/>
              </w:rPr>
              <w:t>49</w:t>
            </w:r>
          </w:p>
        </w:tc>
        <w:tc>
          <w:tcPr>
            <w:tcW w:w="1204" w:type="dxa"/>
            <w:tcBorders>
              <w:top w:val="single" w:sz="8" w:space="0" w:color="auto"/>
              <w:left w:val="nil"/>
              <w:bottom w:val="single" w:sz="4" w:space="0" w:color="auto"/>
              <w:right w:val="single" w:sz="4" w:space="0" w:color="auto"/>
            </w:tcBorders>
            <w:shd w:val="clear" w:color="auto" w:fill="auto"/>
            <w:noWrap/>
            <w:vAlign w:val="center"/>
          </w:tcPr>
          <w:p w:rsidR="001B7478" w:rsidRPr="007055B5" w:rsidP="00DB1CA0" w14:paraId="10CC2C36" w14:textId="5672D17A">
            <w:pPr>
              <w:jc w:val="center"/>
              <w:rPr>
                <w:color w:val="000000"/>
              </w:rPr>
            </w:pPr>
            <w:r>
              <w:rPr>
                <w:b/>
                <w:bCs/>
                <w:color w:val="000000"/>
              </w:rPr>
              <w:t>17</w:t>
            </w:r>
          </w:p>
        </w:tc>
        <w:tc>
          <w:tcPr>
            <w:tcW w:w="1415" w:type="dxa"/>
            <w:tcBorders>
              <w:top w:val="single" w:sz="8" w:space="0" w:color="auto"/>
              <w:left w:val="nil"/>
              <w:bottom w:val="single" w:sz="4" w:space="0" w:color="auto"/>
              <w:right w:val="single" w:sz="4" w:space="0" w:color="auto"/>
            </w:tcBorders>
            <w:shd w:val="clear" w:color="auto" w:fill="auto"/>
            <w:noWrap/>
            <w:vAlign w:val="center"/>
          </w:tcPr>
          <w:p w:rsidR="001B7478" w:rsidRPr="007055B5" w:rsidP="00DB1CA0" w14:paraId="03C8D81B" w14:textId="6CE91012">
            <w:pPr>
              <w:jc w:val="center"/>
              <w:rPr>
                <w:color w:val="000000"/>
              </w:rPr>
            </w:pPr>
            <w:r>
              <w:rPr>
                <w:b/>
                <w:bCs/>
                <w:color w:val="000000"/>
              </w:rPr>
              <w:t>16</w:t>
            </w:r>
          </w:p>
        </w:tc>
        <w:tc>
          <w:tcPr>
            <w:tcW w:w="1588" w:type="dxa"/>
            <w:tcBorders>
              <w:top w:val="single" w:sz="8" w:space="0" w:color="auto"/>
              <w:left w:val="nil"/>
              <w:bottom w:val="single" w:sz="4" w:space="0" w:color="auto"/>
              <w:right w:val="single" w:sz="8" w:space="0" w:color="auto"/>
            </w:tcBorders>
            <w:shd w:val="clear" w:color="auto" w:fill="auto"/>
            <w:noWrap/>
            <w:vAlign w:val="center"/>
          </w:tcPr>
          <w:p w:rsidR="001B7478" w:rsidRPr="007055B5" w:rsidP="00DB1CA0" w14:paraId="4B173809" w14:textId="062FFBA2">
            <w:pPr>
              <w:jc w:val="center"/>
              <w:rPr>
                <w:color w:val="000000"/>
              </w:rPr>
            </w:pPr>
            <w:r>
              <w:rPr>
                <w:b/>
                <w:bCs/>
                <w:color w:val="000000"/>
              </w:rPr>
              <w:t>16</w:t>
            </w:r>
          </w:p>
        </w:tc>
      </w:tr>
      <w:tr w14:paraId="2F2703FA" w14:textId="77777777" w:rsidTr="00DB1CA0">
        <w:tblPrEx>
          <w:tblW w:w="9440" w:type="dxa"/>
          <w:tblLook w:val="04A0"/>
        </w:tblPrEx>
        <w:trPr>
          <w:trHeight w:val="300"/>
        </w:trPr>
        <w:tc>
          <w:tcPr>
            <w:tcW w:w="1540" w:type="dxa"/>
            <w:vMerge/>
            <w:tcBorders>
              <w:left w:val="single" w:sz="8" w:space="0" w:color="auto"/>
              <w:bottom w:val="single" w:sz="4" w:space="0" w:color="auto"/>
              <w:right w:val="single" w:sz="4" w:space="0" w:color="auto"/>
            </w:tcBorders>
            <w:vAlign w:val="center"/>
          </w:tcPr>
          <w:p w:rsidR="001B7478" w:rsidRPr="007055B5" w:rsidP="001B7478" w14:paraId="006500A9" w14:textId="77777777">
            <w:pPr>
              <w:rPr>
                <w:color w:val="000000"/>
              </w:rPr>
            </w:pPr>
          </w:p>
        </w:tc>
        <w:tc>
          <w:tcPr>
            <w:tcW w:w="2593" w:type="dxa"/>
            <w:tcBorders>
              <w:top w:val="single" w:sz="4" w:space="0" w:color="auto"/>
              <w:left w:val="nil"/>
              <w:bottom w:val="single" w:sz="4" w:space="0" w:color="auto"/>
              <w:right w:val="single" w:sz="4" w:space="0" w:color="auto"/>
            </w:tcBorders>
            <w:shd w:val="clear" w:color="auto" w:fill="auto"/>
            <w:noWrap/>
            <w:vAlign w:val="bottom"/>
          </w:tcPr>
          <w:p w:rsidR="001B7478" w:rsidRPr="007055B5" w:rsidP="001B7478" w14:paraId="3DD712EF" w14:textId="06D04E0A">
            <w:pPr>
              <w:rPr>
                <w:b/>
                <w:bCs/>
                <w:color w:val="000000"/>
              </w:rPr>
            </w:pPr>
            <w:r w:rsidRPr="007055B5">
              <w:rPr>
                <w:color w:val="000000"/>
              </w:rPr>
              <w:t>Large (FTE &gt; 99.9)</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B7478" w:rsidRPr="007055B5" w:rsidP="00DB1CA0" w14:paraId="7EFE35DC" w14:textId="2CAD7B88">
            <w:pPr>
              <w:jc w:val="center"/>
              <w:rPr>
                <w:b/>
                <w:bCs/>
                <w:color w:val="000000"/>
              </w:rPr>
            </w:pPr>
            <w:r>
              <w:rPr>
                <w:color w:val="000000"/>
              </w:rPr>
              <w:t>49</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1B7478" w:rsidRPr="007055B5" w:rsidP="00DB1CA0" w14:paraId="79653BBE" w14:textId="68B55474">
            <w:pPr>
              <w:jc w:val="center"/>
              <w:rPr>
                <w:b/>
                <w:bCs/>
                <w:color w:val="000000"/>
              </w:rPr>
            </w:pPr>
            <w:r>
              <w:rPr>
                <w:color w:val="000000"/>
              </w:rPr>
              <w:t>17</w:t>
            </w:r>
          </w:p>
        </w:tc>
        <w:tc>
          <w:tcPr>
            <w:tcW w:w="1415" w:type="dxa"/>
            <w:tcBorders>
              <w:top w:val="single" w:sz="4" w:space="0" w:color="auto"/>
              <w:left w:val="nil"/>
              <w:bottom w:val="single" w:sz="4" w:space="0" w:color="auto"/>
              <w:right w:val="single" w:sz="4" w:space="0" w:color="auto"/>
            </w:tcBorders>
            <w:shd w:val="clear" w:color="auto" w:fill="auto"/>
            <w:noWrap/>
            <w:vAlign w:val="center"/>
          </w:tcPr>
          <w:p w:rsidR="001B7478" w:rsidRPr="007055B5" w:rsidP="00DB1CA0" w14:paraId="3BB1EDEC" w14:textId="045E0A09">
            <w:pPr>
              <w:jc w:val="center"/>
              <w:rPr>
                <w:b/>
                <w:bCs/>
                <w:color w:val="000000"/>
              </w:rPr>
            </w:pPr>
            <w:r>
              <w:rPr>
                <w:color w:val="000000"/>
              </w:rPr>
              <w:t>16</w:t>
            </w:r>
          </w:p>
        </w:tc>
        <w:tc>
          <w:tcPr>
            <w:tcW w:w="1588" w:type="dxa"/>
            <w:tcBorders>
              <w:top w:val="single" w:sz="4" w:space="0" w:color="auto"/>
              <w:left w:val="nil"/>
              <w:bottom w:val="single" w:sz="4" w:space="0" w:color="auto"/>
              <w:right w:val="single" w:sz="8" w:space="0" w:color="auto"/>
            </w:tcBorders>
            <w:shd w:val="clear" w:color="auto" w:fill="auto"/>
            <w:noWrap/>
            <w:vAlign w:val="center"/>
          </w:tcPr>
          <w:p w:rsidR="001B7478" w:rsidRPr="007055B5" w:rsidP="00DB1CA0" w14:paraId="340140FD" w14:textId="4A15887D">
            <w:pPr>
              <w:jc w:val="center"/>
              <w:rPr>
                <w:b/>
                <w:bCs/>
                <w:color w:val="000000"/>
              </w:rPr>
            </w:pPr>
            <w:r>
              <w:rPr>
                <w:color w:val="000000"/>
              </w:rPr>
              <w:t>16</w:t>
            </w:r>
          </w:p>
        </w:tc>
      </w:tr>
      <w:tr w14:paraId="23D10EC0" w14:textId="77777777" w:rsidTr="00D82900">
        <w:tblPrEx>
          <w:tblW w:w="9440" w:type="dxa"/>
          <w:tblLook w:val="04A0"/>
        </w:tblPrEx>
        <w:trPr>
          <w:trHeight w:val="300"/>
        </w:trPr>
        <w:tc>
          <w:tcPr>
            <w:tcW w:w="1540" w:type="dxa"/>
            <w:vMerge/>
            <w:tcBorders>
              <w:left w:val="single" w:sz="8" w:space="0" w:color="auto"/>
              <w:bottom w:val="single" w:sz="8" w:space="0" w:color="auto"/>
              <w:right w:val="single" w:sz="4" w:space="0" w:color="auto"/>
            </w:tcBorders>
            <w:vAlign w:val="center"/>
          </w:tcPr>
          <w:p w:rsidR="001B7478" w:rsidRPr="007055B5" w:rsidP="001B7478" w14:paraId="18B2B8BB" w14:textId="77777777">
            <w:pPr>
              <w:rPr>
                <w:color w:val="000000"/>
              </w:rPr>
            </w:pPr>
          </w:p>
        </w:tc>
        <w:tc>
          <w:tcPr>
            <w:tcW w:w="2593" w:type="dxa"/>
            <w:tcBorders>
              <w:top w:val="single" w:sz="4" w:space="0" w:color="auto"/>
              <w:left w:val="nil"/>
              <w:bottom w:val="single" w:sz="8" w:space="0" w:color="auto"/>
              <w:right w:val="single" w:sz="4" w:space="0" w:color="auto"/>
            </w:tcBorders>
            <w:shd w:val="clear" w:color="auto" w:fill="auto"/>
            <w:noWrap/>
            <w:vAlign w:val="bottom"/>
          </w:tcPr>
          <w:p w:rsidR="001B7478" w:rsidRPr="007055B5" w:rsidP="001B7478" w14:paraId="1B65A2B8" w14:textId="262FAEEC">
            <w:pPr>
              <w:rPr>
                <w:color w:val="000000"/>
              </w:rPr>
            </w:pPr>
            <w:r w:rsidRPr="007055B5">
              <w:rPr>
                <w:color w:val="000000"/>
              </w:rPr>
              <w:t>Non-Large (FTE &lt;= 99.9)</w:t>
            </w:r>
          </w:p>
        </w:tc>
        <w:tc>
          <w:tcPr>
            <w:tcW w:w="1100" w:type="dxa"/>
            <w:tcBorders>
              <w:top w:val="single" w:sz="4" w:space="0" w:color="auto"/>
              <w:left w:val="nil"/>
              <w:bottom w:val="single" w:sz="8" w:space="0" w:color="auto"/>
              <w:right w:val="single" w:sz="4" w:space="0" w:color="auto"/>
            </w:tcBorders>
            <w:shd w:val="clear" w:color="auto" w:fill="auto"/>
            <w:noWrap/>
            <w:vAlign w:val="center"/>
          </w:tcPr>
          <w:p w:rsidR="001B7478" w:rsidRPr="007055B5" w:rsidP="00DB1CA0" w14:paraId="25203CF2" w14:textId="3A2659ED">
            <w:pPr>
              <w:jc w:val="center"/>
              <w:rPr>
                <w:color w:val="000000"/>
              </w:rPr>
            </w:pPr>
            <w:r>
              <w:rPr>
                <w:color w:val="000000"/>
              </w:rPr>
              <w:t>0</w:t>
            </w:r>
          </w:p>
        </w:tc>
        <w:tc>
          <w:tcPr>
            <w:tcW w:w="1204" w:type="dxa"/>
            <w:tcBorders>
              <w:top w:val="single" w:sz="4" w:space="0" w:color="auto"/>
              <w:left w:val="nil"/>
              <w:bottom w:val="single" w:sz="8" w:space="0" w:color="auto"/>
              <w:right w:val="single" w:sz="4" w:space="0" w:color="auto"/>
            </w:tcBorders>
            <w:shd w:val="clear" w:color="auto" w:fill="auto"/>
            <w:noWrap/>
            <w:vAlign w:val="center"/>
          </w:tcPr>
          <w:p w:rsidR="001B7478" w:rsidRPr="007055B5" w:rsidP="00DB1CA0" w14:paraId="60CECA0F" w14:textId="7DEFA30F">
            <w:pPr>
              <w:jc w:val="center"/>
              <w:rPr>
                <w:color w:val="000000"/>
              </w:rPr>
            </w:pPr>
            <w:r>
              <w:rPr>
                <w:color w:val="000000"/>
              </w:rPr>
              <w:t>0</w:t>
            </w:r>
          </w:p>
        </w:tc>
        <w:tc>
          <w:tcPr>
            <w:tcW w:w="1415" w:type="dxa"/>
            <w:tcBorders>
              <w:top w:val="single" w:sz="4" w:space="0" w:color="auto"/>
              <w:left w:val="nil"/>
              <w:bottom w:val="single" w:sz="8" w:space="0" w:color="auto"/>
              <w:right w:val="single" w:sz="4" w:space="0" w:color="auto"/>
            </w:tcBorders>
            <w:shd w:val="clear" w:color="auto" w:fill="auto"/>
            <w:noWrap/>
            <w:vAlign w:val="center"/>
          </w:tcPr>
          <w:p w:rsidR="001B7478" w:rsidRPr="007055B5" w:rsidP="00DB1CA0" w14:paraId="782A797D" w14:textId="10F4CDF8">
            <w:pPr>
              <w:jc w:val="center"/>
              <w:rPr>
                <w:color w:val="000000"/>
              </w:rPr>
            </w:pPr>
            <w:r>
              <w:rPr>
                <w:color w:val="000000"/>
              </w:rPr>
              <w:t>0</w:t>
            </w:r>
          </w:p>
        </w:tc>
        <w:tc>
          <w:tcPr>
            <w:tcW w:w="1588" w:type="dxa"/>
            <w:tcBorders>
              <w:top w:val="single" w:sz="4" w:space="0" w:color="auto"/>
              <w:left w:val="nil"/>
              <w:bottom w:val="single" w:sz="8" w:space="0" w:color="auto"/>
              <w:right w:val="single" w:sz="8" w:space="0" w:color="auto"/>
            </w:tcBorders>
            <w:shd w:val="clear" w:color="auto" w:fill="auto"/>
            <w:noWrap/>
            <w:vAlign w:val="center"/>
          </w:tcPr>
          <w:p w:rsidR="001B7478" w:rsidRPr="007055B5" w:rsidP="00DB1CA0" w14:paraId="10839AA9" w14:textId="4FB8E9B6">
            <w:pPr>
              <w:jc w:val="center"/>
              <w:rPr>
                <w:color w:val="000000"/>
              </w:rPr>
            </w:pPr>
            <w:r>
              <w:rPr>
                <w:color w:val="000000"/>
              </w:rPr>
              <w:t>0</w:t>
            </w:r>
          </w:p>
        </w:tc>
      </w:tr>
      <w:tr w14:paraId="6811BBC9" w14:textId="77777777" w:rsidTr="00DB1CA0">
        <w:tblPrEx>
          <w:tblW w:w="9440" w:type="dxa"/>
          <w:tblLook w:val="04A0"/>
        </w:tblPrEx>
        <w:trPr>
          <w:trHeight w:val="300"/>
        </w:trPr>
        <w:tc>
          <w:tcPr>
            <w:tcW w:w="1540" w:type="dxa"/>
            <w:vMerge w:val="restart"/>
            <w:tcBorders>
              <w:top w:val="single" w:sz="8" w:space="0" w:color="auto"/>
              <w:left w:val="single" w:sz="8" w:space="0" w:color="auto"/>
              <w:right w:val="single" w:sz="4" w:space="0" w:color="auto"/>
            </w:tcBorders>
            <w:vAlign w:val="center"/>
          </w:tcPr>
          <w:p w:rsidR="00E304FF" w:rsidRPr="007055B5" w:rsidP="00E304FF" w14:paraId="0217AB0D" w14:textId="247610AC">
            <w:pPr>
              <w:rPr>
                <w:color w:val="000000"/>
              </w:rPr>
            </w:pPr>
            <w:r>
              <w:rPr>
                <w:color w:val="000000"/>
              </w:rPr>
              <w:t>All Agency Types</w:t>
            </w:r>
          </w:p>
        </w:tc>
        <w:tc>
          <w:tcPr>
            <w:tcW w:w="2593" w:type="dxa"/>
            <w:tcBorders>
              <w:top w:val="single" w:sz="8" w:space="0" w:color="auto"/>
              <w:left w:val="nil"/>
              <w:bottom w:val="single" w:sz="4" w:space="0" w:color="auto"/>
              <w:right w:val="single" w:sz="4" w:space="0" w:color="auto"/>
            </w:tcBorders>
            <w:shd w:val="clear" w:color="auto" w:fill="auto"/>
            <w:noWrap/>
            <w:vAlign w:val="bottom"/>
          </w:tcPr>
          <w:p w:rsidR="00E304FF" w:rsidRPr="007055B5" w:rsidP="00E304FF" w14:paraId="6109BF21" w14:textId="598A24A7">
            <w:pPr>
              <w:rPr>
                <w:color w:val="000000"/>
              </w:rPr>
            </w:pPr>
            <w:r w:rsidRPr="007055B5">
              <w:rPr>
                <w:b/>
                <w:bCs/>
                <w:color w:val="000000"/>
              </w:rPr>
              <w:t>All</w:t>
            </w:r>
          </w:p>
        </w:tc>
        <w:tc>
          <w:tcPr>
            <w:tcW w:w="1100" w:type="dxa"/>
            <w:tcBorders>
              <w:top w:val="single" w:sz="8" w:space="0" w:color="auto"/>
              <w:left w:val="nil"/>
              <w:bottom w:val="single" w:sz="4" w:space="0" w:color="auto"/>
              <w:right w:val="single" w:sz="4" w:space="0" w:color="auto"/>
            </w:tcBorders>
            <w:shd w:val="clear" w:color="auto" w:fill="auto"/>
            <w:noWrap/>
            <w:vAlign w:val="center"/>
          </w:tcPr>
          <w:p w:rsidR="00E304FF" w:rsidRPr="00D82900" w:rsidP="00DB1CA0" w14:paraId="4DF631AD" w14:textId="3D05FCA1">
            <w:pPr>
              <w:jc w:val="center"/>
              <w:rPr>
                <w:b/>
                <w:bCs/>
                <w:color w:val="000000"/>
              </w:rPr>
            </w:pPr>
            <w:r w:rsidRPr="00D82900">
              <w:rPr>
                <w:b/>
                <w:bCs/>
              </w:rPr>
              <w:t>3,500</w:t>
            </w:r>
          </w:p>
        </w:tc>
        <w:tc>
          <w:tcPr>
            <w:tcW w:w="1204" w:type="dxa"/>
            <w:tcBorders>
              <w:top w:val="single" w:sz="8" w:space="0" w:color="auto"/>
              <w:left w:val="nil"/>
              <w:bottom w:val="single" w:sz="4" w:space="0" w:color="auto"/>
              <w:right w:val="single" w:sz="4" w:space="0" w:color="auto"/>
            </w:tcBorders>
            <w:shd w:val="clear" w:color="auto" w:fill="auto"/>
            <w:noWrap/>
            <w:vAlign w:val="center"/>
          </w:tcPr>
          <w:p w:rsidR="00E304FF" w:rsidRPr="00D82900" w:rsidP="00DB1CA0" w14:paraId="78DC9EC6" w14:textId="4EDBA53F">
            <w:pPr>
              <w:jc w:val="center"/>
              <w:rPr>
                <w:b/>
                <w:bCs/>
                <w:color w:val="000000"/>
              </w:rPr>
            </w:pPr>
            <w:r w:rsidRPr="00D82900">
              <w:rPr>
                <w:b/>
                <w:bCs/>
              </w:rPr>
              <w:t>1,168</w:t>
            </w:r>
          </w:p>
        </w:tc>
        <w:tc>
          <w:tcPr>
            <w:tcW w:w="1415" w:type="dxa"/>
            <w:tcBorders>
              <w:top w:val="single" w:sz="8" w:space="0" w:color="auto"/>
              <w:left w:val="nil"/>
              <w:bottom w:val="single" w:sz="4" w:space="0" w:color="auto"/>
              <w:right w:val="single" w:sz="4" w:space="0" w:color="auto"/>
            </w:tcBorders>
            <w:shd w:val="clear" w:color="auto" w:fill="auto"/>
            <w:noWrap/>
            <w:vAlign w:val="center"/>
          </w:tcPr>
          <w:p w:rsidR="00E304FF" w:rsidRPr="00D82900" w:rsidP="00DB1CA0" w14:paraId="42C40578" w14:textId="6F0785CD">
            <w:pPr>
              <w:jc w:val="center"/>
              <w:rPr>
                <w:b/>
                <w:bCs/>
                <w:color w:val="000000"/>
              </w:rPr>
            </w:pPr>
            <w:r w:rsidRPr="00D82900">
              <w:rPr>
                <w:b/>
                <w:bCs/>
              </w:rPr>
              <w:t>1,166</w:t>
            </w:r>
          </w:p>
        </w:tc>
        <w:tc>
          <w:tcPr>
            <w:tcW w:w="1588" w:type="dxa"/>
            <w:tcBorders>
              <w:top w:val="single" w:sz="8" w:space="0" w:color="auto"/>
              <w:left w:val="nil"/>
              <w:bottom w:val="single" w:sz="4" w:space="0" w:color="auto"/>
              <w:right w:val="single" w:sz="8" w:space="0" w:color="auto"/>
            </w:tcBorders>
            <w:shd w:val="clear" w:color="auto" w:fill="auto"/>
            <w:noWrap/>
            <w:vAlign w:val="center"/>
          </w:tcPr>
          <w:p w:rsidR="00E304FF" w:rsidRPr="00D82900" w:rsidP="00DB1CA0" w14:paraId="7512AA07" w14:textId="6A2F3DA9">
            <w:pPr>
              <w:jc w:val="center"/>
              <w:rPr>
                <w:b/>
                <w:bCs/>
                <w:color w:val="000000"/>
              </w:rPr>
            </w:pPr>
            <w:r w:rsidRPr="00D82900">
              <w:rPr>
                <w:b/>
                <w:bCs/>
              </w:rPr>
              <w:t>1,166</w:t>
            </w:r>
          </w:p>
        </w:tc>
      </w:tr>
      <w:tr w14:paraId="70F1D143" w14:textId="77777777" w:rsidTr="00DB1CA0">
        <w:tblPrEx>
          <w:tblW w:w="9440" w:type="dxa"/>
          <w:tblLook w:val="04A0"/>
        </w:tblPrEx>
        <w:trPr>
          <w:trHeight w:val="300"/>
        </w:trPr>
        <w:tc>
          <w:tcPr>
            <w:tcW w:w="1540" w:type="dxa"/>
            <w:vMerge/>
            <w:tcBorders>
              <w:left w:val="single" w:sz="8" w:space="0" w:color="auto"/>
              <w:right w:val="single" w:sz="4" w:space="0" w:color="auto"/>
            </w:tcBorders>
            <w:vAlign w:val="center"/>
          </w:tcPr>
          <w:p w:rsidR="00E304FF" w:rsidRPr="007055B5" w:rsidP="00E304FF" w14:paraId="06A332F8" w14:textId="77777777">
            <w:pPr>
              <w:rPr>
                <w:color w:val="000000"/>
              </w:rPr>
            </w:pPr>
          </w:p>
        </w:tc>
        <w:tc>
          <w:tcPr>
            <w:tcW w:w="2593" w:type="dxa"/>
            <w:tcBorders>
              <w:top w:val="single" w:sz="4" w:space="0" w:color="auto"/>
              <w:left w:val="nil"/>
              <w:bottom w:val="single" w:sz="4" w:space="0" w:color="auto"/>
              <w:right w:val="single" w:sz="4" w:space="0" w:color="auto"/>
            </w:tcBorders>
            <w:shd w:val="clear" w:color="auto" w:fill="auto"/>
            <w:noWrap/>
            <w:vAlign w:val="bottom"/>
          </w:tcPr>
          <w:p w:rsidR="00E304FF" w:rsidRPr="007055B5" w:rsidP="00E304FF" w14:paraId="3DE7174E" w14:textId="07F5D9E0">
            <w:pPr>
              <w:rPr>
                <w:b/>
                <w:bCs/>
                <w:color w:val="000000"/>
              </w:rPr>
            </w:pPr>
            <w:r w:rsidRPr="007055B5">
              <w:rPr>
                <w:color w:val="000000"/>
              </w:rPr>
              <w:t>Large (FTE &gt; 99.9)</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E304FF" w:rsidRPr="007055B5" w:rsidP="00DB1CA0" w14:paraId="6575E28D" w14:textId="6A2E6F01">
            <w:pPr>
              <w:jc w:val="center"/>
              <w:rPr>
                <w:b/>
                <w:bCs/>
                <w:color w:val="000000"/>
              </w:rPr>
            </w:pPr>
            <w:r w:rsidRPr="00DC1DDA">
              <w:t>1,087</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E304FF" w:rsidRPr="007055B5" w:rsidP="00DB1CA0" w14:paraId="7681258B" w14:textId="54CE1CB5">
            <w:pPr>
              <w:jc w:val="center"/>
              <w:rPr>
                <w:b/>
                <w:bCs/>
                <w:color w:val="000000"/>
              </w:rPr>
            </w:pPr>
            <w:r w:rsidRPr="00DC1DDA">
              <w:t>363</w:t>
            </w:r>
          </w:p>
        </w:tc>
        <w:tc>
          <w:tcPr>
            <w:tcW w:w="1415" w:type="dxa"/>
            <w:tcBorders>
              <w:top w:val="single" w:sz="4" w:space="0" w:color="auto"/>
              <w:left w:val="nil"/>
              <w:bottom w:val="single" w:sz="4" w:space="0" w:color="auto"/>
              <w:right w:val="single" w:sz="4" w:space="0" w:color="auto"/>
            </w:tcBorders>
            <w:shd w:val="clear" w:color="auto" w:fill="auto"/>
            <w:noWrap/>
            <w:vAlign w:val="center"/>
          </w:tcPr>
          <w:p w:rsidR="00E304FF" w:rsidRPr="007055B5" w:rsidP="00DB1CA0" w14:paraId="538A3C08" w14:textId="0DD1165E">
            <w:pPr>
              <w:jc w:val="center"/>
              <w:rPr>
                <w:b/>
                <w:bCs/>
                <w:color w:val="000000"/>
              </w:rPr>
            </w:pPr>
            <w:r w:rsidRPr="00DC1DDA">
              <w:t>362</w:t>
            </w:r>
          </w:p>
        </w:tc>
        <w:tc>
          <w:tcPr>
            <w:tcW w:w="1588" w:type="dxa"/>
            <w:tcBorders>
              <w:top w:val="single" w:sz="4" w:space="0" w:color="auto"/>
              <w:left w:val="nil"/>
              <w:bottom w:val="single" w:sz="4" w:space="0" w:color="auto"/>
              <w:right w:val="single" w:sz="8" w:space="0" w:color="auto"/>
            </w:tcBorders>
            <w:shd w:val="clear" w:color="auto" w:fill="auto"/>
            <w:noWrap/>
            <w:vAlign w:val="center"/>
          </w:tcPr>
          <w:p w:rsidR="00E304FF" w:rsidRPr="007055B5" w:rsidP="00DB1CA0" w14:paraId="792DE687" w14:textId="0CC81D31">
            <w:pPr>
              <w:jc w:val="center"/>
              <w:rPr>
                <w:b/>
                <w:bCs/>
                <w:color w:val="000000"/>
              </w:rPr>
            </w:pPr>
            <w:r w:rsidRPr="00DC1DDA">
              <w:t>362</w:t>
            </w:r>
          </w:p>
        </w:tc>
      </w:tr>
      <w:tr w14:paraId="412EA737" w14:textId="77777777" w:rsidTr="00D82900">
        <w:tblPrEx>
          <w:tblW w:w="9440" w:type="dxa"/>
          <w:tblLook w:val="04A0"/>
        </w:tblPrEx>
        <w:trPr>
          <w:trHeight w:val="300"/>
        </w:trPr>
        <w:tc>
          <w:tcPr>
            <w:tcW w:w="1540" w:type="dxa"/>
            <w:vMerge/>
            <w:tcBorders>
              <w:left w:val="single" w:sz="8" w:space="0" w:color="auto"/>
              <w:bottom w:val="single" w:sz="8" w:space="0" w:color="000000"/>
              <w:right w:val="single" w:sz="4" w:space="0" w:color="auto"/>
            </w:tcBorders>
            <w:vAlign w:val="center"/>
          </w:tcPr>
          <w:p w:rsidR="00E304FF" w:rsidRPr="007055B5" w:rsidP="00E304FF" w14:paraId="71ABCC51" w14:textId="77777777">
            <w:pPr>
              <w:rPr>
                <w:color w:val="000000"/>
              </w:rPr>
            </w:pPr>
          </w:p>
        </w:tc>
        <w:tc>
          <w:tcPr>
            <w:tcW w:w="2593" w:type="dxa"/>
            <w:tcBorders>
              <w:top w:val="single" w:sz="4" w:space="0" w:color="auto"/>
              <w:left w:val="nil"/>
              <w:bottom w:val="single" w:sz="8" w:space="0" w:color="auto"/>
              <w:right w:val="single" w:sz="4" w:space="0" w:color="auto"/>
            </w:tcBorders>
            <w:shd w:val="clear" w:color="auto" w:fill="auto"/>
            <w:noWrap/>
            <w:vAlign w:val="bottom"/>
          </w:tcPr>
          <w:p w:rsidR="00E304FF" w:rsidRPr="007055B5" w:rsidP="00E304FF" w14:paraId="66CA3669" w14:textId="35D1C644">
            <w:pPr>
              <w:rPr>
                <w:color w:val="000000"/>
              </w:rPr>
            </w:pPr>
            <w:r w:rsidRPr="007055B5">
              <w:rPr>
                <w:color w:val="000000"/>
              </w:rPr>
              <w:t>Non-Large (FTE &lt;= 99.9)</w:t>
            </w:r>
          </w:p>
        </w:tc>
        <w:tc>
          <w:tcPr>
            <w:tcW w:w="1100" w:type="dxa"/>
            <w:tcBorders>
              <w:top w:val="single" w:sz="4" w:space="0" w:color="auto"/>
              <w:left w:val="nil"/>
              <w:bottom w:val="single" w:sz="8" w:space="0" w:color="auto"/>
              <w:right w:val="single" w:sz="4" w:space="0" w:color="auto"/>
            </w:tcBorders>
            <w:shd w:val="clear" w:color="auto" w:fill="auto"/>
            <w:noWrap/>
            <w:vAlign w:val="center"/>
          </w:tcPr>
          <w:p w:rsidR="00E304FF" w:rsidRPr="007055B5" w:rsidP="00DB1CA0" w14:paraId="76964510" w14:textId="579CD607">
            <w:pPr>
              <w:jc w:val="center"/>
              <w:rPr>
                <w:color w:val="000000"/>
              </w:rPr>
            </w:pPr>
            <w:r w:rsidRPr="00DC1DDA">
              <w:t>2,413</w:t>
            </w:r>
          </w:p>
        </w:tc>
        <w:tc>
          <w:tcPr>
            <w:tcW w:w="1204" w:type="dxa"/>
            <w:tcBorders>
              <w:top w:val="single" w:sz="4" w:space="0" w:color="auto"/>
              <w:left w:val="nil"/>
              <w:bottom w:val="single" w:sz="8" w:space="0" w:color="auto"/>
              <w:right w:val="single" w:sz="4" w:space="0" w:color="auto"/>
            </w:tcBorders>
            <w:shd w:val="clear" w:color="auto" w:fill="auto"/>
            <w:noWrap/>
            <w:vAlign w:val="center"/>
          </w:tcPr>
          <w:p w:rsidR="00E304FF" w:rsidRPr="007055B5" w:rsidP="00DB1CA0" w14:paraId="7DE47EBB" w14:textId="409E708C">
            <w:pPr>
              <w:jc w:val="center"/>
              <w:rPr>
                <w:color w:val="000000"/>
              </w:rPr>
            </w:pPr>
            <w:r w:rsidRPr="00DC1DDA">
              <w:t>805</w:t>
            </w:r>
          </w:p>
        </w:tc>
        <w:tc>
          <w:tcPr>
            <w:tcW w:w="1415" w:type="dxa"/>
            <w:tcBorders>
              <w:top w:val="single" w:sz="4" w:space="0" w:color="auto"/>
              <w:left w:val="nil"/>
              <w:bottom w:val="single" w:sz="8" w:space="0" w:color="auto"/>
              <w:right w:val="single" w:sz="4" w:space="0" w:color="auto"/>
            </w:tcBorders>
            <w:shd w:val="clear" w:color="auto" w:fill="auto"/>
            <w:noWrap/>
            <w:vAlign w:val="center"/>
          </w:tcPr>
          <w:p w:rsidR="00E304FF" w:rsidRPr="007055B5" w:rsidP="00DB1CA0" w14:paraId="41DEB8F4" w14:textId="3E02FB1A">
            <w:pPr>
              <w:jc w:val="center"/>
              <w:rPr>
                <w:color w:val="000000"/>
              </w:rPr>
            </w:pPr>
            <w:r w:rsidRPr="00DC1DDA">
              <w:t>804</w:t>
            </w:r>
          </w:p>
        </w:tc>
        <w:tc>
          <w:tcPr>
            <w:tcW w:w="1588" w:type="dxa"/>
            <w:tcBorders>
              <w:top w:val="single" w:sz="4" w:space="0" w:color="auto"/>
              <w:left w:val="nil"/>
              <w:bottom w:val="single" w:sz="8" w:space="0" w:color="auto"/>
              <w:right w:val="single" w:sz="8" w:space="0" w:color="auto"/>
            </w:tcBorders>
            <w:shd w:val="clear" w:color="auto" w:fill="auto"/>
            <w:noWrap/>
            <w:vAlign w:val="center"/>
          </w:tcPr>
          <w:p w:rsidR="00E304FF" w:rsidRPr="007055B5" w:rsidP="00DB1CA0" w14:paraId="186A4D92" w14:textId="12A9552A">
            <w:pPr>
              <w:jc w:val="center"/>
              <w:rPr>
                <w:color w:val="000000"/>
              </w:rPr>
            </w:pPr>
            <w:r w:rsidRPr="00DC1DDA">
              <w:t>804</w:t>
            </w:r>
          </w:p>
        </w:tc>
      </w:tr>
    </w:tbl>
    <w:p w:rsidR="00D25E15" w:rsidP="00660FFC" w14:paraId="3DA89DD3" w14:textId="77777777"/>
    <w:p w:rsidR="00660FFC" w:rsidP="00660FFC" w14:paraId="4419D6A3" w14:textId="3C08FD31">
      <w:r>
        <w:t xml:space="preserve">The experiment analysis will </w:t>
      </w:r>
      <w:r w:rsidR="00012B79">
        <w:t>include</w:t>
      </w:r>
      <w:r>
        <w:t xml:space="preserve"> the following data between groups: days to submit the survey, data quality for the survey items </w:t>
      </w:r>
      <w:r w:rsidR="009E3F04">
        <w:t xml:space="preserve">that are also </w:t>
      </w:r>
      <w:r>
        <w:t>included on the worksheet (item missingness, number of edit failures on web, and breakoff status), and duration in minutes to complete survey on web. Web respondents will be asked if they reviewed or used the hardcopy instrument or worksheet, and if they found it helpful in preparing responses</w:t>
      </w:r>
      <w:r w:rsidR="009E3F04">
        <w:t xml:space="preserve"> at the end of the survey</w:t>
      </w:r>
      <w:r>
        <w:t xml:space="preserve">. </w:t>
      </w:r>
      <w:r w:rsidR="009E3F04">
        <w:t xml:space="preserve">While all agencies will be </w:t>
      </w:r>
      <w:r w:rsidR="00D42B9E">
        <w:t>involved in the experiment</w:t>
      </w:r>
      <w:r w:rsidR="009E3F04">
        <w:t>, only</w:t>
      </w:r>
      <w:r>
        <w:t xml:space="preserve"> agencies </w:t>
      </w:r>
      <w:r w:rsidR="009E3F04">
        <w:t xml:space="preserve">that have responded </w:t>
      </w:r>
      <w:r w:rsidR="009E3F04">
        <w:t>before the hard copy survey is sent in the fourth reminder (</w:t>
      </w:r>
      <w:r w:rsidRPr="00AB4688" w:rsidR="009E3F04">
        <w:t xml:space="preserve">week </w:t>
      </w:r>
      <w:r w:rsidRPr="00A747BF" w:rsidR="00D42B9E">
        <w:t>8</w:t>
      </w:r>
      <w:r w:rsidRPr="00AB4688" w:rsidR="009E3F04">
        <w:t>)</w:t>
      </w:r>
      <w:r w:rsidR="009E3F04">
        <w:t xml:space="preserve"> will </w:t>
      </w:r>
      <w:r>
        <w:t>be included in this analysis</w:t>
      </w:r>
      <w:r w:rsidR="009E3F04">
        <w:t>.</w:t>
      </w:r>
      <w:r>
        <w:t xml:space="preserve"> </w:t>
      </w:r>
    </w:p>
    <w:p w:rsidR="00660FFC" w14:paraId="7BD01FC3" w14:textId="77777777">
      <w:pPr>
        <w:rPr>
          <w:b/>
          <w:bCs/>
        </w:rPr>
      </w:pPr>
    </w:p>
    <w:p w:rsidR="00660FFC" w:rsidRPr="00660FFC" w14:paraId="758FA212" w14:textId="6DB69A69">
      <w:pPr>
        <w:rPr>
          <w:b/>
          <w:bCs/>
        </w:rPr>
      </w:pPr>
      <w:r>
        <w:rPr>
          <w:b/>
          <w:bCs/>
        </w:rPr>
        <w:t>Data Processing</w:t>
      </w:r>
    </w:p>
    <w:p w:rsidR="0052519A" w14:paraId="3D6E8BCD" w14:textId="6FE31453">
      <w:r w:rsidRPr="50392E28">
        <w:t xml:space="preserve">Upon receipt of a survey (web or hardcopy), data will be reviewed and edited, and if needed, the respondent will be contacted to clarify answers or provide missing information. </w:t>
      </w:r>
      <w:r>
        <w:t xml:space="preserve">Respondents who submit via web will be prompted with real-time validation checks when submitting missing or inconsistent data. Any unresolved items that remain after the respondent submits will result in recontact by RTI staff to the respondent to attempt to resolve these issues. </w:t>
      </w:r>
    </w:p>
    <w:p w:rsidR="0052519A" w14:paraId="08D0D12F" w14:textId="77777777"/>
    <w:p w:rsidR="3BDCE1F0" w14:paraId="27745691" w14:textId="2E73FF01">
      <w:r w:rsidRPr="50392E28">
        <w:t xml:space="preserve">The hardcopy survey will be developed </w:t>
      </w:r>
      <w:r w:rsidR="009774FA">
        <w:t xml:space="preserve">and keyed </w:t>
      </w:r>
      <w:r w:rsidRPr="50392E28">
        <w:t xml:space="preserve">using </w:t>
      </w:r>
      <w:r w:rsidRPr="50392E28">
        <w:t>TeleForm</w:t>
      </w:r>
      <w:r w:rsidRPr="50392E28">
        <w:t xml:space="preserve">, which will allow the surveys to be scanned and the data read directly into the same database containing the web survey data. This will ensure that the same </w:t>
      </w:r>
      <w:r w:rsidR="00F05C84">
        <w:t xml:space="preserve">post-collection </w:t>
      </w:r>
      <w:r w:rsidRPr="50392E28">
        <w:t>data quality review procedures</w:t>
      </w:r>
      <w:r w:rsidR="00F05C84">
        <w:t>, which mirror and expand upon the web validation checks,</w:t>
      </w:r>
      <w:r w:rsidRPr="50392E28">
        <w:t xml:space="preserve"> are applied to all survey data, regardless of response mode. The following is a summary of the data quality assurance steps that RTI will </w:t>
      </w:r>
      <w:r w:rsidR="00CC00F9">
        <w:t>take</w:t>
      </w:r>
      <w:r w:rsidRPr="50392E28" w:rsidR="00CC00F9">
        <w:t xml:space="preserve"> </w:t>
      </w:r>
      <w:r w:rsidRPr="50392E28">
        <w:t>during the data collection and processing period:</w:t>
      </w:r>
    </w:p>
    <w:p w:rsidR="3BDCE1F0" w14:paraId="536EB5EE" w14:textId="1B695335">
      <w:r w:rsidRPr="50392E28">
        <w:t xml:space="preserve"> </w:t>
      </w:r>
    </w:p>
    <w:p w:rsidR="3BDCE1F0" w:rsidP="00A747BF" w14:paraId="6B918CB1" w14:textId="681EB2D3">
      <w:r w:rsidRPr="00A747BF">
        <w:rPr>
          <w:i/>
          <w:iCs/>
        </w:rPr>
        <w:t>Data Editing.</w:t>
      </w:r>
      <w:r w:rsidRPr="50392E28">
        <w:t xml:space="preserve"> RTI will attempt to reconcile missing or erroneous data through automated and manual edits of each questionnaire. In collaboration with BJS, RTI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RTI can quickly identify which hardcopy cases require follow-up and indicate the items that need clarification or retrieval from the respondent.</w:t>
      </w:r>
    </w:p>
    <w:p w:rsidR="3BDCE1F0" w:rsidP="00A747BF" w14:paraId="3E98D49A" w14:textId="7A3D6E76">
      <w:r w:rsidRPr="50392E28">
        <w:t xml:space="preserve"> </w:t>
      </w:r>
    </w:p>
    <w:p w:rsidR="3BDCE1F0" w:rsidP="00A747BF" w14:paraId="6050AC04" w14:textId="4D80D797">
      <w:r w:rsidRPr="00A747BF">
        <w:rPr>
          <w:i/>
          <w:iCs/>
        </w:rPr>
        <w:t>Data Retrieval.</w:t>
      </w:r>
      <w:r w:rsidRPr="35107414">
        <w:t xml:space="preserve"> When it is determined that data retrieval is needed, an Agency Liaison will contact the respondent for clarification. Throughout the data retrieval process, RTI will document the questions needing retrieval (</w:t>
      </w:r>
      <w:r w:rsidRPr="35107414" w:rsidR="6E11BF6D">
        <w:t>e.g.,</w:t>
      </w:r>
      <w:r w:rsidRPr="35107414">
        <w:t xml:space="preserve"> </w:t>
      </w:r>
      <w:r w:rsidRPr="35107414">
        <w:t>missing</w:t>
      </w:r>
      <w:r w:rsidRPr="35107414">
        <w:t xml:space="preserve"> or inconsistent data elements), request clarification on the provided information, obtain values for missing data elements, and examine any other issues related to the respondent’s submission. </w:t>
      </w:r>
    </w:p>
    <w:p w:rsidR="3BDCE1F0" w:rsidP="00A747BF" w14:paraId="004C5DCA" w14:textId="098BDA60">
      <w:r w:rsidRPr="50392E28">
        <w:t xml:space="preserve"> </w:t>
      </w:r>
    </w:p>
    <w:p w:rsidR="3BDCE1F0" w:rsidP="00A747BF" w14:paraId="190B6271" w14:textId="0C74C0D2">
      <w:r w:rsidRPr="00A747BF">
        <w:rPr>
          <w:i/>
          <w:iCs/>
        </w:rPr>
        <w:t>Data Entry.</w:t>
      </w:r>
      <w:r w:rsidRPr="35107414">
        <w:t xml:space="preserve"> Respondents completing the survey via the web instrument will enter their responses directly into the online instrument. For those respondents returning the survey via hardcopy (mail or fax), data will be scanned once received and determined complete. Once the data ha</w:t>
      </w:r>
      <w:r w:rsidRPr="35107414" w:rsidR="0EBF4CD5">
        <w:t>ve</w:t>
      </w:r>
      <w:r w:rsidRPr="35107414">
        <w:t xml:space="preserve"> been entered into the database, </w:t>
      </w:r>
      <w:r w:rsidR="00172BE1">
        <w:t>they</w:t>
      </w:r>
      <w:r w:rsidRPr="35107414">
        <w:t xml:space="preserve"> will be made available to BJS via an SFTP site. To confirm that editing rules are being followed, RTI will review frequencies for the entered data after the first 10</w:t>
      </w:r>
      <w:r w:rsidR="001E708D">
        <w:t>%</w:t>
      </w:r>
      <w:r w:rsidRPr="35107414">
        <w:t xml:space="preserve"> of cases are received. Any issues will be investigated and resolved. Throughout the remainder of the data collection period, RTI staff will conduct regular data frequency reviews to evaluate the quality and completeness of data captured in both the web and hardcopy modes.</w:t>
      </w:r>
    </w:p>
    <w:p w:rsidR="50392E28" w:rsidP="50392E28" w14:paraId="55AFDA64" w14:textId="4CBC6297">
      <w:pPr>
        <w:pStyle w:val="ListParagraph"/>
        <w:ind w:left="0"/>
      </w:pPr>
    </w:p>
    <w:p w:rsidR="00421095" w:rsidRPr="00596C3F" w:rsidP="7F342760" w14:paraId="7DC66A0D" w14:textId="3DA7FFA0">
      <w:pPr>
        <w:pStyle w:val="ListParagraph"/>
        <w:keepNext/>
        <w:keepLines/>
        <w:numPr>
          <w:ilvl w:val="0"/>
          <w:numId w:val="7"/>
        </w:numPr>
        <w:rPr>
          <w:b/>
          <w:bCs/>
          <w:u w:val="single"/>
        </w:rPr>
      </w:pPr>
      <w:r w:rsidRPr="7C110E9B">
        <w:rPr>
          <w:b/>
          <w:bCs/>
          <w:u w:val="single"/>
        </w:rPr>
        <w:t>Methods to Maximize Response Rates</w:t>
      </w:r>
      <w:r w:rsidRPr="7C110E9B" w:rsidR="00223623">
        <w:rPr>
          <w:b/>
          <w:bCs/>
        </w:rPr>
        <w:t xml:space="preserve"> </w:t>
      </w:r>
    </w:p>
    <w:p w:rsidR="00421095" w:rsidRPr="00596C3F" w:rsidP="0024443E" w14:paraId="3FDF6A49" w14:textId="77777777">
      <w:pPr>
        <w:keepNext/>
        <w:keepLines/>
        <w:rPr>
          <w:highlight w:val="yellow"/>
        </w:rPr>
      </w:pPr>
    </w:p>
    <w:p w:rsidR="00BA7A7E" w:rsidRPr="00A747BF" w:rsidP="00421095" w14:paraId="3ADE2E5F" w14:textId="7615E70B">
      <w:pPr>
        <w:rPr>
          <w:b/>
          <w:bCs/>
        </w:rPr>
      </w:pPr>
      <w:r w:rsidRPr="00A747BF">
        <w:rPr>
          <w:b/>
          <w:bCs/>
        </w:rPr>
        <w:t>Minimizing Non</w:t>
      </w:r>
      <w:r w:rsidRPr="00A747BF">
        <w:rPr>
          <w:b/>
          <w:bCs/>
        </w:rPr>
        <w:t>r</w:t>
      </w:r>
      <w:r w:rsidRPr="00A747BF">
        <w:rPr>
          <w:b/>
          <w:bCs/>
        </w:rPr>
        <w:t>esponse</w:t>
      </w:r>
    </w:p>
    <w:p w:rsidR="00421095" w:rsidP="00957D35" w14:paraId="1423324F" w14:textId="39530536">
      <w:r w:rsidRPr="741403E9">
        <w:t xml:space="preserve">The </w:t>
      </w:r>
      <w:r w:rsidR="00957D35">
        <w:t xml:space="preserve">LEMAS </w:t>
      </w:r>
      <w:r w:rsidR="00761663">
        <w:t>C</w:t>
      </w:r>
      <w:r w:rsidR="00957D35">
        <w:t>ore and supplements have</w:t>
      </w:r>
      <w:r w:rsidRPr="741403E9">
        <w:t xml:space="preserve"> historically achieved high </w:t>
      </w:r>
      <w:r w:rsidR="00AF6564">
        <w:t>survey response rates</w:t>
      </w:r>
      <w:r w:rsidR="00431534">
        <w:t>,</w:t>
      </w:r>
      <w:r w:rsidRPr="741403E9">
        <w:t xml:space="preserve"> with the earlier administrations achieving </w:t>
      </w:r>
      <w:r w:rsidR="00957D35">
        <w:t xml:space="preserve">above </w:t>
      </w:r>
      <w:r w:rsidR="00957D35">
        <w:t>a</w:t>
      </w:r>
      <w:r w:rsidR="00957D35">
        <w:t xml:space="preserve"> </w:t>
      </w:r>
      <w:r w:rsidR="00012B79">
        <w:t>80</w:t>
      </w:r>
      <w:r w:rsidRPr="741403E9">
        <w:t>% response rate</w:t>
      </w:r>
      <w:r w:rsidR="00957D35">
        <w:t xml:space="preserve">. </w:t>
      </w:r>
      <w:r w:rsidR="00012B79">
        <w:t>However, the 2020 LEMAS core achieved 78% response rate after being in the field 8</w:t>
      </w:r>
      <w:r w:rsidR="000C5B92">
        <w:t xml:space="preserve"> </w:t>
      </w:r>
      <w:r w:rsidR="00012B79">
        <w:t xml:space="preserve">months. </w:t>
      </w:r>
      <w:r w:rsidR="00F05C84">
        <w:t xml:space="preserve">In any instances where a </w:t>
      </w:r>
      <w:r w:rsidR="00F05C84">
        <w:t xml:space="preserve">response rate fell below the OMB standard of 80%, a nonresponse bias analysis was conducted to evaluate the bias levels. </w:t>
      </w:r>
      <w:r w:rsidRPr="741403E9">
        <w:t xml:space="preserve">BJS and RTI will undertake various procedures to maximize the likelihood that the </w:t>
      </w:r>
      <w:r w:rsidR="00957D35">
        <w:t xml:space="preserve">2023 LEMAS </w:t>
      </w:r>
      <w:r w:rsidR="001479BB">
        <w:t>PAT</w:t>
      </w:r>
      <w:r w:rsidR="00F239D4">
        <w:t xml:space="preserve">OW </w:t>
      </w:r>
      <w:r w:rsidR="00576E85">
        <w:t>s</w:t>
      </w:r>
      <w:r w:rsidR="00F239D4">
        <w:t>urvey</w:t>
      </w:r>
      <w:r w:rsidRPr="741403E9" w:rsidR="001479BB">
        <w:t xml:space="preserve"> </w:t>
      </w:r>
      <w:r w:rsidRPr="741403E9">
        <w:t>reaches a similar level of participation.</w:t>
      </w:r>
      <w:r w:rsidR="00D84C95">
        <w:t xml:space="preserve"> For example, RTI will work with BJS to </w:t>
      </w:r>
      <w:r w:rsidRPr="003471F7" w:rsidR="00D84C95">
        <w:t>adapt survey outreach protocols based on</w:t>
      </w:r>
      <w:r w:rsidR="00D84C95">
        <w:t xml:space="preserve"> </w:t>
      </w:r>
      <w:r w:rsidRPr="003471F7" w:rsidR="00D84C95">
        <w:t>response patterns and tailor messag</w:t>
      </w:r>
      <w:r w:rsidR="00D84C95">
        <w:t>es by</w:t>
      </w:r>
      <w:r w:rsidRPr="003471F7" w:rsidR="00D84C95">
        <w:t xml:space="preserve"> agency type</w:t>
      </w:r>
      <w:r w:rsidR="00D84C95">
        <w:t xml:space="preserve"> </w:t>
      </w:r>
      <w:r w:rsidR="00D84C95">
        <w:t>similar to</w:t>
      </w:r>
      <w:r w:rsidR="00D84C95">
        <w:t xml:space="preserve"> what was done for</w:t>
      </w:r>
      <w:r w:rsidR="002C189E">
        <w:t xml:space="preserve"> the 2022</w:t>
      </w:r>
      <w:r w:rsidR="00D84C95">
        <w:t xml:space="preserve"> CSLLEA.</w:t>
      </w:r>
    </w:p>
    <w:p w:rsidR="00957D35" w:rsidRPr="00596C3F" w:rsidP="00957D35" w14:paraId="144D3EA2" w14:textId="77777777"/>
    <w:p w:rsidR="0052519A" w:rsidP="00421095" w14:paraId="7D98D900" w14:textId="23773DC4">
      <w:r w:rsidRPr="35107414">
        <w:t>BJS will use a web-based instrument supported by several online help functions to maximize response rates. For convenience, respondents will receive the survey link in an email invitation and a mailed hardcopy invitation. A Help Desk will be available to provide both substantive and technical assistance. BJS will supply the Help Desk with</w:t>
      </w:r>
      <w:r w:rsidR="00016B86">
        <w:rPr>
          <w:color w:val="FF0000"/>
        </w:rPr>
        <w:t xml:space="preserve"> </w:t>
      </w:r>
      <w:r w:rsidRPr="00016B86" w:rsidR="00016B86">
        <w:t xml:space="preserve">the survey flyer, which contains </w:t>
      </w:r>
      <w:r w:rsidRPr="35107414">
        <w:t>answers to frequently asked questions and guidance on additional questions that may arise</w:t>
      </w:r>
      <w:r w:rsidR="00EA2A20">
        <w:t xml:space="preserve"> (</w:t>
      </w:r>
      <w:r w:rsidRPr="00D82900" w:rsidR="00EA2A20">
        <w:rPr>
          <w:b/>
          <w:bCs/>
        </w:rPr>
        <w:t xml:space="preserve">Attachment </w:t>
      </w:r>
      <w:r w:rsidRPr="00D82900" w:rsidR="00241C86">
        <w:rPr>
          <w:b/>
          <w:bCs/>
        </w:rPr>
        <w:t>10</w:t>
      </w:r>
      <w:r w:rsidRPr="00957D35" w:rsidR="00EA2A20">
        <w:t>)</w:t>
      </w:r>
      <w:r w:rsidRPr="00957D35">
        <w:t>.</w:t>
      </w:r>
      <w:r w:rsidRPr="35107414">
        <w:t xml:space="preserve"> In addition, the web survey interface is user-friendly, which encourages response and ensures more accurate responses. Because online submission is such an important response method, close attention will be paid to the formatting of the web survey instrument. The online application will be flexible so it can adapt to meet the needs of multiple device types (e.g., desktop computer and tablet), browser types (e.g., </w:t>
      </w:r>
      <w:r w:rsidR="0069697C">
        <w:t>Microsoft Edge</w:t>
      </w:r>
      <w:r w:rsidRPr="35107414">
        <w:t xml:space="preserve"> and Google Chrome), and screen sizes. </w:t>
      </w:r>
    </w:p>
    <w:p w:rsidR="0052519A" w:rsidP="00421095" w14:paraId="769AF989" w14:textId="77777777"/>
    <w:p w:rsidR="00421095" w:rsidP="00421095" w14:paraId="796FB268" w14:textId="3B66ECE6">
      <w:r w:rsidRPr="35107414">
        <w:t>Other features in the instrument will include the following</w:t>
      </w:r>
      <w:r w:rsidR="0052519A">
        <w:t>, each intended to enhance respondent experience and reduce burden, resulting in continued respondent cooperation</w:t>
      </w:r>
      <w:r w:rsidRPr="35107414">
        <w:t xml:space="preserve">: </w:t>
      </w:r>
    </w:p>
    <w:p w:rsidR="008653A5" w:rsidRPr="00596C3F" w:rsidP="00421095" w14:paraId="349F7D25" w14:textId="77777777"/>
    <w:p w:rsidR="00421095" w:rsidRPr="00596C3F" w:rsidP="35107414" w14:paraId="4A474825" w14:textId="5B739F80">
      <w:pPr>
        <w:pStyle w:val="ListParagraph"/>
        <w:numPr>
          <w:ilvl w:val="0"/>
          <w:numId w:val="1"/>
        </w:numPr>
        <w:rPr>
          <w:rFonts w:asciiTheme="minorHAnsi" w:eastAsiaTheme="minorEastAsia" w:hAnsiTheme="minorHAnsi" w:cstheme="minorBidi"/>
        </w:rPr>
      </w:pPr>
      <w:r w:rsidRPr="35107414">
        <w:t>Respondents’ answers will be saved automatically, and they will have the option to leave the survey partway through and return later to finish.</w:t>
      </w:r>
    </w:p>
    <w:p w:rsidR="00421095" w:rsidRPr="00596C3F" w:rsidP="35107414" w14:paraId="4F41EA53" w14:textId="5A1137F2">
      <w:pPr>
        <w:pStyle w:val="ListParagraph"/>
        <w:numPr>
          <w:ilvl w:val="0"/>
          <w:numId w:val="1"/>
        </w:numPr>
        <w:rPr>
          <w:rFonts w:asciiTheme="minorHAnsi" w:eastAsiaTheme="minorEastAsia" w:hAnsiTheme="minorHAnsi" w:cstheme="minorBidi"/>
        </w:rPr>
      </w:pPr>
      <w:r w:rsidRPr="35107414">
        <w:t xml:space="preserve">The online instrument will be programmed with data consistency checks and automatic prompts, thereby reducing </w:t>
      </w:r>
      <w:r w:rsidR="0052519A">
        <w:t xml:space="preserve">the amount of item nonresponse. </w:t>
      </w:r>
    </w:p>
    <w:p w:rsidR="00421095" w:rsidRPr="00596C3F" w:rsidP="35107414" w14:paraId="3B14886B" w14:textId="764B44F1">
      <w:pPr>
        <w:pStyle w:val="ListParagraph"/>
        <w:numPr>
          <w:ilvl w:val="0"/>
          <w:numId w:val="1"/>
        </w:numPr>
      </w:pPr>
      <w:r w:rsidRPr="35107414">
        <w:t>The online consistenc</w:t>
      </w:r>
      <w:r w:rsidRPr="35107414" w:rsidR="08A4AA58">
        <w:t>y</w:t>
      </w:r>
      <w:r w:rsidRPr="35107414">
        <w:t xml:space="preserve"> checks will be tailored </w:t>
      </w:r>
      <w:r w:rsidR="003354D8">
        <w:t>based on previously reported data or on</w:t>
      </w:r>
      <w:r w:rsidRPr="35107414">
        <w:t xml:space="preserve"> the type and size of agency</w:t>
      </w:r>
      <w:r w:rsidR="00A5617A">
        <w:t>,</w:t>
      </w:r>
      <w:r w:rsidRPr="35107414">
        <w:t xml:space="preserve"> </w:t>
      </w:r>
      <w:r w:rsidR="0052519A">
        <w:t xml:space="preserve">providing the respondent helpful information in resolving any validation errors and reducing the likelihood of breakoff. </w:t>
      </w:r>
    </w:p>
    <w:p w:rsidR="00421095" w:rsidRPr="00596C3F" w:rsidP="741403E9" w14:paraId="3029BDA9" w14:textId="61470F5B">
      <w:pPr>
        <w:pStyle w:val="ListParagraph"/>
        <w:numPr>
          <w:ilvl w:val="0"/>
          <w:numId w:val="1"/>
        </w:numPr>
        <w:rPr>
          <w:rFonts w:asciiTheme="minorHAnsi" w:eastAsiaTheme="minorEastAsia" w:hAnsiTheme="minorHAnsi" w:cstheme="minorBidi"/>
        </w:rPr>
      </w:pPr>
      <w:r w:rsidRPr="741403E9">
        <w:t>LEAs may also download and print a hardcopy survey from the website or request one from the Help Desk.</w:t>
      </w:r>
    </w:p>
    <w:p w:rsidR="00572D1B" w:rsidP="35107414" w14:paraId="24BB6658" w14:textId="77777777"/>
    <w:p w:rsidR="00572D1B" w:rsidP="00572D1B" w14:paraId="17562F5D" w14:textId="50D56595">
      <w:r w:rsidRPr="00596C3F">
        <w:t>To</w:t>
      </w:r>
      <w:r w:rsidRPr="00596C3F">
        <w:t xml:space="preserve"> obtain higher response rates</w:t>
      </w:r>
      <w:r>
        <w:t xml:space="preserve"> and to ensure unbiased estimates</w:t>
      </w:r>
      <w:r w:rsidRPr="00596C3F">
        <w:t>, multi-stage survey administration and follow</w:t>
      </w:r>
      <w:r>
        <w:t>-</w:t>
      </w:r>
      <w:r w:rsidRPr="00596C3F">
        <w:t>up procedures have been incorpora</w:t>
      </w:r>
      <w:r>
        <w:t>ted into BJS’s response plans. E</w:t>
      </w:r>
      <w:r w:rsidRPr="00596C3F">
        <w:t>nsuring adequate response (not just department response rates, but also item responses) begins with introducing agencies to the survey.</w:t>
      </w:r>
      <w:r>
        <w:t xml:space="preserve"> </w:t>
      </w:r>
      <w:r w:rsidRPr="00596C3F">
        <w:t xml:space="preserve">This will be accomplished initially </w:t>
      </w:r>
      <w:r>
        <w:t xml:space="preserve">through the initial invitation letter and accompanying </w:t>
      </w:r>
      <w:r w:rsidRPr="00241C86">
        <w:t xml:space="preserve">documents </w:t>
      </w:r>
      <w:r w:rsidRPr="00D82900">
        <w:rPr>
          <w:b/>
          <w:bCs/>
        </w:rPr>
        <w:t xml:space="preserve">(Attachments </w:t>
      </w:r>
      <w:r w:rsidRPr="00D82900" w:rsidR="00241C86">
        <w:rPr>
          <w:b/>
          <w:bCs/>
        </w:rPr>
        <w:t>9</w:t>
      </w:r>
      <w:r w:rsidRPr="00D82900">
        <w:rPr>
          <w:b/>
          <w:bCs/>
        </w:rPr>
        <w:t xml:space="preserve"> and </w:t>
      </w:r>
      <w:r w:rsidRPr="00D82900" w:rsidR="00241C86">
        <w:rPr>
          <w:b/>
          <w:bCs/>
        </w:rPr>
        <w:t>10</w:t>
      </w:r>
      <w:r w:rsidRPr="00241C86">
        <w:t>).</w:t>
      </w:r>
      <w:r>
        <w:t xml:space="preserve"> </w:t>
      </w:r>
      <w:r w:rsidRPr="00D534B2">
        <w:t>Resources available to help the respondent complete the survey (e.g.</w:t>
      </w:r>
      <w:r>
        <w:t>,</w:t>
      </w:r>
      <w:r w:rsidRPr="00D534B2">
        <w:t xml:space="preserve"> </w:t>
      </w:r>
      <w:r>
        <w:t>tele</w:t>
      </w:r>
      <w:r w:rsidRPr="00D534B2">
        <w:t>ph</w:t>
      </w:r>
      <w:r>
        <w:t>one- or email-based Help Desk support)</w:t>
      </w:r>
      <w:r w:rsidRPr="00596C3F">
        <w:t xml:space="preserve"> will be described in detail.</w:t>
      </w:r>
      <w:r>
        <w:t xml:space="preserve"> We will provide LEAs with online and fax methods to identify respondents and change the POC assignment if needed. </w:t>
      </w:r>
    </w:p>
    <w:p w:rsidR="00421095" w:rsidRPr="00596C3F" w:rsidP="35107414" w14:paraId="52C0C006" w14:textId="54FA7D65">
      <w:r>
        <w:br/>
      </w:r>
      <w:r w:rsidRPr="7AD241BE" w:rsidR="54994417">
        <w:rPr>
          <w:i/>
          <w:iCs/>
        </w:rPr>
        <w:t>Adjusting for Non</w:t>
      </w:r>
      <w:r w:rsidR="00BA7A7E">
        <w:rPr>
          <w:i/>
          <w:iCs/>
        </w:rPr>
        <w:t>r</w:t>
      </w:r>
      <w:r w:rsidRPr="7AD241BE" w:rsidR="54994417">
        <w:rPr>
          <w:i/>
          <w:iCs/>
        </w:rPr>
        <w:t>esponse</w:t>
      </w:r>
      <w:r w:rsidR="00AB4688">
        <w:t xml:space="preserve">. </w:t>
      </w:r>
      <w:r w:rsidRPr="7AD241BE" w:rsidR="54994417">
        <w:t>With any survey, it is typically the case that some of the selected units</w:t>
      </w:r>
      <w:r w:rsidR="00AF6564">
        <w:t xml:space="preserve">, in this case </w:t>
      </w:r>
      <w:r w:rsidR="00CC00F9">
        <w:t>LEAs</w:t>
      </w:r>
      <w:r w:rsidR="00AF6564">
        <w:t xml:space="preserve">, </w:t>
      </w:r>
      <w:r w:rsidRPr="7AD241BE" w:rsidR="54994417">
        <w:t xml:space="preserve">will not respond to the survey request (i.e., unit nonresponse) and some will not respond to </w:t>
      </w:r>
      <w:r w:rsidRPr="7AD241BE" w:rsidR="54994417">
        <w:t>particular questions</w:t>
      </w:r>
      <w:r w:rsidRPr="7AD241BE" w:rsidR="54994417">
        <w:t xml:space="preserve"> (i.e., item nonresponse). Weighting will be used to adjust for unit nonresponse in the </w:t>
      </w:r>
      <w:r w:rsidR="00C345D8">
        <w:t xml:space="preserve">2023 LEMAS </w:t>
      </w:r>
      <w:r w:rsidR="001479BB">
        <w:t>PAT</w:t>
      </w:r>
      <w:r w:rsidR="00F239D4">
        <w:t xml:space="preserve">OW </w:t>
      </w:r>
      <w:r w:rsidR="00576E85">
        <w:t>s</w:t>
      </w:r>
      <w:r w:rsidR="00F239D4">
        <w:t>urvey</w:t>
      </w:r>
      <w:r w:rsidRPr="7AD241BE" w:rsidR="54994417">
        <w:t xml:space="preserve">. To determine which factors to use in the agency nonresponse weight adjustments, a procedure available in RTI’s SUDAAN software based on the Generalized Exponential Model will be used to model the response propensity using </w:t>
      </w:r>
      <w:r w:rsidRPr="7AD241BE" w:rsidR="54994417">
        <w:t xml:space="preserve">information from the </w:t>
      </w:r>
      <w:r w:rsidRPr="7AD241BE" w:rsidR="12462D7D">
        <w:t>LEAR</w:t>
      </w:r>
      <w:r w:rsidRPr="7AD241BE" w:rsidR="54994417">
        <w:t xml:space="preserve"> (e.g., agency characteristics such as geography, operating budget, whether officers have arrest powers) within sampling strata</w:t>
      </w:r>
      <w:r w:rsidR="00CD2DCC">
        <w:t>.</w:t>
      </w:r>
      <w:r>
        <w:rPr>
          <w:rStyle w:val="FootnoteReference"/>
        </w:rPr>
        <w:footnoteReference w:id="8"/>
      </w:r>
      <w:r w:rsidRPr="7AD241BE" w:rsidR="54994417">
        <w:t xml:space="preserve"> </w:t>
      </w:r>
      <w:r w:rsidR="009F50CB">
        <w:t xml:space="preserve">SUDAAN is a statistical software package that analyzes complex survey data. </w:t>
      </w:r>
      <w:r w:rsidRPr="7AD241BE" w:rsidR="54994417">
        <w:t xml:space="preserve">Ideally, only variables highly correlated with the outcomes of interest will be included in the model used to reduce potential bias. Given the expected differential response rates by agency type and size, the weighting adjustment procedures will attempt to minimize the bias in the estimates within these domains. </w:t>
      </w:r>
      <w:r>
        <w:br/>
      </w:r>
      <w:r>
        <w:br/>
      </w:r>
      <w:r w:rsidR="00572D1B">
        <w:t>As previously stated, an overall response rate of 8</w:t>
      </w:r>
      <w:r w:rsidR="00E70CBF">
        <w:t>1</w:t>
      </w:r>
      <w:r w:rsidR="00572D1B">
        <w:t xml:space="preserve">% is expected (Table </w:t>
      </w:r>
      <w:r w:rsidR="00DB0596">
        <w:t>2</w:t>
      </w:r>
      <w:r w:rsidR="00572D1B">
        <w:t xml:space="preserve">). </w:t>
      </w:r>
      <w:r w:rsidRPr="7AD241BE" w:rsidR="54994417">
        <w:t xml:space="preserve">To ensure that nonresponding agencies are not fundamentally different than those that participate, a nonresponse bias analysis will be conducted if the agency-level response rate obtained in the </w:t>
      </w:r>
      <w:r w:rsidR="00C345D8">
        <w:t xml:space="preserve">2023 LEMAS </w:t>
      </w:r>
      <w:r w:rsidR="001479BB">
        <w:t>PAT</w:t>
      </w:r>
      <w:r w:rsidR="00F239D4">
        <w:t xml:space="preserve">OW </w:t>
      </w:r>
      <w:r w:rsidR="00576E85">
        <w:t>s</w:t>
      </w:r>
      <w:r w:rsidR="00F239D4">
        <w:t>urvey</w:t>
      </w:r>
      <w:r w:rsidRPr="7AD241BE" w:rsidR="001479BB">
        <w:t xml:space="preserve"> </w:t>
      </w:r>
      <w:r w:rsidRPr="7AD241BE" w:rsidR="54994417">
        <w:t>falls below 80</w:t>
      </w:r>
      <w:r w:rsidR="001E708D">
        <w:t>%</w:t>
      </w:r>
      <w:r w:rsidRPr="7AD241BE" w:rsidR="54994417">
        <w:t>. Administrative data on agency type, size</w:t>
      </w:r>
      <w:r w:rsidR="00E451C9">
        <w:t>,</w:t>
      </w:r>
      <w:r w:rsidRPr="7AD241BE" w:rsidR="54994417">
        <w:t xml:space="preserve"> census region or division</w:t>
      </w:r>
      <w:r w:rsidR="00404D6C">
        <w:t>, and population served</w:t>
      </w:r>
      <w:r w:rsidRPr="7AD241BE" w:rsidR="54994417">
        <w:t xml:space="preserve"> will be used in the nonresponse bias analysis. For each agency characteristic, </w:t>
      </w:r>
      <w:r w:rsidR="00F86091">
        <w:t>RTI</w:t>
      </w:r>
      <w:r w:rsidRPr="7AD241BE" w:rsidR="00F86091">
        <w:t xml:space="preserve"> </w:t>
      </w:r>
      <w:r w:rsidRPr="7AD241BE" w:rsidR="54994417">
        <w:t>will compare the distribution of respondents to nonrespondents. A Coh</w:t>
      </w:r>
      <w:r w:rsidR="004A4EEA">
        <w:t>e</w:t>
      </w:r>
      <w:r w:rsidRPr="7AD241BE" w:rsidR="54994417">
        <w:t>n’s Effect Size statistic will be calculated for each characteristic. If any characteristic has an effect size that falls into the “medium” or “high” category, as defined by Coh</w:t>
      </w:r>
      <w:r w:rsidR="004A4EEA">
        <w:t>e</w:t>
      </w:r>
      <w:r w:rsidRPr="7AD241BE" w:rsidR="54994417">
        <w:t>n, then there is a potential for bias in the estimates</w:t>
      </w:r>
      <w:r w:rsidR="00CD2DCC">
        <w:t>.</w:t>
      </w:r>
      <w:r>
        <w:rPr>
          <w:rStyle w:val="FootnoteReference"/>
        </w:rPr>
        <w:footnoteReference w:id="9"/>
      </w:r>
      <w:r w:rsidR="004A4EEA">
        <w:t xml:space="preserve"> </w:t>
      </w:r>
      <w:r w:rsidRPr="7AD241BE" w:rsidR="54994417">
        <w:t xml:space="preserve">Each estimate will be included in a nonresponse model to adjust weights to minimize the potential for bias in the estimates. In addition to estimating effect sizes, an examination of early and late responders will be conducted. If late responders (i.e., those that take more contact attempts before responding) are significantly different on the key outcomes of interest, that is also an indication of potential bias. Comparison will be made to determine if the potential for bias varies by agency type and size. </w:t>
      </w:r>
      <w:r>
        <w:br/>
      </w:r>
      <w:r w:rsidRPr="7AD241BE" w:rsidR="54994417">
        <w:t xml:space="preserve"> </w:t>
      </w:r>
    </w:p>
    <w:p w:rsidR="00421095" w:rsidRPr="00596C3F" w:rsidP="7F342760" w14:paraId="479397FF" w14:textId="55D02755">
      <w:pPr>
        <w:pStyle w:val="ListParagraph"/>
        <w:numPr>
          <w:ilvl w:val="0"/>
          <w:numId w:val="7"/>
        </w:numPr>
        <w:rPr>
          <w:b/>
          <w:bCs/>
          <w:u w:val="single"/>
        </w:rPr>
      </w:pPr>
      <w:r w:rsidRPr="741403E9">
        <w:rPr>
          <w:b/>
          <w:bCs/>
          <w:u w:val="single"/>
        </w:rPr>
        <w:t>Final Testing of Procedures</w:t>
      </w:r>
      <w:r w:rsidRPr="741403E9" w:rsidR="00223623">
        <w:rPr>
          <w:b/>
          <w:bCs/>
        </w:rPr>
        <w:t xml:space="preserve"> </w:t>
      </w:r>
    </w:p>
    <w:p w:rsidR="00421095" w:rsidRPr="00596C3F" w:rsidP="00421095" w14:paraId="043AE81C" w14:textId="77777777">
      <w:pPr>
        <w:pStyle w:val="ListParagraph"/>
        <w:ind w:left="360"/>
        <w:rPr>
          <w:highlight w:val="yellow"/>
          <w:u w:val="single"/>
        </w:rPr>
      </w:pPr>
    </w:p>
    <w:p w:rsidR="00881C65" w:rsidRPr="00FD6A27" w:rsidP="00881C65" w14:paraId="0F3D56CD" w14:textId="25A6F79F">
      <w:r w:rsidRPr="00881C65">
        <w:t>BJS shared a copy of the draft LEMAS</w:t>
      </w:r>
      <w:r w:rsidR="00D133BE">
        <w:t xml:space="preserve"> </w:t>
      </w:r>
      <w:r w:rsidR="001479BB">
        <w:t>PAT</w:t>
      </w:r>
      <w:r w:rsidR="00F239D4">
        <w:t xml:space="preserve">OW </w:t>
      </w:r>
      <w:r w:rsidR="00F33B17">
        <w:t>s</w:t>
      </w:r>
      <w:r w:rsidR="00F239D4">
        <w:t>urvey</w:t>
      </w:r>
      <w:r w:rsidR="001479BB">
        <w:t xml:space="preserve"> </w:t>
      </w:r>
      <w:r w:rsidRPr="00881C65">
        <w:t xml:space="preserve">instrument with research scholars </w:t>
      </w:r>
      <w:r w:rsidR="0002672E">
        <w:t xml:space="preserve">known to have an </w:t>
      </w:r>
      <w:r w:rsidRPr="00881C65">
        <w:t>interest in law enforcement issues and law enforcement professionals. The</w:t>
      </w:r>
      <w:r w:rsidR="00815AF0">
        <w:t>se</w:t>
      </w:r>
      <w:r w:rsidRPr="00881C65">
        <w:t xml:space="preserve"> expert reviewers were given an electronic draft of the survey instrument and asked to comment on question wording, response categories, </w:t>
      </w:r>
      <w:r w:rsidR="00FE2530">
        <w:t xml:space="preserve">and </w:t>
      </w:r>
      <w:r w:rsidRPr="00881C65">
        <w:t xml:space="preserve">overall structure and layout. Responses were primarily received as written annotations within the document. </w:t>
      </w:r>
      <w:r w:rsidR="00815AF0">
        <w:t xml:space="preserve">An instrument was </w:t>
      </w:r>
      <w:r w:rsidR="003E1278">
        <w:t xml:space="preserve">then </w:t>
      </w:r>
      <w:r w:rsidR="00815AF0">
        <w:t xml:space="preserve">drafted to use in cognitive interviewing. Twenty-four </w:t>
      </w:r>
      <w:r w:rsidR="00CE1B1D">
        <w:t>LEAs</w:t>
      </w:r>
      <w:r w:rsidR="00815AF0">
        <w:t xml:space="preserve"> across the country, </w:t>
      </w:r>
      <w:r w:rsidR="003E1278">
        <w:t>distributed evenly</w:t>
      </w:r>
      <w:r w:rsidR="00815AF0">
        <w:t xml:space="preserve"> across </w:t>
      </w:r>
      <w:r w:rsidR="003E1278">
        <w:t xml:space="preserve">small, large, </w:t>
      </w:r>
      <w:r w:rsidR="003E1278">
        <w:t>state</w:t>
      </w:r>
      <w:r w:rsidR="003E1278">
        <w:t xml:space="preserve"> and local agencies,</w:t>
      </w:r>
      <w:r w:rsidR="00815AF0">
        <w:t xml:space="preserve"> were emailed a draft of the supplement instrument and </w:t>
      </w:r>
      <w:r w:rsidR="00CE1B1D">
        <w:t>were interviewed regarding</w:t>
      </w:r>
      <w:r w:rsidR="00815AF0">
        <w:t xml:space="preserve"> the instrument. </w:t>
      </w:r>
      <w:r w:rsidR="00CE1B1D">
        <w:t>These twenty-four LEAs</w:t>
      </w:r>
      <w:r w:rsidR="003E1278">
        <w:t xml:space="preserve"> also commented on question wording, response categories and layout, and identified any issues with recall or ability to complete the instrument. </w:t>
      </w:r>
      <w:r w:rsidR="00815AF0">
        <w:t>Results from cognitive interviewing were used to make final revisions to the instrument</w:t>
      </w:r>
      <w:r w:rsidR="00E607A8">
        <w:t xml:space="preserve"> (</w:t>
      </w:r>
      <w:r w:rsidRPr="00D82900" w:rsidR="00E607A8">
        <w:rPr>
          <w:b/>
          <w:bCs/>
        </w:rPr>
        <w:t xml:space="preserve">Attachment </w:t>
      </w:r>
      <w:r w:rsidRPr="00D82900" w:rsidR="00C76D47">
        <w:rPr>
          <w:b/>
          <w:bCs/>
        </w:rPr>
        <w:t>3</w:t>
      </w:r>
      <w:r w:rsidR="00E607A8">
        <w:t>)</w:t>
      </w:r>
      <w:r w:rsidR="00815AF0">
        <w:t>.</w:t>
      </w:r>
    </w:p>
    <w:p w:rsidR="00881C65" w:rsidP="00F84901" w14:paraId="62B33D94" w14:textId="77777777">
      <w:pPr>
        <w:rPr>
          <w:u w:val="single"/>
        </w:rPr>
      </w:pPr>
    </w:p>
    <w:p w:rsidR="00F250EC" w:rsidP="00F84901" w14:paraId="49ED846C" w14:textId="7C7BA59F">
      <w:pPr>
        <w:rPr>
          <w:u w:val="single"/>
        </w:rPr>
      </w:pPr>
    </w:p>
    <w:p w:rsidR="00F84901" w:rsidRPr="008D7CC0" w:rsidP="00D534B2" w14:paraId="2C6F0BDC" w14:textId="3EC1FFAF">
      <w:pPr>
        <w:pStyle w:val="ListParagraph"/>
        <w:numPr>
          <w:ilvl w:val="0"/>
          <w:numId w:val="7"/>
        </w:numPr>
        <w:rPr>
          <w:b/>
          <w:u w:val="single"/>
        </w:rPr>
      </w:pPr>
      <w:r w:rsidRPr="008D7CC0">
        <w:rPr>
          <w:b/>
          <w:u w:val="single"/>
        </w:rPr>
        <w:t>Contacts for Statistical Aspects and Data Collection</w:t>
      </w:r>
    </w:p>
    <w:p w:rsidR="00F84901" w:rsidRPr="00596C3F" w:rsidP="00F84901" w14:paraId="3B26C7B2" w14:textId="77777777">
      <w:pPr>
        <w:rPr>
          <w:u w:val="single"/>
        </w:rPr>
      </w:pPr>
    </w:p>
    <w:p w:rsidR="00F84901" w:rsidP="00F84901" w14:paraId="59C7CA29" w14:textId="77777777">
      <w:pPr>
        <w:pStyle w:val="ListParagraph"/>
        <w:numPr>
          <w:ilvl w:val="0"/>
          <w:numId w:val="8"/>
        </w:numPr>
        <w:tabs>
          <w:tab w:val="left" w:pos="360"/>
        </w:tabs>
        <w:ind w:left="0" w:firstLine="0"/>
      </w:pPr>
      <w:r>
        <w:t xml:space="preserve">BJS contacts include: </w:t>
      </w:r>
    </w:p>
    <w:p w:rsidR="00F84901" w:rsidP="00F84901" w14:paraId="60A36035" w14:textId="2DC1AE84">
      <w:pPr>
        <w:pStyle w:val="ListParagraph"/>
        <w:tabs>
          <w:tab w:val="left" w:pos="360"/>
        </w:tabs>
        <w:ind w:left="0"/>
      </w:pPr>
      <w:r>
        <w:tab/>
      </w:r>
    </w:p>
    <w:p w:rsidR="006446A3" w:rsidP="00F84901" w14:paraId="7A50BC37" w14:textId="07387469">
      <w:pPr>
        <w:pStyle w:val="ListParagraph"/>
        <w:tabs>
          <w:tab w:val="left" w:pos="360"/>
        </w:tabs>
        <w:ind w:left="0"/>
      </w:pPr>
      <w:r>
        <w:tab/>
      </w:r>
      <w:r>
        <w:tab/>
        <w:t>Elizabeth Davis</w:t>
      </w:r>
    </w:p>
    <w:p w:rsidR="006446A3" w:rsidP="00F84901" w14:paraId="1BD68C0E" w14:textId="7C0BE344">
      <w:pPr>
        <w:pStyle w:val="ListParagraph"/>
        <w:tabs>
          <w:tab w:val="left" w:pos="360"/>
        </w:tabs>
        <w:ind w:left="0"/>
      </w:pPr>
      <w:r>
        <w:tab/>
      </w:r>
      <w:r>
        <w:tab/>
      </w:r>
      <w:r w:rsidR="006D34DA">
        <w:t xml:space="preserve">LECS Program Manager and </w:t>
      </w:r>
      <w:r>
        <w:t>Statistician</w:t>
      </w:r>
    </w:p>
    <w:p w:rsidR="006446A3" w:rsidP="00F84901" w14:paraId="4ADB836D" w14:textId="2069C31C">
      <w:pPr>
        <w:pStyle w:val="ListParagraph"/>
        <w:tabs>
          <w:tab w:val="left" w:pos="360"/>
        </w:tabs>
        <w:ind w:left="0"/>
      </w:pPr>
      <w:r>
        <w:tab/>
      </w:r>
      <w:r>
        <w:tab/>
        <w:t>202-305-2667</w:t>
      </w:r>
    </w:p>
    <w:p w:rsidR="006446A3" w:rsidP="00F84901" w14:paraId="146ED0CE" w14:textId="794B3633">
      <w:pPr>
        <w:pStyle w:val="ListParagraph"/>
        <w:tabs>
          <w:tab w:val="left" w:pos="360"/>
        </w:tabs>
        <w:ind w:left="0"/>
      </w:pPr>
      <w:r>
        <w:tab/>
      </w:r>
      <w:r>
        <w:tab/>
      </w:r>
      <w:r w:rsidRPr="00D133BE">
        <w:t>Elizabeth.Davis@usdoj.gov</w:t>
      </w:r>
    </w:p>
    <w:p w:rsidR="006446A3" w:rsidP="00F84901" w14:paraId="5D223402" w14:textId="77777777">
      <w:pPr>
        <w:pStyle w:val="ListParagraph"/>
        <w:tabs>
          <w:tab w:val="left" w:pos="360"/>
        </w:tabs>
        <w:ind w:left="0"/>
      </w:pPr>
      <w:r>
        <w:tab/>
      </w:r>
      <w:r>
        <w:tab/>
      </w:r>
    </w:p>
    <w:p w:rsidR="006446A3" w:rsidP="00F84901" w14:paraId="67B0DAEE" w14:textId="1208091B">
      <w:pPr>
        <w:pStyle w:val="ListParagraph"/>
        <w:tabs>
          <w:tab w:val="left" w:pos="360"/>
        </w:tabs>
        <w:ind w:left="0"/>
      </w:pPr>
      <w:r>
        <w:tab/>
      </w:r>
      <w:r>
        <w:tab/>
        <w:t>Alexia Cooper</w:t>
      </w:r>
    </w:p>
    <w:p w:rsidR="006446A3" w:rsidP="006446A3" w14:paraId="3AC5F2D4" w14:textId="6E5C2742">
      <w:pPr>
        <w:ind w:left="720"/>
      </w:pPr>
      <w:r>
        <w:t>Law Enforcement Statistics Unit Chief</w:t>
      </w:r>
    </w:p>
    <w:p w:rsidR="006446A3" w:rsidP="00F84901" w14:paraId="4FA9D59C" w14:textId="1303FEBB">
      <w:pPr>
        <w:pStyle w:val="ListParagraph"/>
        <w:tabs>
          <w:tab w:val="left" w:pos="360"/>
        </w:tabs>
        <w:ind w:left="0"/>
      </w:pPr>
      <w:r>
        <w:tab/>
      </w:r>
      <w:r>
        <w:tab/>
        <w:t>202-307-0582</w:t>
      </w:r>
    </w:p>
    <w:p w:rsidR="00B10337" w:rsidP="00F84901" w14:paraId="1B50155E" w14:textId="526F9753">
      <w:pPr>
        <w:pStyle w:val="ListParagraph"/>
        <w:tabs>
          <w:tab w:val="left" w:pos="360"/>
        </w:tabs>
        <w:ind w:left="0"/>
        <w:rPr>
          <w:rStyle w:val="Hyperlink"/>
        </w:rPr>
      </w:pPr>
      <w:r>
        <w:tab/>
      </w:r>
      <w:r>
        <w:tab/>
      </w:r>
      <w:r w:rsidRPr="00D133BE">
        <w:t>Alexia.Cooper@usdoj.gov</w:t>
      </w:r>
    </w:p>
    <w:p w:rsidR="00E51B52" w:rsidRPr="00D133BE" w:rsidP="00F84901" w14:paraId="53FB936E" w14:textId="41412D0D">
      <w:pPr>
        <w:pStyle w:val="ListParagraph"/>
        <w:tabs>
          <w:tab w:val="left" w:pos="360"/>
        </w:tabs>
        <w:ind w:left="0"/>
        <w:rPr>
          <w:rStyle w:val="Hyperlink"/>
          <w:color w:val="auto"/>
          <w:u w:val="none"/>
        </w:rPr>
      </w:pPr>
    </w:p>
    <w:p w:rsidR="00E51B52" w:rsidRPr="00D133BE" w:rsidP="00F84901" w14:paraId="7C6A1B11" w14:textId="62376E91">
      <w:pPr>
        <w:pStyle w:val="ListParagraph"/>
        <w:tabs>
          <w:tab w:val="left" w:pos="360"/>
        </w:tabs>
        <w:ind w:left="0"/>
        <w:rPr>
          <w:rStyle w:val="Hyperlink"/>
          <w:color w:val="auto"/>
          <w:u w:val="none"/>
        </w:rPr>
      </w:pPr>
      <w:r w:rsidRPr="00D133BE">
        <w:rPr>
          <w:rStyle w:val="Hyperlink"/>
          <w:color w:val="auto"/>
          <w:u w:val="none"/>
        </w:rPr>
        <w:tab/>
      </w:r>
      <w:r w:rsidRPr="00D133BE">
        <w:rPr>
          <w:rStyle w:val="Hyperlink"/>
          <w:color w:val="auto"/>
          <w:u w:val="none"/>
        </w:rPr>
        <w:tab/>
        <w:t>Sean Goodison</w:t>
      </w:r>
    </w:p>
    <w:p w:rsidR="00E51B52" w:rsidRPr="00D133BE" w:rsidP="00F84901" w14:paraId="03999AA1" w14:textId="3954E0E7">
      <w:pPr>
        <w:pStyle w:val="ListParagraph"/>
        <w:tabs>
          <w:tab w:val="left" w:pos="360"/>
        </w:tabs>
        <w:ind w:left="0"/>
        <w:rPr>
          <w:rStyle w:val="Hyperlink"/>
          <w:color w:val="auto"/>
          <w:u w:val="none"/>
        </w:rPr>
      </w:pPr>
      <w:r w:rsidRPr="00D133BE">
        <w:rPr>
          <w:rStyle w:val="Hyperlink"/>
          <w:color w:val="auto"/>
          <w:u w:val="none"/>
        </w:rPr>
        <w:tab/>
      </w:r>
      <w:r w:rsidRPr="00D133BE">
        <w:rPr>
          <w:rStyle w:val="Hyperlink"/>
          <w:color w:val="auto"/>
          <w:u w:val="none"/>
        </w:rPr>
        <w:tab/>
        <w:t xml:space="preserve">LEMAS </w:t>
      </w:r>
      <w:r w:rsidR="001479BB">
        <w:rPr>
          <w:rStyle w:val="Hyperlink"/>
          <w:color w:val="auto"/>
          <w:u w:val="none"/>
        </w:rPr>
        <w:t>PAT</w:t>
      </w:r>
      <w:r w:rsidR="00F239D4">
        <w:rPr>
          <w:rStyle w:val="Hyperlink"/>
          <w:color w:val="auto"/>
          <w:u w:val="none"/>
        </w:rPr>
        <w:t xml:space="preserve">OW </w:t>
      </w:r>
      <w:r w:rsidR="00F33B17">
        <w:rPr>
          <w:rStyle w:val="Hyperlink"/>
          <w:color w:val="auto"/>
          <w:u w:val="none"/>
        </w:rPr>
        <w:t>s</w:t>
      </w:r>
      <w:r w:rsidR="00F239D4">
        <w:rPr>
          <w:rStyle w:val="Hyperlink"/>
          <w:color w:val="auto"/>
          <w:u w:val="none"/>
        </w:rPr>
        <w:t>urvey</w:t>
      </w:r>
      <w:r w:rsidRPr="00D133BE" w:rsidR="001479BB">
        <w:rPr>
          <w:rStyle w:val="Hyperlink"/>
          <w:color w:val="auto"/>
          <w:u w:val="none"/>
        </w:rPr>
        <w:t xml:space="preserve"> </w:t>
      </w:r>
      <w:r w:rsidRPr="00D133BE">
        <w:rPr>
          <w:rStyle w:val="Hyperlink"/>
          <w:color w:val="auto"/>
          <w:u w:val="none"/>
        </w:rPr>
        <w:t>Program Manager</w:t>
      </w:r>
    </w:p>
    <w:p w:rsidR="00E51B52" w:rsidRPr="00D133BE" w:rsidP="00F84901" w14:paraId="74D2C27C" w14:textId="5CB55AC5">
      <w:pPr>
        <w:pStyle w:val="ListParagraph"/>
        <w:tabs>
          <w:tab w:val="left" w:pos="360"/>
        </w:tabs>
        <w:ind w:left="0"/>
        <w:rPr>
          <w:rStyle w:val="Hyperlink"/>
          <w:color w:val="auto"/>
          <w:u w:val="none"/>
        </w:rPr>
      </w:pPr>
      <w:r w:rsidRPr="00D133BE">
        <w:rPr>
          <w:rStyle w:val="Hyperlink"/>
          <w:color w:val="auto"/>
          <w:u w:val="none"/>
        </w:rPr>
        <w:tab/>
      </w:r>
      <w:r w:rsidRPr="00D133BE">
        <w:rPr>
          <w:rStyle w:val="Hyperlink"/>
          <w:color w:val="auto"/>
          <w:u w:val="none"/>
        </w:rPr>
        <w:tab/>
      </w:r>
      <w:r w:rsidRPr="00D133BE" w:rsidR="006D34DA">
        <w:rPr>
          <w:rStyle w:val="Hyperlink"/>
          <w:color w:val="auto"/>
          <w:u w:val="none"/>
        </w:rPr>
        <w:t>202-532-5148</w:t>
      </w:r>
    </w:p>
    <w:p w:rsidR="00E51B52" w:rsidRPr="00D133BE" w:rsidP="00F84901" w14:paraId="7BD3BE2A" w14:textId="38C65641">
      <w:pPr>
        <w:pStyle w:val="ListParagraph"/>
        <w:tabs>
          <w:tab w:val="left" w:pos="360"/>
        </w:tabs>
        <w:ind w:left="0"/>
      </w:pPr>
      <w:r w:rsidRPr="00D133BE">
        <w:rPr>
          <w:rStyle w:val="Hyperlink"/>
          <w:color w:val="auto"/>
          <w:u w:val="none"/>
        </w:rPr>
        <w:tab/>
      </w:r>
      <w:r w:rsidRPr="00D133BE">
        <w:rPr>
          <w:rStyle w:val="Hyperlink"/>
          <w:color w:val="auto"/>
          <w:u w:val="none"/>
        </w:rPr>
        <w:tab/>
        <w:t>Sean.Goodison@usdoj.gov</w:t>
      </w:r>
    </w:p>
    <w:p w:rsidR="00BF496B" w:rsidP="00BF496B" w14:paraId="28C1C858" w14:textId="77777777">
      <w:pPr>
        <w:pStyle w:val="ListParagraph"/>
        <w:tabs>
          <w:tab w:val="left" w:pos="360"/>
        </w:tabs>
        <w:ind w:left="0"/>
      </w:pPr>
    </w:p>
    <w:p w:rsidR="00F84901" w:rsidP="00F84901" w14:paraId="6BD056BF" w14:textId="77777777">
      <w:pPr>
        <w:pStyle w:val="ListParagraph"/>
        <w:numPr>
          <w:ilvl w:val="0"/>
          <w:numId w:val="8"/>
        </w:numPr>
        <w:tabs>
          <w:tab w:val="left" w:pos="360"/>
        </w:tabs>
        <w:ind w:left="0" w:firstLine="0"/>
      </w:pPr>
      <w:r>
        <w:t>Persons consulted on statistical methodology:</w:t>
      </w:r>
    </w:p>
    <w:p w:rsidR="00F84901" w:rsidP="00F84901" w14:paraId="329CD4E6" w14:textId="77777777">
      <w:pPr>
        <w:tabs>
          <w:tab w:val="left" w:pos="360"/>
        </w:tabs>
      </w:pPr>
    </w:p>
    <w:p w:rsidR="00F84901" w:rsidP="00F84901" w14:paraId="45A04A9B" w14:textId="1BDC066B">
      <w:pPr>
        <w:pStyle w:val="ListParagraph"/>
        <w:tabs>
          <w:tab w:val="left" w:pos="360"/>
        </w:tabs>
        <w:ind w:left="0"/>
      </w:pPr>
      <w:r>
        <w:tab/>
      </w:r>
      <w:r>
        <w:tab/>
      </w:r>
      <w:r w:rsidR="00223623">
        <w:t>Harley Rohloff</w:t>
      </w:r>
    </w:p>
    <w:p w:rsidR="00F84901" w:rsidP="00F84901" w14:paraId="315AE7FD" w14:textId="77777777">
      <w:pPr>
        <w:pStyle w:val="ListParagraph"/>
        <w:tabs>
          <w:tab w:val="left" w:pos="360"/>
        </w:tabs>
        <w:ind w:left="0"/>
      </w:pPr>
      <w:r>
        <w:tab/>
      </w:r>
      <w:r>
        <w:tab/>
        <w:t>RTI International</w:t>
      </w:r>
    </w:p>
    <w:p w:rsidR="00F84901" w:rsidP="00F84901" w14:paraId="078299EC" w14:textId="77777777"/>
    <w:p w:rsidR="00F84901" w:rsidP="00F84901" w14:paraId="3857B160" w14:textId="77777777">
      <w:pPr>
        <w:pStyle w:val="ListParagraph"/>
        <w:numPr>
          <w:ilvl w:val="0"/>
          <w:numId w:val="8"/>
        </w:numPr>
        <w:tabs>
          <w:tab w:val="left" w:pos="360"/>
        </w:tabs>
        <w:ind w:left="0" w:firstLine="0"/>
      </w:pPr>
      <w:r>
        <w:t>Persons consulted on data collection and analysis:</w:t>
      </w:r>
    </w:p>
    <w:p w:rsidR="00F84901" w:rsidP="00F84901" w14:paraId="173C8406" w14:textId="77777777">
      <w:pPr>
        <w:ind w:firstLine="720"/>
      </w:pPr>
    </w:p>
    <w:p w:rsidR="006D34DA" w:rsidP="006D34DA" w14:paraId="071F9463" w14:textId="77777777">
      <w:pPr>
        <w:ind w:left="360" w:firstLine="360"/>
      </w:pPr>
      <w:r>
        <w:t>Megan Waggy</w:t>
      </w:r>
    </w:p>
    <w:p w:rsidR="006D34DA" w:rsidP="006D34DA" w14:paraId="618C43B3" w14:textId="77777777">
      <w:pPr>
        <w:ind w:left="360" w:firstLine="360"/>
      </w:pPr>
      <w:r>
        <w:t>RTI International</w:t>
      </w:r>
    </w:p>
    <w:p w:rsidR="006D34DA" w:rsidP="00F84901" w14:paraId="09A07382" w14:textId="77777777">
      <w:pPr>
        <w:ind w:firstLine="720"/>
      </w:pPr>
    </w:p>
    <w:p w:rsidR="00F84901" w:rsidP="00F84901" w14:paraId="07A18CFC" w14:textId="5D0AFD33">
      <w:pPr>
        <w:ind w:firstLine="720"/>
      </w:pPr>
      <w:r>
        <w:t>Tim Smith</w:t>
      </w:r>
    </w:p>
    <w:p w:rsidR="00F84901" w:rsidP="741403E9" w14:paraId="5BAA58DE" w14:textId="77777777">
      <w:pPr>
        <w:pStyle w:val="ListParagraph"/>
      </w:pPr>
      <w:r>
        <w:t>RTI International</w:t>
      </w:r>
    </w:p>
    <w:p w:rsidR="00F84901" w:rsidP="00F84901" w14:paraId="312014C4" w14:textId="77777777">
      <w:pPr>
        <w:ind w:left="360"/>
      </w:pPr>
    </w:p>
    <w:p w:rsidR="00F84901" w:rsidP="00F84901" w14:paraId="36C96E0F" w14:textId="77F05295">
      <w:pPr>
        <w:ind w:left="360" w:firstLine="360"/>
      </w:pPr>
      <w:r>
        <w:t>Mark Pope</w:t>
      </w:r>
    </w:p>
    <w:p w:rsidR="000F6384" w:rsidP="002F32F5" w14:paraId="7ACCBE31" w14:textId="13E24937">
      <w:pPr>
        <w:ind w:left="360" w:firstLine="360"/>
      </w:pPr>
      <w:r>
        <w:t>RTI International</w:t>
      </w:r>
    </w:p>
    <w:p w:rsidR="000E733D" w:rsidRPr="00BD19E9" w:rsidP="00A747BF" w14:paraId="42EB19D7" w14:textId="01D11516">
      <w:pPr>
        <w:spacing w:after="200" w:line="276" w:lineRule="auto"/>
      </w:pPr>
    </w:p>
    <w:sectPr w:rsidSect="002A780B">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DC3" w14:paraId="02D1C7E9" w14:textId="3AEEE159">
    <w:pPr>
      <w:pStyle w:val="Footer"/>
      <w:jc w:val="center"/>
    </w:pPr>
    <w:r>
      <w:fldChar w:fldCharType="begin"/>
    </w:r>
    <w:r>
      <w:instrText xml:space="preserve"> PAGE   \* MERGEFORMAT </w:instrText>
    </w:r>
    <w:r>
      <w:fldChar w:fldCharType="separate"/>
    </w:r>
    <w:r w:rsidR="00B848AA">
      <w:rPr>
        <w:noProof/>
      </w:rPr>
      <w:t>2</w:t>
    </w:r>
    <w:r>
      <w:rPr>
        <w:noProof/>
      </w:rPr>
      <w:fldChar w:fldCharType="end"/>
    </w:r>
  </w:p>
  <w:p w:rsidR="00676DC3" w14:paraId="44EEF2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30D2" w:rsidP="00421095" w14:paraId="377AD6F7" w14:textId="77777777">
      <w:r>
        <w:separator/>
      </w:r>
    </w:p>
  </w:footnote>
  <w:footnote w:type="continuationSeparator" w:id="1">
    <w:p w:rsidR="004B30D2" w:rsidP="00421095" w14:paraId="491708E5" w14:textId="77777777">
      <w:r>
        <w:continuationSeparator/>
      </w:r>
    </w:p>
  </w:footnote>
  <w:footnote w:id="2">
    <w:p w:rsidR="009F5952" w:rsidP="009F5952" w14:paraId="133CAA61" w14:textId="77777777">
      <w:pPr>
        <w:pStyle w:val="FootnoteText"/>
      </w:pPr>
      <w:r>
        <w:rPr>
          <w:rStyle w:val="FootnoteReference"/>
        </w:rPr>
        <w:footnoteRef/>
      </w:r>
      <w:r>
        <w:t xml:space="preserve"> For reporting purposes, two part-time officers are treated as equivalent to one full-time officer. </w:t>
      </w:r>
    </w:p>
  </w:footnote>
  <w:footnote w:id="3">
    <w:p w:rsidR="00E97BF5" w14:paraId="3E7C4F4A" w14:textId="3C192FEC">
      <w:pPr>
        <w:pStyle w:val="FootnoteText"/>
      </w:pPr>
      <w:r>
        <w:rPr>
          <w:rStyle w:val="FootnoteReference"/>
        </w:rPr>
        <w:footnoteRef/>
      </w:r>
      <w:r>
        <w:t xml:space="preserve"> Hawaii does not have a primary state police agency. </w:t>
      </w:r>
    </w:p>
  </w:footnote>
  <w:footnote w:id="4">
    <w:p w:rsidR="00D25E15" w:rsidRPr="00DE7E6C" w:rsidP="007055B5" w14:paraId="0E57E7E1" w14:textId="4D229FA5">
      <w:pPr>
        <w:ind w:left="450" w:hanging="450"/>
      </w:pPr>
      <w:r w:rsidRPr="007055B5">
        <w:rPr>
          <w:rStyle w:val="FootnoteReference"/>
          <w:sz w:val="18"/>
          <w:szCs w:val="18"/>
        </w:rPr>
        <w:footnoteRef/>
      </w:r>
      <w:r w:rsidRPr="007055B5">
        <w:rPr>
          <w:sz w:val="18"/>
          <w:szCs w:val="18"/>
        </w:rPr>
        <w:t xml:space="preserve"> </w:t>
      </w:r>
      <w:r w:rsidRPr="007055B5">
        <w:rPr>
          <w:sz w:val="18"/>
          <w:szCs w:val="18"/>
        </w:rPr>
        <w:t>Dillman</w:t>
      </w:r>
      <w:r w:rsidRPr="007055B5">
        <w:rPr>
          <w:sz w:val="18"/>
          <w:szCs w:val="18"/>
        </w:rPr>
        <w:t>, D. A., Smyth, J. D., &amp; Christian, L. M. (2014). Internet, phone, mail, and mixed-mode surveys: The tailored design method. John Wiley &amp; Sons.</w:t>
      </w:r>
    </w:p>
  </w:footnote>
  <w:footnote w:id="5">
    <w:p w:rsidR="00D25E15" w:rsidRPr="00DE7E6C" w:rsidP="007055B5" w14:paraId="7F278116" w14:textId="44534EB1">
      <w:r w:rsidRPr="007055B5">
        <w:rPr>
          <w:rStyle w:val="FootnoteReference"/>
          <w:sz w:val="18"/>
          <w:szCs w:val="18"/>
        </w:rPr>
        <w:footnoteRef/>
      </w:r>
      <w:r w:rsidRPr="007055B5">
        <w:rPr>
          <w:sz w:val="18"/>
          <w:szCs w:val="18"/>
        </w:rPr>
        <w:t xml:space="preserve"> Couper, M. P. (2008). Designing effective Web surveys. Cambridge University Press.</w:t>
      </w:r>
    </w:p>
  </w:footnote>
  <w:footnote w:id="6">
    <w:p w:rsidR="00D25E15" w:rsidRPr="00DE7E6C" w:rsidP="007055B5" w14:paraId="00FB2A38" w14:textId="4AFEAD4C">
      <w:pPr>
        <w:ind w:left="450" w:hanging="450"/>
      </w:pPr>
      <w:r w:rsidRPr="007055B5">
        <w:rPr>
          <w:rStyle w:val="FootnoteReference"/>
          <w:sz w:val="18"/>
          <w:szCs w:val="18"/>
        </w:rPr>
        <w:footnoteRef/>
      </w:r>
      <w:r w:rsidRPr="007055B5">
        <w:rPr>
          <w:sz w:val="18"/>
          <w:szCs w:val="18"/>
        </w:rPr>
        <w:t xml:space="preserve"> </w:t>
      </w:r>
      <w:r w:rsidRPr="007055B5">
        <w:rPr>
          <w:sz w:val="18"/>
          <w:szCs w:val="18"/>
        </w:rPr>
        <w:t>Bosnjak</w:t>
      </w:r>
      <w:r w:rsidRPr="007055B5">
        <w:rPr>
          <w:sz w:val="18"/>
          <w:szCs w:val="18"/>
        </w:rPr>
        <w:t xml:space="preserve">, M., </w:t>
      </w:r>
      <w:r w:rsidRPr="007055B5">
        <w:rPr>
          <w:sz w:val="18"/>
          <w:szCs w:val="18"/>
        </w:rPr>
        <w:t>Neubarth</w:t>
      </w:r>
      <w:r w:rsidRPr="007055B5">
        <w:rPr>
          <w:sz w:val="18"/>
          <w:szCs w:val="18"/>
        </w:rPr>
        <w:t xml:space="preserve">, W., Couper, M. P., </w:t>
      </w:r>
      <w:r w:rsidRPr="007055B5">
        <w:rPr>
          <w:sz w:val="18"/>
          <w:szCs w:val="18"/>
        </w:rPr>
        <w:t>Bandilla</w:t>
      </w:r>
      <w:r w:rsidRPr="007055B5">
        <w:rPr>
          <w:sz w:val="18"/>
          <w:szCs w:val="18"/>
        </w:rPr>
        <w:t xml:space="preserve">, W., &amp; </w:t>
      </w:r>
      <w:r w:rsidRPr="007055B5">
        <w:rPr>
          <w:sz w:val="18"/>
          <w:szCs w:val="18"/>
        </w:rPr>
        <w:t>Kaczmirek</w:t>
      </w:r>
      <w:r w:rsidRPr="007055B5">
        <w:rPr>
          <w:sz w:val="18"/>
          <w:szCs w:val="18"/>
        </w:rPr>
        <w:t>, L. (2008). Prenotification in web-based access panel surveys: The influence of mobile text messaging versus e-mail on response rates and sample composition. Social Science Computer Review, 26(2), 213-223.</w:t>
      </w:r>
    </w:p>
  </w:footnote>
  <w:footnote w:id="7">
    <w:p w:rsidR="00D25E15" w:rsidRPr="007055B5" w:rsidP="00D25E15" w14:paraId="18DCB42A" w14:textId="77777777">
      <w:pPr>
        <w:ind w:left="450" w:hanging="450"/>
        <w:rPr>
          <w:sz w:val="18"/>
          <w:szCs w:val="18"/>
        </w:rPr>
      </w:pPr>
      <w:r w:rsidRPr="007055B5">
        <w:rPr>
          <w:rStyle w:val="FootnoteReference"/>
          <w:sz w:val="18"/>
          <w:szCs w:val="18"/>
        </w:rPr>
        <w:footnoteRef/>
      </w:r>
      <w:r w:rsidRPr="007055B5">
        <w:rPr>
          <w:sz w:val="18"/>
          <w:szCs w:val="18"/>
        </w:rPr>
        <w:t xml:space="preserve"> Veen, F. V., </w:t>
      </w:r>
      <w:r w:rsidRPr="007055B5">
        <w:rPr>
          <w:sz w:val="18"/>
          <w:szCs w:val="18"/>
        </w:rPr>
        <w:t>Göritz</w:t>
      </w:r>
      <w:r w:rsidRPr="007055B5">
        <w:rPr>
          <w:sz w:val="18"/>
          <w:szCs w:val="18"/>
        </w:rPr>
        <w:t>, A. S., &amp; Sattler, S. (2016). Response effects of prenotification, prepaid cash, prepaid vouchers, and postpaid vouchers: An experimental comparison. Social Science Computer Review, 34(3), 333-346.</w:t>
      </w:r>
    </w:p>
    <w:p w:rsidR="00D25E15" w14:paraId="3887B353" w14:textId="65F87C0F">
      <w:pPr>
        <w:pStyle w:val="FootnoteText"/>
      </w:pPr>
    </w:p>
  </w:footnote>
  <w:footnote w:id="8">
    <w:p w:rsidR="009E5940" w:rsidP="00282D14" w14:paraId="6017065E" w14:textId="2AF01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rStyle w:val="FootnoteReference"/>
        </w:rPr>
        <w:footnoteRef/>
      </w:r>
      <w:r>
        <w:t xml:space="preserve"> </w:t>
      </w:r>
      <w:r w:rsidRPr="00282D14" w:rsidR="00282D14">
        <w:rPr>
          <w:sz w:val="20"/>
          <w:szCs w:val="20"/>
        </w:rPr>
        <w:t xml:space="preserve">Folsom, R.E., &amp; Singh, A.C. (2000). The generalized model for sampling weight calibration for extreme values, nonresponse, and poststratification. In </w:t>
      </w:r>
      <w:r w:rsidRPr="00282D14" w:rsidR="00282D14">
        <w:rPr>
          <w:i/>
          <w:sz w:val="20"/>
          <w:szCs w:val="20"/>
        </w:rPr>
        <w:t>Proceedings of the American Statistical Association’s Survey Research Methods Section</w:t>
      </w:r>
      <w:r w:rsidRPr="00282D14" w:rsidR="00282D14">
        <w:rPr>
          <w:sz w:val="20"/>
          <w:szCs w:val="20"/>
        </w:rPr>
        <w:t>, 598-603.</w:t>
      </w:r>
    </w:p>
  </w:footnote>
  <w:footnote w:id="9">
    <w:p w:rsidR="00CD2DCC" w:rsidP="00D465C4" w14:paraId="21902CB0" w14:textId="3EAA4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Pr>
          <w:rStyle w:val="FootnoteReference"/>
        </w:rPr>
        <w:footnoteRef/>
      </w:r>
      <w:r>
        <w:t xml:space="preserve"> </w:t>
      </w:r>
      <w:r w:rsidRPr="00CD2DCC">
        <w:rPr>
          <w:sz w:val="20"/>
          <w:szCs w:val="20"/>
        </w:rPr>
        <w:t>Cohen, J. (1988). Statistical Power Analysis for the Behavioral Sciences (2nd ed.). Routledge, 2013.</w:t>
      </w:r>
      <w:r w:rsidRPr="007705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933FB"/>
    <w:multiLevelType w:val="hybridMultilevel"/>
    <w:tmpl w:val="A36AA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37D37"/>
    <w:multiLevelType w:val="hybridMultilevel"/>
    <w:tmpl w:val="7DD24CB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4759B"/>
    <w:multiLevelType w:val="hybridMultilevel"/>
    <w:tmpl w:val="3E86E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BD362C"/>
    <w:multiLevelType w:val="hybridMultilevel"/>
    <w:tmpl w:val="00EE09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3C5581"/>
    <w:multiLevelType w:val="hybridMultilevel"/>
    <w:tmpl w:val="2C00869A"/>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1D5386"/>
    <w:multiLevelType w:val="hybridMultilevel"/>
    <w:tmpl w:val="88BE7B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E15BF1"/>
    <w:multiLevelType w:val="hybridMultilevel"/>
    <w:tmpl w:val="D068A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1C31A7"/>
    <w:multiLevelType w:val="hybridMultilevel"/>
    <w:tmpl w:val="0438503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86643B6"/>
    <w:multiLevelType w:val="hybridMultilevel"/>
    <w:tmpl w:val="61BCBDF2"/>
    <w:lvl w:ilvl="0">
      <w:start w:val="3"/>
      <w:numFmt w:val="bullet"/>
      <w:lvlText w:val="-"/>
      <w:lvlJc w:val="left"/>
      <w:pPr>
        <w:ind w:left="996" w:hanging="360"/>
      </w:pPr>
      <w:rPr>
        <w:rFonts w:ascii="Times New Roman" w:eastAsia="Times New Roman" w:hAnsi="Times New Roman" w:hint="default"/>
      </w:rPr>
    </w:lvl>
    <w:lvl w:ilvl="1" w:tentative="1">
      <w:start w:val="1"/>
      <w:numFmt w:val="bullet"/>
      <w:lvlText w:val="o"/>
      <w:lvlJc w:val="left"/>
      <w:pPr>
        <w:ind w:left="1716" w:hanging="360"/>
      </w:pPr>
      <w:rPr>
        <w:rFonts w:ascii="Courier New" w:hAnsi="Courier New" w:hint="default"/>
      </w:rPr>
    </w:lvl>
    <w:lvl w:ilvl="2" w:tentative="1">
      <w:start w:val="1"/>
      <w:numFmt w:val="bullet"/>
      <w:lvlText w:val=""/>
      <w:lvlJc w:val="left"/>
      <w:pPr>
        <w:ind w:left="2436" w:hanging="360"/>
      </w:pPr>
      <w:rPr>
        <w:rFonts w:ascii="Wingdings" w:hAnsi="Wingdings" w:hint="default"/>
      </w:rPr>
    </w:lvl>
    <w:lvl w:ilvl="3" w:tentative="1">
      <w:start w:val="1"/>
      <w:numFmt w:val="bullet"/>
      <w:lvlText w:val=""/>
      <w:lvlJc w:val="left"/>
      <w:pPr>
        <w:ind w:left="3156" w:hanging="360"/>
      </w:pPr>
      <w:rPr>
        <w:rFonts w:ascii="Symbol" w:hAnsi="Symbol" w:hint="default"/>
      </w:rPr>
    </w:lvl>
    <w:lvl w:ilvl="4" w:tentative="1">
      <w:start w:val="1"/>
      <w:numFmt w:val="bullet"/>
      <w:lvlText w:val="o"/>
      <w:lvlJc w:val="left"/>
      <w:pPr>
        <w:ind w:left="3876" w:hanging="360"/>
      </w:pPr>
      <w:rPr>
        <w:rFonts w:ascii="Courier New" w:hAnsi="Courier New" w:hint="default"/>
      </w:rPr>
    </w:lvl>
    <w:lvl w:ilvl="5" w:tentative="1">
      <w:start w:val="1"/>
      <w:numFmt w:val="bullet"/>
      <w:lvlText w:val=""/>
      <w:lvlJc w:val="left"/>
      <w:pPr>
        <w:ind w:left="4596" w:hanging="360"/>
      </w:pPr>
      <w:rPr>
        <w:rFonts w:ascii="Wingdings" w:hAnsi="Wingdings" w:hint="default"/>
      </w:rPr>
    </w:lvl>
    <w:lvl w:ilvl="6" w:tentative="1">
      <w:start w:val="1"/>
      <w:numFmt w:val="bullet"/>
      <w:lvlText w:val=""/>
      <w:lvlJc w:val="left"/>
      <w:pPr>
        <w:ind w:left="5316" w:hanging="360"/>
      </w:pPr>
      <w:rPr>
        <w:rFonts w:ascii="Symbol" w:hAnsi="Symbol" w:hint="default"/>
      </w:rPr>
    </w:lvl>
    <w:lvl w:ilvl="7" w:tentative="1">
      <w:start w:val="1"/>
      <w:numFmt w:val="bullet"/>
      <w:lvlText w:val="o"/>
      <w:lvlJc w:val="left"/>
      <w:pPr>
        <w:ind w:left="6036" w:hanging="360"/>
      </w:pPr>
      <w:rPr>
        <w:rFonts w:ascii="Courier New" w:hAnsi="Courier New" w:hint="default"/>
      </w:rPr>
    </w:lvl>
    <w:lvl w:ilvl="8" w:tentative="1">
      <w:start w:val="1"/>
      <w:numFmt w:val="bullet"/>
      <w:lvlText w:val=""/>
      <w:lvlJc w:val="left"/>
      <w:pPr>
        <w:ind w:left="6756" w:hanging="360"/>
      </w:pPr>
      <w:rPr>
        <w:rFonts w:ascii="Wingdings" w:hAnsi="Wingdings" w:hint="default"/>
      </w:rPr>
    </w:lvl>
  </w:abstractNum>
  <w:abstractNum w:abstractNumId="9">
    <w:nsid w:val="1B054162"/>
    <w:multiLevelType w:val="hybridMultilevel"/>
    <w:tmpl w:val="294CCC8E"/>
    <w:lvl w:ilvl="0">
      <w:start w:val="0"/>
      <w:numFmt w:val="bullet"/>
      <w:lvlText w:val="•"/>
      <w:lvlJc w:val="left"/>
      <w:pPr>
        <w:ind w:left="1080" w:hanging="72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1A7ACE"/>
    <w:multiLevelType w:val="hybridMultilevel"/>
    <w:tmpl w:val="E93C4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3409FC"/>
    <w:multiLevelType w:val="hybridMultilevel"/>
    <w:tmpl w:val="74A443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289C3548"/>
    <w:multiLevelType w:val="hybridMultilevel"/>
    <w:tmpl w:val="D266309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AC050BE"/>
    <w:multiLevelType w:val="hybridMultilevel"/>
    <w:tmpl w:val="A45E5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546D4B"/>
    <w:multiLevelType w:val="hybridMultilevel"/>
    <w:tmpl w:val="9CF05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361529"/>
    <w:multiLevelType w:val="hybridMultilevel"/>
    <w:tmpl w:val="F26A4D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97F016C"/>
    <w:multiLevelType w:val="hybridMultilevel"/>
    <w:tmpl w:val="9C448182"/>
    <w:lvl w:ilvl="0">
      <w:start w:val="0"/>
      <w:numFmt w:val="bullet"/>
      <w:lvlText w:val=""/>
      <w:lvlJc w:val="left"/>
      <w:pPr>
        <w:ind w:left="360" w:hanging="360"/>
      </w:pPr>
      <w:rPr>
        <w:rFonts w:ascii="Symbol" w:eastAsia="Times New Roman"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A9E71E6"/>
    <w:multiLevelType w:val="hybridMultilevel"/>
    <w:tmpl w:val="BE208B0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E4C3C"/>
    <w:multiLevelType w:val="hybridMultilevel"/>
    <w:tmpl w:val="AF1E9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9E53B9"/>
    <w:multiLevelType w:val="hybridMultilevel"/>
    <w:tmpl w:val="5F7A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BF58E1"/>
    <w:multiLevelType w:val="hybridMultilevel"/>
    <w:tmpl w:val="A3406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FB5D6A"/>
    <w:multiLevelType w:val="hybridMultilevel"/>
    <w:tmpl w:val="2620DC7C"/>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AC5260"/>
    <w:multiLevelType w:val="hybridMultilevel"/>
    <w:tmpl w:val="66181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DE2799"/>
    <w:multiLevelType w:val="hybridMultilevel"/>
    <w:tmpl w:val="A6B03F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C1E2AAB"/>
    <w:multiLevelType w:val="hybridMultilevel"/>
    <w:tmpl w:val="5D449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D9342C"/>
    <w:multiLevelType w:val="hybridMultilevel"/>
    <w:tmpl w:val="55C626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3DB255F"/>
    <w:multiLevelType w:val="hybridMultilevel"/>
    <w:tmpl w:val="E2EE68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D1B7937"/>
    <w:multiLevelType w:val="hybridMultilevel"/>
    <w:tmpl w:val="AA1685E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D65F84"/>
    <w:multiLevelType w:val="hybridMultilevel"/>
    <w:tmpl w:val="4712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13F4B34"/>
    <w:multiLevelType w:val="hybridMultilevel"/>
    <w:tmpl w:val="BAD047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0">
    <w:nsid w:val="754C2426"/>
    <w:multiLevelType w:val="hybridMultilevel"/>
    <w:tmpl w:val="E4983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D02EFF"/>
    <w:multiLevelType w:val="hybridMultilevel"/>
    <w:tmpl w:val="2B98D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925437C"/>
    <w:multiLevelType w:val="hybridMultilevel"/>
    <w:tmpl w:val="709A3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E254C8"/>
    <w:multiLevelType w:val="hybridMultilevel"/>
    <w:tmpl w:val="863C556E"/>
    <w:lvl w:ilvl="0">
      <w:start w:val="1"/>
      <w:numFmt w:val="decimal"/>
      <w:lvlText w:val="%1."/>
      <w:lvlJc w:val="left"/>
      <w:pPr>
        <w:ind w:left="360" w:hanging="360"/>
      </w:pPr>
      <w:rPr>
        <w:rFonts w:cs="Times New Roman" w:hint="default"/>
        <w:u w:val="none"/>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901283759">
    <w:abstractNumId w:val="31"/>
  </w:num>
  <w:num w:numId="2" w16cid:durableId="1290673429">
    <w:abstractNumId w:val="28"/>
  </w:num>
  <w:num w:numId="3" w16cid:durableId="2056616974">
    <w:abstractNumId w:val="12"/>
  </w:num>
  <w:num w:numId="4" w16cid:durableId="472409381">
    <w:abstractNumId w:val="29"/>
  </w:num>
  <w:num w:numId="5" w16cid:durableId="1726221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375307">
    <w:abstractNumId w:val="16"/>
  </w:num>
  <w:num w:numId="7" w16cid:durableId="438984867">
    <w:abstractNumId w:val="33"/>
  </w:num>
  <w:num w:numId="8" w16cid:durableId="1150291946">
    <w:abstractNumId w:val="7"/>
  </w:num>
  <w:num w:numId="9" w16cid:durableId="1539781148">
    <w:abstractNumId w:val="11"/>
  </w:num>
  <w:num w:numId="10" w16cid:durableId="750007128">
    <w:abstractNumId w:val="22"/>
  </w:num>
  <w:num w:numId="11" w16cid:durableId="1201356832">
    <w:abstractNumId w:val="8"/>
  </w:num>
  <w:num w:numId="12" w16cid:durableId="869419981">
    <w:abstractNumId w:val="30"/>
  </w:num>
  <w:num w:numId="13" w16cid:durableId="127598962">
    <w:abstractNumId w:val="20"/>
  </w:num>
  <w:num w:numId="14" w16cid:durableId="495191451">
    <w:abstractNumId w:val="1"/>
  </w:num>
  <w:num w:numId="15" w16cid:durableId="1713797780">
    <w:abstractNumId w:val="27"/>
  </w:num>
  <w:num w:numId="16" w16cid:durableId="1283225741">
    <w:abstractNumId w:val="21"/>
  </w:num>
  <w:num w:numId="17" w16cid:durableId="820931160">
    <w:abstractNumId w:val="4"/>
  </w:num>
  <w:num w:numId="18" w16cid:durableId="1015768357">
    <w:abstractNumId w:val="17"/>
  </w:num>
  <w:num w:numId="19" w16cid:durableId="2028827919">
    <w:abstractNumId w:val="3"/>
  </w:num>
  <w:num w:numId="20" w16cid:durableId="397288229">
    <w:abstractNumId w:val="23"/>
  </w:num>
  <w:num w:numId="21" w16cid:durableId="1233850151">
    <w:abstractNumId w:val="26"/>
  </w:num>
  <w:num w:numId="22" w16cid:durableId="96873220">
    <w:abstractNumId w:val="19"/>
  </w:num>
  <w:num w:numId="23" w16cid:durableId="1211696480">
    <w:abstractNumId w:val="13"/>
  </w:num>
  <w:num w:numId="24" w16cid:durableId="830219900">
    <w:abstractNumId w:val="9"/>
  </w:num>
  <w:num w:numId="25" w16cid:durableId="411588405">
    <w:abstractNumId w:val="6"/>
  </w:num>
  <w:num w:numId="26" w16cid:durableId="625936451">
    <w:abstractNumId w:val="2"/>
  </w:num>
  <w:num w:numId="27" w16cid:durableId="1132401520">
    <w:abstractNumId w:val="32"/>
  </w:num>
  <w:num w:numId="28" w16cid:durableId="1012226630">
    <w:abstractNumId w:val="14"/>
  </w:num>
  <w:num w:numId="29" w16cid:durableId="894125184">
    <w:abstractNumId w:val="10"/>
  </w:num>
  <w:num w:numId="30" w16cid:durableId="879828045">
    <w:abstractNumId w:val="18"/>
  </w:num>
  <w:num w:numId="31" w16cid:durableId="1300376130">
    <w:abstractNumId w:val="0"/>
  </w:num>
  <w:num w:numId="32" w16cid:durableId="586773570">
    <w:abstractNumId w:val="24"/>
  </w:num>
  <w:num w:numId="33" w16cid:durableId="1248923387">
    <w:abstractNumId w:val="25"/>
  </w:num>
  <w:num w:numId="34" w16cid:durableId="45954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5"/>
    <w:rsid w:val="000004FC"/>
    <w:rsid w:val="00001DE6"/>
    <w:rsid w:val="0000409E"/>
    <w:rsid w:val="00006757"/>
    <w:rsid w:val="000069E1"/>
    <w:rsid w:val="00007A5C"/>
    <w:rsid w:val="00012B79"/>
    <w:rsid w:val="0001585F"/>
    <w:rsid w:val="00016B86"/>
    <w:rsid w:val="00017D8B"/>
    <w:rsid w:val="00021CC4"/>
    <w:rsid w:val="00021ED9"/>
    <w:rsid w:val="0002672E"/>
    <w:rsid w:val="00030044"/>
    <w:rsid w:val="00033E3E"/>
    <w:rsid w:val="000403BE"/>
    <w:rsid w:val="0004775D"/>
    <w:rsid w:val="00047767"/>
    <w:rsid w:val="000479B5"/>
    <w:rsid w:val="00047D82"/>
    <w:rsid w:val="000506C9"/>
    <w:rsid w:val="000527DF"/>
    <w:rsid w:val="000552D3"/>
    <w:rsid w:val="00056E05"/>
    <w:rsid w:val="000573C0"/>
    <w:rsid w:val="000618F1"/>
    <w:rsid w:val="00063181"/>
    <w:rsid w:val="00064C5B"/>
    <w:rsid w:val="000652FE"/>
    <w:rsid w:val="00072C4F"/>
    <w:rsid w:val="00072EC5"/>
    <w:rsid w:val="00073C76"/>
    <w:rsid w:val="000742F6"/>
    <w:rsid w:val="00077003"/>
    <w:rsid w:val="00080A87"/>
    <w:rsid w:val="0008309B"/>
    <w:rsid w:val="00087065"/>
    <w:rsid w:val="00091EBD"/>
    <w:rsid w:val="00095B15"/>
    <w:rsid w:val="000A0625"/>
    <w:rsid w:val="000A0FB5"/>
    <w:rsid w:val="000A1127"/>
    <w:rsid w:val="000A6629"/>
    <w:rsid w:val="000C1B2E"/>
    <w:rsid w:val="000C47D8"/>
    <w:rsid w:val="000C4800"/>
    <w:rsid w:val="000C4C24"/>
    <w:rsid w:val="000C5B92"/>
    <w:rsid w:val="000D0572"/>
    <w:rsid w:val="000D1AC6"/>
    <w:rsid w:val="000D1C97"/>
    <w:rsid w:val="000D253B"/>
    <w:rsid w:val="000D4B8D"/>
    <w:rsid w:val="000E5501"/>
    <w:rsid w:val="000E733D"/>
    <w:rsid w:val="000E7F64"/>
    <w:rsid w:val="000F6384"/>
    <w:rsid w:val="00104A74"/>
    <w:rsid w:val="001074F4"/>
    <w:rsid w:val="00110B02"/>
    <w:rsid w:val="00112EF1"/>
    <w:rsid w:val="0011312E"/>
    <w:rsid w:val="0011355A"/>
    <w:rsid w:val="0011500B"/>
    <w:rsid w:val="001154BD"/>
    <w:rsid w:val="00122EA8"/>
    <w:rsid w:val="00130D67"/>
    <w:rsid w:val="00133301"/>
    <w:rsid w:val="0013515C"/>
    <w:rsid w:val="0013795F"/>
    <w:rsid w:val="00140980"/>
    <w:rsid w:val="00140B9D"/>
    <w:rsid w:val="00141D2F"/>
    <w:rsid w:val="0014420A"/>
    <w:rsid w:val="00146AF9"/>
    <w:rsid w:val="001479BB"/>
    <w:rsid w:val="001559EF"/>
    <w:rsid w:val="00156904"/>
    <w:rsid w:val="00163AF7"/>
    <w:rsid w:val="00172BE1"/>
    <w:rsid w:val="0017508A"/>
    <w:rsid w:val="00176383"/>
    <w:rsid w:val="001802FC"/>
    <w:rsid w:val="00182079"/>
    <w:rsid w:val="001861B0"/>
    <w:rsid w:val="001A179A"/>
    <w:rsid w:val="001A3E1C"/>
    <w:rsid w:val="001A42C3"/>
    <w:rsid w:val="001A6BA5"/>
    <w:rsid w:val="001B0233"/>
    <w:rsid w:val="001B1EC4"/>
    <w:rsid w:val="001B2488"/>
    <w:rsid w:val="001B5337"/>
    <w:rsid w:val="001B7478"/>
    <w:rsid w:val="001C20FA"/>
    <w:rsid w:val="001C4D8B"/>
    <w:rsid w:val="001D1682"/>
    <w:rsid w:val="001D3326"/>
    <w:rsid w:val="001D45ED"/>
    <w:rsid w:val="001D4798"/>
    <w:rsid w:val="001D5D5D"/>
    <w:rsid w:val="001D7DA3"/>
    <w:rsid w:val="001D7E85"/>
    <w:rsid w:val="001E40F6"/>
    <w:rsid w:val="001E65B9"/>
    <w:rsid w:val="001E708D"/>
    <w:rsid w:val="001F09D9"/>
    <w:rsid w:val="001F1808"/>
    <w:rsid w:val="001F59A2"/>
    <w:rsid w:val="001F7057"/>
    <w:rsid w:val="0020485B"/>
    <w:rsid w:val="002048B9"/>
    <w:rsid w:val="00204DA9"/>
    <w:rsid w:val="00207226"/>
    <w:rsid w:val="0021657E"/>
    <w:rsid w:val="00216E1D"/>
    <w:rsid w:val="00217D7B"/>
    <w:rsid w:val="00223623"/>
    <w:rsid w:val="00223BC6"/>
    <w:rsid w:val="002241B6"/>
    <w:rsid w:val="00226164"/>
    <w:rsid w:val="00230328"/>
    <w:rsid w:val="00233A86"/>
    <w:rsid w:val="002359F0"/>
    <w:rsid w:val="002364B9"/>
    <w:rsid w:val="002369CA"/>
    <w:rsid w:val="00241C86"/>
    <w:rsid w:val="0024429F"/>
    <w:rsid w:val="0024443E"/>
    <w:rsid w:val="00250546"/>
    <w:rsid w:val="00250584"/>
    <w:rsid w:val="00251465"/>
    <w:rsid w:val="002524E3"/>
    <w:rsid w:val="00256BAE"/>
    <w:rsid w:val="00257716"/>
    <w:rsid w:val="00266994"/>
    <w:rsid w:val="00272F96"/>
    <w:rsid w:val="00274054"/>
    <w:rsid w:val="002750E4"/>
    <w:rsid w:val="0027777D"/>
    <w:rsid w:val="00281C89"/>
    <w:rsid w:val="00281D9C"/>
    <w:rsid w:val="002821C9"/>
    <w:rsid w:val="00282D14"/>
    <w:rsid w:val="00282FDE"/>
    <w:rsid w:val="00285B41"/>
    <w:rsid w:val="00290A8F"/>
    <w:rsid w:val="002925F3"/>
    <w:rsid w:val="00292D2D"/>
    <w:rsid w:val="00294626"/>
    <w:rsid w:val="002A0E94"/>
    <w:rsid w:val="002A55B1"/>
    <w:rsid w:val="002A55FF"/>
    <w:rsid w:val="002A7672"/>
    <w:rsid w:val="002A780B"/>
    <w:rsid w:val="002B0CC6"/>
    <w:rsid w:val="002B512A"/>
    <w:rsid w:val="002C189E"/>
    <w:rsid w:val="002D2322"/>
    <w:rsid w:val="002D5C42"/>
    <w:rsid w:val="002D7FAA"/>
    <w:rsid w:val="002E0A6F"/>
    <w:rsid w:val="002E1515"/>
    <w:rsid w:val="002E5DAF"/>
    <w:rsid w:val="002E7EFC"/>
    <w:rsid w:val="002F2D7C"/>
    <w:rsid w:val="002F32F5"/>
    <w:rsid w:val="002F53E6"/>
    <w:rsid w:val="003042BD"/>
    <w:rsid w:val="0031232C"/>
    <w:rsid w:val="003147EB"/>
    <w:rsid w:val="00316B41"/>
    <w:rsid w:val="003207D3"/>
    <w:rsid w:val="00323CA2"/>
    <w:rsid w:val="00325588"/>
    <w:rsid w:val="00327E3E"/>
    <w:rsid w:val="003303FF"/>
    <w:rsid w:val="003305AA"/>
    <w:rsid w:val="00330DA4"/>
    <w:rsid w:val="00331F52"/>
    <w:rsid w:val="0033314C"/>
    <w:rsid w:val="003354D8"/>
    <w:rsid w:val="00335C6B"/>
    <w:rsid w:val="00337FEB"/>
    <w:rsid w:val="003427B1"/>
    <w:rsid w:val="003471F7"/>
    <w:rsid w:val="0034790C"/>
    <w:rsid w:val="003502D2"/>
    <w:rsid w:val="003506B3"/>
    <w:rsid w:val="00352E74"/>
    <w:rsid w:val="003533FD"/>
    <w:rsid w:val="0035791F"/>
    <w:rsid w:val="00360EF3"/>
    <w:rsid w:val="00361D62"/>
    <w:rsid w:val="00363AB1"/>
    <w:rsid w:val="003654DD"/>
    <w:rsid w:val="00366193"/>
    <w:rsid w:val="00367A70"/>
    <w:rsid w:val="0037167C"/>
    <w:rsid w:val="0037297B"/>
    <w:rsid w:val="00372AE1"/>
    <w:rsid w:val="003745DF"/>
    <w:rsid w:val="00377098"/>
    <w:rsid w:val="003835F3"/>
    <w:rsid w:val="00384BE8"/>
    <w:rsid w:val="003857BC"/>
    <w:rsid w:val="00391A05"/>
    <w:rsid w:val="003969E6"/>
    <w:rsid w:val="003A4B36"/>
    <w:rsid w:val="003A5314"/>
    <w:rsid w:val="003B1270"/>
    <w:rsid w:val="003B2F16"/>
    <w:rsid w:val="003C22A7"/>
    <w:rsid w:val="003C2907"/>
    <w:rsid w:val="003C3CCE"/>
    <w:rsid w:val="003C5560"/>
    <w:rsid w:val="003C6818"/>
    <w:rsid w:val="003D38C8"/>
    <w:rsid w:val="003E1278"/>
    <w:rsid w:val="003E5647"/>
    <w:rsid w:val="003E645E"/>
    <w:rsid w:val="003E6B67"/>
    <w:rsid w:val="003F2579"/>
    <w:rsid w:val="003F2F82"/>
    <w:rsid w:val="00404D6C"/>
    <w:rsid w:val="00405393"/>
    <w:rsid w:val="00413C62"/>
    <w:rsid w:val="004151F1"/>
    <w:rsid w:val="00415881"/>
    <w:rsid w:val="00421095"/>
    <w:rsid w:val="0042651D"/>
    <w:rsid w:val="00431534"/>
    <w:rsid w:val="00433567"/>
    <w:rsid w:val="00435C84"/>
    <w:rsid w:val="004375F5"/>
    <w:rsid w:val="00441704"/>
    <w:rsid w:val="00441FBB"/>
    <w:rsid w:val="0044289C"/>
    <w:rsid w:val="00443A7D"/>
    <w:rsid w:val="00450D5B"/>
    <w:rsid w:val="00461BB8"/>
    <w:rsid w:val="00461CE6"/>
    <w:rsid w:val="00462E4C"/>
    <w:rsid w:val="004630DD"/>
    <w:rsid w:val="00464EC5"/>
    <w:rsid w:val="004703D5"/>
    <w:rsid w:val="004715A9"/>
    <w:rsid w:val="00473176"/>
    <w:rsid w:val="00475BE7"/>
    <w:rsid w:val="004768FA"/>
    <w:rsid w:val="00477FA1"/>
    <w:rsid w:val="0048160C"/>
    <w:rsid w:val="0048164F"/>
    <w:rsid w:val="00492A79"/>
    <w:rsid w:val="00495F4C"/>
    <w:rsid w:val="004A2AF9"/>
    <w:rsid w:val="004A4EEA"/>
    <w:rsid w:val="004A6B77"/>
    <w:rsid w:val="004B1EDD"/>
    <w:rsid w:val="004B30D2"/>
    <w:rsid w:val="004B4B5F"/>
    <w:rsid w:val="004C0E13"/>
    <w:rsid w:val="004C249B"/>
    <w:rsid w:val="004C2F74"/>
    <w:rsid w:val="004C44FB"/>
    <w:rsid w:val="004C7B82"/>
    <w:rsid w:val="004D33AF"/>
    <w:rsid w:val="004D5CEA"/>
    <w:rsid w:val="004D74A1"/>
    <w:rsid w:val="004F22D4"/>
    <w:rsid w:val="004F31EF"/>
    <w:rsid w:val="004F37A9"/>
    <w:rsid w:val="004F38A6"/>
    <w:rsid w:val="0050368C"/>
    <w:rsid w:val="00513491"/>
    <w:rsid w:val="00513698"/>
    <w:rsid w:val="00514534"/>
    <w:rsid w:val="00515AE0"/>
    <w:rsid w:val="0051685F"/>
    <w:rsid w:val="005179E2"/>
    <w:rsid w:val="00517AB0"/>
    <w:rsid w:val="0052519A"/>
    <w:rsid w:val="00527A1C"/>
    <w:rsid w:val="00530BBC"/>
    <w:rsid w:val="005346F1"/>
    <w:rsid w:val="005411DA"/>
    <w:rsid w:val="00544395"/>
    <w:rsid w:val="00544989"/>
    <w:rsid w:val="0055356F"/>
    <w:rsid w:val="0055470A"/>
    <w:rsid w:val="00556135"/>
    <w:rsid w:val="0056033F"/>
    <w:rsid w:val="00560FBB"/>
    <w:rsid w:val="00565275"/>
    <w:rsid w:val="00567C7D"/>
    <w:rsid w:val="0057026E"/>
    <w:rsid w:val="00570489"/>
    <w:rsid w:val="00570ECF"/>
    <w:rsid w:val="00572D1B"/>
    <w:rsid w:val="00576A82"/>
    <w:rsid w:val="00576E85"/>
    <w:rsid w:val="00577E44"/>
    <w:rsid w:val="0058463A"/>
    <w:rsid w:val="005858EB"/>
    <w:rsid w:val="00594C83"/>
    <w:rsid w:val="00596C3F"/>
    <w:rsid w:val="005B02C6"/>
    <w:rsid w:val="005B2D6D"/>
    <w:rsid w:val="005C1237"/>
    <w:rsid w:val="005D13C5"/>
    <w:rsid w:val="005D3BA2"/>
    <w:rsid w:val="005E31A3"/>
    <w:rsid w:val="005F76E7"/>
    <w:rsid w:val="006037A2"/>
    <w:rsid w:val="00611B5F"/>
    <w:rsid w:val="00634B4A"/>
    <w:rsid w:val="006446A3"/>
    <w:rsid w:val="00646B92"/>
    <w:rsid w:val="006565FD"/>
    <w:rsid w:val="00660FFC"/>
    <w:rsid w:val="00662CA2"/>
    <w:rsid w:val="006642D3"/>
    <w:rsid w:val="00667410"/>
    <w:rsid w:val="00670344"/>
    <w:rsid w:val="0067081A"/>
    <w:rsid w:val="00672455"/>
    <w:rsid w:val="00672D12"/>
    <w:rsid w:val="00672D35"/>
    <w:rsid w:val="00676DC3"/>
    <w:rsid w:val="0067742B"/>
    <w:rsid w:val="0068628D"/>
    <w:rsid w:val="006917BB"/>
    <w:rsid w:val="00696348"/>
    <w:rsid w:val="00696402"/>
    <w:rsid w:val="0069697C"/>
    <w:rsid w:val="006A11F3"/>
    <w:rsid w:val="006A6754"/>
    <w:rsid w:val="006B26F7"/>
    <w:rsid w:val="006B4C83"/>
    <w:rsid w:val="006B7CF1"/>
    <w:rsid w:val="006C2C00"/>
    <w:rsid w:val="006D1FAA"/>
    <w:rsid w:val="006D2DD6"/>
    <w:rsid w:val="006D34DA"/>
    <w:rsid w:val="006E2247"/>
    <w:rsid w:val="006E55C8"/>
    <w:rsid w:val="006E6F21"/>
    <w:rsid w:val="006F17F1"/>
    <w:rsid w:val="006F31F1"/>
    <w:rsid w:val="006F3E2E"/>
    <w:rsid w:val="006F4AA5"/>
    <w:rsid w:val="006F5892"/>
    <w:rsid w:val="006F5F0F"/>
    <w:rsid w:val="007055B5"/>
    <w:rsid w:val="00705C30"/>
    <w:rsid w:val="007076CA"/>
    <w:rsid w:val="00707D2D"/>
    <w:rsid w:val="007118A2"/>
    <w:rsid w:val="00713E27"/>
    <w:rsid w:val="00714F0E"/>
    <w:rsid w:val="00715A44"/>
    <w:rsid w:val="007169CB"/>
    <w:rsid w:val="0073242F"/>
    <w:rsid w:val="007351C8"/>
    <w:rsid w:val="007455C0"/>
    <w:rsid w:val="0074569B"/>
    <w:rsid w:val="00747D1B"/>
    <w:rsid w:val="00754D27"/>
    <w:rsid w:val="00761663"/>
    <w:rsid w:val="00765B7D"/>
    <w:rsid w:val="0077058E"/>
    <w:rsid w:val="007712CF"/>
    <w:rsid w:val="00774823"/>
    <w:rsid w:val="00780EA2"/>
    <w:rsid w:val="00782090"/>
    <w:rsid w:val="00787BF0"/>
    <w:rsid w:val="007907FA"/>
    <w:rsid w:val="0079398A"/>
    <w:rsid w:val="00795904"/>
    <w:rsid w:val="007A395A"/>
    <w:rsid w:val="007A3ACF"/>
    <w:rsid w:val="007A3AED"/>
    <w:rsid w:val="007A4C12"/>
    <w:rsid w:val="007A538F"/>
    <w:rsid w:val="007A631D"/>
    <w:rsid w:val="007A6C4A"/>
    <w:rsid w:val="007B1C4D"/>
    <w:rsid w:val="007B4F8B"/>
    <w:rsid w:val="007B7C06"/>
    <w:rsid w:val="007C0EFD"/>
    <w:rsid w:val="007C47D6"/>
    <w:rsid w:val="007C5C95"/>
    <w:rsid w:val="007C7F12"/>
    <w:rsid w:val="007D45D3"/>
    <w:rsid w:val="007D4974"/>
    <w:rsid w:val="007D521C"/>
    <w:rsid w:val="007D5382"/>
    <w:rsid w:val="007D71DA"/>
    <w:rsid w:val="007E05A7"/>
    <w:rsid w:val="007E40CA"/>
    <w:rsid w:val="007E4BD4"/>
    <w:rsid w:val="007E7724"/>
    <w:rsid w:val="007F4BBC"/>
    <w:rsid w:val="007F6472"/>
    <w:rsid w:val="0080140E"/>
    <w:rsid w:val="00803AB6"/>
    <w:rsid w:val="0080504C"/>
    <w:rsid w:val="008120E5"/>
    <w:rsid w:val="00813986"/>
    <w:rsid w:val="00813A26"/>
    <w:rsid w:val="00815AF0"/>
    <w:rsid w:val="008163AC"/>
    <w:rsid w:val="0081691A"/>
    <w:rsid w:val="00820DB6"/>
    <w:rsid w:val="0083044C"/>
    <w:rsid w:val="00830786"/>
    <w:rsid w:val="00852049"/>
    <w:rsid w:val="008528EB"/>
    <w:rsid w:val="008534AF"/>
    <w:rsid w:val="0085543C"/>
    <w:rsid w:val="00855D09"/>
    <w:rsid w:val="00864246"/>
    <w:rsid w:val="008653A5"/>
    <w:rsid w:val="00867690"/>
    <w:rsid w:val="00873402"/>
    <w:rsid w:val="008818E1"/>
    <w:rsid w:val="00881C65"/>
    <w:rsid w:val="00886110"/>
    <w:rsid w:val="0088712E"/>
    <w:rsid w:val="008906D6"/>
    <w:rsid w:val="008939CA"/>
    <w:rsid w:val="008961AB"/>
    <w:rsid w:val="008A04F4"/>
    <w:rsid w:val="008A27A8"/>
    <w:rsid w:val="008A2D7A"/>
    <w:rsid w:val="008A30F7"/>
    <w:rsid w:val="008A6C4F"/>
    <w:rsid w:val="008B258F"/>
    <w:rsid w:val="008B2847"/>
    <w:rsid w:val="008B5838"/>
    <w:rsid w:val="008C2A8B"/>
    <w:rsid w:val="008C452C"/>
    <w:rsid w:val="008C62B2"/>
    <w:rsid w:val="008C7848"/>
    <w:rsid w:val="008D0408"/>
    <w:rsid w:val="008D6911"/>
    <w:rsid w:val="008D7CC0"/>
    <w:rsid w:val="008D7F52"/>
    <w:rsid w:val="008F163E"/>
    <w:rsid w:val="009038D8"/>
    <w:rsid w:val="0090454E"/>
    <w:rsid w:val="0091647D"/>
    <w:rsid w:val="00921CF6"/>
    <w:rsid w:val="00924FFA"/>
    <w:rsid w:val="00926C2C"/>
    <w:rsid w:val="00927F6B"/>
    <w:rsid w:val="0093757C"/>
    <w:rsid w:val="00945127"/>
    <w:rsid w:val="009479AB"/>
    <w:rsid w:val="0095719B"/>
    <w:rsid w:val="00957D35"/>
    <w:rsid w:val="0096419D"/>
    <w:rsid w:val="00971178"/>
    <w:rsid w:val="0097338D"/>
    <w:rsid w:val="009740BB"/>
    <w:rsid w:val="00975508"/>
    <w:rsid w:val="00975C81"/>
    <w:rsid w:val="009774FA"/>
    <w:rsid w:val="00983B13"/>
    <w:rsid w:val="00986A0E"/>
    <w:rsid w:val="00990A93"/>
    <w:rsid w:val="00990B15"/>
    <w:rsid w:val="00995628"/>
    <w:rsid w:val="009A28DE"/>
    <w:rsid w:val="009A2F21"/>
    <w:rsid w:val="009A3668"/>
    <w:rsid w:val="009A5B88"/>
    <w:rsid w:val="009A78FA"/>
    <w:rsid w:val="009B1C87"/>
    <w:rsid w:val="009B4305"/>
    <w:rsid w:val="009B5A6B"/>
    <w:rsid w:val="009B636C"/>
    <w:rsid w:val="009B68E4"/>
    <w:rsid w:val="009B7BC4"/>
    <w:rsid w:val="009C0B37"/>
    <w:rsid w:val="009C4655"/>
    <w:rsid w:val="009C76F0"/>
    <w:rsid w:val="009C7EC2"/>
    <w:rsid w:val="009D445A"/>
    <w:rsid w:val="009D696E"/>
    <w:rsid w:val="009E0F5B"/>
    <w:rsid w:val="009E218E"/>
    <w:rsid w:val="009E387E"/>
    <w:rsid w:val="009E3F04"/>
    <w:rsid w:val="009E4FAB"/>
    <w:rsid w:val="009E5940"/>
    <w:rsid w:val="009E6ACB"/>
    <w:rsid w:val="009F1D6B"/>
    <w:rsid w:val="009F226A"/>
    <w:rsid w:val="009F36B6"/>
    <w:rsid w:val="009F3D54"/>
    <w:rsid w:val="009F50CB"/>
    <w:rsid w:val="009F5952"/>
    <w:rsid w:val="009F5C3A"/>
    <w:rsid w:val="009F6AAB"/>
    <w:rsid w:val="00A12BEA"/>
    <w:rsid w:val="00A1454E"/>
    <w:rsid w:val="00A14B3A"/>
    <w:rsid w:val="00A263C8"/>
    <w:rsid w:val="00A30300"/>
    <w:rsid w:val="00A3257D"/>
    <w:rsid w:val="00A40850"/>
    <w:rsid w:val="00A45B67"/>
    <w:rsid w:val="00A46869"/>
    <w:rsid w:val="00A46889"/>
    <w:rsid w:val="00A471AD"/>
    <w:rsid w:val="00A50A7E"/>
    <w:rsid w:val="00A51021"/>
    <w:rsid w:val="00A51E9F"/>
    <w:rsid w:val="00A560AA"/>
    <w:rsid w:val="00A5617A"/>
    <w:rsid w:val="00A6699A"/>
    <w:rsid w:val="00A70B66"/>
    <w:rsid w:val="00A717F4"/>
    <w:rsid w:val="00A71C78"/>
    <w:rsid w:val="00A747BF"/>
    <w:rsid w:val="00A75DA0"/>
    <w:rsid w:val="00A957AC"/>
    <w:rsid w:val="00A95CFB"/>
    <w:rsid w:val="00A96AE8"/>
    <w:rsid w:val="00AA1DE7"/>
    <w:rsid w:val="00AA2570"/>
    <w:rsid w:val="00AA530A"/>
    <w:rsid w:val="00AA688D"/>
    <w:rsid w:val="00AA70AA"/>
    <w:rsid w:val="00AB307C"/>
    <w:rsid w:val="00AB4688"/>
    <w:rsid w:val="00AB507D"/>
    <w:rsid w:val="00AB50CF"/>
    <w:rsid w:val="00AB5B33"/>
    <w:rsid w:val="00AC0A2E"/>
    <w:rsid w:val="00AC0BE6"/>
    <w:rsid w:val="00AC26D8"/>
    <w:rsid w:val="00AC34F8"/>
    <w:rsid w:val="00AC5E3A"/>
    <w:rsid w:val="00AD0392"/>
    <w:rsid w:val="00AD0D1F"/>
    <w:rsid w:val="00AD37C2"/>
    <w:rsid w:val="00AD7449"/>
    <w:rsid w:val="00AE04CD"/>
    <w:rsid w:val="00AE2023"/>
    <w:rsid w:val="00AE2D4A"/>
    <w:rsid w:val="00AE5CBF"/>
    <w:rsid w:val="00AE707C"/>
    <w:rsid w:val="00AF5AEB"/>
    <w:rsid w:val="00AF619C"/>
    <w:rsid w:val="00AF6564"/>
    <w:rsid w:val="00AF7302"/>
    <w:rsid w:val="00B0191D"/>
    <w:rsid w:val="00B04041"/>
    <w:rsid w:val="00B0677D"/>
    <w:rsid w:val="00B10337"/>
    <w:rsid w:val="00B21B52"/>
    <w:rsid w:val="00B265B4"/>
    <w:rsid w:val="00B34E7F"/>
    <w:rsid w:val="00B36BD0"/>
    <w:rsid w:val="00B37C1B"/>
    <w:rsid w:val="00B42937"/>
    <w:rsid w:val="00B478DB"/>
    <w:rsid w:val="00B502CB"/>
    <w:rsid w:val="00B510A8"/>
    <w:rsid w:val="00B51B03"/>
    <w:rsid w:val="00B51F0C"/>
    <w:rsid w:val="00B56C6B"/>
    <w:rsid w:val="00B57F86"/>
    <w:rsid w:val="00B608CC"/>
    <w:rsid w:val="00B62B62"/>
    <w:rsid w:val="00B637F4"/>
    <w:rsid w:val="00B65499"/>
    <w:rsid w:val="00B67F45"/>
    <w:rsid w:val="00B74820"/>
    <w:rsid w:val="00B75E62"/>
    <w:rsid w:val="00B77E5C"/>
    <w:rsid w:val="00B848AA"/>
    <w:rsid w:val="00BA1631"/>
    <w:rsid w:val="00BA7A7E"/>
    <w:rsid w:val="00BB3221"/>
    <w:rsid w:val="00BB4A75"/>
    <w:rsid w:val="00BB5466"/>
    <w:rsid w:val="00BC2420"/>
    <w:rsid w:val="00BC4F7F"/>
    <w:rsid w:val="00BC5153"/>
    <w:rsid w:val="00BC595F"/>
    <w:rsid w:val="00BC5F1F"/>
    <w:rsid w:val="00BC7640"/>
    <w:rsid w:val="00BD19E9"/>
    <w:rsid w:val="00BD2B52"/>
    <w:rsid w:val="00BD62F3"/>
    <w:rsid w:val="00BD68D1"/>
    <w:rsid w:val="00BE1CB4"/>
    <w:rsid w:val="00BE275D"/>
    <w:rsid w:val="00BE3BB0"/>
    <w:rsid w:val="00BE4E21"/>
    <w:rsid w:val="00BF13F0"/>
    <w:rsid w:val="00BF1E46"/>
    <w:rsid w:val="00BF3055"/>
    <w:rsid w:val="00BF41F7"/>
    <w:rsid w:val="00BF496B"/>
    <w:rsid w:val="00BF5E05"/>
    <w:rsid w:val="00BF6A4D"/>
    <w:rsid w:val="00C022C5"/>
    <w:rsid w:val="00C040E5"/>
    <w:rsid w:val="00C04250"/>
    <w:rsid w:val="00C06CDB"/>
    <w:rsid w:val="00C0707D"/>
    <w:rsid w:val="00C1045B"/>
    <w:rsid w:val="00C12CDE"/>
    <w:rsid w:val="00C138F5"/>
    <w:rsid w:val="00C14A58"/>
    <w:rsid w:val="00C345D8"/>
    <w:rsid w:val="00C40031"/>
    <w:rsid w:val="00C47D38"/>
    <w:rsid w:val="00C502B5"/>
    <w:rsid w:val="00C51B79"/>
    <w:rsid w:val="00C54A43"/>
    <w:rsid w:val="00C55C76"/>
    <w:rsid w:val="00C5649E"/>
    <w:rsid w:val="00C56C1E"/>
    <w:rsid w:val="00C617FA"/>
    <w:rsid w:val="00C71DA2"/>
    <w:rsid w:val="00C74E69"/>
    <w:rsid w:val="00C76D47"/>
    <w:rsid w:val="00C818EB"/>
    <w:rsid w:val="00C824D4"/>
    <w:rsid w:val="00C87BA8"/>
    <w:rsid w:val="00C90010"/>
    <w:rsid w:val="00C95008"/>
    <w:rsid w:val="00CA1E4A"/>
    <w:rsid w:val="00CA3573"/>
    <w:rsid w:val="00CA3C04"/>
    <w:rsid w:val="00CB059F"/>
    <w:rsid w:val="00CB1A3F"/>
    <w:rsid w:val="00CB1B35"/>
    <w:rsid w:val="00CB27E3"/>
    <w:rsid w:val="00CB4E2F"/>
    <w:rsid w:val="00CB5064"/>
    <w:rsid w:val="00CB554C"/>
    <w:rsid w:val="00CC00F9"/>
    <w:rsid w:val="00CC08CC"/>
    <w:rsid w:val="00CC3477"/>
    <w:rsid w:val="00CC4A2E"/>
    <w:rsid w:val="00CD131B"/>
    <w:rsid w:val="00CD2DCC"/>
    <w:rsid w:val="00CD69B6"/>
    <w:rsid w:val="00CD70E9"/>
    <w:rsid w:val="00CE1B1D"/>
    <w:rsid w:val="00CE367C"/>
    <w:rsid w:val="00CE5B61"/>
    <w:rsid w:val="00CE6E77"/>
    <w:rsid w:val="00CF12FE"/>
    <w:rsid w:val="00CF1C00"/>
    <w:rsid w:val="00CF45EA"/>
    <w:rsid w:val="00CF4AE5"/>
    <w:rsid w:val="00CF5047"/>
    <w:rsid w:val="00CF6DEB"/>
    <w:rsid w:val="00D02AB6"/>
    <w:rsid w:val="00D04A68"/>
    <w:rsid w:val="00D07041"/>
    <w:rsid w:val="00D106FF"/>
    <w:rsid w:val="00D111F9"/>
    <w:rsid w:val="00D133BE"/>
    <w:rsid w:val="00D13D97"/>
    <w:rsid w:val="00D16BCF"/>
    <w:rsid w:val="00D16DCC"/>
    <w:rsid w:val="00D25E15"/>
    <w:rsid w:val="00D365E4"/>
    <w:rsid w:val="00D41267"/>
    <w:rsid w:val="00D42B9E"/>
    <w:rsid w:val="00D465C4"/>
    <w:rsid w:val="00D474D8"/>
    <w:rsid w:val="00D47BFD"/>
    <w:rsid w:val="00D51B2B"/>
    <w:rsid w:val="00D534B2"/>
    <w:rsid w:val="00D56C00"/>
    <w:rsid w:val="00D57E7A"/>
    <w:rsid w:val="00D66519"/>
    <w:rsid w:val="00D672FC"/>
    <w:rsid w:val="00D75BCD"/>
    <w:rsid w:val="00D82900"/>
    <w:rsid w:val="00D84C95"/>
    <w:rsid w:val="00D85E60"/>
    <w:rsid w:val="00D87CFF"/>
    <w:rsid w:val="00D9108E"/>
    <w:rsid w:val="00D91E40"/>
    <w:rsid w:val="00D946A3"/>
    <w:rsid w:val="00D955C8"/>
    <w:rsid w:val="00D95EEE"/>
    <w:rsid w:val="00DA2C00"/>
    <w:rsid w:val="00DA515B"/>
    <w:rsid w:val="00DA5F64"/>
    <w:rsid w:val="00DA609A"/>
    <w:rsid w:val="00DB0596"/>
    <w:rsid w:val="00DB11BE"/>
    <w:rsid w:val="00DB1CA0"/>
    <w:rsid w:val="00DB43F6"/>
    <w:rsid w:val="00DC14B5"/>
    <w:rsid w:val="00DC1DDA"/>
    <w:rsid w:val="00DC1DF6"/>
    <w:rsid w:val="00DC518D"/>
    <w:rsid w:val="00DC5B8E"/>
    <w:rsid w:val="00DC6AA6"/>
    <w:rsid w:val="00DD462A"/>
    <w:rsid w:val="00DD5DDC"/>
    <w:rsid w:val="00DD6689"/>
    <w:rsid w:val="00DE0F5B"/>
    <w:rsid w:val="00DE6822"/>
    <w:rsid w:val="00DE7E6C"/>
    <w:rsid w:val="00DF2615"/>
    <w:rsid w:val="00DF621D"/>
    <w:rsid w:val="00E00C63"/>
    <w:rsid w:val="00E03801"/>
    <w:rsid w:val="00E05313"/>
    <w:rsid w:val="00E07E3D"/>
    <w:rsid w:val="00E11A50"/>
    <w:rsid w:val="00E157BE"/>
    <w:rsid w:val="00E16934"/>
    <w:rsid w:val="00E17A46"/>
    <w:rsid w:val="00E17FBF"/>
    <w:rsid w:val="00E24D98"/>
    <w:rsid w:val="00E27181"/>
    <w:rsid w:val="00E304FF"/>
    <w:rsid w:val="00E30627"/>
    <w:rsid w:val="00E34189"/>
    <w:rsid w:val="00E42BA9"/>
    <w:rsid w:val="00E43EA9"/>
    <w:rsid w:val="00E451C9"/>
    <w:rsid w:val="00E45EE9"/>
    <w:rsid w:val="00E51B52"/>
    <w:rsid w:val="00E51D06"/>
    <w:rsid w:val="00E521A1"/>
    <w:rsid w:val="00E55EED"/>
    <w:rsid w:val="00E607A8"/>
    <w:rsid w:val="00E60B15"/>
    <w:rsid w:val="00E645C4"/>
    <w:rsid w:val="00E6742D"/>
    <w:rsid w:val="00E70CBF"/>
    <w:rsid w:val="00E77256"/>
    <w:rsid w:val="00E777EC"/>
    <w:rsid w:val="00E81E00"/>
    <w:rsid w:val="00E8229B"/>
    <w:rsid w:val="00E8403D"/>
    <w:rsid w:val="00E95EEE"/>
    <w:rsid w:val="00E9651F"/>
    <w:rsid w:val="00E972F1"/>
    <w:rsid w:val="00E97BF5"/>
    <w:rsid w:val="00EA0627"/>
    <w:rsid w:val="00EA2A20"/>
    <w:rsid w:val="00EA44F3"/>
    <w:rsid w:val="00EA4AEF"/>
    <w:rsid w:val="00EA581F"/>
    <w:rsid w:val="00EA62BB"/>
    <w:rsid w:val="00EA79ED"/>
    <w:rsid w:val="00EB262E"/>
    <w:rsid w:val="00EB2C30"/>
    <w:rsid w:val="00EC6C2C"/>
    <w:rsid w:val="00ED06A3"/>
    <w:rsid w:val="00ED6A98"/>
    <w:rsid w:val="00EE3AD5"/>
    <w:rsid w:val="00EE6CE9"/>
    <w:rsid w:val="00EF3020"/>
    <w:rsid w:val="00F00354"/>
    <w:rsid w:val="00F02625"/>
    <w:rsid w:val="00F0381A"/>
    <w:rsid w:val="00F03B37"/>
    <w:rsid w:val="00F03D5C"/>
    <w:rsid w:val="00F04A0D"/>
    <w:rsid w:val="00F05C84"/>
    <w:rsid w:val="00F10950"/>
    <w:rsid w:val="00F124B2"/>
    <w:rsid w:val="00F124DA"/>
    <w:rsid w:val="00F13181"/>
    <w:rsid w:val="00F1339C"/>
    <w:rsid w:val="00F156DD"/>
    <w:rsid w:val="00F1791A"/>
    <w:rsid w:val="00F1796A"/>
    <w:rsid w:val="00F20CAC"/>
    <w:rsid w:val="00F229F7"/>
    <w:rsid w:val="00F239D4"/>
    <w:rsid w:val="00F250EC"/>
    <w:rsid w:val="00F33B17"/>
    <w:rsid w:val="00F365CA"/>
    <w:rsid w:val="00F40DDF"/>
    <w:rsid w:val="00F41236"/>
    <w:rsid w:val="00F567C1"/>
    <w:rsid w:val="00F6452F"/>
    <w:rsid w:val="00F66958"/>
    <w:rsid w:val="00F706E6"/>
    <w:rsid w:val="00F8259C"/>
    <w:rsid w:val="00F84901"/>
    <w:rsid w:val="00F84BA4"/>
    <w:rsid w:val="00F851BA"/>
    <w:rsid w:val="00F86091"/>
    <w:rsid w:val="00F867AE"/>
    <w:rsid w:val="00F90EC9"/>
    <w:rsid w:val="00F93B03"/>
    <w:rsid w:val="00FA3F93"/>
    <w:rsid w:val="00FA4DAA"/>
    <w:rsid w:val="00FA5482"/>
    <w:rsid w:val="00FA5B3F"/>
    <w:rsid w:val="00FA7E94"/>
    <w:rsid w:val="00FB5E12"/>
    <w:rsid w:val="00FC068F"/>
    <w:rsid w:val="00FC308D"/>
    <w:rsid w:val="00FD4D81"/>
    <w:rsid w:val="00FD6A27"/>
    <w:rsid w:val="00FE1C5A"/>
    <w:rsid w:val="00FE2530"/>
    <w:rsid w:val="00FE43C2"/>
    <w:rsid w:val="00FE69CD"/>
    <w:rsid w:val="00FF2685"/>
    <w:rsid w:val="00FF7CDC"/>
    <w:rsid w:val="01059BB8"/>
    <w:rsid w:val="01EBA31E"/>
    <w:rsid w:val="0220B6B6"/>
    <w:rsid w:val="028292A0"/>
    <w:rsid w:val="03051D53"/>
    <w:rsid w:val="039E7C5D"/>
    <w:rsid w:val="043424D9"/>
    <w:rsid w:val="048F6023"/>
    <w:rsid w:val="04974DA9"/>
    <w:rsid w:val="04DA79D0"/>
    <w:rsid w:val="0525DB7C"/>
    <w:rsid w:val="057E14BD"/>
    <w:rsid w:val="062B3084"/>
    <w:rsid w:val="06331E0A"/>
    <w:rsid w:val="06AB236E"/>
    <w:rsid w:val="0748F741"/>
    <w:rsid w:val="0758D55C"/>
    <w:rsid w:val="07CEEE6B"/>
    <w:rsid w:val="08A4AA58"/>
    <w:rsid w:val="08BDA305"/>
    <w:rsid w:val="09981B8C"/>
    <w:rsid w:val="09F26289"/>
    <w:rsid w:val="0B068F2D"/>
    <w:rsid w:val="0BE2BC5E"/>
    <w:rsid w:val="0BF543C7"/>
    <w:rsid w:val="0D911428"/>
    <w:rsid w:val="0DA215E4"/>
    <w:rsid w:val="0DBC595D"/>
    <w:rsid w:val="0DD5288B"/>
    <w:rsid w:val="0E3E2FEF"/>
    <w:rsid w:val="0EBF4CD5"/>
    <w:rsid w:val="0FDA0050"/>
    <w:rsid w:val="1074AAF8"/>
    <w:rsid w:val="10CB3F22"/>
    <w:rsid w:val="10CEF1F5"/>
    <w:rsid w:val="1175D0B1"/>
    <w:rsid w:val="12462D7D"/>
    <w:rsid w:val="1264854B"/>
    <w:rsid w:val="132F8901"/>
    <w:rsid w:val="13FAAA32"/>
    <w:rsid w:val="16BF8F51"/>
    <w:rsid w:val="188F68EE"/>
    <w:rsid w:val="18D3C6CF"/>
    <w:rsid w:val="19063C1B"/>
    <w:rsid w:val="1B008B92"/>
    <w:rsid w:val="1BBD681D"/>
    <w:rsid w:val="1C0B6791"/>
    <w:rsid w:val="1CB88358"/>
    <w:rsid w:val="1D1FE462"/>
    <w:rsid w:val="1D390CBF"/>
    <w:rsid w:val="1DA737F2"/>
    <w:rsid w:val="1DC7077C"/>
    <w:rsid w:val="1EBBB4C3"/>
    <w:rsid w:val="1F721A76"/>
    <w:rsid w:val="20B19653"/>
    <w:rsid w:val="20DEFC0D"/>
    <w:rsid w:val="21A04AED"/>
    <w:rsid w:val="21F35585"/>
    <w:rsid w:val="246FC2F7"/>
    <w:rsid w:val="24D7EBAF"/>
    <w:rsid w:val="2528EBBC"/>
    <w:rsid w:val="2773F146"/>
    <w:rsid w:val="27E9BA53"/>
    <w:rsid w:val="2828B4CE"/>
    <w:rsid w:val="29183273"/>
    <w:rsid w:val="295237BF"/>
    <w:rsid w:val="29C4852F"/>
    <w:rsid w:val="2A02FAF1"/>
    <w:rsid w:val="2A45A8F3"/>
    <w:rsid w:val="2A817FA8"/>
    <w:rsid w:val="2ABBA1FB"/>
    <w:rsid w:val="2B9ECB52"/>
    <w:rsid w:val="2BD47510"/>
    <w:rsid w:val="2CACA040"/>
    <w:rsid w:val="307EE3C5"/>
    <w:rsid w:val="317A943E"/>
    <w:rsid w:val="31D14315"/>
    <w:rsid w:val="326FA1CA"/>
    <w:rsid w:val="32EE4F4C"/>
    <w:rsid w:val="32F0D159"/>
    <w:rsid w:val="331B3B36"/>
    <w:rsid w:val="33DF27F2"/>
    <w:rsid w:val="346B59C8"/>
    <w:rsid w:val="35107414"/>
    <w:rsid w:val="36955D8F"/>
    <w:rsid w:val="36F995E4"/>
    <w:rsid w:val="3736FBA1"/>
    <w:rsid w:val="376D1CB8"/>
    <w:rsid w:val="39B3C982"/>
    <w:rsid w:val="3AA7EF93"/>
    <w:rsid w:val="3AA92385"/>
    <w:rsid w:val="3B653E83"/>
    <w:rsid w:val="3BA1EA81"/>
    <w:rsid w:val="3BDCE1F0"/>
    <w:rsid w:val="3D74B7D9"/>
    <w:rsid w:val="3F1902C0"/>
    <w:rsid w:val="40511435"/>
    <w:rsid w:val="41D66A59"/>
    <w:rsid w:val="42819BCE"/>
    <w:rsid w:val="446FB66A"/>
    <w:rsid w:val="449359EC"/>
    <w:rsid w:val="45B93C90"/>
    <w:rsid w:val="45E1121D"/>
    <w:rsid w:val="4633B676"/>
    <w:rsid w:val="46A003A4"/>
    <w:rsid w:val="47178B95"/>
    <w:rsid w:val="473A5950"/>
    <w:rsid w:val="47498F89"/>
    <w:rsid w:val="483D00BD"/>
    <w:rsid w:val="48443207"/>
    <w:rsid w:val="4A53B16C"/>
    <w:rsid w:val="4A5C9813"/>
    <w:rsid w:val="4CB5FAC3"/>
    <w:rsid w:val="4D0318AA"/>
    <w:rsid w:val="4E1FBC02"/>
    <w:rsid w:val="4F601ED6"/>
    <w:rsid w:val="4FA814BA"/>
    <w:rsid w:val="50392E28"/>
    <w:rsid w:val="5143E51B"/>
    <w:rsid w:val="51D689CD"/>
    <w:rsid w:val="531C9127"/>
    <w:rsid w:val="53725A2E"/>
    <w:rsid w:val="53D65BBC"/>
    <w:rsid w:val="548CB559"/>
    <w:rsid w:val="54994417"/>
    <w:rsid w:val="54A2CD88"/>
    <w:rsid w:val="5697E0A0"/>
    <w:rsid w:val="573C3100"/>
    <w:rsid w:val="5798AF8A"/>
    <w:rsid w:val="5844400D"/>
    <w:rsid w:val="58826A0D"/>
    <w:rsid w:val="5904C4C8"/>
    <w:rsid w:val="59347FEB"/>
    <w:rsid w:val="596DDDE0"/>
    <w:rsid w:val="5973447E"/>
    <w:rsid w:val="5A6D3DA7"/>
    <w:rsid w:val="5BE490AF"/>
    <w:rsid w:val="5C2D6707"/>
    <w:rsid w:val="5C6C20AD"/>
    <w:rsid w:val="5C88F142"/>
    <w:rsid w:val="5D6F4ED2"/>
    <w:rsid w:val="5E9A5934"/>
    <w:rsid w:val="5FCDC223"/>
    <w:rsid w:val="5FD47C19"/>
    <w:rsid w:val="637E22EA"/>
    <w:rsid w:val="63855348"/>
    <w:rsid w:val="6535BB23"/>
    <w:rsid w:val="66472F42"/>
    <w:rsid w:val="668E9F84"/>
    <w:rsid w:val="66ED9D89"/>
    <w:rsid w:val="67AED354"/>
    <w:rsid w:val="67F062FA"/>
    <w:rsid w:val="68F1481A"/>
    <w:rsid w:val="69F7BF7C"/>
    <w:rsid w:val="6E0B3217"/>
    <w:rsid w:val="6E11BF6D"/>
    <w:rsid w:val="6EF8AF6E"/>
    <w:rsid w:val="6F0C5739"/>
    <w:rsid w:val="70B02E27"/>
    <w:rsid w:val="72783388"/>
    <w:rsid w:val="7289C36F"/>
    <w:rsid w:val="73F3D785"/>
    <w:rsid w:val="741403E9"/>
    <w:rsid w:val="743EB697"/>
    <w:rsid w:val="74BD8FC2"/>
    <w:rsid w:val="75D19851"/>
    <w:rsid w:val="775EB971"/>
    <w:rsid w:val="78DD1036"/>
    <w:rsid w:val="7944221E"/>
    <w:rsid w:val="7A434F9B"/>
    <w:rsid w:val="7A9FF404"/>
    <w:rsid w:val="7AD241BE"/>
    <w:rsid w:val="7B0EE450"/>
    <w:rsid w:val="7B7CA3C1"/>
    <w:rsid w:val="7BB53040"/>
    <w:rsid w:val="7C05ED71"/>
    <w:rsid w:val="7C110E9B"/>
    <w:rsid w:val="7C322A94"/>
    <w:rsid w:val="7C9C657E"/>
    <w:rsid w:val="7CEBFDFF"/>
    <w:rsid w:val="7D199590"/>
    <w:rsid w:val="7D55DADB"/>
    <w:rsid w:val="7D59DF95"/>
    <w:rsid w:val="7DC519ED"/>
    <w:rsid w:val="7E280C24"/>
    <w:rsid w:val="7F0ED338"/>
    <w:rsid w:val="7F342760"/>
    <w:rsid w:val="7F69CB56"/>
    <w:rsid w:val="7FBBEE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36430BD"/>
  <w15:docId w15:val="{16275D51-919D-4567-9FB0-F69BEDA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3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1ED9"/>
    <w:pPr>
      <w:keepNext/>
      <w:keepLines/>
      <w:pBdr>
        <w:bottom w:val="single" w:sz="4" w:space="1" w:color="auto"/>
      </w:pBdr>
      <w:spacing w:after="240" w:line="259" w:lineRule="auto"/>
      <w:ind w:left="-360"/>
      <w:outlineLvl w:val="0"/>
    </w:pPr>
    <w:rPr>
      <w:rFonts w:eastAsia="SimSun" w:asciiTheme="majorHAnsi" w:hAnsiTheme="majorHAnsi" w:cstheme="majorBidi"/>
      <w:b/>
      <w:color w:val="365F91"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aliases w:val="F1"/>
    <w:basedOn w:val="Normal"/>
    <w:link w:val="FootnoteTextChar"/>
    <w:uiPriority w:val="99"/>
    <w:rsid w:val="00421095"/>
    <w:rPr>
      <w:sz w:val="20"/>
      <w:szCs w:val="20"/>
    </w:rPr>
  </w:style>
  <w:style w:type="character" w:customStyle="1" w:styleId="FootnoteTextChar">
    <w:name w:val="Footnote Text Char"/>
    <w:aliases w:val="F1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Caption">
    <w:name w:val="caption"/>
    <w:basedOn w:val="Normal"/>
    <w:next w:val="Normal"/>
    <w:uiPriority w:val="35"/>
    <w:unhideWhenUsed/>
    <w:qFormat/>
    <w:rsid w:val="003969E6"/>
    <w:pPr>
      <w:spacing w:after="200"/>
    </w:pPr>
    <w:rPr>
      <w:rFonts w:asciiTheme="minorHAnsi" w:eastAsiaTheme="minorHAnsi" w:hAnsiTheme="minorHAnsi" w:cstheme="minorBidi"/>
      <w:i/>
      <w:iCs/>
      <w:color w:val="1F497D" w:themeColor="text2"/>
      <w:sz w:val="18"/>
      <w:szCs w:val="18"/>
    </w:rPr>
  </w:style>
  <w:style w:type="character" w:customStyle="1" w:styleId="apple-converted-space">
    <w:name w:val="apple-converted-space"/>
    <w:basedOn w:val="DefaultParagraphFont"/>
    <w:rsid w:val="00D85E60"/>
  </w:style>
  <w:style w:type="table" w:customStyle="1" w:styleId="TableGrid1">
    <w:name w:val="Table Grid1"/>
    <w:basedOn w:val="TableNormal"/>
    <w:next w:val="TableGrid"/>
    <w:uiPriority w:val="39"/>
    <w:rsid w:val="00F8490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8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4901"/>
    <w:rPr>
      <w:rFonts w:ascii="Courier New" w:eastAsia="Times New Roman" w:hAnsi="Courier New" w:cs="Courier New"/>
      <w:sz w:val="20"/>
      <w:szCs w:val="20"/>
    </w:rPr>
  </w:style>
  <w:style w:type="character" w:styleId="HTMLCite">
    <w:name w:val="HTML Cite"/>
    <w:basedOn w:val="DefaultParagraphFont"/>
    <w:uiPriority w:val="99"/>
    <w:semiHidden/>
    <w:unhideWhenUsed/>
    <w:rsid w:val="00C55C76"/>
    <w:rPr>
      <w:i/>
      <w:iCs/>
    </w:rPr>
  </w:style>
  <w:style w:type="character" w:styleId="Emphasis">
    <w:name w:val="Emphasis"/>
    <w:basedOn w:val="DefaultParagraphFont"/>
    <w:uiPriority w:val="20"/>
    <w:qFormat/>
    <w:rsid w:val="00C55C76"/>
    <w:rPr>
      <w:i/>
      <w:iCs/>
    </w:rPr>
  </w:style>
  <w:style w:type="paragraph" w:styleId="NoSpacing">
    <w:name w:val="No Spacing"/>
    <w:uiPriority w:val="1"/>
    <w:qFormat/>
    <w:rsid w:val="007455C0"/>
    <w:pPr>
      <w:spacing w:after="0" w:line="240" w:lineRule="auto"/>
    </w:pPr>
  </w:style>
  <w:style w:type="character" w:styleId="FollowedHyperlink">
    <w:name w:val="FollowedHyperlink"/>
    <w:basedOn w:val="DefaultParagraphFont"/>
    <w:uiPriority w:val="99"/>
    <w:semiHidden/>
    <w:unhideWhenUsed/>
    <w:rsid w:val="007455C0"/>
    <w:rPr>
      <w:color w:val="800080" w:themeColor="followedHyperlink"/>
      <w:u w:val="single"/>
    </w:rPr>
  </w:style>
  <w:style w:type="character" w:styleId="UnresolvedMention">
    <w:name w:val="Unresolved Mention"/>
    <w:basedOn w:val="DefaultParagraphFont"/>
    <w:uiPriority w:val="99"/>
    <w:semiHidden/>
    <w:unhideWhenUsed/>
    <w:rsid w:val="006446A3"/>
    <w:rPr>
      <w:color w:val="605E5C"/>
      <w:shd w:val="clear" w:color="auto" w:fill="E1DFDD"/>
    </w:rPr>
  </w:style>
  <w:style w:type="character" w:customStyle="1" w:styleId="normaltextrun">
    <w:name w:val="normaltextrun"/>
    <w:basedOn w:val="DefaultParagraphFont"/>
    <w:rsid w:val="00E777EC"/>
  </w:style>
  <w:style w:type="character" w:customStyle="1" w:styleId="findhit">
    <w:name w:val="findhit"/>
    <w:basedOn w:val="DefaultParagraphFont"/>
    <w:rsid w:val="00E777EC"/>
  </w:style>
  <w:style w:type="character" w:customStyle="1" w:styleId="ui-provider">
    <w:name w:val="ui-provider"/>
    <w:basedOn w:val="DefaultParagraphFont"/>
    <w:rsid w:val="00BF6A4D"/>
  </w:style>
  <w:style w:type="paragraph" w:customStyle="1" w:styleId="table-notealt-2">
    <w:name w:val="table-note_alt-2"/>
    <w:basedOn w:val="Normal"/>
    <w:rsid w:val="00B57F86"/>
    <w:pPr>
      <w:keepLines/>
      <w:spacing w:before="60" w:after="240"/>
      <w:ind w:left="187" w:hanging="187"/>
    </w:pPr>
    <w:rPr>
      <w:rFonts w:eastAsia="SimSun"/>
      <w:sz w:val="20"/>
      <w:szCs w:val="22"/>
      <w:lang w:eastAsia="zh-CN"/>
    </w:rPr>
  </w:style>
  <w:style w:type="character" w:customStyle="1" w:styleId="Heading1Char">
    <w:name w:val="Heading 1 Char"/>
    <w:basedOn w:val="DefaultParagraphFont"/>
    <w:link w:val="Heading1"/>
    <w:uiPriority w:val="9"/>
    <w:rsid w:val="00021ED9"/>
    <w:rPr>
      <w:rFonts w:eastAsia="SimSun" w:asciiTheme="majorHAnsi" w:hAnsiTheme="majorHAnsi" w:cstheme="majorBidi"/>
      <w:b/>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F31A2ADE40747A7A21FE5D8C464C1" ma:contentTypeVersion="4" ma:contentTypeDescription="Create a new document." ma:contentTypeScope="" ma:versionID="2339d38628c303cc403a4a9c90291ca5">
  <xsd:schema xmlns:xsd="http://www.w3.org/2001/XMLSchema" xmlns:xs="http://www.w3.org/2001/XMLSchema" xmlns:p="http://schemas.microsoft.com/office/2006/metadata/properties" xmlns:ns2="0adfcf02-59e0-4ea4-9508-f49070d14868" targetNamespace="http://schemas.microsoft.com/office/2006/metadata/properties" ma:root="true" ma:fieldsID="7c47f0452a2824bea62ca538efaafff4" ns2:_="">
    <xsd:import namespace="0adfcf02-59e0-4ea4-9508-f49070d148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fcf02-59e0-4ea4-9508-f49070d14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B3484-EC36-40BB-B9E5-E9966781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fcf02-59e0-4ea4-9508-f49070d1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85D43-6E85-4000-8CBA-67469B161581}">
  <ds:schemaRefs>
    <ds:schemaRef ds:uri="http://schemas.microsoft.com/office/2006/metadata/properties"/>
    <ds:schemaRef ds:uri="http://purl.org/dc/terms/"/>
    <ds:schemaRef ds:uri="http://schemas.openxmlformats.org/package/2006/metadata/core-properties"/>
    <ds:schemaRef ds:uri="0adfcf02-59e0-4ea4-9508-f49070d14868"/>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5555A9E-CE7B-43C8-8E29-F261E4D8C22C}">
  <ds:schemaRefs>
    <ds:schemaRef ds:uri="http://schemas.microsoft.com/sharepoint/v3/contenttype/forms"/>
  </ds:schemaRefs>
</ds:datastoreItem>
</file>

<file path=customXml/itemProps4.xml><?xml version="1.0" encoding="utf-8"?>
<ds:datastoreItem xmlns:ds="http://schemas.openxmlformats.org/officeDocument/2006/customXml" ds:itemID="{A4DB58FF-25DB-4E97-B7B6-F4E8CA60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4491</Words>
  <Characters>25602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Goodison, Sean (OJP)</cp:lastModifiedBy>
  <cp:revision>2</cp:revision>
  <cp:lastPrinted>2020-01-28T12:00:00Z</cp:lastPrinted>
  <dcterms:created xsi:type="dcterms:W3CDTF">2023-07-20T16:26:00Z</dcterms:created>
  <dcterms:modified xsi:type="dcterms:W3CDTF">2023-07-20T16:26:00Z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0x010100409F31A2ADE40747A7A21FE5D8C464C1</vt:lpwstr>
  </property>
</Properties>
</file>