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E86973" w:rsidRPr="00871CA6" w:rsidP="003B604A" w14:paraId="60089450" w14:textId="4568647C">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w:t>
      </w:r>
      <w:r w:rsidR="003B604A">
        <w:rPr>
          <w:rFonts w:ascii="Times New Roman" w:hAnsi="Times New Roman"/>
          <w:b/>
          <w:bCs/>
        </w:rPr>
        <w:t xml:space="preserve"> A</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6384" w:rsidP="00690F56" w14:paraId="49B21647" w14:textId="77777777">
      <w:pPr>
        <w:widowControl/>
        <w:rPr>
          <w:rFonts w:ascii="Times New Roman" w:hAnsi="Times New Roman"/>
        </w:rPr>
      </w:pPr>
    </w:p>
    <w:p w:rsidR="00372CCA" w:rsidP="00372CCA" w14:paraId="354DB78E" w14:textId="24426A37">
      <w:pPr>
        <w:pStyle w:val="BodyText"/>
        <w:ind w:left="120"/>
      </w:pPr>
      <w:r>
        <w:t xml:space="preserve">The </w:t>
      </w:r>
      <w:r w:rsidR="004C38E7">
        <w:t xml:space="preserve">Exhibit A to </w:t>
      </w:r>
      <w:r w:rsidR="004F419C">
        <w:t xml:space="preserve">Registration </w:t>
      </w:r>
      <w:r>
        <w:t xml:space="preserve">Statement is filed by individuals and firms representing foreign principals pursuant to the Foreign Agents Registration Act of 1938, as amended, 22 U.S.C. § 611, </w:t>
      </w:r>
      <w:r w:rsidR="00034F57">
        <w:rPr>
          <w:i/>
        </w:rPr>
        <w:t>(28 CFR 5),</w:t>
      </w:r>
      <w:r>
        <w:rPr>
          <w:i/>
        </w:rPr>
        <w:t xml:space="preserve"> </w:t>
      </w:r>
      <w:r>
        <w:t>(FARA or the Act).</w:t>
      </w:r>
      <w:r>
        <w:rPr>
          <w:spacing w:val="40"/>
        </w:rPr>
        <w:t xml:space="preserve"> </w:t>
      </w:r>
      <w:r>
        <w:t>The use of this form is required by the statutory provisions of FARA and provides the means for compliance with the Act.</w:t>
      </w:r>
      <w:r>
        <w:rPr>
          <w:spacing w:val="40"/>
        </w:rPr>
        <w:t xml:space="preserve"> </w:t>
      </w:r>
      <w:r>
        <w:t>FARA requires certain agents of foreign principals who are engaged in political activities or other activities specified under the statute to make periodic public disclosure of their relationship with the foreign principal, as well as activities, receipts and disbursements in support of those activities.</w:t>
      </w:r>
      <w:r>
        <w:rPr>
          <w:spacing w:val="40"/>
        </w:rPr>
        <w:t xml:space="preserve"> </w:t>
      </w:r>
      <w:r>
        <w:t>Disclosure of the required information</w:t>
      </w:r>
      <w:r>
        <w:rPr>
          <w:spacing w:val="-3"/>
        </w:rPr>
        <w:t xml:space="preserve"> </w:t>
      </w:r>
      <w:r>
        <w:t>facilitates</w:t>
      </w:r>
      <w:r>
        <w:rPr>
          <w:spacing w:val="-3"/>
        </w:rPr>
        <w:t xml:space="preserve"> </w:t>
      </w:r>
      <w:r>
        <w:t>evaluation</w:t>
      </w:r>
      <w:r>
        <w:rPr>
          <w:spacing w:val="-3"/>
        </w:rPr>
        <w:t xml:space="preserve"> </w:t>
      </w:r>
      <w:r>
        <w:t>by</w:t>
      </w:r>
      <w:r>
        <w:rPr>
          <w:spacing w:val="-8"/>
        </w:rPr>
        <w:t xml:space="preserve"> </w:t>
      </w:r>
      <w:r>
        <w:t>the</w:t>
      </w:r>
      <w:r>
        <w:rPr>
          <w:spacing w:val="-2"/>
        </w:rPr>
        <w:t xml:space="preserve"> </w:t>
      </w:r>
      <w:r>
        <w:t>government</w:t>
      </w:r>
      <w:r>
        <w:rPr>
          <w:spacing w:val="-3"/>
        </w:rPr>
        <w:t xml:space="preserve"> </w:t>
      </w:r>
      <w:r>
        <w:t>and</w:t>
      </w:r>
      <w:r>
        <w:rPr>
          <w:spacing w:val="-3"/>
        </w:rPr>
        <w:t xml:space="preserve"> </w:t>
      </w:r>
      <w:r>
        <w:t>the</w:t>
      </w:r>
      <w:r>
        <w:rPr>
          <w:spacing w:val="-4"/>
        </w:rPr>
        <w:t xml:space="preserve"> </w:t>
      </w:r>
      <w:r>
        <w:t>American</w:t>
      </w:r>
      <w:r>
        <w:rPr>
          <w:spacing w:val="-3"/>
        </w:rPr>
        <w:t xml:space="preserve"> </w:t>
      </w:r>
      <w:r>
        <w:t>people</w:t>
      </w:r>
      <w:r>
        <w:rPr>
          <w:spacing w:val="-4"/>
        </w:rPr>
        <w:t xml:space="preserve"> </w:t>
      </w:r>
      <w:r>
        <w:t>of</w:t>
      </w:r>
      <w:r>
        <w:rPr>
          <w:spacing w:val="-4"/>
        </w:rPr>
        <w:t xml:space="preserve"> </w:t>
      </w:r>
      <w:r>
        <w:t>the</w:t>
      </w:r>
      <w:r>
        <w:rPr>
          <w:spacing w:val="-4"/>
        </w:rPr>
        <w:t xml:space="preserve"> </w:t>
      </w:r>
      <w:r>
        <w:t>activities</w:t>
      </w:r>
      <w:r>
        <w:rPr>
          <w:spacing w:val="-3"/>
        </w:rPr>
        <w:t xml:space="preserve"> </w:t>
      </w:r>
      <w:r>
        <w:t>of such persons in light of their function as foreign agents.</w:t>
      </w:r>
    </w:p>
    <w:p w:rsidR="00236384" w:rsidRPr="00236384" w:rsidP="00034F57" w14:paraId="420F4F95" w14:textId="41868CAB">
      <w:pPr>
        <w:pStyle w:val="BodyText"/>
        <w:ind w:left="120"/>
      </w:pP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75029E" w:rsidP="00690F56" w14:paraId="5AB8B3BE" w14:textId="77777777">
      <w:pPr>
        <w:widowControl/>
        <w:rPr>
          <w:rFonts w:ascii="Times New Roman" w:hAnsi="Times New Roman"/>
          <w:b/>
          <w:bCs/>
        </w:rPr>
      </w:pPr>
    </w:p>
    <w:p w:rsidR="00690F56" w:rsidRPr="00802A30" w:rsidP="0075029E" w14:paraId="6EBE63D5" w14:textId="4C3B0045">
      <w:pPr>
        <w:pStyle w:val="BodyText"/>
        <w:ind w:left="119"/>
      </w:pPr>
      <w:r>
        <w:t xml:space="preserve">The </w:t>
      </w:r>
      <w:r w:rsidR="004F419C">
        <w:t xml:space="preserve">Exhibit A to </w:t>
      </w:r>
      <w:r>
        <w:t>Registration Statement provides the information used for registering foreign agents under FARA. The information provided is maintained by the FARA Unit, Counterintelligence and Export Control</w:t>
      </w:r>
      <w:r>
        <w:rPr>
          <w:spacing w:val="-1"/>
        </w:rPr>
        <w:t xml:space="preserve"> </w:t>
      </w:r>
      <w:r>
        <w:t>Section, National Security</w:t>
      </w:r>
      <w:r>
        <w:rPr>
          <w:spacing w:val="-4"/>
        </w:rPr>
        <w:t xml:space="preserve"> </w:t>
      </w:r>
      <w:r>
        <w:t>Division where it is available for review by</w:t>
      </w:r>
      <w:r>
        <w:rPr>
          <w:spacing w:val="-4"/>
        </w:rPr>
        <w:t xml:space="preserve"> </w:t>
      </w:r>
      <w:r>
        <w:t>the public during</w:t>
      </w:r>
      <w:r>
        <w:rPr>
          <w:spacing w:val="-5"/>
        </w:rPr>
        <w:t xml:space="preserve"> </w:t>
      </w:r>
      <w:r>
        <w:t>regular</w:t>
      </w:r>
      <w:r>
        <w:rPr>
          <w:spacing w:val="-3"/>
        </w:rPr>
        <w:t xml:space="preserve"> </w:t>
      </w:r>
      <w:r>
        <w:t>business</w:t>
      </w:r>
      <w:r>
        <w:rPr>
          <w:spacing w:val="-2"/>
        </w:rPr>
        <w:t xml:space="preserve"> </w:t>
      </w:r>
      <w:r>
        <w:t>hours</w:t>
      </w:r>
      <w:r>
        <w:rPr>
          <w:spacing w:val="-2"/>
        </w:rPr>
        <w:t xml:space="preserve"> </w:t>
      </w:r>
      <w:r>
        <w:t>at</w:t>
      </w:r>
      <w:r>
        <w:rPr>
          <w:spacing w:val="-2"/>
        </w:rPr>
        <w:t xml:space="preserve"> </w:t>
      </w:r>
      <w:r>
        <w:t>the</w:t>
      </w:r>
      <w:r>
        <w:rPr>
          <w:spacing w:val="-3"/>
        </w:rPr>
        <w:t xml:space="preserve"> </w:t>
      </w:r>
      <w:r>
        <w:t>FARA</w:t>
      </w:r>
      <w:r>
        <w:rPr>
          <w:spacing w:val="-1"/>
        </w:rPr>
        <w:t xml:space="preserve"> </w:t>
      </w:r>
      <w:r>
        <w:t>Unit</w:t>
      </w:r>
      <w:r>
        <w:rPr>
          <w:spacing w:val="-2"/>
        </w:rPr>
        <w:t xml:space="preserve"> </w:t>
      </w:r>
      <w:r>
        <w:t>public</w:t>
      </w:r>
      <w:r>
        <w:rPr>
          <w:spacing w:val="-3"/>
        </w:rPr>
        <w:t xml:space="preserve"> </w:t>
      </w:r>
      <w:r>
        <w:t>office</w:t>
      </w:r>
      <w:r>
        <w:rPr>
          <w:spacing w:val="-3"/>
        </w:rPr>
        <w:t xml:space="preserve"> </w:t>
      </w:r>
      <w:r>
        <w:t>located</w:t>
      </w:r>
      <w:r>
        <w:rPr>
          <w:spacing w:val="-2"/>
        </w:rPr>
        <w:t xml:space="preserve"> </w:t>
      </w:r>
      <w:r>
        <w:t>at</w:t>
      </w:r>
      <w:r>
        <w:rPr>
          <w:spacing w:val="-2"/>
        </w:rPr>
        <w:t xml:space="preserve"> </w:t>
      </w:r>
      <w:r>
        <w:t>175</w:t>
      </w:r>
      <w:r>
        <w:rPr>
          <w:spacing w:val="-2"/>
        </w:rPr>
        <w:t xml:space="preserve"> </w:t>
      </w:r>
      <w:r>
        <w:t>N</w:t>
      </w:r>
      <w:r>
        <w:rPr>
          <w:spacing w:val="-3"/>
        </w:rPr>
        <w:t xml:space="preserve"> </w:t>
      </w:r>
      <w:r>
        <w:t>Street,</w:t>
      </w:r>
      <w:r>
        <w:rPr>
          <w:spacing w:val="-2"/>
        </w:rPr>
        <w:t xml:space="preserve"> </w:t>
      </w:r>
      <w:r>
        <w:t>N.E.,</w:t>
      </w:r>
      <w:r>
        <w:rPr>
          <w:spacing w:val="-2"/>
        </w:rPr>
        <w:t xml:space="preserve"> </w:t>
      </w:r>
      <w:r>
        <w:t>Suite 1.204, Constitution Square/Building Three [“3CON’] Washington, D.C. 20002; or</w:t>
      </w:r>
      <w:r w:rsidR="00EF0388">
        <w:t xml:space="preserve"> on the </w:t>
      </w:r>
      <w:r w:rsidR="00EF0388">
        <w:rPr>
          <w:rStyle w:val="Emphasis"/>
        </w:rPr>
        <w:t>FARA.gov</w:t>
      </w:r>
      <w:r w:rsidR="00EF0388">
        <w:t xml:space="preserve"> website: </w:t>
      </w:r>
      <w:hyperlink r:id="rId5" w:tgtFrame="_blank" w:history="1">
        <w:r w:rsidRPr="00EF0388" w:rsidR="00EF0388">
          <w:rPr>
            <w:rStyle w:val="Hyperlink"/>
          </w:rPr>
          <w:t>https://www.justice.gov/</w:t>
        </w:r>
        <w:r w:rsidRPr="00EF0388" w:rsidR="00EF0388">
          <w:rPr>
            <w:rStyle w:val="Hyperlink"/>
            <w:rFonts w:ascii="Cambria Math" w:hAnsi="Cambria Math" w:cs="Cambria Math"/>
          </w:rPr>
          <w:t>​</w:t>
        </w:r>
        <w:r w:rsidRPr="00EF0388" w:rsidR="00EF0388">
          <w:rPr>
            <w:rStyle w:val="Hyperlink"/>
          </w:rPr>
          <w:t>nsd-fara/</w:t>
        </w:r>
        <w:r w:rsidRPr="00EF0388" w:rsidR="00EF0388">
          <w:rPr>
            <w:rStyle w:val="Hyperlink"/>
            <w:rFonts w:ascii="Cambria Math" w:hAnsi="Cambria Math" w:cs="Cambria Math"/>
          </w:rPr>
          <w:t>​</w:t>
        </w:r>
        <w:r w:rsidRPr="00EF0388" w:rsidR="00EF0388">
          <w:rPr>
            <w:rStyle w:val="Hyperlink"/>
          </w:rPr>
          <w:t>fara-efile</w:t>
        </w:r>
      </w:hyperlink>
      <w:r w:rsidRPr="00EF0388" w:rsidR="00EF0388">
        <w:rPr>
          <w:rStyle w:val="Emphasis"/>
        </w:rPr>
        <w:t>.</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33470" w:rsidRPr="00A47DA7" w:rsidP="00B16CCC" w14:paraId="14C289F0" w14:textId="1A8F7BCF">
      <w:pPr>
        <w:pStyle w:val="BodyText"/>
        <w:ind w:left="119" w:right="179"/>
      </w:pPr>
      <w:r>
        <w:t>Section 212 of P.L. 110-81, the Honest Leadership and Open Government Act of 2007 (HLOGA), requires the Attorney General to provide registrants with the ability to file registration statements electronically.</w:t>
      </w:r>
      <w:r>
        <w:rPr>
          <w:spacing w:val="40"/>
        </w:rPr>
        <w:t xml:space="preserve"> </w:t>
      </w:r>
      <w:r>
        <w:t>In 2011, the Department of Justice released FARA eFile</w:t>
      </w:r>
      <w:r>
        <w:rPr>
          <w:i/>
        </w:rPr>
        <w:t xml:space="preserve">, </w:t>
      </w:r>
      <w:r>
        <w:t>an online system capable of accepting electronic submissions of registration forms and filing fees. FARA eFile, accessible through the FARA public website, allows registrants to file registration</w:t>
      </w:r>
      <w:r>
        <w:rPr>
          <w:spacing w:val="-2"/>
        </w:rPr>
        <w:t xml:space="preserve"> </w:t>
      </w:r>
      <w:r>
        <w:t>forms</w:t>
      </w:r>
      <w:r>
        <w:rPr>
          <w:spacing w:val="-2"/>
        </w:rPr>
        <w:t xml:space="preserve"> </w:t>
      </w:r>
      <w:r>
        <w:t>required</w:t>
      </w:r>
      <w:r>
        <w:rPr>
          <w:spacing w:val="-2"/>
        </w:rPr>
        <w:t xml:space="preserve"> </w:t>
      </w:r>
      <w:r>
        <w:t>by</w:t>
      </w:r>
      <w:r>
        <w:rPr>
          <w:spacing w:val="-7"/>
        </w:rPr>
        <w:t xml:space="preserve"> </w:t>
      </w:r>
      <w:r>
        <w:t>the</w:t>
      </w:r>
      <w:r>
        <w:rPr>
          <w:spacing w:val="-3"/>
        </w:rPr>
        <w:t xml:space="preserve"> </w:t>
      </w:r>
      <w:r>
        <w:t>Act</w:t>
      </w:r>
      <w:r>
        <w:rPr>
          <w:spacing w:val="-2"/>
        </w:rPr>
        <w:t xml:space="preserve"> </w:t>
      </w:r>
      <w:r>
        <w:t>and</w:t>
      </w:r>
      <w:r>
        <w:rPr>
          <w:spacing w:val="-2"/>
        </w:rPr>
        <w:t xml:space="preserve"> </w:t>
      </w:r>
      <w:r>
        <w:t>to</w:t>
      </w:r>
      <w:r>
        <w:rPr>
          <w:spacing w:val="-3"/>
        </w:rPr>
        <w:t xml:space="preserve"> </w:t>
      </w:r>
      <w:r>
        <w:t>pay</w:t>
      </w:r>
      <w:r>
        <w:rPr>
          <w:spacing w:val="-7"/>
        </w:rPr>
        <w:t xml:space="preserve"> </w:t>
      </w:r>
      <w:r>
        <w:t>the</w:t>
      </w:r>
      <w:r>
        <w:rPr>
          <w:spacing w:val="-3"/>
        </w:rPr>
        <w:t xml:space="preserve"> </w:t>
      </w:r>
      <w:r>
        <w:t>required</w:t>
      </w:r>
      <w:r>
        <w:rPr>
          <w:spacing w:val="-2"/>
        </w:rPr>
        <w:t xml:space="preserve"> </w:t>
      </w:r>
      <w:r>
        <w:t>filing</w:t>
      </w:r>
      <w:r>
        <w:rPr>
          <w:spacing w:val="-2"/>
        </w:rPr>
        <w:t xml:space="preserve"> </w:t>
      </w:r>
      <w:r>
        <w:t>fees</w:t>
      </w:r>
      <w:r>
        <w:rPr>
          <w:spacing w:val="-2"/>
        </w:rPr>
        <w:t xml:space="preserve"> </w:t>
      </w:r>
      <w:r>
        <w:t>through</w:t>
      </w:r>
      <w:r>
        <w:rPr>
          <w:spacing w:val="-2"/>
        </w:rPr>
        <w:t xml:space="preserve"> </w:t>
      </w:r>
      <w:r>
        <w:t>the</w:t>
      </w:r>
      <w:r>
        <w:rPr>
          <w:spacing w:val="-3"/>
        </w:rPr>
        <w:t xml:space="preserve"> </w:t>
      </w:r>
      <w:r>
        <w:t xml:space="preserve">Department of Treasury/Federal Reserve Pay.gov financial collection service. The FARA eFile system permits registrants to file registration forms and pay corresponding filing fees </w:t>
      </w:r>
      <w:r>
        <w:t xml:space="preserve">electronically to the FARA Unit, 24 hours a day, 7 days a week. </w:t>
      </w:r>
      <w:r w:rsidRPr="00733470">
        <w:t>The collection will now use a new eFile webform system located on the FARA.gov</w:t>
      </w:r>
      <w:r>
        <w:t xml:space="preserve"> </w:t>
      </w:r>
      <w:r w:rsidRPr="00733470">
        <w:t>website:</w:t>
      </w:r>
      <w:r>
        <w:t xml:space="preserve"> </w:t>
      </w:r>
      <w:hyperlink r:id="rId6" w:history="1">
        <w:r w:rsidRPr="00C66EAA">
          <w:rPr>
            <w:rStyle w:val="Hyperlink"/>
          </w:rPr>
          <w:t>https://www.justice.gov/​nsd-fara/​fara-efile</w:t>
        </w:r>
      </w:hyperlink>
      <w:r w:rsidR="00EF0388">
        <w:t>.</w:t>
      </w:r>
      <w:r>
        <w:t xml:space="preserve"> </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053DE" w:rsidP="001053DE" w14:paraId="5154D6AE" w14:textId="77777777">
      <w:pPr>
        <w:pStyle w:val="BodyText"/>
        <w:ind w:left="120"/>
      </w:pPr>
      <w:r>
        <w:t>A</w:t>
      </w:r>
      <w:r>
        <w:rPr>
          <w:spacing w:val="-4"/>
        </w:rPr>
        <w:t xml:space="preserve"> </w:t>
      </w:r>
      <w:r>
        <w:t>review</w:t>
      </w:r>
      <w:r>
        <w:rPr>
          <w:spacing w:val="-4"/>
        </w:rPr>
        <w:t xml:space="preserve"> </w:t>
      </w:r>
      <w:r>
        <w:t>of</w:t>
      </w:r>
      <w:r>
        <w:rPr>
          <w:spacing w:val="-4"/>
        </w:rPr>
        <w:t xml:space="preserve"> </w:t>
      </w:r>
      <w:r>
        <w:t>the</w:t>
      </w:r>
      <w:r>
        <w:rPr>
          <w:spacing w:val="-4"/>
        </w:rPr>
        <w:t xml:space="preserve"> </w:t>
      </w:r>
      <w:r>
        <w:t>National</w:t>
      </w:r>
      <w:r>
        <w:rPr>
          <w:spacing w:val="-1"/>
        </w:rPr>
        <w:t xml:space="preserve"> </w:t>
      </w:r>
      <w:r>
        <w:t>Security</w:t>
      </w:r>
      <w:r>
        <w:rPr>
          <w:spacing w:val="-5"/>
        </w:rPr>
        <w:t xml:space="preserve"> </w:t>
      </w:r>
      <w:r>
        <w:t>Division</w:t>
      </w:r>
      <w:r>
        <w:rPr>
          <w:spacing w:val="-3"/>
        </w:rPr>
        <w:t xml:space="preserve"> </w:t>
      </w:r>
      <w:r>
        <w:t>Forms</w:t>
      </w:r>
      <w:r>
        <w:rPr>
          <w:spacing w:val="-3"/>
        </w:rPr>
        <w:t xml:space="preserve"> </w:t>
      </w:r>
      <w:r>
        <w:t>Inventory</w:t>
      </w:r>
      <w:r>
        <w:rPr>
          <w:spacing w:val="-7"/>
        </w:rPr>
        <w:t xml:space="preserve"> </w:t>
      </w:r>
      <w:r>
        <w:t>Report</w:t>
      </w:r>
      <w:r>
        <w:rPr>
          <w:spacing w:val="-3"/>
        </w:rPr>
        <w:t xml:space="preserve"> </w:t>
      </w:r>
      <w:r>
        <w:t>revealed</w:t>
      </w:r>
      <w:r>
        <w:rPr>
          <w:spacing w:val="-3"/>
        </w:rPr>
        <w:t xml:space="preserve"> </w:t>
      </w:r>
      <w:r>
        <w:t>no</w:t>
      </w:r>
      <w:r>
        <w:rPr>
          <w:spacing w:val="-3"/>
        </w:rPr>
        <w:t xml:space="preserve"> </w:t>
      </w:r>
      <w:r>
        <w:t>duplication</w:t>
      </w:r>
      <w:r>
        <w:rPr>
          <w:spacing w:val="-3"/>
        </w:rPr>
        <w:t xml:space="preserve"> </w:t>
      </w:r>
      <w:r>
        <w:t>of efforts.</w:t>
      </w:r>
      <w:r>
        <w:rPr>
          <w:spacing w:val="40"/>
        </w:rPr>
        <w:t xml:space="preserve"> </w:t>
      </w:r>
      <w:r>
        <w:t xml:space="preserve">There is no other similar information currently available which can be used for this </w:t>
      </w:r>
      <w:r>
        <w:rPr>
          <w:spacing w:val="-2"/>
        </w:rPr>
        <w:t>purpose.</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40007" w:rsidP="00F40007" w14:paraId="305D69BC" w14:textId="77777777">
      <w:pPr>
        <w:pStyle w:val="BodyText"/>
        <w:ind w:left="120" w:right="209"/>
      </w:pPr>
      <w:r>
        <w:t>Copies</w:t>
      </w:r>
      <w:r>
        <w:rPr>
          <w:spacing w:val="-3"/>
        </w:rPr>
        <w:t xml:space="preserve"> </w:t>
      </w:r>
      <w:r>
        <w:t>of</w:t>
      </w:r>
      <w:r>
        <w:rPr>
          <w:spacing w:val="-4"/>
        </w:rPr>
        <w:t xml:space="preserve"> </w:t>
      </w:r>
      <w:r>
        <w:t>all</w:t>
      </w:r>
      <w:r>
        <w:rPr>
          <w:spacing w:val="-3"/>
        </w:rPr>
        <w:t xml:space="preserve"> </w:t>
      </w:r>
      <w:r>
        <w:t>Registration</w:t>
      </w:r>
      <w:r>
        <w:rPr>
          <w:spacing w:val="-3"/>
        </w:rPr>
        <w:t xml:space="preserve"> </w:t>
      </w:r>
      <w:r>
        <w:t>Statement</w:t>
      </w:r>
      <w:r>
        <w:rPr>
          <w:spacing w:val="-3"/>
        </w:rPr>
        <w:t xml:space="preserve"> </w:t>
      </w:r>
      <w:r>
        <w:t>forms</w:t>
      </w:r>
      <w:r>
        <w:rPr>
          <w:spacing w:val="-3"/>
        </w:rPr>
        <w:t xml:space="preserve"> </w:t>
      </w:r>
      <w:r>
        <w:t>furnished</w:t>
      </w:r>
      <w:r>
        <w:rPr>
          <w:spacing w:val="-3"/>
        </w:rPr>
        <w:t xml:space="preserve"> </w:t>
      </w:r>
      <w:r>
        <w:t>under</w:t>
      </w:r>
      <w:r>
        <w:rPr>
          <w:spacing w:val="-4"/>
        </w:rPr>
        <w:t xml:space="preserve"> </w:t>
      </w:r>
      <w:r>
        <w:t>the</w:t>
      </w:r>
      <w:r>
        <w:rPr>
          <w:spacing w:val="-2"/>
        </w:rPr>
        <w:t xml:space="preserve"> </w:t>
      </w:r>
      <w:r>
        <w:t>Act</w:t>
      </w:r>
      <w:r>
        <w:rPr>
          <w:spacing w:val="-3"/>
        </w:rPr>
        <w:t xml:space="preserve"> </w:t>
      </w:r>
      <w:r>
        <w:t>are</w:t>
      </w:r>
      <w:r>
        <w:rPr>
          <w:spacing w:val="-4"/>
        </w:rPr>
        <w:t xml:space="preserve"> </w:t>
      </w:r>
      <w:r>
        <w:t>public</w:t>
      </w:r>
      <w:r>
        <w:rPr>
          <w:spacing w:val="-4"/>
        </w:rPr>
        <w:t xml:space="preserve"> </w:t>
      </w:r>
      <w:r>
        <w:t>records</w:t>
      </w:r>
      <w:r>
        <w:rPr>
          <w:spacing w:val="-1"/>
        </w:rPr>
        <w:t xml:space="preserve"> </w:t>
      </w:r>
      <w:r>
        <w:t>and</w:t>
      </w:r>
      <w:r>
        <w:rPr>
          <w:spacing w:val="-3"/>
        </w:rPr>
        <w:t xml:space="preserve"> </w:t>
      </w:r>
      <w:r>
        <w:t>open to public inspection.</w:t>
      </w:r>
      <w:r>
        <w:rPr>
          <w:spacing w:val="40"/>
        </w:rPr>
        <w:t xml:space="preserve"> </w:t>
      </w:r>
      <w:r>
        <w:t>If this collection is not conducted, this information cannot be made available for public examination as required by statute.</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in connection with a statistical survey,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w:t>
      </w:r>
      <w:r w:rsidRPr="00D53DEB" w:rsidR="00CD215D">
        <w:rPr>
          <w:b/>
          <w:bCs/>
        </w:rPr>
        <w:t>t</w:t>
      </w:r>
      <w:r w:rsidRPr="00D53DEB">
        <w:rPr>
          <w:b/>
          <w:bCs/>
        </w:rPr>
        <w:t>e or regulation,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237FEB" w:rsidRPr="00237FEB" w:rsidP="00237FEB" w14:paraId="1F0A7B15" w14:textId="77777777">
      <w:pPr>
        <w:rPr>
          <w:rFonts w:ascii="Times New Roman" w:hAnsi="Times New Roman"/>
          <w:szCs w:val="22"/>
        </w:rPr>
      </w:pPr>
    </w:p>
    <w:p w:rsidR="00237FEB" w:rsidRPr="00237FEB" w:rsidP="00237FEB" w14:paraId="70208781" w14:textId="77777777">
      <w:pPr>
        <w:rPr>
          <w:rFonts w:ascii="Times New Roman" w:hAnsi="Times New Roman"/>
        </w:rPr>
      </w:pPr>
      <w:r w:rsidRPr="00237FEB">
        <w:rPr>
          <w:rFonts w:ascii="Times New Roman" w:hAnsi="Times New Roman"/>
        </w:rPr>
        <w:t xml:space="preserve">Section 612(a) of the Act states that every person who becomes an agent of a foreign principal must, within ten days thereafter, file with the Attorney General a Registration Statement. </w:t>
      </w:r>
    </w:p>
    <w:p w:rsidR="00237FEB" w:rsidRPr="00237FEB" w:rsidP="00237FEB" w14:paraId="2AFB4684" w14:textId="77777777">
      <w:pPr>
        <w:rPr>
          <w:rFonts w:ascii="Times New Roman" w:hAnsi="Times New Roman"/>
        </w:rPr>
      </w:pPr>
      <w:r w:rsidRPr="00237FEB">
        <w:rPr>
          <w:rFonts w:ascii="Times New Roman" w:hAnsi="Times New Roman"/>
        </w:rPr>
        <w:t>Section 615 of the Act requires that every agent of a foreign principal registered under the Act keep and preserve, while he is an agent of a foreign principal, such books of account and other records with respect to all of his activities, the disclosure of which is required under the provisions of this Act, and preserve the same for a period of three years following the termination of such status.</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A4744" w:rsidP="002E4429" w14:paraId="3BCF7AF5" w14:textId="423D987C">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734218">
        <w:rPr>
          <w:rFonts w:ascii="Times New Roman" w:hAnsi="Times New Roman"/>
        </w:rPr>
        <w:t>April 20, 2023</w:t>
      </w:r>
      <w:r w:rsidRPr="00A2391E">
        <w:rPr>
          <w:rFonts w:ascii="Times New Roman" w:hAnsi="Times New Roman"/>
        </w:rPr>
        <w:t xml:space="preserve"> (</w:t>
      </w:r>
      <w:r w:rsidR="00734218">
        <w:rPr>
          <w:rFonts w:ascii="Times New Roman" w:hAnsi="Times New Roman"/>
        </w:rPr>
        <w:t>88</w:t>
      </w:r>
      <w:r w:rsidRPr="005B2697" w:rsidR="005B2697">
        <w:rPr>
          <w:rFonts w:ascii="Times New Roman" w:hAnsi="Times New Roman"/>
        </w:rPr>
        <w:t xml:space="preserve"> FR </w:t>
      </w:r>
      <w:r w:rsidR="000076C0">
        <w:rPr>
          <w:rFonts w:ascii="Times New Roman" w:hAnsi="Times New Roman"/>
        </w:rPr>
        <w:t>2444</w:t>
      </w:r>
      <w:r w:rsidR="0036475B">
        <w:rPr>
          <w:rFonts w:ascii="Times New Roman" w:hAnsi="Times New Roman"/>
        </w:rPr>
        <w:t>4</w:t>
      </w:r>
      <w:r w:rsidRPr="00A2391E">
        <w:rPr>
          <w:rFonts w:ascii="Times New Roman" w:hAnsi="Times New Roman"/>
        </w:rPr>
        <w:t xml:space="preserve">). The comment period ended </w:t>
      </w:r>
      <w:r w:rsidR="00F047BF">
        <w:rPr>
          <w:rFonts w:ascii="Times New Roman" w:hAnsi="Times New Roman"/>
        </w:rPr>
        <w:t>June 20, 2023</w:t>
      </w:r>
      <w:r w:rsidR="002517E4">
        <w:rPr>
          <w:rFonts w:ascii="Times New Roman" w:hAnsi="Times New Roman"/>
        </w:rPr>
        <w:t>.</w:t>
      </w:r>
      <w:r w:rsidRPr="00A2391E">
        <w:rPr>
          <w:rFonts w:ascii="Times New Roman" w:hAnsi="Times New Roman"/>
        </w:rPr>
        <w:t xml:space="preserve"> </w:t>
      </w:r>
      <w:r w:rsidRPr="002E4429" w:rsidR="002E4429">
        <w:rPr>
          <w:rFonts w:ascii="Times New Roman" w:hAnsi="Times New Roman"/>
        </w:rPr>
        <w:t>One official communication was received by NSD reflecting comments and recommendations.  That communication was signed collectively by five organizations and was received on the final day of the comment period.  NSD is reviewing and considering those comments and recommendations in light of (i) their consistency with the relevant statutory and regulatory authority, (ii) the extent to which they advance the information value and the transparency of the data collected by the FARA eFile system, and (iii) the level of effort and time needed to design, implement, and test any related changes to the eFile system (including but not limited to the multiple forms and templates that would be affected) that NSD decides to implement.</w:t>
      </w:r>
    </w:p>
    <w:p w:rsidR="00690F56" w:rsidRPr="00D53DEB" w:rsidP="002E4429" w14:paraId="608739E9" w14:textId="499A3426">
      <w:pPr>
        <w:widowControl/>
        <w:autoSpaceDE/>
        <w:autoSpaceDN/>
        <w:adjustRightInd/>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344404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735B0">
        <w:rPr>
          <w:rFonts w:ascii="Times New Roman" w:hAnsi="Times New Roman"/>
        </w:rPr>
        <w:t>Confidentiality is</w:t>
      </w:r>
      <w:r>
        <w:rPr>
          <w:rFonts w:ascii="Times New Roman" w:hAnsi="Times New Roman"/>
        </w:rPr>
        <w:t xml:space="preserve"> </w:t>
      </w:r>
      <w:r w:rsidRPr="00D735B0">
        <w:rPr>
          <w:rFonts w:ascii="Times New Roman" w:hAnsi="Times New Roman"/>
        </w:rPr>
        <w:t>not required in the processing of this information collection.</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3C1665" w:rsidP="003C1665" w14:paraId="0BFB96A4" w14:textId="77777777">
      <w:pPr>
        <w:pStyle w:val="BodyText"/>
        <w:ind w:left="119"/>
      </w:pPr>
      <w:r>
        <w:t>There</w:t>
      </w:r>
      <w:r>
        <w:rPr>
          <w:spacing w:val="-1"/>
        </w:rPr>
        <w:t xml:space="preserve"> </w:t>
      </w:r>
      <w:r>
        <w:t>are</w:t>
      </w:r>
      <w:r>
        <w:rPr>
          <w:spacing w:val="-3"/>
        </w:rPr>
        <w:t xml:space="preserve"> </w:t>
      </w:r>
      <w:r>
        <w:t>no</w:t>
      </w:r>
      <w:r>
        <w:rPr>
          <w:spacing w:val="-2"/>
        </w:rPr>
        <w:t xml:space="preserve"> </w:t>
      </w:r>
      <w:r>
        <w:t>sensitive</w:t>
      </w:r>
      <w:r>
        <w:rPr>
          <w:spacing w:val="-3"/>
        </w:rPr>
        <w:t xml:space="preserve"> </w:t>
      </w:r>
      <w:r>
        <w:t>questions.</w:t>
      </w:r>
      <w:r>
        <w:rPr>
          <w:spacing w:val="-2"/>
        </w:rPr>
        <w:t xml:space="preserve"> </w:t>
      </w:r>
      <w:r>
        <w:t>Provisions</w:t>
      </w:r>
      <w:r>
        <w:rPr>
          <w:spacing w:val="-2"/>
        </w:rPr>
        <w:t xml:space="preserve"> </w:t>
      </w:r>
      <w:r>
        <w:t>have</w:t>
      </w:r>
      <w:r>
        <w:rPr>
          <w:spacing w:val="-3"/>
        </w:rPr>
        <w:t xml:space="preserve"> </w:t>
      </w:r>
      <w:r>
        <w:t>been</w:t>
      </w:r>
      <w:r>
        <w:rPr>
          <w:spacing w:val="-2"/>
        </w:rPr>
        <w:t xml:space="preserve"> </w:t>
      </w:r>
      <w:r>
        <w:t>made</w:t>
      </w:r>
      <w:r>
        <w:rPr>
          <w:spacing w:val="-3"/>
        </w:rPr>
        <w:t xml:space="preserve"> </w:t>
      </w:r>
      <w:r>
        <w:t>via</w:t>
      </w:r>
      <w:r>
        <w:rPr>
          <w:spacing w:val="-3"/>
        </w:rPr>
        <w:t xml:space="preserve"> </w:t>
      </w:r>
      <w:r>
        <w:t>the</w:t>
      </w:r>
      <w:r>
        <w:rPr>
          <w:spacing w:val="-3"/>
        </w:rPr>
        <w:t xml:space="preserve"> </w:t>
      </w:r>
      <w:r>
        <w:t>Office</w:t>
      </w:r>
      <w:r>
        <w:rPr>
          <w:spacing w:val="-1"/>
        </w:rPr>
        <w:t xml:space="preserve"> </w:t>
      </w:r>
      <w:r>
        <w:t>of</w:t>
      </w:r>
      <w:r>
        <w:rPr>
          <w:spacing w:val="-3"/>
        </w:rPr>
        <w:t xml:space="preserve"> </w:t>
      </w:r>
      <w:r>
        <w:t>Privacy</w:t>
      </w:r>
      <w:r>
        <w:rPr>
          <w:spacing w:val="-7"/>
        </w:rPr>
        <w:t xml:space="preserve"> </w:t>
      </w:r>
      <w:r>
        <w:t>and</w:t>
      </w:r>
      <w:r>
        <w:rPr>
          <w:spacing w:val="-2"/>
        </w:rPr>
        <w:t xml:space="preserve"> </w:t>
      </w:r>
      <w:r>
        <w:t>Civil Liberties (DOJ/OPCL) to ensure no PII is requested in the form’s questions, other than what is specifically required under the statutory language.</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EA0A6A" w:rsidP="00690F56" w14:paraId="1904007E" w14:textId="22DE2695">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302" w:type="dxa"/>
        <w:jc w:val="center"/>
        <w:tblLook w:val="04A0"/>
      </w:tblPr>
      <w:tblGrid>
        <w:gridCol w:w="1439"/>
        <w:gridCol w:w="1415"/>
        <w:gridCol w:w="1219"/>
        <w:gridCol w:w="1182"/>
        <w:gridCol w:w="1097"/>
        <w:gridCol w:w="950"/>
      </w:tblGrid>
      <w:tr w14:paraId="4AA59B92" w14:textId="77777777" w:rsidTr="00EA0A6A">
        <w:tblPrEx>
          <w:tblW w:w="7302" w:type="dxa"/>
          <w:jc w:val="center"/>
          <w:tblLook w:val="04A0"/>
        </w:tblPrEx>
        <w:trPr>
          <w:jc w:val="center"/>
        </w:trPr>
        <w:tc>
          <w:tcPr>
            <w:tcW w:w="1439" w:type="dxa"/>
            <w:shd w:val="clear" w:color="auto" w:fill="ADB9CA" w:themeFill="text2" w:themeFillTint="66"/>
          </w:tcPr>
          <w:p w:rsidR="00EA0A6A"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EA0A6A"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EA0A6A"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EA0A6A" w:rsidRPr="008F47CB" w:rsidP="008C6A87" w14:paraId="43DA2D2D" w14:textId="77777777">
            <w:pPr>
              <w:rPr>
                <w:rFonts w:ascii="Times New Roman" w:hAnsi="Times New Roman"/>
                <w:b/>
                <w:sz w:val="22"/>
                <w:szCs w:val="22"/>
              </w:rPr>
            </w:pPr>
            <w:r w:rsidRPr="008F47CB">
              <w:rPr>
                <w:rFonts w:ascii="Times New Roman" w:hAnsi="Times New Roman"/>
                <w:b/>
                <w:sz w:val="22"/>
                <w:szCs w:val="22"/>
              </w:rPr>
              <w:t xml:space="preserve">Total Annual </w:t>
            </w:r>
            <w:r w:rsidRPr="008F47CB">
              <w:rPr>
                <w:rFonts w:ascii="Times New Roman" w:hAnsi="Times New Roman"/>
                <w:b/>
                <w:sz w:val="22"/>
                <w:szCs w:val="22"/>
              </w:rPr>
              <w:t>Responses</w:t>
            </w:r>
          </w:p>
        </w:tc>
        <w:tc>
          <w:tcPr>
            <w:tcW w:w="1097" w:type="dxa"/>
            <w:shd w:val="clear" w:color="auto" w:fill="ADB9CA" w:themeFill="text2" w:themeFillTint="66"/>
          </w:tcPr>
          <w:p w:rsidR="00EA0A6A"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EA0A6A" w:rsidRPr="008F47CB" w:rsidP="008C6A87" w14:paraId="4756C3F4" w14:textId="77777777">
            <w:pPr>
              <w:rPr>
                <w:rFonts w:ascii="Times New Roman" w:hAnsi="Times New Roman"/>
                <w:b/>
                <w:sz w:val="22"/>
                <w:szCs w:val="22"/>
              </w:rPr>
            </w:pPr>
            <w:r w:rsidRPr="008F47CB">
              <w:rPr>
                <w:rFonts w:ascii="Times New Roman" w:hAnsi="Times New Roman"/>
                <w:b/>
                <w:sz w:val="22"/>
                <w:szCs w:val="22"/>
              </w:rPr>
              <w:t xml:space="preserve">Total Annual </w:t>
            </w:r>
            <w:r w:rsidRPr="008F47CB">
              <w:rPr>
                <w:rFonts w:ascii="Times New Roman" w:hAnsi="Times New Roman"/>
                <w:b/>
                <w:sz w:val="22"/>
                <w:szCs w:val="22"/>
              </w:rPr>
              <w:t>Burden (Hours)</w:t>
            </w:r>
          </w:p>
        </w:tc>
      </w:tr>
      <w:tr w14:paraId="079EF15D" w14:textId="77777777" w:rsidTr="00EA0A6A">
        <w:tblPrEx>
          <w:tblW w:w="7302" w:type="dxa"/>
          <w:jc w:val="center"/>
          <w:tblLook w:val="04A0"/>
        </w:tblPrEx>
        <w:trPr>
          <w:jc w:val="center"/>
        </w:trPr>
        <w:tc>
          <w:tcPr>
            <w:tcW w:w="1439" w:type="dxa"/>
            <w:vAlign w:val="bottom"/>
          </w:tcPr>
          <w:p w:rsidR="00EA0A6A" w:rsidRPr="008F47CB" w:rsidP="008C6A87" w14:paraId="4E4E0FA6" w14:textId="40C16805">
            <w:pPr>
              <w:jc w:val="right"/>
              <w:rPr>
                <w:rFonts w:ascii="Times New Roman" w:hAnsi="Times New Roman"/>
                <w:sz w:val="22"/>
                <w:szCs w:val="22"/>
              </w:rPr>
            </w:pPr>
            <w:r>
              <w:rPr>
                <w:rFonts w:ascii="Times New Roman" w:hAnsi="Times New Roman"/>
                <w:sz w:val="22"/>
                <w:szCs w:val="22"/>
              </w:rPr>
              <w:t>NSD-</w:t>
            </w:r>
            <w:r w:rsidR="002037C9">
              <w:rPr>
                <w:rFonts w:ascii="Times New Roman" w:hAnsi="Times New Roman"/>
                <w:sz w:val="22"/>
                <w:szCs w:val="22"/>
              </w:rPr>
              <w:t>3</w:t>
            </w:r>
          </w:p>
        </w:tc>
        <w:tc>
          <w:tcPr>
            <w:tcW w:w="1415" w:type="dxa"/>
            <w:vAlign w:val="bottom"/>
          </w:tcPr>
          <w:p w:rsidR="00EA0A6A" w:rsidRPr="008F47CB" w:rsidP="008C6A87" w14:paraId="23BB2474" w14:textId="6726977B">
            <w:pPr>
              <w:jc w:val="right"/>
              <w:rPr>
                <w:rFonts w:ascii="Times New Roman" w:hAnsi="Times New Roman"/>
                <w:sz w:val="22"/>
                <w:szCs w:val="22"/>
              </w:rPr>
            </w:pPr>
            <w:r>
              <w:rPr>
                <w:rFonts w:ascii="Times New Roman" w:hAnsi="Times New Roman"/>
                <w:sz w:val="22"/>
                <w:szCs w:val="22"/>
              </w:rPr>
              <w:t>451</w:t>
            </w:r>
          </w:p>
        </w:tc>
        <w:tc>
          <w:tcPr>
            <w:tcW w:w="1219" w:type="dxa"/>
            <w:vAlign w:val="bottom"/>
          </w:tcPr>
          <w:p w:rsidR="00EA0A6A" w:rsidRPr="008F47CB" w:rsidP="008C6A87" w14:paraId="5D72451D" w14:textId="44B0B628">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EA0A6A" w:rsidRPr="008F47CB" w:rsidP="008C6A87" w14:paraId="03D2549D" w14:textId="66A68294">
            <w:pPr>
              <w:jc w:val="right"/>
              <w:rPr>
                <w:rFonts w:ascii="Times New Roman" w:hAnsi="Times New Roman"/>
                <w:sz w:val="22"/>
                <w:szCs w:val="22"/>
              </w:rPr>
            </w:pPr>
            <w:r>
              <w:rPr>
                <w:rFonts w:ascii="Times New Roman" w:hAnsi="Times New Roman"/>
                <w:sz w:val="22"/>
                <w:szCs w:val="22"/>
              </w:rPr>
              <w:t>451</w:t>
            </w:r>
          </w:p>
        </w:tc>
        <w:tc>
          <w:tcPr>
            <w:tcW w:w="1097" w:type="dxa"/>
            <w:vAlign w:val="bottom"/>
          </w:tcPr>
          <w:p w:rsidR="00EA0A6A" w:rsidRPr="008F47CB" w:rsidP="008C6A87" w14:paraId="3704ADCE" w14:textId="73C9D31E">
            <w:pPr>
              <w:jc w:val="right"/>
              <w:rPr>
                <w:rFonts w:ascii="Times New Roman" w:hAnsi="Times New Roman"/>
                <w:sz w:val="22"/>
                <w:szCs w:val="22"/>
              </w:rPr>
            </w:pPr>
            <w:r>
              <w:rPr>
                <w:rFonts w:ascii="Times New Roman" w:hAnsi="Times New Roman"/>
                <w:sz w:val="22"/>
                <w:szCs w:val="22"/>
              </w:rPr>
              <w:t>.</w:t>
            </w:r>
            <w:r w:rsidR="009A7B50">
              <w:rPr>
                <w:rFonts w:ascii="Times New Roman" w:hAnsi="Times New Roman"/>
                <w:sz w:val="22"/>
                <w:szCs w:val="22"/>
              </w:rPr>
              <w:t>2</w:t>
            </w:r>
            <w:r>
              <w:rPr>
                <w:rFonts w:ascii="Times New Roman" w:hAnsi="Times New Roman"/>
                <w:sz w:val="22"/>
                <w:szCs w:val="22"/>
              </w:rPr>
              <w:t>2 hrs.</w:t>
            </w:r>
          </w:p>
        </w:tc>
        <w:tc>
          <w:tcPr>
            <w:tcW w:w="950" w:type="dxa"/>
            <w:vAlign w:val="bottom"/>
          </w:tcPr>
          <w:p w:rsidR="00EA0A6A" w:rsidRPr="008F47CB" w:rsidP="008C6A87" w14:paraId="498C761A" w14:textId="54B0FE49">
            <w:pPr>
              <w:jc w:val="right"/>
              <w:rPr>
                <w:rFonts w:ascii="Times New Roman" w:hAnsi="Times New Roman"/>
                <w:sz w:val="22"/>
                <w:szCs w:val="22"/>
              </w:rPr>
            </w:pPr>
            <w:r>
              <w:rPr>
                <w:rFonts w:ascii="Times New Roman" w:hAnsi="Times New Roman"/>
                <w:sz w:val="22"/>
                <w:szCs w:val="22"/>
              </w:rPr>
              <w:t>99</w:t>
            </w:r>
            <w:r w:rsidR="007120B6">
              <w:rPr>
                <w:rFonts w:ascii="Times New Roman" w:hAnsi="Times New Roman"/>
                <w:sz w:val="22"/>
                <w:szCs w:val="22"/>
              </w:rPr>
              <w:t xml:space="preserve"> hrs.</w:t>
            </w:r>
          </w:p>
        </w:tc>
      </w:tr>
      <w:tr w14:paraId="28A27403" w14:textId="77777777" w:rsidTr="00EA0A6A">
        <w:tblPrEx>
          <w:tblW w:w="7302" w:type="dxa"/>
          <w:jc w:val="center"/>
          <w:tblLook w:val="04A0"/>
        </w:tblPrEx>
        <w:trPr>
          <w:jc w:val="center"/>
        </w:trPr>
        <w:tc>
          <w:tcPr>
            <w:tcW w:w="1439" w:type="dxa"/>
            <w:vAlign w:val="bottom"/>
          </w:tcPr>
          <w:p w:rsidR="00EA0A6A" w:rsidRPr="008F47CB" w:rsidP="008C6A87" w14:paraId="779E4025" w14:textId="77777777">
            <w:pPr>
              <w:jc w:val="right"/>
              <w:rPr>
                <w:rFonts w:ascii="Times New Roman" w:hAnsi="Times New Roman"/>
                <w:sz w:val="22"/>
                <w:szCs w:val="22"/>
              </w:rPr>
            </w:pPr>
          </w:p>
        </w:tc>
        <w:tc>
          <w:tcPr>
            <w:tcW w:w="1415" w:type="dxa"/>
            <w:vAlign w:val="bottom"/>
          </w:tcPr>
          <w:p w:rsidR="00EA0A6A" w:rsidRPr="008F47CB" w:rsidP="008C6A87" w14:paraId="0D0FB099" w14:textId="77777777">
            <w:pPr>
              <w:jc w:val="right"/>
              <w:rPr>
                <w:rFonts w:ascii="Times New Roman" w:hAnsi="Times New Roman"/>
                <w:sz w:val="22"/>
                <w:szCs w:val="22"/>
              </w:rPr>
            </w:pPr>
          </w:p>
        </w:tc>
        <w:tc>
          <w:tcPr>
            <w:tcW w:w="1219" w:type="dxa"/>
            <w:vAlign w:val="bottom"/>
          </w:tcPr>
          <w:p w:rsidR="00EA0A6A" w:rsidRPr="008F47CB" w:rsidP="008C6A87" w14:paraId="2DF69973" w14:textId="77777777">
            <w:pPr>
              <w:jc w:val="right"/>
              <w:rPr>
                <w:rFonts w:ascii="Times New Roman" w:hAnsi="Times New Roman"/>
                <w:sz w:val="22"/>
                <w:szCs w:val="22"/>
              </w:rPr>
            </w:pPr>
          </w:p>
        </w:tc>
        <w:tc>
          <w:tcPr>
            <w:tcW w:w="1182" w:type="dxa"/>
            <w:vAlign w:val="bottom"/>
          </w:tcPr>
          <w:p w:rsidR="00EA0A6A" w:rsidRPr="008F47CB" w:rsidP="008C6A87" w14:paraId="6869AFA2" w14:textId="77777777">
            <w:pPr>
              <w:jc w:val="right"/>
              <w:rPr>
                <w:rFonts w:ascii="Times New Roman" w:hAnsi="Times New Roman"/>
                <w:sz w:val="22"/>
                <w:szCs w:val="22"/>
              </w:rPr>
            </w:pPr>
          </w:p>
        </w:tc>
        <w:tc>
          <w:tcPr>
            <w:tcW w:w="1097" w:type="dxa"/>
            <w:vAlign w:val="bottom"/>
          </w:tcPr>
          <w:p w:rsidR="00EA0A6A" w:rsidRPr="008F47CB" w:rsidP="008C6A87" w14:paraId="3983D868" w14:textId="77777777">
            <w:pPr>
              <w:jc w:val="right"/>
              <w:rPr>
                <w:rFonts w:ascii="Times New Roman" w:hAnsi="Times New Roman"/>
                <w:sz w:val="22"/>
                <w:szCs w:val="22"/>
              </w:rPr>
            </w:pPr>
          </w:p>
        </w:tc>
        <w:tc>
          <w:tcPr>
            <w:tcW w:w="950" w:type="dxa"/>
            <w:vAlign w:val="bottom"/>
          </w:tcPr>
          <w:p w:rsidR="00EA0A6A" w:rsidRPr="008F47CB" w:rsidP="008C6A87" w14:paraId="1211DF9B" w14:textId="77777777">
            <w:pPr>
              <w:jc w:val="right"/>
              <w:rPr>
                <w:rFonts w:ascii="Times New Roman" w:hAnsi="Times New Roman"/>
                <w:sz w:val="22"/>
                <w:szCs w:val="22"/>
              </w:rPr>
            </w:pPr>
          </w:p>
        </w:tc>
      </w:tr>
      <w:tr w14:paraId="578B68EB" w14:textId="77777777" w:rsidTr="00EA0A6A">
        <w:tblPrEx>
          <w:tblW w:w="7302" w:type="dxa"/>
          <w:jc w:val="center"/>
          <w:tblLook w:val="04A0"/>
        </w:tblPrEx>
        <w:trPr>
          <w:jc w:val="center"/>
        </w:trPr>
        <w:tc>
          <w:tcPr>
            <w:tcW w:w="1439" w:type="dxa"/>
          </w:tcPr>
          <w:p w:rsidR="00EA0A6A"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EA0A6A" w:rsidRPr="008F47CB" w:rsidP="00501A15" w14:paraId="32AB6B8A" w14:textId="15C51E4F">
            <w:pPr>
              <w:jc w:val="right"/>
              <w:rPr>
                <w:rFonts w:ascii="Times New Roman" w:hAnsi="Times New Roman"/>
                <w:b/>
                <w:i/>
                <w:sz w:val="22"/>
                <w:szCs w:val="22"/>
              </w:rPr>
            </w:pPr>
            <w:r>
              <w:rPr>
                <w:rFonts w:ascii="Times New Roman" w:hAnsi="Times New Roman"/>
                <w:b/>
                <w:i/>
                <w:sz w:val="22"/>
                <w:szCs w:val="22"/>
              </w:rPr>
              <w:t>451</w:t>
            </w:r>
          </w:p>
        </w:tc>
        <w:tc>
          <w:tcPr>
            <w:tcW w:w="1219" w:type="dxa"/>
            <w:vAlign w:val="bottom"/>
          </w:tcPr>
          <w:p w:rsidR="00EA0A6A" w:rsidRPr="008F47CB" w:rsidP="00627B1F" w14:paraId="75495CB4" w14:textId="7C6FC44B">
            <w:pPr>
              <w:jc w:val="center"/>
              <w:rPr>
                <w:rFonts w:ascii="Times New Roman" w:hAnsi="Times New Roman"/>
                <w:b/>
                <w:i/>
                <w:sz w:val="22"/>
                <w:szCs w:val="22"/>
              </w:rPr>
            </w:pPr>
          </w:p>
        </w:tc>
        <w:tc>
          <w:tcPr>
            <w:tcW w:w="1182" w:type="dxa"/>
            <w:vAlign w:val="bottom"/>
          </w:tcPr>
          <w:p w:rsidR="00EA0A6A" w:rsidRPr="008F47CB" w:rsidP="00501A15" w14:paraId="1A7661D9" w14:textId="3B7602A3">
            <w:pPr>
              <w:jc w:val="right"/>
              <w:rPr>
                <w:rFonts w:ascii="Times New Roman" w:hAnsi="Times New Roman"/>
                <w:b/>
                <w:i/>
                <w:sz w:val="22"/>
                <w:szCs w:val="22"/>
              </w:rPr>
            </w:pPr>
            <w:r>
              <w:rPr>
                <w:rFonts w:ascii="Times New Roman" w:hAnsi="Times New Roman"/>
                <w:b/>
                <w:i/>
                <w:sz w:val="22"/>
                <w:szCs w:val="22"/>
              </w:rPr>
              <w:t>451</w:t>
            </w:r>
          </w:p>
        </w:tc>
        <w:tc>
          <w:tcPr>
            <w:tcW w:w="1097" w:type="dxa"/>
            <w:vAlign w:val="bottom"/>
          </w:tcPr>
          <w:p w:rsidR="00EA0A6A" w:rsidRPr="008F47CB" w:rsidP="00501A15" w14:paraId="4A94906E" w14:textId="66CA6502">
            <w:pPr>
              <w:jc w:val="right"/>
              <w:rPr>
                <w:rFonts w:ascii="Times New Roman" w:hAnsi="Times New Roman"/>
                <w:b/>
                <w:i/>
                <w:sz w:val="22"/>
                <w:szCs w:val="22"/>
              </w:rPr>
            </w:pPr>
          </w:p>
        </w:tc>
        <w:tc>
          <w:tcPr>
            <w:tcW w:w="950" w:type="dxa"/>
            <w:vAlign w:val="bottom"/>
          </w:tcPr>
          <w:p w:rsidR="00EA0A6A" w:rsidRPr="008F47CB" w:rsidP="00501A15" w14:paraId="4075BA8E" w14:textId="2533D1F5">
            <w:pPr>
              <w:jc w:val="right"/>
              <w:rPr>
                <w:rFonts w:ascii="Times New Roman" w:hAnsi="Times New Roman"/>
                <w:b/>
                <w:i/>
                <w:sz w:val="22"/>
                <w:szCs w:val="22"/>
              </w:rPr>
            </w:pPr>
            <w:r>
              <w:rPr>
                <w:rFonts w:ascii="Times New Roman" w:hAnsi="Times New Roman"/>
                <w:b/>
                <w:i/>
                <w:sz w:val="22"/>
                <w:szCs w:val="22"/>
              </w:rPr>
              <w:t>99</w:t>
            </w:r>
            <w:r w:rsidR="007120B6">
              <w:rPr>
                <w:rFonts w:ascii="Times New Roman" w:hAnsi="Times New Roman"/>
                <w:b/>
                <w:i/>
                <w:sz w:val="22"/>
                <w:szCs w:val="22"/>
              </w:rPr>
              <w:t xml:space="preserve"> hours</w:t>
            </w:r>
          </w:p>
        </w:tc>
      </w:tr>
    </w:tbl>
    <w:p w:rsidR="00EE2223" w:rsidRPr="00EE2223" w:rsidP="00E60FB0" w14:paraId="51C113BE" w14:textId="4C66F90D">
      <w:pPr>
        <w:widowControl/>
        <w:autoSpaceDE/>
        <w:autoSpaceDN/>
        <w:adjustRightInd/>
        <w:rPr>
          <w:rFonts w:ascii="Times New Roman" w:hAnsi="Times New Roman"/>
          <w:i/>
          <w:iCs/>
        </w:rPr>
      </w:pPr>
      <w:r w:rsidRPr="00EE2223">
        <w:rPr>
          <w:rFonts w:ascii="Times New Roman" w:hAnsi="Times New Roman"/>
          <w:i/>
          <w:iCs/>
        </w:rPr>
        <w:t xml:space="preserve"> </w:t>
      </w: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44941" w:rsidRPr="00E44941" w:rsidP="00E44941" w14:paraId="68A5A821" w14:textId="4C2720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Total Estimated Annual Other Costs Burden related to this Information Collection Request form NSD-</w:t>
      </w:r>
      <w:r w:rsidR="004C38E7">
        <w:rPr>
          <w:rFonts w:ascii="Times New Roman" w:hAnsi="Times New Roman"/>
        </w:rPr>
        <w:t>3</w:t>
      </w:r>
      <w:r w:rsidRPr="00E44941">
        <w:rPr>
          <w:rFonts w:ascii="Times New Roman" w:hAnsi="Times New Roman"/>
        </w:rPr>
        <w:t>:</w:t>
      </w:r>
    </w:p>
    <w:p w:rsidR="00E44941" w:rsidRPr="00E44941" w:rsidP="00E44941" w14:paraId="362FDF38" w14:textId="392342B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a.</w:t>
      </w:r>
      <w:r w:rsidRPr="00E44941">
        <w:rPr>
          <w:rFonts w:ascii="Times New Roman" w:hAnsi="Times New Roman"/>
        </w:rPr>
        <w:tab/>
        <w:t>Respondent-Registrant: Filing Fees = $</w:t>
      </w:r>
      <w:r w:rsidR="008814A6">
        <w:rPr>
          <w:rFonts w:ascii="Times New Roman" w:hAnsi="Times New Roman"/>
        </w:rPr>
        <w:t>305.00</w:t>
      </w:r>
      <w:r w:rsidR="007110E6">
        <w:rPr>
          <w:rFonts w:ascii="Times New Roman" w:hAnsi="Times New Roman"/>
        </w:rPr>
        <w:t xml:space="preserve"> for every Exhibit A (new foreign principal contract)</w:t>
      </w:r>
      <w:r w:rsidR="0036475B">
        <w:rPr>
          <w:rFonts w:ascii="Times New Roman" w:hAnsi="Times New Roman"/>
        </w:rPr>
        <w:t xml:space="preserve">. </w:t>
      </w:r>
      <w:r w:rsidRPr="00E44941">
        <w:rPr>
          <w:rFonts w:ascii="Times New Roman" w:hAnsi="Times New Roman"/>
        </w:rPr>
        <w:t xml:space="preserve"> </w:t>
      </w:r>
    </w:p>
    <w:p w:rsidR="00E44941" w:rsidRPr="00E44941" w:rsidP="00E44941" w14:paraId="65932A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b.</w:t>
      </w:r>
      <w:r w:rsidRPr="00E44941">
        <w:rPr>
          <w:rFonts w:ascii="Times New Roman" w:hAnsi="Times New Roman"/>
        </w:rPr>
        <w:tab/>
        <w:t xml:space="preserve">Federal Government Agency (NSD) / Note: This category covers all six (6) FARA registration forms OMB Control Nos. 1124-0001 through 1124-0006.   </w:t>
      </w:r>
    </w:p>
    <w:p w:rsidR="00E44941" w:rsidRPr="00E44941" w:rsidP="00E44941" w14:paraId="59C041B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i.</w:t>
      </w:r>
      <w:r w:rsidRPr="00E44941">
        <w:rPr>
          <w:rFonts w:ascii="Times New Roman" w:hAnsi="Times New Roman"/>
        </w:rPr>
        <w:tab/>
        <w:t>Contractor staff (non-IT) = $120,066.80/3 years = $40,022.27 annually.</w:t>
      </w:r>
    </w:p>
    <w:p w:rsidR="00E44941" w:rsidRPr="00E44941" w:rsidP="00E44941" w14:paraId="3FA59D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ii.</w:t>
      </w:r>
      <w:r w:rsidRPr="00E44941">
        <w:rPr>
          <w:rFonts w:ascii="Times New Roman" w:hAnsi="Times New Roman"/>
        </w:rPr>
        <w:tab/>
        <w:t>Postage Grand Total = $3,839.00/3 years = $1,279.67 annually.</w:t>
      </w:r>
    </w:p>
    <w:p w:rsidR="00E44941" w:rsidRPr="00E44941" w:rsidP="00E44941" w14:paraId="4F9A6A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1.</w:t>
      </w:r>
      <w:r w:rsidRPr="00E44941">
        <w:rPr>
          <w:rFonts w:ascii="Times New Roman" w:hAnsi="Times New Roman"/>
        </w:rPr>
        <w:tab/>
        <w:t xml:space="preserve">US Mail = $2,880.00/3 years = $960.00 annually. </w:t>
      </w:r>
    </w:p>
    <w:p w:rsidR="00E44941" w:rsidRPr="00E44941" w:rsidP="00E44941" w14:paraId="72027A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2.</w:t>
      </w:r>
      <w:r w:rsidRPr="00E44941">
        <w:rPr>
          <w:rFonts w:ascii="Times New Roman" w:hAnsi="Times New Roman"/>
        </w:rPr>
        <w:tab/>
        <w:t>Commercial courier: $959.00/3 years = $319.67 annually.</w:t>
      </w:r>
    </w:p>
    <w:p w:rsidR="008B3128" w:rsidP="00E44941" w14:paraId="3BDD7FFB" w14:textId="64110F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iii.</w:t>
      </w:r>
      <w:r w:rsidRPr="00E44941">
        <w:rPr>
          <w:rFonts w:ascii="Times New Roman" w:hAnsi="Times New Roman"/>
        </w:rPr>
        <w:tab/>
        <w:t>FARA.gov website maintenance, hosting, network support access and utilities (DOJ-JMD) @ https://www.justice.gov/nsd-fara: = $1,433,876.92/3 years = $477,958.96 annually.</w:t>
      </w:r>
    </w:p>
    <w:p w:rsidR="00AF3058" w:rsidP="00E44941" w14:paraId="4DB949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10C96" w:rsidP="00E44941" w14:paraId="0ED756F8" w14:textId="302532F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Total annual cost burden for this collection is </w:t>
      </w:r>
      <w:r w:rsidR="005D40BE">
        <w:rPr>
          <w:rFonts w:ascii="Times New Roman" w:hAnsi="Times New Roman"/>
        </w:rPr>
        <w:t>$</w:t>
      </w:r>
      <w:r w:rsidR="009A7B50">
        <w:rPr>
          <w:rFonts w:ascii="Times New Roman" w:hAnsi="Times New Roman"/>
        </w:rPr>
        <w:t>86,544</w:t>
      </w:r>
      <w:r w:rsidR="009A59F1">
        <w:rPr>
          <w:rFonts w:ascii="Times New Roman" w:hAnsi="Times New Roman"/>
        </w:rPr>
        <w:t xml:space="preserve"> ($1,5</w:t>
      </w:r>
      <w:r w:rsidR="009A7B50">
        <w:rPr>
          <w:rFonts w:ascii="Times New Roman" w:hAnsi="Times New Roman"/>
        </w:rPr>
        <w:t>57</w:t>
      </w:r>
      <w:r w:rsidR="009A59F1">
        <w:rPr>
          <w:rFonts w:ascii="Times New Roman" w:hAnsi="Times New Roman"/>
        </w:rPr>
        <w:t>,</w:t>
      </w:r>
      <w:r w:rsidR="00492410">
        <w:rPr>
          <w:rFonts w:ascii="Times New Roman" w:hAnsi="Times New Roman"/>
        </w:rPr>
        <w:t>783</w:t>
      </w:r>
      <w:r w:rsidR="009A59F1">
        <w:rPr>
          <w:rFonts w:ascii="Times New Roman" w:hAnsi="Times New Roman"/>
        </w:rPr>
        <w:t>/</w:t>
      </w:r>
      <w:r w:rsidR="00492410">
        <w:rPr>
          <w:rFonts w:ascii="Times New Roman" w:hAnsi="Times New Roman"/>
        </w:rPr>
        <w:t>3 years/6</w:t>
      </w:r>
      <w:r w:rsidR="009A59F1">
        <w:rPr>
          <w:rFonts w:ascii="Times New Roman" w:hAnsi="Times New Roman"/>
        </w:rPr>
        <w:t xml:space="preserve"> OMB Nos.)</w:t>
      </w:r>
    </w:p>
    <w:p w:rsidR="00E44941" w:rsidRPr="00F4518C" w:rsidP="00E44941" w14:paraId="24B92D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7B7D4A" w:rsidP="007B7D4A" w14:paraId="6E3CE83D" w14:textId="77777777">
      <w:pPr>
        <w:ind w:left="720"/>
        <w:jc w:val="center"/>
        <w:rPr>
          <w:rFonts w:ascii="Times New Roman" w:hAnsi="Times New Roman"/>
          <w:b/>
          <w:bCs/>
          <w:sz w:val="22"/>
          <w:szCs w:val="22"/>
        </w:rPr>
      </w:pPr>
      <w:r>
        <w:rPr>
          <w:rFonts w:ascii="Times New Roman" w:hAnsi="Times New Roman"/>
          <w:b/>
          <w:bCs/>
        </w:rPr>
        <w:t>Estimated Annualized Costs to the Federal Government</w:t>
      </w:r>
    </w:p>
    <w:p w:rsidR="007B7D4A" w:rsidP="007B7D4A" w14:paraId="31A66805" w14:textId="77777777">
      <w:pPr>
        <w:ind w:left="720"/>
        <w:jc w:val="center"/>
        <w:rPr>
          <w:rFonts w:ascii="Times New Roman" w:hAnsi="Times New Roman"/>
          <w:b/>
          <w:bCs/>
        </w:rPr>
      </w:pPr>
    </w:p>
    <w:tbl>
      <w:tblPr>
        <w:tblW w:w="0" w:type="auto"/>
        <w:tblInd w:w="720" w:type="dxa"/>
        <w:tblCellMar>
          <w:left w:w="0" w:type="dxa"/>
          <w:right w:w="0" w:type="dxa"/>
        </w:tblCellMar>
        <w:tblLook w:val="04A0"/>
      </w:tblPr>
      <w:tblGrid>
        <w:gridCol w:w="4412"/>
        <w:gridCol w:w="4208"/>
      </w:tblGrid>
      <w:tr w14:paraId="2EB93F8C" w14:textId="77777777" w:rsidTr="00BF1FB2">
        <w:tblPrEx>
          <w:tblW w:w="0" w:type="auto"/>
          <w:tblInd w:w="720" w:type="dxa"/>
          <w:tblCellMar>
            <w:left w:w="0" w:type="dxa"/>
            <w:right w:w="0" w:type="dxa"/>
          </w:tblCellMar>
          <w:tblLook w:val="04A0"/>
        </w:tblPrEx>
        <w:tc>
          <w:tcPr>
            <w:tcW w:w="4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57F14508" w14:textId="77777777">
            <w:pPr>
              <w:jc w:val="center"/>
              <w:rPr>
                <w:rFonts w:ascii="Times New Roman" w:hAnsi="Times New Roman"/>
                <w:u w:val="single"/>
              </w:rPr>
            </w:pPr>
            <w:r>
              <w:rPr>
                <w:rFonts w:ascii="Times New Roman" w:hAnsi="Times New Roman"/>
                <w:u w:val="single"/>
              </w:rPr>
              <w:t>Categories</w:t>
            </w:r>
          </w:p>
        </w:tc>
        <w:tc>
          <w:tcPr>
            <w:tcW w:w="4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D4A" w:rsidP="00BF1FB2" w14:paraId="5DF22D1B" w14:textId="77777777">
            <w:pPr>
              <w:jc w:val="center"/>
              <w:rPr>
                <w:rFonts w:ascii="Times New Roman" w:hAnsi="Times New Roman"/>
                <w:u w:val="single"/>
              </w:rPr>
            </w:pPr>
            <w:r>
              <w:rPr>
                <w:rFonts w:ascii="Times New Roman" w:hAnsi="Times New Roman"/>
                <w:u w:val="single"/>
              </w:rPr>
              <w:t>Amounts in $</w:t>
            </w:r>
          </w:p>
        </w:tc>
      </w:tr>
      <w:tr w14:paraId="0B22E747"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7B7D4A" w:rsidP="00BF1FB2" w14:paraId="13C7B66D" w14:textId="77777777">
            <w:pPr>
              <w:jc w:val="center"/>
              <w:rPr>
                <w:rFonts w:ascii="Times New Roman" w:hAnsi="Times New Roman"/>
                <w:b/>
                <w:bCs/>
              </w:rPr>
            </w:pPr>
          </w:p>
        </w:tc>
        <w:tc>
          <w:tcPr>
            <w:tcW w:w="421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7B7D4A" w:rsidP="00BF1FB2" w14:paraId="6FAE41E5" w14:textId="77777777">
            <w:pPr>
              <w:jc w:val="center"/>
              <w:rPr>
                <w:rFonts w:ascii="Times New Roman" w:hAnsi="Times New Roman"/>
                <w:b/>
                <w:bCs/>
              </w:rPr>
            </w:pPr>
          </w:p>
        </w:tc>
      </w:tr>
      <w:tr w14:paraId="5808084F"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550F56A6" w14:textId="77777777">
            <w:pPr>
              <w:rPr>
                <w:rFonts w:ascii="Times New Roman" w:hAnsi="Times New Roman"/>
              </w:rPr>
            </w:pPr>
            <w:r>
              <w:rPr>
                <w:rFonts w:ascii="Times New Roman" w:hAnsi="Times New Roman"/>
              </w:rPr>
              <w:t>Prime Technical Contract to support FARA Program</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487BFF90" w14:textId="77777777">
            <w:pPr>
              <w:rPr>
                <w:rFonts w:ascii="Times New Roman" w:hAnsi="Times New Roman"/>
              </w:rPr>
            </w:pPr>
            <w:r>
              <w:rPr>
                <w:rFonts w:ascii="Times New Roman" w:hAnsi="Times New Roman"/>
              </w:rPr>
              <w:t>$4,399,493/3 = $1,466,498 annually</w:t>
            </w:r>
          </w:p>
        </w:tc>
      </w:tr>
      <w:tr w14:paraId="4DB4116F"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4733A61A" w14:textId="77777777">
            <w:pPr>
              <w:rPr>
                <w:rFonts w:ascii="Times New Roman" w:hAnsi="Times New Roman"/>
              </w:rPr>
            </w:pPr>
            <w:r>
              <w:rPr>
                <w:rFonts w:ascii="Times New Roman" w:hAnsi="Times New Roman"/>
              </w:rPr>
              <w:t>Hosting &amp; Network support access and utilities (DOJ/JMD)</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23780066" w14:textId="77777777">
            <w:pPr>
              <w:rPr>
                <w:rFonts w:ascii="Times New Roman" w:hAnsi="Times New Roman"/>
              </w:rPr>
            </w:pPr>
            <w:r>
              <w:rPr>
                <w:rFonts w:ascii="Times New Roman" w:hAnsi="Times New Roman"/>
              </w:rPr>
              <w:t>$1,433,877/3 = $477,959 annually</w:t>
            </w:r>
          </w:p>
        </w:tc>
      </w:tr>
      <w:tr w14:paraId="143ED2D5"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100DBB00" w14:textId="77777777">
            <w:pPr>
              <w:rPr>
                <w:rFonts w:ascii="Times New Roman" w:hAnsi="Times New Roman"/>
              </w:rPr>
            </w:pPr>
            <w:r>
              <w:rPr>
                <w:rFonts w:ascii="Times New Roman" w:hAnsi="Times New Roman"/>
              </w:rPr>
              <w:t>Federal Reserve (Pay.gov) invoicing service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79CBA326" w14:textId="77777777">
            <w:pPr>
              <w:rPr>
                <w:rFonts w:ascii="Times New Roman" w:hAnsi="Times New Roman"/>
              </w:rPr>
            </w:pPr>
            <w:r>
              <w:rPr>
                <w:rFonts w:ascii="Times New Roman" w:hAnsi="Times New Roman"/>
              </w:rPr>
              <w:t>$0 (Free to all federal agencies)</w:t>
            </w:r>
          </w:p>
        </w:tc>
      </w:tr>
      <w:tr w14:paraId="24210683"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492AE9C1" w14:textId="77777777">
            <w:pPr>
              <w:rPr>
                <w:rFonts w:ascii="Times New Roman" w:hAnsi="Times New Roman"/>
              </w:rPr>
            </w:pPr>
            <w:r>
              <w:rPr>
                <w:rFonts w:ascii="Times New Roman" w:hAnsi="Times New Roman"/>
              </w:rPr>
              <w:t>Hardware servers, routers, and similar components purchased</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0E5669AF" w14:textId="77777777">
            <w:pPr>
              <w:rPr>
                <w:rFonts w:ascii="Times New Roman" w:hAnsi="Times New Roman"/>
              </w:rPr>
            </w:pPr>
            <w:r>
              <w:rPr>
                <w:rFonts w:ascii="Times New Roman" w:hAnsi="Times New Roman"/>
              </w:rPr>
              <w:t>$108,449/3 = $36,150 annually</w:t>
            </w:r>
          </w:p>
        </w:tc>
      </w:tr>
      <w:tr w14:paraId="61BB7EA0"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2203A250" w14:textId="77777777">
            <w:pPr>
              <w:rPr>
                <w:rFonts w:ascii="Times New Roman" w:hAnsi="Times New Roman"/>
              </w:rPr>
            </w:pPr>
            <w:r>
              <w:rPr>
                <w:rFonts w:ascii="Times New Roman" w:hAnsi="Times New Roman"/>
              </w:rPr>
              <w:t>Software including upgrades, licenses, etc., purchased to support the FARA Program</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00769EEC" w14:textId="77777777">
            <w:pPr>
              <w:rPr>
                <w:rFonts w:ascii="Times New Roman" w:hAnsi="Times New Roman"/>
              </w:rPr>
            </w:pPr>
            <w:r>
              <w:rPr>
                <w:rFonts w:ascii="Times New Roman" w:hAnsi="Times New Roman"/>
              </w:rPr>
              <w:t>$61,460/3 = $20,487 annually</w:t>
            </w:r>
          </w:p>
        </w:tc>
      </w:tr>
      <w:tr w14:paraId="45B59004"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70F5B77C" w14:textId="77777777">
            <w:pPr>
              <w:rPr>
                <w:rFonts w:ascii="Times New Roman" w:hAnsi="Times New Roman"/>
              </w:rPr>
            </w:pPr>
            <w:r>
              <w:rPr>
                <w:rFonts w:ascii="Times New Roman" w:hAnsi="Times New Roman"/>
              </w:rPr>
              <w:t xml:space="preserve">DOJ-Criminal Division </w:t>
            </w:r>
            <w:r>
              <w:rPr>
                <w:rFonts w:ascii="Times New Roman" w:hAnsi="Times New Roman"/>
              </w:rPr>
              <w:t>CRMLink</w:t>
            </w:r>
            <w:r>
              <w:rPr>
                <w:rFonts w:ascii="Times New Roman" w:hAnsi="Times New Roman"/>
              </w:rPr>
              <w:t xml:space="preserve"> bridge EAP / Oracle Classification System costs NSD pays to CRM for DJ Numbering FARA designations for registrant- respondent account creation.</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1D8D02EA" w14:textId="77777777">
            <w:pPr>
              <w:rPr>
                <w:rFonts w:ascii="Times New Roman" w:hAnsi="Times New Roman"/>
              </w:rPr>
            </w:pPr>
            <w:r>
              <w:rPr>
                <w:rFonts w:ascii="Times New Roman" w:hAnsi="Times New Roman"/>
              </w:rPr>
              <w:t>$0</w:t>
            </w:r>
          </w:p>
        </w:tc>
      </w:tr>
      <w:tr w14:paraId="117EE379"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6162CE74" w14:textId="77777777">
            <w:pPr>
              <w:rPr>
                <w:rFonts w:ascii="Times New Roman" w:hAnsi="Times New Roman"/>
              </w:rPr>
            </w:pPr>
            <w:r>
              <w:rPr>
                <w:rFonts w:ascii="Times New Roman" w:hAnsi="Times New Roman"/>
              </w:rPr>
              <w:t xml:space="preserve">FARA </w:t>
            </w:r>
            <w:r>
              <w:rPr>
                <w:rFonts w:ascii="Times New Roman" w:hAnsi="Times New Roman"/>
              </w:rPr>
              <w:t>eFile</w:t>
            </w:r>
            <w:r>
              <w:rPr>
                <w:rFonts w:ascii="Times New Roman" w:hAnsi="Times New Roman"/>
              </w:rPr>
              <w:t xml:space="preserve"> &amp; FARA O&amp;M annual appropriation requests </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269732A6" w14:textId="77777777">
            <w:pPr>
              <w:rPr>
                <w:rFonts w:ascii="Times New Roman" w:hAnsi="Times New Roman"/>
              </w:rPr>
            </w:pPr>
            <w:r>
              <w:rPr>
                <w:rFonts w:ascii="Times New Roman" w:hAnsi="Times New Roman"/>
              </w:rPr>
              <w:t>$0</w:t>
            </w:r>
          </w:p>
        </w:tc>
      </w:tr>
      <w:tr w14:paraId="78B4C67F"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4BE95247" w14:textId="77777777">
            <w:pPr>
              <w:rPr>
                <w:rFonts w:ascii="Times New Roman" w:hAnsi="Times New Roman"/>
              </w:rPr>
            </w:pPr>
            <w:r>
              <w:rPr>
                <w:rFonts w:ascii="Times New Roman" w:hAnsi="Times New Roman"/>
              </w:rPr>
              <w:t>Draw down FARA fees collected from NSD’s FARA No-Year Funds Account</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510645E8" w14:textId="77777777">
            <w:pPr>
              <w:rPr>
                <w:rFonts w:ascii="Times New Roman" w:hAnsi="Times New Roman"/>
              </w:rPr>
            </w:pPr>
            <w:r>
              <w:rPr>
                <w:rFonts w:ascii="Times New Roman" w:hAnsi="Times New Roman"/>
              </w:rPr>
              <w:t>$0</w:t>
            </w:r>
          </w:p>
        </w:tc>
      </w:tr>
      <w:tr w14:paraId="2A195E36"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4A2FE195" w14:textId="77777777">
            <w:pPr>
              <w:rPr>
                <w:rFonts w:ascii="Times New Roman" w:hAnsi="Times New Roman"/>
              </w:rPr>
            </w:pPr>
            <w:r>
              <w:rPr>
                <w:rFonts w:ascii="Times New Roman" w:hAnsi="Times New Roman"/>
              </w:rPr>
              <w:t>Federal Government salaries associated with processing all six ICRs (FARA Registration Statements (webforms)).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29EDFD41" w14:textId="77777777">
            <w:pPr>
              <w:rPr>
                <w:rFonts w:ascii="Times New Roman" w:hAnsi="Times New Roman"/>
              </w:rPr>
            </w:pPr>
            <w:r>
              <w:rPr>
                <w:rFonts w:ascii="Times New Roman" w:hAnsi="Times New Roman"/>
              </w:rPr>
              <w:t>$2,297,695/3 = $765,898 annually</w:t>
            </w:r>
          </w:p>
        </w:tc>
      </w:tr>
      <w:tr w14:paraId="01683135"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2A400EEB" w14:textId="77777777">
            <w:pPr>
              <w:rPr>
                <w:rFonts w:ascii="Times New Roman" w:hAnsi="Times New Roman"/>
              </w:rPr>
            </w:pPr>
            <w:r>
              <w:rPr>
                <w:rFonts w:ascii="Times New Roman" w:hAnsi="Times New Roman"/>
              </w:rPr>
              <w:t xml:space="preserve">Federal government salaries/costs associated with the internal sample testing and UAT </w:t>
            </w:r>
            <w:r>
              <w:rPr>
                <w:rFonts w:ascii="Times New Roman" w:hAnsi="Times New Roman"/>
              </w:rPr>
              <w:t>feednack</w:t>
            </w:r>
            <w:r>
              <w:rPr>
                <w:rFonts w:ascii="Times New Roman" w:hAnsi="Times New Roman"/>
              </w:rPr>
              <w:t xml:space="preserve"> sessions by FARA Unit staff for FARA </w:t>
            </w:r>
            <w:r>
              <w:rPr>
                <w:rFonts w:ascii="Times New Roman" w:hAnsi="Times New Roman"/>
              </w:rPr>
              <w:t>eFile</w:t>
            </w:r>
            <w:r>
              <w:rPr>
                <w:rFonts w:ascii="Times New Roman" w:hAnsi="Times New Roman"/>
              </w:rPr>
              <w:t xml:space="preserve"> 4.0, 4.1 (+) development, </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768903EA" w14:textId="77777777">
            <w:pPr>
              <w:rPr>
                <w:rFonts w:ascii="Times New Roman" w:hAnsi="Times New Roman"/>
              </w:rPr>
            </w:pPr>
            <w:r>
              <w:rPr>
                <w:rFonts w:ascii="Times New Roman" w:hAnsi="Times New Roman"/>
              </w:rPr>
              <w:t>$910,231</w:t>
            </w:r>
          </w:p>
        </w:tc>
      </w:tr>
      <w:tr w14:paraId="632E4261"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D4A" w:rsidP="00BF1FB2" w14:paraId="153461D9" w14:textId="77777777">
            <w:pPr>
              <w:rPr>
                <w:rFonts w:ascii="Times New Roman" w:hAnsi="Times New Roman"/>
              </w:rPr>
            </w:pPr>
            <w:r>
              <w:rPr>
                <w:rFonts w:ascii="Times New Roman" w:hAnsi="Times New Roman"/>
              </w:rPr>
              <w:t xml:space="preserve">Federal government salaries/costs associated with the involving customer service support re FARA </w:t>
            </w:r>
            <w:r>
              <w:rPr>
                <w:rFonts w:ascii="Times New Roman" w:hAnsi="Times New Roman"/>
              </w:rPr>
              <w:t>eFile</w:t>
            </w:r>
            <w:r>
              <w:rPr>
                <w:rFonts w:ascii="Times New Roman" w:hAnsi="Times New Roman"/>
              </w:rPr>
              <w:t xml:space="preserve"> 4.0/4.1 (+) outreach to registrant-respondents during July 2020 – July 2023. </w:t>
            </w:r>
            <w:r>
              <w:rPr>
                <w:rFonts w:ascii="Times New Roman" w:hAnsi="Times New Roman"/>
              </w:rPr>
              <w:t>eFile</w:t>
            </w:r>
            <w:r>
              <w:rPr>
                <w:rFonts w:ascii="Times New Roman" w:hAnsi="Times New Roman"/>
              </w:rPr>
              <w:t xml:space="preserve"> customer support coordination via Attorney/Analyst/Specialist assigned teams on rotational duty weeks, and projected normal 3-year revision time frame by staff supporting </w:t>
            </w:r>
            <w:r>
              <w:rPr>
                <w:rFonts w:ascii="Times New Roman" w:hAnsi="Times New Roman"/>
              </w:rPr>
              <w:t>eFile</w:t>
            </w:r>
            <w:r>
              <w:rPr>
                <w:rFonts w:ascii="Times New Roman" w:hAnsi="Times New Roman"/>
              </w:rPr>
              <w:t xml:space="preserve"> issues.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7B7D4A" w:rsidP="00BF1FB2" w14:paraId="159A8007" w14:textId="77777777">
            <w:pPr>
              <w:rPr>
                <w:rFonts w:ascii="Times New Roman" w:hAnsi="Times New Roman"/>
              </w:rPr>
            </w:pPr>
            <w:r>
              <w:rPr>
                <w:rFonts w:ascii="Times New Roman" w:hAnsi="Times New Roman"/>
              </w:rPr>
              <w:t>$2,442,512/3 = $814,171 annually</w:t>
            </w:r>
          </w:p>
        </w:tc>
      </w:tr>
      <w:tr w14:paraId="1019D227"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7B7D4A" w:rsidP="00BF1FB2" w14:paraId="00B55D6B" w14:textId="77777777">
            <w:pPr>
              <w:jc w:val="center"/>
              <w:rPr>
                <w:rFonts w:ascii="Times New Roman" w:hAnsi="Times New Roman"/>
                <w:b/>
                <w:bCs/>
              </w:rPr>
            </w:pPr>
          </w:p>
        </w:tc>
        <w:tc>
          <w:tcPr>
            <w:tcW w:w="421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7B7D4A" w:rsidP="00BF1FB2" w14:paraId="48CD8951" w14:textId="77777777">
            <w:pPr>
              <w:jc w:val="center"/>
              <w:rPr>
                <w:rFonts w:ascii="Times New Roman" w:hAnsi="Times New Roman"/>
                <w:b/>
                <w:bCs/>
              </w:rPr>
            </w:pPr>
          </w:p>
        </w:tc>
      </w:tr>
    </w:tbl>
    <w:p w:rsidR="007B7D4A" w:rsidP="007B7D4A" w14:paraId="499FEC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B7D4A" w:rsidP="007B7D4A" w14:paraId="173DC54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$9,211,206/6 (OMB Nos.) = $1,535,201.</w:t>
      </w:r>
    </w:p>
    <w:p w:rsidR="00CF2C7A" w:rsidRPr="00871CA6" w:rsidP="00690F56" w14:paraId="0FDFB9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11528B" w14:paraId="5321AF4F" w14:textId="70E469B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28B">
        <w:rPr>
          <w:rFonts w:ascii="Times New Roman" w:hAnsi="Times New Roman"/>
        </w:rPr>
        <w:t>This is a request for a revision of a previously approved information collection. The collection will now use a new eFile webform system located on the FARA.gov</w:t>
      </w:r>
      <w:r>
        <w:rPr>
          <w:rFonts w:ascii="Times New Roman" w:hAnsi="Times New Roman"/>
        </w:rPr>
        <w:t xml:space="preserve"> </w:t>
      </w:r>
      <w:r w:rsidRPr="0011528B">
        <w:rPr>
          <w:rFonts w:ascii="Times New Roman" w:hAnsi="Times New Roman"/>
        </w:rPr>
        <w:t xml:space="preserve">website: </w:t>
      </w:r>
      <w:hyperlink r:id="rId6" w:history="1">
        <w:r w:rsidRPr="00C66EAA">
          <w:rPr>
            <w:rStyle w:val="Hyperlink"/>
            <w:rFonts w:ascii="Times New Roman" w:hAnsi="Times New Roman"/>
          </w:rPr>
          <w:t>https://www.justice.gov/​nsd-fara/​fara-efile</w:t>
        </w:r>
      </w:hyperlink>
      <w:r w:rsidRPr="0011528B">
        <w:rPr>
          <w:rFonts w:ascii="Times New Roman" w:hAnsi="Times New Roman"/>
        </w:rPr>
        <w:t>.</w:t>
      </w:r>
      <w:r>
        <w:rPr>
          <w:rFonts w:ascii="Times New Roman" w:hAnsi="Times New Roman"/>
        </w:rPr>
        <w:t xml:space="preserve"> </w:t>
      </w: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1B59CA5" w14:textId="1A3C35B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Results from this collection will not be published. </w:t>
      </w:r>
    </w:p>
    <w:p w:rsidR="005D55A2" w:rsidRPr="00871CA6" w:rsidP="00690F56" w14:paraId="7A81022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7"/>
      <w:footerReference w:type="even" r:id="rId8"/>
      <w:footerReference w:type="default" r:id="rId9"/>
      <w:headerReference w:type="first" r:id="rId10"/>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sidR="007B7D4A">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2362B118">
    <w:pPr>
      <w:pStyle w:val="Header"/>
      <w:rPr>
        <w:rFonts w:ascii="Times New Roman" w:hAnsi="Times New Roman"/>
        <w:bCs/>
        <w:sz w:val="20"/>
        <w:szCs w:val="20"/>
      </w:rPr>
    </w:pPr>
    <w:r w:rsidRPr="00124290">
      <w:rPr>
        <w:rFonts w:ascii="Times New Roman" w:hAnsi="Times New Roman"/>
        <w:bCs/>
        <w:sz w:val="20"/>
        <w:szCs w:val="20"/>
      </w:rPr>
      <w:t>Exhibit A to Registration Statement (Foreign Agents)</w:t>
    </w:r>
  </w:p>
  <w:p w:rsidR="00EC0B43" w14:paraId="52F50703" w14:textId="134EB85A">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345863">
      <w:rPr>
        <w:rFonts w:ascii="Times New Roman" w:hAnsi="Times New Roman"/>
        <w:sz w:val="20"/>
        <w:szCs w:val="20"/>
      </w:rPr>
      <w:t>1124-000</w:t>
    </w:r>
    <w:r w:rsidR="00124290">
      <w:rPr>
        <w:rFonts w:ascii="Times New Roman" w:hAnsi="Times New Roman"/>
        <w:sz w:val="20"/>
        <w:szCs w:val="20"/>
      </w:rPr>
      <w:t>6</w:t>
    </w:r>
  </w:p>
  <w:p w:rsidR="00304132" w14:paraId="29EBD65C" w14:textId="46087BB1">
    <w:pPr>
      <w:pStyle w:val="Header"/>
      <w:rPr>
        <w:rFonts w:ascii="Times New Roman" w:hAnsi="Times New Roman"/>
        <w:sz w:val="20"/>
        <w:szCs w:val="20"/>
      </w:rPr>
    </w:pPr>
    <w:r>
      <w:rPr>
        <w:rFonts w:ascii="Times New Roman" w:hAnsi="Times New Roman"/>
        <w:sz w:val="20"/>
        <w:szCs w:val="20"/>
      </w:rPr>
      <w:t xml:space="preserve">OMB Expiration Date: </w:t>
    </w:r>
    <w:r w:rsidR="006D2708">
      <w:rPr>
        <w:rFonts w:ascii="Times New Roman" w:hAnsi="Times New Roman"/>
        <w:sz w:val="20"/>
        <w:szCs w:val="20"/>
      </w:rPr>
      <w:t>07/31/2023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6C0"/>
    <w:rsid w:val="00007F1C"/>
    <w:rsid w:val="000114C0"/>
    <w:rsid w:val="000133FD"/>
    <w:rsid w:val="00014158"/>
    <w:rsid w:val="00020F69"/>
    <w:rsid w:val="00022303"/>
    <w:rsid w:val="0003073D"/>
    <w:rsid w:val="00034F57"/>
    <w:rsid w:val="0004107F"/>
    <w:rsid w:val="00042CBD"/>
    <w:rsid w:val="00052174"/>
    <w:rsid w:val="00061F6C"/>
    <w:rsid w:val="00064E28"/>
    <w:rsid w:val="000655CC"/>
    <w:rsid w:val="0007383F"/>
    <w:rsid w:val="00082ADD"/>
    <w:rsid w:val="00092965"/>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53DE"/>
    <w:rsid w:val="001078BB"/>
    <w:rsid w:val="0011528B"/>
    <w:rsid w:val="00116CD5"/>
    <w:rsid w:val="00117CA5"/>
    <w:rsid w:val="00124290"/>
    <w:rsid w:val="001279DC"/>
    <w:rsid w:val="00133C47"/>
    <w:rsid w:val="00133E3D"/>
    <w:rsid w:val="001376D3"/>
    <w:rsid w:val="0014556E"/>
    <w:rsid w:val="0014601E"/>
    <w:rsid w:val="0015322B"/>
    <w:rsid w:val="0015365E"/>
    <w:rsid w:val="00157A90"/>
    <w:rsid w:val="00167AD4"/>
    <w:rsid w:val="00171DCB"/>
    <w:rsid w:val="001745E6"/>
    <w:rsid w:val="00180E5A"/>
    <w:rsid w:val="00190428"/>
    <w:rsid w:val="00192711"/>
    <w:rsid w:val="001A47D9"/>
    <w:rsid w:val="001A5183"/>
    <w:rsid w:val="001B4BB9"/>
    <w:rsid w:val="001C39F6"/>
    <w:rsid w:val="001D10ED"/>
    <w:rsid w:val="001D2D09"/>
    <w:rsid w:val="001D67BB"/>
    <w:rsid w:val="001E0E7F"/>
    <w:rsid w:val="001E2932"/>
    <w:rsid w:val="001E3596"/>
    <w:rsid w:val="001E3DED"/>
    <w:rsid w:val="001E5213"/>
    <w:rsid w:val="001F056F"/>
    <w:rsid w:val="001F2E8E"/>
    <w:rsid w:val="001F552E"/>
    <w:rsid w:val="002036A1"/>
    <w:rsid w:val="002037C9"/>
    <w:rsid w:val="00210A61"/>
    <w:rsid w:val="002134B4"/>
    <w:rsid w:val="00213789"/>
    <w:rsid w:val="002203C9"/>
    <w:rsid w:val="00222B55"/>
    <w:rsid w:val="00234341"/>
    <w:rsid w:val="00236384"/>
    <w:rsid w:val="00237691"/>
    <w:rsid w:val="00237FEB"/>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B2BB7"/>
    <w:rsid w:val="002C5AE9"/>
    <w:rsid w:val="002E238B"/>
    <w:rsid w:val="002E4200"/>
    <w:rsid w:val="002E4429"/>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45863"/>
    <w:rsid w:val="003548D8"/>
    <w:rsid w:val="00363CC2"/>
    <w:rsid w:val="0036475B"/>
    <w:rsid w:val="00365AD4"/>
    <w:rsid w:val="00370C9A"/>
    <w:rsid w:val="00371EEC"/>
    <w:rsid w:val="00372CCA"/>
    <w:rsid w:val="003876F3"/>
    <w:rsid w:val="00390426"/>
    <w:rsid w:val="003908B9"/>
    <w:rsid w:val="00394AEB"/>
    <w:rsid w:val="00397728"/>
    <w:rsid w:val="003977EB"/>
    <w:rsid w:val="003A4476"/>
    <w:rsid w:val="003A6353"/>
    <w:rsid w:val="003B2F28"/>
    <w:rsid w:val="003B604A"/>
    <w:rsid w:val="003C13C6"/>
    <w:rsid w:val="003C1665"/>
    <w:rsid w:val="003D5958"/>
    <w:rsid w:val="003D6AC7"/>
    <w:rsid w:val="003E15A0"/>
    <w:rsid w:val="003E49A6"/>
    <w:rsid w:val="003E4B88"/>
    <w:rsid w:val="003E5E34"/>
    <w:rsid w:val="003E6021"/>
    <w:rsid w:val="003F4634"/>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844D1"/>
    <w:rsid w:val="0048559D"/>
    <w:rsid w:val="0049001D"/>
    <w:rsid w:val="00492410"/>
    <w:rsid w:val="00492B38"/>
    <w:rsid w:val="00494A93"/>
    <w:rsid w:val="00494D75"/>
    <w:rsid w:val="004A1763"/>
    <w:rsid w:val="004B1E83"/>
    <w:rsid w:val="004B42D8"/>
    <w:rsid w:val="004C38E7"/>
    <w:rsid w:val="004D1C78"/>
    <w:rsid w:val="004D441E"/>
    <w:rsid w:val="004D46D1"/>
    <w:rsid w:val="004E1D9E"/>
    <w:rsid w:val="004E5B39"/>
    <w:rsid w:val="004F419C"/>
    <w:rsid w:val="00501A15"/>
    <w:rsid w:val="005164DC"/>
    <w:rsid w:val="00522B8D"/>
    <w:rsid w:val="0052585C"/>
    <w:rsid w:val="00530EBD"/>
    <w:rsid w:val="00547B9D"/>
    <w:rsid w:val="005622FE"/>
    <w:rsid w:val="00567912"/>
    <w:rsid w:val="00570098"/>
    <w:rsid w:val="005805E7"/>
    <w:rsid w:val="005825A4"/>
    <w:rsid w:val="00583F5D"/>
    <w:rsid w:val="0058424C"/>
    <w:rsid w:val="00584F8D"/>
    <w:rsid w:val="005A0350"/>
    <w:rsid w:val="005A7D9E"/>
    <w:rsid w:val="005B2697"/>
    <w:rsid w:val="005B5990"/>
    <w:rsid w:val="005C6147"/>
    <w:rsid w:val="005D40BE"/>
    <w:rsid w:val="005D55A2"/>
    <w:rsid w:val="005D5F8C"/>
    <w:rsid w:val="005E5148"/>
    <w:rsid w:val="005F7574"/>
    <w:rsid w:val="0060114B"/>
    <w:rsid w:val="00603D4A"/>
    <w:rsid w:val="00611DE2"/>
    <w:rsid w:val="00614A1C"/>
    <w:rsid w:val="006227B3"/>
    <w:rsid w:val="00627B1F"/>
    <w:rsid w:val="006358CA"/>
    <w:rsid w:val="00642220"/>
    <w:rsid w:val="0065148D"/>
    <w:rsid w:val="00652ED1"/>
    <w:rsid w:val="006626FF"/>
    <w:rsid w:val="006650A8"/>
    <w:rsid w:val="006673DE"/>
    <w:rsid w:val="0067513B"/>
    <w:rsid w:val="00675E5A"/>
    <w:rsid w:val="0067772C"/>
    <w:rsid w:val="00683A96"/>
    <w:rsid w:val="00685435"/>
    <w:rsid w:val="00687746"/>
    <w:rsid w:val="00690F56"/>
    <w:rsid w:val="006A4637"/>
    <w:rsid w:val="006B6CA3"/>
    <w:rsid w:val="006C39F8"/>
    <w:rsid w:val="006D2708"/>
    <w:rsid w:val="006E1A08"/>
    <w:rsid w:val="006E4433"/>
    <w:rsid w:val="006E54FE"/>
    <w:rsid w:val="006E604F"/>
    <w:rsid w:val="006E63C6"/>
    <w:rsid w:val="006F1517"/>
    <w:rsid w:val="006F2132"/>
    <w:rsid w:val="006F66F9"/>
    <w:rsid w:val="006F6E13"/>
    <w:rsid w:val="007010C5"/>
    <w:rsid w:val="007011F1"/>
    <w:rsid w:val="007110E6"/>
    <w:rsid w:val="007120B6"/>
    <w:rsid w:val="007127A1"/>
    <w:rsid w:val="00713ACE"/>
    <w:rsid w:val="00715F82"/>
    <w:rsid w:val="0071749C"/>
    <w:rsid w:val="00721E05"/>
    <w:rsid w:val="00733470"/>
    <w:rsid w:val="00734218"/>
    <w:rsid w:val="007412B6"/>
    <w:rsid w:val="0075029E"/>
    <w:rsid w:val="00753389"/>
    <w:rsid w:val="00755761"/>
    <w:rsid w:val="007636EC"/>
    <w:rsid w:val="00766499"/>
    <w:rsid w:val="00767D37"/>
    <w:rsid w:val="00774503"/>
    <w:rsid w:val="007754A0"/>
    <w:rsid w:val="00777CD2"/>
    <w:rsid w:val="00780272"/>
    <w:rsid w:val="0078038F"/>
    <w:rsid w:val="0078153B"/>
    <w:rsid w:val="00785FE9"/>
    <w:rsid w:val="00786E04"/>
    <w:rsid w:val="007A7F79"/>
    <w:rsid w:val="007B2396"/>
    <w:rsid w:val="007B7D4A"/>
    <w:rsid w:val="007C124D"/>
    <w:rsid w:val="007D46C2"/>
    <w:rsid w:val="007E3065"/>
    <w:rsid w:val="007F35E0"/>
    <w:rsid w:val="007F3B38"/>
    <w:rsid w:val="007F3C02"/>
    <w:rsid w:val="007F7F67"/>
    <w:rsid w:val="00802605"/>
    <w:rsid w:val="00802A30"/>
    <w:rsid w:val="008043E5"/>
    <w:rsid w:val="00804A1A"/>
    <w:rsid w:val="0081073D"/>
    <w:rsid w:val="00813CC0"/>
    <w:rsid w:val="008323ED"/>
    <w:rsid w:val="00835955"/>
    <w:rsid w:val="00846701"/>
    <w:rsid w:val="008624D5"/>
    <w:rsid w:val="00871CA6"/>
    <w:rsid w:val="008814A6"/>
    <w:rsid w:val="00882AB5"/>
    <w:rsid w:val="00882B1D"/>
    <w:rsid w:val="0088672C"/>
    <w:rsid w:val="008A1F0C"/>
    <w:rsid w:val="008A40D1"/>
    <w:rsid w:val="008B3128"/>
    <w:rsid w:val="008B541B"/>
    <w:rsid w:val="008C656B"/>
    <w:rsid w:val="008C6A87"/>
    <w:rsid w:val="008F0509"/>
    <w:rsid w:val="008F47CB"/>
    <w:rsid w:val="00901003"/>
    <w:rsid w:val="0090158E"/>
    <w:rsid w:val="00901EF6"/>
    <w:rsid w:val="0090413E"/>
    <w:rsid w:val="00923B37"/>
    <w:rsid w:val="009271B1"/>
    <w:rsid w:val="0092749E"/>
    <w:rsid w:val="0093485F"/>
    <w:rsid w:val="009407FC"/>
    <w:rsid w:val="009441E2"/>
    <w:rsid w:val="00963168"/>
    <w:rsid w:val="00963680"/>
    <w:rsid w:val="00964D3F"/>
    <w:rsid w:val="009700D9"/>
    <w:rsid w:val="00983CA7"/>
    <w:rsid w:val="00985369"/>
    <w:rsid w:val="00985C15"/>
    <w:rsid w:val="00996A5D"/>
    <w:rsid w:val="00996BDC"/>
    <w:rsid w:val="009A59F1"/>
    <w:rsid w:val="009A6DCA"/>
    <w:rsid w:val="009A7B50"/>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3BE8"/>
    <w:rsid w:val="00A677E9"/>
    <w:rsid w:val="00A740AB"/>
    <w:rsid w:val="00A834BF"/>
    <w:rsid w:val="00A90769"/>
    <w:rsid w:val="00A9359D"/>
    <w:rsid w:val="00A973AA"/>
    <w:rsid w:val="00AA177A"/>
    <w:rsid w:val="00AA2668"/>
    <w:rsid w:val="00AA418C"/>
    <w:rsid w:val="00AB4DC3"/>
    <w:rsid w:val="00AC69F4"/>
    <w:rsid w:val="00AC775D"/>
    <w:rsid w:val="00AD022F"/>
    <w:rsid w:val="00AD113F"/>
    <w:rsid w:val="00AD3EDD"/>
    <w:rsid w:val="00AD75AC"/>
    <w:rsid w:val="00AE0D00"/>
    <w:rsid w:val="00AF2C11"/>
    <w:rsid w:val="00AF3058"/>
    <w:rsid w:val="00AF3788"/>
    <w:rsid w:val="00AF5262"/>
    <w:rsid w:val="00AF7928"/>
    <w:rsid w:val="00B13844"/>
    <w:rsid w:val="00B15987"/>
    <w:rsid w:val="00B16CCC"/>
    <w:rsid w:val="00B26E3E"/>
    <w:rsid w:val="00B35DAD"/>
    <w:rsid w:val="00B417B3"/>
    <w:rsid w:val="00B47443"/>
    <w:rsid w:val="00B5043F"/>
    <w:rsid w:val="00B5377A"/>
    <w:rsid w:val="00B5468B"/>
    <w:rsid w:val="00B6181C"/>
    <w:rsid w:val="00B64496"/>
    <w:rsid w:val="00B66231"/>
    <w:rsid w:val="00B674DE"/>
    <w:rsid w:val="00B67A3F"/>
    <w:rsid w:val="00B74945"/>
    <w:rsid w:val="00B9439C"/>
    <w:rsid w:val="00B96E43"/>
    <w:rsid w:val="00BA4744"/>
    <w:rsid w:val="00BA6A42"/>
    <w:rsid w:val="00BA6C9C"/>
    <w:rsid w:val="00BB2AA1"/>
    <w:rsid w:val="00BB3BEF"/>
    <w:rsid w:val="00BC5F22"/>
    <w:rsid w:val="00BD21CA"/>
    <w:rsid w:val="00BD34F2"/>
    <w:rsid w:val="00BF0E96"/>
    <w:rsid w:val="00BF1FB2"/>
    <w:rsid w:val="00C00D07"/>
    <w:rsid w:val="00C02E4A"/>
    <w:rsid w:val="00C05B4B"/>
    <w:rsid w:val="00C05B88"/>
    <w:rsid w:val="00C07F7F"/>
    <w:rsid w:val="00C10C96"/>
    <w:rsid w:val="00C12530"/>
    <w:rsid w:val="00C14429"/>
    <w:rsid w:val="00C16FA7"/>
    <w:rsid w:val="00C247D8"/>
    <w:rsid w:val="00C25486"/>
    <w:rsid w:val="00C25E66"/>
    <w:rsid w:val="00C25F9F"/>
    <w:rsid w:val="00C34009"/>
    <w:rsid w:val="00C4763A"/>
    <w:rsid w:val="00C545B8"/>
    <w:rsid w:val="00C63D1E"/>
    <w:rsid w:val="00C667F3"/>
    <w:rsid w:val="00C66EAA"/>
    <w:rsid w:val="00C712D2"/>
    <w:rsid w:val="00C77B5C"/>
    <w:rsid w:val="00C824C6"/>
    <w:rsid w:val="00C8275F"/>
    <w:rsid w:val="00C87068"/>
    <w:rsid w:val="00C9162F"/>
    <w:rsid w:val="00CA2F0A"/>
    <w:rsid w:val="00CA5E69"/>
    <w:rsid w:val="00CB1ECE"/>
    <w:rsid w:val="00CB3579"/>
    <w:rsid w:val="00CB5C31"/>
    <w:rsid w:val="00CC0731"/>
    <w:rsid w:val="00CC1B60"/>
    <w:rsid w:val="00CC770C"/>
    <w:rsid w:val="00CD215D"/>
    <w:rsid w:val="00CD4F92"/>
    <w:rsid w:val="00CD6628"/>
    <w:rsid w:val="00CF2C7A"/>
    <w:rsid w:val="00D00B48"/>
    <w:rsid w:val="00D2331B"/>
    <w:rsid w:val="00D36BB6"/>
    <w:rsid w:val="00D472BE"/>
    <w:rsid w:val="00D53DEB"/>
    <w:rsid w:val="00D57DE8"/>
    <w:rsid w:val="00D735B0"/>
    <w:rsid w:val="00D73AAD"/>
    <w:rsid w:val="00D75842"/>
    <w:rsid w:val="00D802D6"/>
    <w:rsid w:val="00D86A15"/>
    <w:rsid w:val="00D86FF7"/>
    <w:rsid w:val="00DA31FF"/>
    <w:rsid w:val="00DA7DC9"/>
    <w:rsid w:val="00DA7F1F"/>
    <w:rsid w:val="00DB7B7C"/>
    <w:rsid w:val="00DD6DF0"/>
    <w:rsid w:val="00DF3B5E"/>
    <w:rsid w:val="00E0031C"/>
    <w:rsid w:val="00E0138A"/>
    <w:rsid w:val="00E06430"/>
    <w:rsid w:val="00E13DE5"/>
    <w:rsid w:val="00E163CF"/>
    <w:rsid w:val="00E20D5B"/>
    <w:rsid w:val="00E22463"/>
    <w:rsid w:val="00E23871"/>
    <w:rsid w:val="00E322E9"/>
    <w:rsid w:val="00E400EA"/>
    <w:rsid w:val="00E44941"/>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0B84"/>
    <w:rsid w:val="00E92EED"/>
    <w:rsid w:val="00E93A0F"/>
    <w:rsid w:val="00EA0A6A"/>
    <w:rsid w:val="00EA3E66"/>
    <w:rsid w:val="00EB7BF1"/>
    <w:rsid w:val="00EC0B43"/>
    <w:rsid w:val="00EC4383"/>
    <w:rsid w:val="00EC5D7E"/>
    <w:rsid w:val="00ED49C1"/>
    <w:rsid w:val="00EE2223"/>
    <w:rsid w:val="00EF0388"/>
    <w:rsid w:val="00EF70DB"/>
    <w:rsid w:val="00F047BF"/>
    <w:rsid w:val="00F11AA8"/>
    <w:rsid w:val="00F12F81"/>
    <w:rsid w:val="00F24787"/>
    <w:rsid w:val="00F27223"/>
    <w:rsid w:val="00F31290"/>
    <w:rsid w:val="00F3623C"/>
    <w:rsid w:val="00F40007"/>
    <w:rsid w:val="00F41116"/>
    <w:rsid w:val="00F43377"/>
    <w:rsid w:val="00F44D20"/>
    <w:rsid w:val="00F4518C"/>
    <w:rsid w:val="00F4529D"/>
    <w:rsid w:val="00F53F09"/>
    <w:rsid w:val="00F56B20"/>
    <w:rsid w:val="00F6219B"/>
    <w:rsid w:val="00F64E0B"/>
    <w:rsid w:val="00F72D66"/>
    <w:rsid w:val="00F8164B"/>
    <w:rsid w:val="00F935EE"/>
    <w:rsid w:val="00F96841"/>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paragraph" w:styleId="BodyText">
    <w:name w:val="Body Text"/>
    <w:basedOn w:val="Normal"/>
    <w:link w:val="BodyTextChar"/>
    <w:uiPriority w:val="1"/>
    <w:qFormat/>
    <w:rsid w:val="0075029E"/>
    <w:pPr>
      <w:adjustRightInd/>
    </w:pPr>
    <w:rPr>
      <w:rFonts w:ascii="Times New Roman" w:hAnsi="Times New Roman"/>
    </w:rPr>
  </w:style>
  <w:style w:type="character" w:customStyle="1" w:styleId="BodyTextChar">
    <w:name w:val="Body Text Char"/>
    <w:basedOn w:val="DefaultParagraphFont"/>
    <w:link w:val="BodyText"/>
    <w:uiPriority w:val="1"/>
    <w:rsid w:val="0075029E"/>
    <w:rPr>
      <w:sz w:val="24"/>
      <w:szCs w:val="24"/>
    </w:rPr>
  </w:style>
  <w:style w:type="character" w:styleId="Emphasis">
    <w:name w:val="Emphasis"/>
    <w:basedOn w:val="DefaultParagraphFont"/>
    <w:uiPriority w:val="20"/>
    <w:qFormat/>
    <w:rsid w:val="00EF0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justice.gov/nsd-fara/fara-efile" TargetMode="External" /><Relationship Id="rId6" Type="http://schemas.openxmlformats.org/officeDocument/2006/relationships/hyperlink" Target="https://www.justice.gov/&#8203;nsd-fara/&#8203;fara-efil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2503</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2</cp:revision>
  <cp:lastPrinted>2020-02-19T15:46:00Z</cp:lastPrinted>
  <dcterms:created xsi:type="dcterms:W3CDTF">2023-07-25T20:47:00Z</dcterms:created>
  <dcterms:modified xsi:type="dcterms:W3CDTF">2023-07-25T20:47:00Z</dcterms:modified>
</cp:coreProperties>
</file>