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6DA0" w14:paraId="694BA6FE" w14:textId="77777777">
      <w:pPr>
        <w:pStyle w:val="BodyText"/>
        <w:spacing w:before="68"/>
        <w:ind w:left="2176" w:right="2268"/>
        <w:jc w:val="center"/>
      </w:pPr>
      <w:r>
        <w:t>Department</w:t>
      </w:r>
      <w:r>
        <w:rPr>
          <w:spacing w:val="-4"/>
        </w:rPr>
        <w:t xml:space="preserve"> </w:t>
      </w:r>
      <w:r>
        <w:t>of</w:t>
      </w:r>
      <w:r>
        <w:rPr>
          <w:spacing w:val="-3"/>
        </w:rPr>
        <w:t xml:space="preserve"> </w:t>
      </w:r>
      <w:r>
        <w:rPr>
          <w:spacing w:val="-2"/>
        </w:rPr>
        <w:t>Justice</w:t>
      </w:r>
    </w:p>
    <w:p w:rsidR="00F36DA0" w14:paraId="16524C92" w14:textId="77777777">
      <w:pPr>
        <w:pStyle w:val="BodyText"/>
        <w:spacing w:before="2"/>
        <w:ind w:left="2188" w:right="2268"/>
        <w:jc w:val="center"/>
      </w:pPr>
      <w:r>
        <w:t>Bureau</w:t>
      </w:r>
      <w:r>
        <w:rPr>
          <w:spacing w:val="-7"/>
        </w:rPr>
        <w:t xml:space="preserve"> </w:t>
      </w:r>
      <w:r>
        <w:t>of</w:t>
      </w:r>
      <w:r>
        <w:rPr>
          <w:spacing w:val="-7"/>
        </w:rPr>
        <w:t xml:space="preserve"> </w:t>
      </w:r>
      <w:r>
        <w:t>Alcohol,</w:t>
      </w:r>
      <w:r>
        <w:rPr>
          <w:spacing w:val="-7"/>
        </w:rPr>
        <w:t xml:space="preserve"> </w:t>
      </w:r>
      <w:r>
        <w:t>Tobacco,</w:t>
      </w:r>
      <w:r>
        <w:rPr>
          <w:spacing w:val="-7"/>
        </w:rPr>
        <w:t xml:space="preserve"> </w:t>
      </w:r>
      <w:r>
        <w:t>Firearms</w:t>
      </w:r>
      <w:r>
        <w:rPr>
          <w:spacing w:val="-7"/>
        </w:rPr>
        <w:t xml:space="preserve"> </w:t>
      </w:r>
      <w:r>
        <w:t>and</w:t>
      </w:r>
      <w:r>
        <w:rPr>
          <w:spacing w:val="-7"/>
        </w:rPr>
        <w:t xml:space="preserve"> </w:t>
      </w:r>
      <w:r>
        <w:t>Explosives Information Collection Request</w:t>
      </w:r>
    </w:p>
    <w:p w:rsidR="00F36DA0" w14:paraId="6E503EE6" w14:textId="77777777">
      <w:pPr>
        <w:pStyle w:val="BodyText"/>
        <w:spacing w:before="1"/>
        <w:ind w:left="3752" w:right="3840"/>
        <w:jc w:val="center"/>
      </w:pPr>
      <w:r>
        <w:t>Supporting</w:t>
      </w:r>
      <w:r>
        <w:rPr>
          <w:spacing w:val="-15"/>
        </w:rPr>
        <w:t xml:space="preserve"> </w:t>
      </w:r>
      <w:r>
        <w:t>Statement OMB 1140-0104</w:t>
      </w:r>
    </w:p>
    <w:p w:rsidR="00F36DA0" w14:paraId="1789F0CC" w14:textId="77777777">
      <w:pPr>
        <w:pStyle w:val="BodyText"/>
        <w:ind w:left="134" w:right="849"/>
        <w:jc w:val="center"/>
      </w:pPr>
      <w:r>
        <w:t>Application</w:t>
      </w:r>
      <w:r>
        <w:rPr>
          <w:spacing w:val="-5"/>
        </w:rPr>
        <w:t xml:space="preserve"> </w:t>
      </w:r>
      <w:r>
        <w:t>for</w:t>
      </w:r>
      <w:r>
        <w:rPr>
          <w:spacing w:val="-5"/>
        </w:rPr>
        <w:t xml:space="preserve"> </w:t>
      </w:r>
      <w:r>
        <w:t>Alternate</w:t>
      </w:r>
      <w:r>
        <w:rPr>
          <w:spacing w:val="-3"/>
        </w:rPr>
        <w:t xml:space="preserve"> </w:t>
      </w:r>
      <w:r>
        <w:t>Means</w:t>
      </w:r>
      <w:r>
        <w:rPr>
          <w:spacing w:val="-4"/>
        </w:rPr>
        <w:t xml:space="preserve"> </w:t>
      </w:r>
      <w:r>
        <w:t>of</w:t>
      </w:r>
      <w:r>
        <w:rPr>
          <w:spacing w:val="-2"/>
        </w:rPr>
        <w:t xml:space="preserve"> </w:t>
      </w:r>
      <w:r>
        <w:t>Identification</w:t>
      </w:r>
      <w:r>
        <w:rPr>
          <w:spacing w:val="-3"/>
        </w:rPr>
        <w:t xml:space="preserve"> </w:t>
      </w:r>
      <w:r>
        <w:t>of</w:t>
      </w:r>
      <w:r>
        <w:rPr>
          <w:spacing w:val="-4"/>
        </w:rPr>
        <w:t xml:space="preserve"> </w:t>
      </w:r>
      <w:r>
        <w:t>Firearm(s)</w:t>
      </w:r>
      <w:r>
        <w:rPr>
          <w:spacing w:val="-3"/>
        </w:rPr>
        <w:t xml:space="preserve"> </w:t>
      </w:r>
      <w:r>
        <w:t>(Marking</w:t>
      </w:r>
      <w:r>
        <w:rPr>
          <w:spacing w:val="-5"/>
        </w:rPr>
        <w:t xml:space="preserve"> </w:t>
      </w:r>
      <w:r>
        <w:t>Variance)</w:t>
      </w:r>
      <w:r>
        <w:rPr>
          <w:spacing w:val="-2"/>
        </w:rPr>
        <w:t xml:space="preserve"> </w:t>
      </w:r>
      <w:r>
        <w:t>-</w:t>
      </w:r>
      <w:r>
        <w:rPr>
          <w:spacing w:val="-4"/>
        </w:rPr>
        <w:t xml:space="preserve"> </w:t>
      </w:r>
      <w:r>
        <w:t>ATF Form 3311.4</w:t>
      </w:r>
    </w:p>
    <w:p w:rsidR="00F36DA0" w14:paraId="21E783AC" w14:textId="77777777">
      <w:pPr>
        <w:pStyle w:val="Title"/>
      </w:pPr>
      <w:r>
        <w:t>A.</w:t>
      </w:r>
      <w:r>
        <w:rPr>
          <w:spacing w:val="67"/>
        </w:rPr>
        <w:t xml:space="preserve"> </w:t>
      </w:r>
      <w:r>
        <w:rPr>
          <w:spacing w:val="-2"/>
        </w:rPr>
        <w:t>Justification</w:t>
      </w:r>
    </w:p>
    <w:p w:rsidR="00F36DA0" w14:paraId="49B334DA" w14:textId="77777777">
      <w:pPr>
        <w:pStyle w:val="BodyText"/>
        <w:spacing w:before="7"/>
        <w:rPr>
          <w:b/>
          <w:sz w:val="23"/>
        </w:rPr>
      </w:pPr>
    </w:p>
    <w:p w:rsidR="00F36DA0" w14:paraId="7AFF6117" w14:textId="77777777">
      <w:pPr>
        <w:pStyle w:val="ListParagraph"/>
        <w:numPr>
          <w:ilvl w:val="0"/>
          <w:numId w:val="1"/>
        </w:numPr>
        <w:tabs>
          <w:tab w:val="left" w:pos="841"/>
        </w:tabs>
        <w:ind w:hanging="361"/>
        <w:rPr>
          <w:sz w:val="24"/>
          <w:u w:val="none"/>
        </w:rPr>
      </w:pPr>
      <w:r>
        <w:rPr>
          <w:sz w:val="24"/>
        </w:rPr>
        <w:t>Necessity</w:t>
      </w:r>
      <w:r>
        <w:rPr>
          <w:spacing w:val="-8"/>
          <w:sz w:val="24"/>
        </w:rPr>
        <w:t xml:space="preserve"> </w:t>
      </w:r>
      <w:r>
        <w:rPr>
          <w:sz w:val="24"/>
        </w:rPr>
        <w:t>of</w:t>
      </w:r>
      <w:r>
        <w:rPr>
          <w:spacing w:val="-2"/>
          <w:sz w:val="24"/>
        </w:rPr>
        <w:t xml:space="preserve"> </w:t>
      </w:r>
      <w:r>
        <w:rPr>
          <w:sz w:val="24"/>
        </w:rPr>
        <w:t>Information</w:t>
      </w:r>
      <w:r>
        <w:rPr>
          <w:spacing w:val="-8"/>
          <w:sz w:val="24"/>
        </w:rPr>
        <w:t xml:space="preserve"> </w:t>
      </w:r>
      <w:r>
        <w:rPr>
          <w:spacing w:val="-2"/>
          <w:sz w:val="24"/>
        </w:rPr>
        <w:t>Collection</w:t>
      </w:r>
    </w:p>
    <w:p w:rsidR="00F36DA0" w14:paraId="323C9DA7" w14:textId="77777777">
      <w:pPr>
        <w:pStyle w:val="BodyText"/>
        <w:rPr>
          <w:sz w:val="16"/>
        </w:rPr>
      </w:pPr>
    </w:p>
    <w:p w:rsidR="00F36DA0" w14:paraId="5A78D187" w14:textId="77777777">
      <w:pPr>
        <w:pStyle w:val="BodyText"/>
        <w:spacing w:before="90"/>
        <w:ind w:left="835" w:right="274"/>
      </w:pPr>
      <w:r>
        <w:t>The requested information fulfills the requirements of 18 U.S.C. § 923(</w:t>
      </w:r>
      <w:r>
        <w:t>i</w:t>
      </w:r>
      <w:r>
        <w:t>), 26 U.S.C. § 5842, and 27 CFR §§ 478.92 and 479.102. Licensed manufacturers and importers must mark</w:t>
      </w:r>
      <w:r>
        <w:rPr>
          <w:spacing w:val="-4"/>
        </w:rPr>
        <w:t xml:space="preserve"> </w:t>
      </w:r>
      <w:r>
        <w:t>firearms</w:t>
      </w:r>
      <w:r>
        <w:rPr>
          <w:spacing w:val="-4"/>
        </w:rPr>
        <w:t xml:space="preserve"> </w:t>
      </w:r>
      <w:r>
        <w:t>manufactured</w:t>
      </w:r>
      <w:r>
        <w:rPr>
          <w:spacing w:val="-4"/>
        </w:rPr>
        <w:t xml:space="preserve"> </w:t>
      </w:r>
      <w:r>
        <w:t>or</w:t>
      </w:r>
      <w:r>
        <w:rPr>
          <w:spacing w:val="-4"/>
        </w:rPr>
        <w:t xml:space="preserve"> </w:t>
      </w:r>
      <w:r>
        <w:t>impor</w:t>
      </w:r>
      <w:r>
        <w:t>ted</w:t>
      </w:r>
      <w:r>
        <w:rPr>
          <w:spacing w:val="-4"/>
        </w:rPr>
        <w:t xml:space="preserve"> </w:t>
      </w:r>
      <w:r>
        <w:t>with</w:t>
      </w:r>
      <w:r>
        <w:rPr>
          <w:spacing w:val="-4"/>
        </w:rPr>
        <w:t xml:space="preserve"> </w:t>
      </w:r>
      <w:r>
        <w:t>specific</w:t>
      </w:r>
      <w:r>
        <w:rPr>
          <w:spacing w:val="-5"/>
        </w:rPr>
        <w:t xml:space="preserve"> </w:t>
      </w:r>
      <w:r>
        <w:t>identifying</w:t>
      </w:r>
      <w:r>
        <w:rPr>
          <w:spacing w:val="-7"/>
        </w:rPr>
        <w:t xml:space="preserve"> </w:t>
      </w:r>
      <w:r>
        <w:t xml:space="preserve">information </w:t>
      </w:r>
      <w:r>
        <w:rPr>
          <w:sz w:val="22"/>
        </w:rPr>
        <w:t>(approved under OMB #1140-0050)</w:t>
      </w:r>
      <w:r>
        <w:t xml:space="preserve">.  ATF may authorize other means of </w:t>
      </w:r>
      <w:r>
        <w:t>identification</w:t>
      </w:r>
    </w:p>
    <w:p w:rsidR="00F36DA0" w14:paraId="680B1B48" w14:textId="77777777">
      <w:pPr>
        <w:pStyle w:val="BodyText"/>
        <w:spacing w:before="3"/>
        <w:ind w:left="835"/>
      </w:pPr>
      <w:r>
        <w:t>(“marking</w:t>
      </w:r>
      <w:r>
        <w:rPr>
          <w:spacing w:val="-7"/>
        </w:rPr>
        <w:t xml:space="preserve"> </w:t>
      </w:r>
      <w:r>
        <w:t>variance”),</w:t>
      </w:r>
      <w:r>
        <w:rPr>
          <w:spacing w:val="-4"/>
        </w:rPr>
        <w:t xml:space="preserve"> </w:t>
      </w:r>
      <w:r>
        <w:t>upon</w:t>
      </w:r>
      <w:r>
        <w:rPr>
          <w:spacing w:val="-4"/>
        </w:rPr>
        <w:t xml:space="preserve"> </w:t>
      </w:r>
      <w:r>
        <w:t>receipt</w:t>
      </w:r>
      <w:r>
        <w:rPr>
          <w:spacing w:val="-4"/>
        </w:rPr>
        <w:t xml:space="preserve"> </w:t>
      </w:r>
      <w:r>
        <w:t>of</w:t>
      </w:r>
      <w:r>
        <w:rPr>
          <w:spacing w:val="-3"/>
        </w:rPr>
        <w:t xml:space="preserve"> </w:t>
      </w:r>
      <w:r>
        <w:t>a</w:t>
      </w:r>
      <w:r>
        <w:rPr>
          <w:spacing w:val="-5"/>
        </w:rPr>
        <w:t xml:space="preserve"> </w:t>
      </w:r>
      <w:r>
        <w:t>letter</w:t>
      </w:r>
      <w:r>
        <w:rPr>
          <w:spacing w:val="-3"/>
        </w:rPr>
        <w:t xml:space="preserve"> </w:t>
      </w:r>
      <w:r>
        <w:t>application</w:t>
      </w:r>
      <w:r>
        <w:rPr>
          <w:spacing w:val="-4"/>
        </w:rPr>
        <w:t xml:space="preserve"> </w:t>
      </w:r>
      <w:r>
        <w:t>from</w:t>
      </w:r>
      <w:r>
        <w:rPr>
          <w:spacing w:val="-4"/>
        </w:rPr>
        <w:t xml:space="preserve"> </w:t>
      </w:r>
      <w:r>
        <w:t>a</w:t>
      </w:r>
      <w:r>
        <w:rPr>
          <w:spacing w:val="-4"/>
        </w:rPr>
        <w:t xml:space="preserve"> </w:t>
      </w:r>
      <w:r>
        <w:t>licensed</w:t>
      </w:r>
      <w:r>
        <w:rPr>
          <w:spacing w:val="-4"/>
        </w:rPr>
        <w:t xml:space="preserve"> </w:t>
      </w:r>
      <w:r>
        <w:t>manufacturer</w:t>
      </w:r>
      <w:r>
        <w:rPr>
          <w:spacing w:val="-4"/>
        </w:rPr>
        <w:t xml:space="preserve"> </w:t>
      </w:r>
      <w:r>
        <w:t xml:space="preserve">or importer, showing that such other </w:t>
      </w:r>
      <w:r>
        <w:t>identification is reasonable, and will not hinder the effective administration of the law.</w:t>
      </w:r>
    </w:p>
    <w:p w:rsidR="00F36DA0" w14:paraId="0D2280EF" w14:textId="77777777">
      <w:pPr>
        <w:pStyle w:val="BodyText"/>
        <w:spacing w:before="11"/>
        <w:rPr>
          <w:sz w:val="27"/>
        </w:rPr>
      </w:pPr>
    </w:p>
    <w:p w:rsidR="00F36DA0" w14:paraId="7FB91A40" w14:textId="77777777">
      <w:pPr>
        <w:pStyle w:val="ListParagraph"/>
        <w:numPr>
          <w:ilvl w:val="0"/>
          <w:numId w:val="1"/>
        </w:numPr>
        <w:tabs>
          <w:tab w:val="left" w:pos="841"/>
        </w:tabs>
        <w:ind w:hanging="361"/>
        <w:rPr>
          <w:sz w:val="24"/>
          <w:u w:val="none"/>
        </w:rPr>
      </w:pPr>
      <w:r>
        <w:rPr>
          <w:sz w:val="24"/>
        </w:rPr>
        <w:t>Needs</w:t>
      </w:r>
      <w:r>
        <w:rPr>
          <w:spacing w:val="-4"/>
          <w:sz w:val="24"/>
        </w:rPr>
        <w:t xml:space="preserve"> </w:t>
      </w:r>
      <w:r>
        <w:rPr>
          <w:sz w:val="24"/>
        </w:rPr>
        <w:t>and</w:t>
      </w:r>
      <w:r>
        <w:rPr>
          <w:spacing w:val="-2"/>
          <w:sz w:val="24"/>
        </w:rPr>
        <w:t xml:space="preserve"> </w:t>
      </w:r>
      <w:r>
        <w:rPr>
          <w:spacing w:val="-4"/>
          <w:sz w:val="24"/>
        </w:rPr>
        <w:t>Uses</w:t>
      </w:r>
    </w:p>
    <w:p w:rsidR="00F36DA0" w14:paraId="7B3109C0" w14:textId="77777777">
      <w:pPr>
        <w:pStyle w:val="BodyText"/>
        <w:spacing w:before="2"/>
        <w:rPr>
          <w:sz w:val="16"/>
        </w:rPr>
      </w:pPr>
    </w:p>
    <w:p w:rsidR="00F36DA0" w14:paraId="234FF85F" w14:textId="77777777">
      <w:pPr>
        <w:pStyle w:val="BodyText"/>
        <w:spacing w:before="90"/>
        <w:ind w:left="835" w:right="154"/>
      </w:pPr>
      <w:r>
        <w:t>Identification marks placed on firearms provide law enforcement personnel the opportunity</w:t>
      </w:r>
      <w:r>
        <w:rPr>
          <w:spacing w:val="-8"/>
        </w:rPr>
        <w:t xml:space="preserve"> </w:t>
      </w:r>
      <w:r>
        <w:t>to</w:t>
      </w:r>
      <w:r>
        <w:rPr>
          <w:spacing w:val="-4"/>
        </w:rPr>
        <w:t xml:space="preserve"> </w:t>
      </w:r>
      <w:r>
        <w:t>better</w:t>
      </w:r>
      <w:r>
        <w:rPr>
          <w:spacing w:val="-6"/>
        </w:rPr>
        <w:t xml:space="preserve"> </w:t>
      </w:r>
      <w:r>
        <w:t>trace</w:t>
      </w:r>
      <w:r>
        <w:rPr>
          <w:spacing w:val="-5"/>
        </w:rPr>
        <w:t xml:space="preserve"> </w:t>
      </w:r>
      <w:r w:rsidR="001C2326">
        <w:rPr>
          <w:spacing w:val="-5"/>
        </w:rPr>
        <w:t xml:space="preserve">crime </w:t>
      </w:r>
      <w:r w:rsidR="001C2326">
        <w:rPr>
          <w:spacing w:val="-5"/>
        </w:rPr>
        <w:t>guns</w:t>
      </w:r>
      <w:r>
        <w:t>,</w:t>
      </w:r>
      <w:r>
        <w:rPr>
          <w:spacing w:val="-4"/>
        </w:rPr>
        <w:t xml:space="preserve"> </w:t>
      </w:r>
      <w:r>
        <w:t>and</w:t>
      </w:r>
      <w:r>
        <w:rPr>
          <w:spacing w:val="-4"/>
        </w:rPr>
        <w:t xml:space="preserve"> </w:t>
      </w:r>
      <w:r>
        <w:t>allow</w:t>
      </w:r>
      <w:r>
        <w:rPr>
          <w:spacing w:val="-4"/>
        </w:rPr>
        <w:t xml:space="preserve"> </w:t>
      </w:r>
      <w:r>
        <w:t>Federal</w:t>
      </w:r>
      <w:r>
        <w:rPr>
          <w:spacing w:val="-4"/>
        </w:rPr>
        <w:t xml:space="preserve"> </w:t>
      </w:r>
      <w:r>
        <w:t>Firearms</w:t>
      </w:r>
      <w:r>
        <w:rPr>
          <w:spacing w:val="-2"/>
        </w:rPr>
        <w:t xml:space="preserve"> </w:t>
      </w:r>
      <w:r>
        <w:t>Lic</w:t>
      </w:r>
      <w:r>
        <w:t>ensees the ability to track their firearm inventories and maintain accurate required records.</w:t>
      </w:r>
    </w:p>
    <w:p w:rsidR="00F36DA0" w14:paraId="4DF82476" w14:textId="77777777">
      <w:pPr>
        <w:pStyle w:val="BodyText"/>
        <w:ind w:left="835" w:right="274"/>
      </w:pPr>
      <w:r>
        <w:t>Federal</w:t>
      </w:r>
      <w:r>
        <w:rPr>
          <w:spacing w:val="-4"/>
        </w:rPr>
        <w:t xml:space="preserve"> </w:t>
      </w:r>
      <w:r>
        <w:t>regulations</w:t>
      </w:r>
      <w:r>
        <w:rPr>
          <w:spacing w:val="-4"/>
        </w:rPr>
        <w:t xml:space="preserve"> </w:t>
      </w:r>
      <w:r>
        <w:t>at</w:t>
      </w:r>
      <w:r>
        <w:rPr>
          <w:spacing w:val="-4"/>
        </w:rPr>
        <w:t xml:space="preserve"> </w:t>
      </w:r>
      <w:r>
        <w:t>27</w:t>
      </w:r>
      <w:r>
        <w:rPr>
          <w:spacing w:val="-4"/>
        </w:rPr>
        <w:t xml:space="preserve"> </w:t>
      </w:r>
      <w:r>
        <w:t>CFR</w:t>
      </w:r>
      <w:r>
        <w:rPr>
          <w:spacing w:val="-4"/>
        </w:rPr>
        <w:t xml:space="preserve"> </w:t>
      </w:r>
      <w:r>
        <w:t>§§</w:t>
      </w:r>
      <w:r>
        <w:rPr>
          <w:spacing w:val="-4"/>
        </w:rPr>
        <w:t xml:space="preserve"> </w:t>
      </w:r>
      <w:r>
        <w:t>478.92(a)</w:t>
      </w:r>
      <w:r>
        <w:rPr>
          <w:spacing w:val="-4"/>
        </w:rPr>
        <w:t xml:space="preserve"> </w:t>
      </w:r>
      <w:r>
        <w:t>and</w:t>
      </w:r>
      <w:r>
        <w:rPr>
          <w:spacing w:val="-4"/>
        </w:rPr>
        <w:t xml:space="preserve"> </w:t>
      </w:r>
      <w:r>
        <w:t>479.102(a),</w:t>
      </w:r>
      <w:r>
        <w:rPr>
          <w:spacing w:val="-4"/>
        </w:rPr>
        <w:t xml:space="preserve"> </w:t>
      </w:r>
      <w:r>
        <w:t>prescribe</w:t>
      </w:r>
      <w:r>
        <w:rPr>
          <w:spacing w:val="-6"/>
        </w:rPr>
        <w:t xml:space="preserve"> </w:t>
      </w:r>
      <w:r>
        <w:t>the</w:t>
      </w:r>
      <w:r>
        <w:rPr>
          <w:spacing w:val="-5"/>
        </w:rPr>
        <w:t xml:space="preserve"> </w:t>
      </w:r>
      <w:r>
        <w:t xml:space="preserve">requirements for serialization and other identification marks that must appear on </w:t>
      </w:r>
      <w:r>
        <w:t>firearms. These regulations also provide that the Director may authorize other means of identification, upon</w:t>
      </w:r>
      <w:r>
        <w:rPr>
          <w:spacing w:val="-3"/>
        </w:rPr>
        <w:t xml:space="preserve"> </w:t>
      </w:r>
      <w:r>
        <w:t>receipt</w:t>
      </w:r>
      <w:r>
        <w:rPr>
          <w:spacing w:val="-2"/>
        </w:rPr>
        <w:t xml:space="preserve"> </w:t>
      </w:r>
      <w:r>
        <w:t>of</w:t>
      </w:r>
      <w:r>
        <w:rPr>
          <w:spacing w:val="-2"/>
        </w:rPr>
        <w:t xml:space="preserve"> </w:t>
      </w:r>
      <w:r>
        <w:t>a</w:t>
      </w:r>
      <w:r>
        <w:rPr>
          <w:spacing w:val="-4"/>
        </w:rPr>
        <w:t xml:space="preserve"> </w:t>
      </w:r>
      <w:r>
        <w:t>letter</w:t>
      </w:r>
      <w:r>
        <w:rPr>
          <w:spacing w:val="-3"/>
        </w:rPr>
        <w:t xml:space="preserve"> </w:t>
      </w:r>
      <w:r>
        <w:t>application</w:t>
      </w:r>
      <w:r>
        <w:rPr>
          <w:spacing w:val="-3"/>
        </w:rPr>
        <w:t xml:space="preserve"> </w:t>
      </w:r>
      <w:r>
        <w:t>showing</w:t>
      </w:r>
      <w:r>
        <w:rPr>
          <w:spacing w:val="-6"/>
        </w:rPr>
        <w:t xml:space="preserve"> </w:t>
      </w:r>
      <w:r>
        <w:t>that</w:t>
      </w:r>
      <w:r>
        <w:rPr>
          <w:spacing w:val="-3"/>
        </w:rPr>
        <w:t xml:space="preserve"> </w:t>
      </w:r>
      <w:r>
        <w:t>such</w:t>
      </w:r>
      <w:r>
        <w:rPr>
          <w:spacing w:val="-3"/>
        </w:rPr>
        <w:t xml:space="preserve"> </w:t>
      </w:r>
      <w:r>
        <w:t>other</w:t>
      </w:r>
      <w:r>
        <w:rPr>
          <w:spacing w:val="-5"/>
        </w:rPr>
        <w:t xml:space="preserve"> </w:t>
      </w:r>
      <w:r>
        <w:t>identification</w:t>
      </w:r>
      <w:r>
        <w:rPr>
          <w:spacing w:val="-3"/>
        </w:rPr>
        <w:t xml:space="preserve"> </w:t>
      </w:r>
      <w:r>
        <w:t>is</w:t>
      </w:r>
      <w:r>
        <w:rPr>
          <w:spacing w:val="-3"/>
        </w:rPr>
        <w:t xml:space="preserve"> </w:t>
      </w:r>
      <w:r>
        <w:t>reasonable and will not hinder the effective administration of the firear</w:t>
      </w:r>
      <w:r>
        <w:t>ms regulations.</w:t>
      </w:r>
    </w:p>
    <w:p w:rsidR="00F36DA0" w14:paraId="439B9570" w14:textId="77777777">
      <w:pPr>
        <w:pStyle w:val="BodyText"/>
      </w:pPr>
    </w:p>
    <w:p w:rsidR="00F36DA0" w14:paraId="42C0C9F8" w14:textId="77777777">
      <w:pPr>
        <w:pStyle w:val="BodyText"/>
        <w:spacing w:before="1"/>
        <w:ind w:left="835" w:right="154"/>
      </w:pPr>
      <w:r>
        <w:t>The</w:t>
      </w:r>
      <w:r>
        <w:rPr>
          <w:spacing w:val="-6"/>
        </w:rPr>
        <w:t xml:space="preserve"> </w:t>
      </w:r>
      <w:r>
        <w:t>Application</w:t>
      </w:r>
      <w:r>
        <w:rPr>
          <w:spacing w:val="-4"/>
        </w:rPr>
        <w:t xml:space="preserve"> </w:t>
      </w:r>
      <w:r>
        <w:t>for</w:t>
      </w:r>
      <w:r>
        <w:rPr>
          <w:spacing w:val="-4"/>
        </w:rPr>
        <w:t xml:space="preserve"> </w:t>
      </w:r>
      <w:r>
        <w:t>Alternate</w:t>
      </w:r>
      <w:r>
        <w:rPr>
          <w:spacing w:val="-4"/>
        </w:rPr>
        <w:t xml:space="preserve"> </w:t>
      </w:r>
      <w:r>
        <w:t>Means</w:t>
      </w:r>
      <w:r>
        <w:rPr>
          <w:spacing w:val="-4"/>
        </w:rPr>
        <w:t xml:space="preserve"> </w:t>
      </w:r>
      <w:r>
        <w:t>of</w:t>
      </w:r>
      <w:r>
        <w:rPr>
          <w:spacing w:val="-3"/>
        </w:rPr>
        <w:t xml:space="preserve"> </w:t>
      </w:r>
      <w:r>
        <w:t>Identification</w:t>
      </w:r>
      <w:r>
        <w:rPr>
          <w:spacing w:val="-4"/>
        </w:rPr>
        <w:t xml:space="preserve"> </w:t>
      </w:r>
      <w:r>
        <w:t>of</w:t>
      </w:r>
      <w:r>
        <w:rPr>
          <w:spacing w:val="-5"/>
        </w:rPr>
        <w:t xml:space="preserve"> </w:t>
      </w:r>
      <w:r>
        <w:t>Firearm(s)</w:t>
      </w:r>
      <w:r>
        <w:rPr>
          <w:spacing w:val="-4"/>
        </w:rPr>
        <w:t xml:space="preserve"> </w:t>
      </w:r>
      <w:r>
        <w:t>(Marking</w:t>
      </w:r>
      <w:r>
        <w:rPr>
          <w:spacing w:val="-7"/>
        </w:rPr>
        <w:t xml:space="preserve"> </w:t>
      </w:r>
      <w:r>
        <w:t>Variance) - ATF Form 3311.4 will satisfy the requirement of a “letter application,” which will allow Industry</w:t>
      </w:r>
      <w:r>
        <w:rPr>
          <w:spacing w:val="-8"/>
        </w:rPr>
        <w:t xml:space="preserve"> </w:t>
      </w:r>
      <w:r>
        <w:t>members</w:t>
      </w:r>
      <w:r>
        <w:rPr>
          <w:spacing w:val="-4"/>
        </w:rPr>
        <w:t xml:space="preserve"> </w:t>
      </w:r>
      <w:r>
        <w:t>with</w:t>
      </w:r>
      <w:r>
        <w:rPr>
          <w:spacing w:val="-4"/>
        </w:rPr>
        <w:t xml:space="preserve"> </w:t>
      </w:r>
      <w:r>
        <w:t>a</w:t>
      </w:r>
      <w:r>
        <w:rPr>
          <w:spacing w:val="-3"/>
        </w:rPr>
        <w:t xml:space="preserve"> </w:t>
      </w:r>
      <w:r>
        <w:t>valid</w:t>
      </w:r>
      <w:r>
        <w:rPr>
          <w:spacing w:val="-4"/>
        </w:rPr>
        <w:t xml:space="preserve"> </w:t>
      </w:r>
      <w:r>
        <w:t>Federal</w:t>
      </w:r>
      <w:r>
        <w:rPr>
          <w:spacing w:val="-4"/>
        </w:rPr>
        <w:t xml:space="preserve"> </w:t>
      </w:r>
      <w:r>
        <w:t>importer</w:t>
      </w:r>
      <w:r>
        <w:rPr>
          <w:spacing w:val="-4"/>
        </w:rPr>
        <w:t xml:space="preserve"> </w:t>
      </w:r>
      <w:r>
        <w:t>or</w:t>
      </w:r>
      <w:r>
        <w:rPr>
          <w:spacing w:val="-3"/>
        </w:rPr>
        <w:t xml:space="preserve"> </w:t>
      </w:r>
      <w:r>
        <w:t>manufacture</w:t>
      </w:r>
      <w:r>
        <w:t>r</w:t>
      </w:r>
      <w:r>
        <w:rPr>
          <w:spacing w:val="-4"/>
        </w:rPr>
        <w:t xml:space="preserve"> </w:t>
      </w:r>
      <w:r>
        <w:t>license,</w:t>
      </w:r>
      <w:r>
        <w:rPr>
          <w:spacing w:val="-4"/>
        </w:rPr>
        <w:t xml:space="preserve"> </w:t>
      </w:r>
      <w:r>
        <w:t>to</w:t>
      </w:r>
      <w:r>
        <w:rPr>
          <w:spacing w:val="-2"/>
        </w:rPr>
        <w:t xml:space="preserve"> </w:t>
      </w:r>
      <w:r>
        <w:t>seek</w:t>
      </w:r>
      <w:r>
        <w:rPr>
          <w:spacing w:val="-4"/>
        </w:rPr>
        <w:t xml:space="preserve"> </w:t>
      </w:r>
      <w:r>
        <w:t>approval to use an alternate means for identifying firearms. Marking Variances are required for licensed manufacturers of firearms, who intend to manufacture and mark firearms on behalf of another licensed manufacturer. In such instances</w:t>
      </w:r>
      <w:r>
        <w:t>, the contracted manufacturer places the required identifying markings on the frames or receivers, for the manufacturer of record.</w:t>
      </w:r>
    </w:p>
    <w:p w:rsidR="00F36DA0" w14:paraId="79111897" w14:textId="77777777">
      <w:pPr>
        <w:pStyle w:val="BodyText"/>
        <w:spacing w:before="9"/>
        <w:rPr>
          <w:sz w:val="22"/>
        </w:rPr>
      </w:pPr>
    </w:p>
    <w:p w:rsidR="00F36DA0" w14:paraId="1FE94F78" w14:textId="77777777">
      <w:pPr>
        <w:pStyle w:val="ListParagraph"/>
        <w:numPr>
          <w:ilvl w:val="0"/>
          <w:numId w:val="1"/>
        </w:numPr>
        <w:tabs>
          <w:tab w:val="left" w:pos="841"/>
        </w:tabs>
        <w:ind w:hanging="361"/>
        <w:rPr>
          <w:sz w:val="24"/>
          <w:u w:val="none"/>
        </w:rPr>
      </w:pPr>
      <w:r>
        <w:rPr>
          <w:sz w:val="24"/>
        </w:rPr>
        <w:t>Use</w:t>
      </w:r>
      <w:r>
        <w:rPr>
          <w:spacing w:val="-5"/>
          <w:sz w:val="24"/>
        </w:rPr>
        <w:t xml:space="preserve"> </w:t>
      </w:r>
      <w:r>
        <w:rPr>
          <w:sz w:val="24"/>
        </w:rPr>
        <w:t>of</w:t>
      </w:r>
      <w:r>
        <w:rPr>
          <w:spacing w:val="-2"/>
          <w:sz w:val="24"/>
        </w:rPr>
        <w:t xml:space="preserve"> </w:t>
      </w:r>
      <w:r>
        <w:rPr>
          <w:sz w:val="24"/>
        </w:rPr>
        <w:t>Information</w:t>
      </w:r>
      <w:r>
        <w:rPr>
          <w:spacing w:val="-1"/>
          <w:sz w:val="24"/>
        </w:rPr>
        <w:t xml:space="preserve"> </w:t>
      </w:r>
      <w:r>
        <w:rPr>
          <w:spacing w:val="-2"/>
          <w:sz w:val="24"/>
        </w:rPr>
        <w:t>Technology</w:t>
      </w:r>
    </w:p>
    <w:p w:rsidR="00F36DA0" w14:paraId="549A76C0" w14:textId="77777777">
      <w:pPr>
        <w:pStyle w:val="BodyText"/>
        <w:spacing w:before="4"/>
        <w:rPr>
          <w:sz w:val="25"/>
        </w:rPr>
      </w:pPr>
    </w:p>
    <w:p w:rsidR="00F36DA0" w14:paraId="44CA7A84" w14:textId="77777777">
      <w:pPr>
        <w:pStyle w:val="BodyText"/>
        <w:spacing w:before="90"/>
        <w:ind w:left="835" w:right="89"/>
      </w:pPr>
      <w:r>
        <w:t>ATF</w:t>
      </w:r>
      <w:r>
        <w:rPr>
          <w:spacing w:val="-5"/>
        </w:rPr>
        <w:t xml:space="preserve"> </w:t>
      </w:r>
      <w:r>
        <w:t>encourages</w:t>
      </w:r>
      <w:r>
        <w:rPr>
          <w:spacing w:val="-3"/>
        </w:rPr>
        <w:t xml:space="preserve"> </w:t>
      </w:r>
      <w:r>
        <w:t>applicants</w:t>
      </w:r>
      <w:r>
        <w:rPr>
          <w:spacing w:val="-3"/>
        </w:rPr>
        <w:t xml:space="preserve"> </w:t>
      </w:r>
      <w:r>
        <w:t>to</w:t>
      </w:r>
      <w:r>
        <w:rPr>
          <w:spacing w:val="-3"/>
        </w:rPr>
        <w:t xml:space="preserve"> </w:t>
      </w:r>
      <w:r>
        <w:t>submit</w:t>
      </w:r>
      <w:r>
        <w:rPr>
          <w:spacing w:val="-3"/>
        </w:rPr>
        <w:t xml:space="preserve"> </w:t>
      </w:r>
      <w:r>
        <w:t>ATF</w:t>
      </w:r>
      <w:r>
        <w:rPr>
          <w:spacing w:val="-5"/>
        </w:rPr>
        <w:t xml:space="preserve"> </w:t>
      </w:r>
      <w:r>
        <w:t>Form</w:t>
      </w:r>
      <w:r>
        <w:rPr>
          <w:spacing w:val="-3"/>
        </w:rPr>
        <w:t xml:space="preserve"> </w:t>
      </w:r>
      <w:r>
        <w:t>3311.4</w:t>
      </w:r>
      <w:r>
        <w:rPr>
          <w:spacing w:val="-3"/>
        </w:rPr>
        <w:t xml:space="preserve"> </w:t>
      </w:r>
      <w:r>
        <w:t>electronically</w:t>
      </w:r>
      <w:r>
        <w:rPr>
          <w:spacing w:val="-8"/>
        </w:rPr>
        <w:t xml:space="preserve"> </w:t>
      </w:r>
      <w:r>
        <w:t>by</w:t>
      </w:r>
      <w:r>
        <w:rPr>
          <w:spacing w:val="-6"/>
        </w:rPr>
        <w:t xml:space="preserve"> </w:t>
      </w:r>
      <w:r>
        <w:t>emailing</w:t>
      </w:r>
      <w:r>
        <w:rPr>
          <w:spacing w:val="-6"/>
        </w:rPr>
        <w:t xml:space="preserve"> </w:t>
      </w:r>
      <w:r>
        <w:t xml:space="preserve">signed and scanned documents to </w:t>
      </w:r>
      <w:hyperlink r:id="rId4">
        <w:r>
          <w:rPr>
            <w:color w:val="0000FF"/>
          </w:rPr>
          <w:t>Marking_Variances@atf.gov</w:t>
        </w:r>
        <w:r>
          <w:t>.</w:t>
        </w:r>
      </w:hyperlink>
      <w:r>
        <w:t xml:space="preserve"> Respondents will receive an automated</w:t>
      </w:r>
      <w:r>
        <w:rPr>
          <w:spacing w:val="-2"/>
        </w:rPr>
        <w:t xml:space="preserve"> </w:t>
      </w:r>
      <w:r>
        <w:t>email</w:t>
      </w:r>
      <w:r>
        <w:rPr>
          <w:spacing w:val="-2"/>
        </w:rPr>
        <w:t xml:space="preserve"> </w:t>
      </w:r>
      <w:r>
        <w:t>confirmation</w:t>
      </w:r>
      <w:r>
        <w:rPr>
          <w:spacing w:val="-2"/>
        </w:rPr>
        <w:t xml:space="preserve"> </w:t>
      </w:r>
      <w:r>
        <w:t>that</w:t>
      </w:r>
      <w:r>
        <w:rPr>
          <w:spacing w:val="-2"/>
        </w:rPr>
        <w:t xml:space="preserve"> </w:t>
      </w:r>
      <w:r>
        <w:t>documents</w:t>
      </w:r>
      <w:r>
        <w:rPr>
          <w:spacing w:val="-2"/>
        </w:rPr>
        <w:t xml:space="preserve"> </w:t>
      </w:r>
      <w:r>
        <w:t>have</w:t>
      </w:r>
      <w:r>
        <w:rPr>
          <w:spacing w:val="-3"/>
        </w:rPr>
        <w:t xml:space="preserve"> </w:t>
      </w:r>
      <w:r>
        <w:t>been</w:t>
      </w:r>
      <w:r>
        <w:rPr>
          <w:spacing w:val="-2"/>
        </w:rPr>
        <w:t xml:space="preserve"> </w:t>
      </w:r>
      <w:r>
        <w:t>received</w:t>
      </w:r>
      <w:r>
        <w:rPr>
          <w:spacing w:val="-2"/>
        </w:rPr>
        <w:t xml:space="preserve"> </w:t>
      </w:r>
      <w:r>
        <w:t>by</w:t>
      </w:r>
      <w:r>
        <w:rPr>
          <w:spacing w:val="-7"/>
        </w:rPr>
        <w:t xml:space="preserve"> </w:t>
      </w:r>
      <w:r>
        <w:t xml:space="preserve">ATF. </w:t>
      </w:r>
      <w:r w:rsidR="0003447C">
        <w:t xml:space="preserve"> </w:t>
      </w:r>
      <w:r>
        <w:t>This</w:t>
      </w:r>
      <w:r>
        <w:rPr>
          <w:spacing w:val="-2"/>
        </w:rPr>
        <w:t xml:space="preserve"> </w:t>
      </w:r>
      <w:r>
        <w:t>form</w:t>
      </w:r>
      <w:r>
        <w:rPr>
          <w:spacing w:val="-2"/>
        </w:rPr>
        <w:t xml:space="preserve"> </w:t>
      </w:r>
      <w:r>
        <w:t>wi</w:t>
      </w:r>
      <w:r>
        <w:t xml:space="preserve">ll be available for download on </w:t>
      </w:r>
      <w:hyperlink r:id="rId5">
        <w:r>
          <w:rPr>
            <w:color w:val="0000FF"/>
          </w:rPr>
          <w:t>www.ATF.gov</w:t>
        </w:r>
      </w:hyperlink>
      <w:r>
        <w:rPr>
          <w:color w:val="0000FF"/>
        </w:rPr>
        <w:t xml:space="preserve"> </w:t>
      </w:r>
      <w:r>
        <w:t xml:space="preserve">and is </w:t>
      </w:r>
      <w:r>
        <w:t>e-fillable</w:t>
      </w:r>
      <w:r>
        <w:t>. Collecting</w:t>
      </w:r>
      <w:r>
        <w:rPr>
          <w:spacing w:val="-1"/>
        </w:rPr>
        <w:t xml:space="preserve"> </w:t>
      </w:r>
      <w:r>
        <w:t>this information</w:t>
      </w:r>
    </w:p>
    <w:p w:rsidR="00F36DA0" w14:paraId="26CB00D5" w14:textId="77777777">
      <w:pPr>
        <w:sectPr>
          <w:footerReference w:type="default" r:id="rId6"/>
          <w:type w:val="continuous"/>
          <w:pgSz w:w="12240" w:h="15840"/>
          <w:pgMar w:top="1340" w:right="1240" w:bottom="1200" w:left="1320" w:header="0" w:footer="1010" w:gutter="0"/>
          <w:pgNumType w:start="1"/>
          <w:cols w:space="720"/>
        </w:sectPr>
      </w:pPr>
    </w:p>
    <w:p w:rsidR="00F36DA0" w14:paraId="54EBADEA" w14:textId="77777777">
      <w:pPr>
        <w:pStyle w:val="BodyText"/>
        <w:spacing w:before="68" w:line="242" w:lineRule="auto"/>
        <w:ind w:left="835"/>
      </w:pPr>
      <w:r>
        <w:t>electronically,</w:t>
      </w:r>
      <w:r>
        <w:rPr>
          <w:spacing w:val="-3"/>
        </w:rPr>
        <w:t xml:space="preserve"> </w:t>
      </w:r>
      <w:r>
        <w:t>will</w:t>
      </w:r>
      <w:r>
        <w:rPr>
          <w:spacing w:val="-3"/>
        </w:rPr>
        <w:t xml:space="preserve"> </w:t>
      </w:r>
      <w:r>
        <w:t>reduce</w:t>
      </w:r>
      <w:r>
        <w:rPr>
          <w:spacing w:val="-4"/>
        </w:rPr>
        <w:t xml:space="preserve"> </w:t>
      </w:r>
      <w:r>
        <w:t>postage</w:t>
      </w:r>
      <w:r>
        <w:rPr>
          <w:spacing w:val="-4"/>
        </w:rPr>
        <w:t xml:space="preserve"> </w:t>
      </w:r>
      <w:r>
        <w:t>and</w:t>
      </w:r>
      <w:r>
        <w:rPr>
          <w:spacing w:val="-3"/>
        </w:rPr>
        <w:t xml:space="preserve"> </w:t>
      </w:r>
      <w:r>
        <w:t>printing</w:t>
      </w:r>
      <w:r>
        <w:rPr>
          <w:spacing w:val="-6"/>
        </w:rPr>
        <w:t xml:space="preserve"> </w:t>
      </w:r>
      <w:r>
        <w:t>costs,</w:t>
      </w:r>
      <w:r>
        <w:rPr>
          <w:spacing w:val="-3"/>
        </w:rPr>
        <w:t xml:space="preserve"> </w:t>
      </w:r>
      <w:r>
        <w:t>as</w:t>
      </w:r>
      <w:r>
        <w:rPr>
          <w:spacing w:val="-3"/>
        </w:rPr>
        <w:t xml:space="preserve"> </w:t>
      </w:r>
      <w:r>
        <w:t>well</w:t>
      </w:r>
      <w:r>
        <w:rPr>
          <w:spacing w:val="-3"/>
        </w:rPr>
        <w:t xml:space="preserve"> </w:t>
      </w:r>
      <w:r>
        <w:t>as</w:t>
      </w:r>
      <w:r>
        <w:rPr>
          <w:spacing w:val="-3"/>
        </w:rPr>
        <w:t xml:space="preserve"> </w:t>
      </w:r>
      <w:r>
        <w:t>the</w:t>
      </w:r>
      <w:r>
        <w:rPr>
          <w:spacing w:val="-3"/>
        </w:rPr>
        <w:t xml:space="preserve"> </w:t>
      </w:r>
      <w:r>
        <w:t>amount of</w:t>
      </w:r>
      <w:r>
        <w:rPr>
          <w:spacing w:val="-3"/>
        </w:rPr>
        <w:t xml:space="preserve"> </w:t>
      </w:r>
      <w:r>
        <w:t>time</w:t>
      </w:r>
      <w:r>
        <w:rPr>
          <w:spacing w:val="-4"/>
        </w:rPr>
        <w:t xml:space="preserve"> </w:t>
      </w:r>
      <w:r>
        <w:t>ATF needs to review and process marking variance requests, resulting in more productivity.</w:t>
      </w:r>
    </w:p>
    <w:p w:rsidR="00F36DA0" w14:paraId="707BCF3C" w14:textId="77777777">
      <w:pPr>
        <w:pStyle w:val="BodyText"/>
        <w:spacing w:before="2"/>
        <w:rPr>
          <w:sz w:val="21"/>
        </w:rPr>
      </w:pPr>
    </w:p>
    <w:p w:rsidR="00F36DA0" w14:paraId="58CA19D8" w14:textId="77777777">
      <w:pPr>
        <w:pStyle w:val="ListParagraph"/>
        <w:numPr>
          <w:ilvl w:val="0"/>
          <w:numId w:val="1"/>
        </w:numPr>
        <w:tabs>
          <w:tab w:val="left" w:pos="841"/>
        </w:tabs>
        <w:spacing w:before="1"/>
        <w:ind w:hanging="361"/>
        <w:rPr>
          <w:sz w:val="24"/>
          <w:u w:val="none"/>
        </w:rPr>
      </w:pPr>
      <w:r>
        <w:rPr>
          <w:sz w:val="24"/>
        </w:rPr>
        <w:t>Efforts</w:t>
      </w:r>
      <w:r>
        <w:rPr>
          <w:spacing w:val="-4"/>
          <w:sz w:val="24"/>
        </w:rPr>
        <w:t xml:space="preserve"> </w:t>
      </w:r>
      <w:r>
        <w:rPr>
          <w:sz w:val="24"/>
        </w:rPr>
        <w:t>to Identify</w:t>
      </w:r>
      <w:r>
        <w:rPr>
          <w:spacing w:val="-16"/>
          <w:sz w:val="24"/>
        </w:rPr>
        <w:t xml:space="preserve"> </w:t>
      </w:r>
      <w:r>
        <w:rPr>
          <w:spacing w:val="-2"/>
          <w:sz w:val="24"/>
        </w:rPr>
        <w:t>Duplication</w:t>
      </w:r>
    </w:p>
    <w:p w:rsidR="00F36DA0" w14:paraId="5C4E66C8" w14:textId="77777777">
      <w:pPr>
        <w:pStyle w:val="BodyText"/>
        <w:spacing w:before="11"/>
        <w:rPr>
          <w:sz w:val="15"/>
        </w:rPr>
      </w:pPr>
    </w:p>
    <w:p w:rsidR="00F36DA0" w14:paraId="46C9F566" w14:textId="77777777">
      <w:pPr>
        <w:pStyle w:val="BodyText"/>
        <w:spacing w:before="90"/>
        <w:ind w:left="840" w:right="154"/>
      </w:pPr>
      <w:r>
        <w:t>ATF</w:t>
      </w:r>
      <w:r>
        <w:rPr>
          <w:spacing w:val="-5"/>
        </w:rPr>
        <w:t xml:space="preserve"> </w:t>
      </w:r>
      <w:r>
        <w:t>uses</w:t>
      </w:r>
      <w:r>
        <w:rPr>
          <w:spacing w:val="-1"/>
        </w:rPr>
        <w:t xml:space="preserve"> </w:t>
      </w:r>
      <w:r>
        <w:t>a</w:t>
      </w:r>
      <w:r>
        <w:rPr>
          <w:spacing w:val="-4"/>
        </w:rPr>
        <w:t xml:space="preserve"> </w:t>
      </w:r>
      <w:r>
        <w:t>uniform</w:t>
      </w:r>
      <w:r>
        <w:rPr>
          <w:spacing w:val="-3"/>
        </w:rPr>
        <w:t xml:space="preserve"> </w:t>
      </w:r>
      <w:r>
        <w:t>subject</w:t>
      </w:r>
      <w:r>
        <w:rPr>
          <w:spacing w:val="-3"/>
        </w:rPr>
        <w:t xml:space="preserve"> </w:t>
      </w:r>
      <w:r>
        <w:t>classification</w:t>
      </w:r>
      <w:r>
        <w:rPr>
          <w:spacing w:val="-2"/>
        </w:rPr>
        <w:t xml:space="preserve"> </w:t>
      </w:r>
      <w:r>
        <w:t>code</w:t>
      </w:r>
      <w:r>
        <w:rPr>
          <w:spacing w:val="-4"/>
        </w:rPr>
        <w:t xml:space="preserve"> </w:t>
      </w:r>
      <w:r>
        <w:t>on</w:t>
      </w:r>
      <w:r>
        <w:rPr>
          <w:spacing w:val="-2"/>
        </w:rPr>
        <w:t xml:space="preserve"> </w:t>
      </w:r>
      <w:r>
        <w:t>all</w:t>
      </w:r>
      <w:r>
        <w:rPr>
          <w:spacing w:val="-4"/>
        </w:rPr>
        <w:t xml:space="preserve"> </w:t>
      </w:r>
      <w:r>
        <w:t>forms</w:t>
      </w:r>
      <w:r>
        <w:rPr>
          <w:spacing w:val="-3"/>
        </w:rPr>
        <w:t xml:space="preserve"> </w:t>
      </w:r>
      <w:r>
        <w:t>to</w:t>
      </w:r>
      <w:r>
        <w:rPr>
          <w:spacing w:val="-3"/>
        </w:rPr>
        <w:t xml:space="preserve"> </w:t>
      </w:r>
      <w:r>
        <w:t>identify</w:t>
      </w:r>
      <w:r>
        <w:rPr>
          <w:spacing w:val="-8"/>
        </w:rPr>
        <w:t xml:space="preserve"> </w:t>
      </w:r>
      <w:r>
        <w:t>duplication,</w:t>
      </w:r>
      <w:r>
        <w:rPr>
          <w:spacing w:val="-3"/>
        </w:rPr>
        <w:t xml:space="preserve"> </w:t>
      </w:r>
      <w:r>
        <w:t>and</w:t>
      </w:r>
      <w:r>
        <w:rPr>
          <w:spacing w:val="-3"/>
        </w:rPr>
        <w:t xml:space="preserve"> </w:t>
      </w:r>
      <w:r>
        <w:t>to ensure that any similar information already available cannot be used or modified for use for the purpose of this information collection.</w:t>
      </w:r>
    </w:p>
    <w:p w:rsidR="00F36DA0" w14:paraId="4CD835BA" w14:textId="77777777">
      <w:pPr>
        <w:pStyle w:val="BodyText"/>
        <w:rPr>
          <w:sz w:val="26"/>
        </w:rPr>
      </w:pPr>
    </w:p>
    <w:p w:rsidR="00F36DA0" w14:paraId="1D91FB16" w14:textId="77777777">
      <w:pPr>
        <w:pStyle w:val="ListParagraph"/>
        <w:numPr>
          <w:ilvl w:val="0"/>
          <w:numId w:val="1"/>
        </w:numPr>
        <w:tabs>
          <w:tab w:val="left" w:pos="841"/>
        </w:tabs>
        <w:spacing w:before="176"/>
        <w:ind w:hanging="361"/>
        <w:rPr>
          <w:sz w:val="24"/>
          <w:u w:val="none"/>
        </w:rPr>
      </w:pPr>
      <w:r>
        <w:rPr>
          <w:sz w:val="24"/>
        </w:rPr>
        <w:t>Minimizing</w:t>
      </w:r>
      <w:r>
        <w:rPr>
          <w:spacing w:val="-4"/>
          <w:sz w:val="24"/>
        </w:rPr>
        <w:t xml:space="preserve"> </w:t>
      </w:r>
      <w:r>
        <w:rPr>
          <w:sz w:val="24"/>
        </w:rPr>
        <w:t>Burden</w:t>
      </w:r>
      <w:r>
        <w:rPr>
          <w:spacing w:val="-2"/>
          <w:sz w:val="24"/>
        </w:rPr>
        <w:t xml:space="preserve"> </w:t>
      </w:r>
      <w:r>
        <w:rPr>
          <w:sz w:val="24"/>
        </w:rPr>
        <w:t>on</w:t>
      </w:r>
      <w:r>
        <w:rPr>
          <w:spacing w:val="-1"/>
          <w:sz w:val="24"/>
        </w:rPr>
        <w:t xml:space="preserve"> </w:t>
      </w:r>
      <w:r>
        <w:rPr>
          <w:sz w:val="24"/>
        </w:rPr>
        <w:t>Small</w:t>
      </w:r>
      <w:r>
        <w:rPr>
          <w:spacing w:val="-15"/>
          <w:sz w:val="24"/>
        </w:rPr>
        <w:t xml:space="preserve"> </w:t>
      </w:r>
      <w:r>
        <w:rPr>
          <w:spacing w:val="-2"/>
          <w:sz w:val="24"/>
        </w:rPr>
        <w:t>Business</w:t>
      </w:r>
    </w:p>
    <w:p w:rsidR="00F36DA0" w14:paraId="045A3EA8" w14:textId="77777777">
      <w:pPr>
        <w:pStyle w:val="BodyText"/>
        <w:spacing w:before="2"/>
        <w:rPr>
          <w:sz w:val="16"/>
        </w:rPr>
      </w:pPr>
    </w:p>
    <w:p w:rsidR="00F36DA0" w14:paraId="15226756" w14:textId="77777777">
      <w:pPr>
        <w:pStyle w:val="BodyText"/>
        <w:spacing w:before="90"/>
        <w:ind w:left="830"/>
      </w:pPr>
      <w:r>
        <w:t>This</w:t>
      </w:r>
      <w:r>
        <w:rPr>
          <w:spacing w:val="-5"/>
        </w:rPr>
        <w:t xml:space="preserve"> </w:t>
      </w:r>
      <w:r>
        <w:t>information</w:t>
      </w:r>
      <w:r>
        <w:rPr>
          <w:spacing w:val="-4"/>
        </w:rPr>
        <w:t xml:space="preserve"> </w:t>
      </w:r>
      <w:r>
        <w:t>collection</w:t>
      </w:r>
      <w:r>
        <w:rPr>
          <w:spacing w:val="-4"/>
        </w:rPr>
        <w:t xml:space="preserve"> </w:t>
      </w:r>
      <w:r>
        <w:t>has</w:t>
      </w:r>
      <w:r>
        <w:rPr>
          <w:spacing w:val="-3"/>
        </w:rPr>
        <w:t xml:space="preserve"> </w:t>
      </w:r>
      <w:r>
        <w:t>a</w:t>
      </w:r>
      <w:r>
        <w:rPr>
          <w:spacing w:val="-5"/>
        </w:rPr>
        <w:t xml:space="preserve"> </w:t>
      </w:r>
      <w:r>
        <w:t>minimal</w:t>
      </w:r>
      <w:r>
        <w:rPr>
          <w:spacing w:val="-3"/>
        </w:rPr>
        <w:t xml:space="preserve"> </w:t>
      </w:r>
      <w:r>
        <w:t>impact</w:t>
      </w:r>
      <w:r>
        <w:rPr>
          <w:spacing w:val="-4"/>
        </w:rPr>
        <w:t xml:space="preserve"> </w:t>
      </w:r>
      <w:r>
        <w:t>on</w:t>
      </w:r>
      <w:r>
        <w:rPr>
          <w:spacing w:val="-4"/>
        </w:rPr>
        <w:t xml:space="preserve"> </w:t>
      </w:r>
      <w:r>
        <w:t>small</w:t>
      </w:r>
      <w:r>
        <w:rPr>
          <w:spacing w:val="-3"/>
        </w:rPr>
        <w:t xml:space="preserve"> </w:t>
      </w:r>
      <w:r>
        <w:t>and</w:t>
      </w:r>
      <w:r>
        <w:rPr>
          <w:spacing w:val="-4"/>
        </w:rPr>
        <w:t xml:space="preserve"> </w:t>
      </w:r>
      <w:r>
        <w:t>large</w:t>
      </w:r>
      <w:r>
        <w:rPr>
          <w:spacing w:val="-4"/>
        </w:rPr>
        <w:t xml:space="preserve"> </w:t>
      </w:r>
      <w:r>
        <w:rPr>
          <w:spacing w:val="-2"/>
        </w:rPr>
        <w:t>businesses.</w:t>
      </w:r>
    </w:p>
    <w:p w:rsidR="00F36DA0" w14:paraId="63E2F979" w14:textId="77777777">
      <w:pPr>
        <w:pStyle w:val="BodyText"/>
        <w:spacing w:before="2"/>
        <w:rPr>
          <w:sz w:val="21"/>
        </w:rPr>
      </w:pPr>
    </w:p>
    <w:p w:rsidR="00F36DA0" w14:paraId="15898FBF" w14:textId="77777777">
      <w:pPr>
        <w:pStyle w:val="ListParagraph"/>
        <w:numPr>
          <w:ilvl w:val="0"/>
          <w:numId w:val="1"/>
        </w:numPr>
        <w:tabs>
          <w:tab w:val="left" w:pos="841"/>
        </w:tabs>
        <w:ind w:hanging="361"/>
        <w:rPr>
          <w:sz w:val="24"/>
          <w:u w:val="none"/>
        </w:rPr>
      </w:pPr>
      <w:r>
        <w:rPr>
          <w:sz w:val="24"/>
        </w:rPr>
        <w:t>Consequences</w:t>
      </w:r>
      <w:r>
        <w:rPr>
          <w:spacing w:val="-4"/>
          <w:sz w:val="24"/>
        </w:rPr>
        <w:t xml:space="preserve"> </w:t>
      </w:r>
      <w:r>
        <w:rPr>
          <w:sz w:val="24"/>
        </w:rPr>
        <w:t>of</w:t>
      </w:r>
      <w:r>
        <w:rPr>
          <w:spacing w:val="-2"/>
          <w:sz w:val="24"/>
        </w:rPr>
        <w:t xml:space="preserve"> </w:t>
      </w:r>
      <w:r>
        <w:rPr>
          <w:sz w:val="24"/>
        </w:rPr>
        <w:t>Not</w:t>
      </w:r>
      <w:r>
        <w:rPr>
          <w:spacing w:val="-3"/>
          <w:sz w:val="24"/>
        </w:rPr>
        <w:t xml:space="preserve"> </w:t>
      </w:r>
      <w:r>
        <w:rPr>
          <w:sz w:val="24"/>
        </w:rPr>
        <w:t>Conducting</w:t>
      </w:r>
      <w:r>
        <w:rPr>
          <w:spacing w:val="-6"/>
          <w:sz w:val="24"/>
        </w:rPr>
        <w:t xml:space="preserve"> </w:t>
      </w:r>
      <w:r>
        <w:rPr>
          <w:sz w:val="24"/>
        </w:rPr>
        <w:t>or</w:t>
      </w:r>
      <w:r>
        <w:rPr>
          <w:spacing w:val="-2"/>
          <w:sz w:val="24"/>
        </w:rPr>
        <w:t xml:space="preserve"> </w:t>
      </w:r>
      <w:r>
        <w:rPr>
          <w:sz w:val="24"/>
        </w:rPr>
        <w:t>Less</w:t>
      </w:r>
      <w:r>
        <w:rPr>
          <w:spacing w:val="-3"/>
          <w:sz w:val="24"/>
        </w:rPr>
        <w:t xml:space="preserve"> </w:t>
      </w:r>
      <w:r>
        <w:rPr>
          <w:sz w:val="24"/>
        </w:rPr>
        <w:t>Frequent</w:t>
      </w:r>
      <w:r>
        <w:rPr>
          <w:spacing w:val="-7"/>
          <w:sz w:val="24"/>
        </w:rPr>
        <w:t xml:space="preserve"> </w:t>
      </w:r>
      <w:r>
        <w:rPr>
          <w:spacing w:val="-2"/>
          <w:sz w:val="24"/>
        </w:rPr>
        <w:t>Collection</w:t>
      </w:r>
    </w:p>
    <w:p w:rsidR="00F36DA0" w14:paraId="595C3E5E" w14:textId="77777777">
      <w:pPr>
        <w:pStyle w:val="BodyText"/>
        <w:spacing w:before="7"/>
        <w:rPr>
          <w:sz w:val="17"/>
        </w:rPr>
      </w:pPr>
    </w:p>
    <w:p w:rsidR="00F36DA0" w14:paraId="42D18DE4" w14:textId="77777777">
      <w:pPr>
        <w:pStyle w:val="BodyText"/>
        <w:spacing w:before="90" w:line="247" w:lineRule="auto"/>
        <w:ind w:left="830" w:right="274"/>
      </w:pPr>
      <w:r>
        <w:t xml:space="preserve">ATF's efforts to trace </w:t>
      </w:r>
      <w:r w:rsidR="00C81005">
        <w:t xml:space="preserve">crime guns </w:t>
      </w:r>
      <w:r>
        <w:t xml:space="preserve">would be hindered without this information collection, </w:t>
      </w:r>
      <w:r>
        <w:t>Without</w:t>
      </w:r>
      <w:r>
        <w:t xml:space="preserve"> an established procedure, licensees would be unable to </w:t>
      </w:r>
      <w:r>
        <w:t>properly submit applications</w:t>
      </w:r>
      <w:r>
        <w:rPr>
          <w:spacing w:val="-1"/>
        </w:rPr>
        <w:t xml:space="preserve"> </w:t>
      </w:r>
      <w:r>
        <w:t>for</w:t>
      </w:r>
      <w:r>
        <w:rPr>
          <w:spacing w:val="-3"/>
        </w:rPr>
        <w:t xml:space="preserve"> </w:t>
      </w:r>
      <w:r>
        <w:t>alternate means</w:t>
      </w:r>
      <w:r>
        <w:rPr>
          <w:spacing w:val="-1"/>
        </w:rPr>
        <w:t xml:space="preserve"> </w:t>
      </w:r>
      <w:r>
        <w:t>of</w:t>
      </w:r>
      <w:r>
        <w:rPr>
          <w:spacing w:val="-1"/>
        </w:rPr>
        <w:t xml:space="preserve"> </w:t>
      </w:r>
      <w:r>
        <w:t>marking</w:t>
      </w:r>
      <w:r>
        <w:rPr>
          <w:spacing w:val="-4"/>
        </w:rPr>
        <w:t xml:space="preserve"> </w:t>
      </w:r>
      <w:r>
        <w:t>variance,</w:t>
      </w:r>
      <w:r>
        <w:rPr>
          <w:spacing w:val="-1"/>
        </w:rPr>
        <w:t xml:space="preserve"> </w:t>
      </w:r>
      <w:r>
        <w:t>or</w:t>
      </w:r>
      <w:r>
        <w:rPr>
          <w:spacing w:val="-1"/>
        </w:rPr>
        <w:t xml:space="preserve"> </w:t>
      </w:r>
      <w:r>
        <w:t>record</w:t>
      </w:r>
      <w:r>
        <w:rPr>
          <w:spacing w:val="-1"/>
        </w:rPr>
        <w:t xml:space="preserve"> </w:t>
      </w:r>
      <w:r>
        <w:t>identifying</w:t>
      </w:r>
      <w:r>
        <w:rPr>
          <w:spacing w:val="-4"/>
        </w:rPr>
        <w:t xml:space="preserve"> </w:t>
      </w:r>
      <w:r>
        <w:t>information such</w:t>
      </w:r>
      <w:r>
        <w:rPr>
          <w:spacing w:val="-3"/>
        </w:rPr>
        <w:t xml:space="preserve"> </w:t>
      </w:r>
      <w:r>
        <w:t>as</w:t>
      </w:r>
      <w:r>
        <w:rPr>
          <w:spacing w:val="-3"/>
        </w:rPr>
        <w:t xml:space="preserve"> </w:t>
      </w:r>
      <w:r>
        <w:t>serial</w:t>
      </w:r>
      <w:r>
        <w:rPr>
          <w:spacing w:val="-3"/>
        </w:rPr>
        <w:t xml:space="preserve"> </w:t>
      </w:r>
      <w:r>
        <w:t>numbers</w:t>
      </w:r>
      <w:r>
        <w:rPr>
          <w:spacing w:val="-3"/>
        </w:rPr>
        <w:t xml:space="preserve"> </w:t>
      </w:r>
      <w:r>
        <w:t>in</w:t>
      </w:r>
      <w:r>
        <w:rPr>
          <w:spacing w:val="-3"/>
        </w:rPr>
        <w:t xml:space="preserve"> </w:t>
      </w:r>
      <w:r>
        <w:t>a</w:t>
      </w:r>
      <w:r>
        <w:rPr>
          <w:spacing w:val="-4"/>
        </w:rPr>
        <w:t xml:space="preserve"> </w:t>
      </w:r>
      <w:r>
        <w:t>uniform</w:t>
      </w:r>
      <w:r>
        <w:rPr>
          <w:spacing w:val="-3"/>
        </w:rPr>
        <w:t xml:space="preserve"> </w:t>
      </w:r>
      <w:r>
        <w:t>manner</w:t>
      </w:r>
      <w:r>
        <w:rPr>
          <w:spacing w:val="-3"/>
        </w:rPr>
        <w:t xml:space="preserve"> </w:t>
      </w:r>
      <w:r>
        <w:t>in</w:t>
      </w:r>
      <w:r>
        <w:rPr>
          <w:spacing w:val="-3"/>
        </w:rPr>
        <w:t xml:space="preserve"> </w:t>
      </w:r>
      <w:r>
        <w:t>their</w:t>
      </w:r>
      <w:r>
        <w:rPr>
          <w:spacing w:val="-3"/>
        </w:rPr>
        <w:t xml:space="preserve"> </w:t>
      </w:r>
      <w:r>
        <w:t>required</w:t>
      </w:r>
      <w:r>
        <w:rPr>
          <w:spacing w:val="-1"/>
        </w:rPr>
        <w:t xml:space="preserve"> </w:t>
      </w:r>
      <w:r>
        <w:t>records.</w:t>
      </w:r>
      <w:r>
        <w:rPr>
          <w:spacing w:val="-2"/>
        </w:rPr>
        <w:t xml:space="preserve"> </w:t>
      </w:r>
      <w:r w:rsidR="0003447C">
        <w:rPr>
          <w:spacing w:val="-2"/>
        </w:rPr>
        <w:t xml:space="preserve"> </w:t>
      </w:r>
      <w:r>
        <w:t>In</w:t>
      </w:r>
      <w:r>
        <w:rPr>
          <w:spacing w:val="-3"/>
        </w:rPr>
        <w:t xml:space="preserve"> </w:t>
      </w:r>
      <w:r>
        <w:t>addition,</w:t>
      </w:r>
      <w:r>
        <w:rPr>
          <w:spacing w:val="-3"/>
        </w:rPr>
        <w:t xml:space="preserve"> </w:t>
      </w:r>
      <w:r>
        <w:t>serial numbers</w:t>
      </w:r>
      <w:r>
        <w:rPr>
          <w:spacing w:val="-2"/>
        </w:rPr>
        <w:t xml:space="preserve"> </w:t>
      </w:r>
      <w:r>
        <w:t>that</w:t>
      </w:r>
      <w:r>
        <w:rPr>
          <w:spacing w:val="-2"/>
        </w:rPr>
        <w:t xml:space="preserve"> </w:t>
      </w:r>
      <w:r>
        <w:t>are</w:t>
      </w:r>
      <w:r>
        <w:rPr>
          <w:spacing w:val="-4"/>
        </w:rPr>
        <w:t xml:space="preserve"> </w:t>
      </w:r>
      <w:r>
        <w:t>stamped</w:t>
      </w:r>
      <w:r>
        <w:rPr>
          <w:spacing w:val="-2"/>
        </w:rPr>
        <w:t xml:space="preserve"> </w:t>
      </w:r>
      <w:r>
        <w:t>very</w:t>
      </w:r>
      <w:r>
        <w:rPr>
          <w:spacing w:val="-6"/>
        </w:rPr>
        <w:t xml:space="preserve"> </w:t>
      </w:r>
      <w:r>
        <w:t>lightly</w:t>
      </w:r>
      <w:r>
        <w:rPr>
          <w:spacing w:val="-6"/>
        </w:rPr>
        <w:t xml:space="preserve"> </w:t>
      </w:r>
      <w:r>
        <w:t>on</w:t>
      </w:r>
      <w:r>
        <w:rPr>
          <w:spacing w:val="-2"/>
        </w:rPr>
        <w:t xml:space="preserve"> </w:t>
      </w:r>
      <w:r>
        <w:t>the</w:t>
      </w:r>
      <w:r>
        <w:rPr>
          <w:spacing w:val="-2"/>
        </w:rPr>
        <w:t xml:space="preserve"> </w:t>
      </w:r>
      <w:r>
        <w:t>frame</w:t>
      </w:r>
      <w:r>
        <w:rPr>
          <w:spacing w:val="-2"/>
        </w:rPr>
        <w:t xml:space="preserve"> </w:t>
      </w:r>
      <w:r>
        <w:t>or</w:t>
      </w:r>
      <w:r>
        <w:rPr>
          <w:spacing w:val="-4"/>
        </w:rPr>
        <w:t xml:space="preserve"> </w:t>
      </w:r>
      <w:r>
        <w:t>receive</w:t>
      </w:r>
      <w:r>
        <w:t>r</w:t>
      </w:r>
      <w:r>
        <w:rPr>
          <w:spacing w:val="-4"/>
        </w:rPr>
        <w:t xml:space="preserve"> </w:t>
      </w:r>
      <w:r>
        <w:t>of</w:t>
      </w:r>
      <w:r>
        <w:rPr>
          <w:spacing w:val="-2"/>
        </w:rPr>
        <w:t xml:space="preserve"> </w:t>
      </w:r>
      <w:r>
        <w:t>the</w:t>
      </w:r>
      <w:r>
        <w:rPr>
          <w:spacing w:val="-4"/>
        </w:rPr>
        <w:t xml:space="preserve"> </w:t>
      </w:r>
      <w:r>
        <w:t>firearms</w:t>
      </w:r>
      <w:r>
        <w:rPr>
          <w:spacing w:val="-2"/>
        </w:rPr>
        <w:t xml:space="preserve"> </w:t>
      </w:r>
      <w:r>
        <w:t>are</w:t>
      </w:r>
      <w:r>
        <w:rPr>
          <w:spacing w:val="-4"/>
        </w:rPr>
        <w:t xml:space="preserve"> </w:t>
      </w:r>
      <w:r>
        <w:t>more susceptible to being easily obliterated, altered, or removed. Additionally, there will be longer processing time for marking variances that are submitted without all required information as requested on the form.</w:t>
      </w:r>
    </w:p>
    <w:p w:rsidR="00F36DA0" w14:paraId="7C3D3353" w14:textId="77777777">
      <w:pPr>
        <w:pStyle w:val="ListParagraph"/>
        <w:numPr>
          <w:ilvl w:val="0"/>
          <w:numId w:val="1"/>
        </w:numPr>
        <w:tabs>
          <w:tab w:val="left" w:pos="841"/>
        </w:tabs>
        <w:spacing w:before="164"/>
        <w:ind w:hanging="361"/>
        <w:rPr>
          <w:sz w:val="24"/>
          <w:u w:val="none"/>
        </w:rPr>
      </w:pPr>
      <w:r>
        <w:rPr>
          <w:sz w:val="24"/>
        </w:rPr>
        <w:t>Special</w:t>
      </w:r>
      <w:r>
        <w:rPr>
          <w:spacing w:val="-4"/>
          <w:sz w:val="24"/>
        </w:rPr>
        <w:t xml:space="preserve"> </w:t>
      </w:r>
      <w:r>
        <w:rPr>
          <w:spacing w:val="-2"/>
          <w:sz w:val="24"/>
        </w:rPr>
        <w:t>Circumstances</w:t>
      </w:r>
    </w:p>
    <w:p w:rsidR="00F36DA0" w14:paraId="52E6ECA4" w14:textId="77777777">
      <w:pPr>
        <w:pStyle w:val="BodyText"/>
        <w:spacing w:before="5"/>
        <w:rPr>
          <w:sz w:val="16"/>
        </w:rPr>
      </w:pPr>
    </w:p>
    <w:p w:rsidR="00F36DA0" w14:paraId="0011223A" w14:textId="18796193">
      <w:pPr>
        <w:pStyle w:val="BodyText"/>
        <w:spacing w:before="90"/>
        <w:ind w:left="826"/>
      </w:pPr>
      <w:r>
        <w:t>This</w:t>
      </w:r>
      <w:r>
        <w:rPr>
          <w:spacing w:val="-6"/>
        </w:rPr>
        <w:t xml:space="preserve"> </w:t>
      </w:r>
      <w:r>
        <w:t>data</w:t>
      </w:r>
      <w:r>
        <w:rPr>
          <w:spacing w:val="-6"/>
        </w:rPr>
        <w:t xml:space="preserve"> </w:t>
      </w:r>
      <w:r>
        <w:t>will</w:t>
      </w:r>
      <w:r>
        <w:rPr>
          <w:spacing w:val="-6"/>
        </w:rPr>
        <w:t xml:space="preserve"> </w:t>
      </w:r>
      <w:r>
        <w:t>be</w:t>
      </w:r>
      <w:r>
        <w:rPr>
          <w:spacing w:val="-6"/>
        </w:rPr>
        <w:t xml:space="preserve"> </w:t>
      </w:r>
      <w:r>
        <w:t>collected</w:t>
      </w:r>
      <w:r>
        <w:rPr>
          <w:spacing w:val="-5"/>
        </w:rPr>
        <w:t xml:space="preserve"> </w:t>
      </w:r>
      <w:r>
        <w:t>in</w:t>
      </w:r>
      <w:r>
        <w:rPr>
          <w:spacing w:val="-6"/>
        </w:rPr>
        <w:t xml:space="preserve"> </w:t>
      </w:r>
      <w:r>
        <w:t>a</w:t>
      </w:r>
      <w:r>
        <w:rPr>
          <w:spacing w:val="-5"/>
        </w:rPr>
        <w:t xml:space="preserve"> </w:t>
      </w:r>
      <w:r>
        <w:t>manner</w:t>
      </w:r>
      <w:r>
        <w:rPr>
          <w:spacing w:val="-5"/>
        </w:rPr>
        <w:t xml:space="preserve"> </w:t>
      </w:r>
      <w:r>
        <w:t>consistent</w:t>
      </w:r>
      <w:r>
        <w:rPr>
          <w:spacing w:val="-4"/>
        </w:rPr>
        <w:t xml:space="preserve"> </w:t>
      </w:r>
      <w:r>
        <w:t>with</w:t>
      </w:r>
      <w:r>
        <w:rPr>
          <w:spacing w:val="-5"/>
        </w:rPr>
        <w:t xml:space="preserve"> </w:t>
      </w:r>
      <w:r>
        <w:t>the</w:t>
      </w:r>
      <w:r>
        <w:rPr>
          <w:spacing w:val="-7"/>
        </w:rPr>
        <w:t xml:space="preserve"> </w:t>
      </w:r>
      <w:r>
        <w:t>guidelines</w:t>
      </w:r>
      <w:r>
        <w:rPr>
          <w:spacing w:val="-5"/>
        </w:rPr>
        <w:t xml:space="preserve"> </w:t>
      </w:r>
      <w:r>
        <w:t>in</w:t>
      </w:r>
      <w:r>
        <w:rPr>
          <w:spacing w:val="-5"/>
        </w:rPr>
        <w:t xml:space="preserve"> </w:t>
      </w:r>
      <w:r>
        <w:t>5</w:t>
      </w:r>
      <w:r>
        <w:rPr>
          <w:spacing w:val="-4"/>
        </w:rPr>
        <w:t xml:space="preserve"> </w:t>
      </w:r>
      <w:r>
        <w:t>CFR</w:t>
      </w:r>
      <w:r>
        <w:rPr>
          <w:spacing w:val="-5"/>
        </w:rPr>
        <w:t xml:space="preserve"> </w:t>
      </w:r>
      <w:r>
        <w:t>§</w:t>
      </w:r>
      <w:r>
        <w:rPr>
          <w:spacing w:val="-5"/>
        </w:rPr>
        <w:t xml:space="preserve"> </w:t>
      </w:r>
      <w:r>
        <w:rPr>
          <w:spacing w:val="-2"/>
        </w:rPr>
        <w:t>1320.6.</w:t>
      </w:r>
      <w:r w:rsidR="00DB0611">
        <w:rPr>
          <w:spacing w:val="-2"/>
        </w:rPr>
        <w:t xml:space="preserve"> </w:t>
      </w:r>
      <w:r w:rsidR="008438D9">
        <w:rPr>
          <w:spacing w:val="-2"/>
        </w:rPr>
        <w:t>Nevertheless</w:t>
      </w:r>
      <w:r w:rsidR="00DB0611">
        <w:rPr>
          <w:spacing w:val="-2"/>
        </w:rPr>
        <w:t xml:space="preserve">, </w:t>
      </w:r>
      <w:r w:rsidR="00DB0611">
        <w:t xml:space="preserve">if </w:t>
      </w:r>
      <w:r w:rsidR="008438D9">
        <w:t>approved, the</w:t>
      </w:r>
      <w:r w:rsidR="00DB0611">
        <w:t xml:space="preserve"> variance must be retained permanently with each licensee’s records of manufacture, </w:t>
      </w:r>
      <w:r w:rsidR="00DB0611">
        <w:t>importation</w:t>
      </w:r>
      <w:r w:rsidR="00DB0611">
        <w:t xml:space="preserve"> or other acquisition. </w:t>
      </w:r>
    </w:p>
    <w:p w:rsidR="00F36DA0" w14:paraId="2C5ACBF6" w14:textId="77777777">
      <w:pPr>
        <w:pStyle w:val="BodyText"/>
        <w:spacing w:before="10"/>
        <w:rPr>
          <w:sz w:val="20"/>
        </w:rPr>
      </w:pPr>
    </w:p>
    <w:p w:rsidR="00F36DA0" w14:paraId="324F5B62" w14:textId="77777777">
      <w:pPr>
        <w:pStyle w:val="ListParagraph"/>
        <w:numPr>
          <w:ilvl w:val="0"/>
          <w:numId w:val="1"/>
        </w:numPr>
        <w:tabs>
          <w:tab w:val="left" w:pos="841"/>
        </w:tabs>
        <w:ind w:hanging="361"/>
        <w:rPr>
          <w:sz w:val="24"/>
          <w:u w:val="none"/>
        </w:rPr>
      </w:pPr>
      <w:r>
        <w:rPr>
          <w:sz w:val="24"/>
        </w:rPr>
        <w:t>Public</w:t>
      </w:r>
      <w:r>
        <w:rPr>
          <w:spacing w:val="-3"/>
          <w:sz w:val="24"/>
        </w:rPr>
        <w:t xml:space="preserve"> </w:t>
      </w:r>
      <w:r>
        <w:rPr>
          <w:sz w:val="24"/>
        </w:rPr>
        <w:t>Comments</w:t>
      </w:r>
      <w:r>
        <w:rPr>
          <w:spacing w:val="-1"/>
          <w:sz w:val="24"/>
        </w:rPr>
        <w:t xml:space="preserve"> </w:t>
      </w:r>
      <w:r>
        <w:rPr>
          <w:sz w:val="24"/>
        </w:rPr>
        <w:t>and</w:t>
      </w:r>
      <w:r>
        <w:rPr>
          <w:spacing w:val="-7"/>
          <w:sz w:val="24"/>
        </w:rPr>
        <w:t xml:space="preserve"> </w:t>
      </w:r>
      <w:r>
        <w:rPr>
          <w:spacing w:val="-2"/>
          <w:sz w:val="24"/>
        </w:rPr>
        <w:t>Consultations</w:t>
      </w:r>
    </w:p>
    <w:p w:rsidR="004840A8" w14:paraId="5263CFEC" w14:textId="4C271AF2">
      <w:pPr>
        <w:pStyle w:val="BodyText"/>
        <w:spacing w:before="190"/>
        <w:ind w:left="830" w:right="107"/>
      </w:pPr>
      <w:r w:rsidRPr="004840A8">
        <w:t xml:space="preserve">The 60-Day Notice was published in the Federal Register on </w:t>
      </w:r>
      <w:r>
        <w:t>May 10, 2023</w:t>
      </w:r>
      <w:r w:rsidRPr="004840A8">
        <w:t xml:space="preserve"> (</w:t>
      </w:r>
      <w:r>
        <w:t>88 FR 30161</w:t>
      </w:r>
      <w:r w:rsidRPr="004840A8">
        <w:t xml:space="preserve">). The comment period ended on </w:t>
      </w:r>
      <w:r>
        <w:t>July 10, 2023</w:t>
      </w:r>
      <w:r w:rsidRPr="004840A8">
        <w:t>. No comments were received.</w:t>
      </w:r>
    </w:p>
    <w:p w:rsidR="00F36DA0" w14:paraId="069B9119" w14:textId="77777777">
      <w:pPr>
        <w:pStyle w:val="BodyText"/>
        <w:spacing w:before="2"/>
        <w:rPr>
          <w:sz w:val="28"/>
        </w:rPr>
      </w:pPr>
    </w:p>
    <w:p w:rsidR="00F36DA0" w14:paraId="191A1226" w14:textId="77777777">
      <w:pPr>
        <w:pStyle w:val="ListParagraph"/>
        <w:numPr>
          <w:ilvl w:val="0"/>
          <w:numId w:val="1"/>
        </w:numPr>
        <w:tabs>
          <w:tab w:val="left" w:pos="841"/>
        </w:tabs>
        <w:ind w:hanging="361"/>
        <w:rPr>
          <w:sz w:val="24"/>
          <w:u w:val="none"/>
        </w:rPr>
      </w:pPr>
      <w:r>
        <w:rPr>
          <w:sz w:val="24"/>
        </w:rPr>
        <w:t>P</w:t>
      </w:r>
      <w:r>
        <w:rPr>
          <w:sz w:val="24"/>
        </w:rPr>
        <w:t>rovision</w:t>
      </w:r>
      <w:r>
        <w:rPr>
          <w:spacing w:val="-6"/>
          <w:sz w:val="24"/>
        </w:rPr>
        <w:t xml:space="preserve"> </w:t>
      </w:r>
      <w:r>
        <w:rPr>
          <w:sz w:val="24"/>
        </w:rPr>
        <w:t>of</w:t>
      </w:r>
      <w:r>
        <w:rPr>
          <w:spacing w:val="-5"/>
          <w:sz w:val="24"/>
        </w:rPr>
        <w:t xml:space="preserve"> </w:t>
      </w:r>
      <w:r>
        <w:rPr>
          <w:sz w:val="24"/>
        </w:rPr>
        <w:t>Payments</w:t>
      </w:r>
      <w:r>
        <w:rPr>
          <w:spacing w:val="-5"/>
          <w:sz w:val="24"/>
        </w:rPr>
        <w:t xml:space="preserve"> </w:t>
      </w:r>
      <w:r>
        <w:rPr>
          <w:sz w:val="24"/>
        </w:rPr>
        <w:t>or</w:t>
      </w:r>
      <w:r>
        <w:rPr>
          <w:spacing w:val="-4"/>
          <w:sz w:val="24"/>
        </w:rPr>
        <w:t xml:space="preserve"> </w:t>
      </w:r>
      <w:r>
        <w:rPr>
          <w:sz w:val="24"/>
        </w:rPr>
        <w:t>Gifts</w:t>
      </w:r>
      <w:r>
        <w:rPr>
          <w:spacing w:val="-5"/>
          <w:sz w:val="24"/>
        </w:rPr>
        <w:t xml:space="preserve"> </w:t>
      </w:r>
      <w:r>
        <w:rPr>
          <w:sz w:val="24"/>
        </w:rPr>
        <w:t>to</w:t>
      </w:r>
      <w:r>
        <w:rPr>
          <w:spacing w:val="-6"/>
          <w:sz w:val="24"/>
        </w:rPr>
        <w:t xml:space="preserve"> </w:t>
      </w:r>
      <w:r>
        <w:rPr>
          <w:spacing w:val="-2"/>
          <w:sz w:val="24"/>
        </w:rPr>
        <w:t>Respondents</w:t>
      </w:r>
    </w:p>
    <w:p w:rsidR="00F36DA0" w14:paraId="1836F9C6" w14:textId="77777777">
      <w:pPr>
        <w:pStyle w:val="BodyText"/>
        <w:rPr>
          <w:sz w:val="16"/>
        </w:rPr>
      </w:pPr>
    </w:p>
    <w:p w:rsidR="00F36DA0" w14:paraId="1018DCBA" w14:textId="77777777">
      <w:pPr>
        <w:pStyle w:val="BodyText"/>
        <w:spacing w:before="90"/>
        <w:ind w:left="830"/>
      </w:pPr>
      <w:r>
        <w:t>No</w:t>
      </w:r>
      <w:r>
        <w:rPr>
          <w:spacing w:val="-3"/>
        </w:rPr>
        <w:t xml:space="preserve"> </w:t>
      </w:r>
      <w:r>
        <w:t>payments</w:t>
      </w:r>
      <w:r>
        <w:rPr>
          <w:spacing w:val="-3"/>
        </w:rPr>
        <w:t xml:space="preserve"> </w:t>
      </w:r>
      <w:r>
        <w:t>or gifts</w:t>
      </w:r>
      <w:r>
        <w:rPr>
          <w:spacing w:val="-3"/>
        </w:rPr>
        <w:t xml:space="preserve"> </w:t>
      </w:r>
      <w:r>
        <w:t>will</w:t>
      </w:r>
      <w:r>
        <w:rPr>
          <w:spacing w:val="-3"/>
        </w:rPr>
        <w:t xml:space="preserve"> </w:t>
      </w:r>
      <w:r>
        <w:t>be</w:t>
      </w:r>
      <w:r>
        <w:rPr>
          <w:spacing w:val="-1"/>
        </w:rPr>
        <w:t xml:space="preserve"> </w:t>
      </w:r>
      <w:r>
        <w:t>provided</w:t>
      </w:r>
      <w:r>
        <w:rPr>
          <w:spacing w:val="-3"/>
        </w:rPr>
        <w:t xml:space="preserve"> </w:t>
      </w:r>
      <w:r>
        <w:t>to</w:t>
      </w:r>
      <w:r>
        <w:rPr>
          <w:spacing w:val="-2"/>
        </w:rPr>
        <w:t xml:space="preserve"> respondents.</w:t>
      </w:r>
    </w:p>
    <w:p w:rsidR="00F36DA0" w14:paraId="24D87D1A" w14:textId="77777777">
      <w:pPr>
        <w:pStyle w:val="BodyText"/>
        <w:spacing w:before="1"/>
        <w:rPr>
          <w:sz w:val="21"/>
        </w:rPr>
      </w:pPr>
    </w:p>
    <w:p w:rsidR="00F36DA0" w14:paraId="20440465" w14:textId="77777777">
      <w:pPr>
        <w:pStyle w:val="ListParagraph"/>
        <w:numPr>
          <w:ilvl w:val="0"/>
          <w:numId w:val="1"/>
        </w:numPr>
        <w:tabs>
          <w:tab w:val="left" w:pos="841"/>
        </w:tabs>
        <w:ind w:hanging="361"/>
        <w:rPr>
          <w:sz w:val="24"/>
          <w:u w:val="none"/>
        </w:rPr>
      </w:pPr>
      <w:r>
        <w:rPr>
          <w:sz w:val="24"/>
        </w:rPr>
        <w:t>Assurance</w:t>
      </w:r>
      <w:r>
        <w:rPr>
          <w:spacing w:val="-5"/>
          <w:sz w:val="24"/>
        </w:rPr>
        <w:t xml:space="preserve"> </w:t>
      </w:r>
      <w:r>
        <w:rPr>
          <w:sz w:val="24"/>
        </w:rPr>
        <w:t>of</w:t>
      </w:r>
      <w:r>
        <w:rPr>
          <w:spacing w:val="-15"/>
          <w:sz w:val="24"/>
        </w:rPr>
        <w:t xml:space="preserve"> </w:t>
      </w:r>
      <w:r>
        <w:rPr>
          <w:spacing w:val="-2"/>
          <w:sz w:val="24"/>
        </w:rPr>
        <w:t>Confidentiality</w:t>
      </w:r>
    </w:p>
    <w:p w:rsidR="00F36DA0" w14:paraId="6C696823" w14:textId="77777777">
      <w:pPr>
        <w:pStyle w:val="BodyText"/>
        <w:spacing w:before="2"/>
        <w:rPr>
          <w:sz w:val="16"/>
        </w:rPr>
      </w:pPr>
    </w:p>
    <w:p w:rsidR="00F36DA0" w14:paraId="22CCF191" w14:textId="77777777">
      <w:pPr>
        <w:pStyle w:val="BodyText"/>
        <w:spacing w:before="90"/>
        <w:ind w:left="830" w:right="605"/>
      </w:pPr>
      <w:r>
        <w:t xml:space="preserve">With limited exception, </w:t>
      </w:r>
      <w:r w:rsidR="0003447C">
        <w:t>F</w:t>
      </w:r>
      <w:r>
        <w:t xml:space="preserve">ederal law prohibits the </w:t>
      </w:r>
      <w:r>
        <w:t>disclosure of personally identifiable information (PII) reported on the</w:t>
      </w:r>
      <w:r>
        <w:rPr>
          <w:spacing w:val="-4"/>
        </w:rPr>
        <w:t xml:space="preserve"> </w:t>
      </w:r>
      <w:r>
        <w:t>ATF</w:t>
      </w:r>
      <w:r>
        <w:rPr>
          <w:spacing w:val="-3"/>
        </w:rPr>
        <w:t xml:space="preserve"> </w:t>
      </w:r>
      <w:r>
        <w:t>Form</w:t>
      </w:r>
      <w:r>
        <w:rPr>
          <w:spacing w:val="-3"/>
        </w:rPr>
        <w:t xml:space="preserve"> </w:t>
      </w:r>
      <w:r>
        <w:t>3311.4</w:t>
      </w:r>
      <w:r w:rsidR="0003447C">
        <w:t xml:space="preserve">.  </w:t>
      </w:r>
      <w:r w:rsidR="00774092">
        <w:rPr>
          <w:spacing w:val="-3"/>
        </w:rPr>
        <w:t xml:space="preserve">PII information on this form </w:t>
      </w:r>
      <w:r>
        <w:t xml:space="preserve">may only be disclosed in accordance with the </w:t>
      </w:r>
      <w:r w:rsidR="00774092">
        <w:t xml:space="preserve">provisions of the </w:t>
      </w:r>
      <w:r>
        <w:t xml:space="preserve">Privacy Act and the Freedom of Information Act, granting Federal, </w:t>
      </w:r>
      <w:r>
        <w:t>State</w:t>
      </w:r>
      <w:r>
        <w:t xml:space="preserve"> an</w:t>
      </w:r>
      <w:r>
        <w:t>d local law enforcement officials with a bona fide law enforcement need access to the information (e.g., in relation to an ongoing criminal investigation)</w:t>
      </w:r>
      <w:r w:rsidR="0003447C">
        <w:t>.</w:t>
      </w:r>
      <w:r w:rsidR="00774092">
        <w:t xml:space="preserve"> </w:t>
      </w:r>
    </w:p>
    <w:p w:rsidR="00F36DA0" w14:paraId="2B5BFC0D" w14:textId="77777777">
      <w:pPr>
        <w:pStyle w:val="BodyText"/>
        <w:spacing w:before="5"/>
        <w:rPr>
          <w:sz w:val="30"/>
        </w:rPr>
      </w:pPr>
    </w:p>
    <w:p w:rsidR="00F36DA0" w14:paraId="02E1574B" w14:textId="77777777">
      <w:pPr>
        <w:pStyle w:val="ListParagraph"/>
        <w:numPr>
          <w:ilvl w:val="0"/>
          <w:numId w:val="1"/>
        </w:numPr>
        <w:tabs>
          <w:tab w:val="left" w:pos="841"/>
        </w:tabs>
        <w:spacing w:before="1"/>
        <w:ind w:hanging="361"/>
        <w:rPr>
          <w:sz w:val="24"/>
          <w:u w:val="none"/>
        </w:rPr>
      </w:pPr>
      <w:r>
        <w:rPr>
          <w:sz w:val="24"/>
        </w:rPr>
        <w:t>Justification</w:t>
      </w:r>
      <w:r>
        <w:rPr>
          <w:spacing w:val="-13"/>
          <w:sz w:val="24"/>
        </w:rPr>
        <w:t xml:space="preserve"> </w:t>
      </w:r>
      <w:r>
        <w:rPr>
          <w:sz w:val="24"/>
        </w:rPr>
        <w:t>for</w:t>
      </w:r>
      <w:r>
        <w:rPr>
          <w:spacing w:val="-10"/>
          <w:sz w:val="24"/>
        </w:rPr>
        <w:t xml:space="preserve"> </w:t>
      </w:r>
      <w:r>
        <w:rPr>
          <w:sz w:val="24"/>
        </w:rPr>
        <w:t>Sensitive</w:t>
      </w:r>
      <w:r>
        <w:rPr>
          <w:spacing w:val="-15"/>
          <w:sz w:val="24"/>
        </w:rPr>
        <w:t xml:space="preserve"> </w:t>
      </w:r>
      <w:r>
        <w:rPr>
          <w:spacing w:val="-2"/>
          <w:sz w:val="24"/>
        </w:rPr>
        <w:t>Questions</w:t>
      </w:r>
    </w:p>
    <w:p w:rsidR="0003447C" w:rsidP="0003447C" w14:paraId="19DE802F" w14:textId="77777777">
      <w:pPr>
        <w:pStyle w:val="BodyText"/>
        <w:spacing w:before="64"/>
        <w:ind w:left="720"/>
      </w:pPr>
    </w:p>
    <w:p w:rsidR="00F36DA0" w:rsidP="0003447C" w14:paraId="07E85DCD" w14:textId="77777777">
      <w:pPr>
        <w:pStyle w:val="BodyText"/>
        <w:spacing w:before="64"/>
        <w:ind w:left="720"/>
      </w:pPr>
      <w:r>
        <w:t xml:space="preserve">Questions of a sensitive nature are required to </w:t>
      </w:r>
      <w:r>
        <w:t xml:space="preserve">facilitate the identification of the </w:t>
      </w:r>
      <w:r>
        <w:t>Industry</w:t>
      </w:r>
      <w:r>
        <w:t xml:space="preserve"> member</w:t>
      </w:r>
      <w:r>
        <w:rPr>
          <w:spacing w:val="-4"/>
        </w:rPr>
        <w:t xml:space="preserve"> </w:t>
      </w:r>
      <w:r>
        <w:t>requesting</w:t>
      </w:r>
      <w:r>
        <w:rPr>
          <w:spacing w:val="-6"/>
        </w:rPr>
        <w:t xml:space="preserve"> </w:t>
      </w:r>
      <w:r>
        <w:t>the</w:t>
      </w:r>
      <w:r>
        <w:rPr>
          <w:spacing w:val="-4"/>
        </w:rPr>
        <w:t xml:space="preserve"> </w:t>
      </w:r>
      <w:r>
        <w:t>marking</w:t>
      </w:r>
      <w:r>
        <w:rPr>
          <w:spacing w:val="-6"/>
        </w:rPr>
        <w:t xml:space="preserve"> </w:t>
      </w:r>
      <w:r>
        <w:t>variance</w:t>
      </w:r>
      <w:r>
        <w:rPr>
          <w:spacing w:val="-5"/>
        </w:rPr>
        <w:t xml:space="preserve"> </w:t>
      </w:r>
      <w:r>
        <w:t>(i.e.,</w:t>
      </w:r>
      <w:r>
        <w:rPr>
          <w:spacing w:val="-4"/>
        </w:rPr>
        <w:t xml:space="preserve"> </w:t>
      </w:r>
      <w:r>
        <w:t>FFL</w:t>
      </w:r>
      <w:r>
        <w:rPr>
          <w:spacing w:val="-4"/>
        </w:rPr>
        <w:t xml:space="preserve"> </w:t>
      </w:r>
      <w:r>
        <w:t>Number,</w:t>
      </w:r>
      <w:r>
        <w:rPr>
          <w:spacing w:val="-4"/>
        </w:rPr>
        <w:t xml:space="preserve"> </w:t>
      </w:r>
      <w:r>
        <w:t>address,</w:t>
      </w:r>
      <w:r>
        <w:rPr>
          <w:spacing w:val="-4"/>
        </w:rPr>
        <w:t xml:space="preserve"> </w:t>
      </w:r>
      <w:r>
        <w:t>and</w:t>
      </w:r>
      <w:r>
        <w:rPr>
          <w:spacing w:val="-4"/>
        </w:rPr>
        <w:t xml:space="preserve"> </w:t>
      </w:r>
      <w:r>
        <w:t>phone</w:t>
      </w:r>
      <w:r>
        <w:rPr>
          <w:spacing w:val="-5"/>
        </w:rPr>
        <w:t xml:space="preserve"> </w:t>
      </w:r>
      <w:r>
        <w:t>number).</w:t>
      </w:r>
    </w:p>
    <w:p w:rsidR="00F36DA0" w14:paraId="786339F7" w14:textId="77777777">
      <w:pPr>
        <w:pStyle w:val="BodyText"/>
      </w:pPr>
    </w:p>
    <w:p w:rsidR="00F36DA0" w14:paraId="11B3B74A" w14:textId="77777777">
      <w:pPr>
        <w:pStyle w:val="ListParagraph"/>
        <w:numPr>
          <w:ilvl w:val="0"/>
          <w:numId w:val="1"/>
        </w:numPr>
        <w:tabs>
          <w:tab w:val="left" w:pos="841"/>
        </w:tabs>
        <w:ind w:hanging="361"/>
        <w:rPr>
          <w:sz w:val="24"/>
          <w:u w:val="none"/>
        </w:rPr>
      </w:pPr>
      <w:r>
        <w:rPr>
          <w:sz w:val="24"/>
        </w:rPr>
        <w:t>Estimate</w:t>
      </w:r>
      <w:r>
        <w:rPr>
          <w:spacing w:val="-4"/>
          <w:sz w:val="24"/>
        </w:rPr>
        <w:t xml:space="preserve"> </w:t>
      </w:r>
      <w:r>
        <w:rPr>
          <w:sz w:val="24"/>
        </w:rPr>
        <w:t>of</w:t>
      </w:r>
      <w:r>
        <w:rPr>
          <w:spacing w:val="-2"/>
          <w:sz w:val="24"/>
        </w:rPr>
        <w:t xml:space="preserve"> </w:t>
      </w:r>
      <w:r>
        <w:rPr>
          <w:sz w:val="24"/>
        </w:rPr>
        <w:t>Respondent’s</w:t>
      </w:r>
      <w:r>
        <w:rPr>
          <w:spacing w:val="-12"/>
          <w:sz w:val="24"/>
        </w:rPr>
        <w:t xml:space="preserve"> </w:t>
      </w:r>
      <w:r>
        <w:rPr>
          <w:spacing w:val="-2"/>
          <w:sz w:val="24"/>
        </w:rPr>
        <w:t>Burden</w:t>
      </w:r>
    </w:p>
    <w:p w:rsidR="00F36DA0" w14:paraId="368B3D6B" w14:textId="77777777">
      <w:pPr>
        <w:pStyle w:val="BodyText"/>
        <w:spacing w:before="3"/>
        <w:rPr>
          <w:sz w:val="17"/>
        </w:rPr>
      </w:pPr>
    </w:p>
    <w:p w:rsidR="00F36DA0" w14:paraId="16BFF9CE" w14:textId="5D13D0A3">
      <w:pPr>
        <w:pStyle w:val="BodyText"/>
        <w:spacing w:before="90" w:line="249" w:lineRule="auto"/>
        <w:ind w:left="830" w:right="278"/>
      </w:pPr>
      <w:r>
        <w:t xml:space="preserve">There are approximately 12,278 small firearms manufacturers and importers. Of these, </w:t>
      </w:r>
      <w:r>
        <w:t xml:space="preserve">about 2,064 respondents </w:t>
      </w:r>
      <w:r>
        <w:t xml:space="preserve">will utilize ATF Form 3311.4. </w:t>
      </w:r>
      <w:r w:rsidR="0003447C">
        <w:t xml:space="preserve"> </w:t>
      </w:r>
      <w:r>
        <w:t xml:space="preserve">Each respondent responds </w:t>
      </w:r>
      <w:r w:rsidR="00DB0611">
        <w:t xml:space="preserve">once annually </w:t>
      </w:r>
      <w:r>
        <w:t xml:space="preserve">per request, so the total </w:t>
      </w:r>
      <w:r>
        <w:t>responses</w:t>
      </w:r>
      <w:r>
        <w:t xml:space="preserve"> for this IC is 2,064. It will take approximately 30 minutes to complete th</w:t>
      </w:r>
      <w:r>
        <w:t>e form.</w:t>
      </w:r>
      <w:r>
        <w:rPr>
          <w:spacing w:val="-3"/>
        </w:rPr>
        <w:t xml:space="preserve"> </w:t>
      </w:r>
      <w:r w:rsidR="0003447C">
        <w:rPr>
          <w:spacing w:val="-3"/>
        </w:rPr>
        <w:t xml:space="preserve"> </w:t>
      </w:r>
      <w:r>
        <w:t>The</w:t>
      </w:r>
      <w:r>
        <w:rPr>
          <w:spacing w:val="-4"/>
        </w:rPr>
        <w:t xml:space="preserve"> </w:t>
      </w:r>
      <w:r>
        <w:t>number</w:t>
      </w:r>
      <w:r>
        <w:rPr>
          <w:spacing w:val="-5"/>
        </w:rPr>
        <w:t xml:space="preserve"> </w:t>
      </w:r>
      <w:r>
        <w:t>of</w:t>
      </w:r>
      <w:r>
        <w:rPr>
          <w:spacing w:val="-3"/>
        </w:rPr>
        <w:t xml:space="preserve"> </w:t>
      </w:r>
      <w:r>
        <w:t>burden</w:t>
      </w:r>
      <w:r>
        <w:rPr>
          <w:spacing w:val="-3"/>
        </w:rPr>
        <w:t xml:space="preserve"> </w:t>
      </w:r>
      <w:r>
        <w:t>hours</w:t>
      </w:r>
      <w:r>
        <w:rPr>
          <w:spacing w:val="-3"/>
        </w:rPr>
        <w:t xml:space="preserve"> </w:t>
      </w:r>
      <w:r>
        <w:t>for</w:t>
      </w:r>
      <w:r>
        <w:rPr>
          <w:spacing w:val="-5"/>
        </w:rPr>
        <w:t xml:space="preserve"> </w:t>
      </w:r>
      <w:r>
        <w:t>this</w:t>
      </w:r>
      <w:r>
        <w:rPr>
          <w:spacing w:val="-3"/>
        </w:rPr>
        <w:t xml:space="preserve"> </w:t>
      </w:r>
      <w:r>
        <w:t>portion</w:t>
      </w:r>
      <w:r>
        <w:rPr>
          <w:spacing w:val="-1"/>
        </w:rPr>
        <w:t xml:space="preserve"> </w:t>
      </w:r>
      <w:r>
        <w:t>of</w:t>
      </w:r>
      <w:r>
        <w:rPr>
          <w:spacing w:val="-3"/>
        </w:rPr>
        <w:t xml:space="preserve"> </w:t>
      </w:r>
      <w:r>
        <w:t>the</w:t>
      </w:r>
      <w:r>
        <w:rPr>
          <w:spacing w:val="-5"/>
        </w:rPr>
        <w:t xml:space="preserve"> </w:t>
      </w:r>
      <w:r>
        <w:t>collection</w:t>
      </w:r>
      <w:r>
        <w:rPr>
          <w:spacing w:val="-3"/>
        </w:rPr>
        <w:t xml:space="preserve"> </w:t>
      </w:r>
      <w:r>
        <w:t>is</w:t>
      </w:r>
      <w:r>
        <w:rPr>
          <w:spacing w:val="-3"/>
        </w:rPr>
        <w:t xml:space="preserve"> </w:t>
      </w:r>
      <w:r>
        <w:t>1,032</w:t>
      </w:r>
      <w:r>
        <w:rPr>
          <w:spacing w:val="-1"/>
        </w:rPr>
        <w:t xml:space="preserve"> </w:t>
      </w:r>
      <w:r>
        <w:t>hours</w:t>
      </w:r>
      <w:r>
        <w:rPr>
          <w:spacing w:val="-3"/>
        </w:rPr>
        <w:t xml:space="preserve"> </w:t>
      </w:r>
      <w:r>
        <w:t xml:space="preserve">(2,064 respondents x 1 </w:t>
      </w:r>
      <w:r w:rsidR="008438D9">
        <w:t>x .5</w:t>
      </w:r>
      <w:r>
        <w:t xml:space="preserve"> (represents ½ hour).</w:t>
      </w:r>
    </w:p>
    <w:p w:rsidR="00F36DA0" w14:paraId="5DDF15B2" w14:textId="77777777">
      <w:pPr>
        <w:pStyle w:val="BodyText"/>
        <w:spacing w:before="8"/>
        <w:rPr>
          <w:sz w:val="28"/>
        </w:rPr>
      </w:pPr>
    </w:p>
    <w:p w:rsidR="00F36DA0" w14:paraId="525040E7" w14:textId="77777777">
      <w:pPr>
        <w:pStyle w:val="ListParagraph"/>
        <w:numPr>
          <w:ilvl w:val="0"/>
          <w:numId w:val="1"/>
        </w:numPr>
        <w:tabs>
          <w:tab w:val="left" w:pos="841"/>
        </w:tabs>
        <w:ind w:hanging="361"/>
        <w:rPr>
          <w:sz w:val="24"/>
          <w:u w:val="none"/>
        </w:rPr>
      </w:pPr>
      <w:r>
        <w:rPr>
          <w:sz w:val="24"/>
        </w:rPr>
        <w:t>Estimate</w:t>
      </w:r>
      <w:r>
        <w:rPr>
          <w:spacing w:val="-4"/>
          <w:sz w:val="24"/>
        </w:rPr>
        <w:t xml:space="preserve"> </w:t>
      </w:r>
      <w:r>
        <w:rPr>
          <w:sz w:val="24"/>
        </w:rPr>
        <w:t>of</w:t>
      </w:r>
      <w:r>
        <w:rPr>
          <w:spacing w:val="-3"/>
          <w:sz w:val="24"/>
        </w:rPr>
        <w:t xml:space="preserve"> </w:t>
      </w:r>
      <w:r>
        <w:rPr>
          <w:sz w:val="24"/>
        </w:rPr>
        <w:t>Cost</w:t>
      </w:r>
      <w:r>
        <w:rPr>
          <w:spacing w:val="-8"/>
          <w:sz w:val="24"/>
        </w:rPr>
        <w:t xml:space="preserve"> </w:t>
      </w:r>
      <w:r>
        <w:rPr>
          <w:spacing w:val="-2"/>
          <w:sz w:val="24"/>
        </w:rPr>
        <w:t>Burden</w:t>
      </w:r>
    </w:p>
    <w:p w:rsidR="00F36DA0" w14:paraId="6BD6C5B1" w14:textId="77777777">
      <w:pPr>
        <w:pStyle w:val="BodyText"/>
        <w:spacing w:before="8"/>
        <w:rPr>
          <w:sz w:val="27"/>
        </w:rPr>
      </w:pPr>
    </w:p>
    <w:p w:rsidR="00F36DA0" w14:paraId="296B0718" w14:textId="4BB84099">
      <w:pPr>
        <w:pStyle w:val="BodyText"/>
        <w:spacing w:before="90"/>
        <w:ind w:left="830"/>
      </w:pPr>
      <w:r>
        <w:t>The</w:t>
      </w:r>
      <w:r>
        <w:rPr>
          <w:spacing w:val="-4"/>
        </w:rPr>
        <w:t xml:space="preserve"> </w:t>
      </w:r>
      <w:r>
        <w:t>cost</w:t>
      </w:r>
      <w:r>
        <w:rPr>
          <w:spacing w:val="-2"/>
        </w:rPr>
        <w:t xml:space="preserve"> </w:t>
      </w:r>
      <w:r>
        <w:t>burden</w:t>
      </w:r>
      <w:r>
        <w:rPr>
          <w:spacing w:val="-2"/>
        </w:rPr>
        <w:t xml:space="preserve"> </w:t>
      </w:r>
      <w:r>
        <w:t>per</w:t>
      </w:r>
      <w:r>
        <w:rPr>
          <w:spacing w:val="-2"/>
        </w:rPr>
        <w:t xml:space="preserve"> </w:t>
      </w:r>
      <w:r>
        <w:t>response</w:t>
      </w:r>
      <w:r>
        <w:rPr>
          <w:spacing w:val="-3"/>
        </w:rPr>
        <w:t xml:space="preserve"> </w:t>
      </w:r>
      <w:r>
        <w:t>for</w:t>
      </w:r>
      <w:r>
        <w:rPr>
          <w:spacing w:val="-4"/>
        </w:rPr>
        <w:t xml:space="preserve"> </w:t>
      </w:r>
      <w:r>
        <w:t>submitting</w:t>
      </w:r>
      <w:r>
        <w:rPr>
          <w:spacing w:val="-5"/>
        </w:rPr>
        <w:t xml:space="preserve"> </w:t>
      </w:r>
      <w:r>
        <w:t>ATF</w:t>
      </w:r>
      <w:r>
        <w:rPr>
          <w:spacing w:val="-2"/>
        </w:rPr>
        <w:t xml:space="preserve"> </w:t>
      </w:r>
      <w:r>
        <w:t>Form</w:t>
      </w:r>
      <w:r>
        <w:rPr>
          <w:spacing w:val="-2"/>
        </w:rPr>
        <w:t xml:space="preserve"> </w:t>
      </w:r>
      <w:r>
        <w:t>3311.4</w:t>
      </w:r>
      <w:r>
        <w:rPr>
          <w:spacing w:val="-2"/>
        </w:rPr>
        <w:t xml:space="preserve"> </w:t>
      </w:r>
      <w:r>
        <w:t>by</w:t>
      </w:r>
      <w:r>
        <w:rPr>
          <w:spacing w:val="-7"/>
        </w:rPr>
        <w:t xml:space="preserve"> </w:t>
      </w:r>
      <w:r>
        <w:t>mail</w:t>
      </w:r>
      <w:r>
        <w:rPr>
          <w:spacing w:val="-2"/>
        </w:rPr>
        <w:t xml:space="preserve"> </w:t>
      </w:r>
      <w:r>
        <w:t>is</w:t>
      </w:r>
      <w:r>
        <w:rPr>
          <w:spacing w:val="-2"/>
        </w:rPr>
        <w:t xml:space="preserve"> </w:t>
      </w:r>
      <w:r>
        <w:t>$0.</w:t>
      </w:r>
      <w:r w:rsidR="008438D9">
        <w:t>66</w:t>
      </w:r>
      <w:r>
        <w:rPr>
          <w:spacing w:val="-2"/>
        </w:rPr>
        <w:t xml:space="preserve"> </w:t>
      </w:r>
      <w:r>
        <w:t>(rate</w:t>
      </w:r>
      <w:r>
        <w:rPr>
          <w:spacing w:val="-2"/>
        </w:rPr>
        <w:t xml:space="preserve"> </w:t>
      </w:r>
      <w:r>
        <w:t>for postage). The cost burden for this portion of the collection is $</w:t>
      </w:r>
      <w:r w:rsidR="008438D9">
        <w:t>1,300</w:t>
      </w:r>
      <w:r>
        <w:t xml:space="preserve"> (</w:t>
      </w:r>
      <w:r w:rsidR="008438D9">
        <w:t>2,064</w:t>
      </w:r>
      <w:r>
        <w:t xml:space="preserve"> x $0.</w:t>
      </w:r>
      <w:r w:rsidR="008438D9">
        <w:t>66</w:t>
      </w:r>
      <w:r>
        <w:t>).</w:t>
      </w:r>
    </w:p>
    <w:p w:rsidR="00F36DA0" w14:paraId="09FBFDDC" w14:textId="77777777">
      <w:pPr>
        <w:pStyle w:val="BodyText"/>
        <w:ind w:left="826" w:right="89"/>
      </w:pPr>
      <w:r>
        <w:t>However,</w:t>
      </w:r>
      <w:r>
        <w:rPr>
          <w:spacing w:val="-3"/>
        </w:rPr>
        <w:t xml:space="preserve"> </w:t>
      </w:r>
      <w:r>
        <w:t>if</w:t>
      </w:r>
      <w:r>
        <w:rPr>
          <w:spacing w:val="-4"/>
        </w:rPr>
        <w:t xml:space="preserve"> </w:t>
      </w:r>
      <w:r>
        <w:t>respondents</w:t>
      </w:r>
      <w:r>
        <w:rPr>
          <w:spacing w:val="-3"/>
        </w:rPr>
        <w:t xml:space="preserve"> </w:t>
      </w:r>
      <w:r>
        <w:t>choose</w:t>
      </w:r>
      <w:r>
        <w:rPr>
          <w:spacing w:val="-4"/>
        </w:rPr>
        <w:t xml:space="preserve"> </w:t>
      </w:r>
      <w:r>
        <w:t>to</w:t>
      </w:r>
      <w:r>
        <w:rPr>
          <w:spacing w:val="-3"/>
        </w:rPr>
        <w:t xml:space="preserve"> </w:t>
      </w:r>
      <w:r>
        <w:t>submit</w:t>
      </w:r>
      <w:r>
        <w:rPr>
          <w:spacing w:val="-3"/>
        </w:rPr>
        <w:t xml:space="preserve"> </w:t>
      </w:r>
      <w:r>
        <w:t>ATF</w:t>
      </w:r>
      <w:r>
        <w:rPr>
          <w:spacing w:val="-5"/>
        </w:rPr>
        <w:t xml:space="preserve"> </w:t>
      </w:r>
      <w:r>
        <w:t>Form</w:t>
      </w:r>
      <w:r>
        <w:rPr>
          <w:spacing w:val="-3"/>
        </w:rPr>
        <w:t xml:space="preserve"> </w:t>
      </w:r>
      <w:r>
        <w:t>3311.4</w:t>
      </w:r>
      <w:r>
        <w:rPr>
          <w:spacing w:val="-3"/>
        </w:rPr>
        <w:t xml:space="preserve"> </w:t>
      </w:r>
      <w:r>
        <w:t>by</w:t>
      </w:r>
      <w:r>
        <w:rPr>
          <w:spacing w:val="-6"/>
        </w:rPr>
        <w:t xml:space="preserve"> </w:t>
      </w:r>
      <w:r>
        <w:t>email</w:t>
      </w:r>
      <w:r>
        <w:rPr>
          <w:spacing w:val="-3"/>
        </w:rPr>
        <w:t xml:space="preserve"> </w:t>
      </w:r>
      <w:r>
        <w:t>or</w:t>
      </w:r>
      <w:r>
        <w:rPr>
          <w:spacing w:val="-3"/>
        </w:rPr>
        <w:t xml:space="preserve"> </w:t>
      </w:r>
      <w:r>
        <w:t>fax</w:t>
      </w:r>
      <w:r>
        <w:rPr>
          <w:spacing w:val="-1"/>
        </w:rPr>
        <w:t xml:space="preserve"> </w:t>
      </w:r>
      <w:r>
        <w:t>the</w:t>
      </w:r>
      <w:r>
        <w:rPr>
          <w:spacing w:val="-3"/>
        </w:rPr>
        <w:t xml:space="preserve"> </w:t>
      </w:r>
      <w:r>
        <w:t>cost will be reduced.</w:t>
      </w:r>
    </w:p>
    <w:p w:rsidR="00F36DA0" w14:paraId="2346A81B" w14:textId="77777777">
      <w:pPr>
        <w:pStyle w:val="BodyText"/>
        <w:spacing w:before="6"/>
        <w:rPr>
          <w:sz w:val="36"/>
        </w:rPr>
      </w:pPr>
    </w:p>
    <w:p w:rsidR="00F36DA0" w14:paraId="68ABDCB6" w14:textId="77777777">
      <w:pPr>
        <w:pStyle w:val="ListParagraph"/>
        <w:numPr>
          <w:ilvl w:val="0"/>
          <w:numId w:val="1"/>
        </w:numPr>
        <w:tabs>
          <w:tab w:val="left" w:pos="841"/>
        </w:tabs>
        <w:ind w:hanging="361"/>
        <w:rPr>
          <w:sz w:val="24"/>
          <w:u w:val="none"/>
        </w:rPr>
      </w:pPr>
      <w:r>
        <w:rPr>
          <w:sz w:val="24"/>
        </w:rPr>
        <w:t>Cost</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Federal</w:t>
      </w:r>
      <w:r>
        <w:rPr>
          <w:spacing w:val="-2"/>
          <w:sz w:val="24"/>
        </w:rPr>
        <w:t xml:space="preserve"> Government</w:t>
      </w:r>
    </w:p>
    <w:p w:rsidR="00F36DA0" w14:paraId="243F2835" w14:textId="77777777">
      <w:pPr>
        <w:pStyle w:val="BodyText"/>
        <w:spacing w:before="3"/>
        <w:rPr>
          <w:sz w:val="23"/>
        </w:rPr>
      </w:pPr>
    </w:p>
    <w:p w:rsidR="00F36DA0" w14:paraId="25F636EC" w14:textId="77777777">
      <w:pPr>
        <w:pStyle w:val="BodyText"/>
        <w:spacing w:before="90"/>
        <w:ind w:left="835"/>
      </w:pPr>
      <w:r>
        <w:t>There</w:t>
      </w:r>
      <w:r>
        <w:rPr>
          <w:spacing w:val="-4"/>
        </w:rPr>
        <w:t xml:space="preserve"> </w:t>
      </w:r>
      <w:r>
        <w:t>is</w:t>
      </w:r>
      <w:r>
        <w:rPr>
          <w:spacing w:val="-2"/>
        </w:rPr>
        <w:t xml:space="preserve"> </w:t>
      </w:r>
      <w:r>
        <w:t>no</w:t>
      </w:r>
      <w:r>
        <w:rPr>
          <w:spacing w:val="-1"/>
        </w:rPr>
        <w:t xml:space="preserve"> </w:t>
      </w:r>
      <w:r>
        <w:t>cost</w:t>
      </w:r>
      <w:r>
        <w:rPr>
          <w:spacing w:val="-2"/>
        </w:rPr>
        <w:t xml:space="preserve"> </w:t>
      </w:r>
      <w:r>
        <w:t>burden</w:t>
      </w:r>
      <w:r>
        <w:rPr>
          <w:spacing w:val="-1"/>
        </w:rPr>
        <w:t xml:space="preserve"> </w:t>
      </w:r>
      <w:r>
        <w:t>to</w:t>
      </w:r>
      <w:r>
        <w:rPr>
          <w:spacing w:val="-2"/>
        </w:rPr>
        <w:t xml:space="preserve"> </w:t>
      </w:r>
      <w:r>
        <w:t>the</w:t>
      </w:r>
      <w:r>
        <w:rPr>
          <w:spacing w:val="-3"/>
        </w:rPr>
        <w:t xml:space="preserve"> </w:t>
      </w:r>
      <w:r>
        <w:t>Federal</w:t>
      </w:r>
      <w:r>
        <w:rPr>
          <w:spacing w:val="-1"/>
        </w:rPr>
        <w:t xml:space="preserve"> </w:t>
      </w:r>
      <w:r>
        <w:rPr>
          <w:spacing w:val="-2"/>
        </w:rPr>
        <w:t>Government.</w:t>
      </w:r>
    </w:p>
    <w:p w:rsidR="00F36DA0" w14:paraId="71A5C204" w14:textId="77777777">
      <w:pPr>
        <w:pStyle w:val="BodyText"/>
      </w:pPr>
    </w:p>
    <w:p w:rsidR="00F36DA0" w14:paraId="7F10FBD3" w14:textId="77777777">
      <w:pPr>
        <w:pStyle w:val="ListParagraph"/>
        <w:numPr>
          <w:ilvl w:val="0"/>
          <w:numId w:val="1"/>
        </w:numPr>
        <w:tabs>
          <w:tab w:val="left" w:pos="841"/>
        </w:tabs>
        <w:ind w:hanging="361"/>
        <w:rPr>
          <w:sz w:val="24"/>
          <w:u w:val="none"/>
        </w:rPr>
      </w:pPr>
      <w:r>
        <w:rPr>
          <w:sz w:val="24"/>
        </w:rPr>
        <w:t>Reason</w:t>
      </w:r>
      <w:r>
        <w:rPr>
          <w:spacing w:val="-1"/>
          <w:sz w:val="24"/>
        </w:rPr>
        <w:t xml:space="preserve"> </w:t>
      </w:r>
      <w:r>
        <w:rPr>
          <w:sz w:val="24"/>
        </w:rPr>
        <w:t>for</w:t>
      </w:r>
      <w:r>
        <w:rPr>
          <w:spacing w:val="-3"/>
          <w:sz w:val="24"/>
        </w:rPr>
        <w:t xml:space="preserve"> </w:t>
      </w:r>
      <w:r>
        <w:rPr>
          <w:sz w:val="24"/>
        </w:rPr>
        <w:t>Change</w:t>
      </w:r>
      <w:r>
        <w:rPr>
          <w:spacing w:val="-2"/>
          <w:sz w:val="24"/>
        </w:rPr>
        <w:t xml:space="preserve"> </w:t>
      </w:r>
      <w:r>
        <w:rPr>
          <w:sz w:val="24"/>
        </w:rPr>
        <w:t>in</w:t>
      </w:r>
      <w:r>
        <w:rPr>
          <w:spacing w:val="-9"/>
          <w:sz w:val="24"/>
        </w:rPr>
        <w:t xml:space="preserve"> </w:t>
      </w:r>
      <w:r>
        <w:rPr>
          <w:spacing w:val="-2"/>
          <w:sz w:val="24"/>
        </w:rPr>
        <w:t>Burden</w:t>
      </w:r>
    </w:p>
    <w:p w:rsidR="00F36DA0" w14:paraId="4999CEE7" w14:textId="77777777">
      <w:pPr>
        <w:pStyle w:val="BodyText"/>
        <w:spacing w:before="3"/>
        <w:rPr>
          <w:sz w:val="27"/>
        </w:rPr>
      </w:pPr>
    </w:p>
    <w:p w:rsidR="00F36DA0" w14:paraId="2CA35A7F" w14:textId="77777777">
      <w:pPr>
        <w:pStyle w:val="BodyText"/>
        <w:spacing w:before="90"/>
        <w:ind w:left="835"/>
      </w:pPr>
      <w:r>
        <w:t>There</w:t>
      </w:r>
      <w:r>
        <w:rPr>
          <w:spacing w:val="-4"/>
        </w:rPr>
        <w:t xml:space="preserve"> </w:t>
      </w:r>
      <w:r>
        <w:t>is</w:t>
      </w:r>
      <w:r>
        <w:rPr>
          <w:spacing w:val="-1"/>
        </w:rPr>
        <w:t xml:space="preserve"> </w:t>
      </w:r>
      <w:r>
        <w:t>no</w:t>
      </w:r>
      <w:r>
        <w:rPr>
          <w:spacing w:val="-2"/>
        </w:rPr>
        <w:t xml:space="preserve"> </w:t>
      </w:r>
      <w:r>
        <w:t>adjustment</w:t>
      </w:r>
      <w:r>
        <w:rPr>
          <w:spacing w:val="-1"/>
        </w:rPr>
        <w:t xml:space="preserve"> </w:t>
      </w:r>
      <w:r>
        <w:t>in the</w:t>
      </w:r>
      <w:r>
        <w:rPr>
          <w:spacing w:val="-1"/>
        </w:rPr>
        <w:t xml:space="preserve"> </w:t>
      </w:r>
      <w:r>
        <w:t>public</w:t>
      </w:r>
      <w:r>
        <w:rPr>
          <w:spacing w:val="-1"/>
        </w:rPr>
        <w:t xml:space="preserve"> </w:t>
      </w:r>
      <w:r>
        <w:t>burden</w:t>
      </w:r>
      <w:r>
        <w:rPr>
          <w:spacing w:val="-2"/>
        </w:rPr>
        <w:t xml:space="preserve"> </w:t>
      </w:r>
      <w:r>
        <w:t>associated</w:t>
      </w:r>
      <w:r>
        <w:rPr>
          <w:spacing w:val="-1"/>
        </w:rPr>
        <w:t xml:space="preserve"> </w:t>
      </w:r>
      <w:r>
        <w:t>with</w:t>
      </w:r>
      <w:r>
        <w:rPr>
          <w:spacing w:val="-2"/>
        </w:rPr>
        <w:t xml:space="preserve"> </w:t>
      </w:r>
      <w:r>
        <w:t>this</w:t>
      </w:r>
      <w:r>
        <w:rPr>
          <w:spacing w:val="-1"/>
        </w:rPr>
        <w:t xml:space="preserve"> </w:t>
      </w:r>
      <w:r>
        <w:t>information</w:t>
      </w:r>
      <w:r>
        <w:rPr>
          <w:spacing w:val="-2"/>
        </w:rPr>
        <w:t xml:space="preserve"> collection.</w:t>
      </w:r>
    </w:p>
    <w:p w:rsidR="00F36DA0" w14:paraId="11D3872B" w14:textId="77777777">
      <w:pPr>
        <w:pStyle w:val="BodyText"/>
        <w:spacing w:before="1"/>
        <w:rPr>
          <w:sz w:val="30"/>
        </w:rPr>
      </w:pPr>
    </w:p>
    <w:p w:rsidR="00F36DA0" w14:paraId="7AF5259B" w14:textId="77777777">
      <w:pPr>
        <w:pStyle w:val="ListParagraph"/>
        <w:numPr>
          <w:ilvl w:val="0"/>
          <w:numId w:val="1"/>
        </w:numPr>
        <w:tabs>
          <w:tab w:val="left" w:pos="841"/>
        </w:tabs>
        <w:ind w:hanging="361"/>
        <w:rPr>
          <w:sz w:val="24"/>
          <w:u w:val="none"/>
        </w:rPr>
      </w:pPr>
      <w:r>
        <w:rPr>
          <w:sz w:val="24"/>
        </w:rPr>
        <w:t>Anticipated</w:t>
      </w:r>
      <w:r>
        <w:rPr>
          <w:spacing w:val="-2"/>
          <w:sz w:val="24"/>
        </w:rPr>
        <w:t xml:space="preserve"> </w:t>
      </w:r>
      <w:r>
        <w:rPr>
          <w:sz w:val="24"/>
        </w:rPr>
        <w:t>Publication</w:t>
      </w:r>
      <w:r>
        <w:rPr>
          <w:spacing w:val="-2"/>
          <w:sz w:val="24"/>
        </w:rPr>
        <w:t xml:space="preserve"> </w:t>
      </w:r>
      <w:r>
        <w:rPr>
          <w:sz w:val="24"/>
        </w:rPr>
        <w:t>Plan</w:t>
      </w:r>
      <w:r>
        <w:rPr>
          <w:spacing w:val="-1"/>
          <w:sz w:val="24"/>
        </w:rPr>
        <w:t xml:space="preserve"> </w:t>
      </w:r>
      <w:r>
        <w:rPr>
          <w:sz w:val="24"/>
        </w:rPr>
        <w:t>and</w:t>
      </w:r>
      <w:r>
        <w:rPr>
          <w:spacing w:val="-8"/>
          <w:sz w:val="24"/>
        </w:rPr>
        <w:t xml:space="preserve"> </w:t>
      </w:r>
      <w:r>
        <w:rPr>
          <w:spacing w:val="-2"/>
          <w:sz w:val="24"/>
        </w:rPr>
        <w:t>Schedule</w:t>
      </w:r>
    </w:p>
    <w:p w:rsidR="00F36DA0" w14:paraId="29B092DC" w14:textId="77777777">
      <w:pPr>
        <w:pStyle w:val="BodyText"/>
        <w:spacing w:before="5"/>
        <w:rPr>
          <w:sz w:val="27"/>
        </w:rPr>
      </w:pPr>
    </w:p>
    <w:p w:rsidR="00F36DA0" w14:paraId="75FEDCF5" w14:textId="77777777">
      <w:pPr>
        <w:pStyle w:val="BodyText"/>
        <w:spacing w:before="90"/>
        <w:ind w:left="835"/>
      </w:pPr>
      <w:r>
        <w:t>ATF</w:t>
      </w:r>
      <w:r>
        <w:rPr>
          <w:spacing w:val="-4"/>
        </w:rPr>
        <w:t xml:space="preserve"> </w:t>
      </w:r>
      <w:r>
        <w:t>does</w:t>
      </w:r>
      <w:r>
        <w:rPr>
          <w:spacing w:val="-1"/>
        </w:rPr>
        <w:t xml:space="preserve"> </w:t>
      </w:r>
      <w:r>
        <w:t>not</w:t>
      </w:r>
      <w:r>
        <w:rPr>
          <w:spacing w:val="-2"/>
        </w:rPr>
        <w:t xml:space="preserve"> </w:t>
      </w:r>
      <w:r>
        <w:t>plan</w:t>
      </w:r>
      <w:r>
        <w:rPr>
          <w:spacing w:val="-1"/>
        </w:rPr>
        <w:t xml:space="preserve"> </w:t>
      </w:r>
      <w:r>
        <w:t>to</w:t>
      </w:r>
      <w:r>
        <w:rPr>
          <w:spacing w:val="-1"/>
        </w:rPr>
        <w:t xml:space="preserve"> </w:t>
      </w:r>
      <w:r>
        <w:t>publish</w:t>
      </w:r>
      <w:r>
        <w:rPr>
          <w:spacing w:val="-2"/>
        </w:rPr>
        <w:t xml:space="preserve"> </w:t>
      </w:r>
      <w:r>
        <w:t>information</w:t>
      </w:r>
      <w:r>
        <w:rPr>
          <w:spacing w:val="-1"/>
        </w:rPr>
        <w:t xml:space="preserve"> </w:t>
      </w:r>
      <w:r>
        <w:rPr>
          <w:spacing w:val="-2"/>
        </w:rPr>
        <w:t>collected.</w:t>
      </w:r>
    </w:p>
    <w:p w:rsidR="00F36DA0" w14:paraId="4D6F9771" w14:textId="77777777">
      <w:pPr>
        <w:pStyle w:val="BodyText"/>
        <w:spacing w:before="1"/>
        <w:rPr>
          <w:sz w:val="36"/>
        </w:rPr>
      </w:pPr>
    </w:p>
    <w:p w:rsidR="00F36DA0" w14:paraId="4D11AE61" w14:textId="77777777">
      <w:pPr>
        <w:pStyle w:val="ListParagraph"/>
        <w:numPr>
          <w:ilvl w:val="0"/>
          <w:numId w:val="1"/>
        </w:numPr>
        <w:tabs>
          <w:tab w:val="left" w:pos="841"/>
        </w:tabs>
        <w:ind w:hanging="361"/>
        <w:rPr>
          <w:sz w:val="24"/>
          <w:u w:val="none"/>
        </w:rPr>
      </w:pPr>
      <w:r>
        <w:rPr>
          <w:sz w:val="24"/>
        </w:rPr>
        <w:t>Display</w:t>
      </w:r>
      <w:r>
        <w:rPr>
          <w:spacing w:val="-9"/>
          <w:sz w:val="24"/>
        </w:rPr>
        <w:t xml:space="preserve"> </w:t>
      </w:r>
      <w:r>
        <w:rPr>
          <w:sz w:val="24"/>
        </w:rPr>
        <w:t>of</w:t>
      </w:r>
      <w:r>
        <w:rPr>
          <w:spacing w:val="-1"/>
          <w:sz w:val="24"/>
        </w:rPr>
        <w:t xml:space="preserve"> </w:t>
      </w:r>
      <w:r>
        <w:rPr>
          <w:sz w:val="24"/>
        </w:rPr>
        <w:t>Expiration</w:t>
      </w:r>
      <w:r>
        <w:rPr>
          <w:spacing w:val="-18"/>
          <w:sz w:val="24"/>
        </w:rPr>
        <w:t xml:space="preserve"> </w:t>
      </w:r>
      <w:r>
        <w:rPr>
          <w:spacing w:val="-4"/>
          <w:sz w:val="24"/>
        </w:rPr>
        <w:t>Date</w:t>
      </w:r>
    </w:p>
    <w:p w:rsidR="00F36DA0" w14:paraId="3A5BA165" w14:textId="77777777">
      <w:pPr>
        <w:pStyle w:val="BodyText"/>
        <w:spacing w:before="3"/>
        <w:rPr>
          <w:sz w:val="16"/>
        </w:rPr>
      </w:pPr>
    </w:p>
    <w:p w:rsidR="00F36DA0" w14:paraId="684B7795" w14:textId="77777777">
      <w:pPr>
        <w:pStyle w:val="BodyText"/>
        <w:spacing w:before="90" w:line="242" w:lineRule="auto"/>
        <w:ind w:left="835" w:right="605"/>
      </w:pPr>
      <w:r>
        <w:t>ATF</w:t>
      </w:r>
      <w:r>
        <w:rPr>
          <w:spacing w:val="-5"/>
        </w:rPr>
        <w:t xml:space="preserve"> </w:t>
      </w:r>
      <w:r>
        <w:t>does</w:t>
      </w:r>
      <w:r>
        <w:rPr>
          <w:spacing w:val="-3"/>
        </w:rPr>
        <w:t xml:space="preserve"> </w:t>
      </w:r>
      <w:r>
        <w:t>not</w:t>
      </w:r>
      <w:r>
        <w:rPr>
          <w:spacing w:val="-3"/>
        </w:rPr>
        <w:t xml:space="preserve"> </w:t>
      </w:r>
      <w:r>
        <w:t>request</w:t>
      </w:r>
      <w:r>
        <w:rPr>
          <w:spacing w:val="-3"/>
        </w:rPr>
        <w:t xml:space="preserve"> </w:t>
      </w:r>
      <w:r>
        <w:t>authorization</w:t>
      </w:r>
      <w:r>
        <w:rPr>
          <w:spacing w:val="-3"/>
        </w:rPr>
        <w:t xml:space="preserve"> </w:t>
      </w:r>
      <w:r>
        <w:t>to</w:t>
      </w:r>
      <w:r>
        <w:rPr>
          <w:spacing w:val="-3"/>
        </w:rPr>
        <w:t xml:space="preserve"> </w:t>
      </w:r>
      <w:r>
        <w:t>omit</w:t>
      </w:r>
      <w:r>
        <w:rPr>
          <w:spacing w:val="-3"/>
        </w:rPr>
        <w:t xml:space="preserve"> </w:t>
      </w:r>
      <w:r>
        <w:t>printing</w:t>
      </w:r>
      <w:r>
        <w:rPr>
          <w:spacing w:val="-6"/>
        </w:rPr>
        <w:t xml:space="preserve"> </w:t>
      </w:r>
      <w:r>
        <w:t>the</w:t>
      </w:r>
      <w:r>
        <w:rPr>
          <w:spacing w:val="-2"/>
        </w:rPr>
        <w:t xml:space="preserve"> </w:t>
      </w:r>
      <w:r>
        <w:t>expiration</w:t>
      </w:r>
      <w:r>
        <w:rPr>
          <w:spacing w:val="-3"/>
        </w:rPr>
        <w:t xml:space="preserve"> </w:t>
      </w:r>
      <w:r>
        <w:t>date</w:t>
      </w:r>
      <w:r>
        <w:rPr>
          <w:spacing w:val="-3"/>
        </w:rPr>
        <w:t xml:space="preserve"> </w:t>
      </w:r>
      <w:r>
        <w:t>on</w:t>
      </w:r>
      <w:r>
        <w:rPr>
          <w:spacing w:val="-3"/>
        </w:rPr>
        <w:t xml:space="preserve"> </w:t>
      </w:r>
      <w:r>
        <w:t>the</w:t>
      </w:r>
      <w:r>
        <w:rPr>
          <w:spacing w:val="-4"/>
        </w:rPr>
        <w:t xml:space="preserve"> </w:t>
      </w:r>
      <w:r>
        <w:t>ATF form 3311.4.</w:t>
      </w:r>
    </w:p>
    <w:p w:rsidR="00F36DA0" w14:paraId="32376B71" w14:textId="77777777">
      <w:pPr>
        <w:pStyle w:val="BodyText"/>
        <w:rPr>
          <w:sz w:val="26"/>
        </w:rPr>
      </w:pPr>
    </w:p>
    <w:p w:rsidR="00F36DA0" w14:paraId="13219F80" w14:textId="77777777">
      <w:pPr>
        <w:pStyle w:val="ListParagraph"/>
        <w:numPr>
          <w:ilvl w:val="0"/>
          <w:numId w:val="1"/>
        </w:numPr>
        <w:tabs>
          <w:tab w:val="left" w:pos="841"/>
        </w:tabs>
        <w:spacing w:before="163"/>
        <w:ind w:hanging="361"/>
        <w:rPr>
          <w:sz w:val="24"/>
          <w:u w:val="none"/>
        </w:rPr>
      </w:pPr>
      <w:r>
        <w:rPr>
          <w:sz w:val="24"/>
        </w:rPr>
        <w:t>Exception</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Certification</w:t>
      </w:r>
      <w:r>
        <w:rPr>
          <w:spacing w:val="-13"/>
          <w:sz w:val="24"/>
        </w:rPr>
        <w:t xml:space="preserve"> </w:t>
      </w:r>
      <w:r>
        <w:rPr>
          <w:spacing w:val="-2"/>
          <w:sz w:val="24"/>
        </w:rPr>
        <w:t>Statement</w:t>
      </w:r>
    </w:p>
    <w:p w:rsidR="00F36DA0" w14:paraId="0BF0B5FD" w14:textId="77777777">
      <w:pPr>
        <w:pStyle w:val="BodyText"/>
        <w:rPr>
          <w:sz w:val="25"/>
        </w:rPr>
      </w:pPr>
    </w:p>
    <w:p w:rsidR="00F36DA0" w14:paraId="2C825F23" w14:textId="77777777">
      <w:pPr>
        <w:pStyle w:val="BodyText"/>
        <w:spacing w:before="90"/>
        <w:ind w:left="835"/>
      </w:pPr>
      <w:r>
        <w:t>There</w:t>
      </w:r>
      <w:r>
        <w:rPr>
          <w:spacing w:val="-2"/>
        </w:rPr>
        <w:t xml:space="preserve"> </w:t>
      </w:r>
      <w:r>
        <w:t>are</w:t>
      </w:r>
      <w:r>
        <w:rPr>
          <w:spacing w:val="-3"/>
        </w:rPr>
        <w:t xml:space="preserve"> </w:t>
      </w:r>
      <w:r>
        <w:t>no exceptions</w:t>
      </w:r>
      <w:r>
        <w:rPr>
          <w:spacing w:val="-1"/>
        </w:rPr>
        <w:t xml:space="preserve"> </w:t>
      </w:r>
      <w:r>
        <w:t>to the</w:t>
      </w:r>
      <w:r>
        <w:rPr>
          <w:spacing w:val="-1"/>
        </w:rPr>
        <w:t xml:space="preserve"> </w:t>
      </w:r>
      <w:r>
        <w:t>certification</w:t>
      </w:r>
      <w:r>
        <w:rPr>
          <w:spacing w:val="-2"/>
        </w:rPr>
        <w:t xml:space="preserve"> statement.</w:t>
      </w:r>
    </w:p>
    <w:sectPr>
      <w:pgSz w:w="12240" w:h="15840"/>
      <w:pgMar w:top="1560" w:right="1240" w:bottom="1200" w:left="1320" w:header="0" w:footer="101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DA0" w14:paraId="0A2E99AA"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3687445</wp:posOffset>
              </wp:positionH>
              <wp:positionV relativeFrom="page">
                <wp:posOffset>9277350</wp:posOffset>
              </wp:positionV>
              <wp:extent cx="159385" cy="180975"/>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938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36DA0" w14:paraId="0A6DC8DD" w14:textId="77777777">
                          <w:pPr>
                            <w:spacing w:before="11"/>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2.55pt;height:14.25pt;margin-top:730.5pt;margin-left:290.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F36DA0" w14:paraId="0A0A0BFA" w14:textId="77777777">
                    <w:pPr>
                      <w:spacing w:before="11"/>
                      <w:ind w:left="60"/>
                    </w:pPr>
                    <w:r>
                      <w:fldChar w:fldCharType="begin"/>
                    </w:r>
                    <w:r>
                      <w:instrText xml:space="preserve"> PAGE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0034CF"/>
    <w:multiLevelType w:val="hybridMultilevel"/>
    <w:tmpl w:val="36582278"/>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9"/>
        <w:w w:val="95"/>
        <w:sz w:val="24"/>
        <w:szCs w:val="24"/>
        <w:lang w:val="en-US" w:eastAsia="en-US" w:bidi="ar-SA"/>
      </w:rPr>
    </w:lvl>
    <w:lvl w:ilvl="1">
      <w:start w:val="0"/>
      <w:numFmt w:val="bullet"/>
      <w:lvlText w:val="•"/>
      <w:lvlJc w:val="left"/>
      <w:pPr>
        <w:ind w:left="1724" w:hanging="360"/>
      </w:pPr>
      <w:rPr>
        <w:rFonts w:hint="default"/>
        <w:lang w:val="en-US" w:eastAsia="en-US" w:bidi="ar-SA"/>
      </w:rPr>
    </w:lvl>
    <w:lvl w:ilvl="2">
      <w:start w:val="0"/>
      <w:numFmt w:val="bullet"/>
      <w:lvlText w:val="•"/>
      <w:lvlJc w:val="left"/>
      <w:pPr>
        <w:ind w:left="2608" w:hanging="360"/>
      </w:pPr>
      <w:rPr>
        <w:rFonts w:hint="default"/>
        <w:lang w:val="en-US" w:eastAsia="en-US" w:bidi="ar-SA"/>
      </w:rPr>
    </w:lvl>
    <w:lvl w:ilvl="3">
      <w:start w:val="0"/>
      <w:numFmt w:val="bullet"/>
      <w:lvlText w:val="•"/>
      <w:lvlJc w:val="left"/>
      <w:pPr>
        <w:ind w:left="3492" w:hanging="360"/>
      </w:pPr>
      <w:rPr>
        <w:rFonts w:hint="default"/>
        <w:lang w:val="en-US" w:eastAsia="en-US" w:bidi="ar-SA"/>
      </w:rPr>
    </w:lvl>
    <w:lvl w:ilvl="4">
      <w:start w:val="0"/>
      <w:numFmt w:val="bullet"/>
      <w:lvlText w:val="•"/>
      <w:lvlJc w:val="left"/>
      <w:pPr>
        <w:ind w:left="4376" w:hanging="360"/>
      </w:pPr>
      <w:rPr>
        <w:rFonts w:hint="default"/>
        <w:lang w:val="en-US" w:eastAsia="en-US" w:bidi="ar-SA"/>
      </w:rPr>
    </w:lvl>
    <w:lvl w:ilvl="5">
      <w:start w:val="0"/>
      <w:numFmt w:val="bullet"/>
      <w:lvlText w:val="•"/>
      <w:lvlJc w:val="left"/>
      <w:pPr>
        <w:ind w:left="5260" w:hanging="360"/>
      </w:pPr>
      <w:rPr>
        <w:rFonts w:hint="default"/>
        <w:lang w:val="en-US" w:eastAsia="en-US" w:bidi="ar-SA"/>
      </w:rPr>
    </w:lvl>
    <w:lvl w:ilvl="6">
      <w:start w:val="0"/>
      <w:numFmt w:val="bullet"/>
      <w:lvlText w:val="•"/>
      <w:lvlJc w:val="left"/>
      <w:pPr>
        <w:ind w:left="6144" w:hanging="360"/>
      </w:pPr>
      <w:rPr>
        <w:rFonts w:hint="default"/>
        <w:lang w:val="en-US" w:eastAsia="en-US" w:bidi="ar-SA"/>
      </w:rPr>
    </w:lvl>
    <w:lvl w:ilvl="7">
      <w:start w:val="0"/>
      <w:numFmt w:val="bullet"/>
      <w:lvlText w:val="•"/>
      <w:lvlJc w:val="left"/>
      <w:pPr>
        <w:ind w:left="7028" w:hanging="360"/>
      </w:pPr>
      <w:rPr>
        <w:rFonts w:hint="default"/>
        <w:lang w:val="en-US" w:eastAsia="en-US" w:bidi="ar-SA"/>
      </w:rPr>
    </w:lvl>
    <w:lvl w:ilvl="8">
      <w:start w:val="0"/>
      <w:numFmt w:val="bullet"/>
      <w:lvlText w:val="•"/>
      <w:lvlJc w:val="left"/>
      <w:pPr>
        <w:ind w:left="7912" w:hanging="360"/>
      </w:pPr>
      <w:rPr>
        <w:rFonts w:hint="default"/>
        <w:lang w:val="en-US" w:eastAsia="en-US" w:bidi="ar-SA"/>
      </w:rPr>
    </w:lvl>
  </w:abstractNum>
  <w:num w:numId="1" w16cid:durableId="2035693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DA0"/>
    <w:rsid w:val="0003447C"/>
    <w:rsid w:val="001C2326"/>
    <w:rsid w:val="004757A7"/>
    <w:rsid w:val="004840A8"/>
    <w:rsid w:val="00774092"/>
    <w:rsid w:val="008438D9"/>
    <w:rsid w:val="009C2CD2"/>
    <w:rsid w:val="00AD078E"/>
    <w:rsid w:val="00C81005"/>
    <w:rsid w:val="00DB0611"/>
    <w:rsid w:val="00F36D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A62B7D"/>
  <w15:docId w15:val="{FBBCDF52-6E41-40D2-BF83-36F63BC06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65"/>
      <w:ind w:left="118"/>
    </w:pPr>
    <w:rPr>
      <w:b/>
      <w:bCs/>
      <w:sz w:val="24"/>
      <w:szCs w:val="24"/>
    </w:rPr>
  </w:style>
  <w:style w:type="paragraph" w:styleId="ListParagraph">
    <w:name w:val="List Paragraph"/>
    <w:basedOn w:val="Normal"/>
    <w:uiPriority w:val="1"/>
    <w:qFormat/>
    <w:pPr>
      <w:ind w:left="840" w:hanging="361"/>
    </w:pPr>
    <w:rPr>
      <w:u w:val="single" w:color="000000"/>
    </w:rPr>
  </w:style>
  <w:style w:type="paragraph" w:customStyle="1" w:styleId="TableParagraph">
    <w:name w:val="Table Paragraph"/>
    <w:basedOn w:val="Normal"/>
    <w:uiPriority w:val="1"/>
    <w:qFormat/>
  </w:style>
  <w:style w:type="paragraph" w:styleId="Revision">
    <w:name w:val="Revision"/>
    <w:hidden/>
    <w:uiPriority w:val="99"/>
    <w:semiHidden/>
    <w:rsid w:val="001C2326"/>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74092"/>
    <w:rPr>
      <w:sz w:val="16"/>
      <w:szCs w:val="16"/>
    </w:rPr>
  </w:style>
  <w:style w:type="paragraph" w:styleId="CommentText">
    <w:name w:val="annotation text"/>
    <w:basedOn w:val="Normal"/>
    <w:link w:val="CommentTextChar"/>
    <w:uiPriority w:val="99"/>
    <w:unhideWhenUsed/>
    <w:rsid w:val="00774092"/>
    <w:rPr>
      <w:sz w:val="20"/>
      <w:szCs w:val="20"/>
    </w:rPr>
  </w:style>
  <w:style w:type="character" w:customStyle="1" w:styleId="CommentTextChar">
    <w:name w:val="Comment Text Char"/>
    <w:basedOn w:val="DefaultParagraphFont"/>
    <w:link w:val="CommentText"/>
    <w:uiPriority w:val="99"/>
    <w:rsid w:val="007740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74092"/>
    <w:rPr>
      <w:b/>
      <w:bCs/>
    </w:rPr>
  </w:style>
  <w:style w:type="character" w:customStyle="1" w:styleId="CommentSubjectChar">
    <w:name w:val="Comment Subject Char"/>
    <w:basedOn w:val="CommentTextChar"/>
    <w:link w:val="CommentSubject"/>
    <w:uiPriority w:val="99"/>
    <w:semiHidden/>
    <w:rsid w:val="0077409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Marking_Variances@atf.gov" TargetMode="External" /><Relationship Id="rId5" Type="http://schemas.openxmlformats.org/officeDocument/2006/relationships/hyperlink" Target="http://www.atf.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Joseph J. (ATF)</dc:creator>
  <cp:lastModifiedBy>Amoah, Mammyaa (JMD) (CTR)</cp:lastModifiedBy>
  <cp:revision>2</cp:revision>
  <dcterms:created xsi:type="dcterms:W3CDTF">2023-07-31T17:57:00Z</dcterms:created>
  <dcterms:modified xsi:type="dcterms:W3CDTF">2023-07-31T17:57:00Z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2020-03-30T00:00:00Z</vt:filetime>
  </property>
  <property fmtid="{D5CDD505-2E9C-101B-9397-08002B2CF9AE}" pid="3" name="LastSaved">
    <vt:filetime>2023-04-25T00:00:00Z</vt:filetime>
  </property>
</Properties>
</file>