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CED" w:rsidRPr="00EE1125" w:rsidP="00F26CED" w14:paraId="15E4316B" w14:textId="37F1A151">
      <w:pPr>
        <w:jc w:val="center"/>
        <w:rPr>
          <w:rFonts w:ascii="Times New Roman" w:hAnsi="Times New Roman"/>
          <w:b/>
          <w:bCs/>
        </w:rPr>
      </w:pPr>
      <w:r>
        <w:rPr>
          <w:rFonts w:ascii="Times New Roman" w:hAnsi="Times New Roman"/>
          <w:b/>
          <w:bCs/>
        </w:rPr>
        <w:t xml:space="preserve"> </w:t>
      </w:r>
      <w:r w:rsidR="001D3F83">
        <w:rPr>
          <w:rFonts w:ascii="Times New Roman" w:hAnsi="Times New Roman"/>
          <w:b/>
          <w:bCs/>
        </w:rPr>
        <w:t xml:space="preserve"> </w:t>
      </w:r>
    </w:p>
    <w:p w:rsidR="001114E4" w:rsidRPr="00BA1CEE" w:rsidP="00500268" w14:paraId="04AFB919" w14:textId="59831C5E">
      <w:pPr>
        <w:jc w:val="center"/>
        <w:rPr>
          <w:rFonts w:ascii="Times New Roman" w:hAnsi="Times New Roman"/>
          <w:b/>
          <w:bCs/>
        </w:rPr>
      </w:pPr>
      <w:r w:rsidRPr="00BA1CEE">
        <w:rPr>
          <w:rFonts w:ascii="Times New Roman" w:hAnsi="Times New Roman"/>
          <w:b/>
          <w:bCs/>
        </w:rPr>
        <w:t>Note to Reviewer</w:t>
      </w:r>
    </w:p>
    <w:p w:rsidR="00E11AA2" w:rsidRPr="00BA1CEE" w14:paraId="357E6D6E" w14:textId="4E38F05F">
      <w:pPr>
        <w:widowControl/>
        <w:autoSpaceDE/>
        <w:autoSpaceDN/>
        <w:adjustRightInd/>
        <w:rPr>
          <w:rFonts w:ascii="Times New Roman" w:hAnsi="Times New Roman"/>
          <w:b/>
          <w:bCs/>
        </w:rPr>
      </w:pPr>
    </w:p>
    <w:p w:rsidR="005650CB" w:rsidRPr="00BA1CEE" w:rsidP="005650CB" w14:paraId="15CBA37B" w14:textId="7120D5BC">
      <w:pPr>
        <w:widowControl/>
        <w:autoSpaceDE/>
        <w:autoSpaceDN/>
        <w:adjustRightInd/>
        <w:rPr>
          <w:rFonts w:ascii="Times New Roman" w:hAnsi="Times New Roman"/>
        </w:rPr>
      </w:pPr>
      <w:r w:rsidRPr="00BA1CEE">
        <w:rPr>
          <w:rFonts w:ascii="Times New Roman" w:hAnsi="Times New Roman"/>
        </w:rPr>
        <w:t xml:space="preserve">OSHA </w:t>
      </w:r>
      <w:r w:rsidRPr="00BA1CEE" w:rsidR="005E50E1">
        <w:rPr>
          <w:rFonts w:ascii="Times New Roman" w:hAnsi="Times New Roman"/>
        </w:rPr>
        <w:t>implemented</w:t>
      </w:r>
      <w:r w:rsidRPr="00BA1CEE" w:rsidR="00E30873">
        <w:rPr>
          <w:rFonts w:ascii="Times New Roman" w:hAnsi="Times New Roman"/>
        </w:rPr>
        <w:t xml:space="preserve"> a final rule</w:t>
      </w:r>
      <w:r w:rsidRPr="00BA1CEE" w:rsidR="00EE2DF3">
        <w:rPr>
          <w:rFonts w:ascii="Times New Roman" w:hAnsi="Times New Roman"/>
        </w:rPr>
        <w:t>,</w:t>
      </w:r>
      <w:r w:rsidRPr="00BA1CEE" w:rsidR="00621458">
        <w:rPr>
          <w:rFonts w:ascii="Times New Roman" w:hAnsi="Times New Roman"/>
        </w:rPr>
        <w:t xml:space="preserve"> </w:t>
      </w:r>
      <w:r w:rsidRPr="00BA1CEE" w:rsidR="00621458">
        <w:rPr>
          <w:rFonts w:ascii="Times New Roman" w:hAnsi="Times New Roman"/>
          <w:i/>
          <w:iCs/>
        </w:rPr>
        <w:t xml:space="preserve">Improve Tracking of Workplace </w:t>
      </w:r>
      <w:r w:rsidRPr="00BA1CEE" w:rsidR="00621458">
        <w:rPr>
          <w:rFonts w:ascii="Times New Roman" w:hAnsi="Times New Roman"/>
          <w:i/>
          <w:iCs/>
        </w:rPr>
        <w:t>Injuries</w:t>
      </w:r>
      <w:r w:rsidRPr="00BA1CEE" w:rsidR="00621458">
        <w:rPr>
          <w:rFonts w:ascii="Times New Roman" w:hAnsi="Times New Roman"/>
          <w:i/>
          <w:iCs/>
        </w:rPr>
        <w:t xml:space="preserve"> and Illnesses </w:t>
      </w:r>
      <w:r w:rsidRPr="00BA1CEE" w:rsidR="00621458">
        <w:rPr>
          <w:rFonts w:ascii="Times New Roman" w:hAnsi="Times New Roman"/>
        </w:rPr>
        <w:t xml:space="preserve">(RIN 1218-AD40), which </w:t>
      </w:r>
      <w:r w:rsidRPr="00BA1CEE" w:rsidR="00260330">
        <w:rPr>
          <w:rFonts w:ascii="Times New Roman" w:hAnsi="Times New Roman"/>
        </w:rPr>
        <w:t>contains</w:t>
      </w:r>
      <w:r w:rsidRPr="00BA1CEE" w:rsidR="00C33612">
        <w:rPr>
          <w:rFonts w:ascii="Times New Roman" w:hAnsi="Times New Roman"/>
        </w:rPr>
        <w:t xml:space="preserve"> new</w:t>
      </w:r>
      <w:r w:rsidRPr="00BA1CEE" w:rsidR="00260330">
        <w:rPr>
          <w:rFonts w:ascii="Times New Roman" w:hAnsi="Times New Roman"/>
        </w:rPr>
        <w:t xml:space="preserve"> </w:t>
      </w:r>
      <w:r w:rsidRPr="00BA1CEE" w:rsidR="00621458">
        <w:rPr>
          <w:rFonts w:ascii="Times New Roman" w:hAnsi="Times New Roman"/>
        </w:rPr>
        <w:t xml:space="preserve">information collection requirements </w:t>
      </w:r>
      <w:r w:rsidRPr="00BA1CEE" w:rsidR="005B2DD7">
        <w:rPr>
          <w:rFonts w:ascii="Times New Roman" w:hAnsi="Times New Roman"/>
        </w:rPr>
        <w:t>t</w:t>
      </w:r>
      <w:r w:rsidRPr="00BA1CEE" w:rsidR="008B6282">
        <w:rPr>
          <w:rFonts w:ascii="Times New Roman" w:hAnsi="Times New Roman"/>
        </w:rPr>
        <w:t>hat</w:t>
      </w:r>
      <w:r w:rsidRPr="00BA1CEE" w:rsidR="00AB38B9">
        <w:rPr>
          <w:rFonts w:ascii="Times New Roman" w:hAnsi="Times New Roman"/>
        </w:rPr>
        <w:t xml:space="preserve"> </w:t>
      </w:r>
      <w:r w:rsidRPr="00BA1CEE" w:rsidR="006A4FB7">
        <w:rPr>
          <w:rFonts w:ascii="Times New Roman" w:hAnsi="Times New Roman"/>
        </w:rPr>
        <w:t>are</w:t>
      </w:r>
      <w:r w:rsidRPr="00BA1CEE" w:rsidR="006019F9">
        <w:rPr>
          <w:rFonts w:ascii="Times New Roman" w:hAnsi="Times New Roman"/>
        </w:rPr>
        <w:t xml:space="preserve"> subject to</w:t>
      </w:r>
      <w:r w:rsidRPr="00BA1CEE" w:rsidR="002F035C">
        <w:rPr>
          <w:rFonts w:ascii="Times New Roman" w:hAnsi="Times New Roman"/>
        </w:rPr>
        <w:t xml:space="preserve"> OMB approval</w:t>
      </w:r>
      <w:r w:rsidRPr="00BA1CEE" w:rsidR="00BA0246">
        <w:rPr>
          <w:rFonts w:ascii="Times New Roman" w:hAnsi="Times New Roman"/>
        </w:rPr>
        <w:t xml:space="preserve"> under</w:t>
      </w:r>
      <w:r w:rsidRPr="00BA1CEE" w:rsidR="00AB1F0E">
        <w:rPr>
          <w:rFonts w:ascii="Times New Roman" w:hAnsi="Times New Roman"/>
        </w:rPr>
        <w:t xml:space="preserve"> a</w:t>
      </w:r>
      <w:r w:rsidRPr="00BA1CEE" w:rsidR="003733E4">
        <w:rPr>
          <w:rFonts w:ascii="Times New Roman" w:hAnsi="Times New Roman"/>
        </w:rPr>
        <w:t xml:space="preserve"> </w:t>
      </w:r>
      <w:r w:rsidRPr="00BA1CEE" w:rsidR="00A31BCB">
        <w:rPr>
          <w:rFonts w:ascii="Times New Roman" w:hAnsi="Times New Roman"/>
        </w:rPr>
        <w:t>new OMB Control Number</w:t>
      </w:r>
      <w:r w:rsidRPr="00BA1CEE" w:rsidR="000C17ED">
        <w:rPr>
          <w:rFonts w:ascii="Times New Roman" w:hAnsi="Times New Roman"/>
        </w:rPr>
        <w:t xml:space="preserve"> 1218-0</w:t>
      </w:r>
      <w:r w:rsidRPr="00BA1CEE" w:rsidR="00921138">
        <w:rPr>
          <w:rFonts w:ascii="Times New Roman" w:hAnsi="Times New Roman"/>
        </w:rPr>
        <w:t>279</w:t>
      </w:r>
      <w:r w:rsidRPr="00BA1CEE" w:rsidR="00156D16">
        <w:rPr>
          <w:rFonts w:ascii="Times New Roman" w:hAnsi="Times New Roman"/>
        </w:rPr>
        <w:t>.</w:t>
      </w:r>
      <w:r w:rsidRPr="00BA1CEE" w:rsidR="0088473A">
        <w:rPr>
          <w:rFonts w:ascii="Times New Roman" w:hAnsi="Times New Roman"/>
        </w:rPr>
        <w:t xml:space="preserve"> </w:t>
      </w:r>
    </w:p>
    <w:p w:rsidR="00B94099" w:rsidRPr="00BA1CEE" w:rsidP="0077082D" w14:paraId="37A1FF32" w14:textId="77777777">
      <w:pPr>
        <w:rPr>
          <w:rFonts w:ascii="Times New Roman" w:hAnsi="Times New Roman"/>
        </w:rPr>
      </w:pPr>
    </w:p>
    <w:p w:rsidR="0077082D" w:rsidRPr="00BA1CEE" w:rsidP="0077082D" w14:paraId="51C5C86C" w14:textId="53BDC327">
      <w:pPr>
        <w:rPr>
          <w:rFonts w:ascii="Times New Roman" w:hAnsi="Times New Roman"/>
        </w:rPr>
      </w:pPr>
      <w:r w:rsidRPr="00BA1CEE">
        <w:rPr>
          <w:rFonts w:ascii="Times New Roman" w:hAnsi="Times New Roman"/>
        </w:rPr>
        <w:t xml:space="preserve">The agency </w:t>
      </w:r>
      <w:r w:rsidRPr="00BA1CEE">
        <w:rPr>
          <w:rFonts w:ascii="Times New Roman" w:hAnsi="Times New Roman"/>
        </w:rPr>
        <w:t xml:space="preserve">is </w:t>
      </w:r>
      <w:r w:rsidRPr="00BA1CEE" w:rsidR="0073574B">
        <w:rPr>
          <w:rFonts w:ascii="Times New Roman" w:hAnsi="Times New Roman"/>
        </w:rPr>
        <w:t xml:space="preserve">revising </w:t>
      </w:r>
      <w:r w:rsidRPr="00BA1CEE">
        <w:rPr>
          <w:rFonts w:ascii="Times New Roman" w:hAnsi="Times New Roman"/>
        </w:rPr>
        <w:t>its Occupational Injury and Illness Recording and Reporting (Recordkeeping) regulation (29 CFR Part 1904) to require</w:t>
      </w:r>
      <w:r w:rsidRPr="00BA1CEE" w:rsidR="00E1603B">
        <w:rPr>
          <w:rFonts w:ascii="Times New Roman" w:hAnsi="Times New Roman"/>
        </w:rPr>
        <w:t xml:space="preserve"> certain</w:t>
      </w:r>
      <w:r w:rsidRPr="00BA1CEE">
        <w:rPr>
          <w:rFonts w:ascii="Times New Roman" w:hAnsi="Times New Roman"/>
        </w:rPr>
        <w:t xml:space="preserve"> employers to submit electronically to OSHA information captured on their completed OSHA 300</w:t>
      </w:r>
      <w:r w:rsidRPr="00BA1CEE" w:rsidR="00374691">
        <w:rPr>
          <w:rFonts w:ascii="Times New Roman" w:hAnsi="Times New Roman"/>
        </w:rPr>
        <w:t xml:space="preserve"> and </w:t>
      </w:r>
      <w:r w:rsidRPr="00BA1CEE">
        <w:rPr>
          <w:rFonts w:ascii="Times New Roman" w:hAnsi="Times New Roman"/>
        </w:rPr>
        <w:t>301</w:t>
      </w:r>
      <w:r w:rsidRPr="00BA1CEE" w:rsidR="00F00213">
        <w:rPr>
          <w:rFonts w:ascii="Times New Roman" w:hAnsi="Times New Roman"/>
        </w:rPr>
        <w:t xml:space="preserve"> </w:t>
      </w:r>
      <w:r w:rsidRPr="00BA1CEE">
        <w:rPr>
          <w:rFonts w:ascii="Times New Roman" w:hAnsi="Times New Roman"/>
        </w:rPr>
        <w:t xml:space="preserve">Forms.  </w:t>
      </w:r>
      <w:r w:rsidRPr="00BA1CEE" w:rsidR="006E2795">
        <w:rPr>
          <w:rFonts w:ascii="Times New Roman" w:hAnsi="Times New Roman"/>
        </w:rPr>
        <w:t xml:space="preserve">These new requirements are contained under 1904.41 (see attachment 1). </w:t>
      </w:r>
      <w:r w:rsidRPr="00BA1CEE">
        <w:rPr>
          <w:rFonts w:ascii="Times New Roman" w:hAnsi="Times New Roman"/>
          <w:bCs/>
        </w:rPr>
        <w:t xml:space="preserve">The </w:t>
      </w:r>
      <w:r w:rsidRPr="00BA1CEE" w:rsidR="004278A1">
        <w:rPr>
          <w:rFonts w:ascii="Times New Roman" w:hAnsi="Times New Roman"/>
          <w:bCs/>
        </w:rPr>
        <w:t xml:space="preserve">final </w:t>
      </w:r>
      <w:r w:rsidRPr="00BA1CEE">
        <w:rPr>
          <w:rFonts w:ascii="Times New Roman" w:hAnsi="Times New Roman"/>
          <w:bCs/>
        </w:rPr>
        <w:t xml:space="preserve">rule does not add to or change any employer’s obligation to complete and retain the injury and illness records. The </w:t>
      </w:r>
      <w:r w:rsidRPr="00BA1CEE" w:rsidR="004278A1">
        <w:rPr>
          <w:rFonts w:ascii="Times New Roman" w:hAnsi="Times New Roman"/>
          <w:bCs/>
        </w:rPr>
        <w:t xml:space="preserve">final </w:t>
      </w:r>
      <w:r w:rsidRPr="00BA1CEE">
        <w:rPr>
          <w:rFonts w:ascii="Times New Roman" w:hAnsi="Times New Roman"/>
          <w:bCs/>
        </w:rPr>
        <w:t xml:space="preserve">rule also does not add to or change the recording criteria or definitions for these records. The </w:t>
      </w:r>
      <w:r w:rsidRPr="00BA1CEE" w:rsidR="004278A1">
        <w:rPr>
          <w:rFonts w:ascii="Times New Roman" w:hAnsi="Times New Roman"/>
          <w:bCs/>
        </w:rPr>
        <w:t xml:space="preserve">final </w:t>
      </w:r>
      <w:r w:rsidRPr="00BA1CEE">
        <w:rPr>
          <w:rFonts w:ascii="Times New Roman" w:hAnsi="Times New Roman"/>
          <w:bCs/>
        </w:rPr>
        <w:t>rule only modifies employers’ obligations to transmit information from these records to OSHA.</w:t>
      </w:r>
    </w:p>
    <w:p w:rsidR="0077082D" w:rsidRPr="00BA1CEE" w:rsidP="0077082D" w14:paraId="2BA6B74B" w14:textId="77777777">
      <w:pPr>
        <w:widowControl/>
        <w:rPr>
          <w:rFonts w:ascii="Times New Roman" w:hAnsi="Times New Roman"/>
        </w:rPr>
      </w:pPr>
    </w:p>
    <w:p w:rsidR="00BE594D" w:rsidRPr="00BA1CEE" w:rsidP="00BE594D" w14:paraId="100F6199" w14:textId="4CA000C8">
      <w:pPr>
        <w:rPr>
          <w:rFonts w:ascii="Times New Roman" w:hAnsi="Times New Roman"/>
          <w:i/>
          <w:iCs/>
        </w:rPr>
      </w:pPr>
      <w:r w:rsidRPr="00BA1CEE">
        <w:rPr>
          <w:rFonts w:ascii="Times New Roman" w:hAnsi="Times New Roman"/>
        </w:rPr>
        <w:t xml:space="preserve">The </w:t>
      </w:r>
      <w:r w:rsidRPr="00BA1CEE" w:rsidR="00BB4D5D">
        <w:rPr>
          <w:rFonts w:ascii="Times New Roman" w:hAnsi="Times New Roman"/>
        </w:rPr>
        <w:t>a</w:t>
      </w:r>
      <w:r w:rsidRPr="00BA1CEE">
        <w:rPr>
          <w:rFonts w:ascii="Times New Roman" w:hAnsi="Times New Roman"/>
        </w:rPr>
        <w:t xml:space="preserve">gency plans to combine the </w:t>
      </w:r>
      <w:r w:rsidRPr="00BA1CEE" w:rsidR="00BB3139">
        <w:rPr>
          <w:rFonts w:ascii="Times New Roman" w:hAnsi="Times New Roman"/>
        </w:rPr>
        <w:t xml:space="preserve">collection of information requirements for </w:t>
      </w:r>
      <w:r w:rsidRPr="00BA1CEE">
        <w:rPr>
          <w:rFonts w:ascii="Times New Roman" w:hAnsi="Times New Roman"/>
          <w:i/>
          <w:iCs/>
        </w:rPr>
        <w:t>Improve Tracking of Workplace Injuries and Illnesses</w:t>
      </w:r>
      <w:r w:rsidRPr="00BA1CEE">
        <w:rPr>
          <w:rFonts w:ascii="Times New Roman" w:hAnsi="Times New Roman"/>
        </w:rPr>
        <w:t>,</w:t>
      </w:r>
      <w:r w:rsidRPr="00BA1CEE" w:rsidR="005D158F">
        <w:rPr>
          <w:rFonts w:ascii="Times New Roman" w:hAnsi="Times New Roman"/>
        </w:rPr>
        <w:t xml:space="preserve"> OMB Contr</w:t>
      </w:r>
      <w:r w:rsidRPr="00BA1CEE" w:rsidR="00F24456">
        <w:rPr>
          <w:rFonts w:ascii="Times New Roman" w:hAnsi="Times New Roman"/>
        </w:rPr>
        <w:t>ol Number 1218-0279</w:t>
      </w:r>
      <w:r w:rsidRPr="00BA1CEE">
        <w:rPr>
          <w:rFonts w:ascii="Times New Roman" w:hAnsi="Times New Roman"/>
        </w:rPr>
        <w:t xml:space="preserve"> </w:t>
      </w:r>
      <w:r w:rsidRPr="00BA1CEE" w:rsidR="005F6678">
        <w:rPr>
          <w:rFonts w:ascii="Times New Roman" w:hAnsi="Times New Roman"/>
        </w:rPr>
        <w:t>with the currently</w:t>
      </w:r>
      <w:r w:rsidRPr="00BA1CEE" w:rsidR="00683607">
        <w:rPr>
          <w:rFonts w:ascii="Times New Roman" w:hAnsi="Times New Roman"/>
        </w:rPr>
        <w:t xml:space="preserve"> </w:t>
      </w:r>
      <w:r w:rsidRPr="00BA1CEE">
        <w:rPr>
          <w:rFonts w:ascii="Times New Roman" w:hAnsi="Times New Roman"/>
        </w:rPr>
        <w:t>OMB approve</w:t>
      </w:r>
      <w:r w:rsidRPr="00BA1CEE" w:rsidR="00683607">
        <w:rPr>
          <w:rFonts w:ascii="Times New Roman" w:hAnsi="Times New Roman"/>
        </w:rPr>
        <w:t>d</w:t>
      </w:r>
      <w:r w:rsidRPr="00BA1CEE">
        <w:rPr>
          <w:rFonts w:ascii="Times New Roman" w:hAnsi="Times New Roman"/>
          <w:b/>
          <w:bCs/>
        </w:rPr>
        <w:t xml:space="preserve"> </w:t>
      </w:r>
      <w:r w:rsidRPr="00BA1CEE" w:rsidR="00816C46">
        <w:rPr>
          <w:rFonts w:ascii="Times New Roman" w:hAnsi="Times New Roman"/>
        </w:rPr>
        <w:t xml:space="preserve">paperwork package for </w:t>
      </w:r>
      <w:hyperlink r:id="rId6" w:history="1">
        <w:r w:rsidRPr="00BA1CEE">
          <w:rPr>
            <w:rStyle w:val="Hyperlink"/>
            <w:rFonts w:ascii="Times New Roman" w:hAnsi="Times New Roman"/>
            <w:i/>
            <w:iCs/>
          </w:rPr>
          <w:t>Recordkeeping and Reporting Occupational Injuries and Illnesses (29 CFR Part 1904)</w:t>
        </w:r>
      </w:hyperlink>
      <w:r w:rsidRPr="00BA1CEE" w:rsidR="009B24E9">
        <w:rPr>
          <w:rStyle w:val="Hyperlink"/>
          <w:rFonts w:ascii="Times New Roman" w:hAnsi="Times New Roman"/>
          <w:u w:val="none"/>
        </w:rPr>
        <w:t>,</w:t>
      </w:r>
      <w:r w:rsidRPr="00BA1CEE">
        <w:rPr>
          <w:rFonts w:ascii="Times New Roman" w:hAnsi="Times New Roman"/>
          <w:i/>
          <w:iCs/>
        </w:rPr>
        <w:t xml:space="preserve"> </w:t>
      </w:r>
      <w:r w:rsidRPr="00BA1CEE">
        <w:rPr>
          <w:rFonts w:ascii="Times New Roman" w:hAnsi="Times New Roman"/>
        </w:rPr>
        <w:t>OMB Control Number 1218-0176</w:t>
      </w:r>
      <w:r w:rsidRPr="00BA1CEE" w:rsidR="002F6932">
        <w:rPr>
          <w:rFonts w:ascii="Times New Roman" w:hAnsi="Times New Roman"/>
        </w:rPr>
        <w:t xml:space="preserve"> once the </w:t>
      </w:r>
      <w:r w:rsidRPr="00BA1CEE" w:rsidR="00E523BE">
        <w:rPr>
          <w:rFonts w:ascii="Times New Roman" w:hAnsi="Times New Roman"/>
        </w:rPr>
        <w:t xml:space="preserve">final </w:t>
      </w:r>
      <w:r w:rsidRPr="00BA1CEE" w:rsidR="00C252DE">
        <w:rPr>
          <w:rFonts w:ascii="Times New Roman" w:hAnsi="Times New Roman"/>
        </w:rPr>
        <w:t>rule for</w:t>
      </w:r>
      <w:r w:rsidRPr="00BA1CEE">
        <w:rPr>
          <w:rFonts w:ascii="Times New Roman" w:hAnsi="Times New Roman"/>
        </w:rPr>
        <w:t xml:space="preserve"> Improve Tracking of Workplace Injuries and Illness</w:t>
      </w:r>
      <w:r w:rsidRPr="00BA1CEE" w:rsidR="00B53C93">
        <w:rPr>
          <w:rFonts w:ascii="Times New Roman" w:hAnsi="Times New Roman"/>
        </w:rPr>
        <w:t>es</w:t>
      </w:r>
      <w:r w:rsidRPr="00BA1CEE" w:rsidR="00C27D33">
        <w:rPr>
          <w:rFonts w:ascii="Times New Roman" w:hAnsi="Times New Roman"/>
        </w:rPr>
        <w:t xml:space="preserve"> is published</w:t>
      </w:r>
      <w:r w:rsidRPr="00BA1CEE" w:rsidR="00E523BE">
        <w:rPr>
          <w:rFonts w:ascii="Times New Roman" w:hAnsi="Times New Roman"/>
        </w:rPr>
        <w:t>.</w:t>
      </w:r>
      <w:r w:rsidRPr="00BA1CEE">
        <w:rPr>
          <w:rFonts w:ascii="Times New Roman" w:hAnsi="Times New Roman"/>
        </w:rPr>
        <w:t xml:space="preserve"> </w:t>
      </w:r>
    </w:p>
    <w:p w:rsidR="00800B89" w:rsidRPr="00BA1CEE" w14:paraId="6EAF57D5" w14:textId="4D74C3AD">
      <w:pPr>
        <w:widowControl/>
        <w:autoSpaceDE/>
        <w:autoSpaceDN/>
        <w:adjustRightInd/>
        <w:rPr>
          <w:rFonts w:ascii="Times New Roman" w:hAnsi="Times New Roman"/>
          <w:b/>
          <w:bCs/>
        </w:rPr>
      </w:pPr>
      <w:r w:rsidRPr="00BA1CEE">
        <w:rPr>
          <w:rFonts w:ascii="Times New Roman" w:hAnsi="Times New Roman"/>
          <w:b/>
          <w:bCs/>
        </w:rPr>
        <w:br w:type="page"/>
      </w:r>
    </w:p>
    <w:p w:rsidR="001114E4" w:rsidRPr="00BA1CEE" w14:paraId="13839154" w14:textId="77777777">
      <w:pPr>
        <w:widowControl/>
        <w:autoSpaceDE/>
        <w:autoSpaceDN/>
        <w:adjustRightInd/>
        <w:rPr>
          <w:rFonts w:ascii="Times New Roman" w:hAnsi="Times New Roman"/>
          <w:b/>
          <w:bCs/>
        </w:rPr>
      </w:pPr>
    </w:p>
    <w:p w:rsidR="006E6C00" w:rsidRPr="00BA1CEE" w:rsidP="00AF7EF1" w14:paraId="57C988D4" w14:textId="77777777">
      <w:pPr>
        <w:widowControl/>
        <w:jc w:val="center"/>
        <w:rPr>
          <w:rFonts w:ascii="Times New Roman" w:hAnsi="Times New Roman"/>
          <w:b/>
          <w:bCs/>
        </w:rPr>
      </w:pPr>
      <w:r w:rsidRPr="00BA1CEE">
        <w:rPr>
          <w:rFonts w:ascii="Times New Roman" w:hAnsi="Times New Roman"/>
          <w:b/>
          <w:bCs/>
        </w:rPr>
        <w:t>SUPPORTING STATEMENT FOR</w:t>
      </w:r>
    </w:p>
    <w:p w:rsidR="006E6C00" w:rsidRPr="00BA1CEE" w:rsidP="00AF7EF1" w14:paraId="69930FFE" w14:textId="064184EB">
      <w:pPr>
        <w:widowControl/>
        <w:jc w:val="center"/>
        <w:rPr>
          <w:rFonts w:ascii="Times New Roman" w:hAnsi="Times New Roman"/>
          <w:b/>
          <w:bCs/>
        </w:rPr>
      </w:pPr>
      <w:r w:rsidRPr="00BA1CEE">
        <w:rPr>
          <w:rFonts w:ascii="Times New Roman" w:hAnsi="Times New Roman"/>
          <w:b/>
          <w:bCs/>
        </w:rPr>
        <w:t>THE INFORMATION</w:t>
      </w:r>
      <w:r w:rsidRPr="00BA1CEE" w:rsidR="00D23C19">
        <w:rPr>
          <w:rFonts w:ascii="Times New Roman" w:hAnsi="Times New Roman"/>
          <w:b/>
          <w:bCs/>
        </w:rPr>
        <w:t xml:space="preserve"> COLLECTION IN THE</w:t>
      </w:r>
      <w:r w:rsidRPr="00BA1CEE">
        <w:rPr>
          <w:rFonts w:ascii="Times New Roman" w:hAnsi="Times New Roman"/>
          <w:b/>
          <w:bCs/>
        </w:rPr>
        <w:t xml:space="preserve"> </w:t>
      </w:r>
      <w:r w:rsidRPr="00BA1CEE" w:rsidR="00502F31">
        <w:rPr>
          <w:rFonts w:ascii="Times New Roman" w:hAnsi="Times New Roman"/>
          <w:b/>
          <w:bCs/>
        </w:rPr>
        <w:t>IMPROVE TRACKING WORKPLACE INJURIES AND ILLNESSES</w:t>
      </w:r>
      <w:r w:rsidRPr="00BA1CEE">
        <w:rPr>
          <w:rFonts w:ascii="Times New Roman" w:hAnsi="Times New Roman"/>
          <w:b/>
          <w:bCs/>
        </w:rPr>
        <w:t xml:space="preserve"> (29 CFR PART 1904)</w:t>
      </w:r>
      <w:r w:rsidRPr="00BA1CEE" w:rsidR="00D23C19">
        <w:rPr>
          <w:rFonts w:ascii="Times New Roman" w:hAnsi="Times New Roman"/>
          <w:b/>
          <w:bCs/>
        </w:rPr>
        <w:t xml:space="preserve"> RULEMAKING</w:t>
      </w:r>
    </w:p>
    <w:p w:rsidR="006E6C00" w:rsidRPr="00BA1CEE" w:rsidP="00AF7EF1" w14:paraId="49D98174" w14:textId="3F29F435">
      <w:pPr>
        <w:widowControl/>
        <w:jc w:val="center"/>
        <w:rPr>
          <w:rFonts w:ascii="Times New Roman" w:hAnsi="Times New Roman"/>
          <w:b/>
          <w:bCs/>
        </w:rPr>
      </w:pPr>
      <w:r w:rsidRPr="00BA1CEE">
        <w:rPr>
          <w:rFonts w:ascii="Times New Roman" w:hAnsi="Times New Roman"/>
          <w:b/>
          <w:bCs/>
        </w:rPr>
        <w:t>OFFICE OF MANAGEMENT AND BUDGET</w:t>
      </w:r>
    </w:p>
    <w:p w:rsidR="006E6C00" w:rsidRPr="00BA1CEE" w:rsidP="00AF7EF1" w14:paraId="3848147C" w14:textId="120E9CDF">
      <w:pPr>
        <w:widowControl/>
        <w:jc w:val="center"/>
        <w:rPr>
          <w:rFonts w:ascii="Times New Roman" w:hAnsi="Times New Roman"/>
          <w:b/>
          <w:bCs/>
        </w:rPr>
      </w:pPr>
      <w:r w:rsidRPr="00BA1CEE">
        <w:rPr>
          <w:rFonts w:ascii="Times New Roman" w:hAnsi="Times New Roman"/>
          <w:b/>
          <w:bCs/>
        </w:rPr>
        <w:t>(OMB) CONTROL NUMBER 1218-</w:t>
      </w:r>
      <w:r w:rsidRPr="00BA1CEE" w:rsidR="00933E08">
        <w:rPr>
          <w:rFonts w:ascii="Times New Roman" w:hAnsi="Times New Roman"/>
          <w:b/>
          <w:bCs/>
        </w:rPr>
        <w:t>0279</w:t>
      </w:r>
    </w:p>
    <w:p w:rsidR="006E6C00" w:rsidRPr="00BA1CEE" w:rsidP="00AF7EF1" w14:paraId="4046AE9E" w14:textId="31F47F6B">
      <w:pPr>
        <w:widowControl/>
        <w:jc w:val="center"/>
        <w:rPr>
          <w:rFonts w:ascii="Times New Roman" w:hAnsi="Times New Roman"/>
          <w:b/>
          <w:bCs/>
        </w:rPr>
      </w:pPr>
      <w:r w:rsidRPr="00BA1CEE">
        <w:rPr>
          <w:rFonts w:ascii="Times New Roman" w:hAnsi="Times New Roman"/>
          <w:b/>
          <w:bCs/>
        </w:rPr>
        <w:t>(</w:t>
      </w:r>
      <w:r w:rsidRPr="00BA1CEE" w:rsidR="002B7C4D">
        <w:rPr>
          <w:rFonts w:ascii="Times New Roman" w:hAnsi="Times New Roman"/>
          <w:b/>
          <w:bCs/>
        </w:rPr>
        <w:t>May</w:t>
      </w:r>
      <w:r w:rsidRPr="00BA1CEE" w:rsidR="0072688E">
        <w:rPr>
          <w:rFonts w:ascii="Times New Roman" w:hAnsi="Times New Roman"/>
          <w:b/>
          <w:bCs/>
        </w:rPr>
        <w:t xml:space="preserve"> </w:t>
      </w:r>
      <w:r w:rsidRPr="00BA1CEE" w:rsidR="00591091">
        <w:rPr>
          <w:rFonts w:ascii="Times New Roman" w:hAnsi="Times New Roman"/>
          <w:b/>
          <w:bCs/>
        </w:rPr>
        <w:t>2023</w:t>
      </w:r>
      <w:r w:rsidRPr="00BA1CEE">
        <w:rPr>
          <w:rFonts w:ascii="Times New Roman" w:hAnsi="Times New Roman"/>
          <w:b/>
          <w:bCs/>
        </w:rPr>
        <w:t>)</w:t>
      </w:r>
    </w:p>
    <w:p w:rsidR="006E6C00" w:rsidRPr="00BA1CEE" w:rsidP="00A34FAE" w14:paraId="72A5A781" w14:textId="77777777">
      <w:pPr>
        <w:widowControl/>
        <w:rPr>
          <w:rFonts w:ascii="Times New Roman" w:hAnsi="Times New Roman"/>
          <w:b/>
          <w:bCs/>
        </w:rPr>
      </w:pPr>
    </w:p>
    <w:p w:rsidR="006E6C00" w:rsidRPr="00BA1CEE" w:rsidP="00A34FAE" w14:paraId="58180456" w14:textId="77777777">
      <w:pPr>
        <w:widowControl/>
        <w:rPr>
          <w:rFonts w:ascii="Times New Roman" w:hAnsi="Times New Roman"/>
          <w:b/>
          <w:bCs/>
        </w:rPr>
      </w:pPr>
    </w:p>
    <w:p w:rsidR="00A34FAE" w:rsidRPr="00BA1CEE" w:rsidP="00A34FAE" w14:paraId="2C6B367A" w14:textId="77777777">
      <w:pPr>
        <w:widowControl/>
        <w:rPr>
          <w:rFonts w:ascii="Times New Roman" w:hAnsi="Times New Roman"/>
          <w:b/>
          <w:bCs/>
        </w:rPr>
      </w:pPr>
      <w:r w:rsidRPr="00BA1CEE">
        <w:rPr>
          <w:rFonts w:ascii="Times New Roman" w:hAnsi="Times New Roman"/>
          <w:b/>
          <w:bCs/>
        </w:rPr>
        <w:t>A.  JUSTIFICATION</w:t>
      </w:r>
    </w:p>
    <w:p w:rsidR="00A34FAE" w:rsidRPr="00BA1CEE" w:rsidP="00A34FAE" w14:paraId="2815BAFE" w14:textId="77777777">
      <w:pPr>
        <w:widowControl/>
        <w:rPr>
          <w:rFonts w:ascii="Times New Roman" w:hAnsi="Times New Roman"/>
          <w:b/>
          <w:bCs/>
        </w:rPr>
      </w:pPr>
    </w:p>
    <w:p w:rsidR="00A34FAE" w:rsidRPr="00BA1CEE" w:rsidP="00A34FAE" w14:paraId="64B35F7D" w14:textId="77777777">
      <w:pPr>
        <w:widowControl/>
        <w:rPr>
          <w:rFonts w:ascii="Times New Roman" w:hAnsi="Times New Roman"/>
          <w:b/>
          <w:bCs/>
        </w:rPr>
      </w:pPr>
      <w:r w:rsidRPr="00BA1CEE">
        <w:rPr>
          <w:rFonts w:ascii="Times New Roman" w:hAnsi="Times New Roman"/>
          <w:b/>
          <w:bCs/>
        </w:rPr>
        <w:t xml:space="preserve"> 1.  Explain the circumstances that make the collec</w:t>
      </w:r>
      <w:r w:rsidRPr="00BA1CEE" w:rsidR="002F424A">
        <w:rPr>
          <w:rFonts w:ascii="Times New Roman" w:hAnsi="Times New Roman"/>
          <w:b/>
          <w:bCs/>
        </w:rPr>
        <w:t xml:space="preserve">tion of information necessary. </w:t>
      </w:r>
      <w:r w:rsidRPr="00BA1CEE">
        <w:rPr>
          <w:rFonts w:ascii="Times New Roman" w:hAnsi="Times New Roman"/>
          <w:b/>
          <w:bCs/>
        </w:rPr>
        <w:t>Identify any legal or administrative requirements th</w:t>
      </w:r>
      <w:r w:rsidRPr="00BA1CEE" w:rsidR="002F424A">
        <w:rPr>
          <w:rFonts w:ascii="Times New Roman" w:hAnsi="Times New Roman"/>
          <w:b/>
          <w:bCs/>
        </w:rPr>
        <w:t xml:space="preserve">at necessitate the collection. </w:t>
      </w:r>
      <w:r w:rsidRPr="00BA1CEE">
        <w:rPr>
          <w:rFonts w:ascii="Times New Roman" w:hAnsi="Times New Roman"/>
          <w:b/>
          <w:bCs/>
        </w:rPr>
        <w:t>Attach a copy of the appropriate section of each statute and regulation mandating or authorizing the collection of information.</w:t>
      </w:r>
    </w:p>
    <w:p w:rsidR="002112C4" w:rsidRPr="00BA1CEE" w:rsidP="002112C4" w14:paraId="5063279C" w14:textId="77777777">
      <w:pPr>
        <w:rPr>
          <w:rFonts w:ascii="Times New Roman" w:hAnsi="Times New Roman"/>
        </w:rPr>
      </w:pPr>
    </w:p>
    <w:p w:rsidR="002112C4" w:rsidRPr="00BA1CEE" w:rsidP="002112C4" w14:paraId="42ACA2B6" w14:textId="77777777">
      <w:pPr>
        <w:rPr>
          <w:rFonts w:ascii="Times New Roman" w:hAnsi="Times New Roman"/>
        </w:rPr>
      </w:pPr>
      <w:r w:rsidRPr="00BA1CEE">
        <w:rPr>
          <w:rFonts w:ascii="Times New Roman" w:hAnsi="Times New Roman"/>
        </w:rPr>
        <w:t>Public Law 91-596, the Occupational Safety and Health Act of 1970, section 24(a) states that:</w:t>
      </w:r>
    </w:p>
    <w:p w:rsidR="002112C4" w:rsidRPr="00BA1CEE" w:rsidP="002112C4" w14:paraId="73EAEE6A" w14:textId="77777777">
      <w:pPr>
        <w:rPr>
          <w:rFonts w:ascii="Times New Roman" w:hAnsi="Times New Roman"/>
        </w:rPr>
      </w:pPr>
    </w:p>
    <w:p w:rsidR="002112C4" w:rsidRPr="00BA1CEE" w:rsidP="002112C4" w14:paraId="16C95198" w14:textId="77777777">
      <w:pPr>
        <w:ind w:left="720"/>
        <w:rPr>
          <w:rFonts w:ascii="Times New Roman" w:hAnsi="Times New Roman"/>
        </w:rPr>
      </w:pPr>
      <w:r w:rsidRPr="00BA1CEE">
        <w:rPr>
          <w:rFonts w:ascii="Times New Roman" w:hAnsi="Times New Roman"/>
        </w:rPr>
        <w:t xml:space="preserve">The </w:t>
      </w:r>
      <w:r w:rsidRPr="00BA1CEE" w:rsidR="00650A13">
        <w:rPr>
          <w:rFonts w:ascii="Times New Roman" w:hAnsi="Times New Roman"/>
        </w:rPr>
        <w:t>Secretary .</w:t>
      </w:r>
      <w:r w:rsidRPr="00BA1CEE">
        <w:rPr>
          <w:rFonts w:ascii="Times New Roman" w:hAnsi="Times New Roman"/>
        </w:rPr>
        <w:t xml:space="preserve"> . .</w:t>
      </w:r>
      <w:r w:rsidRPr="00BA1CEE" w:rsidR="00B33E1B">
        <w:rPr>
          <w:rFonts w:ascii="Times New Roman" w:hAnsi="Times New Roman"/>
        </w:rPr>
        <w:t xml:space="preserve"> </w:t>
      </w:r>
      <w:r w:rsidRPr="00BA1CEE">
        <w:rPr>
          <w:rFonts w:ascii="Times New Roman" w:hAnsi="Times New Roman"/>
        </w:rPr>
        <w:t>shall develop and maintain an effective program of collection, compilation, and analysis of occupational safety and health statistics.</w:t>
      </w:r>
    </w:p>
    <w:p w:rsidR="002112C4" w:rsidRPr="00BA1CEE" w:rsidP="002112C4" w14:paraId="444BFC13" w14:textId="77777777">
      <w:pPr>
        <w:rPr>
          <w:rFonts w:ascii="Times New Roman" w:hAnsi="Times New Roman"/>
        </w:rPr>
      </w:pPr>
    </w:p>
    <w:p w:rsidR="002112C4" w:rsidRPr="00BA1CEE" w:rsidP="002112C4" w14:paraId="32124629" w14:textId="77777777">
      <w:pPr>
        <w:rPr>
          <w:rFonts w:ascii="Times New Roman" w:hAnsi="Times New Roman"/>
        </w:rPr>
      </w:pPr>
      <w:r w:rsidRPr="00BA1CEE">
        <w:rPr>
          <w:rFonts w:ascii="Times New Roman" w:hAnsi="Times New Roman"/>
        </w:rPr>
        <w:t>Further:</w:t>
      </w:r>
    </w:p>
    <w:p w:rsidR="002112C4" w:rsidRPr="00BA1CEE" w:rsidP="002112C4" w14:paraId="021A63E5" w14:textId="77777777">
      <w:pPr>
        <w:rPr>
          <w:rFonts w:ascii="Times New Roman" w:hAnsi="Times New Roman"/>
        </w:rPr>
      </w:pPr>
    </w:p>
    <w:p w:rsidR="002112C4" w:rsidRPr="00BA1CEE" w:rsidP="002112C4" w14:paraId="4977093B" w14:textId="77777777">
      <w:pPr>
        <w:ind w:left="720"/>
        <w:rPr>
          <w:rFonts w:ascii="Times New Roman" w:hAnsi="Times New Roman"/>
        </w:rPr>
      </w:pPr>
      <w:r w:rsidRPr="00BA1CEE">
        <w:rPr>
          <w:rFonts w:ascii="Times New Roman" w:hAnsi="Times New Roman"/>
        </w:rPr>
        <w:t>. . .the Secretary may promote, encourage, or directly engage in programs of studies, information and communication concerning occupational safety and health statistics.</w:t>
      </w:r>
    </w:p>
    <w:p w:rsidR="002112C4" w:rsidRPr="00BA1CEE" w:rsidP="002112C4" w14:paraId="76A9E962" w14:textId="77777777">
      <w:pPr>
        <w:rPr>
          <w:rFonts w:ascii="Times New Roman" w:hAnsi="Times New Roman"/>
        </w:rPr>
      </w:pPr>
    </w:p>
    <w:p w:rsidR="002112C4" w:rsidRPr="00BA1CEE" w:rsidP="002112C4" w14:paraId="6F6B5A59" w14:textId="77777777">
      <w:pPr>
        <w:rPr>
          <w:rFonts w:ascii="Times New Roman" w:hAnsi="Times New Roman"/>
        </w:rPr>
      </w:pPr>
      <w:r w:rsidRPr="00BA1CEE">
        <w:rPr>
          <w:rFonts w:ascii="Times New Roman" w:hAnsi="Times New Roman"/>
        </w:rPr>
        <w:t>Section 8(c)(2) of the OSH Act also prescribes that:</w:t>
      </w:r>
    </w:p>
    <w:p w:rsidR="002112C4" w:rsidRPr="00BA1CEE" w:rsidP="002112C4" w14:paraId="0475EB04" w14:textId="77777777">
      <w:pPr>
        <w:rPr>
          <w:rFonts w:ascii="Times New Roman" w:hAnsi="Times New Roman"/>
        </w:rPr>
      </w:pPr>
    </w:p>
    <w:p w:rsidR="002112C4" w:rsidRPr="00BA1CEE" w:rsidP="002112C4" w14:paraId="3AC5B479" w14:textId="77777777">
      <w:pPr>
        <w:ind w:left="720"/>
        <w:rPr>
          <w:rFonts w:ascii="Times New Roman" w:hAnsi="Times New Roman"/>
        </w:rPr>
      </w:pPr>
      <w:r w:rsidRPr="00BA1CEE">
        <w:rPr>
          <w:rFonts w:ascii="Times New Roman" w:hAnsi="Times New Roman"/>
        </w:rPr>
        <w:t xml:space="preserve">The Secretary shall prescribe regulations requiring employers to maintain accurate records of and to make periodic reports on, work-related deaths, </w:t>
      </w:r>
      <w:r w:rsidRPr="00BA1CEE">
        <w:rPr>
          <w:rFonts w:ascii="Times New Roman" w:hAnsi="Times New Roman"/>
        </w:rPr>
        <w:t>injuries</w:t>
      </w:r>
      <w:r w:rsidRPr="00BA1CEE">
        <w:rPr>
          <w:rFonts w:ascii="Times New Roman" w:hAnsi="Times New Roman"/>
        </w:rPr>
        <w:t xml:space="preserve"> and illnesses. . .</w:t>
      </w:r>
    </w:p>
    <w:p w:rsidR="00A34FAE" w:rsidRPr="00BA1CEE" w:rsidP="00A34FAE" w14:paraId="4DA94C64" w14:textId="77777777">
      <w:pPr>
        <w:ind w:firstLine="720"/>
        <w:rPr>
          <w:rFonts w:ascii="Times New Roman" w:hAnsi="Times New Roman"/>
        </w:rPr>
      </w:pPr>
    </w:p>
    <w:p w:rsidR="00CD37F7" w:rsidRPr="00BA1CEE" w:rsidP="00CD37F7" w14:paraId="72E46846" w14:textId="77777777">
      <w:pPr>
        <w:ind w:firstLine="720"/>
        <w:rPr>
          <w:rFonts w:ascii="Times New Roman" w:hAnsi="Times New Roman"/>
        </w:rPr>
      </w:pPr>
      <w:r w:rsidRPr="00BA1CEE">
        <w:rPr>
          <w:rFonts w:ascii="Times New Roman" w:hAnsi="Times New Roman"/>
        </w:rPr>
        <w:t xml:space="preserve">Recordkeeping regulations are contained in Title 29 of the Code of Federal Regulations (CFR) Part 1904.   </w:t>
      </w:r>
    </w:p>
    <w:p w:rsidR="002112C4" w:rsidRPr="00BA1CEE" w:rsidP="00CD37F7" w14:paraId="3F813E5D" w14:textId="77777777">
      <w:pPr>
        <w:ind w:firstLine="720"/>
        <w:rPr>
          <w:rFonts w:ascii="Times New Roman" w:hAnsi="Times New Roman"/>
        </w:rPr>
      </w:pPr>
      <w:r w:rsidRPr="00BA1CEE">
        <w:rPr>
          <w:rFonts w:ascii="Times New Roman" w:hAnsi="Times New Roman"/>
        </w:rPr>
        <w:t xml:space="preserve"> </w:t>
      </w:r>
    </w:p>
    <w:p w:rsidR="002112C4" w:rsidRPr="00BA1CEE" w:rsidP="00CD37F7" w14:paraId="5C425637" w14:textId="0BC8F3F5">
      <w:pPr>
        <w:ind w:firstLine="720"/>
        <w:rPr>
          <w:rFonts w:ascii="Times New Roman" w:hAnsi="Times New Roman"/>
        </w:rPr>
      </w:pPr>
      <w:r w:rsidRPr="00BA1CEE">
        <w:rPr>
          <w:rFonts w:ascii="Times New Roman" w:hAnsi="Times New Roman"/>
        </w:rPr>
        <w:t xml:space="preserve">Recordkeeping forms are promulgated under 29 CFR Part 1904, and consist of the OSHA Form 300, the Log of </w:t>
      </w:r>
      <w:r w:rsidRPr="00BA1CEE" w:rsidR="004627AB">
        <w:rPr>
          <w:rFonts w:ascii="Times New Roman" w:hAnsi="Times New Roman"/>
        </w:rPr>
        <w:t xml:space="preserve">Work-Related </w:t>
      </w:r>
      <w:r w:rsidRPr="00BA1CEE" w:rsidR="004627AB">
        <w:rPr>
          <w:rFonts w:ascii="Times New Roman" w:hAnsi="Times New Roman"/>
        </w:rPr>
        <w:t>Injur</w:t>
      </w:r>
      <w:r w:rsidRPr="00BA1CEE">
        <w:rPr>
          <w:rFonts w:ascii="Times New Roman" w:hAnsi="Times New Roman"/>
        </w:rPr>
        <w:t>ies</w:t>
      </w:r>
      <w:r w:rsidRPr="00BA1CEE">
        <w:rPr>
          <w:rFonts w:ascii="Times New Roman" w:hAnsi="Times New Roman"/>
        </w:rPr>
        <w:t xml:space="preserve"> and Illnesses; the OSHA Form 300A, Summary of Work-Related Injuries and Illnesses; and the OSHA Form 301, the Injury and Illness Incident Report</w:t>
      </w:r>
      <w:r w:rsidRPr="00BA1CEE" w:rsidR="00134966">
        <w:rPr>
          <w:rFonts w:ascii="Times New Roman" w:hAnsi="Times New Roman"/>
        </w:rPr>
        <w:t xml:space="preserve">. </w:t>
      </w:r>
      <w:r w:rsidRPr="00BA1CEE">
        <w:rPr>
          <w:rFonts w:ascii="Times New Roman" w:hAnsi="Times New Roman"/>
        </w:rPr>
        <w:t xml:space="preserve">The use of the recordkeeping forms by employers helps to ensure the uniformity of the safety and health data </w:t>
      </w:r>
      <w:r w:rsidRPr="00BA1CEE" w:rsidR="005A2EFF">
        <w:rPr>
          <w:rFonts w:ascii="Times New Roman" w:hAnsi="Times New Roman"/>
        </w:rPr>
        <w:t>use</w:t>
      </w:r>
      <w:r w:rsidRPr="00BA1CEE" w:rsidR="00EA1B42">
        <w:rPr>
          <w:rFonts w:ascii="Times New Roman" w:hAnsi="Times New Roman"/>
        </w:rPr>
        <w:t>d</w:t>
      </w:r>
      <w:r w:rsidRPr="00BA1CEE" w:rsidR="005A2EFF">
        <w:rPr>
          <w:rFonts w:ascii="Times New Roman" w:hAnsi="Times New Roman"/>
        </w:rPr>
        <w:t xml:space="preserve"> </w:t>
      </w:r>
      <w:r w:rsidRPr="00BA1CEE">
        <w:rPr>
          <w:rFonts w:ascii="Times New Roman" w:hAnsi="Times New Roman"/>
        </w:rPr>
        <w:t xml:space="preserve">by OSHA and the Bureau of Labor Statistics </w:t>
      </w:r>
      <w:r w:rsidRPr="00BA1CEE" w:rsidR="00DA7F6D">
        <w:rPr>
          <w:rFonts w:ascii="Times New Roman" w:hAnsi="Times New Roman"/>
        </w:rPr>
        <w:t>(</w:t>
      </w:r>
      <w:r w:rsidRPr="00BA1CEE">
        <w:rPr>
          <w:rFonts w:ascii="Times New Roman" w:hAnsi="Times New Roman"/>
        </w:rPr>
        <w:t>BLS).</w:t>
      </w:r>
    </w:p>
    <w:p w:rsidR="00CD37F7" w:rsidRPr="00BA1CEE" w:rsidP="00CD37F7" w14:paraId="77F2736A" w14:textId="77777777">
      <w:pPr>
        <w:ind w:firstLine="720"/>
        <w:rPr>
          <w:rFonts w:ascii="Times New Roman" w:hAnsi="Times New Roman"/>
        </w:rPr>
      </w:pPr>
    </w:p>
    <w:p w:rsidR="00A34FAE" w:rsidRPr="00BA1CEE" w:rsidP="00A34FAE" w14:paraId="2B4297E1" w14:textId="77777777">
      <w:pPr>
        <w:widowControl/>
        <w:rPr>
          <w:rFonts w:ascii="Times New Roman" w:hAnsi="Times New Roman"/>
          <w:b/>
          <w:bCs/>
        </w:rPr>
      </w:pPr>
      <w:r w:rsidRPr="00BA1CEE">
        <w:rPr>
          <w:rFonts w:ascii="Times New Roman" w:hAnsi="Times New Roman"/>
          <w:b/>
          <w:bCs/>
        </w:rPr>
        <w:t xml:space="preserve"> 2.  Indicate how, by whom, and for what purpose </w:t>
      </w:r>
      <w:r w:rsidRPr="00BA1CEE" w:rsidR="002F424A">
        <w:rPr>
          <w:rFonts w:ascii="Times New Roman" w:hAnsi="Times New Roman"/>
          <w:b/>
          <w:bCs/>
        </w:rPr>
        <w:t xml:space="preserve">the information is to be used. </w:t>
      </w:r>
      <w:r w:rsidRPr="00BA1CEE">
        <w:rPr>
          <w:rFonts w:ascii="Times New Roman" w:hAnsi="Times New Roman"/>
          <w:b/>
          <w:bCs/>
        </w:rPr>
        <w:t>Except for a new collection, indicate the actual use the agency has made of the information received from the current collection.</w:t>
      </w:r>
    </w:p>
    <w:p w:rsidR="00CD37F7" w:rsidRPr="00BA1CEE" w:rsidP="00CD37F7" w14:paraId="34C95BA5" w14:textId="77777777">
      <w:pPr>
        <w:tabs>
          <w:tab w:val="left" w:pos="-1440"/>
        </w:tabs>
        <w:ind w:left="720" w:hanging="720"/>
        <w:rPr>
          <w:rFonts w:ascii="Times New Roman" w:hAnsi="Times New Roman"/>
        </w:rPr>
      </w:pPr>
    </w:p>
    <w:p w:rsidR="00CD37F7" w:rsidRPr="00BA1CEE" w:rsidP="00CD37F7" w14:paraId="2BCD98AB" w14:textId="77777777">
      <w:pPr>
        <w:tabs>
          <w:tab w:val="left" w:pos="-1440"/>
        </w:tabs>
        <w:ind w:left="720" w:hanging="720"/>
        <w:rPr>
          <w:rFonts w:ascii="Times New Roman" w:hAnsi="Times New Roman"/>
        </w:rPr>
        <w:sectPr w:rsidSect="00DD1D34">
          <w:headerReference w:type="default" r:id="rId7"/>
          <w:footerReference w:type="even" r:id="rId8"/>
          <w:footerReference w:type="default" r:id="rId9"/>
          <w:headerReference w:type="first" r:id="rId10"/>
          <w:pgSz w:w="12240" w:h="15840"/>
          <w:pgMar w:top="1080" w:right="1440" w:bottom="1080" w:left="1440" w:header="720" w:footer="720" w:gutter="0"/>
          <w:pgNumType w:start="1"/>
          <w:cols w:space="720"/>
          <w:noEndnote/>
          <w:docGrid w:linePitch="326"/>
        </w:sectPr>
      </w:pPr>
    </w:p>
    <w:p w:rsidR="005F48A4" w:rsidRPr="00BA1CEE" w:rsidP="00843E27" w14:paraId="594D68A7" w14:textId="77777777">
      <w:pPr>
        <w:widowControl/>
        <w:autoSpaceDE/>
        <w:autoSpaceDN/>
        <w:adjustRightInd/>
        <w:rPr>
          <w:rFonts w:ascii="Times New Roman" w:hAnsi="Times New Roman"/>
        </w:rPr>
      </w:pPr>
    </w:p>
    <w:p w:rsidR="005F48A4" w:rsidRPr="00BA1CEE" w:rsidP="00391D7E" w14:paraId="09B4AEBB" w14:textId="3743A771">
      <w:pPr>
        <w:pStyle w:val="PreambleCaptions-DatesAddresses"/>
        <w:spacing w:line="240" w:lineRule="auto"/>
        <w:rPr>
          <w:bCs/>
          <w:szCs w:val="24"/>
        </w:rPr>
      </w:pPr>
      <w:r w:rsidRPr="00BA1CEE">
        <w:rPr>
          <w:szCs w:val="24"/>
        </w:rPr>
        <w:t xml:space="preserve">The </w:t>
      </w:r>
      <w:r w:rsidRPr="00BA1CEE" w:rsidR="0035284C">
        <w:rPr>
          <w:szCs w:val="24"/>
        </w:rPr>
        <w:t>final</w:t>
      </w:r>
      <w:r w:rsidRPr="00BA1CEE">
        <w:rPr>
          <w:szCs w:val="24"/>
        </w:rPr>
        <w:t xml:space="preserve"> rule</w:t>
      </w:r>
      <w:r w:rsidRPr="00BA1CEE" w:rsidR="00D004D8">
        <w:rPr>
          <w:bCs/>
          <w:szCs w:val="24"/>
        </w:rPr>
        <w:t xml:space="preserve"> </w:t>
      </w:r>
      <w:r w:rsidRPr="00BA1CEE" w:rsidR="00A56A37">
        <w:rPr>
          <w:bCs/>
          <w:szCs w:val="24"/>
        </w:rPr>
        <w:t>is revising</w:t>
      </w:r>
      <w:r w:rsidRPr="00BA1CEE" w:rsidR="00154BA8">
        <w:rPr>
          <w:bCs/>
          <w:szCs w:val="24"/>
        </w:rPr>
        <w:t xml:space="preserve"> the requirements for</w:t>
      </w:r>
      <w:r w:rsidRPr="00BA1CEE" w:rsidR="00D004D8">
        <w:rPr>
          <w:bCs/>
          <w:szCs w:val="24"/>
        </w:rPr>
        <w:t xml:space="preserve"> establishments</w:t>
      </w:r>
      <w:r w:rsidRPr="00BA1CEE" w:rsidR="009922A0">
        <w:rPr>
          <w:bCs/>
          <w:szCs w:val="24"/>
        </w:rPr>
        <w:t xml:space="preserve"> with</w:t>
      </w:r>
      <w:r w:rsidRPr="00BA1CEE" w:rsidR="00D004D8">
        <w:rPr>
          <w:bCs/>
          <w:szCs w:val="24"/>
        </w:rPr>
        <w:t xml:space="preserve"> 100 or more employees in </w:t>
      </w:r>
      <w:r w:rsidRPr="00BA1CEE" w:rsidR="00CF5E3A">
        <w:rPr>
          <w:bCs/>
          <w:szCs w:val="24"/>
        </w:rPr>
        <w:t xml:space="preserve">certain </w:t>
      </w:r>
      <w:r w:rsidRPr="00BA1CEE" w:rsidR="00D004D8">
        <w:rPr>
          <w:bCs/>
          <w:szCs w:val="24"/>
        </w:rPr>
        <w:t>designated industries to electronically submit information from their OSHA Forms 300 and 301 to OSHA on</w:t>
      </w:r>
      <w:r w:rsidRPr="00BA1CEE" w:rsidR="00972FF4">
        <w:rPr>
          <w:bCs/>
          <w:szCs w:val="24"/>
        </w:rPr>
        <w:t>ce a year</w:t>
      </w:r>
      <w:r w:rsidRPr="00BA1CEE" w:rsidR="00D004D8">
        <w:rPr>
          <w:bCs/>
          <w:szCs w:val="24"/>
        </w:rPr>
        <w:t xml:space="preserve">.  </w:t>
      </w:r>
    </w:p>
    <w:p w:rsidR="00B94099" w:rsidRPr="00BA1CEE" w:rsidP="00391D7E" w14:paraId="49CFAE0C" w14:textId="70B66FFE">
      <w:pPr>
        <w:pStyle w:val="PreambleCaptions-DatesAddresses"/>
        <w:spacing w:line="240" w:lineRule="auto"/>
        <w:rPr>
          <w:bCs/>
          <w:szCs w:val="24"/>
        </w:rPr>
      </w:pPr>
    </w:p>
    <w:p w:rsidR="00B94099" w:rsidRPr="00BA1CEE" w:rsidP="00B94099" w14:paraId="304D0FC7" w14:textId="1F96CFD6">
      <w:pPr>
        <w:textAlignment w:val="baseline"/>
        <w:rPr>
          <w:rFonts w:ascii="Times New Roman" w:hAnsi="Times New Roman"/>
        </w:rPr>
      </w:pPr>
      <w:r w:rsidRPr="00BA1CEE">
        <w:rPr>
          <w:rFonts w:ascii="Times New Roman" w:hAnsi="Times New Roman"/>
        </w:rPr>
        <w:t>The requirement provide</w:t>
      </w:r>
      <w:r w:rsidRPr="00BA1CEE" w:rsidR="00D71276">
        <w:rPr>
          <w:rFonts w:ascii="Times New Roman" w:hAnsi="Times New Roman"/>
        </w:rPr>
        <w:t>s</w:t>
      </w:r>
      <w:r w:rsidRPr="00BA1CEE">
        <w:rPr>
          <w:rFonts w:ascii="Times New Roman" w:hAnsi="Times New Roman"/>
        </w:rPr>
        <w:t xml:space="preserve"> systematic access for OSHA to the establishment-specific, case-specific injury and illness information that these establishments are already required to collect.  Access to th</w:t>
      </w:r>
      <w:r w:rsidRPr="00BA1CEE" w:rsidR="002F071C">
        <w:rPr>
          <w:rFonts w:ascii="Times New Roman" w:hAnsi="Times New Roman"/>
        </w:rPr>
        <w:t>is</w:t>
      </w:r>
      <w:r w:rsidRPr="00BA1CEE">
        <w:rPr>
          <w:rFonts w:ascii="Times New Roman" w:hAnsi="Times New Roman"/>
        </w:rPr>
        <w:t xml:space="preserve"> data allow</w:t>
      </w:r>
      <w:r w:rsidRPr="00BA1CEE" w:rsidR="001B56B5">
        <w:rPr>
          <w:rFonts w:ascii="Times New Roman" w:hAnsi="Times New Roman"/>
        </w:rPr>
        <w:t>s</w:t>
      </w:r>
      <w:r w:rsidRPr="00BA1CEE">
        <w:rPr>
          <w:rFonts w:ascii="Times New Roman" w:hAnsi="Times New Roman"/>
        </w:rPr>
        <w:t xml:space="preserve"> the agency to </w:t>
      </w:r>
      <w:r w:rsidRPr="00BA1CEE">
        <w:rPr>
          <w:rFonts w:ascii="Times New Roman" w:hAnsi="Times New Roman"/>
        </w:rPr>
        <w:t>more efficiently focus its enforcement and outreach resources</w:t>
      </w:r>
      <w:r w:rsidRPr="00BA1CEE">
        <w:rPr>
          <w:rFonts w:ascii="Times New Roman" w:hAnsi="Times New Roman"/>
        </w:rPr>
        <w:t xml:space="preserve"> toward establishments that are experiencing specific types of occupational injury and illness.  Expanded public access to establishment-specific, case-specific, injury and illness data w</w:t>
      </w:r>
      <w:r w:rsidRPr="00BA1CEE" w:rsidR="00575016">
        <w:rPr>
          <w:rFonts w:ascii="Times New Roman" w:hAnsi="Times New Roman"/>
        </w:rPr>
        <w:t>ill</w:t>
      </w:r>
      <w:r w:rsidRPr="00BA1CEE">
        <w:rPr>
          <w:rFonts w:ascii="Times New Roman" w:hAnsi="Times New Roman"/>
        </w:rPr>
        <w:t xml:space="preserve"> allow employers, employees, potential employees, employee representatives, customers, potential customers, researchers, and the </w:t>
      </w:r>
      <w:r w:rsidRPr="00BA1CEE">
        <w:rPr>
          <w:rFonts w:ascii="Times New Roman" w:hAnsi="Times New Roman"/>
        </w:rPr>
        <w:t>general public</w:t>
      </w:r>
      <w:r w:rsidRPr="00BA1CEE">
        <w:rPr>
          <w:rFonts w:ascii="Times New Roman" w:hAnsi="Times New Roman"/>
        </w:rPr>
        <w:t xml:space="preserve"> to make informed decisions about the workplace safety and health at a given establishment, and this accessibility will ultimately result in the reduction of occupational injuries and illnesses.</w:t>
      </w:r>
    </w:p>
    <w:p w:rsidR="005F48A4" w:rsidRPr="00BA1CEE" w:rsidP="00391D7E" w14:paraId="739FEA29" w14:textId="4A1FDD1D">
      <w:pPr>
        <w:widowControl/>
        <w:rPr>
          <w:rFonts w:ascii="Times New Roman" w:hAnsi="Times New Roman"/>
        </w:rPr>
      </w:pPr>
    </w:p>
    <w:p w:rsidR="00CD37F7" w:rsidRPr="00BA1CEE" w:rsidP="00391D7E" w14:paraId="58E729DE" w14:textId="3470926A">
      <w:pPr>
        <w:widowControl/>
        <w:rPr>
          <w:rFonts w:ascii="Times New Roman" w:hAnsi="Times New Roman"/>
          <w:b/>
          <w:bCs/>
        </w:rPr>
      </w:pPr>
      <w:r w:rsidRPr="00BA1CEE">
        <w:rPr>
          <w:rFonts w:ascii="Times New Roman" w:hAnsi="Times New Roman"/>
          <w:bCs/>
        </w:rPr>
        <w:t xml:space="preserve">Also, </w:t>
      </w:r>
      <w:r w:rsidRPr="00BA1CEE" w:rsidR="006A151D">
        <w:rPr>
          <w:rFonts w:ascii="Times New Roman" w:hAnsi="Times New Roman"/>
          <w:bCs/>
        </w:rPr>
        <w:t>the rule</w:t>
      </w:r>
      <w:r w:rsidRPr="00BA1CEE" w:rsidR="00D004D8">
        <w:rPr>
          <w:rFonts w:ascii="Times New Roman" w:hAnsi="Times New Roman"/>
          <w:bCs/>
        </w:rPr>
        <w:t xml:space="preserve"> require</w:t>
      </w:r>
      <w:r w:rsidRPr="00BA1CEE" w:rsidR="006A151D">
        <w:rPr>
          <w:rFonts w:ascii="Times New Roman" w:hAnsi="Times New Roman"/>
          <w:bCs/>
        </w:rPr>
        <w:t>s</w:t>
      </w:r>
      <w:r w:rsidRPr="00BA1CEE" w:rsidR="00D004D8">
        <w:rPr>
          <w:rFonts w:ascii="Times New Roman" w:hAnsi="Times New Roman"/>
          <w:bCs/>
        </w:rPr>
        <w:t xml:space="preserve"> establishments that use a code as an establishment name to provide a legal company name as well.  </w:t>
      </w:r>
    </w:p>
    <w:p w:rsidR="005F48A4" w:rsidRPr="00BA1CEE" w:rsidP="00A34FAE" w14:paraId="64040275" w14:textId="77777777">
      <w:pPr>
        <w:widowControl/>
        <w:rPr>
          <w:rFonts w:ascii="Times New Roman" w:hAnsi="Times New Roman"/>
          <w:b/>
          <w:bCs/>
        </w:rPr>
      </w:pPr>
    </w:p>
    <w:p w:rsidR="00A34FAE" w:rsidRPr="00BA1CEE" w:rsidP="00A34FAE" w14:paraId="08DF1E98" w14:textId="77777777">
      <w:pPr>
        <w:widowControl/>
        <w:rPr>
          <w:rFonts w:ascii="Times New Roman" w:hAnsi="Times New Roman"/>
          <w:b/>
          <w:bCs/>
        </w:rPr>
      </w:pPr>
      <w:r w:rsidRPr="00BA1CEE">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Pr="00BA1CEE" w:rsidR="002F424A">
        <w:rPr>
          <w:rFonts w:ascii="Times New Roman" w:hAnsi="Times New Roman"/>
          <w:b/>
          <w:bCs/>
        </w:rPr>
        <w:t xml:space="preserve">ting this means of collection. </w:t>
      </w:r>
      <w:r w:rsidRPr="00BA1CEE">
        <w:rPr>
          <w:rFonts w:ascii="Times New Roman" w:hAnsi="Times New Roman"/>
          <w:b/>
          <w:bCs/>
        </w:rPr>
        <w:t>Also describe any consideration of using information technology to reduce burden.</w:t>
      </w:r>
    </w:p>
    <w:p w:rsidR="00A34FAE" w:rsidRPr="00BA1CEE" w:rsidP="00A34FAE" w14:paraId="72A569C2" w14:textId="77777777">
      <w:pPr>
        <w:ind w:firstLine="720"/>
        <w:rPr>
          <w:rFonts w:ascii="Times New Roman" w:hAnsi="Times New Roman"/>
        </w:rPr>
      </w:pPr>
    </w:p>
    <w:p w:rsidR="005B3B03" w:rsidRPr="00BA1CEE" w:rsidP="005B3B03" w14:paraId="6827089B" w14:textId="77777777">
      <w:pPr>
        <w:rPr>
          <w:rFonts w:ascii="Times New Roman" w:hAnsi="Times New Roman"/>
        </w:rPr>
      </w:pPr>
      <w:r w:rsidRPr="00BA1CEE">
        <w:rPr>
          <w:rFonts w:ascii="Times New Roman" w:hAnsi="Times New Roman"/>
        </w:rPr>
        <w:t xml:space="preserve">Section </w:t>
      </w:r>
      <w:r w:rsidRPr="00BA1CEE" w:rsidR="009E0EDE">
        <w:rPr>
          <w:rFonts w:ascii="Times New Roman" w:hAnsi="Times New Roman"/>
        </w:rPr>
        <w:t>1904.41 require</w:t>
      </w:r>
      <w:r w:rsidRPr="00BA1CEE">
        <w:rPr>
          <w:rFonts w:ascii="Times New Roman" w:hAnsi="Times New Roman"/>
        </w:rPr>
        <w:t>s</w:t>
      </w:r>
      <w:r w:rsidRPr="00BA1CEE" w:rsidR="009E0EDE">
        <w:rPr>
          <w:rFonts w:ascii="Times New Roman" w:hAnsi="Times New Roman"/>
        </w:rPr>
        <w:t xml:space="preserve"> </w:t>
      </w:r>
      <w:r w:rsidRPr="00BA1CEE">
        <w:rPr>
          <w:rFonts w:ascii="Times New Roman" w:hAnsi="Times New Roman"/>
        </w:rPr>
        <w:t xml:space="preserve">certain </w:t>
      </w:r>
      <w:r w:rsidRPr="00BA1CEE" w:rsidR="009E0EDE">
        <w:rPr>
          <w:rFonts w:ascii="Times New Roman" w:hAnsi="Times New Roman"/>
        </w:rPr>
        <w:t>employers to submit requested</w:t>
      </w:r>
      <w:r w:rsidRPr="00BA1CEE">
        <w:rPr>
          <w:rFonts w:ascii="Times New Roman" w:hAnsi="Times New Roman"/>
        </w:rPr>
        <w:t xml:space="preserve"> data</w:t>
      </w:r>
      <w:r w:rsidRPr="00BA1CEE" w:rsidR="009E0EDE">
        <w:rPr>
          <w:rFonts w:ascii="Times New Roman" w:hAnsi="Times New Roman"/>
        </w:rPr>
        <w:t xml:space="preserve"> electronically</w:t>
      </w:r>
      <w:r w:rsidRPr="00BA1CEE" w:rsidR="00134966">
        <w:rPr>
          <w:rFonts w:ascii="Times New Roman" w:hAnsi="Times New Roman"/>
        </w:rPr>
        <w:t xml:space="preserve">. </w:t>
      </w:r>
      <w:r w:rsidRPr="00BA1CEE">
        <w:rPr>
          <w:rFonts w:ascii="Times New Roman" w:hAnsi="Times New Roman"/>
        </w:rPr>
        <w:t>OSHA provide</w:t>
      </w:r>
      <w:r w:rsidRPr="00BA1CEE" w:rsidR="00AC7C47">
        <w:rPr>
          <w:rFonts w:ascii="Times New Roman" w:hAnsi="Times New Roman"/>
        </w:rPr>
        <w:t>s</w:t>
      </w:r>
      <w:r w:rsidRPr="00BA1CEE">
        <w:rPr>
          <w:rFonts w:ascii="Times New Roman" w:hAnsi="Times New Roman"/>
        </w:rPr>
        <w:t xml:space="preserve"> a secure website for the electronic submission of data. </w:t>
      </w:r>
      <w:r w:rsidRPr="00BA1CEE">
        <w:rPr>
          <w:rFonts w:ascii="Times New Roman" w:hAnsi="Times New Roman"/>
          <w:bCs/>
        </w:rPr>
        <w:t>The website allow</w:t>
      </w:r>
      <w:r w:rsidRPr="00BA1CEE" w:rsidR="00AC7C47">
        <w:rPr>
          <w:rFonts w:ascii="Times New Roman" w:hAnsi="Times New Roman"/>
          <w:bCs/>
        </w:rPr>
        <w:t>s</w:t>
      </w:r>
      <w:r w:rsidRPr="00BA1CEE">
        <w:rPr>
          <w:rFonts w:ascii="Times New Roman" w:hAnsi="Times New Roman"/>
          <w:bCs/>
        </w:rPr>
        <w:t xml:space="preserve"> for both direct data entry and submission of data through a batch file upload, as appropriate.</w:t>
      </w:r>
      <w:r w:rsidRPr="00BA1CEE" w:rsidR="00A137FF">
        <w:rPr>
          <w:rFonts w:ascii="Times New Roman" w:hAnsi="Times New Roman"/>
          <w:bCs/>
        </w:rPr>
        <w:t xml:space="preserve"> OSHA also offer</w:t>
      </w:r>
      <w:r w:rsidRPr="00BA1CEE" w:rsidR="00AC7C47">
        <w:rPr>
          <w:rFonts w:ascii="Times New Roman" w:hAnsi="Times New Roman"/>
          <w:bCs/>
        </w:rPr>
        <w:t>s</w:t>
      </w:r>
      <w:r w:rsidRPr="00BA1CEE" w:rsidR="00A137FF">
        <w:rPr>
          <w:rFonts w:ascii="Times New Roman" w:hAnsi="Times New Roman"/>
          <w:bCs/>
        </w:rPr>
        <w:t xml:space="preserve"> a direct submission option via a machine-to-machine Application Programming Interface (API).</w:t>
      </w:r>
      <w:r w:rsidRPr="00BA1CEE">
        <w:rPr>
          <w:rFonts w:ascii="Times New Roman" w:hAnsi="Times New Roman"/>
        </w:rPr>
        <w:t xml:space="preserve"> </w:t>
      </w:r>
      <w:r w:rsidRPr="00BA1CEE" w:rsidR="00665A68">
        <w:rPr>
          <w:rFonts w:ascii="Times New Roman" w:hAnsi="Times New Roman"/>
        </w:rPr>
        <w:t xml:space="preserve"> </w:t>
      </w:r>
    </w:p>
    <w:p w:rsidR="00997766" w:rsidRPr="00BA1CEE" w:rsidP="002662B4" w14:paraId="3C822210" w14:textId="77777777">
      <w:pPr>
        <w:widowControl/>
        <w:rPr>
          <w:rFonts w:ascii="Times New Roman" w:hAnsi="Times New Roman"/>
          <w:b/>
          <w:bCs/>
        </w:rPr>
      </w:pPr>
    </w:p>
    <w:p w:rsidR="002662B4" w:rsidRPr="00BA1CEE" w:rsidP="002662B4" w14:paraId="67618E09" w14:textId="77777777">
      <w:pPr>
        <w:widowControl/>
        <w:rPr>
          <w:rFonts w:ascii="Times New Roman" w:hAnsi="Times New Roman"/>
          <w:b/>
          <w:bCs/>
        </w:rPr>
      </w:pPr>
      <w:r w:rsidRPr="00BA1CEE">
        <w:rPr>
          <w:rFonts w:ascii="Times New Roman" w:hAnsi="Times New Roman"/>
          <w:b/>
          <w:bCs/>
        </w:rPr>
        <w:t xml:space="preserve"> 4.  Describe ef</w:t>
      </w:r>
      <w:r w:rsidRPr="00BA1CEE" w:rsidR="002F424A">
        <w:rPr>
          <w:rFonts w:ascii="Times New Roman" w:hAnsi="Times New Roman"/>
          <w:b/>
          <w:bCs/>
        </w:rPr>
        <w:t xml:space="preserve">forts to identify duplication. </w:t>
      </w:r>
      <w:r w:rsidRPr="00BA1CEE">
        <w:rPr>
          <w:rFonts w:ascii="Times New Roman" w:hAnsi="Times New Roman"/>
          <w:b/>
          <w:bCs/>
        </w:rPr>
        <w:t>Show specifically why any similar information already available cannot be used or modified for use for the purpose(s) described in A.2 above.</w:t>
      </w:r>
    </w:p>
    <w:p w:rsidR="002662B4" w:rsidRPr="00BA1CEE" w:rsidP="00997766" w14:paraId="2492E163" w14:textId="77777777">
      <w:pPr>
        <w:tabs>
          <w:tab w:val="left" w:pos="-1440"/>
        </w:tabs>
        <w:ind w:left="720" w:hanging="720"/>
        <w:rPr>
          <w:rFonts w:ascii="Times New Roman" w:hAnsi="Times New Roman"/>
        </w:rPr>
      </w:pPr>
    </w:p>
    <w:p w:rsidR="00F57FE6" w:rsidRPr="00BA1CEE" w:rsidP="00F57FE6" w14:paraId="736561AF" w14:textId="0792EAB9">
      <w:pPr>
        <w:widowControl/>
        <w:rPr>
          <w:rFonts w:ascii="Times New Roman" w:hAnsi="Times New Roman"/>
        </w:rPr>
      </w:pPr>
      <w:r w:rsidRPr="00BA1CEE">
        <w:rPr>
          <w:rFonts w:ascii="Times New Roman" w:hAnsi="Times New Roman"/>
        </w:rPr>
        <w:t xml:space="preserve">The information collected from establishments </w:t>
      </w:r>
      <w:r w:rsidRPr="00BA1CEE" w:rsidR="00AC7C47">
        <w:rPr>
          <w:rFonts w:ascii="Times New Roman" w:hAnsi="Times New Roman"/>
        </w:rPr>
        <w:t>under 1904.41</w:t>
      </w:r>
      <w:r w:rsidRPr="00BA1CEE">
        <w:rPr>
          <w:rFonts w:ascii="Times New Roman" w:hAnsi="Times New Roman"/>
        </w:rPr>
        <w:t xml:space="preserve"> overlap</w:t>
      </w:r>
      <w:r w:rsidRPr="00BA1CEE" w:rsidR="00AC7C47">
        <w:rPr>
          <w:rFonts w:ascii="Times New Roman" w:hAnsi="Times New Roman"/>
        </w:rPr>
        <w:t>s</w:t>
      </w:r>
      <w:r w:rsidRPr="00BA1CEE">
        <w:rPr>
          <w:rFonts w:ascii="Times New Roman" w:hAnsi="Times New Roman"/>
        </w:rPr>
        <w:t xml:space="preserve"> with </w:t>
      </w:r>
      <w:r w:rsidRPr="00BA1CEE" w:rsidR="008636B8">
        <w:rPr>
          <w:rFonts w:ascii="Times New Roman" w:hAnsi="Times New Roman"/>
        </w:rPr>
        <w:t>the information</w:t>
      </w:r>
      <w:r w:rsidRPr="00BA1CEE">
        <w:rPr>
          <w:rFonts w:ascii="Times New Roman" w:hAnsi="Times New Roman"/>
        </w:rPr>
        <w:t xml:space="preserve"> collected by the BLS Survey of Occupational Injuries and Illnesses (1220-0045)</w:t>
      </w:r>
      <w:r w:rsidRPr="00BA1CEE" w:rsidR="00134966">
        <w:rPr>
          <w:rFonts w:ascii="Times New Roman" w:hAnsi="Times New Roman"/>
        </w:rPr>
        <w:t xml:space="preserve">. </w:t>
      </w:r>
      <w:r w:rsidRPr="00BA1CEE">
        <w:rPr>
          <w:rFonts w:ascii="Times New Roman" w:hAnsi="Times New Roman"/>
        </w:rPr>
        <w:t xml:space="preserve">However, BLS </w:t>
      </w:r>
      <w:r w:rsidRPr="00BA1CEE" w:rsidR="007D33F2">
        <w:rPr>
          <w:rFonts w:ascii="Times New Roman" w:hAnsi="Times New Roman"/>
        </w:rPr>
        <w:t xml:space="preserve">also </w:t>
      </w:r>
      <w:r w:rsidRPr="00BA1CEE">
        <w:rPr>
          <w:rFonts w:ascii="Times New Roman" w:hAnsi="Times New Roman"/>
        </w:rPr>
        <w:t>collects data from</w:t>
      </w:r>
      <w:r w:rsidRPr="00BA1CEE" w:rsidR="009C53EE">
        <w:rPr>
          <w:rFonts w:ascii="Times New Roman" w:hAnsi="Times New Roman"/>
        </w:rPr>
        <w:t xml:space="preserve"> the</w:t>
      </w:r>
      <w:r w:rsidRPr="00BA1CEE">
        <w:rPr>
          <w:rFonts w:ascii="Times New Roman" w:hAnsi="Times New Roman"/>
        </w:rPr>
        <w:t xml:space="preserve"> OSHA Form</w:t>
      </w:r>
      <w:r w:rsidRPr="00BA1CEE" w:rsidR="00722D6C">
        <w:rPr>
          <w:rFonts w:ascii="Times New Roman" w:hAnsi="Times New Roman"/>
        </w:rPr>
        <w:t>s</w:t>
      </w:r>
      <w:r w:rsidRPr="00BA1CEE">
        <w:rPr>
          <w:rFonts w:ascii="Times New Roman" w:hAnsi="Times New Roman"/>
        </w:rPr>
        <w:t xml:space="preserve"> </w:t>
      </w:r>
      <w:r w:rsidRPr="00BA1CEE" w:rsidR="007E4A45">
        <w:rPr>
          <w:rFonts w:ascii="Times New Roman" w:hAnsi="Times New Roman"/>
        </w:rPr>
        <w:t xml:space="preserve">from </w:t>
      </w:r>
      <w:r w:rsidRPr="00BA1CEE">
        <w:rPr>
          <w:rFonts w:ascii="Times New Roman" w:hAnsi="Times New Roman"/>
        </w:rPr>
        <w:t xml:space="preserve">many </w:t>
      </w:r>
      <w:r w:rsidRPr="00BA1CEE" w:rsidR="00891F99">
        <w:rPr>
          <w:rFonts w:ascii="Times New Roman" w:hAnsi="Times New Roman"/>
        </w:rPr>
        <w:t xml:space="preserve">establishments </w:t>
      </w:r>
      <w:r w:rsidRPr="00BA1CEE">
        <w:rPr>
          <w:rFonts w:ascii="Times New Roman" w:hAnsi="Times New Roman"/>
        </w:rPr>
        <w:t xml:space="preserve">not </w:t>
      </w:r>
      <w:r w:rsidRPr="00BA1CEE" w:rsidR="007D33F2">
        <w:rPr>
          <w:rFonts w:ascii="Times New Roman" w:hAnsi="Times New Roman"/>
        </w:rPr>
        <w:t>subject to 1904.41</w:t>
      </w:r>
      <w:r w:rsidRPr="00BA1CEE" w:rsidR="00134966">
        <w:rPr>
          <w:rFonts w:ascii="Times New Roman" w:hAnsi="Times New Roman"/>
        </w:rPr>
        <w:t xml:space="preserve">. </w:t>
      </w:r>
      <w:r w:rsidRPr="00BA1CEE">
        <w:rPr>
          <w:rFonts w:ascii="Times New Roman" w:hAnsi="Times New Roman"/>
        </w:rPr>
        <w:t>Specifically, BLS collects data from these forms for a sample of 240,000 establishments represe</w:t>
      </w:r>
      <w:r w:rsidRPr="00BA1CEE" w:rsidR="00E7648B">
        <w:rPr>
          <w:rFonts w:ascii="Times New Roman" w:hAnsi="Times New Roman"/>
        </w:rPr>
        <w:t>nting all private industry and s</w:t>
      </w:r>
      <w:r w:rsidRPr="00BA1CEE">
        <w:rPr>
          <w:rFonts w:ascii="Times New Roman" w:hAnsi="Times New Roman"/>
        </w:rPr>
        <w:t xml:space="preserve">tate and local government, regardless of establishment size </w:t>
      </w:r>
      <w:r w:rsidRPr="00BA1CEE" w:rsidR="00012657">
        <w:rPr>
          <w:rFonts w:ascii="Times New Roman" w:hAnsi="Times New Roman"/>
        </w:rPr>
        <w:t xml:space="preserve">or </w:t>
      </w:r>
      <w:r w:rsidRPr="00BA1CEE">
        <w:rPr>
          <w:rFonts w:ascii="Times New Roman" w:hAnsi="Times New Roman"/>
        </w:rPr>
        <w:t>level of workplace injury and illness risk</w:t>
      </w:r>
      <w:r w:rsidRPr="00BA1CEE" w:rsidR="00134966">
        <w:rPr>
          <w:rFonts w:ascii="Times New Roman" w:hAnsi="Times New Roman"/>
        </w:rPr>
        <w:t xml:space="preserve">. </w:t>
      </w:r>
      <w:r w:rsidRPr="00BA1CEE">
        <w:rPr>
          <w:rFonts w:ascii="Times New Roman" w:hAnsi="Times New Roman"/>
        </w:rPr>
        <w:t xml:space="preserve">BLS collects occupational injury and illness data from employers under a pledge of confidentiality and is prohibited from releasing establishment-specific data to the </w:t>
      </w:r>
      <w:r w:rsidRPr="00BA1CEE">
        <w:rPr>
          <w:rFonts w:ascii="Times New Roman" w:hAnsi="Times New Roman"/>
        </w:rPr>
        <w:t>general public</w:t>
      </w:r>
      <w:r w:rsidRPr="00BA1CEE">
        <w:rPr>
          <w:rFonts w:ascii="Times New Roman" w:hAnsi="Times New Roman"/>
        </w:rPr>
        <w:t xml:space="preserve"> or to OSHA under the Confidential Information Protection and Statistical Efficiency Act of 2002 (CIPSEA)</w:t>
      </w:r>
      <w:r w:rsidRPr="00BA1CEE" w:rsidR="00134966">
        <w:rPr>
          <w:rFonts w:ascii="Times New Roman" w:hAnsi="Times New Roman"/>
        </w:rPr>
        <w:t xml:space="preserve">. </w:t>
      </w:r>
      <w:r w:rsidRPr="00BA1CEE" w:rsidR="004E743A">
        <w:rPr>
          <w:rFonts w:ascii="Times New Roman" w:hAnsi="Times New Roman"/>
        </w:rPr>
        <w:t xml:space="preserve">Therefore, </w:t>
      </w:r>
      <w:r w:rsidRPr="00BA1CEE">
        <w:rPr>
          <w:rFonts w:ascii="Times New Roman" w:hAnsi="Times New Roman"/>
        </w:rPr>
        <w:t>OSHA cannot obtain access to the information collected by BLS at the establishment level</w:t>
      </w:r>
      <w:r w:rsidRPr="00BA1CEE" w:rsidR="00416F4B">
        <w:rPr>
          <w:rFonts w:ascii="Times New Roman" w:hAnsi="Times New Roman"/>
        </w:rPr>
        <w:t>,</w:t>
      </w:r>
      <w:r w:rsidRPr="00BA1CEE">
        <w:rPr>
          <w:rFonts w:ascii="Times New Roman" w:hAnsi="Times New Roman"/>
        </w:rPr>
        <w:t xml:space="preserve"> which the </w:t>
      </w:r>
      <w:r w:rsidRPr="00BA1CEE" w:rsidR="00AF7552">
        <w:rPr>
          <w:rFonts w:ascii="Times New Roman" w:hAnsi="Times New Roman"/>
        </w:rPr>
        <w:t xml:space="preserve">agency </w:t>
      </w:r>
      <w:r w:rsidRPr="00BA1CEE">
        <w:rPr>
          <w:rFonts w:ascii="Times New Roman" w:hAnsi="Times New Roman"/>
        </w:rPr>
        <w:t xml:space="preserve">needs for </w:t>
      </w:r>
      <w:r w:rsidRPr="00BA1CEE" w:rsidR="007D33F2">
        <w:rPr>
          <w:rFonts w:ascii="Times New Roman" w:hAnsi="Times New Roman"/>
        </w:rPr>
        <w:t xml:space="preserve">inspection </w:t>
      </w:r>
      <w:r w:rsidRPr="00BA1CEE">
        <w:rPr>
          <w:rFonts w:ascii="Times New Roman" w:hAnsi="Times New Roman"/>
        </w:rPr>
        <w:t xml:space="preserve">targeting </w:t>
      </w:r>
      <w:r w:rsidRPr="00BA1CEE" w:rsidR="00505AE2">
        <w:rPr>
          <w:rFonts w:ascii="Times New Roman" w:hAnsi="Times New Roman"/>
        </w:rPr>
        <w:t xml:space="preserve">and outreach </w:t>
      </w:r>
      <w:r w:rsidRPr="00BA1CEE">
        <w:rPr>
          <w:rFonts w:ascii="Times New Roman" w:hAnsi="Times New Roman"/>
        </w:rPr>
        <w:t>purposes</w:t>
      </w:r>
      <w:r w:rsidRPr="00BA1CEE" w:rsidR="00134966">
        <w:rPr>
          <w:rFonts w:ascii="Times New Roman" w:hAnsi="Times New Roman"/>
        </w:rPr>
        <w:t xml:space="preserve">. </w:t>
      </w:r>
      <w:r w:rsidRPr="00BA1CEE">
        <w:rPr>
          <w:rFonts w:ascii="Times New Roman" w:hAnsi="Times New Roman"/>
        </w:rPr>
        <w:t xml:space="preserve">However, OSHA is not prohibited from providing BLS complete access to the </w:t>
      </w:r>
      <w:r w:rsidRPr="00BA1CEE" w:rsidR="009D7B7F">
        <w:rPr>
          <w:rFonts w:ascii="Times New Roman" w:hAnsi="Times New Roman"/>
        </w:rPr>
        <w:t xml:space="preserve">injury and illness recordkeeping </w:t>
      </w:r>
      <w:r w:rsidRPr="00BA1CEE">
        <w:rPr>
          <w:rFonts w:ascii="Times New Roman" w:hAnsi="Times New Roman"/>
        </w:rPr>
        <w:t>information OSHA collects</w:t>
      </w:r>
      <w:r w:rsidRPr="00BA1CEE" w:rsidR="00134966">
        <w:rPr>
          <w:rFonts w:ascii="Times New Roman" w:hAnsi="Times New Roman"/>
        </w:rPr>
        <w:t xml:space="preserve">. </w:t>
      </w:r>
      <w:r w:rsidRPr="00BA1CEE" w:rsidR="001F2734">
        <w:rPr>
          <w:rFonts w:ascii="Times New Roman" w:hAnsi="Times New Roman"/>
        </w:rPr>
        <w:t xml:space="preserve">In the past, </w:t>
      </w:r>
      <w:r w:rsidRPr="00BA1CEE">
        <w:rPr>
          <w:rFonts w:ascii="Times New Roman" w:hAnsi="Times New Roman"/>
        </w:rPr>
        <w:t>OSHA</w:t>
      </w:r>
      <w:r w:rsidRPr="00BA1CEE" w:rsidR="00FD08C1">
        <w:rPr>
          <w:rFonts w:ascii="Times New Roman" w:hAnsi="Times New Roman"/>
        </w:rPr>
        <w:t xml:space="preserve"> has</w:t>
      </w:r>
      <w:r w:rsidRPr="00BA1CEE">
        <w:rPr>
          <w:rFonts w:ascii="Times New Roman" w:hAnsi="Times New Roman"/>
        </w:rPr>
        <w:t xml:space="preserve"> provide</w:t>
      </w:r>
      <w:r w:rsidRPr="00BA1CEE" w:rsidR="00FD08C1">
        <w:rPr>
          <w:rFonts w:ascii="Times New Roman" w:hAnsi="Times New Roman"/>
        </w:rPr>
        <w:t>d</w:t>
      </w:r>
      <w:r w:rsidRPr="00BA1CEE">
        <w:rPr>
          <w:rFonts w:ascii="Times New Roman" w:hAnsi="Times New Roman"/>
        </w:rPr>
        <w:t xml:space="preserve"> the B</w:t>
      </w:r>
      <w:r w:rsidRPr="00BA1CEE" w:rsidR="00FD08C1">
        <w:rPr>
          <w:rFonts w:ascii="Times New Roman" w:hAnsi="Times New Roman"/>
        </w:rPr>
        <w:t>LS</w:t>
      </w:r>
      <w:r w:rsidRPr="00BA1CEE">
        <w:rPr>
          <w:rFonts w:ascii="Times New Roman" w:hAnsi="Times New Roman"/>
        </w:rPr>
        <w:t xml:space="preserve"> with access to </w:t>
      </w:r>
      <w:r w:rsidRPr="00BA1CEE">
        <w:rPr>
          <w:rFonts w:ascii="Times New Roman" w:hAnsi="Times New Roman"/>
        </w:rPr>
        <w:t>all of</w:t>
      </w:r>
      <w:r w:rsidRPr="00BA1CEE">
        <w:rPr>
          <w:rFonts w:ascii="Times New Roman" w:hAnsi="Times New Roman"/>
        </w:rPr>
        <w:t xml:space="preserve"> the </w:t>
      </w:r>
      <w:r w:rsidRPr="00BA1CEE" w:rsidR="009F72B8">
        <w:rPr>
          <w:rFonts w:ascii="Times New Roman" w:hAnsi="Times New Roman"/>
        </w:rPr>
        <w:t xml:space="preserve">recordkeeping </w:t>
      </w:r>
      <w:r w:rsidRPr="00BA1CEE">
        <w:rPr>
          <w:rFonts w:ascii="Times New Roman" w:hAnsi="Times New Roman"/>
        </w:rPr>
        <w:t xml:space="preserve">data collected </w:t>
      </w:r>
      <w:r w:rsidRPr="00BA1CEE" w:rsidR="009F72B8">
        <w:rPr>
          <w:rFonts w:ascii="Times New Roman" w:hAnsi="Times New Roman"/>
        </w:rPr>
        <w:t xml:space="preserve">by OSHA </w:t>
      </w:r>
      <w:r w:rsidRPr="00BA1CEE">
        <w:rPr>
          <w:rFonts w:ascii="Times New Roman" w:hAnsi="Times New Roman"/>
        </w:rPr>
        <w:t xml:space="preserve">under </w:t>
      </w:r>
      <w:r w:rsidRPr="00BA1CEE" w:rsidR="004F5B4D">
        <w:rPr>
          <w:rFonts w:ascii="Times New Roman" w:hAnsi="Times New Roman"/>
        </w:rPr>
        <w:t>previous collection requirements</w:t>
      </w:r>
      <w:r w:rsidRPr="00BA1CEE">
        <w:rPr>
          <w:rFonts w:ascii="Times New Roman" w:hAnsi="Times New Roman"/>
        </w:rPr>
        <w:t>.</w:t>
      </w:r>
    </w:p>
    <w:p w:rsidR="00556A7B" w:rsidRPr="00BA1CEE" w:rsidP="00F57FE6" w14:paraId="225333D8" w14:textId="52B612CB">
      <w:pPr>
        <w:widowControl/>
        <w:rPr>
          <w:rFonts w:ascii="Times New Roman" w:hAnsi="Times New Roman"/>
        </w:rPr>
      </w:pPr>
    </w:p>
    <w:p w:rsidR="00556A7B" w:rsidRPr="00BA1CEE" w:rsidP="00F57FE6" w14:paraId="2DFBDE6C" w14:textId="7941C97E">
      <w:pPr>
        <w:widowControl/>
        <w:rPr>
          <w:rFonts w:ascii="Times New Roman" w:hAnsi="Times New Roman"/>
          <w:b/>
          <w:bCs/>
        </w:rPr>
      </w:pPr>
      <w:r w:rsidRPr="00BA1CEE">
        <w:rPr>
          <w:rFonts w:ascii="Times New Roman" w:hAnsi="Times New Roman"/>
        </w:rPr>
        <w:t xml:space="preserve">The BLS has modified their collection to allow respondents that have already provided their Form 300A data to OSHA to </w:t>
      </w:r>
      <w:r w:rsidRPr="00BA1CEE">
        <w:rPr>
          <w:rFonts w:ascii="Times New Roman" w:hAnsi="Times New Roman"/>
          <w:color w:val="333333"/>
          <w:shd w:val="clear" w:color="auto" w:fill="FFFFFF"/>
        </w:rPr>
        <w:t xml:space="preserve">provide their OSHA identification number (OSHA ID) to import to BLS the data that they have submitted to the OSHA ITA in that same year. </w:t>
      </w:r>
      <w:r w:rsidRPr="00BA1CEE" w:rsidR="004C4BA6">
        <w:rPr>
          <w:rFonts w:ascii="Times New Roman" w:hAnsi="Times New Roman"/>
          <w:color w:val="333333"/>
          <w:shd w:val="clear" w:color="auto" w:fill="FFFFFF"/>
        </w:rPr>
        <w:t xml:space="preserve">This same model could be used for the additional information required by this final rule. </w:t>
      </w:r>
      <w:r w:rsidRPr="00BA1CEE">
        <w:rPr>
          <w:rFonts w:ascii="Times New Roman" w:hAnsi="Times New Roman"/>
          <w:color w:val="333333"/>
          <w:shd w:val="clear" w:color="auto" w:fill="FFFFFF"/>
        </w:rPr>
        <w:t xml:space="preserve"> Additional information may need to be entered manually to complete the </w:t>
      </w:r>
      <w:r w:rsidRPr="00BA1CEE" w:rsidR="00D65345">
        <w:rPr>
          <w:rFonts w:ascii="Times New Roman" w:hAnsi="Times New Roman"/>
          <w:color w:val="333333"/>
          <w:shd w:val="clear" w:color="auto" w:fill="FFFFFF"/>
        </w:rPr>
        <w:t xml:space="preserve">Survey </w:t>
      </w:r>
      <w:r w:rsidRPr="00BA1CEE" w:rsidR="004B0233">
        <w:rPr>
          <w:rFonts w:ascii="Times New Roman" w:hAnsi="Times New Roman"/>
          <w:color w:val="333333"/>
          <w:shd w:val="clear" w:color="auto" w:fill="FFFFFF"/>
        </w:rPr>
        <w:t xml:space="preserve">of </w:t>
      </w:r>
      <w:r w:rsidRPr="00BA1CEE" w:rsidR="00D65345">
        <w:rPr>
          <w:rFonts w:ascii="Times New Roman" w:hAnsi="Times New Roman"/>
          <w:color w:val="333333"/>
          <w:shd w:val="clear" w:color="auto" w:fill="FFFFFF"/>
        </w:rPr>
        <w:t>Occupational Injuries and Illnesses (</w:t>
      </w:r>
      <w:r w:rsidRPr="00BA1CEE">
        <w:rPr>
          <w:rFonts w:ascii="Times New Roman" w:hAnsi="Times New Roman"/>
          <w:color w:val="333333"/>
          <w:shd w:val="clear" w:color="auto" w:fill="FFFFFF"/>
        </w:rPr>
        <w:t>SOII</w:t>
      </w:r>
      <w:r w:rsidRPr="00BA1CEE" w:rsidR="00D65345">
        <w:rPr>
          <w:rFonts w:ascii="Times New Roman" w:hAnsi="Times New Roman"/>
          <w:color w:val="333333"/>
          <w:shd w:val="clear" w:color="auto" w:fill="FFFFFF"/>
        </w:rPr>
        <w:t>)</w:t>
      </w:r>
      <w:r w:rsidRPr="00BA1CEE">
        <w:rPr>
          <w:rFonts w:ascii="Times New Roman" w:hAnsi="Times New Roman"/>
          <w:color w:val="333333"/>
          <w:shd w:val="clear" w:color="auto" w:fill="FFFFFF"/>
        </w:rPr>
        <w:t xml:space="preserve">.  </w:t>
      </w:r>
    </w:p>
    <w:p w:rsidR="00255B4A" w:rsidRPr="00BA1CEE" w:rsidP="00255B4A" w14:paraId="13617DE6" w14:textId="77777777">
      <w:pPr>
        <w:rPr>
          <w:rFonts w:ascii="Times New Roman" w:hAnsi="Times New Roman"/>
        </w:rPr>
      </w:pPr>
    </w:p>
    <w:p w:rsidR="002662B4" w:rsidRPr="00BA1CEE" w:rsidP="002662B4" w14:paraId="6FABC579" w14:textId="77777777">
      <w:pPr>
        <w:widowControl/>
        <w:rPr>
          <w:rFonts w:ascii="Times New Roman" w:hAnsi="Times New Roman"/>
          <w:b/>
          <w:bCs/>
        </w:rPr>
      </w:pPr>
      <w:r w:rsidRPr="00BA1CEE">
        <w:rPr>
          <w:rFonts w:ascii="Times New Roman" w:hAnsi="Times New Roman"/>
          <w:b/>
          <w:bCs/>
        </w:rPr>
        <w:t xml:space="preserve"> 5.  If the collection of information impacts small businesses or other small entities, describe the methods used to reduce the burden.</w:t>
      </w:r>
    </w:p>
    <w:p w:rsidR="002662B4" w:rsidRPr="00BA1CEE" w:rsidP="002662B4" w14:paraId="2BC39C88" w14:textId="77777777">
      <w:pPr>
        <w:widowControl/>
        <w:rPr>
          <w:rFonts w:ascii="Times New Roman" w:hAnsi="Times New Roman"/>
        </w:rPr>
      </w:pPr>
    </w:p>
    <w:p w:rsidR="002112C4" w:rsidRPr="00BA1CEE" w:rsidP="00997766" w14:paraId="0A58E4B4" w14:textId="7271F084">
      <w:pPr>
        <w:rPr>
          <w:rFonts w:ascii="Times New Roman" w:hAnsi="Times New Roman"/>
        </w:rPr>
      </w:pPr>
      <w:r w:rsidRPr="00BA1CEE">
        <w:rPr>
          <w:rFonts w:ascii="Times New Roman" w:hAnsi="Times New Roman"/>
        </w:rPr>
        <w:t xml:space="preserve">Small employers with fewer than 11 employees in all sectors of the economy and all employers in certain </w:t>
      </w:r>
      <w:r w:rsidRPr="00BA1CEE" w:rsidR="007020C1">
        <w:rPr>
          <w:rFonts w:ascii="Times New Roman" w:hAnsi="Times New Roman"/>
        </w:rPr>
        <w:t>North American Industry Classification System (NAICS) codes</w:t>
      </w:r>
      <w:r w:rsidRPr="00BA1CEE">
        <w:rPr>
          <w:rFonts w:ascii="Times New Roman" w:hAnsi="Times New Roman"/>
        </w:rPr>
        <w:t xml:space="preserve"> are </w:t>
      </w:r>
      <w:r w:rsidRPr="00BA1CEE" w:rsidR="00B721EE">
        <w:rPr>
          <w:rFonts w:ascii="Times New Roman" w:hAnsi="Times New Roman"/>
        </w:rPr>
        <w:t xml:space="preserve">partially </w:t>
      </w:r>
      <w:r w:rsidRPr="00BA1CEE">
        <w:rPr>
          <w:rFonts w:ascii="Times New Roman" w:hAnsi="Times New Roman"/>
        </w:rPr>
        <w:t xml:space="preserve">exempt from OSHA </w:t>
      </w:r>
      <w:r w:rsidRPr="00BA1CEE" w:rsidR="00E67649">
        <w:rPr>
          <w:rFonts w:ascii="Times New Roman" w:hAnsi="Times New Roman"/>
        </w:rPr>
        <w:t xml:space="preserve">injury and illness </w:t>
      </w:r>
      <w:r w:rsidRPr="00BA1CEE">
        <w:rPr>
          <w:rFonts w:ascii="Times New Roman" w:hAnsi="Times New Roman"/>
        </w:rPr>
        <w:t>recordkeeping</w:t>
      </w:r>
      <w:r w:rsidRPr="00BA1CEE" w:rsidR="004753CD">
        <w:rPr>
          <w:rFonts w:ascii="Times New Roman" w:hAnsi="Times New Roman"/>
        </w:rPr>
        <w:t xml:space="preserve"> requirements</w:t>
      </w:r>
      <w:r w:rsidRPr="00BA1CEE">
        <w:rPr>
          <w:rFonts w:ascii="Times New Roman" w:hAnsi="Times New Roman"/>
        </w:rPr>
        <w:t xml:space="preserve">, unless pre-notified in writing that they must participate in the BLS Annual SOII, OMB </w:t>
      </w:r>
      <w:r w:rsidRPr="00BA1CEE" w:rsidR="002662B4">
        <w:rPr>
          <w:rFonts w:ascii="Times New Roman" w:hAnsi="Times New Roman"/>
        </w:rPr>
        <w:t xml:space="preserve">Control </w:t>
      </w:r>
      <w:r w:rsidRPr="00BA1CEE">
        <w:rPr>
          <w:rFonts w:ascii="Times New Roman" w:hAnsi="Times New Roman"/>
        </w:rPr>
        <w:t>No. 1220-0045</w:t>
      </w:r>
      <w:r w:rsidRPr="00BA1CEE" w:rsidR="00134966">
        <w:rPr>
          <w:rFonts w:ascii="Times New Roman" w:hAnsi="Times New Roman"/>
        </w:rPr>
        <w:t xml:space="preserve">. </w:t>
      </w:r>
      <w:r w:rsidRPr="00BA1CEE">
        <w:rPr>
          <w:rFonts w:ascii="Times New Roman" w:hAnsi="Times New Roman"/>
        </w:rPr>
        <w:t>See 29 CFR 1904.42</w:t>
      </w:r>
      <w:r w:rsidRPr="00BA1CEE" w:rsidR="00134966">
        <w:rPr>
          <w:rFonts w:ascii="Times New Roman" w:hAnsi="Times New Roman"/>
        </w:rPr>
        <w:t xml:space="preserve">. </w:t>
      </w:r>
      <w:r w:rsidRPr="00BA1CEE">
        <w:rPr>
          <w:rFonts w:ascii="Times New Roman" w:hAnsi="Times New Roman"/>
        </w:rPr>
        <w:t xml:space="preserve">Of the </w:t>
      </w:r>
      <w:r w:rsidRPr="00BA1CEE" w:rsidR="00FD08C1">
        <w:rPr>
          <w:rFonts w:ascii="Times New Roman" w:hAnsi="Times New Roman"/>
        </w:rPr>
        <w:t>8</w:t>
      </w:r>
      <w:r w:rsidRPr="00BA1CEE">
        <w:rPr>
          <w:rFonts w:ascii="Times New Roman" w:hAnsi="Times New Roman"/>
        </w:rPr>
        <w:t xml:space="preserve"> million establishments covered by OSHA and th</w:t>
      </w:r>
      <w:r w:rsidRPr="00BA1CEE" w:rsidR="00795DE3">
        <w:rPr>
          <w:rFonts w:ascii="Times New Roman" w:hAnsi="Times New Roman"/>
        </w:rPr>
        <w:t xml:space="preserve">e State Plans, </w:t>
      </w:r>
      <w:r w:rsidRPr="00BA1CEE" w:rsidR="00FD08C1">
        <w:rPr>
          <w:rFonts w:ascii="Times New Roman" w:hAnsi="Times New Roman"/>
        </w:rPr>
        <w:t xml:space="preserve">almost 7 </w:t>
      </w:r>
      <w:r w:rsidRPr="00BA1CEE">
        <w:rPr>
          <w:rFonts w:ascii="Times New Roman" w:hAnsi="Times New Roman"/>
        </w:rPr>
        <w:t xml:space="preserve">million </w:t>
      </w:r>
      <w:r w:rsidRPr="00BA1CEE">
        <w:rPr>
          <w:rFonts w:ascii="Times New Roman" w:hAnsi="Times New Roman"/>
        </w:rPr>
        <w:t>fall</w:t>
      </w:r>
      <w:r w:rsidRPr="00BA1CEE">
        <w:rPr>
          <w:rFonts w:ascii="Times New Roman" w:hAnsi="Times New Roman"/>
        </w:rPr>
        <w:t xml:space="preserve"> under these exemptions</w:t>
      </w:r>
      <w:r w:rsidRPr="00BA1CEE" w:rsidR="00134966">
        <w:rPr>
          <w:rFonts w:ascii="Times New Roman" w:hAnsi="Times New Roman"/>
        </w:rPr>
        <w:t xml:space="preserve">. </w:t>
      </w:r>
      <w:r w:rsidRPr="00BA1CEE">
        <w:rPr>
          <w:rFonts w:ascii="Times New Roman" w:hAnsi="Times New Roman"/>
        </w:rPr>
        <w:t>These exemptions do not apply to the requirement that employers must report to OSHA a fatality</w:t>
      </w:r>
      <w:r w:rsidRPr="00BA1CEE" w:rsidR="007020C1">
        <w:rPr>
          <w:rFonts w:ascii="Times New Roman" w:hAnsi="Times New Roman"/>
        </w:rPr>
        <w:t xml:space="preserve">, in-patient </w:t>
      </w:r>
      <w:r w:rsidRPr="00BA1CEE" w:rsidR="00653862">
        <w:rPr>
          <w:rFonts w:ascii="Times New Roman" w:hAnsi="Times New Roman"/>
        </w:rPr>
        <w:t>hospitalization</w:t>
      </w:r>
      <w:r w:rsidRPr="00BA1CEE" w:rsidR="007020C1">
        <w:rPr>
          <w:rFonts w:ascii="Times New Roman" w:hAnsi="Times New Roman"/>
        </w:rPr>
        <w:t xml:space="preserve">, amputation, or loss of an eye </w:t>
      </w:r>
      <w:r w:rsidRPr="00BA1CEE">
        <w:rPr>
          <w:rFonts w:ascii="Times New Roman" w:hAnsi="Times New Roman"/>
        </w:rPr>
        <w:t>as a result of</w:t>
      </w:r>
      <w:r w:rsidRPr="00BA1CEE">
        <w:rPr>
          <w:rFonts w:ascii="Times New Roman" w:hAnsi="Times New Roman"/>
        </w:rPr>
        <w:t xml:space="preserve"> a work-related incident. See 29 CFR 1904.39.</w:t>
      </w:r>
    </w:p>
    <w:p w:rsidR="00F62BB7" w:rsidRPr="00BA1CEE" w:rsidP="00997766" w14:paraId="0F4A71F5" w14:textId="77777777">
      <w:pPr>
        <w:rPr>
          <w:rFonts w:ascii="Times New Roman" w:hAnsi="Times New Roman"/>
        </w:rPr>
      </w:pPr>
    </w:p>
    <w:p w:rsidR="00914BA1" w:rsidRPr="00BA1CEE" w:rsidP="00997766" w14:paraId="3602900F" w14:textId="289B6454">
      <w:pPr>
        <w:rPr>
          <w:rFonts w:ascii="Times New Roman" w:hAnsi="Times New Roman"/>
        </w:rPr>
      </w:pPr>
      <w:r w:rsidRPr="00BA1CEE">
        <w:rPr>
          <w:rFonts w:ascii="Times New Roman" w:hAnsi="Times New Roman"/>
        </w:rPr>
        <w:t xml:space="preserve">The </w:t>
      </w:r>
      <w:r w:rsidRPr="00BA1CEE" w:rsidR="003324E0">
        <w:rPr>
          <w:rFonts w:ascii="Times New Roman" w:hAnsi="Times New Roman"/>
        </w:rPr>
        <w:t xml:space="preserve">new </w:t>
      </w:r>
      <w:r w:rsidRPr="00BA1CEE">
        <w:rPr>
          <w:rFonts w:ascii="Times New Roman" w:hAnsi="Times New Roman"/>
        </w:rPr>
        <w:t xml:space="preserve">requirement to </w:t>
      </w:r>
      <w:r w:rsidRPr="00BA1CEE" w:rsidR="00C65EDF">
        <w:rPr>
          <w:rFonts w:ascii="Times New Roman" w:hAnsi="Times New Roman"/>
        </w:rPr>
        <w:t xml:space="preserve">submit </w:t>
      </w:r>
      <w:r w:rsidRPr="00BA1CEE">
        <w:rPr>
          <w:rFonts w:ascii="Times New Roman" w:hAnsi="Times New Roman"/>
        </w:rPr>
        <w:t xml:space="preserve">Forms 300 and 301 data </w:t>
      </w:r>
      <w:r w:rsidRPr="00BA1CEE" w:rsidR="00AC07D3">
        <w:rPr>
          <w:rFonts w:ascii="Times New Roman" w:hAnsi="Times New Roman"/>
        </w:rPr>
        <w:t xml:space="preserve">is </w:t>
      </w:r>
      <w:r w:rsidRPr="00BA1CEE">
        <w:rPr>
          <w:rFonts w:ascii="Times New Roman" w:hAnsi="Times New Roman"/>
        </w:rPr>
        <w:t xml:space="preserve">limited to </w:t>
      </w:r>
      <w:r w:rsidRPr="00BA1CEE" w:rsidR="00F62BB7">
        <w:rPr>
          <w:rFonts w:ascii="Times New Roman" w:hAnsi="Times New Roman"/>
        </w:rPr>
        <w:t xml:space="preserve">establishments with </w:t>
      </w:r>
      <w:r w:rsidRPr="00BA1CEE">
        <w:rPr>
          <w:rFonts w:ascii="Times New Roman" w:hAnsi="Times New Roman"/>
        </w:rPr>
        <w:t>10</w:t>
      </w:r>
      <w:r w:rsidRPr="00BA1CEE" w:rsidR="00F62BB7">
        <w:rPr>
          <w:rFonts w:ascii="Times New Roman" w:hAnsi="Times New Roman"/>
        </w:rPr>
        <w:t xml:space="preserve">0 or more employees in </w:t>
      </w:r>
      <w:r w:rsidRPr="00BA1CEE">
        <w:rPr>
          <w:rFonts w:ascii="Times New Roman" w:hAnsi="Times New Roman"/>
        </w:rPr>
        <w:t xml:space="preserve">designated </w:t>
      </w:r>
      <w:r w:rsidRPr="00BA1CEE" w:rsidR="00F62BB7">
        <w:rPr>
          <w:rFonts w:ascii="Times New Roman" w:hAnsi="Times New Roman"/>
        </w:rPr>
        <w:t>industries</w:t>
      </w:r>
      <w:r w:rsidRPr="00BA1CEE" w:rsidR="00646D53">
        <w:rPr>
          <w:rFonts w:ascii="Times New Roman" w:hAnsi="Times New Roman"/>
        </w:rPr>
        <w:t>, all of which are already required to submit Form 300A data to OSHA</w:t>
      </w:r>
      <w:r w:rsidRPr="00BA1CEE" w:rsidR="00134966">
        <w:rPr>
          <w:rFonts w:ascii="Times New Roman" w:hAnsi="Times New Roman"/>
        </w:rPr>
        <w:t xml:space="preserve">. </w:t>
      </w:r>
      <w:r w:rsidRPr="00BA1CEE" w:rsidR="00F62BB7">
        <w:rPr>
          <w:rFonts w:ascii="Times New Roman" w:hAnsi="Times New Roman"/>
        </w:rPr>
        <w:t xml:space="preserve">These size and industry criteria limit the burden on small employers.  </w:t>
      </w:r>
    </w:p>
    <w:p w:rsidR="00F62BB7" w:rsidRPr="00BA1CEE" w:rsidP="00997766" w14:paraId="1B5D50F0" w14:textId="77777777">
      <w:pPr>
        <w:rPr>
          <w:rFonts w:ascii="Times New Roman" w:hAnsi="Times New Roman"/>
        </w:rPr>
      </w:pPr>
      <w:r w:rsidRPr="00BA1CEE">
        <w:rPr>
          <w:rFonts w:ascii="Times New Roman" w:hAnsi="Times New Roman"/>
        </w:rPr>
        <w:t xml:space="preserve"> </w:t>
      </w:r>
    </w:p>
    <w:p w:rsidR="002662B4" w:rsidRPr="00BA1CEE" w:rsidP="002662B4" w14:paraId="65F6D795" w14:textId="77777777">
      <w:pPr>
        <w:widowControl/>
        <w:rPr>
          <w:rFonts w:ascii="Times New Roman" w:hAnsi="Times New Roman"/>
          <w:b/>
          <w:bCs/>
        </w:rPr>
      </w:pPr>
      <w:r w:rsidRPr="00BA1CEE">
        <w:rPr>
          <w:rFonts w:ascii="Times New Roman" w:hAnsi="Times New Roman"/>
          <w:b/>
          <w:bCs/>
        </w:rPr>
        <w:t xml:space="preserve">6.  Describe the consequences to Federal program or policy activities if the collection is or is not conducted or is conducted less frequently, as well as any technical or legal obstacles to reducing the burden. </w:t>
      </w:r>
    </w:p>
    <w:p w:rsidR="002662B4" w:rsidRPr="00BA1CEE" w:rsidP="002662B4" w14:paraId="49B96B82" w14:textId="77777777">
      <w:pPr>
        <w:ind w:firstLine="720"/>
        <w:rPr>
          <w:rFonts w:ascii="Times New Roman" w:hAnsi="Times New Roman"/>
        </w:rPr>
      </w:pPr>
    </w:p>
    <w:p w:rsidR="002112C4" w:rsidRPr="00BA1CEE" w:rsidP="00997766" w14:paraId="695E4825" w14:textId="2DCD361B">
      <w:pPr>
        <w:rPr>
          <w:rFonts w:ascii="Times New Roman" w:hAnsi="Times New Roman"/>
        </w:rPr>
      </w:pPr>
      <w:r w:rsidRPr="00BA1CEE">
        <w:rPr>
          <w:rFonts w:ascii="Times New Roman" w:hAnsi="Times New Roman"/>
        </w:rPr>
        <w:t>If</w:t>
      </w:r>
      <w:r w:rsidRPr="00BA1CEE">
        <w:rPr>
          <w:rFonts w:ascii="Times New Roman" w:hAnsi="Times New Roman"/>
        </w:rPr>
        <w:t xml:space="preserve"> OSHA </w:t>
      </w:r>
      <w:r w:rsidRPr="00BA1CEE" w:rsidR="00032D3B">
        <w:rPr>
          <w:rFonts w:ascii="Times New Roman" w:hAnsi="Times New Roman"/>
        </w:rPr>
        <w:t>were</w:t>
      </w:r>
      <w:r w:rsidRPr="00BA1CEE">
        <w:rPr>
          <w:rFonts w:ascii="Times New Roman" w:hAnsi="Times New Roman"/>
        </w:rPr>
        <w:t xml:space="preserve"> unable to </w:t>
      </w:r>
      <w:r w:rsidRPr="00BA1CEE" w:rsidR="00141D3F">
        <w:rPr>
          <w:rFonts w:ascii="Times New Roman" w:hAnsi="Times New Roman"/>
        </w:rPr>
        <w:t>conduct</w:t>
      </w:r>
      <w:r w:rsidRPr="00BA1CEE">
        <w:rPr>
          <w:rFonts w:ascii="Times New Roman" w:hAnsi="Times New Roman"/>
        </w:rPr>
        <w:t xml:space="preserve"> </w:t>
      </w:r>
      <w:r w:rsidRPr="00BA1CEE" w:rsidR="00912C47">
        <w:rPr>
          <w:rFonts w:ascii="Times New Roman" w:hAnsi="Times New Roman"/>
        </w:rPr>
        <w:t>its</w:t>
      </w:r>
      <w:r w:rsidRPr="00BA1CEE">
        <w:rPr>
          <w:rFonts w:ascii="Times New Roman" w:hAnsi="Times New Roman"/>
        </w:rPr>
        <w:t xml:space="preserve"> annual collections of information from the Part 1904 records, </w:t>
      </w:r>
      <w:r w:rsidRPr="00BA1CEE" w:rsidR="00F26D5D">
        <w:rPr>
          <w:rFonts w:ascii="Times New Roman" w:hAnsi="Times New Roman"/>
        </w:rPr>
        <w:t>certain agency programs that use th</w:t>
      </w:r>
      <w:r w:rsidRPr="00BA1CEE" w:rsidR="0042687D">
        <w:rPr>
          <w:rFonts w:ascii="Times New Roman" w:hAnsi="Times New Roman"/>
        </w:rPr>
        <w:t>e</w:t>
      </w:r>
      <w:r w:rsidRPr="00BA1CEE" w:rsidR="00F26D5D">
        <w:rPr>
          <w:rFonts w:ascii="Times New Roman" w:hAnsi="Times New Roman"/>
        </w:rPr>
        <w:t xml:space="preserve"> data, such as OSHA’s inspection and outreach programs, would be irreparably harmed. </w:t>
      </w:r>
      <w:r w:rsidRPr="00BA1CEE">
        <w:rPr>
          <w:rFonts w:ascii="Times New Roman" w:hAnsi="Times New Roman"/>
        </w:rPr>
        <w:t xml:space="preserve">In short, OSHA’s ability to optimize the use of its scarce resources would be </w:t>
      </w:r>
      <w:r w:rsidRPr="00BA1CEE" w:rsidR="00F638E5">
        <w:rPr>
          <w:rFonts w:ascii="Times New Roman" w:hAnsi="Times New Roman"/>
        </w:rPr>
        <w:t>severely diminished</w:t>
      </w:r>
      <w:r w:rsidRPr="00BA1CEE" w:rsidR="00134966">
        <w:rPr>
          <w:rFonts w:ascii="Times New Roman" w:hAnsi="Times New Roman"/>
        </w:rPr>
        <w:t xml:space="preserve">. </w:t>
      </w:r>
      <w:r w:rsidRPr="00BA1CEE" w:rsidR="005C5BCC">
        <w:rPr>
          <w:rFonts w:ascii="Times New Roman" w:hAnsi="Times New Roman"/>
        </w:rPr>
        <w:t xml:space="preserve">For example, </w:t>
      </w:r>
      <w:r w:rsidRPr="00BA1CEE" w:rsidR="0042687D">
        <w:rPr>
          <w:rFonts w:ascii="Times New Roman" w:hAnsi="Times New Roman"/>
        </w:rPr>
        <w:t xml:space="preserve">with the </w:t>
      </w:r>
      <w:r w:rsidRPr="00BA1CEE" w:rsidR="005C5BCC">
        <w:rPr>
          <w:rFonts w:ascii="Times New Roman" w:hAnsi="Times New Roman"/>
        </w:rPr>
        <w:t xml:space="preserve">OSHA Forms 300 and 301 data, having access to case-specific data will also allow OSHA to determine whether workers in particular demographics are being sickened or injured disproportionately.  These may be younger or older workers, temporary workers, or workers new to a particular assignment.  If OSHA has this information, it will be able to develop strategies to address the </w:t>
      </w:r>
      <w:r w:rsidRPr="00BA1CEE" w:rsidR="005C5BCC">
        <w:rPr>
          <w:rFonts w:ascii="Times New Roman" w:hAnsi="Times New Roman"/>
        </w:rPr>
        <w:t>particular demographic</w:t>
      </w:r>
      <w:r w:rsidRPr="00BA1CEE" w:rsidR="005C5BCC">
        <w:rPr>
          <w:rFonts w:ascii="Times New Roman" w:hAnsi="Times New Roman"/>
        </w:rPr>
        <w:t xml:space="preserve"> factors that lead to these disproportionate outcomes. The data will also allow the agency to identify trends in the types of injuries and illnesses that are occurring, and the agency can identify and assess emerging hazards. Identifying such patterns and trends can also help the agency to engage in longer-term strategic activities, such as through the development of standards, which can help make OSHA a more effective agency overall, and in doing so, make all workers safer. </w:t>
      </w:r>
      <w:r w:rsidRPr="00BA1CEE">
        <w:rPr>
          <w:rFonts w:ascii="Times New Roman" w:hAnsi="Times New Roman"/>
        </w:rPr>
        <w:t xml:space="preserve">Furthermore, </w:t>
      </w:r>
      <w:r w:rsidRPr="00BA1CEE" w:rsidR="001E5363">
        <w:rPr>
          <w:rFonts w:ascii="Times New Roman" w:hAnsi="Times New Roman"/>
        </w:rPr>
        <w:t xml:space="preserve">other </w:t>
      </w:r>
      <w:r w:rsidRPr="00BA1CEE" w:rsidR="00F638E5">
        <w:rPr>
          <w:rFonts w:ascii="Times New Roman" w:hAnsi="Times New Roman"/>
        </w:rPr>
        <w:t xml:space="preserve">interested parties </w:t>
      </w:r>
      <w:r w:rsidRPr="00BA1CEE">
        <w:rPr>
          <w:rFonts w:ascii="Times New Roman" w:hAnsi="Times New Roman"/>
        </w:rPr>
        <w:t xml:space="preserve">would lose a valuable resource </w:t>
      </w:r>
      <w:r w:rsidRPr="00BA1CEE" w:rsidR="0042687D">
        <w:rPr>
          <w:rFonts w:ascii="Times New Roman" w:hAnsi="Times New Roman"/>
        </w:rPr>
        <w:t>—</w:t>
      </w:r>
      <w:r w:rsidRPr="00BA1CEE">
        <w:rPr>
          <w:rFonts w:ascii="Times New Roman" w:hAnsi="Times New Roman"/>
        </w:rPr>
        <w:t xml:space="preserve"> an </w:t>
      </w:r>
      <w:r w:rsidRPr="00BA1CEE">
        <w:rPr>
          <w:rFonts w:ascii="Times New Roman" w:hAnsi="Times New Roman"/>
        </w:rPr>
        <w:t>up-to-date</w:t>
      </w:r>
      <w:r w:rsidRPr="00BA1CEE" w:rsidR="00653862">
        <w:rPr>
          <w:rFonts w:ascii="Times New Roman" w:hAnsi="Times New Roman"/>
        </w:rPr>
        <w:t xml:space="preserve"> “snapshot” </w:t>
      </w:r>
      <w:r w:rsidRPr="00BA1CEE">
        <w:rPr>
          <w:rFonts w:ascii="Times New Roman" w:hAnsi="Times New Roman"/>
        </w:rPr>
        <w:t xml:space="preserve">of the safety and health </w:t>
      </w:r>
      <w:r w:rsidRPr="00BA1CEE" w:rsidR="00B57573">
        <w:rPr>
          <w:rFonts w:ascii="Times New Roman" w:hAnsi="Times New Roman"/>
        </w:rPr>
        <w:t>at specific</w:t>
      </w:r>
      <w:r w:rsidRPr="00BA1CEE">
        <w:rPr>
          <w:rFonts w:ascii="Times New Roman" w:hAnsi="Times New Roman"/>
        </w:rPr>
        <w:t xml:space="preserve"> establishment</w:t>
      </w:r>
      <w:r w:rsidRPr="00BA1CEE" w:rsidR="006742E3">
        <w:rPr>
          <w:rFonts w:ascii="Times New Roman" w:hAnsi="Times New Roman"/>
        </w:rPr>
        <w:t>s</w:t>
      </w:r>
      <w:r w:rsidRPr="00BA1CEE">
        <w:rPr>
          <w:rFonts w:ascii="Times New Roman" w:hAnsi="Times New Roman"/>
        </w:rPr>
        <w:t xml:space="preserve"> </w:t>
      </w:r>
      <w:r w:rsidRPr="00BA1CEE" w:rsidR="0042687D">
        <w:rPr>
          <w:rFonts w:ascii="Times New Roman" w:hAnsi="Times New Roman"/>
        </w:rPr>
        <w:t>—</w:t>
      </w:r>
      <w:r w:rsidRPr="00BA1CEE">
        <w:rPr>
          <w:rFonts w:ascii="Times New Roman" w:hAnsi="Times New Roman"/>
        </w:rPr>
        <w:t xml:space="preserve"> if the Part 1904 records </w:t>
      </w:r>
      <w:r w:rsidRPr="00BA1CEE" w:rsidR="00266C8F">
        <w:rPr>
          <w:rFonts w:ascii="Times New Roman" w:hAnsi="Times New Roman"/>
        </w:rPr>
        <w:t>were submitted to OSHA</w:t>
      </w:r>
      <w:r w:rsidRPr="00BA1CEE">
        <w:rPr>
          <w:rFonts w:ascii="Times New Roman" w:hAnsi="Times New Roman"/>
        </w:rPr>
        <w:t xml:space="preserve"> on a less frequent basis.</w:t>
      </w:r>
      <w:r w:rsidRPr="00BA1CEE" w:rsidR="00F638E5">
        <w:rPr>
          <w:rFonts w:ascii="Times New Roman" w:hAnsi="Times New Roman"/>
        </w:rPr>
        <w:t xml:space="preserve"> </w:t>
      </w:r>
    </w:p>
    <w:p w:rsidR="00997766" w:rsidRPr="00BA1CEE" w:rsidP="00997766" w14:paraId="61029F30" w14:textId="77777777">
      <w:pPr>
        <w:rPr>
          <w:rFonts w:ascii="Times New Roman" w:hAnsi="Times New Roman"/>
        </w:rPr>
      </w:pPr>
    </w:p>
    <w:p w:rsidR="00724BDC" w:rsidRPr="00BA1CEE" w:rsidP="00724BDC" w14:paraId="3CA1D5EB" w14:textId="77777777">
      <w:pPr>
        <w:widowControl/>
        <w:numPr>
          <w:ilvl w:val="0"/>
          <w:numId w:val="1"/>
        </w:numPr>
        <w:rPr>
          <w:rFonts w:ascii="Times New Roman" w:hAnsi="Times New Roman"/>
          <w:b/>
          <w:bCs/>
        </w:rPr>
      </w:pPr>
      <w:r w:rsidRPr="00BA1CEE">
        <w:rPr>
          <w:rFonts w:ascii="Times New Roman" w:hAnsi="Times New Roman"/>
          <w:b/>
          <w:bCs/>
        </w:rPr>
        <w:t>Explain any special circumstances that would cause an information collection to be conducted in a manner:</w:t>
      </w:r>
    </w:p>
    <w:p w:rsidR="00724BDC" w:rsidRPr="00BA1CEE" w:rsidP="00724BDC" w14:paraId="27987E46" w14:textId="77777777">
      <w:pPr>
        <w:widowControl/>
        <w:ind w:left="45"/>
        <w:rPr>
          <w:rFonts w:ascii="Times New Roman" w:hAnsi="Times New Roman"/>
          <w:b/>
          <w:bCs/>
        </w:rPr>
      </w:pPr>
    </w:p>
    <w:p w:rsidR="00724BDC" w:rsidRPr="00BA1CEE" w:rsidP="00724BDC" w14:paraId="20311E78" w14:textId="77777777">
      <w:pPr>
        <w:widowControl/>
        <w:ind w:left="720"/>
        <w:rPr>
          <w:rFonts w:ascii="Times New Roman" w:hAnsi="Times New Roman"/>
          <w:b/>
          <w:bCs/>
        </w:rPr>
      </w:pPr>
      <w:r w:rsidRPr="00BA1CEE">
        <w:rPr>
          <w:rFonts w:ascii="Times New Roman" w:hAnsi="Times New Roman"/>
          <w:b/>
          <w:bCs/>
        </w:rPr>
        <w:t>·  Requiring</w:t>
      </w:r>
      <w:r w:rsidRPr="00BA1CEE">
        <w:rPr>
          <w:rFonts w:ascii="Times New Roman" w:hAnsi="Times New Roman"/>
          <w:b/>
          <w:bCs/>
        </w:rPr>
        <w:t xml:space="preserve"> respondents to report information to the agency more often than quarterly·  Requiring respondents to prepare a written response to a collection of information in fewer than 30 days after receipt of it;</w:t>
      </w:r>
    </w:p>
    <w:p w:rsidR="00724BDC" w:rsidRPr="00BA1CEE" w:rsidP="00724BDC" w14:paraId="176AAFAC" w14:textId="77777777">
      <w:pPr>
        <w:widowControl/>
        <w:rPr>
          <w:rFonts w:ascii="Times New Roman" w:hAnsi="Times New Roman"/>
          <w:b/>
          <w:bCs/>
        </w:rPr>
      </w:pPr>
    </w:p>
    <w:p w:rsidR="00724BDC" w:rsidRPr="00BA1CEE" w:rsidP="00724BDC" w14:paraId="72E2174C" w14:textId="77777777">
      <w:pPr>
        <w:widowControl/>
        <w:ind w:left="720"/>
        <w:rPr>
          <w:rFonts w:ascii="Times New Roman" w:hAnsi="Times New Roman"/>
          <w:b/>
          <w:bCs/>
        </w:rPr>
      </w:pPr>
      <w:r w:rsidRPr="00BA1CEE">
        <w:rPr>
          <w:rFonts w:ascii="Times New Roman" w:hAnsi="Times New Roman"/>
          <w:b/>
          <w:bCs/>
        </w:rPr>
        <w:t>·  Requiring</w:t>
      </w:r>
      <w:r w:rsidRPr="00BA1CEE">
        <w:rPr>
          <w:rFonts w:ascii="Times New Roman" w:hAnsi="Times New Roman"/>
          <w:b/>
          <w:bCs/>
        </w:rPr>
        <w:t xml:space="preserve"> respondents to submit more than an original and two copies of any document;</w:t>
      </w:r>
    </w:p>
    <w:p w:rsidR="00724BDC" w:rsidRPr="00BA1CEE" w:rsidP="00724BDC" w14:paraId="66A4B931" w14:textId="77777777">
      <w:pPr>
        <w:widowControl/>
        <w:ind w:left="720"/>
        <w:rPr>
          <w:rFonts w:ascii="Times New Roman" w:hAnsi="Times New Roman"/>
          <w:b/>
          <w:bCs/>
        </w:rPr>
      </w:pPr>
    </w:p>
    <w:p w:rsidR="00724BDC" w:rsidRPr="00BA1CEE" w:rsidP="00724BDC" w14:paraId="58616CEF" w14:textId="77777777">
      <w:pPr>
        <w:widowControl/>
        <w:ind w:left="720"/>
        <w:rPr>
          <w:rFonts w:ascii="Times New Roman" w:hAnsi="Times New Roman"/>
          <w:b/>
          <w:bCs/>
        </w:rPr>
      </w:pPr>
      <w:r w:rsidRPr="00BA1CEE">
        <w:rPr>
          <w:rFonts w:ascii="Times New Roman" w:hAnsi="Times New Roman"/>
          <w:b/>
          <w:bCs/>
        </w:rPr>
        <w:t>·  Requiring</w:t>
      </w:r>
      <w:r w:rsidRPr="00BA1CEE">
        <w:rPr>
          <w:rFonts w:ascii="Times New Roman" w:hAnsi="Times New Roman"/>
          <w:b/>
          <w:bCs/>
        </w:rPr>
        <w:t xml:space="preserve"> respondents to retain records, other than health, medical, government contract, grant-in-aid, or tax records for more than three years;</w:t>
      </w:r>
    </w:p>
    <w:p w:rsidR="00724BDC" w:rsidRPr="00BA1CEE" w:rsidP="00724BDC" w14:paraId="2C9CE863" w14:textId="77777777">
      <w:pPr>
        <w:widowControl/>
        <w:ind w:left="720"/>
        <w:rPr>
          <w:rFonts w:ascii="Times New Roman" w:hAnsi="Times New Roman"/>
          <w:b/>
          <w:bCs/>
        </w:rPr>
      </w:pPr>
    </w:p>
    <w:p w:rsidR="00724BDC" w:rsidRPr="00BA1CEE" w:rsidP="00724BDC" w14:paraId="1A8BF675" w14:textId="77777777">
      <w:pPr>
        <w:widowControl/>
        <w:ind w:left="720"/>
        <w:rPr>
          <w:rFonts w:ascii="Times New Roman" w:hAnsi="Times New Roman"/>
          <w:b/>
          <w:bCs/>
        </w:rPr>
      </w:pPr>
      <w:r w:rsidRPr="00BA1CEE">
        <w:rPr>
          <w:rFonts w:ascii="Times New Roman" w:hAnsi="Times New Roman"/>
          <w:b/>
          <w:bCs/>
        </w:rPr>
        <w:t>·  In</w:t>
      </w:r>
      <w:r w:rsidRPr="00BA1CEE">
        <w:rPr>
          <w:rFonts w:ascii="Times New Roman" w:hAnsi="Times New Roman"/>
          <w:b/>
          <w:bCs/>
        </w:rPr>
        <w:t xml:space="preserve"> connection with a statistical survey that is not designed to produce valid and reliable results that can be generalized to the universe of study;</w:t>
      </w:r>
    </w:p>
    <w:p w:rsidR="00724BDC" w:rsidRPr="00BA1CEE" w:rsidP="00724BDC" w14:paraId="067AADD7" w14:textId="77777777">
      <w:pPr>
        <w:widowControl/>
        <w:rPr>
          <w:rFonts w:ascii="Times New Roman" w:hAnsi="Times New Roman"/>
          <w:b/>
          <w:bCs/>
        </w:rPr>
      </w:pPr>
    </w:p>
    <w:p w:rsidR="00724BDC" w:rsidRPr="00BA1CEE" w:rsidP="00724BDC" w14:paraId="2B6BC196" w14:textId="77777777">
      <w:pPr>
        <w:widowControl/>
        <w:ind w:left="720"/>
        <w:rPr>
          <w:rFonts w:ascii="Times New Roman" w:hAnsi="Times New Roman"/>
          <w:b/>
          <w:bCs/>
        </w:rPr>
      </w:pPr>
      <w:r w:rsidRPr="00BA1CEE">
        <w:rPr>
          <w:rFonts w:ascii="Times New Roman" w:hAnsi="Times New Roman"/>
          <w:b/>
          <w:bCs/>
        </w:rPr>
        <w:t>·  Requiring</w:t>
      </w:r>
      <w:r w:rsidRPr="00BA1CEE">
        <w:rPr>
          <w:rFonts w:ascii="Times New Roman" w:hAnsi="Times New Roman"/>
          <w:b/>
          <w:bCs/>
        </w:rPr>
        <w:t xml:space="preserve"> the use of statistical data classification that has not been reviewed and approved by OMB;</w:t>
      </w:r>
    </w:p>
    <w:p w:rsidR="00724BDC" w:rsidRPr="00BA1CEE" w:rsidP="00724BDC" w14:paraId="5FEE5EF9" w14:textId="77777777">
      <w:pPr>
        <w:widowControl/>
        <w:ind w:left="720"/>
        <w:rPr>
          <w:rFonts w:ascii="Times New Roman" w:hAnsi="Times New Roman"/>
          <w:b/>
          <w:bCs/>
        </w:rPr>
      </w:pPr>
    </w:p>
    <w:p w:rsidR="00724BDC" w:rsidRPr="00BA1CEE" w:rsidP="00724BDC" w14:paraId="56BE5B3C" w14:textId="77777777">
      <w:pPr>
        <w:widowControl/>
        <w:ind w:left="720"/>
        <w:rPr>
          <w:rFonts w:ascii="Times New Roman" w:hAnsi="Times New Roman"/>
          <w:b/>
          <w:bCs/>
        </w:rPr>
      </w:pPr>
      <w:r w:rsidRPr="00BA1CEE">
        <w:rPr>
          <w:rFonts w:ascii="Times New Roman" w:hAnsi="Times New Roman"/>
          <w:b/>
          <w:bCs/>
        </w:rPr>
        <w:t>·  That</w:t>
      </w:r>
      <w:r w:rsidRPr="00BA1CEE">
        <w:rPr>
          <w:rFonts w:ascii="Times New Roman" w:hAnsi="Times New Roman"/>
          <w:b/>
          <w:bCs/>
        </w:rPr>
        <w:t xml:space="preserve">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24BDC" w:rsidRPr="00BA1CEE" w:rsidP="00724BDC" w14:paraId="5FBEF266" w14:textId="77777777">
      <w:pPr>
        <w:widowControl/>
        <w:ind w:left="720"/>
        <w:rPr>
          <w:rFonts w:ascii="Times New Roman" w:hAnsi="Times New Roman"/>
          <w:b/>
          <w:bCs/>
        </w:rPr>
      </w:pPr>
    </w:p>
    <w:p w:rsidR="00724BDC" w:rsidRPr="00BA1CEE" w:rsidP="00724BDC" w14:paraId="3B661895" w14:textId="77777777">
      <w:pPr>
        <w:widowControl/>
        <w:ind w:left="720"/>
        <w:rPr>
          <w:rFonts w:ascii="Times New Roman" w:hAnsi="Times New Roman"/>
          <w:b/>
          <w:bCs/>
        </w:rPr>
      </w:pPr>
      <w:r w:rsidRPr="00BA1CEE">
        <w:rPr>
          <w:rFonts w:ascii="Times New Roman" w:hAnsi="Times New Roman"/>
          <w:b/>
          <w:bCs/>
        </w:rPr>
        <w:t>·  Requiring</w:t>
      </w:r>
      <w:r w:rsidRPr="00BA1CEE">
        <w:rPr>
          <w:rFonts w:ascii="Times New Roman" w:hAnsi="Times New Roman"/>
          <w:b/>
          <w:bCs/>
        </w:rPr>
        <w:t xml:space="preserve"> respondents to submit proprietary trade secret, or other confidential information unless the agency can prove that it has instituted procedures to protect the information's confidentially to the extent permitted by law.</w:t>
      </w:r>
    </w:p>
    <w:p w:rsidR="00724BDC" w:rsidRPr="00BA1CEE" w:rsidP="00724BDC" w14:paraId="56C9EAB0" w14:textId="77777777">
      <w:pPr>
        <w:ind w:firstLine="720"/>
        <w:rPr>
          <w:rFonts w:ascii="Times New Roman" w:hAnsi="Times New Roman"/>
        </w:rPr>
      </w:pPr>
    </w:p>
    <w:p w:rsidR="005C5BCC" w:rsidRPr="00BA1CEE" w:rsidP="00724BDC" w14:paraId="08B04091" w14:textId="0D0AD4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A1CEE">
        <w:rPr>
          <w:rFonts w:ascii="Times New Roman" w:hAnsi="Times New Roman"/>
        </w:rPr>
        <w:t xml:space="preserve">While there is no assurance of confidentiality covering information recorded on these forms and documents, the Part 1904 regulations include several provisions to protect the privacy of injured or ill employees. While in the possession of the employer, the records are subject to the access requirements outlined in 29 CFR 1904.35 and 1904.40. Records obtained by OSHA or other government representatives </w:t>
      </w:r>
      <w:r w:rsidRPr="00BA1CEE" w:rsidR="007B172E">
        <w:rPr>
          <w:rFonts w:ascii="Times New Roman" w:hAnsi="Times New Roman"/>
        </w:rPr>
        <w:t>under 29 CFR 1904.40 are</w:t>
      </w:r>
      <w:r w:rsidRPr="00BA1CEE">
        <w:rPr>
          <w:rFonts w:ascii="Times New Roman" w:hAnsi="Times New Roman"/>
        </w:rPr>
        <w:t xml:space="preserve"> only disclosed in accordance with applicable Federal law, including provisions of the Freedom of Information Act (FOIA). Exemption 4 of FOIA protects “trade secrets and commercial or financial information obtained from a person [that is] privileged or confidential.”  See 5 U.S.C. § 552(b)(4). Exemption 6 of FOIA enables an agency to exempt certain information from disclosure which would be “a clearly unwarranted invasion of personal privacy.” See 5 U.S.C. §552(b)(6).  </w:t>
      </w:r>
      <w:r w:rsidRPr="00BA1CEE">
        <w:rPr>
          <w:rStyle w:val="cf01"/>
          <w:rFonts w:ascii="Times New Roman" w:hAnsi="Times New Roman" w:cs="Times New Roman"/>
          <w:sz w:val="24"/>
          <w:szCs w:val="24"/>
        </w:rPr>
        <w:t xml:space="preserve">OSHA intends to post certain information from the collected data on a public website after identifying and removing information that could reasonably be expected to identify individuals directly. The posting of such data would be conducted in accordance with applicable federal law, including the provisions of FOIA. </w:t>
      </w:r>
      <w:r w:rsidRPr="00BA1CEE">
        <w:rPr>
          <w:rFonts w:ascii="Times New Roman" w:hAnsi="Times New Roman"/>
        </w:rPr>
        <w:t>This information collection is consistent with 5 CFR 1320.5.</w:t>
      </w:r>
      <w:r w:rsidRPr="00BA1CEE" w:rsidR="00724BDC">
        <w:rPr>
          <w:rFonts w:ascii="Times New Roman" w:hAnsi="Times New Roman"/>
          <w:b/>
          <w:bCs/>
        </w:rPr>
        <w:t xml:space="preserve"> </w:t>
      </w:r>
    </w:p>
    <w:p w:rsidR="005C5BCC" w:rsidRPr="00BA1CEE" w:rsidP="00724BDC" w14:paraId="5070AE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24BDC" w:rsidRPr="00BA1CEE" w:rsidP="00724BDC" w14:paraId="13A5ACB0" w14:textId="1888BA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A1CEE">
        <w:rPr>
          <w:rFonts w:ascii="Times New Roman" w:hAnsi="Times New Roman"/>
          <w:b/>
          <w:bCs/>
        </w:rPr>
        <w:t xml:space="preserve">8.  If applicable, provide a copy and identify the date and page number of </w:t>
      </w:r>
      <w:r w:rsidRPr="00BA1CEE">
        <w:rPr>
          <w:rFonts w:ascii="Times New Roman" w:hAnsi="Times New Roman"/>
          <w:b/>
          <w:bCs/>
        </w:rPr>
        <w:t>publication</w:t>
      </w:r>
      <w:r w:rsidRPr="00BA1CEE">
        <w:rPr>
          <w:rFonts w:ascii="Times New Roman" w:hAnsi="Times New Roman"/>
          <w:b/>
          <w:bCs/>
        </w:rPr>
        <w:t xml:space="preserve"> in the Federal Register of the agency's notice, required by 5 CFR 1320.8(d), soliciting comments on the information collecti</w:t>
      </w:r>
      <w:r w:rsidRPr="00BA1CEE" w:rsidR="002F424A">
        <w:rPr>
          <w:rFonts w:ascii="Times New Roman" w:hAnsi="Times New Roman"/>
          <w:b/>
          <w:bCs/>
        </w:rPr>
        <w:t xml:space="preserve">on prior to submission to OMB. </w:t>
      </w:r>
      <w:r w:rsidRPr="00BA1CEE">
        <w:rPr>
          <w:rFonts w:ascii="Times New Roman" w:hAnsi="Times New Roman"/>
          <w:b/>
          <w:bCs/>
        </w:rPr>
        <w:t xml:space="preserve">Summarize public comments received in response to that notice and describe actions taken by the agency </w:t>
      </w:r>
      <w:r w:rsidRPr="00BA1CEE" w:rsidR="002F424A">
        <w:rPr>
          <w:rFonts w:ascii="Times New Roman" w:hAnsi="Times New Roman"/>
          <w:b/>
          <w:bCs/>
        </w:rPr>
        <w:t xml:space="preserve">in response to these comments. </w:t>
      </w:r>
      <w:r w:rsidRPr="00BA1CEE">
        <w:rPr>
          <w:rFonts w:ascii="Times New Roman" w:hAnsi="Times New Roman"/>
          <w:b/>
          <w:bCs/>
        </w:rPr>
        <w:t>Specifically address comments received on cost and hour burden.</w:t>
      </w:r>
    </w:p>
    <w:p w:rsidR="00724BDC" w:rsidRPr="00BA1CEE" w:rsidP="00724BDC" w14:paraId="55DE8E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24BDC" w:rsidRPr="00BA1CEE" w:rsidP="00724BDC" w14:paraId="561F67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A1CEE">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24BDC" w:rsidRPr="00BA1CEE" w:rsidP="00724BDC" w14:paraId="0DE3ED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24BDC" w:rsidRPr="00BA1CEE" w:rsidP="00724BDC" w14:paraId="7C24F7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A1CEE">
        <w:rPr>
          <w:rFonts w:ascii="Times New Roman" w:hAnsi="Times New Roman"/>
          <w:b/>
          <w:bCs/>
        </w:rPr>
        <w:t>Consultation with representatives of those from whom information is to be obtained or those who must compile records should occur at least once every 3 years, -- even if the collection-of information activity is the same as in prior per</w:t>
      </w:r>
      <w:r w:rsidRPr="00BA1CEE" w:rsidR="002F424A">
        <w:rPr>
          <w:rFonts w:ascii="Times New Roman" w:hAnsi="Times New Roman"/>
          <w:b/>
          <w:bCs/>
        </w:rPr>
        <w:t xml:space="preserve">iods. </w:t>
      </w:r>
      <w:r w:rsidRPr="00BA1CEE">
        <w:rPr>
          <w:rFonts w:ascii="Times New Roman" w:hAnsi="Times New Roman"/>
          <w:b/>
          <w:bCs/>
        </w:rPr>
        <w:t>There may be circumstances that may preclude consult</w:t>
      </w:r>
      <w:r w:rsidRPr="00BA1CEE" w:rsidR="002F424A">
        <w:rPr>
          <w:rFonts w:ascii="Times New Roman" w:hAnsi="Times New Roman"/>
          <w:b/>
          <w:bCs/>
        </w:rPr>
        <w:t xml:space="preserve">ation in a specific situation. </w:t>
      </w:r>
      <w:r w:rsidRPr="00BA1CEE">
        <w:rPr>
          <w:rFonts w:ascii="Times New Roman" w:hAnsi="Times New Roman"/>
          <w:b/>
          <w:bCs/>
        </w:rPr>
        <w:t>These circumstances should be explained.</w:t>
      </w:r>
    </w:p>
    <w:p w:rsidR="00E94EA5" w:rsidRPr="00BA1CEE" w:rsidP="00427953" w14:paraId="25A2B236" w14:textId="6D9B7CBC">
      <w:pPr>
        <w:rPr>
          <w:rFonts w:ascii="Times New Roman" w:hAnsi="Times New Roman"/>
        </w:rPr>
      </w:pPr>
    </w:p>
    <w:p w:rsidR="009A3149" w:rsidRPr="00BA1CEE" w:rsidP="00EB6AA6" w14:paraId="30895964" w14:textId="71C013C4">
      <w:pPr>
        <w:rPr>
          <w:rFonts w:ascii="Times New Roman" w:hAnsi="Times New Roman"/>
        </w:rPr>
      </w:pPr>
      <w:r w:rsidRPr="00BA1CEE">
        <w:rPr>
          <w:rFonts w:ascii="Times New Roman" w:hAnsi="Times New Roman"/>
        </w:rPr>
        <w:t>On March 30, 2022, OSHA published a notice of proposed rulemaking (NPRM) (87 FR 18528) to amend its occupational injury and illness recordkeeping regulation to require establishments with 100 or more employees in certain designated industries to electronically submit information from their OSHA Forms 300</w:t>
      </w:r>
      <w:r w:rsidRPr="00BA1CEE" w:rsidR="00E741D9">
        <w:rPr>
          <w:rFonts w:ascii="Times New Roman" w:hAnsi="Times New Roman"/>
        </w:rPr>
        <w:t xml:space="preserve"> and</w:t>
      </w:r>
      <w:r w:rsidRPr="00BA1CEE">
        <w:rPr>
          <w:rFonts w:ascii="Times New Roman" w:hAnsi="Times New Roman"/>
        </w:rPr>
        <w:t xml:space="preserve"> 301once a year. OSHA prepared and submitted an Information Collection Request (ICR) to OMB, proposing to revise certain collection requirements currently contained in the package, as required under 44 U.S.C. 3507(d). The proposed rule invited the public to submit comments to OMB, in addition to OSHA, on the proposed collections of information. On May 25, 2022, OSHA published a second federal register notice (87 FR 31793), extending the comment period to allow the public an additional 30 days to comment on the proposed rule and the information collection requirements contained in the proposed rule. OSHA received 87 public comments.  </w:t>
      </w:r>
    </w:p>
    <w:p w:rsidR="007A338D" w:rsidRPr="00BA1CEE" w:rsidP="002D140C" w14:paraId="14BD3CC6" w14:textId="77777777">
      <w:pPr>
        <w:rPr>
          <w:rFonts w:ascii="Times New Roman" w:hAnsi="Times New Roman"/>
        </w:rPr>
      </w:pPr>
      <w:r w:rsidRPr="00BA1CEE">
        <w:rPr>
          <w:rFonts w:ascii="Times New Roman" w:hAnsi="Times New Roman"/>
        </w:rPr>
        <w:tab/>
      </w:r>
    </w:p>
    <w:p w:rsidR="009A3149" w:rsidRPr="00BA1CEE" w:rsidP="00EB6AA6" w14:paraId="20371271" w14:textId="63537BB2">
      <w:pPr>
        <w:rPr>
          <w:rFonts w:ascii="Times New Roman" w:hAnsi="Times New Roman"/>
        </w:rPr>
      </w:pPr>
      <w:r w:rsidRPr="00BA1CEE">
        <w:rPr>
          <w:rFonts w:ascii="Times New Roman" w:hAnsi="Times New Roman"/>
        </w:rPr>
        <w:t>In accordance with the PRA (44 U.S.C. 3506(c)(2)), OSHA solicited public comments on the collection of information contained in the 2022 proposed rule. OSHA encouraged commenters to submit their comments on the information collection requirements contained in the proposed rule under docket number OSHA-2021-0006, along with their comments on other parts of the proposed rule. In addition to generally soliciting comments on the collection of information requirements, the proposed rule indicated that OSHA and OMB were particularly interested in comments that addressed the following:</w:t>
      </w:r>
    </w:p>
    <w:p w:rsidR="009A3149" w:rsidRPr="00BA1CEE" w:rsidP="00EB6AA6" w14:paraId="7BCB4CF8" w14:textId="77777777">
      <w:pPr>
        <w:pStyle w:val="ListParagraph"/>
        <w:numPr>
          <w:ilvl w:val="0"/>
          <w:numId w:val="13"/>
        </w:numPr>
      </w:pPr>
      <w:r w:rsidRPr="00BA1CEE">
        <w:t xml:space="preserve">Whether the collection of information is necessary for the proper performance of the agency's functions, including whether the information is </w:t>
      </w:r>
      <w:r w:rsidRPr="00BA1CEE">
        <w:t>useful;</w:t>
      </w:r>
    </w:p>
    <w:p w:rsidR="009A3149" w:rsidRPr="00BA1CEE" w:rsidP="00EB6AA6" w14:paraId="4154B0B8" w14:textId="77777777">
      <w:pPr>
        <w:pStyle w:val="ListParagraph"/>
        <w:numPr>
          <w:ilvl w:val="0"/>
          <w:numId w:val="13"/>
        </w:numPr>
      </w:pPr>
      <w:r w:rsidRPr="00BA1CEE">
        <w:t xml:space="preserve">The accuracy of OSHA's estimate of the burden (time and cost) of the collection of information, including the validity of the methodology and assumptions </w:t>
      </w:r>
      <w:r w:rsidRPr="00BA1CEE">
        <w:t>used;</w:t>
      </w:r>
    </w:p>
    <w:p w:rsidR="009A3149" w:rsidRPr="00BA1CEE" w:rsidP="00EB6AA6" w14:paraId="690C489A" w14:textId="77777777">
      <w:pPr>
        <w:pStyle w:val="ListParagraph"/>
        <w:numPr>
          <w:ilvl w:val="0"/>
          <w:numId w:val="13"/>
        </w:numPr>
      </w:pPr>
      <w:r w:rsidRPr="00BA1CEE">
        <w:t>The quality, utility, and clarity of the information collected; and</w:t>
      </w:r>
    </w:p>
    <w:p w:rsidR="009A3149" w:rsidRPr="00BA1CEE" w:rsidP="00EB6AA6" w14:paraId="174A19E8" w14:textId="193D1AB9">
      <w:pPr>
        <w:pStyle w:val="ListParagraph"/>
        <w:numPr>
          <w:ilvl w:val="0"/>
          <w:numId w:val="13"/>
        </w:numPr>
      </w:pPr>
      <w:r w:rsidRPr="00BA1CEE">
        <w:t>Ways to minimize the compliance burden on employers, for example, by using automated or other technological techniques for collecting and transmitting information.</w:t>
      </w:r>
    </w:p>
    <w:p w:rsidR="005C5BCC" w:rsidRPr="00BA1CEE" w:rsidP="0048563E" w14:paraId="5836F3D0" w14:textId="77777777">
      <w:pPr>
        <w:pStyle w:val="ListParagraph"/>
      </w:pPr>
    </w:p>
    <w:p w:rsidR="00056BFE" w:rsidRPr="00BA1CEE" w:rsidP="00056BFE" w14:paraId="78A992A5" w14:textId="6BF5F098">
      <w:pPr>
        <w:widowControl/>
        <w:rPr>
          <w:rFonts w:ascii="Times New Roman" w:hAnsi="Times New Roman"/>
        </w:rPr>
      </w:pPr>
      <w:r w:rsidRPr="00BA1CEE">
        <w:rPr>
          <w:rFonts w:ascii="Times New Roman" w:hAnsi="Times New Roman"/>
        </w:rPr>
        <w:t xml:space="preserve">On May 5, 2022, OMB issued a Notice of Action (NOA) assigning the proposal’s ICR a new </w:t>
      </w:r>
      <w:r w:rsidRPr="00BA1CEE" w:rsidR="002B184A">
        <w:rPr>
          <w:rFonts w:ascii="Times New Roman" w:hAnsi="Times New Roman"/>
        </w:rPr>
        <w:t xml:space="preserve">OMB </w:t>
      </w:r>
      <w:r w:rsidRPr="00BA1CEE" w:rsidR="001D0C3B">
        <w:rPr>
          <w:rFonts w:ascii="Times New Roman" w:hAnsi="Times New Roman"/>
        </w:rPr>
        <w:t>C</w:t>
      </w:r>
      <w:r w:rsidRPr="00BA1CEE">
        <w:rPr>
          <w:rFonts w:ascii="Times New Roman" w:hAnsi="Times New Roman"/>
        </w:rPr>
        <w:t xml:space="preserve">ontrol </w:t>
      </w:r>
      <w:r w:rsidRPr="00BA1CEE" w:rsidR="001D0C3B">
        <w:rPr>
          <w:rFonts w:ascii="Times New Roman" w:hAnsi="Times New Roman"/>
        </w:rPr>
        <w:t>N</w:t>
      </w:r>
      <w:r w:rsidRPr="00BA1CEE">
        <w:rPr>
          <w:rFonts w:ascii="Times New Roman" w:hAnsi="Times New Roman"/>
        </w:rPr>
        <w:t>umber, 1218-0279, to be used in future ICR submissions. OMB noted that this action had no effect on any current approvals. OMB also noted that the NOA is not an approval to conduct or sponsor the information collection contained in the revision proposal. Finally, OMB requested that, “[p]</w:t>
      </w:r>
      <w:r w:rsidRPr="00BA1CEE">
        <w:rPr>
          <w:rFonts w:ascii="Times New Roman" w:hAnsi="Times New Roman"/>
        </w:rPr>
        <w:t>rior</w:t>
      </w:r>
      <w:r w:rsidRPr="00BA1CEE">
        <w:rPr>
          <w:rFonts w:ascii="Times New Roman" w:hAnsi="Times New Roman"/>
        </w:rPr>
        <w:t xml:space="preserve"> to publication of the final rule, [OSHA] should provide a summary of any comments related to the information collection and their response, including any changes made to the ICR </w:t>
      </w:r>
      <w:r w:rsidRPr="00BA1CEE">
        <w:rPr>
          <w:rFonts w:ascii="Times New Roman" w:hAnsi="Times New Roman"/>
        </w:rPr>
        <w:t>as a result of</w:t>
      </w:r>
      <w:r w:rsidRPr="00BA1CEE">
        <w:rPr>
          <w:rFonts w:ascii="Times New Roman" w:hAnsi="Times New Roman"/>
        </w:rPr>
        <w:t xml:space="preserve"> comments. In addition, the agency must enter the correct burden estimates.” OSHA did not receive any comments in response to the proposed ICR submitted to OMB for review. However, the agency did receive</w:t>
      </w:r>
      <w:r w:rsidRPr="00BA1CEE">
        <w:rPr>
          <w:rFonts w:ascii="Times New Roman" w:hAnsi="Times New Roman"/>
        </w:rPr>
        <w:t xml:space="preserve"> </w:t>
      </w:r>
      <w:r w:rsidRPr="00BA1CEE">
        <w:rPr>
          <w:rFonts w:ascii="Times New Roman" w:hAnsi="Times New Roman"/>
        </w:rPr>
        <w:t>87 comments related to the proposed rule.</w:t>
      </w:r>
      <w:r w:rsidRPr="00BA1CEE">
        <w:rPr>
          <w:rFonts w:ascii="Times New Roman" w:hAnsi="Times New Roman"/>
        </w:rPr>
        <w:t xml:space="preserve"> </w:t>
      </w:r>
      <w:r w:rsidRPr="00BA1CEE">
        <w:rPr>
          <w:rFonts w:ascii="Times New Roman" w:hAnsi="Times New Roman"/>
          <w:kern w:val="28"/>
        </w:rPr>
        <w:t xml:space="preserve">A copy of the proposed ICR is available to the public at </w:t>
      </w:r>
      <w:hyperlink r:id="rId11" w:history="1">
        <w:r w:rsidRPr="00BA1CEE">
          <w:rPr>
            <w:rStyle w:val="Hyperlink"/>
            <w:rFonts w:ascii="Times New Roman" w:hAnsi="Times New Roman"/>
            <w:kern w:val="28"/>
          </w:rPr>
          <w:t>http://www.reginfo.gov/public/do/PRAOMBHistory?ombControlNumber=1218-0</w:t>
        </w:r>
      </w:hyperlink>
      <w:r w:rsidRPr="00BA1CEE">
        <w:rPr>
          <w:rFonts w:ascii="Times New Roman" w:hAnsi="Times New Roman"/>
          <w:kern w:val="28"/>
        </w:rPr>
        <w:t>27</w:t>
      </w:r>
      <w:r w:rsidRPr="00BA1CEE" w:rsidR="00560B9B">
        <w:rPr>
          <w:rFonts w:ascii="Times New Roman" w:hAnsi="Times New Roman"/>
          <w:kern w:val="28"/>
        </w:rPr>
        <w:t>9</w:t>
      </w:r>
      <w:r w:rsidRPr="00BA1CEE">
        <w:rPr>
          <w:rStyle w:val="Hyperlink"/>
          <w:rFonts w:ascii="Times New Roman" w:hAnsi="Times New Roman"/>
          <w:kern w:val="28"/>
        </w:rPr>
        <w:t>.</w:t>
      </w:r>
    </w:p>
    <w:p w:rsidR="002D140C" w:rsidRPr="00BA1CEE" w:rsidP="002D140C" w14:paraId="501CB813" w14:textId="1C6BA98C">
      <w:pPr>
        <w:widowControl/>
        <w:adjustRightInd/>
        <w:rPr>
          <w:rFonts w:ascii="Times New Roman" w:hAnsi="Times New Roman"/>
        </w:rPr>
      </w:pPr>
    </w:p>
    <w:p w:rsidR="003E684E" w:rsidRPr="00BA1CEE" w:rsidP="003E684E" w14:paraId="178A2186" w14:textId="77777777">
      <w:pPr>
        <w:rPr>
          <w:rFonts w:ascii="Times New Roman" w:hAnsi="Times New Roman"/>
        </w:rPr>
      </w:pPr>
      <w:r w:rsidRPr="00BA1CEE">
        <w:rPr>
          <w:rFonts w:ascii="Times New Roman" w:hAnsi="Times New Roman"/>
        </w:rPr>
        <w:t xml:space="preserve">Attachment A provides a discussion of the significant public comments related to the final rule’s information collection requirements and the agency response.   </w:t>
      </w:r>
    </w:p>
    <w:p w:rsidR="003E684E" w:rsidRPr="00BA1CEE" w:rsidP="003E684E" w14:paraId="2934D32B" w14:textId="77777777">
      <w:pPr>
        <w:rPr>
          <w:rFonts w:ascii="Times New Roman" w:hAnsi="Times New Roman"/>
        </w:rPr>
      </w:pPr>
    </w:p>
    <w:p w:rsidR="003E684E" w:rsidRPr="00BA1CEE" w:rsidP="003E684E" w14:paraId="26F2EB4D" w14:textId="1A1FAD86">
      <w:pPr>
        <w:widowControl/>
        <w:rPr>
          <w:rFonts w:ascii="Times New Roman" w:hAnsi="Times New Roman"/>
          <w:b/>
          <w:kern w:val="28"/>
        </w:rPr>
      </w:pPr>
      <w:r w:rsidRPr="00BA1CEE">
        <w:rPr>
          <w:rFonts w:ascii="Times New Roman" w:hAnsi="Times New Roman"/>
        </w:rPr>
        <w:t>Attachment B lists the comments sent in response to the proposed rule.</w:t>
      </w:r>
    </w:p>
    <w:p w:rsidR="003E684E" w:rsidRPr="00BA1CEE" w:rsidP="003E684E" w14:paraId="5039AE5B"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Times New Roman" w:hAnsi="Times New Roman"/>
          <w:b/>
          <w:bCs/>
          <w:color w:val="000000"/>
        </w:rPr>
      </w:pPr>
      <w:r w:rsidRPr="00BA1CEE">
        <w:rPr>
          <w:rFonts w:ascii="Times New Roman" w:hAnsi="Times New Roman"/>
        </w:rPr>
        <w:t xml:space="preserve">  </w:t>
      </w:r>
    </w:p>
    <w:p w:rsidR="00724BDC" w:rsidRPr="00BA1CEE" w:rsidP="00724BDC" w14:paraId="6E5C03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A1CEE">
        <w:rPr>
          <w:rFonts w:ascii="Times New Roman" w:hAnsi="Times New Roman"/>
          <w:b/>
          <w:bCs/>
        </w:rPr>
        <w:t>9.  Explain any decision to provide any payment or gift to respondents, other than re</w:t>
      </w:r>
      <w:r w:rsidRPr="00BA1CEE" w:rsidR="00C56A13">
        <w:rPr>
          <w:rFonts w:ascii="Times New Roman" w:hAnsi="Times New Roman"/>
          <w:b/>
          <w:bCs/>
        </w:rPr>
        <w:t>mun</w:t>
      </w:r>
      <w:r w:rsidRPr="00BA1CEE">
        <w:rPr>
          <w:rFonts w:ascii="Times New Roman" w:hAnsi="Times New Roman"/>
          <w:b/>
          <w:bCs/>
        </w:rPr>
        <w:t>eration of contractors or grantees.</w:t>
      </w:r>
    </w:p>
    <w:p w:rsidR="00724BDC" w:rsidRPr="00BA1CEE" w:rsidP="00724BDC" w14:paraId="5AFD53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24BDC" w:rsidRPr="00BA1CEE" w:rsidP="00724BDC" w14:paraId="437C37E5" w14:textId="47F3FA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A1CEE">
        <w:rPr>
          <w:rFonts w:ascii="Times New Roman" w:hAnsi="Times New Roman"/>
        </w:rPr>
        <w:t xml:space="preserve">The </w:t>
      </w:r>
      <w:r w:rsidRPr="00BA1CEE" w:rsidR="00BB4D5D">
        <w:rPr>
          <w:rFonts w:ascii="Times New Roman" w:hAnsi="Times New Roman"/>
        </w:rPr>
        <w:t>a</w:t>
      </w:r>
      <w:r w:rsidRPr="00BA1CEE">
        <w:rPr>
          <w:rFonts w:ascii="Times New Roman" w:hAnsi="Times New Roman"/>
        </w:rPr>
        <w:t xml:space="preserve">gency will </w:t>
      </w:r>
      <w:r w:rsidRPr="00BA1CEE">
        <w:rPr>
          <w:rFonts w:ascii="Times New Roman" w:hAnsi="Times New Roman"/>
          <w:u w:val="single"/>
        </w:rPr>
        <w:t>not</w:t>
      </w:r>
      <w:r w:rsidRPr="00BA1CEE">
        <w:rPr>
          <w:rFonts w:ascii="Times New Roman" w:hAnsi="Times New Roman"/>
        </w:rPr>
        <w:t xml:space="preserve"> provide payments or gifts to the respondents.</w:t>
      </w:r>
    </w:p>
    <w:p w:rsidR="00724BDC" w:rsidRPr="00BA1CEE" w:rsidP="00724BDC" w14:paraId="0F7931F3" w14:textId="77777777">
      <w:pPr>
        <w:widowControl/>
        <w:rPr>
          <w:rFonts w:ascii="Times New Roman" w:hAnsi="Times New Roman"/>
        </w:rPr>
      </w:pPr>
    </w:p>
    <w:p w:rsidR="00724BDC" w:rsidRPr="00BA1CEE" w:rsidP="00724BDC" w14:paraId="377DDE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A1CEE">
        <w:rPr>
          <w:rFonts w:ascii="Times New Roman" w:hAnsi="Times New Roman"/>
          <w:b/>
          <w:bCs/>
        </w:rPr>
        <w:t>10.  Describe any assurance of confidentiality provided to respondents and the basis for the assurance in statute, regulation, or agency policy.</w:t>
      </w:r>
    </w:p>
    <w:p w:rsidR="00724BDC" w:rsidRPr="00BA1CEE" w:rsidP="00724BDC" w14:paraId="72BB15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D28C7" w:rsidRPr="00BA1CEE" w:rsidP="002D28C7" w14:paraId="4366A685" w14:textId="644ED7FF">
      <w:pPr>
        <w:rPr>
          <w:rFonts w:ascii="Times New Roman" w:hAnsi="Times New Roman"/>
        </w:rPr>
      </w:pPr>
      <w:r w:rsidRPr="00BA1CEE">
        <w:rPr>
          <w:rFonts w:ascii="Times New Roman" w:hAnsi="Times New Roman"/>
        </w:rPr>
        <w:t xml:space="preserve">While there is no assurance of confidentiality covering information recorded on these forms and documents, the Part 1904 regulations include several provisions to protect the privacy of injured or ill employees. While in the possession of the employer, the records are subject to the access requirements in 29 CFR Part 1904.35 and 1904.40. </w:t>
      </w:r>
      <w:r w:rsidRPr="00BA1CEE" w:rsidR="007B172E">
        <w:rPr>
          <w:rFonts w:ascii="Times New Roman" w:hAnsi="Times New Roman"/>
        </w:rPr>
        <w:t>Records obtained by OSHA or other government representatives under 29 CFR 1904.40 are</w:t>
      </w:r>
      <w:r w:rsidRPr="00BA1CEE">
        <w:rPr>
          <w:rFonts w:ascii="Times New Roman" w:hAnsi="Times New Roman"/>
        </w:rPr>
        <w:t xml:space="preserve"> only disclosed by the government in accordance with applicable Federal law, includ</w:t>
      </w:r>
      <w:r w:rsidRPr="00BA1CEE" w:rsidR="00C64455">
        <w:rPr>
          <w:rFonts w:ascii="Times New Roman" w:hAnsi="Times New Roman"/>
        </w:rPr>
        <w:t>ing</w:t>
      </w:r>
      <w:r w:rsidRPr="00BA1CEE">
        <w:rPr>
          <w:rFonts w:ascii="Times New Roman" w:hAnsi="Times New Roman"/>
        </w:rPr>
        <w:t xml:space="preserve"> the provisions of the Freedom of Information Act (FOIA). Exemption 4 of FOIA protects “trade secrets and commercial or financial information obtained from a person [that is] privileged or confidential.” See 5 U.S.C. § 552(b)(4). Exemption 6 of FOIA enables an agency to exempt certain information from disclosure which would be “a clearly unwarranted invasion of personal privacy.” See 5 U.S.C. §552(b)(6).</w:t>
      </w:r>
    </w:p>
    <w:p w:rsidR="002D28C7" w:rsidRPr="00BA1CEE" w:rsidP="002D28C7" w14:paraId="540F0406" w14:textId="77777777">
      <w:pPr>
        <w:rPr>
          <w:rFonts w:ascii="Times New Roman" w:hAnsi="Times New Roman"/>
        </w:rPr>
      </w:pPr>
    </w:p>
    <w:p w:rsidR="002D28C7" w:rsidRPr="00BA1CEE" w:rsidP="002D28C7" w14:paraId="5F1A2D80" w14:textId="77777777">
      <w:pPr>
        <w:rPr>
          <w:rFonts w:ascii="Times New Roman" w:hAnsi="Times New Roman"/>
        </w:rPr>
      </w:pPr>
      <w:r w:rsidRPr="00BA1CEE">
        <w:rPr>
          <w:rFonts w:ascii="Times New Roman" w:hAnsi="Times New Roman"/>
        </w:rPr>
        <w:t>In the final rule, OSHA excludes the following data elements from its collection of Form 300 and 301 data: 1) Log of Work-Related Injuries and Illnesses (OSHA Form 300): Employee name (column B). 2) Injury and Illness Incident Report (OSHA Form 301): Employee name (field 1), employee address (field 2), name of physician or other health care professional (field 6), facility name and address if treatment was given away from the worksite (field 7).</w:t>
      </w:r>
    </w:p>
    <w:p w:rsidR="002D28C7" w:rsidRPr="00BA1CEE" w:rsidP="002D28C7" w14:paraId="0A5060BE" w14:textId="77777777">
      <w:pPr>
        <w:rPr>
          <w:rFonts w:ascii="Times New Roman" w:hAnsi="Times New Roman"/>
        </w:rPr>
      </w:pPr>
    </w:p>
    <w:p w:rsidR="005C5BCC" w:rsidRPr="00BA1CEE" w:rsidP="002D28C7" w14:paraId="5805A945" w14:textId="671B6127">
      <w:pPr>
        <w:rPr>
          <w:rFonts w:ascii="Times New Roman" w:hAnsi="Times New Roman"/>
        </w:rPr>
      </w:pPr>
      <w:r w:rsidRPr="00BA1CEE">
        <w:rPr>
          <w:rFonts w:ascii="Times New Roman" w:hAnsi="Times New Roman"/>
        </w:rPr>
        <w:t>Additionally, OSHA intends to post certain information from the collected data on its public website after identifying and removing information that could reasonably be expected to identify individuals directly.  The publication of such data would be conducted in accordance with applicable federal law, including provisions of the FOIA.</w:t>
      </w:r>
    </w:p>
    <w:p w:rsidR="008D03CF" w:rsidRPr="00BA1CEE" w:rsidP="008D03CF" w14:paraId="74635245" w14:textId="77777777">
      <w:pPr>
        <w:rPr>
          <w:rFonts w:ascii="Times New Roman" w:hAnsi="Times New Roman"/>
        </w:rPr>
      </w:pPr>
    </w:p>
    <w:p w:rsidR="00997766" w:rsidRPr="00BA1CEE" w:rsidP="00997766" w14:paraId="21580ED7" w14:textId="6BBF61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A1CEE">
        <w:rPr>
          <w:rFonts w:ascii="Times New Roman" w:hAnsi="Times New Roman"/>
          <w:b/>
          <w:bCs/>
        </w:rPr>
        <w:t>11.  Provide additional justification for any questions of a sensitive nature, such as sexual behavior and attitudes, religious beliefs, and other matters that ar</w:t>
      </w:r>
      <w:r w:rsidRPr="00BA1CEE" w:rsidR="002F424A">
        <w:rPr>
          <w:rFonts w:ascii="Times New Roman" w:hAnsi="Times New Roman"/>
          <w:b/>
          <w:bCs/>
        </w:rPr>
        <w:t xml:space="preserve">e commonly considered private. </w:t>
      </w:r>
      <w:r w:rsidRPr="00BA1CEE">
        <w:rPr>
          <w:rFonts w:ascii="Times New Roman" w:hAnsi="Times New Roman"/>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852B0" w:rsidRPr="00BA1CEE" w:rsidP="00997766" w14:paraId="27FBF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33713" w:rsidRPr="00BA1CEE" w:rsidP="00833713" w14:paraId="20B4F462" w14:textId="7123EB1C">
      <w:pPr>
        <w:rPr>
          <w:rFonts w:ascii="Times New Roman" w:hAnsi="Times New Roman"/>
        </w:rPr>
      </w:pPr>
      <w:r w:rsidRPr="00BA1CEE">
        <w:rPr>
          <w:rFonts w:ascii="Times New Roman" w:hAnsi="Times New Roman"/>
        </w:rPr>
        <w:t>There are no questions of a sensitive nature, such as sexual behavior and attitudes, religious beliefs, and other matters that are commonly considered private in these provisions.</w:t>
      </w:r>
    </w:p>
    <w:p w:rsidR="00D852B0" w:rsidRPr="00BA1CEE" w:rsidP="00D852B0" w14:paraId="5721319F" w14:textId="77777777">
      <w:pPr>
        <w:rPr>
          <w:rFonts w:ascii="Times New Roman" w:hAnsi="Times New Roman"/>
        </w:rPr>
      </w:pPr>
    </w:p>
    <w:p w:rsidR="00BB6001" w:rsidRPr="00BA1CEE" w:rsidP="00BB6001" w14:paraId="1051C3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A1CEE">
        <w:rPr>
          <w:rFonts w:ascii="Times New Roman" w:hAnsi="Times New Roman"/>
          <w:b/>
          <w:bCs/>
        </w:rPr>
        <w:t xml:space="preserve">12.  Provide estimates of the hour burden of </w:t>
      </w:r>
      <w:r w:rsidRPr="00BA1CEE" w:rsidR="002F424A">
        <w:rPr>
          <w:rFonts w:ascii="Times New Roman" w:hAnsi="Times New Roman"/>
          <w:b/>
          <w:bCs/>
        </w:rPr>
        <w:t xml:space="preserve">the collection of information. </w:t>
      </w:r>
      <w:r w:rsidRPr="00BA1CEE">
        <w:rPr>
          <w:rFonts w:ascii="Times New Roman" w:hAnsi="Times New Roman"/>
          <w:b/>
          <w:bCs/>
        </w:rPr>
        <w:t>The statement should:</w:t>
      </w:r>
    </w:p>
    <w:p w:rsidR="00BB6001" w:rsidRPr="00BA1CEE" w:rsidP="00BB6001" w14:paraId="2BC4F4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B6001" w:rsidRPr="00BA1CEE" w:rsidP="00BB6001" w14:paraId="3DD9B41A" w14:textId="77777777">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A1CEE">
        <w:rPr>
          <w:rFonts w:ascii="Times New Roman" w:hAnsi="Times New Roman"/>
          <w:b/>
          <w:bCs/>
        </w:rPr>
        <w:t>Indicate the number of respondents, frequency of response, annual hour burden, and an explanation of</w:t>
      </w:r>
      <w:r w:rsidRPr="00BA1CEE" w:rsidR="002F424A">
        <w:rPr>
          <w:rFonts w:ascii="Times New Roman" w:hAnsi="Times New Roman"/>
          <w:b/>
          <w:bCs/>
        </w:rPr>
        <w:t xml:space="preserve"> how the burden was estimated. </w:t>
      </w:r>
      <w:r w:rsidRPr="00BA1CEE">
        <w:rPr>
          <w:rFonts w:ascii="Times New Roman" w:hAnsi="Times New Roman"/>
          <w:b/>
          <w:bCs/>
        </w:rPr>
        <w:t xml:space="preserve">Unless directed to do so, agencies should not conduct special surveys to obtain information on which </w:t>
      </w:r>
      <w:r w:rsidRPr="00BA1CEE" w:rsidR="002F424A">
        <w:rPr>
          <w:rFonts w:ascii="Times New Roman" w:hAnsi="Times New Roman"/>
          <w:b/>
          <w:bCs/>
        </w:rPr>
        <w:t xml:space="preserve">to base hour burden estimates. </w:t>
      </w:r>
      <w:r w:rsidRPr="00BA1CEE">
        <w:rPr>
          <w:rFonts w:ascii="Times New Roman" w:hAnsi="Times New Roman"/>
          <w:b/>
          <w:bCs/>
        </w:rPr>
        <w:t>Consultation with a sample (fewer than 10) of poten</w:t>
      </w:r>
      <w:r w:rsidRPr="00BA1CEE" w:rsidR="002F424A">
        <w:rPr>
          <w:rFonts w:ascii="Times New Roman" w:hAnsi="Times New Roman"/>
          <w:b/>
          <w:bCs/>
        </w:rPr>
        <w:t xml:space="preserve">tial respondents is desirable. </w:t>
      </w:r>
      <w:r w:rsidRPr="00BA1CEE">
        <w:rPr>
          <w:rFonts w:ascii="Times New Roman" w:hAnsi="Times New Roman"/>
          <w:b/>
          <w:bCs/>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B6001" w:rsidRPr="00BA1CEE" w:rsidP="00BB6001" w14:paraId="63DF26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B6001" w:rsidRPr="00BA1CEE" w:rsidP="00BB6001" w14:paraId="02CC7406" w14:textId="77777777">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A1CEE">
        <w:rPr>
          <w:rFonts w:ascii="Times New Roman" w:hAnsi="Times New Roman"/>
          <w:b/>
          <w:bCs/>
        </w:rPr>
        <w:t>If this request for approval covers more than one form, provide separate hour burden estimates for each form.</w:t>
      </w:r>
    </w:p>
    <w:p w:rsidR="00BB6001" w:rsidRPr="00BA1CEE" w:rsidP="00BB6001" w14:paraId="788BB1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B6001" w:rsidRPr="00BA1CEE" w:rsidP="00BB6001" w14:paraId="22317C24" w14:textId="77777777">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A1CEE">
        <w:rPr>
          <w:rFonts w:ascii="Times New Roman" w:hAnsi="Times New Roman"/>
          <w:b/>
          <w:bCs/>
        </w:rPr>
        <w:t>Provide estimates of annualized cost to respondents for the hour burdens for collections of information, identifying and using appropriate wage-rate categories</w:t>
      </w:r>
      <w:r w:rsidRPr="00BA1CEE" w:rsidR="002F424A">
        <w:rPr>
          <w:rFonts w:ascii="Times New Roman" w:hAnsi="Times New Roman"/>
          <w:b/>
          <w:bCs/>
        </w:rPr>
        <w:t xml:space="preserve">. </w:t>
      </w:r>
      <w:r w:rsidRPr="00BA1CEE">
        <w:rPr>
          <w:rFonts w:ascii="Times New Roman" w:hAnsi="Times New Roman"/>
          <w:b/>
          <w:bCs/>
        </w:rPr>
        <w:t>The cost of contracting out or paying outside parties for information collection activiti</w:t>
      </w:r>
      <w:r w:rsidRPr="00BA1CEE" w:rsidR="002F424A">
        <w:rPr>
          <w:rFonts w:ascii="Times New Roman" w:hAnsi="Times New Roman"/>
          <w:b/>
          <w:bCs/>
        </w:rPr>
        <w:t>es should not be included here.</w:t>
      </w:r>
      <w:r w:rsidRPr="00BA1CEE">
        <w:rPr>
          <w:rFonts w:ascii="Times New Roman" w:hAnsi="Times New Roman"/>
          <w:b/>
          <w:bCs/>
        </w:rPr>
        <w:t xml:space="preserve"> Instead, this should be included in Item 13.</w:t>
      </w:r>
    </w:p>
    <w:p w:rsidR="00BB6001" w:rsidRPr="00BA1CEE" w:rsidP="00BB6001" w14:paraId="5F743A22" w14:textId="77777777">
      <w:pPr>
        <w:rPr>
          <w:rFonts w:ascii="Times New Roman" w:hAnsi="Times New Roman"/>
        </w:rPr>
      </w:pPr>
    </w:p>
    <w:p w:rsidR="00596797" w:rsidRPr="00BA1CEE" w:rsidP="00596797" w14:paraId="0F4965C3" w14:textId="77777777">
      <w:pPr>
        <w:spacing w:after="240"/>
        <w:outlineLvl w:val="0"/>
        <w:rPr>
          <w:rFonts w:ascii="Times New Roman" w:hAnsi="Times New Roman"/>
          <w:smallCaps/>
        </w:rPr>
      </w:pPr>
      <w:r w:rsidRPr="00BA1CEE">
        <w:rPr>
          <w:rFonts w:ascii="Times New Roman" w:hAnsi="Times New Roman"/>
          <w:b/>
          <w:bCs/>
          <w:smallCaps/>
        </w:rPr>
        <w:t>Respondent Burden-Hour and Cost burden Determinations</w:t>
      </w:r>
    </w:p>
    <w:p w:rsidR="007F45AB" w:rsidRPr="00BA1CEE" w:rsidP="00BB6001" w14:paraId="63530C00" w14:textId="2F847958">
      <w:pPr>
        <w:rPr>
          <w:rFonts w:ascii="Times New Roman" w:hAnsi="Times New Roman"/>
        </w:rPr>
      </w:pPr>
      <w:r w:rsidRPr="00BA1CEE">
        <w:rPr>
          <w:rFonts w:ascii="Times New Roman" w:hAnsi="Times New Roman"/>
        </w:rPr>
        <w:t xml:space="preserve">The burden hours and cost determinations are </w:t>
      </w:r>
      <w:r w:rsidRPr="00BA1CEE" w:rsidR="00A136B5">
        <w:rPr>
          <w:rFonts w:ascii="Times New Roman" w:hAnsi="Times New Roman"/>
        </w:rPr>
        <w:t>base</w:t>
      </w:r>
      <w:r w:rsidRPr="00BA1CEE">
        <w:rPr>
          <w:rFonts w:ascii="Times New Roman" w:hAnsi="Times New Roman"/>
        </w:rPr>
        <w:t>d</w:t>
      </w:r>
      <w:r w:rsidRPr="00BA1CEE" w:rsidR="00693AFA">
        <w:rPr>
          <w:rFonts w:ascii="Times New Roman" w:hAnsi="Times New Roman"/>
        </w:rPr>
        <w:t xml:space="preserve"> on the </w:t>
      </w:r>
      <w:r w:rsidRPr="00BA1CEE" w:rsidR="00CF2F8F">
        <w:rPr>
          <w:rFonts w:ascii="Times New Roman" w:hAnsi="Times New Roman"/>
        </w:rPr>
        <w:t>final</w:t>
      </w:r>
      <w:r w:rsidRPr="00BA1CEE" w:rsidR="00693AFA">
        <w:rPr>
          <w:rFonts w:ascii="Times New Roman" w:hAnsi="Times New Roman"/>
        </w:rPr>
        <w:t xml:space="preserve"> economic analysis</w:t>
      </w:r>
      <w:r w:rsidRPr="00BA1CEE" w:rsidR="008B3460">
        <w:rPr>
          <w:rFonts w:ascii="Times New Roman" w:hAnsi="Times New Roman"/>
        </w:rPr>
        <w:t xml:space="preserve"> </w:t>
      </w:r>
      <w:r w:rsidRPr="00BA1CEE" w:rsidR="00654C39">
        <w:rPr>
          <w:rFonts w:ascii="Times New Roman" w:hAnsi="Times New Roman"/>
        </w:rPr>
        <w:t>of the</w:t>
      </w:r>
      <w:r w:rsidRPr="00BA1CEE" w:rsidR="006E128B">
        <w:rPr>
          <w:rFonts w:ascii="Times New Roman" w:hAnsi="Times New Roman"/>
        </w:rPr>
        <w:t xml:space="preserve"> Improve </w:t>
      </w:r>
      <w:r w:rsidRPr="00BA1CEE" w:rsidR="00E32A3A">
        <w:rPr>
          <w:rFonts w:ascii="Times New Roman" w:hAnsi="Times New Roman"/>
        </w:rPr>
        <w:t>Tracking Workplace Injuries and Ill</w:t>
      </w:r>
      <w:r w:rsidRPr="00BA1CEE" w:rsidR="00905D22">
        <w:rPr>
          <w:rFonts w:ascii="Times New Roman" w:hAnsi="Times New Roman"/>
        </w:rPr>
        <w:t>nesses</w:t>
      </w:r>
      <w:r w:rsidRPr="00BA1CEE" w:rsidR="003261BC">
        <w:rPr>
          <w:rFonts w:ascii="Times New Roman" w:hAnsi="Times New Roman"/>
        </w:rPr>
        <w:t xml:space="preserve"> Standard</w:t>
      </w:r>
      <w:r w:rsidRPr="00BA1CEE" w:rsidR="002B4C62">
        <w:rPr>
          <w:rFonts w:ascii="Times New Roman" w:hAnsi="Times New Roman"/>
        </w:rPr>
        <w:t>, Final R</w:t>
      </w:r>
      <w:r w:rsidRPr="00BA1CEE" w:rsidR="0067516F">
        <w:rPr>
          <w:rFonts w:ascii="Times New Roman" w:hAnsi="Times New Roman"/>
        </w:rPr>
        <w:t>ule</w:t>
      </w:r>
      <w:r w:rsidRPr="00BA1CEE" w:rsidR="003261BC">
        <w:rPr>
          <w:rFonts w:ascii="Times New Roman" w:hAnsi="Times New Roman"/>
        </w:rPr>
        <w:t>.</w:t>
      </w:r>
      <w:r w:rsidRPr="00BA1CEE" w:rsidR="00244BD3">
        <w:rPr>
          <w:rFonts w:ascii="Times New Roman" w:hAnsi="Times New Roman"/>
        </w:rPr>
        <w:t xml:space="preserve"> </w:t>
      </w:r>
    </w:p>
    <w:p w:rsidR="007F45AB" w:rsidRPr="00BA1CEE" w:rsidP="00BB6001" w14:paraId="60D8AB5D" w14:textId="77777777">
      <w:pPr>
        <w:rPr>
          <w:rFonts w:ascii="Times New Roman" w:hAnsi="Times New Roman"/>
        </w:rPr>
      </w:pPr>
    </w:p>
    <w:p w:rsidR="007F45AB" w:rsidRPr="00BA1CEE" w:rsidP="00BB6001" w14:paraId="4926DE8A" w14:textId="34E1955E">
      <w:pPr>
        <w:rPr>
          <w:rFonts w:ascii="Times New Roman" w:hAnsi="Times New Roman"/>
          <w:b/>
          <w:bCs/>
        </w:rPr>
      </w:pPr>
      <w:r w:rsidRPr="00BA1CEE">
        <w:rPr>
          <w:rFonts w:ascii="Times New Roman" w:hAnsi="Times New Roman"/>
          <w:b/>
          <w:bCs/>
        </w:rPr>
        <w:t>Wage Rates</w:t>
      </w:r>
    </w:p>
    <w:p w:rsidR="00167590" w:rsidRPr="00BA1CEE" w:rsidP="00BB6001" w14:paraId="4D2C1568" w14:textId="0D1DF5AE">
      <w:pPr>
        <w:rPr>
          <w:rFonts w:ascii="Times New Roman" w:hAnsi="Times New Roman"/>
          <w:b/>
          <w:bCs/>
        </w:rPr>
      </w:pPr>
    </w:p>
    <w:p w:rsidR="00440A59" w:rsidRPr="00BA1CEE" w:rsidP="008337AB" w14:paraId="421D7193" w14:textId="6CFC995D">
      <w:pPr>
        <w:pStyle w:val="NoSpacing"/>
        <w:rPr>
          <w:rFonts w:ascii="Times New Roman" w:hAnsi="Times New Roman" w:cs="Times New Roman"/>
          <w:sz w:val="24"/>
          <w:szCs w:val="24"/>
        </w:rPr>
      </w:pPr>
      <w:r w:rsidRPr="00BA1CEE">
        <w:rPr>
          <w:rFonts w:ascii="Times New Roman" w:hAnsi="Times New Roman" w:cs="Times New Roman"/>
          <w:sz w:val="24"/>
          <w:szCs w:val="24"/>
        </w:rPr>
        <w:t xml:space="preserve">OSHA used </w:t>
      </w:r>
      <w:r w:rsidRPr="00BA1CEE" w:rsidR="004907D9">
        <w:rPr>
          <w:rFonts w:ascii="Times New Roman" w:hAnsi="Times New Roman" w:cs="Times New Roman"/>
          <w:sz w:val="24"/>
          <w:szCs w:val="24"/>
        </w:rPr>
        <w:t>S</w:t>
      </w:r>
      <w:r w:rsidRPr="00BA1CEE" w:rsidR="00C7036E">
        <w:rPr>
          <w:rFonts w:ascii="Times New Roman" w:hAnsi="Times New Roman" w:cs="Times New Roman"/>
          <w:sz w:val="24"/>
          <w:szCs w:val="24"/>
        </w:rPr>
        <w:t>eptember 2022</w:t>
      </w:r>
      <w:r w:rsidRPr="00BA1CEE">
        <w:rPr>
          <w:rFonts w:ascii="Times New Roman" w:hAnsi="Times New Roman" w:cs="Times New Roman"/>
          <w:sz w:val="24"/>
          <w:szCs w:val="24"/>
        </w:rPr>
        <w:t xml:space="preserve"> data from the BLS National Compensation Survey, reporting a mean fringe benefit factor of </w:t>
      </w:r>
      <w:r w:rsidRPr="00BA1CEE" w:rsidR="00806B21">
        <w:rPr>
          <w:rFonts w:ascii="Times New Roman" w:hAnsi="Times New Roman" w:cs="Times New Roman"/>
          <w:sz w:val="24"/>
          <w:szCs w:val="24"/>
        </w:rPr>
        <w:t>1.44</w:t>
      </w:r>
      <w:r w:rsidRPr="00BA1CEE" w:rsidR="00F76E32">
        <w:rPr>
          <w:rFonts w:ascii="Times New Roman" w:hAnsi="Times New Roman" w:cs="Times New Roman"/>
          <w:sz w:val="24"/>
          <w:szCs w:val="24"/>
        </w:rPr>
        <w:t>93</w:t>
      </w:r>
      <w:r w:rsidRPr="00BA1CEE">
        <w:rPr>
          <w:rFonts w:ascii="Times New Roman" w:hAnsi="Times New Roman" w:cs="Times New Roman"/>
          <w:sz w:val="24"/>
          <w:szCs w:val="24"/>
        </w:rPr>
        <w:t xml:space="preserve"> </w:t>
      </w:r>
      <w:r w:rsidRPr="00BA1CEE" w:rsidR="00AF2A59">
        <w:rPr>
          <w:rFonts w:ascii="Times New Roman" w:hAnsi="Times New Roman" w:cs="Times New Roman"/>
          <w:sz w:val="24"/>
          <w:szCs w:val="24"/>
        </w:rPr>
        <w:t xml:space="preserve"> </w:t>
      </w:r>
      <w:r w:rsidRPr="00BA1CEE">
        <w:rPr>
          <w:rFonts w:ascii="Times New Roman" w:hAnsi="Times New Roman" w:cs="Times New Roman"/>
          <w:sz w:val="24"/>
          <w:szCs w:val="24"/>
        </w:rPr>
        <w:t>for civilian workers in general.</w:t>
      </w:r>
      <w:r>
        <w:rPr>
          <w:rStyle w:val="FootnoteReference"/>
          <w:rFonts w:ascii="Times New Roman" w:hAnsi="Times New Roman" w:cs="Times New Roman"/>
          <w:sz w:val="24"/>
          <w:szCs w:val="24"/>
          <w:vertAlign w:val="superscript"/>
        </w:rPr>
        <w:footnoteReference w:id="2"/>
      </w:r>
      <w:r w:rsidRPr="00BA1CEE">
        <w:rPr>
          <w:rFonts w:ascii="Times New Roman" w:hAnsi="Times New Roman" w:cs="Times New Roman"/>
          <w:sz w:val="24"/>
          <w:szCs w:val="24"/>
        </w:rPr>
        <w:t xml:space="preserve"> OSHA then multiplied the mean hourly wage ($37.</w:t>
      </w:r>
      <w:r w:rsidRPr="00BA1CEE" w:rsidR="00E055A1">
        <w:rPr>
          <w:rFonts w:ascii="Times New Roman" w:hAnsi="Times New Roman" w:cs="Times New Roman"/>
          <w:sz w:val="24"/>
          <w:szCs w:val="24"/>
        </w:rPr>
        <w:t>86</w:t>
      </w:r>
      <w:r w:rsidRPr="00BA1CEE">
        <w:rPr>
          <w:rFonts w:ascii="Times New Roman" w:hAnsi="Times New Roman" w:cs="Times New Roman"/>
          <w:sz w:val="24"/>
          <w:szCs w:val="24"/>
        </w:rPr>
        <w:t xml:space="preserve">) </w:t>
      </w:r>
      <w:r w:rsidRPr="00BA1CEE" w:rsidR="00FC734C">
        <w:rPr>
          <w:rFonts w:ascii="Times New Roman" w:hAnsi="Times New Roman" w:cs="Times New Roman"/>
          <w:sz w:val="24"/>
          <w:szCs w:val="24"/>
        </w:rPr>
        <w:t xml:space="preserve">for occupational safety and health specialists </w:t>
      </w:r>
      <w:r w:rsidRPr="00BA1CEE">
        <w:rPr>
          <w:rFonts w:ascii="Times New Roman" w:hAnsi="Times New Roman" w:cs="Times New Roman"/>
          <w:sz w:val="24"/>
          <w:szCs w:val="24"/>
        </w:rPr>
        <w:t>by the mean fringe benefit factor (</w:t>
      </w:r>
      <w:r w:rsidRPr="00BA1CEE" w:rsidR="00F76E32">
        <w:rPr>
          <w:rFonts w:ascii="Times New Roman" w:hAnsi="Times New Roman" w:cs="Times New Roman"/>
          <w:sz w:val="24"/>
          <w:szCs w:val="24"/>
        </w:rPr>
        <w:t>1.4</w:t>
      </w:r>
      <w:r w:rsidRPr="00BA1CEE" w:rsidR="00780951">
        <w:rPr>
          <w:rFonts w:ascii="Times New Roman" w:hAnsi="Times New Roman" w:cs="Times New Roman"/>
          <w:sz w:val="24"/>
          <w:szCs w:val="24"/>
        </w:rPr>
        <w:t>493</w:t>
      </w:r>
      <w:r w:rsidRPr="00BA1CEE">
        <w:rPr>
          <w:rFonts w:ascii="Times New Roman" w:hAnsi="Times New Roman" w:cs="Times New Roman"/>
          <w:sz w:val="24"/>
          <w:szCs w:val="24"/>
        </w:rPr>
        <w:t>) to obtain an estimated total compensation (wages and benefits) for Occupational Health and Safety Specialists of $54.</w:t>
      </w:r>
      <w:r w:rsidRPr="00BA1CEE" w:rsidR="00E055A1">
        <w:rPr>
          <w:rFonts w:ascii="Times New Roman" w:hAnsi="Times New Roman" w:cs="Times New Roman"/>
          <w:sz w:val="24"/>
          <w:szCs w:val="24"/>
        </w:rPr>
        <w:t xml:space="preserve">87 </w:t>
      </w:r>
      <w:r w:rsidRPr="00BA1CEE">
        <w:rPr>
          <w:rFonts w:ascii="Times New Roman" w:hAnsi="Times New Roman" w:cs="Times New Roman"/>
          <w:sz w:val="24"/>
          <w:szCs w:val="24"/>
        </w:rPr>
        <w:t>per hour ([$37.</w:t>
      </w:r>
      <w:r w:rsidRPr="00BA1CEE" w:rsidR="002742E5">
        <w:rPr>
          <w:rFonts w:ascii="Times New Roman" w:hAnsi="Times New Roman" w:cs="Times New Roman"/>
          <w:sz w:val="24"/>
          <w:szCs w:val="24"/>
        </w:rPr>
        <w:t xml:space="preserve">86 </w:t>
      </w:r>
      <w:r w:rsidRPr="00BA1CEE">
        <w:rPr>
          <w:rFonts w:ascii="Times New Roman" w:hAnsi="Times New Roman" w:cs="Times New Roman"/>
          <w:sz w:val="24"/>
          <w:szCs w:val="24"/>
        </w:rPr>
        <w:t>per hour] × 1.4</w:t>
      </w:r>
      <w:r w:rsidRPr="00BA1CEE" w:rsidR="00FF1B34">
        <w:rPr>
          <w:rFonts w:ascii="Times New Roman" w:hAnsi="Times New Roman" w:cs="Times New Roman"/>
          <w:sz w:val="24"/>
          <w:szCs w:val="24"/>
        </w:rPr>
        <w:t>49</w:t>
      </w:r>
      <w:r w:rsidRPr="00BA1CEE" w:rsidR="00780951">
        <w:rPr>
          <w:rFonts w:ascii="Times New Roman" w:hAnsi="Times New Roman" w:cs="Times New Roman"/>
          <w:sz w:val="24"/>
          <w:szCs w:val="24"/>
        </w:rPr>
        <w:t>3</w:t>
      </w:r>
      <w:r w:rsidRPr="00BA1CEE">
        <w:rPr>
          <w:rFonts w:ascii="Times New Roman" w:hAnsi="Times New Roman" w:cs="Times New Roman"/>
          <w:sz w:val="24"/>
          <w:szCs w:val="24"/>
        </w:rPr>
        <w:t>). OSHA next applied a 17% overhead rate to the base wage ([$37.</w:t>
      </w:r>
      <w:r w:rsidRPr="00BA1CEE" w:rsidR="002D0C96">
        <w:rPr>
          <w:rFonts w:ascii="Times New Roman" w:hAnsi="Times New Roman" w:cs="Times New Roman"/>
          <w:sz w:val="24"/>
          <w:szCs w:val="24"/>
        </w:rPr>
        <w:t xml:space="preserve">86 </w:t>
      </w:r>
      <w:r w:rsidRPr="00BA1CEE">
        <w:rPr>
          <w:rFonts w:ascii="Times New Roman" w:hAnsi="Times New Roman" w:cs="Times New Roman"/>
          <w:sz w:val="24"/>
          <w:szCs w:val="24"/>
        </w:rPr>
        <w:t>per hour] x [0.17]), totaling $6.</w:t>
      </w:r>
      <w:r w:rsidRPr="00BA1CEE" w:rsidR="00EB3B8C">
        <w:rPr>
          <w:rFonts w:ascii="Times New Roman" w:hAnsi="Times New Roman" w:cs="Times New Roman"/>
          <w:sz w:val="24"/>
          <w:szCs w:val="24"/>
        </w:rPr>
        <w:t>44</w:t>
      </w:r>
      <w:r w:rsidRPr="00BA1CEE">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3"/>
      </w:r>
      <w:r w:rsidRPr="00BA1CEE">
        <w:rPr>
          <w:rFonts w:ascii="Times New Roman" w:hAnsi="Times New Roman" w:cs="Times New Roman"/>
          <w:sz w:val="24"/>
          <w:szCs w:val="24"/>
        </w:rPr>
        <w:t xml:space="preserve"> The $6.</w:t>
      </w:r>
      <w:r w:rsidRPr="00BA1CEE" w:rsidR="002D0C96">
        <w:rPr>
          <w:rFonts w:ascii="Times New Roman" w:hAnsi="Times New Roman" w:cs="Times New Roman"/>
          <w:sz w:val="24"/>
          <w:szCs w:val="24"/>
        </w:rPr>
        <w:t xml:space="preserve">44 </w:t>
      </w:r>
      <w:r w:rsidRPr="00BA1CEE">
        <w:rPr>
          <w:rFonts w:ascii="Times New Roman" w:hAnsi="Times New Roman" w:cs="Times New Roman"/>
          <w:sz w:val="24"/>
          <w:szCs w:val="24"/>
        </w:rPr>
        <w:t>was added to the total compensation ($54.</w:t>
      </w:r>
      <w:r w:rsidRPr="00BA1CEE" w:rsidR="00A40183">
        <w:rPr>
          <w:rFonts w:ascii="Times New Roman" w:hAnsi="Times New Roman" w:cs="Times New Roman"/>
          <w:sz w:val="24"/>
          <w:szCs w:val="24"/>
        </w:rPr>
        <w:t>87</w:t>
      </w:r>
      <w:r w:rsidRPr="00BA1CEE">
        <w:rPr>
          <w:rFonts w:ascii="Times New Roman" w:hAnsi="Times New Roman" w:cs="Times New Roman"/>
          <w:sz w:val="24"/>
          <w:szCs w:val="24"/>
        </w:rPr>
        <w:t>) yielding a fully loaded wage rate of $</w:t>
      </w:r>
      <w:r w:rsidRPr="00BA1CEE" w:rsidR="001B0EFC">
        <w:rPr>
          <w:rFonts w:ascii="Times New Roman" w:hAnsi="Times New Roman" w:cs="Times New Roman"/>
          <w:sz w:val="24"/>
          <w:szCs w:val="24"/>
        </w:rPr>
        <w:t>61.31</w:t>
      </w:r>
      <w:r w:rsidRPr="00BA1CEE">
        <w:rPr>
          <w:rFonts w:ascii="Times New Roman" w:hAnsi="Times New Roman" w:cs="Times New Roman"/>
          <w:sz w:val="24"/>
          <w:szCs w:val="24"/>
        </w:rPr>
        <w:t xml:space="preserve"> [$54.</w:t>
      </w:r>
      <w:r w:rsidRPr="00BA1CEE" w:rsidR="00C43990">
        <w:rPr>
          <w:rFonts w:ascii="Times New Roman" w:hAnsi="Times New Roman" w:cs="Times New Roman"/>
          <w:sz w:val="24"/>
          <w:szCs w:val="24"/>
        </w:rPr>
        <w:t xml:space="preserve">87 </w:t>
      </w:r>
      <w:r w:rsidRPr="00BA1CEE">
        <w:rPr>
          <w:rFonts w:ascii="Times New Roman" w:hAnsi="Times New Roman" w:cs="Times New Roman"/>
          <w:sz w:val="24"/>
          <w:szCs w:val="24"/>
        </w:rPr>
        <w:t>+ $6.</w:t>
      </w:r>
      <w:r w:rsidRPr="00BA1CEE" w:rsidR="001B0EFC">
        <w:rPr>
          <w:rFonts w:ascii="Times New Roman" w:hAnsi="Times New Roman" w:cs="Times New Roman"/>
          <w:sz w:val="24"/>
          <w:szCs w:val="24"/>
        </w:rPr>
        <w:t>44</w:t>
      </w:r>
      <w:r w:rsidRPr="00BA1CEE">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4"/>
      </w:r>
      <w:r w:rsidRPr="00BA1CEE" w:rsidR="0085796E">
        <w:rPr>
          <w:rFonts w:ascii="Times New Roman" w:hAnsi="Times New Roman" w:cs="Times New Roman"/>
          <w:sz w:val="24"/>
          <w:szCs w:val="24"/>
        </w:rPr>
        <w:t xml:space="preserve">  OSHA used the same process to calculate a fully loaded wage rate </w:t>
      </w:r>
      <w:r w:rsidRPr="00BA1CEE" w:rsidR="00FC734C">
        <w:rPr>
          <w:rFonts w:ascii="Times New Roman" w:hAnsi="Times New Roman" w:cs="Times New Roman"/>
          <w:sz w:val="24"/>
          <w:szCs w:val="24"/>
        </w:rPr>
        <w:t>for software developers.</w:t>
      </w:r>
    </w:p>
    <w:p w:rsidR="00897E40" w:rsidRPr="00BA1CEE" w:rsidP="00500268" w14:paraId="6E29E4F0" w14:textId="77777777">
      <w:pPr>
        <w:pStyle w:val="NoSpacing"/>
        <w:rPr>
          <w:rFonts w:ascii="Times New Roman" w:hAnsi="Times New Roman" w:cs="Times New Roman"/>
          <w:sz w:val="24"/>
          <w:szCs w:val="24"/>
        </w:rPr>
      </w:pPr>
    </w:p>
    <w:tbl>
      <w:tblPr>
        <w:tblW w:w="9738" w:type="dxa"/>
        <w:jc w:val="center"/>
        <w:tblLook w:val="04A0"/>
      </w:tblPr>
      <w:tblGrid>
        <w:gridCol w:w="1112"/>
        <w:gridCol w:w="1263"/>
        <w:gridCol w:w="1615"/>
        <w:gridCol w:w="1412"/>
        <w:gridCol w:w="1531"/>
        <w:gridCol w:w="1230"/>
        <w:gridCol w:w="1575"/>
      </w:tblGrid>
      <w:tr w14:paraId="17EC3B1F" w14:textId="77777777" w:rsidTr="00EB6AA6">
        <w:tblPrEx>
          <w:tblW w:w="9738" w:type="dxa"/>
          <w:jc w:val="center"/>
          <w:tblLook w:val="04A0"/>
        </w:tblPrEx>
        <w:trPr>
          <w:trHeight w:val="345"/>
          <w:jc w:val="center"/>
        </w:trPr>
        <w:tc>
          <w:tcPr>
            <w:tcW w:w="1112" w:type="dxa"/>
            <w:tcBorders>
              <w:top w:val="nil"/>
              <w:left w:val="nil"/>
              <w:bottom w:val="single" w:sz="4" w:space="0" w:color="auto"/>
              <w:right w:val="nil"/>
            </w:tcBorders>
          </w:tcPr>
          <w:p w:rsidR="00F22F06" w:rsidRPr="00BA1CEE" w:rsidP="008337AB" w14:paraId="7249CADE" w14:textId="77777777">
            <w:pPr>
              <w:keepNext/>
              <w:keepLines/>
              <w:rPr>
                <w:rFonts w:ascii="Times New Roman" w:hAnsi="Times New Roman"/>
                <w:b/>
                <w:bCs/>
                <w:color w:val="000000"/>
              </w:rPr>
            </w:pPr>
          </w:p>
        </w:tc>
        <w:tc>
          <w:tcPr>
            <w:tcW w:w="8626" w:type="dxa"/>
            <w:gridSpan w:val="6"/>
            <w:tcBorders>
              <w:top w:val="nil"/>
              <w:left w:val="nil"/>
              <w:bottom w:val="single" w:sz="4" w:space="0" w:color="auto"/>
              <w:right w:val="nil"/>
            </w:tcBorders>
          </w:tcPr>
          <w:p w:rsidR="00F22F06" w:rsidRPr="00BA1CEE" w:rsidP="008337AB" w14:paraId="7E9AE911" w14:textId="4E7ED1F7">
            <w:pPr>
              <w:keepNext/>
              <w:keepLines/>
              <w:rPr>
                <w:rFonts w:ascii="Times New Roman" w:hAnsi="Times New Roman"/>
                <w:color w:val="000000"/>
              </w:rPr>
            </w:pPr>
            <w:r w:rsidRPr="00BA1CEE">
              <w:rPr>
                <w:rFonts w:ascii="Times New Roman" w:hAnsi="Times New Roman"/>
                <w:b/>
                <w:bCs/>
                <w:color w:val="000000"/>
              </w:rPr>
              <w:t>Table 1 – Loaded Wage Used in Analysis, including Overhead Cost</w:t>
            </w:r>
            <w:r w:rsidRPr="00BA1CEE">
              <w:rPr>
                <w:rFonts w:ascii="Times New Roman" w:hAnsi="Times New Roman"/>
                <w:color w:val="000000"/>
                <w:vertAlign w:val="superscript"/>
              </w:rPr>
              <w:t>1</w:t>
            </w:r>
          </w:p>
        </w:tc>
      </w:tr>
      <w:tr w14:paraId="55079C67" w14:textId="77777777" w:rsidTr="00C8733F">
        <w:tblPrEx>
          <w:tblW w:w="9738" w:type="dxa"/>
          <w:jc w:val="center"/>
          <w:tblLook w:val="04A0"/>
        </w:tblPrEx>
        <w:trPr>
          <w:trHeight w:val="300"/>
          <w:jc w:val="center"/>
        </w:trPr>
        <w:tc>
          <w:tcPr>
            <w:tcW w:w="237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F22F06" w:rsidRPr="00BA1CEE" w:rsidP="008337AB" w14:paraId="5CA4D72C" w14:textId="77777777">
            <w:pPr>
              <w:rPr>
                <w:rFonts w:ascii="Times New Roman" w:hAnsi="Times New Roman"/>
                <w:b/>
                <w:bCs/>
                <w:color w:val="000000"/>
              </w:rPr>
            </w:pPr>
            <w:r w:rsidRPr="00BA1CEE">
              <w:rPr>
                <w:rFonts w:ascii="Times New Roman" w:hAnsi="Times New Roman"/>
                <w:b/>
                <w:bCs/>
                <w:color w:val="000000"/>
              </w:rPr>
              <w:t xml:space="preserve"> Occupation Description</w:t>
            </w:r>
          </w:p>
        </w:tc>
        <w:tc>
          <w:tcPr>
            <w:tcW w:w="1615"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F22F06" w:rsidRPr="00BA1CEE" w:rsidP="008337AB" w14:paraId="3ADF94B1" w14:textId="77777777">
            <w:pPr>
              <w:jc w:val="center"/>
              <w:rPr>
                <w:rFonts w:ascii="Times New Roman" w:hAnsi="Times New Roman"/>
                <w:b/>
                <w:bCs/>
                <w:color w:val="000000"/>
              </w:rPr>
            </w:pPr>
            <w:r w:rsidRPr="00BA1CEE">
              <w:rPr>
                <w:rFonts w:ascii="Times New Roman" w:hAnsi="Times New Roman"/>
                <w:b/>
                <w:bCs/>
                <w:color w:val="000000"/>
              </w:rPr>
              <w:t>Occupational Code</w:t>
            </w:r>
          </w:p>
        </w:tc>
        <w:tc>
          <w:tcPr>
            <w:tcW w:w="141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F22F06" w:rsidRPr="00BA1CEE" w:rsidP="008337AB" w14:paraId="425A0B38" w14:textId="2F04550C">
            <w:pPr>
              <w:jc w:val="center"/>
              <w:rPr>
                <w:rFonts w:ascii="Times New Roman" w:hAnsi="Times New Roman"/>
                <w:b/>
                <w:bCs/>
                <w:color w:val="000000"/>
              </w:rPr>
            </w:pPr>
            <w:r w:rsidRPr="00BA1CEE">
              <w:rPr>
                <w:rFonts w:ascii="Times New Roman" w:hAnsi="Times New Roman"/>
                <w:b/>
                <w:bCs/>
                <w:color w:val="000000"/>
              </w:rPr>
              <w:t>Mean Hourly Wage</w:t>
            </w:r>
          </w:p>
        </w:tc>
        <w:tc>
          <w:tcPr>
            <w:tcW w:w="153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F22F06" w:rsidRPr="00BA1CEE" w:rsidP="008337AB" w14:paraId="2EFB608D" w14:textId="13F89432">
            <w:pPr>
              <w:jc w:val="center"/>
              <w:rPr>
                <w:rFonts w:ascii="Times New Roman" w:hAnsi="Times New Roman"/>
                <w:b/>
                <w:bCs/>
                <w:color w:val="000000"/>
              </w:rPr>
            </w:pPr>
            <w:r w:rsidRPr="00BA1CEE">
              <w:rPr>
                <w:rFonts w:ascii="Times New Roman" w:hAnsi="Times New Roman"/>
                <w:b/>
                <w:bCs/>
                <w:color w:val="000000"/>
              </w:rPr>
              <w:t>Fringe Benefit</w:t>
            </w:r>
          </w:p>
        </w:tc>
        <w:tc>
          <w:tcPr>
            <w:tcW w:w="122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F22F06" w:rsidRPr="00BA1CEE" w:rsidP="008337AB" w14:paraId="1F489BB9" w14:textId="5F486B98">
            <w:pPr>
              <w:jc w:val="center"/>
              <w:rPr>
                <w:rFonts w:ascii="Times New Roman" w:hAnsi="Times New Roman"/>
                <w:b/>
                <w:bCs/>
                <w:color w:val="000000"/>
              </w:rPr>
            </w:pPr>
            <w:r w:rsidRPr="00BA1CEE">
              <w:rPr>
                <w:rFonts w:ascii="Times New Roman" w:hAnsi="Times New Roman"/>
                <w:b/>
                <w:bCs/>
                <w:color w:val="000000"/>
              </w:rPr>
              <w:t>Overhead</w:t>
            </w:r>
          </w:p>
        </w:tc>
        <w:tc>
          <w:tcPr>
            <w:tcW w:w="1575"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F22F06" w:rsidRPr="00BA1CEE" w:rsidP="008337AB" w14:paraId="2E581EBF" w14:textId="6D7E3F20">
            <w:pPr>
              <w:jc w:val="center"/>
              <w:rPr>
                <w:rFonts w:ascii="Times New Roman" w:hAnsi="Times New Roman"/>
                <w:b/>
                <w:bCs/>
                <w:color w:val="000000"/>
              </w:rPr>
            </w:pPr>
            <w:r w:rsidRPr="00BA1CEE">
              <w:rPr>
                <w:rFonts w:ascii="Times New Roman" w:hAnsi="Times New Roman"/>
                <w:b/>
                <w:bCs/>
                <w:color w:val="000000"/>
              </w:rPr>
              <w:t>Loaded Wage Rate</w:t>
            </w:r>
          </w:p>
        </w:tc>
      </w:tr>
      <w:tr w14:paraId="0D27D99B" w14:textId="77777777" w:rsidTr="00EB6AA6">
        <w:tblPrEx>
          <w:tblW w:w="9738" w:type="dxa"/>
          <w:jc w:val="center"/>
          <w:tblLook w:val="04A0"/>
        </w:tblPrEx>
        <w:trPr>
          <w:trHeight w:val="345"/>
          <w:jc w:val="center"/>
        </w:trPr>
        <w:tc>
          <w:tcPr>
            <w:tcW w:w="23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F06" w:rsidRPr="00BA1CEE" w:rsidP="008337AB" w14:paraId="72C5B902" w14:textId="77777777">
            <w:pPr>
              <w:rPr>
                <w:rFonts w:ascii="Times New Roman" w:hAnsi="Times New Roman"/>
                <w:color w:val="000000"/>
              </w:rPr>
            </w:pPr>
            <w:r w:rsidRPr="00BA1CEE">
              <w:rPr>
                <w:rFonts w:ascii="Times New Roman" w:hAnsi="Times New Roman"/>
                <w:color w:val="000000"/>
              </w:rPr>
              <w:t>Occupational Health and Safety Specialists</w:t>
            </w:r>
          </w:p>
        </w:tc>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F06" w:rsidRPr="00BA1CEE" w:rsidP="00C50011" w14:paraId="265781B5" w14:textId="77777777">
            <w:pPr>
              <w:jc w:val="center"/>
              <w:rPr>
                <w:rFonts w:ascii="Times New Roman" w:hAnsi="Times New Roman"/>
                <w:color w:val="000000"/>
              </w:rPr>
            </w:pPr>
            <w:r w:rsidRPr="00BA1CEE">
              <w:rPr>
                <w:rFonts w:ascii="Times New Roman" w:hAnsi="Times New Roman"/>
                <w:color w:val="000000"/>
              </w:rPr>
              <w:t>19-5011</w:t>
            </w:r>
            <w:r w:rsidRPr="00BA1CEE">
              <w:rPr>
                <w:rFonts w:ascii="Times New Roman" w:hAnsi="Times New Roman"/>
                <w:color w:val="000000"/>
                <w:vertAlign w:val="superscript"/>
              </w:rPr>
              <w:t>2</w:t>
            </w:r>
          </w:p>
        </w:tc>
        <w:tc>
          <w:tcPr>
            <w:tcW w:w="1413" w:type="dxa"/>
            <w:tcBorders>
              <w:top w:val="single" w:sz="4" w:space="0" w:color="auto"/>
              <w:left w:val="single" w:sz="4" w:space="0" w:color="auto"/>
              <w:bottom w:val="single" w:sz="4" w:space="0" w:color="auto"/>
              <w:right w:val="single" w:sz="4" w:space="0" w:color="auto"/>
            </w:tcBorders>
            <w:vAlign w:val="center"/>
          </w:tcPr>
          <w:p w:rsidR="00F22F06" w:rsidRPr="00BA1CEE" w:rsidP="00F22F06" w14:paraId="61639F26" w14:textId="3DC47BC0">
            <w:pPr>
              <w:jc w:val="center"/>
              <w:rPr>
                <w:rFonts w:ascii="Times New Roman" w:hAnsi="Times New Roman"/>
                <w:color w:val="000000"/>
              </w:rPr>
            </w:pPr>
            <w:r w:rsidRPr="00BA1CEE">
              <w:rPr>
                <w:rFonts w:ascii="Times New Roman" w:hAnsi="Times New Roman"/>
                <w:color w:val="000000"/>
              </w:rPr>
              <w:t>$</w:t>
            </w:r>
            <w:r w:rsidRPr="00BA1CEE" w:rsidR="00D736D2">
              <w:rPr>
                <w:rFonts w:ascii="Times New Roman" w:hAnsi="Times New Roman"/>
                <w:color w:val="000000"/>
              </w:rPr>
              <w:t>37.86</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2F06" w:rsidRPr="00BA1CEE" w:rsidP="00C50011" w14:paraId="33B6DD4D" w14:textId="7B45D922">
            <w:pPr>
              <w:jc w:val="center"/>
              <w:rPr>
                <w:rFonts w:ascii="Times New Roman" w:hAnsi="Times New Roman"/>
                <w:color w:val="000000"/>
              </w:rPr>
            </w:pPr>
            <w:r w:rsidRPr="00BA1CEE">
              <w:rPr>
                <w:rFonts w:ascii="Times New Roman" w:hAnsi="Times New Roman"/>
                <w:color w:val="000000"/>
              </w:rPr>
              <w:t>1.4493</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2F06" w:rsidRPr="00BA1CEE" w:rsidP="00C50011" w14:paraId="734BCEAE" w14:textId="7058B0C3">
            <w:pPr>
              <w:jc w:val="center"/>
              <w:rPr>
                <w:rFonts w:ascii="Times New Roman" w:hAnsi="Times New Roman"/>
                <w:color w:val="000000"/>
              </w:rPr>
            </w:pPr>
            <w:r w:rsidRPr="00BA1CEE">
              <w:rPr>
                <w:rFonts w:ascii="Times New Roman" w:hAnsi="Times New Roman"/>
                <w:color w:val="000000"/>
              </w:rPr>
              <w:t>17%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F06" w:rsidRPr="00BA1CEE" w:rsidP="00C50011" w14:paraId="0617B986" w14:textId="41A7F56C">
            <w:pPr>
              <w:jc w:val="center"/>
              <w:rPr>
                <w:rFonts w:ascii="Times New Roman" w:hAnsi="Times New Roman"/>
                <w:color w:val="000000"/>
              </w:rPr>
            </w:pPr>
            <w:r w:rsidRPr="00BA1CEE">
              <w:rPr>
                <w:rFonts w:ascii="Times New Roman" w:hAnsi="Times New Roman"/>
                <w:color w:val="000000"/>
              </w:rPr>
              <w:t>$</w:t>
            </w:r>
            <w:r w:rsidRPr="00BA1CEE" w:rsidR="00C05D49">
              <w:rPr>
                <w:rFonts w:ascii="Times New Roman" w:hAnsi="Times New Roman"/>
                <w:color w:val="000000"/>
              </w:rPr>
              <w:t>61.31</w:t>
            </w:r>
          </w:p>
        </w:tc>
      </w:tr>
      <w:tr w14:paraId="2A8511E2" w14:textId="77777777" w:rsidTr="00EB6AA6">
        <w:tblPrEx>
          <w:tblW w:w="9738" w:type="dxa"/>
          <w:jc w:val="center"/>
          <w:tblLook w:val="04A0"/>
        </w:tblPrEx>
        <w:trPr>
          <w:trHeight w:val="345"/>
          <w:jc w:val="center"/>
        </w:trPr>
        <w:tc>
          <w:tcPr>
            <w:tcW w:w="23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C5029" w:rsidRPr="00BA1CEE" w:rsidP="007C5029" w14:paraId="717DBC25" w14:textId="5B1CFA92">
            <w:pPr>
              <w:rPr>
                <w:rFonts w:ascii="Times New Roman" w:hAnsi="Times New Roman"/>
                <w:color w:val="000000"/>
              </w:rPr>
            </w:pPr>
            <w:r w:rsidRPr="00BA1CEE">
              <w:rPr>
                <w:rFonts w:ascii="Times New Roman" w:hAnsi="Times New Roman"/>
                <w:color w:val="000000"/>
              </w:rPr>
              <w:t>Software Developers</w:t>
            </w:r>
          </w:p>
        </w:tc>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029" w:rsidRPr="00BA1CEE" w:rsidP="007C5029" w14:paraId="7FA7DC83" w14:textId="7EC432F3">
            <w:pPr>
              <w:jc w:val="center"/>
              <w:rPr>
                <w:rFonts w:ascii="Times New Roman" w:hAnsi="Times New Roman"/>
                <w:color w:val="000000"/>
              </w:rPr>
            </w:pPr>
            <w:r w:rsidRPr="00BA1CEE">
              <w:rPr>
                <w:rFonts w:ascii="Times New Roman" w:hAnsi="Times New Roman"/>
                <w:color w:val="000000"/>
              </w:rPr>
              <w:t>15-1252</w:t>
            </w:r>
          </w:p>
        </w:tc>
        <w:tc>
          <w:tcPr>
            <w:tcW w:w="1413" w:type="dxa"/>
            <w:tcBorders>
              <w:top w:val="single" w:sz="4" w:space="0" w:color="auto"/>
              <w:left w:val="single" w:sz="4" w:space="0" w:color="auto"/>
              <w:bottom w:val="single" w:sz="4" w:space="0" w:color="auto"/>
              <w:right w:val="single" w:sz="4" w:space="0" w:color="auto"/>
            </w:tcBorders>
            <w:vAlign w:val="center"/>
          </w:tcPr>
          <w:p w:rsidR="007C5029" w:rsidRPr="00BA1CEE" w:rsidP="007C5029" w14:paraId="65C37E35" w14:textId="4208E3BC">
            <w:pPr>
              <w:jc w:val="center"/>
              <w:rPr>
                <w:rFonts w:ascii="Times New Roman" w:hAnsi="Times New Roman"/>
                <w:color w:val="000000"/>
              </w:rPr>
            </w:pPr>
            <w:r w:rsidRPr="00BA1CEE">
              <w:rPr>
                <w:rFonts w:ascii="Times New Roman" w:hAnsi="Times New Roman"/>
                <w:color w:val="000000"/>
              </w:rPr>
              <w:t>$</w:t>
            </w:r>
            <w:r w:rsidRPr="00BA1CEE" w:rsidR="001B1137">
              <w:rPr>
                <w:rFonts w:ascii="Times New Roman" w:hAnsi="Times New Roman"/>
                <w:color w:val="000000"/>
              </w:rPr>
              <w:t>58.17</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5029" w:rsidRPr="00BA1CEE" w:rsidP="007C5029" w14:paraId="17CD9165" w14:textId="6AEAA928">
            <w:pPr>
              <w:jc w:val="center"/>
              <w:rPr>
                <w:rFonts w:ascii="Times New Roman" w:hAnsi="Times New Roman"/>
                <w:color w:val="000000"/>
              </w:rPr>
            </w:pPr>
            <w:r w:rsidRPr="00BA1CEE">
              <w:rPr>
                <w:rFonts w:ascii="Times New Roman" w:hAnsi="Times New Roman"/>
                <w:color w:val="000000"/>
              </w:rPr>
              <w:t>1.4493</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5029" w:rsidRPr="00BA1CEE" w:rsidP="007C5029" w14:paraId="444F96E0" w14:textId="476847DC">
            <w:pPr>
              <w:jc w:val="center"/>
              <w:rPr>
                <w:rFonts w:ascii="Times New Roman" w:hAnsi="Times New Roman"/>
                <w:color w:val="000000"/>
              </w:rPr>
            </w:pPr>
            <w:r w:rsidRPr="00BA1CEE">
              <w:rPr>
                <w:rFonts w:ascii="Times New Roman" w:hAnsi="Times New Roman"/>
                <w:color w:val="000000"/>
              </w:rPr>
              <w:t>17%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029" w:rsidRPr="00BA1CEE" w:rsidP="007C5029" w14:paraId="3C5BD848" w14:textId="66A72251">
            <w:pPr>
              <w:jc w:val="center"/>
              <w:rPr>
                <w:rFonts w:ascii="Times New Roman" w:hAnsi="Times New Roman"/>
                <w:color w:val="000000"/>
              </w:rPr>
            </w:pPr>
            <w:r w:rsidRPr="00BA1CEE">
              <w:rPr>
                <w:rFonts w:ascii="Times New Roman" w:hAnsi="Times New Roman"/>
                <w:color w:val="000000"/>
              </w:rPr>
              <w:t>$94.19</w:t>
            </w:r>
          </w:p>
        </w:tc>
      </w:tr>
      <w:tr w14:paraId="13E99DE6" w14:textId="77777777" w:rsidTr="00EB6AA6">
        <w:tblPrEx>
          <w:tblW w:w="9738" w:type="dxa"/>
          <w:jc w:val="center"/>
          <w:tblLook w:val="04A0"/>
        </w:tblPrEx>
        <w:trPr>
          <w:trHeight w:val="300"/>
          <w:jc w:val="center"/>
        </w:trPr>
        <w:tc>
          <w:tcPr>
            <w:tcW w:w="1112" w:type="dxa"/>
            <w:tcBorders>
              <w:top w:val="single" w:sz="4" w:space="0" w:color="auto"/>
              <w:left w:val="nil"/>
              <w:bottom w:val="nil"/>
              <w:right w:val="nil"/>
            </w:tcBorders>
          </w:tcPr>
          <w:p w:rsidR="00F22F06" w:rsidRPr="00BA1CEE" w:rsidP="008337AB" w14:paraId="590D1FDC" w14:textId="77777777">
            <w:pPr>
              <w:rPr>
                <w:rFonts w:ascii="Times New Roman" w:hAnsi="Times New Roman"/>
                <w:color w:val="000000"/>
              </w:rPr>
            </w:pPr>
          </w:p>
        </w:tc>
        <w:tc>
          <w:tcPr>
            <w:tcW w:w="8626" w:type="dxa"/>
            <w:gridSpan w:val="6"/>
            <w:tcBorders>
              <w:top w:val="single" w:sz="4" w:space="0" w:color="auto"/>
              <w:left w:val="nil"/>
              <w:bottom w:val="nil"/>
              <w:right w:val="nil"/>
            </w:tcBorders>
          </w:tcPr>
          <w:p w:rsidR="00F22F06" w:rsidRPr="00BA1CEE" w:rsidP="008337AB" w14:paraId="28A9C4A4" w14:textId="1E62B4AB">
            <w:pPr>
              <w:rPr>
                <w:rFonts w:ascii="Times New Roman" w:hAnsi="Times New Roman"/>
                <w:color w:val="000000"/>
              </w:rPr>
            </w:pPr>
            <w:r w:rsidRPr="00BA1CEE">
              <w:rPr>
                <w:rFonts w:ascii="Times New Roman" w:hAnsi="Times New Roman"/>
                <w:color w:val="000000"/>
              </w:rPr>
              <w:t>1. Source: OSHA, based on BLS (May 202</w:t>
            </w:r>
            <w:r w:rsidRPr="00BA1CEE" w:rsidR="00F54ACD">
              <w:rPr>
                <w:rFonts w:ascii="Times New Roman" w:hAnsi="Times New Roman"/>
                <w:color w:val="000000"/>
              </w:rPr>
              <w:t>1</w:t>
            </w:r>
            <w:r w:rsidRPr="00BA1CEE">
              <w:rPr>
                <w:rFonts w:ascii="Times New Roman" w:hAnsi="Times New Roman"/>
                <w:color w:val="000000"/>
              </w:rPr>
              <w:t>) and BLS (</w:t>
            </w:r>
            <w:r w:rsidRPr="00BA1CEE" w:rsidR="00F54ACD">
              <w:rPr>
                <w:rFonts w:ascii="Times New Roman" w:hAnsi="Times New Roman"/>
                <w:color w:val="000000"/>
              </w:rPr>
              <w:t>March 31, 2022</w:t>
            </w:r>
            <w:r w:rsidRPr="00BA1CEE">
              <w:rPr>
                <w:rFonts w:ascii="Times New Roman" w:hAnsi="Times New Roman"/>
                <w:color w:val="000000"/>
              </w:rPr>
              <w:t>)</w:t>
            </w:r>
          </w:p>
        </w:tc>
      </w:tr>
      <w:tr w14:paraId="3B57D806" w14:textId="77777777" w:rsidTr="00EB6AA6">
        <w:tblPrEx>
          <w:tblW w:w="9738" w:type="dxa"/>
          <w:jc w:val="center"/>
          <w:tblLook w:val="04A0"/>
        </w:tblPrEx>
        <w:trPr>
          <w:trHeight w:val="915"/>
          <w:jc w:val="center"/>
        </w:trPr>
        <w:tc>
          <w:tcPr>
            <w:tcW w:w="1112" w:type="dxa"/>
            <w:tcBorders>
              <w:top w:val="nil"/>
              <w:left w:val="nil"/>
              <w:bottom w:val="nil"/>
              <w:right w:val="nil"/>
            </w:tcBorders>
          </w:tcPr>
          <w:p w:rsidR="00F22F06" w:rsidRPr="00BA1CEE" w:rsidP="008337AB" w14:paraId="03BD71C0" w14:textId="77777777">
            <w:pPr>
              <w:rPr>
                <w:rFonts w:ascii="Times New Roman" w:hAnsi="Times New Roman"/>
                <w:color w:val="000000"/>
              </w:rPr>
            </w:pPr>
          </w:p>
        </w:tc>
        <w:tc>
          <w:tcPr>
            <w:tcW w:w="8626" w:type="dxa"/>
            <w:gridSpan w:val="6"/>
            <w:tcBorders>
              <w:top w:val="nil"/>
              <w:left w:val="nil"/>
              <w:bottom w:val="nil"/>
              <w:right w:val="nil"/>
            </w:tcBorders>
          </w:tcPr>
          <w:p w:rsidR="00AE7E34" w:rsidRPr="00BA1CEE" w:rsidP="008337AB" w14:paraId="045B3DA0" w14:textId="4BB9B75F">
            <w:pPr>
              <w:rPr>
                <w:rFonts w:ascii="Times New Roman" w:hAnsi="Times New Roman"/>
                <w:color w:val="000000"/>
              </w:rPr>
            </w:pPr>
            <w:r w:rsidRPr="00BA1CEE">
              <w:rPr>
                <w:rFonts w:ascii="Times New Roman" w:hAnsi="Times New Roman"/>
                <w:color w:val="000000"/>
              </w:rPr>
              <w:t xml:space="preserve">2. OMB issued revised SOC codes in 2017, changing SOC 29-9011 to SOC 19-5011. The 2010 SOC to the 2018 SOC crosswalk can be downloaded here (accessed </w:t>
            </w:r>
            <w:r w:rsidRPr="00BA1CEE" w:rsidR="00F54ACD">
              <w:rPr>
                <w:rFonts w:ascii="Times New Roman" w:hAnsi="Times New Roman"/>
                <w:color w:val="000000"/>
              </w:rPr>
              <w:t>February 20, 2023</w:t>
            </w:r>
            <w:r w:rsidRPr="00BA1CEE">
              <w:rPr>
                <w:rFonts w:ascii="Times New Roman" w:hAnsi="Times New Roman"/>
                <w:color w:val="000000"/>
              </w:rPr>
              <w:t xml:space="preserve">): </w:t>
            </w:r>
            <w:r w:rsidRPr="00BA1CEE">
              <w:rPr>
                <w:rFonts w:ascii="Times New Roman" w:hAnsi="Times New Roman"/>
                <w:i/>
              </w:rPr>
              <w:t>https://www.bls.gov/soc/2018/crosswalks_used_by_agencies.htm</w:t>
            </w:r>
            <w:r w:rsidRPr="00BA1CEE">
              <w:rPr>
                <w:rStyle w:val="Hyperlink"/>
                <w:rFonts w:ascii="Times New Roman" w:hAnsi="Times New Roman"/>
              </w:rPr>
              <w:t>.</w:t>
            </w:r>
            <w:r w:rsidRPr="00BA1CEE">
              <w:rPr>
                <w:rFonts w:ascii="Times New Roman" w:hAnsi="Times New Roman"/>
                <w:color w:val="000000"/>
              </w:rPr>
              <w:t xml:space="preserve"> </w:t>
            </w:r>
          </w:p>
        </w:tc>
      </w:tr>
    </w:tbl>
    <w:p w:rsidR="00543D83" w:rsidRPr="00BA1CEE" w:rsidP="00BB6001" w14:paraId="1EA7153A" w14:textId="10E6FFB4">
      <w:pPr>
        <w:rPr>
          <w:rFonts w:ascii="Times New Roman" w:hAnsi="Times New Roman"/>
        </w:rPr>
      </w:pPr>
    </w:p>
    <w:p w:rsidR="00821C18" w:rsidRPr="00BA1CEE" w:rsidP="00821C18" w14:paraId="778A4F98" w14:textId="77777777">
      <w:pPr>
        <w:pStyle w:val="HTMLPreformatted"/>
        <w:tabs>
          <w:tab w:val="left" w:pos="720"/>
          <w:tab w:val="clear" w:pos="916"/>
        </w:tabs>
        <w:rPr>
          <w:rFonts w:ascii="Times New Roman" w:hAnsi="Times New Roman" w:cs="Times New Roman"/>
          <w:b/>
          <w:bCs/>
          <w:sz w:val="24"/>
          <w:szCs w:val="24"/>
        </w:rPr>
      </w:pPr>
      <w:r w:rsidRPr="00BA1CEE">
        <w:rPr>
          <w:rFonts w:ascii="Times New Roman" w:hAnsi="Times New Roman" w:cs="Times New Roman"/>
          <w:b/>
          <w:bCs/>
          <w:sz w:val="24"/>
          <w:szCs w:val="24"/>
        </w:rPr>
        <w:t>The burden hours and cost determinations for recordkeeping and reporting are as follows:</w:t>
      </w:r>
    </w:p>
    <w:p w:rsidR="00167590" w:rsidRPr="00BA1CEE" w:rsidP="00BB6001" w14:paraId="160C330F" w14:textId="77777777">
      <w:pPr>
        <w:rPr>
          <w:rFonts w:ascii="Times New Roman" w:hAnsi="Times New Roman"/>
          <w:b/>
          <w:bCs/>
        </w:rPr>
      </w:pPr>
    </w:p>
    <w:p w:rsidR="002112C4" w:rsidRPr="00BA1CEE" w:rsidP="00BB6001" w14:paraId="08E70804" w14:textId="31947DCC">
      <w:pPr>
        <w:rPr>
          <w:rFonts w:ascii="Times New Roman" w:hAnsi="Times New Roman"/>
        </w:rPr>
      </w:pPr>
      <w:r w:rsidRPr="00BA1CEE">
        <w:rPr>
          <w:rFonts w:ascii="Times New Roman" w:hAnsi="Times New Roman"/>
        </w:rPr>
        <w:t xml:space="preserve">The recordkeeping burden </w:t>
      </w:r>
      <w:r w:rsidRPr="00BA1CEE" w:rsidR="001A2D64">
        <w:rPr>
          <w:rFonts w:ascii="Times New Roman" w:hAnsi="Times New Roman"/>
        </w:rPr>
        <w:t xml:space="preserve">imposed by the </w:t>
      </w:r>
      <w:r w:rsidRPr="00BA1CEE" w:rsidR="008B3AFE">
        <w:rPr>
          <w:rFonts w:ascii="Times New Roman" w:hAnsi="Times New Roman"/>
        </w:rPr>
        <w:t xml:space="preserve">electronic submission </w:t>
      </w:r>
      <w:r w:rsidRPr="00BA1CEE" w:rsidR="001A2D64">
        <w:rPr>
          <w:rFonts w:ascii="Times New Roman" w:hAnsi="Times New Roman"/>
        </w:rPr>
        <w:t xml:space="preserve">requirements will </w:t>
      </w:r>
      <w:r w:rsidRPr="00BA1CEE">
        <w:rPr>
          <w:rFonts w:ascii="Times New Roman" w:hAnsi="Times New Roman"/>
        </w:rPr>
        <w:t>var</w:t>
      </w:r>
      <w:r w:rsidRPr="00BA1CEE" w:rsidR="001A2D64">
        <w:rPr>
          <w:rFonts w:ascii="Times New Roman" w:hAnsi="Times New Roman"/>
        </w:rPr>
        <w:t>y</w:t>
      </w:r>
      <w:r w:rsidRPr="00BA1CEE">
        <w:rPr>
          <w:rFonts w:ascii="Times New Roman" w:hAnsi="Times New Roman"/>
        </w:rPr>
        <w:t xml:space="preserve"> greatly from establishment</w:t>
      </w:r>
      <w:r w:rsidRPr="00BA1CEE" w:rsidR="00E96F05">
        <w:rPr>
          <w:rFonts w:ascii="Times New Roman" w:hAnsi="Times New Roman"/>
        </w:rPr>
        <w:t xml:space="preserve"> </w:t>
      </w:r>
      <w:r w:rsidRPr="00BA1CEE">
        <w:rPr>
          <w:rFonts w:ascii="Times New Roman" w:hAnsi="Times New Roman"/>
        </w:rPr>
        <w:t>to</w:t>
      </w:r>
      <w:r w:rsidRPr="00BA1CEE" w:rsidR="00E96F05">
        <w:rPr>
          <w:rFonts w:ascii="Times New Roman" w:hAnsi="Times New Roman"/>
        </w:rPr>
        <w:t xml:space="preserve"> </w:t>
      </w:r>
      <w:r w:rsidRPr="00BA1CEE">
        <w:rPr>
          <w:rFonts w:ascii="Times New Roman" w:hAnsi="Times New Roman"/>
        </w:rPr>
        <w:t xml:space="preserve">establishment, depending upon </w:t>
      </w:r>
      <w:r w:rsidRPr="00BA1CEE" w:rsidR="001A2D64">
        <w:rPr>
          <w:rFonts w:ascii="Times New Roman" w:hAnsi="Times New Roman"/>
        </w:rPr>
        <w:t>the number of recordable injuries and illnesses that have occurred at the establishment</w:t>
      </w:r>
      <w:r w:rsidRPr="00BA1CEE" w:rsidR="002F424A">
        <w:rPr>
          <w:rFonts w:ascii="Times New Roman" w:hAnsi="Times New Roman"/>
        </w:rPr>
        <w:t xml:space="preserve">. </w:t>
      </w:r>
      <w:r w:rsidRPr="00BA1CEE" w:rsidR="001A2D64">
        <w:rPr>
          <w:rFonts w:ascii="Times New Roman" w:hAnsi="Times New Roman"/>
        </w:rPr>
        <w:t xml:space="preserve"> </w:t>
      </w:r>
      <w:r w:rsidRPr="00BA1CEE" w:rsidR="00497E78">
        <w:rPr>
          <w:rFonts w:ascii="Times New Roman" w:hAnsi="Times New Roman"/>
        </w:rPr>
        <w:t xml:space="preserve">For example, </w:t>
      </w:r>
      <w:r w:rsidRPr="00BA1CEE">
        <w:rPr>
          <w:rFonts w:ascii="Times New Roman" w:hAnsi="Times New Roman"/>
        </w:rPr>
        <w:t xml:space="preserve">an establishment </w:t>
      </w:r>
      <w:r w:rsidRPr="00BA1CEE" w:rsidR="001A2D64">
        <w:rPr>
          <w:rFonts w:ascii="Times New Roman" w:hAnsi="Times New Roman"/>
        </w:rPr>
        <w:t xml:space="preserve">may </w:t>
      </w:r>
      <w:r w:rsidRPr="00BA1CEE">
        <w:rPr>
          <w:rFonts w:ascii="Times New Roman" w:hAnsi="Times New Roman"/>
        </w:rPr>
        <w:t>have 20 recordable cases in one year requiring 20</w:t>
      </w:r>
      <w:r w:rsidRPr="00BA1CEE" w:rsidR="001A2D64">
        <w:rPr>
          <w:rFonts w:ascii="Times New Roman" w:hAnsi="Times New Roman"/>
        </w:rPr>
        <w:t xml:space="preserve"> entries i</w:t>
      </w:r>
      <w:r w:rsidRPr="00BA1CEE">
        <w:rPr>
          <w:rFonts w:ascii="Times New Roman" w:hAnsi="Times New Roman"/>
        </w:rPr>
        <w:t xml:space="preserve">n the OSHA </w:t>
      </w:r>
      <w:r w:rsidRPr="00BA1CEE" w:rsidR="001A2D64">
        <w:rPr>
          <w:rFonts w:ascii="Times New Roman" w:hAnsi="Times New Roman"/>
        </w:rPr>
        <w:t>Injury Tracking Application (ITA)</w:t>
      </w:r>
      <w:r w:rsidRPr="00BA1CEE">
        <w:rPr>
          <w:rFonts w:ascii="Times New Roman" w:hAnsi="Times New Roman"/>
        </w:rPr>
        <w:t xml:space="preserve">, while </w:t>
      </w:r>
      <w:r w:rsidRPr="00BA1CEE" w:rsidR="001A2D64">
        <w:rPr>
          <w:rFonts w:ascii="Times New Roman" w:hAnsi="Times New Roman"/>
        </w:rPr>
        <w:t>another</w:t>
      </w:r>
      <w:r w:rsidRPr="00BA1CEE">
        <w:rPr>
          <w:rFonts w:ascii="Times New Roman" w:hAnsi="Times New Roman"/>
        </w:rPr>
        <w:t xml:space="preserve"> establishment </w:t>
      </w:r>
      <w:r w:rsidRPr="00BA1CEE" w:rsidR="001A2D64">
        <w:rPr>
          <w:rFonts w:ascii="Times New Roman" w:hAnsi="Times New Roman"/>
        </w:rPr>
        <w:t>may have had zero</w:t>
      </w:r>
      <w:r w:rsidRPr="00BA1CEE">
        <w:rPr>
          <w:rFonts w:ascii="Times New Roman" w:hAnsi="Times New Roman"/>
        </w:rPr>
        <w:t xml:space="preserve"> recordable cases</w:t>
      </w:r>
      <w:r w:rsidRPr="00BA1CEE" w:rsidR="000531E2">
        <w:rPr>
          <w:rFonts w:ascii="Times New Roman" w:hAnsi="Times New Roman"/>
        </w:rPr>
        <w:t xml:space="preserve"> for the year and thus have no cases to enter</w:t>
      </w:r>
      <w:r w:rsidRPr="00BA1CEE">
        <w:rPr>
          <w:rFonts w:ascii="Times New Roman" w:hAnsi="Times New Roman"/>
        </w:rPr>
        <w:t xml:space="preserve">. </w:t>
      </w:r>
      <w:r w:rsidRPr="00BA1CEE" w:rsidR="000531E2">
        <w:rPr>
          <w:rFonts w:ascii="Times New Roman" w:hAnsi="Times New Roman"/>
        </w:rPr>
        <w:t xml:space="preserve"> The burden will also vary greatly depending on the method used to submit the required data.  Data entry using the web forms will generally require more time th</w:t>
      </w:r>
      <w:r w:rsidRPr="00BA1CEE" w:rsidR="00730B28">
        <w:rPr>
          <w:rFonts w:ascii="Times New Roman" w:hAnsi="Times New Roman"/>
        </w:rPr>
        <w:t>a</w:t>
      </w:r>
      <w:r w:rsidRPr="00BA1CEE" w:rsidR="000531E2">
        <w:rPr>
          <w:rFonts w:ascii="Times New Roman" w:hAnsi="Times New Roman"/>
        </w:rPr>
        <w:t>n submission by batch file or API.</w:t>
      </w:r>
    </w:p>
    <w:p w:rsidR="00E05641" w:rsidRPr="00BA1CEE" w:rsidP="00BB6001" w14:paraId="222B36E1" w14:textId="77777777">
      <w:pPr>
        <w:rPr>
          <w:rFonts w:ascii="Times New Roman" w:hAnsi="Times New Roman"/>
        </w:rPr>
      </w:pPr>
    </w:p>
    <w:p w:rsidR="00BB6001" w:rsidRPr="00BA1CEE" w:rsidP="00D5044F" w14:paraId="6EE51CC5" w14:textId="28AABC13">
      <w:pPr>
        <w:rPr>
          <w:rFonts w:ascii="Times New Roman" w:hAnsi="Times New Roman"/>
        </w:rPr>
      </w:pPr>
      <w:r w:rsidRPr="00BA1CEE">
        <w:rPr>
          <w:rFonts w:ascii="Times New Roman" w:hAnsi="Times New Roman"/>
        </w:rPr>
        <w:t>Case estimates for the reporting requirements are based on 2019 Injury Tracking Application data.</w:t>
      </w:r>
    </w:p>
    <w:p w:rsidR="002112C4" w:rsidRPr="00BA1CEE" w:rsidP="00BB6001" w14:paraId="668D92E5" w14:textId="77777777">
      <w:pPr>
        <w:rPr>
          <w:rFonts w:ascii="Times New Roman" w:hAnsi="Times New Roman"/>
        </w:rPr>
      </w:pPr>
      <w:r w:rsidRPr="00BA1CEE">
        <w:rPr>
          <w:rFonts w:ascii="Times New Roman" w:hAnsi="Times New Roman"/>
        </w:rPr>
        <w:t xml:space="preserve">  </w:t>
      </w:r>
    </w:p>
    <w:p w:rsidR="002112C4" w:rsidRPr="00BA1CEE" w:rsidP="00BB6001" w14:paraId="60495998" w14:textId="77777777">
      <w:pPr>
        <w:spacing w:line="480" w:lineRule="auto"/>
        <w:rPr>
          <w:rFonts w:ascii="Times New Roman" w:hAnsi="Times New Roman"/>
        </w:rPr>
      </w:pPr>
      <w:r w:rsidRPr="00BA1CEE">
        <w:rPr>
          <w:rFonts w:ascii="Times New Roman" w:hAnsi="Times New Roman"/>
        </w:rPr>
        <w:t>OSHA used t</w:t>
      </w:r>
      <w:r w:rsidRPr="00BA1CEE">
        <w:rPr>
          <w:rFonts w:ascii="Times New Roman" w:hAnsi="Times New Roman"/>
        </w:rPr>
        <w:t xml:space="preserve">he following assumptions to develop the burden estimates: </w:t>
      </w:r>
    </w:p>
    <w:p w:rsidR="00E3566B" w:rsidRPr="00BA1CEE" w:rsidP="00650A13" w14:paraId="33F79627" w14:textId="0028D2F9">
      <w:pPr>
        <w:widowControl/>
        <w:autoSpaceDE/>
        <w:autoSpaceDN/>
        <w:adjustRightInd/>
        <w:rPr>
          <w:rFonts w:ascii="Times New Roman" w:hAnsi="Times New Roman"/>
        </w:rPr>
      </w:pPr>
      <w:r w:rsidRPr="00BA1CEE">
        <w:rPr>
          <w:rFonts w:ascii="Times New Roman" w:hAnsi="Times New Roman"/>
        </w:rPr>
        <w:t>Paragraph</w:t>
      </w:r>
      <w:r w:rsidRPr="00BA1CEE" w:rsidR="00125444">
        <w:rPr>
          <w:rFonts w:ascii="Times New Roman" w:hAnsi="Times New Roman"/>
        </w:rPr>
        <w:t xml:space="preserve"> </w:t>
      </w:r>
      <w:r w:rsidRPr="00BA1CEE">
        <w:rPr>
          <w:rFonts w:ascii="Times New Roman" w:hAnsi="Times New Roman"/>
        </w:rPr>
        <w:t>1904.41(a)(</w:t>
      </w:r>
      <w:r w:rsidRPr="00BA1CEE" w:rsidR="000B1085">
        <w:rPr>
          <w:rFonts w:ascii="Times New Roman" w:hAnsi="Times New Roman"/>
        </w:rPr>
        <w:t>2</w:t>
      </w:r>
      <w:r w:rsidRPr="00BA1CEE" w:rsidR="00204E22">
        <w:rPr>
          <w:rFonts w:ascii="Times New Roman" w:hAnsi="Times New Roman"/>
        </w:rPr>
        <w:t>)</w:t>
      </w:r>
      <w:r w:rsidRPr="00BA1CEE">
        <w:rPr>
          <w:rFonts w:ascii="Times New Roman" w:hAnsi="Times New Roman"/>
        </w:rPr>
        <w:t xml:space="preserve"> </w:t>
      </w:r>
      <w:r w:rsidRPr="00BA1CEE" w:rsidR="00125444">
        <w:rPr>
          <w:rFonts w:ascii="Times New Roman" w:hAnsi="Times New Roman"/>
        </w:rPr>
        <w:t xml:space="preserve">of the final rule </w:t>
      </w:r>
      <w:r w:rsidRPr="00BA1CEE">
        <w:rPr>
          <w:rFonts w:ascii="Times New Roman" w:hAnsi="Times New Roman"/>
        </w:rPr>
        <w:t>require</w:t>
      </w:r>
      <w:r w:rsidRPr="00BA1CEE" w:rsidR="00204E22">
        <w:rPr>
          <w:rFonts w:ascii="Times New Roman" w:hAnsi="Times New Roman"/>
        </w:rPr>
        <w:t>s</w:t>
      </w:r>
      <w:r w:rsidRPr="00BA1CEE">
        <w:rPr>
          <w:rFonts w:ascii="Times New Roman" w:hAnsi="Times New Roman"/>
        </w:rPr>
        <w:t xml:space="preserve"> establishments with </w:t>
      </w:r>
      <w:r w:rsidRPr="00BA1CEE" w:rsidR="009D692E">
        <w:rPr>
          <w:rFonts w:ascii="Times New Roman" w:hAnsi="Times New Roman"/>
        </w:rPr>
        <w:t>100 or more</w:t>
      </w:r>
      <w:r w:rsidRPr="00BA1CEE" w:rsidR="004214ED">
        <w:rPr>
          <w:rFonts w:ascii="Times New Roman" w:hAnsi="Times New Roman"/>
        </w:rPr>
        <w:t xml:space="preserve"> </w:t>
      </w:r>
      <w:r w:rsidRPr="00BA1CEE">
        <w:rPr>
          <w:rFonts w:ascii="Times New Roman" w:hAnsi="Times New Roman"/>
        </w:rPr>
        <w:t>employees in certain high</w:t>
      </w:r>
      <w:r w:rsidRPr="00BA1CEE" w:rsidR="00DB3B34">
        <w:rPr>
          <w:rFonts w:ascii="Times New Roman" w:hAnsi="Times New Roman"/>
        </w:rPr>
        <w:t>-</w:t>
      </w:r>
      <w:r w:rsidRPr="00BA1CEE">
        <w:rPr>
          <w:rFonts w:ascii="Times New Roman" w:hAnsi="Times New Roman"/>
        </w:rPr>
        <w:t>risk industries</w:t>
      </w:r>
      <w:r w:rsidRPr="00BA1CEE" w:rsidR="0073567F">
        <w:rPr>
          <w:rFonts w:ascii="Times New Roman" w:hAnsi="Times New Roman"/>
        </w:rPr>
        <w:t xml:space="preserve"> covered by Appendix B</w:t>
      </w:r>
      <w:r w:rsidRPr="00BA1CEE">
        <w:rPr>
          <w:rFonts w:ascii="Times New Roman" w:hAnsi="Times New Roman"/>
        </w:rPr>
        <w:t xml:space="preserve"> to electronically send their </w:t>
      </w:r>
      <w:r w:rsidRPr="00BA1CEE" w:rsidR="009D692E">
        <w:rPr>
          <w:rFonts w:ascii="Times New Roman" w:hAnsi="Times New Roman"/>
        </w:rPr>
        <w:t xml:space="preserve">OSHA 300 and 301 </w:t>
      </w:r>
      <w:r w:rsidRPr="00BA1CEE">
        <w:rPr>
          <w:rFonts w:ascii="Times New Roman" w:hAnsi="Times New Roman"/>
        </w:rPr>
        <w:t>Form</w:t>
      </w:r>
      <w:r w:rsidRPr="00BA1CEE" w:rsidR="009D692E">
        <w:rPr>
          <w:rFonts w:ascii="Times New Roman" w:hAnsi="Times New Roman"/>
        </w:rPr>
        <w:t xml:space="preserve">s, in addition to </w:t>
      </w:r>
      <w:r w:rsidRPr="00BA1CEE" w:rsidR="00CF5019">
        <w:rPr>
          <w:rFonts w:ascii="Times New Roman" w:hAnsi="Times New Roman"/>
        </w:rPr>
        <w:t xml:space="preserve">the </w:t>
      </w:r>
      <w:r w:rsidRPr="00BA1CEE" w:rsidR="00CF5019">
        <w:rPr>
          <w:rFonts w:ascii="Times New Roman" w:hAnsi="Times New Roman"/>
        </w:rPr>
        <w:t>already-required</w:t>
      </w:r>
      <w:r w:rsidRPr="00BA1CEE" w:rsidR="00CF5019">
        <w:rPr>
          <w:rFonts w:ascii="Times New Roman" w:hAnsi="Times New Roman"/>
        </w:rPr>
        <w:t xml:space="preserve"> </w:t>
      </w:r>
      <w:r w:rsidRPr="00BA1CEE">
        <w:rPr>
          <w:rFonts w:ascii="Times New Roman" w:hAnsi="Times New Roman"/>
        </w:rPr>
        <w:t>300A data</w:t>
      </w:r>
      <w:r w:rsidRPr="00BA1CEE" w:rsidR="003E747B">
        <w:rPr>
          <w:rFonts w:ascii="Times New Roman" w:hAnsi="Times New Roman"/>
        </w:rPr>
        <w:t>,</w:t>
      </w:r>
      <w:r w:rsidRPr="00BA1CEE">
        <w:rPr>
          <w:rFonts w:ascii="Times New Roman" w:hAnsi="Times New Roman"/>
        </w:rPr>
        <w:t xml:space="preserve"> to OSHA once a year. </w:t>
      </w:r>
      <w:r w:rsidRPr="00BA1CEE" w:rsidR="005B006C">
        <w:rPr>
          <w:rFonts w:ascii="Times New Roman" w:hAnsi="Times New Roman"/>
        </w:rPr>
        <w:t>Each establishment subject to this provision will require 10 minutes</w:t>
      </w:r>
      <w:r w:rsidRPr="00BA1CEE" w:rsidR="001C6403">
        <w:rPr>
          <w:rFonts w:ascii="Times New Roman" w:hAnsi="Times New Roman"/>
        </w:rPr>
        <w:t xml:space="preserve"> (10/60</w:t>
      </w:r>
      <w:r w:rsidRPr="00BA1CEE" w:rsidR="00BA0D95">
        <w:rPr>
          <w:rFonts w:ascii="Times New Roman" w:hAnsi="Times New Roman"/>
        </w:rPr>
        <w:t xml:space="preserve"> hour</w:t>
      </w:r>
      <w:r w:rsidRPr="00BA1CEE" w:rsidR="001C6403">
        <w:rPr>
          <w:rFonts w:ascii="Times New Roman" w:hAnsi="Times New Roman"/>
        </w:rPr>
        <w:t>)</w:t>
      </w:r>
      <w:r w:rsidRPr="00BA1CEE" w:rsidR="005B006C">
        <w:rPr>
          <w:rFonts w:ascii="Times New Roman" w:hAnsi="Times New Roman"/>
        </w:rPr>
        <w:t xml:space="preserve"> to familiarize themselves with the reporting website</w:t>
      </w:r>
      <w:r w:rsidRPr="00BA1CEE" w:rsidR="00F94D91">
        <w:rPr>
          <w:rFonts w:ascii="Times New Roman" w:hAnsi="Times New Roman"/>
        </w:rPr>
        <w:t>.  OSHA assumes half of the covered establishments will require 10 minutes to submit a batch file of the required form 300/301 information.  The other half will submit the required information by data entry in web forms and will require</w:t>
      </w:r>
      <w:r w:rsidRPr="00BA1CEE" w:rsidR="005B006C">
        <w:rPr>
          <w:rFonts w:ascii="Times New Roman" w:hAnsi="Times New Roman"/>
        </w:rPr>
        <w:t xml:space="preserve"> 1</w:t>
      </w:r>
      <w:r w:rsidRPr="00BA1CEE" w:rsidR="00C14FE0">
        <w:rPr>
          <w:rFonts w:ascii="Times New Roman" w:hAnsi="Times New Roman"/>
        </w:rPr>
        <w:t>5</w:t>
      </w:r>
      <w:r w:rsidRPr="00BA1CEE" w:rsidR="005B006C">
        <w:rPr>
          <w:rFonts w:ascii="Times New Roman" w:hAnsi="Times New Roman"/>
        </w:rPr>
        <w:t xml:space="preserve"> minutes to submit </w:t>
      </w:r>
      <w:r w:rsidRPr="00BA1CEE" w:rsidR="00F94D91">
        <w:rPr>
          <w:rFonts w:ascii="Times New Roman" w:hAnsi="Times New Roman"/>
        </w:rPr>
        <w:t xml:space="preserve">the </w:t>
      </w:r>
      <w:r w:rsidRPr="00BA1CEE" w:rsidR="009306E8">
        <w:rPr>
          <w:rFonts w:ascii="Times New Roman" w:hAnsi="Times New Roman"/>
        </w:rPr>
        <w:t>data for each recordable injury or illness</w:t>
      </w:r>
      <w:r w:rsidRPr="00BA1CEE" w:rsidR="002F424A">
        <w:rPr>
          <w:rFonts w:ascii="Times New Roman" w:hAnsi="Times New Roman"/>
        </w:rPr>
        <w:t>.</w:t>
      </w:r>
      <w:r w:rsidRPr="00BA1CEE" w:rsidR="00F93412">
        <w:rPr>
          <w:rFonts w:ascii="Times New Roman" w:hAnsi="Times New Roman"/>
        </w:rPr>
        <w:t xml:space="preserve"> </w:t>
      </w:r>
      <w:r w:rsidRPr="00BA1CEE" w:rsidR="00BB54C0">
        <w:rPr>
          <w:rFonts w:ascii="Times New Roman" w:hAnsi="Times New Roman"/>
        </w:rPr>
        <w:t>Also,</w:t>
      </w:r>
      <w:r w:rsidRPr="00BA1CEE" w:rsidR="00B5723F">
        <w:rPr>
          <w:rFonts w:ascii="Times New Roman" w:hAnsi="Times New Roman"/>
        </w:rPr>
        <w:t xml:space="preserve"> </w:t>
      </w:r>
      <w:r w:rsidRPr="00BA1CEE" w:rsidR="00470CDA">
        <w:rPr>
          <w:rFonts w:ascii="Times New Roman" w:hAnsi="Times New Roman"/>
        </w:rPr>
        <w:t xml:space="preserve">OSHA is taking a one-time cost for employers to upgrade their customized software </w:t>
      </w:r>
      <w:r w:rsidRPr="00BA1CEE" w:rsidR="00DA32B2">
        <w:rPr>
          <w:rFonts w:ascii="Times New Roman" w:hAnsi="Times New Roman"/>
        </w:rPr>
        <w:t xml:space="preserve">computer systems </w:t>
      </w:r>
      <w:r w:rsidRPr="00BA1CEE" w:rsidR="00470CDA">
        <w:rPr>
          <w:rFonts w:ascii="Times New Roman" w:hAnsi="Times New Roman"/>
        </w:rPr>
        <w:t>unique to the rule. Employers will have to pay a software developer $94.19 per hour to upgrade their customize software system. This process will take 20 hours to upgrade the software for each system.</w:t>
      </w:r>
    </w:p>
    <w:p w:rsidR="008E72A3" w:rsidRPr="00BA1CEE" w:rsidP="00BC1A14" w14:paraId="7AEA3809" w14:textId="2FDD31EF">
      <w:pPr>
        <w:pStyle w:val="HTMLPreformatted"/>
        <w:tabs>
          <w:tab w:val="left" w:pos="720"/>
          <w:tab w:val="clear" w:pos="916"/>
        </w:tabs>
        <w:rPr>
          <w:rFonts w:ascii="Times New Roman" w:hAnsi="Times New Roman" w:cs="Times New Roman"/>
          <w:sz w:val="24"/>
          <w:szCs w:val="24"/>
        </w:rPr>
      </w:pPr>
    </w:p>
    <w:p w:rsidR="00D43882" w:rsidRPr="00BA1CEE" w:rsidP="00EB6AA6" w14:paraId="53D167B4" w14:textId="238441FA">
      <w:pPr>
        <w:tabs>
          <w:tab w:val="left" w:pos="6412"/>
        </w:tabs>
        <w:rPr>
          <w:rFonts w:ascii="Times New Roman" w:hAnsi="Times New Roman"/>
        </w:rPr>
      </w:pPr>
      <w:r w:rsidRPr="00BA1CEE">
        <w:rPr>
          <w:rFonts w:ascii="Times New Roman" w:hAnsi="Times New Roman"/>
        </w:rPr>
        <w:tab/>
      </w:r>
    </w:p>
    <w:tbl>
      <w:tblPr>
        <w:tblW w:w="5726" w:type="pct"/>
        <w:tblInd w:w="-190" w:type="dxa"/>
        <w:tblLayout w:type="fixed"/>
        <w:tblLook w:val="04A0"/>
      </w:tblPr>
      <w:tblGrid>
        <w:gridCol w:w="2405"/>
        <w:gridCol w:w="1473"/>
        <w:gridCol w:w="1347"/>
        <w:gridCol w:w="1259"/>
        <w:gridCol w:w="1360"/>
        <w:gridCol w:w="1431"/>
        <w:gridCol w:w="1433"/>
      </w:tblGrid>
      <w:tr w14:paraId="59112022" w14:textId="6F451659" w:rsidTr="008B637C">
        <w:tblPrEx>
          <w:tblW w:w="5726" w:type="pct"/>
          <w:tblInd w:w="-190" w:type="dxa"/>
          <w:tblLayout w:type="fixed"/>
          <w:tblLook w:val="04A0"/>
        </w:tblPrEx>
        <w:trPr>
          <w:trHeight w:val="315"/>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B637C" w:rsidRPr="00BA1CEE" w:rsidP="008B637C" w14:paraId="487752D0" w14:textId="08164FAC">
            <w:pPr>
              <w:widowControl/>
              <w:autoSpaceDE/>
              <w:autoSpaceDN/>
              <w:adjustRightInd/>
              <w:jc w:val="both"/>
              <w:rPr>
                <w:rFonts w:ascii="Times New Roman" w:hAnsi="Times New Roman"/>
                <w:b/>
                <w:bCs/>
                <w:color w:val="000000"/>
              </w:rPr>
            </w:pPr>
            <w:r w:rsidRPr="00BA1CEE">
              <w:rPr>
                <w:rFonts w:ascii="Times New Roman" w:hAnsi="Times New Roman"/>
                <w:b/>
                <w:bCs/>
                <w:color w:val="000000"/>
              </w:rPr>
              <w:t xml:space="preserve">Table 2 – Summary of Estimated </w:t>
            </w:r>
            <w:r w:rsidRPr="00BA1CEE" w:rsidR="00A428CB">
              <w:rPr>
                <w:rFonts w:ascii="Times New Roman" w:hAnsi="Times New Roman"/>
                <w:b/>
                <w:bCs/>
                <w:color w:val="000000"/>
              </w:rPr>
              <w:t>Ann</w:t>
            </w:r>
            <w:r w:rsidRPr="00BA1CEE" w:rsidR="008433E9">
              <w:rPr>
                <w:rFonts w:ascii="Times New Roman" w:hAnsi="Times New Roman"/>
                <w:b/>
                <w:bCs/>
                <w:color w:val="000000"/>
              </w:rPr>
              <w:t xml:space="preserve">ualized </w:t>
            </w:r>
            <w:r w:rsidRPr="00BA1CEE">
              <w:rPr>
                <w:rFonts w:ascii="Times New Roman" w:hAnsi="Times New Roman"/>
                <w:b/>
                <w:bCs/>
                <w:color w:val="000000"/>
              </w:rPr>
              <w:t>Burden Hours and Cost – Final Rule</w:t>
            </w:r>
          </w:p>
        </w:tc>
      </w:tr>
      <w:tr w14:paraId="4BCB9297" w14:textId="479CB59D" w:rsidTr="0048563E">
        <w:tblPrEx>
          <w:tblW w:w="5726" w:type="pct"/>
          <w:tblInd w:w="-190" w:type="dxa"/>
          <w:tblLayout w:type="fixed"/>
          <w:tblLook w:val="04A0"/>
        </w:tblPrEx>
        <w:trPr>
          <w:trHeight w:val="315"/>
          <w:tblHeader/>
        </w:trPr>
        <w:tc>
          <w:tcPr>
            <w:tcW w:w="1123"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82DDD" w:rsidRPr="00BA1CEE" w:rsidP="00F11A6F" w14:paraId="010A8C6D" w14:textId="21145E14">
            <w:pPr>
              <w:widowControl/>
              <w:autoSpaceDE/>
              <w:autoSpaceDN/>
              <w:adjustRightInd/>
              <w:jc w:val="center"/>
              <w:rPr>
                <w:rFonts w:ascii="Times New Roman" w:hAnsi="Times New Roman"/>
                <w:b/>
                <w:bCs/>
                <w:color w:val="000000"/>
              </w:rPr>
            </w:pPr>
            <w:r w:rsidRPr="00BA1CEE">
              <w:rPr>
                <w:rFonts w:ascii="Times New Roman" w:hAnsi="Times New Roman"/>
                <w:b/>
                <w:bCs/>
                <w:color w:val="000000"/>
              </w:rPr>
              <w:t>Collections of Information</w:t>
            </w:r>
          </w:p>
        </w:tc>
        <w:tc>
          <w:tcPr>
            <w:tcW w:w="688"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082DDD" w:rsidRPr="00BA1CEE" w:rsidP="00B342FE" w14:paraId="34BFD47A" w14:textId="2D590E7E">
            <w:pPr>
              <w:widowControl/>
              <w:autoSpaceDE/>
              <w:autoSpaceDN/>
              <w:adjustRightInd/>
              <w:jc w:val="center"/>
              <w:rPr>
                <w:rFonts w:ascii="Times New Roman" w:hAnsi="Times New Roman"/>
                <w:b/>
                <w:bCs/>
                <w:color w:val="000000"/>
              </w:rPr>
            </w:pPr>
            <w:r w:rsidRPr="00BA1CEE">
              <w:rPr>
                <w:rFonts w:ascii="Times New Roman" w:hAnsi="Times New Roman"/>
                <w:b/>
                <w:bCs/>
                <w:color w:val="000000"/>
              </w:rPr>
              <w:t>Basis</w:t>
            </w:r>
          </w:p>
        </w:tc>
        <w:tc>
          <w:tcPr>
            <w:tcW w:w="62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82DDD" w:rsidRPr="00BA1CEE" w:rsidP="00B342FE" w14:paraId="606CF460" w14:textId="65B309A8">
            <w:pPr>
              <w:widowControl/>
              <w:autoSpaceDE/>
              <w:autoSpaceDN/>
              <w:adjustRightInd/>
              <w:jc w:val="center"/>
              <w:rPr>
                <w:rFonts w:ascii="Times New Roman" w:hAnsi="Times New Roman"/>
                <w:b/>
                <w:bCs/>
                <w:color w:val="000000"/>
              </w:rPr>
            </w:pPr>
            <w:r w:rsidRPr="00BA1CEE">
              <w:rPr>
                <w:rFonts w:ascii="Times New Roman" w:hAnsi="Times New Roman"/>
                <w:b/>
                <w:bCs/>
                <w:color w:val="000000"/>
              </w:rPr>
              <w:t>Number of Responses</w:t>
            </w:r>
          </w:p>
        </w:tc>
        <w:tc>
          <w:tcPr>
            <w:tcW w:w="588"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082DDD" w:rsidRPr="00BA1CEE" w:rsidP="00B342FE" w14:paraId="3E4716B9" w14:textId="39323907">
            <w:pPr>
              <w:widowControl/>
              <w:autoSpaceDE/>
              <w:autoSpaceDN/>
              <w:adjustRightInd/>
              <w:jc w:val="center"/>
              <w:rPr>
                <w:rFonts w:ascii="Times New Roman" w:hAnsi="Times New Roman"/>
                <w:b/>
                <w:bCs/>
                <w:color w:val="000000"/>
              </w:rPr>
            </w:pPr>
            <w:r w:rsidRPr="00BA1CEE">
              <w:rPr>
                <w:rFonts w:ascii="Times New Roman" w:hAnsi="Times New Roman"/>
                <w:b/>
                <w:bCs/>
                <w:color w:val="000000"/>
              </w:rPr>
              <w:t xml:space="preserve">Time per </w:t>
            </w:r>
            <w:r w:rsidRPr="00BA1CEE" w:rsidR="00B42B13">
              <w:rPr>
                <w:rFonts w:ascii="Times New Roman" w:hAnsi="Times New Roman"/>
                <w:b/>
                <w:bCs/>
                <w:color w:val="000000"/>
              </w:rPr>
              <w:t>Response</w:t>
            </w:r>
            <w:r w:rsidRPr="00BA1CEE" w:rsidR="000F465C">
              <w:rPr>
                <w:rFonts w:ascii="Times New Roman" w:hAnsi="Times New Roman"/>
                <w:b/>
                <w:bCs/>
                <w:color w:val="000000"/>
              </w:rPr>
              <w:t xml:space="preserve"> (</w:t>
            </w:r>
            <w:r w:rsidRPr="00BA1CEE" w:rsidR="000D1FB1">
              <w:rPr>
                <w:rFonts w:ascii="Times New Roman" w:hAnsi="Times New Roman"/>
                <w:b/>
                <w:bCs/>
                <w:color w:val="000000"/>
              </w:rPr>
              <w:t xml:space="preserve">In </w:t>
            </w:r>
            <w:r w:rsidRPr="00BA1CEE" w:rsidR="0070494F">
              <w:rPr>
                <w:rFonts w:ascii="Times New Roman" w:hAnsi="Times New Roman"/>
                <w:b/>
                <w:bCs/>
                <w:color w:val="000000"/>
              </w:rPr>
              <w:t>H</w:t>
            </w:r>
            <w:r w:rsidRPr="00BA1CEE" w:rsidR="000F465C">
              <w:rPr>
                <w:rFonts w:ascii="Times New Roman" w:hAnsi="Times New Roman"/>
                <w:b/>
                <w:bCs/>
                <w:color w:val="000000"/>
              </w:rPr>
              <w:t>ours)</w:t>
            </w:r>
          </w:p>
        </w:tc>
        <w:tc>
          <w:tcPr>
            <w:tcW w:w="635"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082DDD" w:rsidRPr="00BA1CEE" w:rsidP="00B342FE" w14:paraId="483F9F35" w14:textId="4D31F663">
            <w:pPr>
              <w:widowControl/>
              <w:autoSpaceDE/>
              <w:autoSpaceDN/>
              <w:adjustRightInd/>
              <w:jc w:val="center"/>
              <w:rPr>
                <w:rFonts w:ascii="Times New Roman" w:hAnsi="Times New Roman"/>
                <w:b/>
                <w:bCs/>
                <w:color w:val="000000"/>
              </w:rPr>
            </w:pPr>
            <w:r w:rsidRPr="00BA1CEE">
              <w:rPr>
                <w:rFonts w:ascii="Times New Roman" w:hAnsi="Times New Roman"/>
                <w:b/>
                <w:bCs/>
                <w:color w:val="000000"/>
              </w:rPr>
              <w:t>Total Burden Hours</w:t>
            </w:r>
          </w:p>
        </w:tc>
        <w:tc>
          <w:tcPr>
            <w:tcW w:w="66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82DDD" w:rsidRPr="00BA1CEE" w:rsidP="00B342FE" w14:paraId="782045BA" w14:textId="0FDB46C9">
            <w:pPr>
              <w:widowControl/>
              <w:autoSpaceDE/>
              <w:autoSpaceDN/>
              <w:adjustRightInd/>
              <w:jc w:val="center"/>
              <w:rPr>
                <w:rFonts w:ascii="Times New Roman" w:hAnsi="Times New Roman"/>
                <w:b/>
                <w:bCs/>
                <w:color w:val="000000"/>
              </w:rPr>
            </w:pPr>
            <w:r w:rsidRPr="00BA1CEE">
              <w:rPr>
                <w:rFonts w:ascii="Times New Roman" w:hAnsi="Times New Roman"/>
                <w:b/>
                <w:bCs/>
                <w:color w:val="000000"/>
              </w:rPr>
              <w:t>Loaded Wage Rate</w:t>
            </w:r>
          </w:p>
        </w:tc>
        <w:tc>
          <w:tcPr>
            <w:tcW w:w="66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82DDD" w:rsidRPr="00BA1CEE" w:rsidP="00B342FE" w14:paraId="61F0180F" w14:textId="56C29F94">
            <w:pPr>
              <w:widowControl/>
              <w:autoSpaceDE/>
              <w:autoSpaceDN/>
              <w:adjustRightInd/>
              <w:jc w:val="center"/>
              <w:rPr>
                <w:rFonts w:ascii="Times New Roman" w:hAnsi="Times New Roman"/>
                <w:b/>
                <w:bCs/>
                <w:color w:val="000000"/>
              </w:rPr>
            </w:pPr>
            <w:r w:rsidRPr="00BA1CEE">
              <w:rPr>
                <w:rFonts w:ascii="Times New Roman" w:hAnsi="Times New Roman"/>
                <w:b/>
                <w:bCs/>
                <w:color w:val="000000"/>
              </w:rPr>
              <w:t xml:space="preserve">Total </w:t>
            </w:r>
            <w:r w:rsidRPr="00BA1CEE" w:rsidR="00E340D3">
              <w:rPr>
                <w:rFonts w:ascii="Times New Roman" w:hAnsi="Times New Roman"/>
                <w:b/>
                <w:bCs/>
                <w:color w:val="000000"/>
              </w:rPr>
              <w:t xml:space="preserve">Burden </w:t>
            </w:r>
            <w:r w:rsidRPr="00BA1CEE">
              <w:rPr>
                <w:rFonts w:ascii="Times New Roman" w:hAnsi="Times New Roman"/>
                <w:b/>
                <w:bCs/>
                <w:color w:val="000000"/>
              </w:rPr>
              <w:t>Cost</w:t>
            </w:r>
          </w:p>
        </w:tc>
      </w:tr>
      <w:tr w14:paraId="511EA131" w14:textId="641477B9" w:rsidTr="0048563E">
        <w:tblPrEx>
          <w:tblW w:w="5726" w:type="pct"/>
          <w:tblInd w:w="-190" w:type="dxa"/>
          <w:tblLayout w:type="fixed"/>
          <w:tblLook w:val="04A0"/>
        </w:tblPrEx>
        <w:trPr>
          <w:trHeight w:val="540"/>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2876E4" w:rsidRPr="00BA1CEE" w:rsidP="002876E4" w14:paraId="03AD3C2B" w14:textId="1E5B90BB">
            <w:pPr>
              <w:widowControl/>
              <w:autoSpaceDE/>
              <w:autoSpaceDN/>
              <w:adjustRightInd/>
              <w:rPr>
                <w:rFonts w:ascii="Times New Roman" w:hAnsi="Times New Roman"/>
                <w:color w:val="000000"/>
              </w:rPr>
            </w:pPr>
            <w:r w:rsidRPr="00BA1CEE">
              <w:rPr>
                <w:rFonts w:ascii="Times New Roman" w:hAnsi="Times New Roman"/>
                <w:color w:val="000000"/>
              </w:rPr>
              <w:t>Paragraph 1904.41(a)(2) - Familiarization of new requirements and website</w:t>
            </w:r>
          </w:p>
        </w:tc>
        <w:tc>
          <w:tcPr>
            <w:tcW w:w="6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876E4" w:rsidRPr="00BA1CEE" w:rsidP="001F0DE7" w14:paraId="689142D6" w14:textId="79AC8AC1">
            <w:pPr>
              <w:widowControl/>
              <w:autoSpaceDE/>
              <w:autoSpaceDN/>
              <w:adjustRightInd/>
              <w:jc w:val="center"/>
              <w:rPr>
                <w:rFonts w:ascii="Times New Roman" w:hAnsi="Times New Roman"/>
              </w:rPr>
            </w:pPr>
            <w:r w:rsidRPr="00BA1CEE">
              <w:rPr>
                <w:rFonts w:ascii="Times New Roman" w:hAnsi="Times New Roman"/>
              </w:rPr>
              <w:t>One</w:t>
            </w:r>
            <w:r w:rsidRPr="00BA1CEE" w:rsidR="00913E6F">
              <w:rPr>
                <w:rFonts w:ascii="Times New Roman" w:hAnsi="Times New Roman"/>
              </w:rPr>
              <w:t>-</w:t>
            </w:r>
            <w:r w:rsidRPr="00BA1CEE">
              <w:rPr>
                <w:rFonts w:ascii="Times New Roman" w:hAnsi="Times New Roman"/>
              </w:rPr>
              <w:t>time</w:t>
            </w:r>
            <w:r w:rsidRPr="00BA1CEE" w:rsidR="00D64F01">
              <w:rPr>
                <w:rFonts w:ascii="Times New Roman" w:hAnsi="Times New Roman"/>
              </w:rPr>
              <w:t>**</w:t>
            </w:r>
          </w:p>
        </w:tc>
        <w:tc>
          <w:tcPr>
            <w:tcW w:w="6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876E4" w:rsidRPr="00BA1CEE" w:rsidP="001F0DE7" w14:paraId="0D5B42F6" w14:textId="050A8E9D">
            <w:pPr>
              <w:widowControl/>
              <w:autoSpaceDE/>
              <w:autoSpaceDN/>
              <w:adjustRightInd/>
              <w:jc w:val="center"/>
              <w:rPr>
                <w:rFonts w:ascii="Times New Roman" w:hAnsi="Times New Roman"/>
                <w:color w:val="000000"/>
              </w:rPr>
            </w:pPr>
            <w:r w:rsidRPr="00BA1CEE">
              <w:rPr>
                <w:rFonts w:ascii="Times New Roman" w:hAnsi="Times New Roman"/>
              </w:rPr>
              <w:t>52,092</w:t>
            </w:r>
          </w:p>
        </w:tc>
        <w:tc>
          <w:tcPr>
            <w:tcW w:w="5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876E4" w:rsidRPr="00BA1CEE" w:rsidP="001F0DE7" w14:paraId="27BE0B0C" w14:textId="3CD33313">
            <w:pPr>
              <w:widowControl/>
              <w:autoSpaceDE/>
              <w:autoSpaceDN/>
              <w:adjustRightInd/>
              <w:jc w:val="center"/>
              <w:rPr>
                <w:rFonts w:ascii="Times New Roman" w:hAnsi="Times New Roman"/>
              </w:rPr>
            </w:pPr>
            <w:r w:rsidRPr="00BA1CEE">
              <w:rPr>
                <w:rFonts w:ascii="Times New Roman" w:hAnsi="Times New Roman"/>
                <w:color w:val="000000"/>
              </w:rPr>
              <w:t>10/60</w:t>
            </w:r>
          </w:p>
        </w:tc>
        <w:tc>
          <w:tcPr>
            <w:tcW w:w="63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876E4" w:rsidRPr="00BA1CEE" w:rsidP="001F0DE7" w14:paraId="40BA9623" w14:textId="1B6C3422">
            <w:pPr>
              <w:widowControl/>
              <w:autoSpaceDE/>
              <w:autoSpaceDN/>
              <w:adjustRightInd/>
              <w:jc w:val="center"/>
              <w:rPr>
                <w:rFonts w:ascii="Times New Roman" w:hAnsi="Times New Roman"/>
                <w:color w:val="000000"/>
              </w:rPr>
            </w:pPr>
            <w:r w:rsidRPr="00BA1CEE">
              <w:rPr>
                <w:rFonts w:ascii="Times New Roman" w:hAnsi="Times New Roman"/>
                <w:color w:val="000000"/>
              </w:rPr>
              <w:t>8,682</w:t>
            </w:r>
          </w:p>
        </w:tc>
        <w:tc>
          <w:tcPr>
            <w:tcW w:w="6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876E4" w:rsidRPr="00BA1CEE" w:rsidP="001F0DE7" w14:paraId="4C9DD38A" w14:textId="2118C3AF">
            <w:pPr>
              <w:widowControl/>
              <w:autoSpaceDE/>
              <w:autoSpaceDN/>
              <w:adjustRightInd/>
              <w:jc w:val="center"/>
              <w:rPr>
                <w:rFonts w:ascii="Times New Roman" w:hAnsi="Times New Roman"/>
                <w:color w:val="000000"/>
              </w:rPr>
            </w:pPr>
            <w:r w:rsidRPr="00BA1CEE">
              <w:rPr>
                <w:rFonts w:ascii="Times New Roman" w:hAnsi="Times New Roman"/>
                <w:color w:val="000000"/>
              </w:rPr>
              <w:t>$61.31</w:t>
            </w:r>
          </w:p>
        </w:tc>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876E4" w:rsidRPr="00BA1CEE" w:rsidP="001F0DE7" w14:paraId="0041E4D4" w14:textId="788C26CE">
            <w:pPr>
              <w:widowControl/>
              <w:autoSpaceDE/>
              <w:autoSpaceDN/>
              <w:adjustRightInd/>
              <w:jc w:val="center"/>
              <w:rPr>
                <w:rFonts w:ascii="Times New Roman" w:hAnsi="Times New Roman"/>
                <w:color w:val="000000"/>
              </w:rPr>
            </w:pPr>
            <w:r w:rsidRPr="00BA1CEE">
              <w:rPr>
                <w:rFonts w:ascii="Times New Roman" w:hAnsi="Times New Roman"/>
                <w:color w:val="000000"/>
              </w:rPr>
              <w:t>$</w:t>
            </w:r>
            <w:r w:rsidRPr="00BA1CEE">
              <w:rPr>
                <w:rFonts w:ascii="Times New Roman" w:hAnsi="Times New Roman"/>
                <w:color w:val="000000"/>
              </w:rPr>
              <w:t>532,293</w:t>
            </w:r>
          </w:p>
        </w:tc>
      </w:tr>
      <w:tr w14:paraId="4E379AE4" w14:textId="0EF2EDF1" w:rsidTr="0048563E">
        <w:tblPrEx>
          <w:tblW w:w="5726" w:type="pct"/>
          <w:tblInd w:w="-190" w:type="dxa"/>
          <w:tblLayout w:type="fixed"/>
          <w:tblLook w:val="04A0"/>
        </w:tblPrEx>
        <w:trPr>
          <w:trHeight w:val="540"/>
        </w:trPr>
        <w:tc>
          <w:tcPr>
            <w:tcW w:w="1123" w:type="pct"/>
            <w:tcBorders>
              <w:top w:val="single" w:sz="4" w:space="0" w:color="auto"/>
              <w:left w:val="single" w:sz="4" w:space="0" w:color="auto"/>
              <w:bottom w:val="single" w:sz="4" w:space="0" w:color="auto"/>
              <w:right w:val="single" w:sz="4" w:space="0" w:color="auto"/>
            </w:tcBorders>
            <w:shd w:val="clear" w:color="auto" w:fill="auto"/>
            <w:vAlign w:val="bottom"/>
          </w:tcPr>
          <w:p w:rsidR="002876E4" w:rsidRPr="00BA1CEE" w:rsidP="002876E4" w14:paraId="1F1AC4E5" w14:textId="0AC1507A">
            <w:pPr>
              <w:widowControl/>
              <w:autoSpaceDE/>
              <w:autoSpaceDN/>
              <w:adjustRightInd/>
              <w:rPr>
                <w:rFonts w:ascii="Times New Roman" w:hAnsi="Times New Roman"/>
                <w:color w:val="000000"/>
              </w:rPr>
            </w:pPr>
            <w:r w:rsidRPr="00BA1CEE">
              <w:rPr>
                <w:rFonts w:ascii="Times New Roman" w:hAnsi="Times New Roman"/>
                <w:color w:val="000000"/>
              </w:rPr>
              <w:t>Paragraph 1904.41(a)(2) - electronic submission of OSHA Form 300 and 301 data by batch file</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76E4" w:rsidRPr="00BA1CEE" w:rsidP="001F0DE7" w14:paraId="787ABB2D" w14:textId="35391790">
            <w:pPr>
              <w:widowControl/>
              <w:autoSpaceDE/>
              <w:autoSpaceDN/>
              <w:adjustRightInd/>
              <w:jc w:val="center"/>
              <w:rPr>
                <w:rFonts w:ascii="Times New Roman" w:hAnsi="Times New Roman"/>
              </w:rPr>
            </w:pPr>
            <w:r w:rsidRPr="00BA1CEE">
              <w:rPr>
                <w:rFonts w:ascii="Times New Roman" w:hAnsi="Times New Roman"/>
              </w:rPr>
              <w:t>Annual</w:t>
            </w:r>
          </w:p>
        </w:tc>
        <w:tc>
          <w:tcPr>
            <w:tcW w:w="629" w:type="pct"/>
            <w:tcBorders>
              <w:top w:val="single" w:sz="4" w:space="0" w:color="auto"/>
              <w:left w:val="single" w:sz="4" w:space="0" w:color="auto"/>
              <w:bottom w:val="single" w:sz="4" w:space="0" w:color="auto"/>
              <w:right w:val="single" w:sz="4" w:space="0" w:color="auto"/>
            </w:tcBorders>
            <w:vAlign w:val="center"/>
          </w:tcPr>
          <w:p w:rsidR="002876E4" w:rsidRPr="00BA1CEE" w:rsidP="001F0DE7" w14:paraId="52116AD1" w14:textId="66411083">
            <w:pPr>
              <w:widowControl/>
              <w:autoSpaceDE/>
              <w:autoSpaceDN/>
              <w:adjustRightInd/>
              <w:jc w:val="center"/>
              <w:rPr>
                <w:rFonts w:ascii="Times New Roman" w:hAnsi="Times New Roman"/>
                <w:color w:val="000000"/>
              </w:rPr>
            </w:pPr>
            <w:r w:rsidRPr="00BA1CEE">
              <w:rPr>
                <w:rFonts w:ascii="Times New Roman" w:hAnsi="Times New Roman"/>
              </w:rPr>
              <w:t xml:space="preserve">24,668* </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76E4" w:rsidRPr="00BA1CEE" w:rsidP="001F0DE7" w14:paraId="176BB20C" w14:textId="73565540">
            <w:pPr>
              <w:widowControl/>
              <w:autoSpaceDE/>
              <w:autoSpaceDN/>
              <w:adjustRightInd/>
              <w:jc w:val="center"/>
              <w:rPr>
                <w:rFonts w:ascii="Times New Roman" w:hAnsi="Times New Roman"/>
              </w:rPr>
            </w:pPr>
            <w:r w:rsidRPr="00BA1CEE">
              <w:rPr>
                <w:rFonts w:ascii="Times New Roman" w:hAnsi="Times New Roman"/>
                <w:color w:val="000000"/>
              </w:rPr>
              <w:t>10/60</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76E4" w:rsidRPr="00BA1CEE" w:rsidP="001F0DE7" w14:paraId="199A4436" w14:textId="27B75CE2">
            <w:pPr>
              <w:widowControl/>
              <w:autoSpaceDE/>
              <w:autoSpaceDN/>
              <w:adjustRightInd/>
              <w:jc w:val="center"/>
              <w:rPr>
                <w:rFonts w:ascii="Times New Roman" w:hAnsi="Times New Roman"/>
                <w:color w:val="000000"/>
              </w:rPr>
            </w:pPr>
            <w:r w:rsidRPr="00BA1CEE">
              <w:rPr>
                <w:rFonts w:ascii="Times New Roman" w:hAnsi="Times New Roman"/>
                <w:color w:val="000000"/>
              </w:rPr>
              <w:t>4,111</w:t>
            </w:r>
          </w:p>
        </w:tc>
        <w:tc>
          <w:tcPr>
            <w:tcW w:w="668" w:type="pct"/>
            <w:tcBorders>
              <w:top w:val="single" w:sz="4" w:space="0" w:color="auto"/>
              <w:left w:val="single" w:sz="4" w:space="0" w:color="auto"/>
              <w:bottom w:val="single" w:sz="4" w:space="0" w:color="auto"/>
              <w:right w:val="single" w:sz="4" w:space="0" w:color="auto"/>
            </w:tcBorders>
            <w:vAlign w:val="center"/>
          </w:tcPr>
          <w:p w:rsidR="002876E4" w:rsidRPr="00BA1CEE" w:rsidP="001F0DE7" w14:paraId="308385F3" w14:textId="17CA192E">
            <w:pPr>
              <w:widowControl/>
              <w:autoSpaceDE/>
              <w:autoSpaceDN/>
              <w:adjustRightInd/>
              <w:jc w:val="center"/>
              <w:rPr>
                <w:rFonts w:ascii="Times New Roman" w:hAnsi="Times New Roman"/>
                <w:color w:val="000000"/>
              </w:rPr>
            </w:pPr>
            <w:r w:rsidRPr="00BA1CEE">
              <w:rPr>
                <w:rFonts w:ascii="Times New Roman" w:hAnsi="Times New Roman"/>
                <w:color w:val="000000"/>
              </w:rPr>
              <w:t>$61.31</w:t>
            </w:r>
          </w:p>
        </w:tc>
        <w:tc>
          <w:tcPr>
            <w:tcW w:w="669" w:type="pct"/>
            <w:tcBorders>
              <w:top w:val="single" w:sz="4" w:space="0" w:color="auto"/>
              <w:left w:val="single" w:sz="4" w:space="0" w:color="auto"/>
              <w:bottom w:val="single" w:sz="4" w:space="0" w:color="auto"/>
              <w:right w:val="single" w:sz="4" w:space="0" w:color="auto"/>
            </w:tcBorders>
            <w:vAlign w:val="center"/>
          </w:tcPr>
          <w:p w:rsidR="002876E4" w:rsidRPr="00BA1CEE" w:rsidP="001F0DE7" w14:paraId="189EE1B6" w14:textId="4D8B8467">
            <w:pPr>
              <w:widowControl/>
              <w:autoSpaceDE/>
              <w:autoSpaceDN/>
              <w:adjustRightInd/>
              <w:jc w:val="center"/>
              <w:rPr>
                <w:rFonts w:ascii="Times New Roman" w:hAnsi="Times New Roman"/>
                <w:color w:val="000000"/>
              </w:rPr>
            </w:pPr>
            <w:r w:rsidRPr="00BA1CEE">
              <w:rPr>
                <w:rFonts w:ascii="Times New Roman" w:hAnsi="Times New Roman"/>
                <w:color w:val="000000"/>
              </w:rPr>
              <w:t>$</w:t>
            </w:r>
            <w:r w:rsidRPr="00BA1CEE">
              <w:rPr>
                <w:rFonts w:ascii="Times New Roman" w:hAnsi="Times New Roman"/>
                <w:color w:val="000000"/>
              </w:rPr>
              <w:t>252,045</w:t>
            </w:r>
          </w:p>
        </w:tc>
      </w:tr>
      <w:tr w14:paraId="5826F996" w14:textId="41CB7F3B" w:rsidTr="0048563E">
        <w:tblPrEx>
          <w:tblW w:w="5726" w:type="pct"/>
          <w:tblInd w:w="-190" w:type="dxa"/>
          <w:tblLayout w:type="fixed"/>
          <w:tblLook w:val="04A0"/>
        </w:tblPrEx>
        <w:trPr>
          <w:trHeight w:val="540"/>
        </w:trPr>
        <w:tc>
          <w:tcPr>
            <w:tcW w:w="1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2876E4" w:rsidRPr="00BA1CEE" w:rsidP="002876E4" w14:paraId="463DFD69" w14:textId="6CDF2611">
            <w:pPr>
              <w:widowControl/>
              <w:autoSpaceDE/>
              <w:autoSpaceDN/>
              <w:adjustRightInd/>
              <w:rPr>
                <w:rFonts w:ascii="Times New Roman" w:hAnsi="Times New Roman"/>
                <w:color w:val="000000"/>
              </w:rPr>
            </w:pPr>
            <w:r w:rsidRPr="00BA1CEE">
              <w:rPr>
                <w:rFonts w:ascii="Times New Roman" w:hAnsi="Times New Roman"/>
                <w:color w:val="000000"/>
              </w:rPr>
              <w:t>Paragraph 1904.41(a)(2) - electronic submission of OSHA Form 300 and 301 data by data entry</w:t>
            </w:r>
          </w:p>
        </w:tc>
        <w:tc>
          <w:tcPr>
            <w:tcW w:w="6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876E4" w:rsidRPr="00BA1CEE" w:rsidP="001F0DE7" w14:paraId="6E953483" w14:textId="07D1836D">
            <w:pPr>
              <w:widowControl/>
              <w:autoSpaceDE/>
              <w:autoSpaceDN/>
              <w:adjustRightInd/>
              <w:jc w:val="center"/>
              <w:rPr>
                <w:rFonts w:ascii="Times New Roman" w:hAnsi="Times New Roman"/>
              </w:rPr>
            </w:pPr>
            <w:r w:rsidRPr="00BA1CEE">
              <w:rPr>
                <w:rFonts w:ascii="Times New Roman" w:hAnsi="Times New Roman"/>
              </w:rPr>
              <w:t>Annual</w:t>
            </w:r>
          </w:p>
        </w:tc>
        <w:tc>
          <w:tcPr>
            <w:tcW w:w="6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876E4" w:rsidRPr="00BA1CEE" w:rsidP="001F0DE7" w14:paraId="1D818FEA" w14:textId="529425D1">
            <w:pPr>
              <w:widowControl/>
              <w:autoSpaceDE/>
              <w:autoSpaceDN/>
              <w:adjustRightInd/>
              <w:jc w:val="center"/>
              <w:rPr>
                <w:rFonts w:ascii="Times New Roman" w:hAnsi="Times New Roman"/>
                <w:color w:val="000000"/>
              </w:rPr>
            </w:pPr>
            <w:r w:rsidRPr="00BA1CEE">
              <w:rPr>
                <w:rFonts w:ascii="Times New Roman" w:hAnsi="Times New Roman"/>
              </w:rPr>
              <w:t xml:space="preserve">433,759 </w:t>
            </w:r>
          </w:p>
        </w:tc>
        <w:tc>
          <w:tcPr>
            <w:tcW w:w="5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876E4" w:rsidRPr="00BA1CEE" w:rsidP="001F0DE7" w14:paraId="6D0C6AE4" w14:textId="4E8A9DED">
            <w:pPr>
              <w:widowControl/>
              <w:autoSpaceDE/>
              <w:autoSpaceDN/>
              <w:adjustRightInd/>
              <w:jc w:val="center"/>
              <w:rPr>
                <w:rFonts w:ascii="Times New Roman" w:hAnsi="Times New Roman"/>
              </w:rPr>
            </w:pPr>
            <w:r w:rsidRPr="00BA1CEE">
              <w:rPr>
                <w:rFonts w:ascii="Times New Roman" w:hAnsi="Times New Roman"/>
                <w:color w:val="000000"/>
              </w:rPr>
              <w:t>15/60</w:t>
            </w:r>
          </w:p>
        </w:tc>
        <w:tc>
          <w:tcPr>
            <w:tcW w:w="63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876E4" w:rsidRPr="00BA1CEE" w:rsidP="001F0DE7" w14:paraId="106D9CD9" w14:textId="4B970AA5">
            <w:pPr>
              <w:widowControl/>
              <w:autoSpaceDE/>
              <w:autoSpaceDN/>
              <w:adjustRightInd/>
              <w:jc w:val="center"/>
              <w:rPr>
                <w:rFonts w:ascii="Times New Roman" w:hAnsi="Times New Roman"/>
                <w:color w:val="000000"/>
              </w:rPr>
            </w:pPr>
            <w:r w:rsidRPr="00BA1CEE">
              <w:rPr>
                <w:rFonts w:ascii="Times New Roman" w:hAnsi="Times New Roman"/>
                <w:color w:val="000000"/>
              </w:rPr>
              <w:t>108,440</w:t>
            </w:r>
          </w:p>
        </w:tc>
        <w:tc>
          <w:tcPr>
            <w:tcW w:w="6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876E4" w:rsidRPr="00BA1CEE" w:rsidP="001F0DE7" w14:paraId="2DDD8010" w14:textId="7C804609">
            <w:pPr>
              <w:widowControl/>
              <w:autoSpaceDE/>
              <w:autoSpaceDN/>
              <w:adjustRightInd/>
              <w:jc w:val="center"/>
              <w:rPr>
                <w:rFonts w:ascii="Times New Roman" w:hAnsi="Times New Roman"/>
                <w:color w:val="000000"/>
              </w:rPr>
            </w:pPr>
            <w:r w:rsidRPr="00BA1CEE">
              <w:rPr>
                <w:rFonts w:ascii="Times New Roman" w:hAnsi="Times New Roman"/>
                <w:color w:val="000000"/>
              </w:rPr>
              <w:t>$61.31</w:t>
            </w:r>
          </w:p>
        </w:tc>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876E4" w:rsidRPr="00BA1CEE" w:rsidP="001F0DE7" w14:paraId="36DCCD88" w14:textId="6269FA5D">
            <w:pPr>
              <w:widowControl/>
              <w:autoSpaceDE/>
              <w:autoSpaceDN/>
              <w:adjustRightInd/>
              <w:jc w:val="center"/>
              <w:rPr>
                <w:rFonts w:ascii="Times New Roman" w:hAnsi="Times New Roman"/>
                <w:color w:val="000000"/>
              </w:rPr>
            </w:pPr>
            <w:r w:rsidRPr="00BA1CEE">
              <w:rPr>
                <w:rFonts w:ascii="Times New Roman" w:hAnsi="Times New Roman"/>
                <w:color w:val="000000"/>
              </w:rPr>
              <w:t>$</w:t>
            </w:r>
            <w:r w:rsidRPr="00BA1CEE">
              <w:rPr>
                <w:rFonts w:ascii="Times New Roman" w:hAnsi="Times New Roman"/>
                <w:color w:val="000000"/>
              </w:rPr>
              <w:t>6,648,456</w:t>
            </w:r>
          </w:p>
        </w:tc>
      </w:tr>
      <w:tr w14:paraId="4C3B825D" w14:textId="77777777" w:rsidTr="0048563E">
        <w:tblPrEx>
          <w:tblW w:w="5726" w:type="pct"/>
          <w:tblInd w:w="-190" w:type="dxa"/>
          <w:tblLayout w:type="fixed"/>
          <w:tblLook w:val="04A0"/>
        </w:tblPrEx>
        <w:trPr>
          <w:trHeight w:val="315"/>
        </w:trPr>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2876E4" w:rsidRPr="00BA1CEE" w:rsidP="002876E4" w14:paraId="70F16A2D" w14:textId="4CF28104">
            <w:pPr>
              <w:widowControl/>
              <w:autoSpaceDE/>
              <w:autoSpaceDN/>
              <w:adjustRightInd/>
              <w:rPr>
                <w:rFonts w:ascii="Times New Roman" w:hAnsi="Times New Roman"/>
                <w:b/>
                <w:bCs/>
                <w:color w:val="000000"/>
              </w:rPr>
            </w:pPr>
            <w:r w:rsidRPr="00BA1CEE">
              <w:rPr>
                <w:rFonts w:ascii="Times New Roman" w:hAnsi="Times New Roman"/>
                <w:color w:val="000000"/>
              </w:rPr>
              <w:t xml:space="preserve">Paragraph 1904.41(a)(2) – Software Upgrade for </w:t>
            </w:r>
            <w:r w:rsidRPr="00BA1CEE">
              <w:rPr>
                <w:rFonts w:ascii="Times New Roman" w:hAnsi="Times New Roman"/>
              </w:rPr>
              <w:t>Multiple Establishments Firms</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76E4" w:rsidRPr="00BA1CEE" w:rsidP="001F0DE7" w14:paraId="78834125" w14:textId="3F31F37A">
            <w:pPr>
              <w:widowControl/>
              <w:autoSpaceDE/>
              <w:autoSpaceDN/>
              <w:adjustRightInd/>
              <w:jc w:val="center"/>
              <w:rPr>
                <w:rFonts w:ascii="Times New Roman" w:hAnsi="Times New Roman"/>
                <w:b/>
                <w:bCs/>
                <w:color w:val="000000"/>
              </w:rPr>
            </w:pPr>
            <w:r w:rsidRPr="00BA1CEE">
              <w:rPr>
                <w:rFonts w:ascii="Times New Roman" w:hAnsi="Times New Roman"/>
              </w:rPr>
              <w:t>One-time</w:t>
            </w:r>
          </w:p>
        </w:tc>
        <w:tc>
          <w:tcPr>
            <w:tcW w:w="629" w:type="pct"/>
            <w:tcBorders>
              <w:top w:val="single" w:sz="4" w:space="0" w:color="auto"/>
              <w:left w:val="single" w:sz="4" w:space="0" w:color="auto"/>
              <w:bottom w:val="single" w:sz="4" w:space="0" w:color="auto"/>
              <w:right w:val="single" w:sz="4" w:space="0" w:color="auto"/>
            </w:tcBorders>
            <w:vAlign w:val="center"/>
          </w:tcPr>
          <w:p w:rsidR="002876E4" w:rsidRPr="00BA1CEE" w:rsidP="001F0DE7" w14:paraId="24226A8E" w14:textId="3E8CA6FA">
            <w:pPr>
              <w:widowControl/>
              <w:autoSpaceDE/>
              <w:autoSpaceDN/>
              <w:adjustRightInd/>
              <w:jc w:val="center"/>
              <w:rPr>
                <w:rFonts w:ascii="Times New Roman" w:hAnsi="Times New Roman"/>
              </w:rPr>
            </w:pPr>
            <w:r w:rsidRPr="00BA1CEE">
              <w:rPr>
                <w:rFonts w:ascii="Times New Roman" w:hAnsi="Times New Roman"/>
              </w:rPr>
              <w:t>456</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76E4" w:rsidRPr="00BA1CEE" w:rsidP="001F0DE7" w14:paraId="5E6731EF" w14:textId="0370D76C">
            <w:pPr>
              <w:widowControl/>
              <w:autoSpaceDE/>
              <w:autoSpaceDN/>
              <w:adjustRightInd/>
              <w:jc w:val="center"/>
              <w:rPr>
                <w:rFonts w:ascii="Times New Roman" w:hAnsi="Times New Roman"/>
                <w:color w:val="000000"/>
              </w:rPr>
            </w:pPr>
            <w:r w:rsidRPr="00BA1CEE">
              <w:rPr>
                <w:rFonts w:ascii="Times New Roman" w:hAnsi="Times New Roman"/>
              </w:rPr>
              <w:t>20</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76E4" w:rsidRPr="00BA1CEE" w:rsidP="001F0DE7" w14:paraId="37F383A7" w14:textId="3884BD9F">
            <w:pPr>
              <w:widowControl/>
              <w:autoSpaceDE/>
              <w:autoSpaceDN/>
              <w:adjustRightInd/>
              <w:jc w:val="center"/>
              <w:rPr>
                <w:rFonts w:ascii="Times New Roman" w:hAnsi="Times New Roman"/>
                <w:b/>
                <w:bCs/>
                <w:color w:val="000000"/>
              </w:rPr>
            </w:pPr>
            <w:r w:rsidRPr="00BA1CEE">
              <w:rPr>
                <w:rFonts w:ascii="Times New Roman" w:hAnsi="Times New Roman"/>
              </w:rPr>
              <w:t>9,120</w:t>
            </w:r>
          </w:p>
        </w:tc>
        <w:tc>
          <w:tcPr>
            <w:tcW w:w="668" w:type="pct"/>
            <w:tcBorders>
              <w:top w:val="single" w:sz="4" w:space="0" w:color="auto"/>
              <w:left w:val="single" w:sz="4" w:space="0" w:color="auto"/>
              <w:bottom w:val="single" w:sz="4" w:space="0" w:color="auto"/>
              <w:right w:val="single" w:sz="4" w:space="0" w:color="auto"/>
            </w:tcBorders>
            <w:vAlign w:val="center"/>
          </w:tcPr>
          <w:p w:rsidR="002876E4" w:rsidRPr="00BA1CEE" w:rsidP="001F0DE7" w14:paraId="140E71BE" w14:textId="65AF5CCF">
            <w:pPr>
              <w:widowControl/>
              <w:autoSpaceDE/>
              <w:autoSpaceDN/>
              <w:adjustRightInd/>
              <w:jc w:val="center"/>
              <w:rPr>
                <w:rFonts w:ascii="Times New Roman" w:hAnsi="Times New Roman"/>
                <w:b/>
                <w:bCs/>
                <w:color w:val="000000"/>
              </w:rPr>
            </w:pPr>
            <w:r w:rsidRPr="00BA1CEE">
              <w:rPr>
                <w:rFonts w:ascii="Times New Roman" w:hAnsi="Times New Roman"/>
              </w:rPr>
              <w:t>$94.19</w:t>
            </w:r>
          </w:p>
        </w:tc>
        <w:tc>
          <w:tcPr>
            <w:tcW w:w="669" w:type="pct"/>
            <w:tcBorders>
              <w:top w:val="single" w:sz="4" w:space="0" w:color="auto"/>
              <w:left w:val="single" w:sz="4" w:space="0" w:color="auto"/>
              <w:bottom w:val="single" w:sz="4" w:space="0" w:color="auto"/>
              <w:right w:val="single" w:sz="4" w:space="0" w:color="auto"/>
            </w:tcBorders>
            <w:vAlign w:val="center"/>
          </w:tcPr>
          <w:p w:rsidR="002876E4" w:rsidRPr="00BA1CEE" w:rsidP="001F0DE7" w14:paraId="092E31DC" w14:textId="13885FB9">
            <w:pPr>
              <w:widowControl/>
              <w:autoSpaceDE/>
              <w:autoSpaceDN/>
              <w:adjustRightInd/>
              <w:jc w:val="center"/>
              <w:rPr>
                <w:rFonts w:ascii="Times New Roman" w:hAnsi="Times New Roman"/>
                <w:b/>
                <w:bCs/>
                <w:color w:val="000000"/>
              </w:rPr>
            </w:pPr>
            <w:r w:rsidRPr="00BA1CEE">
              <w:rPr>
                <w:rFonts w:ascii="Times New Roman" w:hAnsi="Times New Roman"/>
              </w:rPr>
              <w:t>$859,042</w:t>
            </w:r>
          </w:p>
        </w:tc>
      </w:tr>
      <w:tr w14:paraId="0368D639" w14:textId="0331DEB9" w:rsidTr="0048563E">
        <w:tblPrEx>
          <w:tblW w:w="5726" w:type="pct"/>
          <w:tblInd w:w="-190" w:type="dxa"/>
          <w:tblLayout w:type="fixed"/>
          <w:tblLook w:val="04A0"/>
        </w:tblPrEx>
        <w:trPr>
          <w:trHeight w:val="315"/>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76E4" w:rsidRPr="00BA1CEE" w:rsidP="002876E4" w14:paraId="2C53BF53" w14:textId="67333E3D">
            <w:pPr>
              <w:widowControl/>
              <w:autoSpaceDE/>
              <w:autoSpaceDN/>
              <w:adjustRightInd/>
              <w:rPr>
                <w:rFonts w:ascii="Times New Roman" w:hAnsi="Times New Roman"/>
                <w:b/>
                <w:bCs/>
                <w:color w:val="000000"/>
              </w:rPr>
            </w:pPr>
            <w:r w:rsidRPr="00BA1CEE">
              <w:rPr>
                <w:rFonts w:ascii="Times New Roman" w:hAnsi="Times New Roman"/>
                <w:b/>
                <w:bCs/>
                <w:color w:val="000000"/>
              </w:rPr>
              <w:t xml:space="preserve">Totals </w:t>
            </w:r>
          </w:p>
        </w:tc>
        <w:tc>
          <w:tcPr>
            <w:tcW w:w="68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2876E4" w:rsidRPr="00BA1CEE" w:rsidP="001F0DE7" w14:paraId="3338D495" w14:textId="6E3D6460">
            <w:pPr>
              <w:widowControl/>
              <w:autoSpaceDE/>
              <w:autoSpaceDN/>
              <w:adjustRightInd/>
              <w:jc w:val="center"/>
              <w:rPr>
                <w:rFonts w:ascii="Times New Roman" w:hAnsi="Times New Roman"/>
                <w:b/>
                <w:bCs/>
                <w:color w:val="000000"/>
              </w:rPr>
            </w:pPr>
          </w:p>
        </w:tc>
        <w:tc>
          <w:tcPr>
            <w:tcW w:w="6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76E4" w:rsidRPr="00BA1CEE" w:rsidP="001F0DE7" w14:paraId="4A813DF7" w14:textId="1B04F7DE">
            <w:pPr>
              <w:widowControl/>
              <w:autoSpaceDE/>
              <w:autoSpaceDN/>
              <w:adjustRightInd/>
              <w:jc w:val="center"/>
              <w:rPr>
                <w:rFonts w:ascii="Times New Roman" w:hAnsi="Times New Roman"/>
                <w:color w:val="000000"/>
              </w:rPr>
            </w:pPr>
            <w:r w:rsidRPr="00BA1CEE">
              <w:rPr>
                <w:rFonts w:ascii="Times New Roman" w:hAnsi="Times New Roman"/>
                <w:b/>
                <w:bCs/>
                <w:color w:val="000000"/>
              </w:rPr>
              <w:t>510,</w:t>
            </w:r>
            <w:r w:rsidRPr="00BA1CEE" w:rsidR="001565AC">
              <w:rPr>
                <w:rFonts w:ascii="Times New Roman" w:hAnsi="Times New Roman"/>
                <w:b/>
                <w:bCs/>
                <w:color w:val="000000"/>
              </w:rPr>
              <w:t>9</w:t>
            </w:r>
            <w:r w:rsidRPr="00BA1CEE" w:rsidR="007F5E50">
              <w:rPr>
                <w:rFonts w:ascii="Times New Roman" w:hAnsi="Times New Roman"/>
                <w:b/>
                <w:bCs/>
                <w:color w:val="000000"/>
              </w:rPr>
              <w:t>75</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876E4" w:rsidRPr="00BA1CEE" w:rsidP="001F0DE7" w14:paraId="26401413" w14:textId="5505C998">
            <w:pPr>
              <w:widowControl/>
              <w:autoSpaceDE/>
              <w:autoSpaceDN/>
              <w:adjustRightInd/>
              <w:jc w:val="center"/>
              <w:rPr>
                <w:rFonts w:ascii="Times New Roman" w:hAnsi="Times New Roman"/>
                <w:color w:val="000000"/>
              </w:rPr>
            </w:pPr>
          </w:p>
        </w:tc>
        <w:tc>
          <w:tcPr>
            <w:tcW w:w="6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876E4" w:rsidRPr="00BA1CEE" w:rsidP="001F0DE7" w14:paraId="034EDC5F" w14:textId="2C2D6189">
            <w:pPr>
              <w:widowControl/>
              <w:autoSpaceDE/>
              <w:autoSpaceDN/>
              <w:adjustRightInd/>
              <w:jc w:val="center"/>
              <w:rPr>
                <w:rFonts w:ascii="Times New Roman" w:hAnsi="Times New Roman"/>
                <w:b/>
                <w:bCs/>
                <w:color w:val="000000"/>
              </w:rPr>
            </w:pPr>
            <w:r w:rsidRPr="00BA1CEE">
              <w:rPr>
                <w:rFonts w:ascii="Times New Roman" w:hAnsi="Times New Roman"/>
                <w:b/>
                <w:bCs/>
                <w:color w:val="000000"/>
              </w:rPr>
              <w:t>130</w:t>
            </w:r>
            <w:r w:rsidRPr="00BA1CEE" w:rsidR="00362DE4">
              <w:rPr>
                <w:rFonts w:ascii="Times New Roman" w:hAnsi="Times New Roman"/>
                <w:b/>
                <w:bCs/>
                <w:color w:val="000000"/>
              </w:rPr>
              <w:t>,353</w:t>
            </w:r>
          </w:p>
        </w:tc>
        <w:tc>
          <w:tcPr>
            <w:tcW w:w="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76E4" w:rsidRPr="00BA1CEE" w:rsidP="001F0DE7" w14:paraId="127C516C" w14:textId="77777777">
            <w:pPr>
              <w:widowControl/>
              <w:autoSpaceDE/>
              <w:autoSpaceDN/>
              <w:adjustRightInd/>
              <w:jc w:val="center"/>
              <w:rPr>
                <w:rFonts w:ascii="Times New Roman" w:hAnsi="Times New Roman"/>
                <w:b/>
                <w:bCs/>
                <w:color w:val="000000"/>
              </w:rPr>
            </w:pPr>
          </w:p>
        </w:tc>
        <w:tc>
          <w:tcPr>
            <w:tcW w:w="6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76E4" w:rsidRPr="00BA1CEE" w:rsidP="001F0DE7" w14:paraId="2B3A0ECA" w14:textId="28A5CAE1">
            <w:pPr>
              <w:widowControl/>
              <w:autoSpaceDE/>
              <w:autoSpaceDN/>
              <w:adjustRightInd/>
              <w:jc w:val="center"/>
              <w:rPr>
                <w:rFonts w:ascii="Times New Roman" w:hAnsi="Times New Roman"/>
                <w:b/>
                <w:bCs/>
                <w:color w:val="000000"/>
              </w:rPr>
            </w:pPr>
            <w:r w:rsidRPr="00BA1CEE">
              <w:rPr>
                <w:rFonts w:ascii="Times New Roman" w:hAnsi="Times New Roman"/>
                <w:b/>
                <w:bCs/>
                <w:color w:val="000000"/>
              </w:rPr>
              <w:t>$</w:t>
            </w:r>
            <w:r w:rsidRPr="00BA1CEE" w:rsidR="009026C9">
              <w:rPr>
                <w:rFonts w:ascii="Times New Roman" w:hAnsi="Times New Roman"/>
                <w:b/>
                <w:bCs/>
                <w:color w:val="000000"/>
              </w:rPr>
              <w:t>8,291,</w:t>
            </w:r>
            <w:r w:rsidRPr="00BA1CEE" w:rsidR="00F42871">
              <w:rPr>
                <w:rFonts w:ascii="Times New Roman" w:hAnsi="Times New Roman"/>
                <w:b/>
                <w:bCs/>
                <w:color w:val="000000"/>
              </w:rPr>
              <w:t>329</w:t>
            </w:r>
          </w:p>
        </w:tc>
      </w:tr>
      <w:tr w14:paraId="452F07AA" w14:textId="77777777" w:rsidTr="0048563E">
        <w:tblPrEx>
          <w:tblW w:w="5726" w:type="pct"/>
          <w:tblInd w:w="-190" w:type="dxa"/>
          <w:tblLayout w:type="fixed"/>
          <w:tblLook w:val="04A0"/>
        </w:tblPrEx>
        <w:trPr>
          <w:trHeight w:val="315"/>
        </w:trPr>
        <w:tc>
          <w:tcPr>
            <w:tcW w:w="11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64CE" w:rsidRPr="00BA1CEE" w:rsidP="001264CE" w14:paraId="7E3A9AAC" w14:textId="0278D3A3">
            <w:pPr>
              <w:widowControl/>
              <w:autoSpaceDE/>
              <w:autoSpaceDN/>
              <w:adjustRightInd/>
              <w:rPr>
                <w:rFonts w:ascii="Times New Roman" w:hAnsi="Times New Roman"/>
                <w:b/>
                <w:bCs/>
                <w:color w:val="000000"/>
              </w:rPr>
            </w:pPr>
            <w:r w:rsidRPr="00BA1CEE">
              <w:rPr>
                <w:rFonts w:ascii="Times New Roman" w:hAnsi="Times New Roman"/>
                <w:b/>
                <w:bCs/>
                <w:color w:val="000000"/>
                <w:sz w:val="22"/>
                <w:szCs w:val="22"/>
              </w:rPr>
              <w:t>One Time Total</w:t>
            </w:r>
          </w:p>
        </w:tc>
        <w:tc>
          <w:tcPr>
            <w:tcW w:w="688"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1264CE" w:rsidRPr="00BA1CEE" w:rsidP="001264CE" w14:paraId="294CA189" w14:textId="77777777">
            <w:pPr>
              <w:widowControl/>
              <w:autoSpaceDE/>
              <w:autoSpaceDN/>
              <w:adjustRightInd/>
              <w:jc w:val="center"/>
              <w:rPr>
                <w:rFonts w:ascii="Times New Roman" w:hAnsi="Times New Roman"/>
                <w:b/>
                <w:bCs/>
                <w:color w:val="000000"/>
              </w:rPr>
            </w:pPr>
          </w:p>
        </w:tc>
        <w:tc>
          <w:tcPr>
            <w:tcW w:w="62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64CE" w:rsidRPr="00BA1CEE" w:rsidP="001264CE" w14:paraId="7BDDD1B8" w14:textId="705BD2ED">
            <w:pPr>
              <w:widowControl/>
              <w:autoSpaceDE/>
              <w:autoSpaceDN/>
              <w:adjustRightInd/>
              <w:jc w:val="center"/>
              <w:rPr>
                <w:rFonts w:ascii="Times New Roman" w:hAnsi="Times New Roman"/>
                <w:b/>
                <w:bCs/>
                <w:color w:val="000000"/>
              </w:rPr>
            </w:pPr>
            <w:r w:rsidRPr="00BA1CEE">
              <w:rPr>
                <w:rFonts w:ascii="Times New Roman" w:hAnsi="Times New Roman"/>
                <w:b/>
                <w:bCs/>
                <w:color w:val="000000"/>
                <w:sz w:val="22"/>
                <w:szCs w:val="22"/>
              </w:rPr>
              <w:t>52,548</w:t>
            </w:r>
          </w:p>
        </w:tc>
        <w:tc>
          <w:tcPr>
            <w:tcW w:w="588"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1264CE" w:rsidRPr="00BA1CEE" w:rsidP="001264CE" w14:paraId="07C36E97" w14:textId="77777777">
            <w:pPr>
              <w:widowControl/>
              <w:autoSpaceDE/>
              <w:autoSpaceDN/>
              <w:adjustRightInd/>
              <w:jc w:val="center"/>
              <w:rPr>
                <w:rFonts w:ascii="Times New Roman" w:hAnsi="Times New Roman"/>
                <w:color w:val="000000"/>
              </w:rPr>
            </w:pPr>
          </w:p>
        </w:tc>
        <w:tc>
          <w:tcPr>
            <w:tcW w:w="635"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1264CE" w:rsidRPr="00BA1CEE" w:rsidP="001264CE" w14:paraId="6F765C50" w14:textId="0DB7CF94">
            <w:pPr>
              <w:widowControl/>
              <w:autoSpaceDE/>
              <w:autoSpaceDN/>
              <w:adjustRightInd/>
              <w:jc w:val="center"/>
              <w:rPr>
                <w:rFonts w:ascii="Times New Roman" w:hAnsi="Times New Roman"/>
                <w:b/>
                <w:bCs/>
                <w:color w:val="000000"/>
              </w:rPr>
            </w:pPr>
            <w:r w:rsidRPr="00BA1CEE">
              <w:rPr>
                <w:rFonts w:ascii="Times New Roman" w:hAnsi="Times New Roman"/>
                <w:b/>
                <w:bCs/>
                <w:color w:val="000000"/>
                <w:sz w:val="22"/>
                <w:szCs w:val="22"/>
              </w:rPr>
              <w:t>17,802</w:t>
            </w:r>
          </w:p>
        </w:tc>
        <w:tc>
          <w:tcPr>
            <w:tcW w:w="6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64CE" w:rsidRPr="00BA1CEE" w:rsidP="001264CE" w14:paraId="2AC05184" w14:textId="77777777">
            <w:pPr>
              <w:widowControl/>
              <w:autoSpaceDE/>
              <w:autoSpaceDN/>
              <w:adjustRightInd/>
              <w:jc w:val="center"/>
              <w:rPr>
                <w:rFonts w:ascii="Times New Roman" w:hAnsi="Times New Roman"/>
                <w:b/>
                <w:bCs/>
                <w:color w:val="000000"/>
              </w:rPr>
            </w:pPr>
          </w:p>
        </w:tc>
        <w:tc>
          <w:tcPr>
            <w:tcW w:w="6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64CE" w:rsidRPr="00BA1CEE" w:rsidP="001264CE" w14:paraId="2F03F086" w14:textId="7B64DB4C">
            <w:pPr>
              <w:widowControl/>
              <w:autoSpaceDE/>
              <w:autoSpaceDN/>
              <w:adjustRightInd/>
              <w:jc w:val="center"/>
              <w:rPr>
                <w:rFonts w:ascii="Times New Roman" w:hAnsi="Times New Roman"/>
                <w:b/>
                <w:bCs/>
                <w:color w:val="000000"/>
              </w:rPr>
            </w:pPr>
            <w:r w:rsidRPr="00BA1CEE">
              <w:rPr>
                <w:rFonts w:ascii="Times New Roman" w:hAnsi="Times New Roman"/>
                <w:b/>
                <w:bCs/>
                <w:color w:val="000000"/>
                <w:sz w:val="22"/>
                <w:szCs w:val="22"/>
              </w:rPr>
              <w:t>$1,391,</w:t>
            </w:r>
            <w:r w:rsidRPr="00BA1CEE" w:rsidR="00641175">
              <w:rPr>
                <w:rFonts w:ascii="Times New Roman" w:hAnsi="Times New Roman"/>
                <w:b/>
                <w:bCs/>
                <w:color w:val="000000"/>
                <w:sz w:val="22"/>
                <w:szCs w:val="22"/>
              </w:rPr>
              <w:t>299</w:t>
            </w:r>
          </w:p>
        </w:tc>
      </w:tr>
      <w:tr w14:paraId="35488371" w14:textId="77777777" w:rsidTr="0048563E">
        <w:tblPrEx>
          <w:tblW w:w="5726" w:type="pct"/>
          <w:tblInd w:w="-190" w:type="dxa"/>
          <w:tblLayout w:type="fixed"/>
          <w:tblLook w:val="04A0"/>
        </w:tblPrEx>
        <w:trPr>
          <w:trHeight w:val="315"/>
        </w:trPr>
        <w:tc>
          <w:tcPr>
            <w:tcW w:w="11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64CE" w:rsidRPr="00BA1CEE" w:rsidP="001264CE" w14:paraId="7CA97AFD" w14:textId="1109C0A5">
            <w:pPr>
              <w:widowControl/>
              <w:autoSpaceDE/>
              <w:autoSpaceDN/>
              <w:adjustRightInd/>
              <w:rPr>
                <w:rFonts w:ascii="Times New Roman" w:hAnsi="Times New Roman"/>
                <w:b/>
                <w:bCs/>
                <w:color w:val="000000"/>
              </w:rPr>
            </w:pPr>
            <w:r w:rsidRPr="00BA1CEE">
              <w:rPr>
                <w:rFonts w:ascii="Times New Roman" w:hAnsi="Times New Roman"/>
                <w:b/>
                <w:bCs/>
                <w:color w:val="000000"/>
                <w:sz w:val="22"/>
                <w:szCs w:val="22"/>
              </w:rPr>
              <w:t>Annual Total</w:t>
            </w:r>
          </w:p>
        </w:tc>
        <w:tc>
          <w:tcPr>
            <w:tcW w:w="688"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1264CE" w:rsidRPr="00BA1CEE" w:rsidP="001264CE" w14:paraId="0CE02C62" w14:textId="77777777">
            <w:pPr>
              <w:widowControl/>
              <w:autoSpaceDE/>
              <w:autoSpaceDN/>
              <w:adjustRightInd/>
              <w:jc w:val="center"/>
              <w:rPr>
                <w:rFonts w:ascii="Times New Roman" w:hAnsi="Times New Roman"/>
                <w:b/>
                <w:bCs/>
                <w:color w:val="000000"/>
              </w:rPr>
            </w:pPr>
          </w:p>
        </w:tc>
        <w:tc>
          <w:tcPr>
            <w:tcW w:w="62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64CE" w:rsidRPr="00BA1CEE" w:rsidP="001264CE" w14:paraId="0F135172" w14:textId="3E3024E0">
            <w:pPr>
              <w:widowControl/>
              <w:autoSpaceDE/>
              <w:autoSpaceDN/>
              <w:adjustRightInd/>
              <w:jc w:val="center"/>
              <w:rPr>
                <w:rFonts w:ascii="Times New Roman" w:hAnsi="Times New Roman"/>
                <w:b/>
                <w:bCs/>
                <w:color w:val="000000"/>
              </w:rPr>
            </w:pPr>
            <w:r w:rsidRPr="00BA1CEE">
              <w:rPr>
                <w:rFonts w:ascii="Times New Roman" w:hAnsi="Times New Roman"/>
                <w:b/>
                <w:bCs/>
                <w:color w:val="000000"/>
                <w:sz w:val="22"/>
                <w:szCs w:val="22"/>
              </w:rPr>
              <w:t>458,427</w:t>
            </w:r>
          </w:p>
        </w:tc>
        <w:tc>
          <w:tcPr>
            <w:tcW w:w="588"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1264CE" w:rsidRPr="00BA1CEE" w:rsidP="001264CE" w14:paraId="73282B79" w14:textId="77777777">
            <w:pPr>
              <w:widowControl/>
              <w:autoSpaceDE/>
              <w:autoSpaceDN/>
              <w:adjustRightInd/>
              <w:jc w:val="center"/>
              <w:rPr>
                <w:rFonts w:ascii="Times New Roman" w:hAnsi="Times New Roman"/>
                <w:color w:val="000000"/>
              </w:rPr>
            </w:pPr>
          </w:p>
        </w:tc>
        <w:tc>
          <w:tcPr>
            <w:tcW w:w="635"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1264CE" w:rsidRPr="00BA1CEE" w:rsidP="001264CE" w14:paraId="6718AF79" w14:textId="58038249">
            <w:pPr>
              <w:widowControl/>
              <w:autoSpaceDE/>
              <w:autoSpaceDN/>
              <w:adjustRightInd/>
              <w:jc w:val="center"/>
              <w:rPr>
                <w:rFonts w:ascii="Times New Roman" w:hAnsi="Times New Roman"/>
                <w:b/>
                <w:bCs/>
                <w:color w:val="000000"/>
              </w:rPr>
            </w:pPr>
            <w:r w:rsidRPr="00BA1CEE">
              <w:rPr>
                <w:rFonts w:ascii="Times New Roman" w:hAnsi="Times New Roman"/>
                <w:b/>
                <w:bCs/>
                <w:color w:val="000000"/>
                <w:sz w:val="22"/>
                <w:szCs w:val="22"/>
              </w:rPr>
              <w:t>112,551</w:t>
            </w:r>
          </w:p>
        </w:tc>
        <w:tc>
          <w:tcPr>
            <w:tcW w:w="6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64CE" w:rsidRPr="00BA1CEE" w:rsidP="001264CE" w14:paraId="3910B22A" w14:textId="77777777">
            <w:pPr>
              <w:widowControl/>
              <w:autoSpaceDE/>
              <w:autoSpaceDN/>
              <w:adjustRightInd/>
              <w:jc w:val="center"/>
              <w:rPr>
                <w:rFonts w:ascii="Times New Roman" w:hAnsi="Times New Roman"/>
                <w:b/>
                <w:bCs/>
                <w:color w:val="000000"/>
              </w:rPr>
            </w:pPr>
          </w:p>
        </w:tc>
        <w:tc>
          <w:tcPr>
            <w:tcW w:w="6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64CE" w:rsidRPr="00BA1CEE" w:rsidP="001264CE" w14:paraId="508FBCBD" w14:textId="673DF056">
            <w:pPr>
              <w:widowControl/>
              <w:autoSpaceDE/>
              <w:autoSpaceDN/>
              <w:adjustRightInd/>
              <w:jc w:val="center"/>
              <w:rPr>
                <w:rFonts w:ascii="Times New Roman" w:hAnsi="Times New Roman"/>
                <w:b/>
                <w:bCs/>
                <w:color w:val="000000"/>
              </w:rPr>
            </w:pPr>
            <w:r w:rsidRPr="00BA1CEE">
              <w:rPr>
                <w:rFonts w:ascii="Times New Roman" w:hAnsi="Times New Roman"/>
                <w:b/>
                <w:bCs/>
                <w:color w:val="000000"/>
                <w:sz w:val="22"/>
                <w:szCs w:val="22"/>
              </w:rPr>
              <w:t>$6,900,</w:t>
            </w:r>
            <w:r w:rsidRPr="00BA1CEE" w:rsidR="007F4C81">
              <w:rPr>
                <w:rFonts w:ascii="Times New Roman" w:hAnsi="Times New Roman"/>
                <w:b/>
                <w:bCs/>
                <w:color w:val="000000"/>
                <w:sz w:val="22"/>
                <w:szCs w:val="22"/>
              </w:rPr>
              <w:t>030</w:t>
            </w:r>
          </w:p>
        </w:tc>
      </w:tr>
      <w:tr w14:paraId="22D4E4BD" w14:textId="77777777" w:rsidTr="0048563E">
        <w:tblPrEx>
          <w:tblW w:w="5726" w:type="pct"/>
          <w:tblInd w:w="-190" w:type="dxa"/>
          <w:tblLayout w:type="fixed"/>
          <w:tblLook w:val="04A0"/>
        </w:tblPrEx>
        <w:trPr>
          <w:trHeight w:val="315"/>
        </w:trPr>
        <w:tc>
          <w:tcPr>
            <w:tcW w:w="1123" w:type="pct"/>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tcPr>
          <w:p w:rsidR="001264CE" w:rsidRPr="00BA1CEE" w:rsidP="001264CE" w14:paraId="620A2299" w14:textId="0183E999">
            <w:pPr>
              <w:widowControl/>
              <w:autoSpaceDE/>
              <w:autoSpaceDN/>
              <w:adjustRightInd/>
              <w:rPr>
                <w:rFonts w:ascii="Times New Roman" w:hAnsi="Times New Roman"/>
                <w:b/>
                <w:bCs/>
                <w:color w:val="000000"/>
              </w:rPr>
            </w:pPr>
            <w:r w:rsidRPr="00BA1CEE">
              <w:rPr>
                <w:rFonts w:ascii="Times New Roman" w:hAnsi="Times New Roman"/>
                <w:b/>
                <w:bCs/>
                <w:color w:val="000000"/>
                <w:sz w:val="22"/>
                <w:szCs w:val="22"/>
              </w:rPr>
              <w:t>Total Annualized over 3 years</w:t>
            </w:r>
            <w:r>
              <w:rPr>
                <w:rStyle w:val="FootnoteReference"/>
                <w:rFonts w:ascii="Times New Roman" w:hAnsi="Times New Roman"/>
                <w:color w:val="000000"/>
                <w:sz w:val="22"/>
                <w:szCs w:val="22"/>
                <w:vertAlign w:val="superscript"/>
              </w:rPr>
              <w:footnoteReference w:id="5"/>
            </w:r>
          </w:p>
        </w:tc>
        <w:tc>
          <w:tcPr>
            <w:tcW w:w="688" w:type="pct"/>
            <w:tcBorders>
              <w:top w:val="single" w:sz="4" w:space="0" w:color="auto"/>
              <w:left w:val="single" w:sz="4" w:space="0" w:color="auto"/>
              <w:bottom w:val="single" w:sz="4" w:space="0" w:color="auto"/>
              <w:right w:val="single" w:sz="4" w:space="0" w:color="auto"/>
            </w:tcBorders>
            <w:shd w:val="clear" w:color="auto" w:fill="DDD9C4" w:themeFill="background2" w:themeFillShade="E6"/>
            <w:noWrap/>
            <w:vAlign w:val="center"/>
          </w:tcPr>
          <w:p w:rsidR="001264CE" w:rsidRPr="00BA1CEE" w:rsidP="001264CE" w14:paraId="39DE2D7C" w14:textId="77777777">
            <w:pPr>
              <w:widowControl/>
              <w:autoSpaceDE/>
              <w:autoSpaceDN/>
              <w:adjustRightInd/>
              <w:jc w:val="center"/>
              <w:rPr>
                <w:rFonts w:ascii="Times New Roman" w:hAnsi="Times New Roman"/>
                <w:b/>
                <w:bCs/>
                <w:color w:val="000000"/>
              </w:rPr>
            </w:pPr>
          </w:p>
        </w:tc>
        <w:tc>
          <w:tcPr>
            <w:tcW w:w="629" w:type="pct"/>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tcPr>
          <w:p w:rsidR="001264CE" w:rsidRPr="00BA1CEE" w:rsidP="001264CE" w14:paraId="1B83C916" w14:textId="60E6186A">
            <w:pPr>
              <w:widowControl/>
              <w:autoSpaceDE/>
              <w:autoSpaceDN/>
              <w:adjustRightInd/>
              <w:jc w:val="center"/>
              <w:rPr>
                <w:rFonts w:ascii="Times New Roman" w:hAnsi="Times New Roman"/>
                <w:b/>
                <w:bCs/>
                <w:color w:val="000000"/>
              </w:rPr>
            </w:pPr>
            <w:r w:rsidRPr="00BA1CEE">
              <w:rPr>
                <w:rFonts w:ascii="Times New Roman" w:hAnsi="Times New Roman"/>
                <w:b/>
                <w:bCs/>
                <w:color w:val="000000"/>
                <w:sz w:val="22"/>
                <w:szCs w:val="22"/>
              </w:rPr>
              <w:t>475,943</w:t>
            </w:r>
          </w:p>
        </w:tc>
        <w:tc>
          <w:tcPr>
            <w:tcW w:w="588" w:type="pct"/>
            <w:tcBorders>
              <w:top w:val="single" w:sz="4" w:space="0" w:color="auto"/>
              <w:left w:val="single" w:sz="4" w:space="0" w:color="auto"/>
              <w:bottom w:val="single" w:sz="4" w:space="0" w:color="auto"/>
              <w:right w:val="single" w:sz="4" w:space="0" w:color="auto"/>
            </w:tcBorders>
            <w:shd w:val="clear" w:color="auto" w:fill="DDD9C4" w:themeFill="background2" w:themeFillShade="E6"/>
            <w:noWrap/>
            <w:vAlign w:val="center"/>
          </w:tcPr>
          <w:p w:rsidR="001264CE" w:rsidRPr="00BA1CEE" w:rsidP="001264CE" w14:paraId="29C61F12" w14:textId="77777777">
            <w:pPr>
              <w:widowControl/>
              <w:autoSpaceDE/>
              <w:autoSpaceDN/>
              <w:adjustRightInd/>
              <w:jc w:val="center"/>
              <w:rPr>
                <w:rFonts w:ascii="Times New Roman" w:hAnsi="Times New Roman"/>
                <w:color w:val="000000"/>
              </w:rPr>
            </w:pPr>
          </w:p>
        </w:tc>
        <w:tc>
          <w:tcPr>
            <w:tcW w:w="635" w:type="pct"/>
            <w:tcBorders>
              <w:top w:val="single" w:sz="4" w:space="0" w:color="auto"/>
              <w:left w:val="single" w:sz="4" w:space="0" w:color="auto"/>
              <w:bottom w:val="single" w:sz="4" w:space="0" w:color="auto"/>
              <w:right w:val="single" w:sz="4" w:space="0" w:color="auto"/>
            </w:tcBorders>
            <w:shd w:val="clear" w:color="auto" w:fill="DDD9C4" w:themeFill="background2" w:themeFillShade="E6"/>
            <w:noWrap/>
            <w:vAlign w:val="center"/>
          </w:tcPr>
          <w:p w:rsidR="001264CE" w:rsidRPr="00BA1CEE" w:rsidP="001264CE" w14:paraId="30A2B35B" w14:textId="1D80C9BB">
            <w:pPr>
              <w:widowControl/>
              <w:autoSpaceDE/>
              <w:autoSpaceDN/>
              <w:adjustRightInd/>
              <w:jc w:val="center"/>
              <w:rPr>
                <w:rFonts w:ascii="Times New Roman" w:hAnsi="Times New Roman"/>
                <w:b/>
                <w:bCs/>
                <w:color w:val="000000"/>
              </w:rPr>
            </w:pPr>
            <w:r w:rsidRPr="00BA1CEE">
              <w:rPr>
                <w:rFonts w:ascii="Times New Roman" w:hAnsi="Times New Roman"/>
                <w:b/>
                <w:bCs/>
                <w:color w:val="000000"/>
                <w:sz w:val="22"/>
                <w:szCs w:val="22"/>
              </w:rPr>
              <w:t>118,485</w:t>
            </w:r>
          </w:p>
        </w:tc>
        <w:tc>
          <w:tcPr>
            <w:tcW w:w="668" w:type="pct"/>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tcPr>
          <w:p w:rsidR="001264CE" w:rsidRPr="00BA1CEE" w:rsidP="001264CE" w14:paraId="6CC77E47" w14:textId="77777777">
            <w:pPr>
              <w:widowControl/>
              <w:autoSpaceDE/>
              <w:autoSpaceDN/>
              <w:adjustRightInd/>
              <w:jc w:val="center"/>
              <w:rPr>
                <w:rFonts w:ascii="Times New Roman" w:hAnsi="Times New Roman"/>
                <w:b/>
                <w:bCs/>
                <w:color w:val="000000"/>
              </w:rPr>
            </w:pPr>
          </w:p>
        </w:tc>
        <w:tc>
          <w:tcPr>
            <w:tcW w:w="669" w:type="pct"/>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tcPr>
          <w:p w:rsidR="001264CE" w:rsidRPr="00BA1CEE" w:rsidP="001264CE" w14:paraId="3C4449ED" w14:textId="70C7D616">
            <w:pPr>
              <w:widowControl/>
              <w:autoSpaceDE/>
              <w:autoSpaceDN/>
              <w:adjustRightInd/>
              <w:jc w:val="center"/>
              <w:rPr>
                <w:rFonts w:ascii="Times New Roman" w:hAnsi="Times New Roman"/>
                <w:b/>
                <w:bCs/>
                <w:color w:val="000000"/>
              </w:rPr>
            </w:pPr>
            <w:r w:rsidRPr="00BA1CEE">
              <w:rPr>
                <w:rFonts w:ascii="Times New Roman" w:hAnsi="Times New Roman"/>
                <w:b/>
                <w:bCs/>
                <w:color w:val="000000"/>
                <w:sz w:val="22"/>
                <w:szCs w:val="22"/>
              </w:rPr>
              <w:t>$7,364,279</w:t>
            </w:r>
          </w:p>
        </w:tc>
      </w:tr>
    </w:tbl>
    <w:p w:rsidR="00F11A6F" w:rsidRPr="00BA1CEE" w14:paraId="5B540DA4" w14:textId="69B46BE8">
      <w:pPr>
        <w:widowControl/>
        <w:autoSpaceDE/>
        <w:autoSpaceDN/>
        <w:adjustRightInd/>
        <w:rPr>
          <w:rFonts w:ascii="Times New Roman" w:hAnsi="Times New Roman"/>
          <w:bCs/>
        </w:rPr>
      </w:pPr>
      <w:r w:rsidRPr="00BA1CEE">
        <w:rPr>
          <w:rFonts w:ascii="Times New Roman" w:hAnsi="Times New Roman"/>
          <w:bCs/>
        </w:rPr>
        <w:t>*</w:t>
      </w:r>
      <w:r w:rsidRPr="00BA1CEE" w:rsidR="001D1026">
        <w:rPr>
          <w:rFonts w:ascii="Times New Roman" w:hAnsi="Times New Roman"/>
          <w:bCs/>
        </w:rPr>
        <w:t>An estimated</w:t>
      </w:r>
      <w:r w:rsidRPr="00BA1CEE" w:rsidR="00AF3DC6">
        <w:rPr>
          <w:rFonts w:ascii="Times New Roman" w:hAnsi="Times New Roman"/>
          <w:bCs/>
        </w:rPr>
        <w:t xml:space="preserve"> 24,</w:t>
      </w:r>
      <w:r w:rsidRPr="00BA1CEE" w:rsidR="005E799B">
        <w:rPr>
          <w:rFonts w:ascii="Times New Roman" w:hAnsi="Times New Roman"/>
          <w:bCs/>
        </w:rPr>
        <w:t>668</w:t>
      </w:r>
      <w:r w:rsidRPr="00BA1CEE" w:rsidR="00FE4E21">
        <w:rPr>
          <w:rFonts w:ascii="Times New Roman" w:hAnsi="Times New Roman"/>
          <w:bCs/>
        </w:rPr>
        <w:t xml:space="preserve"> b</w:t>
      </w:r>
      <w:r w:rsidRPr="00BA1CEE" w:rsidR="00670DF5">
        <w:rPr>
          <w:rFonts w:ascii="Times New Roman" w:hAnsi="Times New Roman"/>
          <w:bCs/>
        </w:rPr>
        <w:t xml:space="preserve">atch files </w:t>
      </w:r>
      <w:r w:rsidRPr="00BA1CEE" w:rsidR="005E799B">
        <w:rPr>
          <w:rFonts w:ascii="Times New Roman" w:hAnsi="Times New Roman"/>
          <w:bCs/>
        </w:rPr>
        <w:t xml:space="preserve">submit </w:t>
      </w:r>
      <w:r w:rsidRPr="00BA1CEE" w:rsidR="00486084">
        <w:rPr>
          <w:rFonts w:ascii="Times New Roman" w:hAnsi="Times New Roman"/>
          <w:bCs/>
        </w:rPr>
        <w:t xml:space="preserve">332,498 </w:t>
      </w:r>
      <w:r w:rsidRPr="00BA1CEE">
        <w:rPr>
          <w:rFonts w:ascii="Times New Roman" w:hAnsi="Times New Roman"/>
          <w:bCs/>
        </w:rPr>
        <w:t xml:space="preserve">reportable </w:t>
      </w:r>
      <w:r w:rsidRPr="00BA1CEE" w:rsidR="00486084">
        <w:rPr>
          <w:rFonts w:ascii="Times New Roman" w:hAnsi="Times New Roman"/>
          <w:bCs/>
        </w:rPr>
        <w:t xml:space="preserve">cases </w:t>
      </w:r>
      <w:r w:rsidRPr="00BA1CEE">
        <w:rPr>
          <w:rFonts w:ascii="Times New Roman" w:hAnsi="Times New Roman"/>
          <w:bCs/>
        </w:rPr>
        <w:t>a year</w:t>
      </w:r>
      <w:r w:rsidRPr="00BA1CEE" w:rsidR="006052C4">
        <w:rPr>
          <w:rFonts w:ascii="Times New Roman" w:hAnsi="Times New Roman"/>
          <w:bCs/>
        </w:rPr>
        <w:t>.</w:t>
      </w:r>
      <w:r w:rsidRPr="00BA1CEE" w:rsidR="001A5889">
        <w:rPr>
          <w:rFonts w:ascii="Times New Roman" w:hAnsi="Times New Roman"/>
          <w:bCs/>
        </w:rPr>
        <w:t xml:space="preserve"> </w:t>
      </w:r>
    </w:p>
    <w:p w:rsidR="001857EB" w:rsidRPr="00BA1CEE" w:rsidP="00DD1EDA" w14:paraId="5C168A71" w14:textId="21BD7A53">
      <w:pPr>
        <w:rPr>
          <w:rFonts w:ascii="Times New Roman" w:hAnsi="Times New Roman"/>
          <w:bCs/>
        </w:rPr>
      </w:pPr>
      <w:r w:rsidRPr="00BA1CEE">
        <w:rPr>
          <w:rFonts w:ascii="Times New Roman" w:hAnsi="Times New Roman"/>
          <w:b/>
        </w:rPr>
        <w:t>**</w:t>
      </w:r>
      <w:r w:rsidRPr="00BA1CEE" w:rsidR="004343FE">
        <w:rPr>
          <w:rFonts w:ascii="Times New Roman" w:hAnsi="Times New Roman"/>
          <w:bCs/>
        </w:rPr>
        <w:t xml:space="preserve">After the </w:t>
      </w:r>
      <w:r w:rsidRPr="00BA1CEE" w:rsidR="00952500">
        <w:rPr>
          <w:rFonts w:ascii="Times New Roman" w:hAnsi="Times New Roman"/>
          <w:bCs/>
        </w:rPr>
        <w:t>first time, t</w:t>
      </w:r>
      <w:r w:rsidRPr="00BA1CEE" w:rsidR="004343FE">
        <w:rPr>
          <w:rFonts w:ascii="Times New Roman" w:hAnsi="Times New Roman"/>
          <w:bCs/>
        </w:rPr>
        <w:t xml:space="preserve">his </w:t>
      </w:r>
      <w:r w:rsidRPr="00BA1CEE" w:rsidR="00D62A9D">
        <w:rPr>
          <w:rFonts w:ascii="Times New Roman" w:hAnsi="Times New Roman"/>
          <w:bCs/>
        </w:rPr>
        <w:t>one-time</w:t>
      </w:r>
      <w:r w:rsidRPr="00BA1CEE" w:rsidR="004343FE">
        <w:rPr>
          <w:rFonts w:ascii="Times New Roman" w:hAnsi="Times New Roman"/>
          <w:bCs/>
        </w:rPr>
        <w:t xml:space="preserve"> </w:t>
      </w:r>
      <w:r w:rsidRPr="00BA1CEE" w:rsidR="0082635D">
        <w:rPr>
          <w:rFonts w:ascii="Times New Roman" w:hAnsi="Times New Roman"/>
          <w:bCs/>
        </w:rPr>
        <w:t xml:space="preserve">burden </w:t>
      </w:r>
      <w:r w:rsidRPr="00BA1CEE" w:rsidR="004343FE">
        <w:rPr>
          <w:rFonts w:ascii="Times New Roman" w:hAnsi="Times New Roman"/>
          <w:bCs/>
        </w:rPr>
        <w:t>will be</w:t>
      </w:r>
      <w:r w:rsidRPr="00BA1CEE" w:rsidR="00952500">
        <w:rPr>
          <w:rFonts w:ascii="Times New Roman" w:hAnsi="Times New Roman"/>
          <w:bCs/>
        </w:rPr>
        <w:t xml:space="preserve"> taken only for new companies.</w:t>
      </w:r>
    </w:p>
    <w:p w:rsidR="00D62A9D" w:rsidRPr="00BA1CEE" w:rsidP="00DD1EDA" w14:paraId="3B66DBEF" w14:textId="01798E66">
      <w:pPr>
        <w:rPr>
          <w:rFonts w:ascii="Times New Roman" w:hAnsi="Times New Roman"/>
          <w:bCs/>
        </w:rPr>
      </w:pPr>
    </w:p>
    <w:p w:rsidR="00BB6001" w:rsidRPr="00BA1CEE" w:rsidP="00DD1EDA" w14:paraId="286FA48C" w14:textId="13F93FF0">
      <w:pPr>
        <w:rPr>
          <w:rFonts w:ascii="Times New Roman" w:hAnsi="Times New Roman"/>
          <w:b/>
        </w:rPr>
      </w:pPr>
      <w:r w:rsidRPr="00BA1CEE">
        <w:rPr>
          <w:rFonts w:ascii="Times New Roman" w:hAnsi="Times New Roman"/>
          <w:b/>
        </w:rPr>
        <w:t>13.  Provide an estimate of the total annual cost burden to respondents or recordkeepers resulting from the collection of information</w:t>
      </w:r>
      <w:r w:rsidRPr="00BA1CEE" w:rsidR="002F424A">
        <w:rPr>
          <w:rFonts w:ascii="Times New Roman" w:hAnsi="Times New Roman"/>
          <w:b/>
        </w:rPr>
        <w:t xml:space="preserve">. </w:t>
      </w:r>
      <w:r w:rsidRPr="00BA1CEE">
        <w:rPr>
          <w:rFonts w:ascii="Times New Roman" w:hAnsi="Times New Roman"/>
          <w:b/>
        </w:rPr>
        <w:t>(Do not include the cost of any hour burden shown in Items 12 and 14.)</w:t>
      </w:r>
    </w:p>
    <w:p w:rsidR="002112C4" w:rsidRPr="00BA1CEE" w:rsidP="002112C4" w14:paraId="5E0857D7" w14:textId="77777777">
      <w:pPr>
        <w:rPr>
          <w:rFonts w:ascii="Times New Roman" w:hAnsi="Times New Roman"/>
        </w:rPr>
      </w:pPr>
    </w:p>
    <w:p w:rsidR="00B25A2F" w:rsidRPr="00BA1CEE" w:rsidP="002112C4" w14:paraId="4ACAEDAB" w14:textId="6B98A3A1">
      <w:pPr>
        <w:rPr>
          <w:rFonts w:ascii="Times New Roman" w:hAnsi="Times New Roman"/>
        </w:rPr>
      </w:pPr>
      <w:r w:rsidRPr="00BA1CEE">
        <w:rPr>
          <w:rFonts w:ascii="Times New Roman" w:hAnsi="Times New Roman"/>
        </w:rPr>
        <w:t>All of</w:t>
      </w:r>
      <w:r w:rsidRPr="00BA1CEE">
        <w:rPr>
          <w:rFonts w:ascii="Times New Roman" w:hAnsi="Times New Roman"/>
        </w:rPr>
        <w:t xml:space="preserve"> the costs to the regulated community are included in item 12. </w:t>
      </w:r>
    </w:p>
    <w:p w:rsidR="00C72D55" w:rsidRPr="00BA1CEE" w:rsidP="002112C4" w14:paraId="1FE45155" w14:textId="77777777">
      <w:pPr>
        <w:rPr>
          <w:rFonts w:ascii="Times New Roman" w:hAnsi="Times New Roman"/>
        </w:rPr>
      </w:pPr>
    </w:p>
    <w:p w:rsidR="00BB6001" w:rsidRPr="00BA1CEE" w:rsidP="00BB6001" w14:paraId="26D38FA1" w14:textId="77777777">
      <w:pPr>
        <w:pStyle w:val="BodyText2"/>
        <w:rPr>
          <w:sz w:val="24"/>
          <w:szCs w:val="24"/>
        </w:rPr>
      </w:pPr>
      <w:r w:rsidRPr="00BA1CEE">
        <w:rPr>
          <w:sz w:val="24"/>
          <w:szCs w:val="24"/>
        </w:rPr>
        <w:t>14.  Provide estimates of annualized cost to the Federal government</w:t>
      </w:r>
      <w:r w:rsidRPr="00BA1CEE" w:rsidR="002F424A">
        <w:rPr>
          <w:sz w:val="24"/>
          <w:szCs w:val="24"/>
        </w:rPr>
        <w:t xml:space="preserve">. </w:t>
      </w:r>
      <w:r w:rsidRPr="00BA1CEE">
        <w:rPr>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BA1CEE" w:rsidR="002F424A">
        <w:rPr>
          <w:sz w:val="24"/>
          <w:szCs w:val="24"/>
        </w:rPr>
        <w:t xml:space="preserve">. </w:t>
      </w:r>
      <w:r w:rsidRPr="00BA1CEE">
        <w:rPr>
          <w:sz w:val="24"/>
          <w:szCs w:val="24"/>
        </w:rPr>
        <w:t>Agencies also may aggregate cost estimates from Items 12, 13, and 14 in a single table.</w:t>
      </w:r>
    </w:p>
    <w:p w:rsidR="002112C4" w:rsidRPr="00BA1CEE" w:rsidP="002112C4" w14:paraId="1D39DB62" w14:textId="77777777">
      <w:pPr>
        <w:rPr>
          <w:rFonts w:ascii="Times New Roman" w:hAnsi="Times New Roman"/>
        </w:rPr>
      </w:pPr>
    </w:p>
    <w:p w:rsidR="00F10E54" w:rsidRPr="00BA1CEE" w:rsidP="00F10E54" w14:paraId="70764A4C" w14:textId="08E6948D">
      <w:pPr>
        <w:rPr>
          <w:rFonts w:ascii="Times New Roman" w:hAnsi="Times New Roman"/>
        </w:rPr>
      </w:pPr>
      <w:r w:rsidRPr="00BA1CEE">
        <w:rPr>
          <w:rFonts w:ascii="Times New Roman" w:hAnsi="Times New Roman"/>
        </w:rPr>
        <w:t xml:space="preserve">OSHA estimates a total </w:t>
      </w:r>
      <w:r w:rsidRPr="00BA1CEE" w:rsidR="00BE4188">
        <w:rPr>
          <w:rFonts w:ascii="Times New Roman" w:hAnsi="Times New Roman"/>
        </w:rPr>
        <w:t xml:space="preserve">annual </w:t>
      </w:r>
      <w:r w:rsidRPr="00BA1CEE">
        <w:rPr>
          <w:rFonts w:ascii="Times New Roman" w:hAnsi="Times New Roman"/>
        </w:rPr>
        <w:t>cost to the government of approximately $</w:t>
      </w:r>
      <w:r w:rsidRPr="00BA1CEE" w:rsidR="00BE4188">
        <w:rPr>
          <w:rFonts w:ascii="Times New Roman" w:hAnsi="Times New Roman"/>
          <w:color w:val="000000"/>
          <w:sz w:val="22"/>
          <w:szCs w:val="22"/>
        </w:rPr>
        <w:t>782,845</w:t>
      </w:r>
      <w:r w:rsidRPr="00BA1CEE">
        <w:rPr>
          <w:rFonts w:ascii="Times New Roman" w:hAnsi="Times New Roman"/>
        </w:rPr>
        <w:t>.  This estimated cost is comprised of</w:t>
      </w:r>
      <w:r w:rsidRPr="00BA1CEE" w:rsidR="001135D3">
        <w:rPr>
          <w:rFonts w:ascii="Times New Roman" w:hAnsi="Times New Roman"/>
        </w:rPr>
        <w:t>:</w:t>
      </w:r>
      <w:r w:rsidRPr="00BA1CEE">
        <w:rPr>
          <w:rFonts w:ascii="Times New Roman" w:hAnsi="Times New Roman"/>
        </w:rPr>
        <w:t xml:space="preserve"> </w:t>
      </w:r>
      <w:r w:rsidRPr="00BA1CEE" w:rsidR="0032628B">
        <w:rPr>
          <w:rFonts w:ascii="Times New Roman" w:hAnsi="Times New Roman"/>
        </w:rPr>
        <w:t>(</w:t>
      </w:r>
      <w:r w:rsidRPr="00BA1CEE">
        <w:rPr>
          <w:rFonts w:ascii="Times New Roman" w:hAnsi="Times New Roman"/>
        </w:rPr>
        <w:t xml:space="preserve">1) the </w:t>
      </w:r>
      <w:r w:rsidRPr="00BA1CEE" w:rsidR="00B302FB">
        <w:rPr>
          <w:rFonts w:ascii="Times New Roman" w:hAnsi="Times New Roman"/>
        </w:rPr>
        <w:t xml:space="preserve">administration of the data collection under 1904.41 </w:t>
      </w:r>
      <w:r w:rsidRPr="00BA1CEE">
        <w:rPr>
          <w:rFonts w:ascii="Times New Roman" w:hAnsi="Times New Roman"/>
        </w:rPr>
        <w:t>at</w:t>
      </w:r>
      <w:r w:rsidRPr="00BA1CEE" w:rsidR="00540A1A">
        <w:rPr>
          <w:rFonts w:ascii="Times New Roman" w:hAnsi="Times New Roman"/>
        </w:rPr>
        <w:t xml:space="preserve"> a unit cost estimate of 28 cents per transaction for </w:t>
      </w:r>
      <w:r w:rsidRPr="00BA1CEE" w:rsidR="00941522">
        <w:rPr>
          <w:rFonts w:ascii="Times New Roman" w:hAnsi="Times New Roman"/>
        </w:rPr>
        <w:t>an estimated</w:t>
      </w:r>
      <w:r w:rsidRPr="00BA1CEE" w:rsidR="00540A1A">
        <w:rPr>
          <w:rFonts w:ascii="Times New Roman" w:hAnsi="Times New Roman"/>
        </w:rPr>
        <w:t xml:space="preserve"> </w:t>
      </w:r>
      <w:r w:rsidRPr="00BA1CEE" w:rsidR="00376AD4">
        <w:rPr>
          <w:rFonts w:ascii="Times New Roman" w:hAnsi="Times New Roman"/>
        </w:rPr>
        <w:t>45</w:t>
      </w:r>
      <w:r w:rsidRPr="00BA1CEE" w:rsidR="00734CB0">
        <w:rPr>
          <w:rFonts w:ascii="Times New Roman" w:hAnsi="Times New Roman"/>
        </w:rPr>
        <w:t>8</w:t>
      </w:r>
      <w:r w:rsidRPr="00BA1CEE" w:rsidR="00DD718B">
        <w:rPr>
          <w:rFonts w:ascii="Times New Roman" w:hAnsi="Times New Roman"/>
        </w:rPr>
        <w:t>,</w:t>
      </w:r>
      <w:r w:rsidRPr="00BA1CEE" w:rsidR="00734CB0">
        <w:rPr>
          <w:rFonts w:ascii="Times New Roman" w:hAnsi="Times New Roman"/>
        </w:rPr>
        <w:t>427</w:t>
      </w:r>
      <w:r w:rsidRPr="00BA1CEE" w:rsidR="001E015E">
        <w:rPr>
          <w:rFonts w:ascii="Times New Roman" w:hAnsi="Times New Roman"/>
        </w:rPr>
        <w:t xml:space="preserve"> </w:t>
      </w:r>
      <w:r w:rsidRPr="00BA1CEE" w:rsidR="00941522">
        <w:rPr>
          <w:rFonts w:ascii="Times New Roman" w:hAnsi="Times New Roman"/>
        </w:rPr>
        <w:t>transactions</w:t>
      </w:r>
      <w:r w:rsidRPr="00BA1CEE">
        <w:rPr>
          <w:rFonts w:ascii="Times New Roman" w:hAnsi="Times New Roman"/>
        </w:rPr>
        <w:t xml:space="preserve"> $</w:t>
      </w:r>
      <w:r w:rsidRPr="00BA1CEE" w:rsidR="00DD718B">
        <w:rPr>
          <w:rFonts w:ascii="Times New Roman" w:hAnsi="Times New Roman"/>
        </w:rPr>
        <w:t>128,</w:t>
      </w:r>
      <w:r w:rsidRPr="00BA1CEE" w:rsidR="0029388C">
        <w:rPr>
          <w:rFonts w:ascii="Times New Roman" w:hAnsi="Times New Roman"/>
        </w:rPr>
        <w:t>360</w:t>
      </w:r>
      <w:r w:rsidRPr="00BA1CEE">
        <w:rPr>
          <w:rFonts w:ascii="Times New Roman" w:hAnsi="Times New Roman"/>
        </w:rPr>
        <w:t xml:space="preserve">; </w:t>
      </w:r>
      <w:r w:rsidRPr="00BA1CEE" w:rsidR="0032628B">
        <w:rPr>
          <w:rFonts w:ascii="Times New Roman" w:hAnsi="Times New Roman"/>
        </w:rPr>
        <w:t>(2</w:t>
      </w:r>
      <w:r w:rsidRPr="00BA1CEE">
        <w:rPr>
          <w:rFonts w:ascii="Times New Roman" w:hAnsi="Times New Roman"/>
        </w:rPr>
        <w:t xml:space="preserve">) </w:t>
      </w:r>
      <w:r w:rsidRPr="00BA1CEE" w:rsidR="00A87BAB">
        <w:rPr>
          <w:rFonts w:ascii="Times New Roman" w:hAnsi="Times New Roman"/>
        </w:rPr>
        <w:t>a</w:t>
      </w:r>
      <w:r w:rsidRPr="00BA1CEE" w:rsidR="0062337D">
        <w:rPr>
          <w:rFonts w:ascii="Times New Roman" w:hAnsi="Times New Roman"/>
        </w:rPr>
        <w:t xml:space="preserve">nnual help desk costs </w:t>
      </w:r>
      <w:r w:rsidRPr="00BA1CEE">
        <w:rPr>
          <w:rFonts w:ascii="Times New Roman" w:hAnsi="Times New Roman"/>
        </w:rPr>
        <w:t>of $</w:t>
      </w:r>
      <w:r w:rsidRPr="00BA1CEE" w:rsidR="004D675A">
        <w:rPr>
          <w:rFonts w:ascii="Times New Roman" w:hAnsi="Times New Roman"/>
        </w:rPr>
        <w:t>204,485</w:t>
      </w:r>
      <w:r w:rsidRPr="00BA1CEE" w:rsidR="0032628B">
        <w:rPr>
          <w:rFonts w:ascii="Times New Roman" w:hAnsi="Times New Roman"/>
        </w:rPr>
        <w:t>;</w:t>
      </w:r>
      <w:r w:rsidRPr="00BA1CEE">
        <w:rPr>
          <w:rFonts w:ascii="Times New Roman" w:hAnsi="Times New Roman"/>
        </w:rPr>
        <w:t xml:space="preserve"> </w:t>
      </w:r>
      <w:r w:rsidRPr="00BA1CEE" w:rsidR="00943388">
        <w:rPr>
          <w:rFonts w:ascii="Times New Roman" w:hAnsi="Times New Roman"/>
        </w:rPr>
        <w:t xml:space="preserve">(3) annual contractor support of $50,000; </w:t>
      </w:r>
      <w:r w:rsidRPr="00BA1CEE">
        <w:rPr>
          <w:rFonts w:ascii="Times New Roman" w:hAnsi="Times New Roman"/>
        </w:rPr>
        <w:t xml:space="preserve">and </w:t>
      </w:r>
      <w:r w:rsidRPr="00BA1CEE" w:rsidR="0032628B">
        <w:rPr>
          <w:rFonts w:ascii="Times New Roman" w:hAnsi="Times New Roman"/>
        </w:rPr>
        <w:t>(</w:t>
      </w:r>
      <w:r w:rsidRPr="00BA1CEE" w:rsidR="00943388">
        <w:rPr>
          <w:rFonts w:ascii="Times New Roman" w:hAnsi="Times New Roman"/>
        </w:rPr>
        <w:t>4</w:t>
      </w:r>
      <w:r w:rsidRPr="00BA1CEE">
        <w:rPr>
          <w:rFonts w:ascii="Times New Roman" w:hAnsi="Times New Roman"/>
        </w:rPr>
        <w:t xml:space="preserve">) the systems requirements for collecting the data under the </w:t>
      </w:r>
      <w:r w:rsidRPr="00BA1CEE" w:rsidR="004D675A">
        <w:rPr>
          <w:rFonts w:ascii="Times New Roman" w:hAnsi="Times New Roman"/>
        </w:rPr>
        <w:t>final rule</w:t>
      </w:r>
      <w:r w:rsidRPr="00BA1CEE">
        <w:rPr>
          <w:rFonts w:ascii="Times New Roman" w:hAnsi="Times New Roman"/>
        </w:rPr>
        <w:t xml:space="preserve"> $</w:t>
      </w:r>
      <w:r w:rsidRPr="00BA1CEE" w:rsidR="008972B1">
        <w:rPr>
          <w:rFonts w:ascii="Times New Roman" w:hAnsi="Times New Roman"/>
        </w:rPr>
        <w:t>4</w:t>
      </w:r>
      <w:r w:rsidRPr="00BA1CEE" w:rsidR="00B77CE5">
        <w:rPr>
          <w:rFonts w:ascii="Times New Roman" w:hAnsi="Times New Roman"/>
        </w:rPr>
        <w:t>00,000</w:t>
      </w:r>
      <w:r w:rsidRPr="00BA1CEE">
        <w:rPr>
          <w:rFonts w:ascii="Times New Roman" w:hAnsi="Times New Roman"/>
        </w:rPr>
        <w:t>.</w:t>
      </w:r>
      <w:r w:rsidRPr="00BA1CEE" w:rsidR="00B95B36">
        <w:rPr>
          <w:rFonts w:ascii="Times New Roman" w:hAnsi="Times New Roman"/>
        </w:rPr>
        <w:t xml:space="preserve"> See Table 3.</w:t>
      </w:r>
    </w:p>
    <w:p w:rsidR="00B95B36" w:rsidRPr="00BA1CEE" w:rsidP="00F10E54" w14:paraId="3399AF1F" w14:textId="26350A6A">
      <w:pPr>
        <w:rPr>
          <w:rFonts w:ascii="Times New Roman" w:hAnsi="Times New Roman"/>
        </w:rPr>
      </w:pPr>
    </w:p>
    <w:p w:rsidR="00467FB7" w:rsidRPr="00BA1CEE" w:rsidP="00467FB7" w14:paraId="05EE5EA0" w14:textId="77777777">
      <w:pPr>
        <w:rPr>
          <w:rFonts w:ascii="Times New Roman" w:hAnsi="Times New Roman"/>
          <w:b/>
          <w:bCs/>
        </w:rPr>
      </w:pPr>
      <w:r w:rsidRPr="00BA1CEE">
        <w:rPr>
          <w:rFonts w:ascii="Times New Roman" w:hAnsi="Times New Roman"/>
          <w:b/>
          <w:bCs/>
        </w:rPr>
        <w:t>Table 3 – Cost to the Government</w:t>
      </w:r>
    </w:p>
    <w:p w:rsidR="00467FB7" w:rsidRPr="00BA1CEE" w:rsidP="00467FB7" w14:paraId="24B0D3AD" w14:textId="77777777">
      <w:pPr>
        <w:rPr>
          <w:rFonts w:ascii="Times New Roman" w:hAnsi="Times New Roman"/>
          <w:b/>
          <w:bCs/>
        </w:rPr>
      </w:pPr>
    </w:p>
    <w:tbl>
      <w:tblPr>
        <w:tblStyle w:val="TableGrid"/>
        <w:tblW w:w="0" w:type="auto"/>
        <w:tblLook w:val="04A0"/>
      </w:tblPr>
      <w:tblGrid>
        <w:gridCol w:w="3402"/>
        <w:gridCol w:w="2423"/>
        <w:gridCol w:w="1646"/>
        <w:gridCol w:w="1879"/>
      </w:tblGrid>
      <w:tr w14:paraId="658740F2" w14:textId="77777777" w:rsidTr="0048563E">
        <w:tblPrEx>
          <w:tblW w:w="0" w:type="auto"/>
          <w:tblLook w:val="04A0"/>
        </w:tblPrEx>
        <w:trPr>
          <w:tblHeader/>
        </w:trPr>
        <w:tc>
          <w:tcPr>
            <w:tcW w:w="3415" w:type="dxa"/>
            <w:shd w:val="clear" w:color="auto" w:fill="D6E3BC" w:themeFill="accent3" w:themeFillTint="66"/>
          </w:tcPr>
          <w:p w:rsidR="00467FB7" w:rsidRPr="00BA1CEE" w:rsidP="00050AE2" w14:paraId="2EB56C7D" w14:textId="77777777">
            <w:pPr>
              <w:rPr>
                <w:rFonts w:ascii="Times New Roman" w:hAnsi="Times New Roman"/>
                <w:b/>
                <w:bCs/>
                <w:sz w:val="22"/>
                <w:szCs w:val="22"/>
              </w:rPr>
            </w:pPr>
            <w:r w:rsidRPr="00BA1CEE">
              <w:rPr>
                <w:rFonts w:ascii="Times New Roman" w:hAnsi="Times New Roman"/>
                <w:b/>
                <w:bCs/>
                <w:sz w:val="22"/>
                <w:szCs w:val="22"/>
              </w:rPr>
              <w:t>Type of Cost</w:t>
            </w:r>
          </w:p>
        </w:tc>
        <w:tc>
          <w:tcPr>
            <w:tcW w:w="2430" w:type="dxa"/>
            <w:shd w:val="clear" w:color="auto" w:fill="D6E3BC" w:themeFill="accent3" w:themeFillTint="66"/>
          </w:tcPr>
          <w:p w:rsidR="00467FB7" w:rsidRPr="00BA1CEE" w:rsidP="00050AE2" w14:paraId="010FCCAF" w14:textId="77777777">
            <w:pPr>
              <w:rPr>
                <w:rFonts w:ascii="Times New Roman" w:hAnsi="Times New Roman"/>
                <w:b/>
                <w:bCs/>
                <w:sz w:val="22"/>
                <w:szCs w:val="22"/>
              </w:rPr>
            </w:pPr>
            <w:r w:rsidRPr="00BA1CEE">
              <w:rPr>
                <w:rFonts w:ascii="Times New Roman" w:hAnsi="Times New Roman"/>
                <w:b/>
                <w:bCs/>
                <w:sz w:val="22"/>
                <w:szCs w:val="22"/>
              </w:rPr>
              <w:t>Transactions</w:t>
            </w:r>
          </w:p>
        </w:tc>
        <w:tc>
          <w:tcPr>
            <w:tcW w:w="1620" w:type="dxa"/>
            <w:shd w:val="clear" w:color="auto" w:fill="D6E3BC" w:themeFill="accent3" w:themeFillTint="66"/>
          </w:tcPr>
          <w:p w:rsidR="00467FB7" w:rsidRPr="00BA1CEE" w:rsidP="00050AE2" w14:paraId="562BFDCF" w14:textId="77777777">
            <w:pPr>
              <w:rPr>
                <w:rFonts w:ascii="Times New Roman" w:hAnsi="Times New Roman"/>
                <w:b/>
                <w:bCs/>
                <w:sz w:val="22"/>
                <w:szCs w:val="22"/>
              </w:rPr>
            </w:pPr>
            <w:r w:rsidRPr="00BA1CEE">
              <w:rPr>
                <w:rFonts w:ascii="Times New Roman" w:hAnsi="Times New Roman"/>
                <w:b/>
                <w:bCs/>
                <w:sz w:val="22"/>
                <w:szCs w:val="22"/>
              </w:rPr>
              <w:t>Unit Cost</w:t>
            </w:r>
          </w:p>
        </w:tc>
        <w:tc>
          <w:tcPr>
            <w:tcW w:w="1885" w:type="dxa"/>
            <w:shd w:val="clear" w:color="auto" w:fill="D6E3BC" w:themeFill="accent3" w:themeFillTint="66"/>
          </w:tcPr>
          <w:p w:rsidR="00467FB7" w:rsidRPr="00BA1CEE" w:rsidP="00050AE2" w14:paraId="70B4DCCB" w14:textId="77777777">
            <w:pPr>
              <w:rPr>
                <w:rFonts w:ascii="Times New Roman" w:hAnsi="Times New Roman"/>
                <w:b/>
                <w:bCs/>
                <w:sz w:val="22"/>
                <w:szCs w:val="22"/>
              </w:rPr>
            </w:pPr>
            <w:r w:rsidRPr="00BA1CEE">
              <w:rPr>
                <w:rFonts w:ascii="Times New Roman" w:hAnsi="Times New Roman"/>
                <w:b/>
                <w:bCs/>
                <w:sz w:val="22"/>
                <w:szCs w:val="22"/>
              </w:rPr>
              <w:t>Total</w:t>
            </w:r>
          </w:p>
        </w:tc>
      </w:tr>
      <w:tr w14:paraId="67C698B1" w14:textId="77777777" w:rsidTr="00050AE2">
        <w:tblPrEx>
          <w:tblW w:w="0" w:type="auto"/>
          <w:tblLook w:val="04A0"/>
        </w:tblPrEx>
        <w:tc>
          <w:tcPr>
            <w:tcW w:w="3415" w:type="dxa"/>
          </w:tcPr>
          <w:p w:rsidR="00467FB7" w:rsidRPr="00BA1CEE" w:rsidP="00050AE2" w14:paraId="10D35EA8" w14:textId="77777777">
            <w:pPr>
              <w:rPr>
                <w:rFonts w:ascii="Times New Roman" w:hAnsi="Times New Roman"/>
                <w:sz w:val="22"/>
                <w:szCs w:val="22"/>
              </w:rPr>
            </w:pPr>
            <w:r w:rsidRPr="00BA1CEE">
              <w:rPr>
                <w:rFonts w:ascii="Times New Roman" w:hAnsi="Times New Roman"/>
                <w:sz w:val="22"/>
                <w:szCs w:val="22"/>
              </w:rPr>
              <w:t>Data Collection</w:t>
            </w:r>
          </w:p>
        </w:tc>
        <w:tc>
          <w:tcPr>
            <w:tcW w:w="2430" w:type="dxa"/>
          </w:tcPr>
          <w:p w:rsidR="00467FB7" w:rsidRPr="00BA1CEE" w:rsidP="00050AE2" w14:paraId="17E3053C" w14:textId="77777777">
            <w:pPr>
              <w:rPr>
                <w:rFonts w:ascii="Times New Roman" w:hAnsi="Times New Roman"/>
                <w:sz w:val="22"/>
                <w:szCs w:val="22"/>
              </w:rPr>
            </w:pPr>
            <w:r w:rsidRPr="00BA1CEE">
              <w:rPr>
                <w:rFonts w:ascii="Times New Roman" w:hAnsi="Times New Roman"/>
                <w:sz w:val="22"/>
                <w:szCs w:val="22"/>
              </w:rPr>
              <w:t>458,427 submissions</w:t>
            </w:r>
          </w:p>
        </w:tc>
        <w:tc>
          <w:tcPr>
            <w:tcW w:w="1620" w:type="dxa"/>
          </w:tcPr>
          <w:p w:rsidR="00467FB7" w:rsidRPr="00BA1CEE" w:rsidP="00050AE2" w14:paraId="7B4C9D18" w14:textId="77777777">
            <w:pPr>
              <w:rPr>
                <w:rFonts w:ascii="Times New Roman" w:hAnsi="Times New Roman"/>
                <w:sz w:val="22"/>
                <w:szCs w:val="22"/>
              </w:rPr>
            </w:pPr>
            <w:r w:rsidRPr="00BA1CEE">
              <w:rPr>
                <w:rFonts w:ascii="Times New Roman" w:hAnsi="Times New Roman"/>
                <w:sz w:val="22"/>
                <w:szCs w:val="22"/>
              </w:rPr>
              <w:t xml:space="preserve">$0.28 </w:t>
            </w:r>
          </w:p>
        </w:tc>
        <w:tc>
          <w:tcPr>
            <w:tcW w:w="1885" w:type="dxa"/>
          </w:tcPr>
          <w:p w:rsidR="00467FB7" w:rsidRPr="00BA1CEE" w:rsidP="00050AE2" w14:paraId="45339ACE" w14:textId="77777777">
            <w:pPr>
              <w:rPr>
                <w:rFonts w:ascii="Times New Roman" w:hAnsi="Times New Roman"/>
                <w:sz w:val="22"/>
                <w:szCs w:val="22"/>
              </w:rPr>
            </w:pPr>
            <w:r w:rsidRPr="00BA1CEE">
              <w:rPr>
                <w:rFonts w:ascii="Times New Roman" w:hAnsi="Times New Roman"/>
                <w:sz w:val="22"/>
                <w:szCs w:val="22"/>
              </w:rPr>
              <w:t>$128,360</w:t>
            </w:r>
          </w:p>
        </w:tc>
      </w:tr>
      <w:tr w14:paraId="2DE85451" w14:textId="77777777" w:rsidTr="00050AE2">
        <w:tblPrEx>
          <w:tblW w:w="0" w:type="auto"/>
          <w:tblLook w:val="04A0"/>
        </w:tblPrEx>
        <w:tc>
          <w:tcPr>
            <w:tcW w:w="3415" w:type="dxa"/>
          </w:tcPr>
          <w:p w:rsidR="00CE44B8" w:rsidRPr="00BA1CEE" w:rsidP="00CE44B8" w14:paraId="364F3527" w14:textId="2BC46871">
            <w:pPr>
              <w:rPr>
                <w:rFonts w:ascii="Times New Roman" w:hAnsi="Times New Roman"/>
                <w:sz w:val="22"/>
                <w:szCs w:val="22"/>
              </w:rPr>
            </w:pPr>
            <w:r w:rsidRPr="00BA1CEE">
              <w:rPr>
                <w:rFonts w:ascii="Times New Roman" w:hAnsi="Times New Roman"/>
                <w:sz w:val="22"/>
                <w:szCs w:val="22"/>
              </w:rPr>
              <w:t>Contractor Support</w:t>
            </w:r>
          </w:p>
        </w:tc>
        <w:tc>
          <w:tcPr>
            <w:tcW w:w="2430" w:type="dxa"/>
          </w:tcPr>
          <w:p w:rsidR="00CE44B8" w:rsidRPr="00BA1CEE" w:rsidP="00CE44B8" w14:paraId="17B6E4D9" w14:textId="1DDD0619">
            <w:pPr>
              <w:rPr>
                <w:rFonts w:ascii="Times New Roman" w:hAnsi="Times New Roman"/>
                <w:sz w:val="22"/>
                <w:szCs w:val="22"/>
              </w:rPr>
            </w:pPr>
            <w:r w:rsidRPr="00BA1CEE">
              <w:rPr>
                <w:rFonts w:ascii="Times New Roman" w:hAnsi="Times New Roman"/>
                <w:sz w:val="22"/>
                <w:szCs w:val="22"/>
              </w:rPr>
              <w:t>Annually</w:t>
            </w:r>
          </w:p>
        </w:tc>
        <w:tc>
          <w:tcPr>
            <w:tcW w:w="1620" w:type="dxa"/>
          </w:tcPr>
          <w:p w:rsidR="00CE44B8" w:rsidRPr="00BA1CEE" w:rsidP="00CE44B8" w14:paraId="5E761DD7" w14:textId="026B4077">
            <w:pPr>
              <w:rPr>
                <w:rFonts w:ascii="Times New Roman" w:hAnsi="Times New Roman"/>
                <w:sz w:val="22"/>
                <w:szCs w:val="22"/>
              </w:rPr>
            </w:pPr>
            <w:r w:rsidRPr="00BA1CEE">
              <w:rPr>
                <w:rFonts w:ascii="Times New Roman" w:hAnsi="Times New Roman"/>
                <w:sz w:val="22"/>
                <w:szCs w:val="22"/>
              </w:rPr>
              <w:t>$50,000</w:t>
            </w:r>
          </w:p>
        </w:tc>
        <w:tc>
          <w:tcPr>
            <w:tcW w:w="1885" w:type="dxa"/>
          </w:tcPr>
          <w:p w:rsidR="00CE44B8" w:rsidRPr="00BA1CEE" w:rsidP="00CE44B8" w14:paraId="7463A61B" w14:textId="1A9757C5">
            <w:pPr>
              <w:rPr>
                <w:rFonts w:ascii="Times New Roman" w:hAnsi="Times New Roman"/>
                <w:sz w:val="22"/>
                <w:szCs w:val="22"/>
              </w:rPr>
            </w:pPr>
            <w:r w:rsidRPr="00BA1CEE">
              <w:rPr>
                <w:rFonts w:ascii="Times New Roman" w:hAnsi="Times New Roman"/>
                <w:sz w:val="22"/>
                <w:szCs w:val="22"/>
              </w:rPr>
              <w:t>$50,000</w:t>
            </w:r>
          </w:p>
        </w:tc>
      </w:tr>
      <w:tr w14:paraId="6456499E" w14:textId="77777777" w:rsidTr="00050AE2">
        <w:tblPrEx>
          <w:tblW w:w="0" w:type="auto"/>
          <w:tblLook w:val="04A0"/>
        </w:tblPrEx>
        <w:tc>
          <w:tcPr>
            <w:tcW w:w="3415" w:type="dxa"/>
          </w:tcPr>
          <w:p w:rsidR="00467FB7" w:rsidRPr="00BA1CEE" w:rsidP="00050AE2" w14:paraId="48DC9F8F" w14:textId="77777777">
            <w:pPr>
              <w:rPr>
                <w:rFonts w:ascii="Times New Roman" w:hAnsi="Times New Roman"/>
                <w:sz w:val="22"/>
                <w:szCs w:val="22"/>
              </w:rPr>
            </w:pPr>
            <w:r w:rsidRPr="00BA1CEE">
              <w:rPr>
                <w:rFonts w:ascii="Times New Roman" w:hAnsi="Times New Roman"/>
                <w:sz w:val="22"/>
                <w:szCs w:val="22"/>
              </w:rPr>
              <w:t>Help Desk (IT Specialist)</w:t>
            </w:r>
          </w:p>
        </w:tc>
        <w:tc>
          <w:tcPr>
            <w:tcW w:w="2430" w:type="dxa"/>
          </w:tcPr>
          <w:p w:rsidR="00467FB7" w:rsidRPr="00BA1CEE" w:rsidP="00050AE2" w14:paraId="52E201F2" w14:textId="77777777">
            <w:pPr>
              <w:rPr>
                <w:rFonts w:ascii="Times New Roman" w:hAnsi="Times New Roman"/>
                <w:sz w:val="22"/>
                <w:szCs w:val="22"/>
              </w:rPr>
            </w:pPr>
            <w:r w:rsidRPr="00BA1CEE">
              <w:rPr>
                <w:rFonts w:ascii="Times New Roman" w:hAnsi="Times New Roman"/>
                <w:sz w:val="22"/>
                <w:szCs w:val="22"/>
              </w:rPr>
              <w:t>2,080 hours</w:t>
            </w:r>
          </w:p>
        </w:tc>
        <w:tc>
          <w:tcPr>
            <w:tcW w:w="1620" w:type="dxa"/>
          </w:tcPr>
          <w:p w:rsidR="00467FB7" w:rsidRPr="00BA1CEE" w:rsidP="00050AE2" w14:paraId="43718851" w14:textId="77777777">
            <w:pPr>
              <w:rPr>
                <w:rFonts w:ascii="Times New Roman" w:hAnsi="Times New Roman"/>
                <w:sz w:val="22"/>
                <w:szCs w:val="22"/>
              </w:rPr>
            </w:pPr>
            <w:r w:rsidRPr="00BA1CEE">
              <w:rPr>
                <w:rFonts w:ascii="Times New Roman" w:hAnsi="Times New Roman"/>
                <w:sz w:val="22"/>
                <w:szCs w:val="22"/>
              </w:rPr>
              <w:t>$98.31</w:t>
            </w:r>
          </w:p>
        </w:tc>
        <w:tc>
          <w:tcPr>
            <w:tcW w:w="1885" w:type="dxa"/>
          </w:tcPr>
          <w:p w:rsidR="00467FB7" w:rsidRPr="00BA1CEE" w:rsidP="00050AE2" w14:paraId="75875860" w14:textId="77777777">
            <w:pPr>
              <w:rPr>
                <w:rFonts w:ascii="Times New Roman" w:hAnsi="Times New Roman"/>
                <w:sz w:val="22"/>
                <w:szCs w:val="22"/>
              </w:rPr>
            </w:pPr>
            <w:r w:rsidRPr="00BA1CEE">
              <w:rPr>
                <w:rFonts w:ascii="Times New Roman" w:hAnsi="Times New Roman"/>
                <w:sz w:val="22"/>
                <w:szCs w:val="22"/>
              </w:rPr>
              <w:t>$204,485</w:t>
            </w:r>
          </w:p>
        </w:tc>
      </w:tr>
      <w:tr w14:paraId="4FF7C00F" w14:textId="77777777" w:rsidTr="00050AE2">
        <w:tblPrEx>
          <w:tblW w:w="0" w:type="auto"/>
          <w:tblLook w:val="04A0"/>
        </w:tblPrEx>
        <w:tc>
          <w:tcPr>
            <w:tcW w:w="3415" w:type="dxa"/>
          </w:tcPr>
          <w:p w:rsidR="00467FB7" w:rsidRPr="00BA1CEE" w:rsidP="00050AE2" w14:paraId="5D531E38" w14:textId="687C92EC">
            <w:pPr>
              <w:rPr>
                <w:rFonts w:ascii="Times New Roman" w:hAnsi="Times New Roman"/>
                <w:sz w:val="22"/>
                <w:szCs w:val="22"/>
              </w:rPr>
            </w:pPr>
            <w:r w:rsidRPr="00BA1CEE">
              <w:rPr>
                <w:rFonts w:ascii="Times New Roman" w:hAnsi="Times New Roman"/>
                <w:sz w:val="22"/>
                <w:szCs w:val="22"/>
              </w:rPr>
              <w:t>Software Development and Design</w:t>
            </w:r>
          </w:p>
        </w:tc>
        <w:tc>
          <w:tcPr>
            <w:tcW w:w="2430" w:type="dxa"/>
          </w:tcPr>
          <w:p w:rsidR="00467FB7" w:rsidRPr="00BA1CEE" w:rsidP="00050AE2" w14:paraId="58BB32CB" w14:textId="79AF7B3E">
            <w:pPr>
              <w:rPr>
                <w:rFonts w:ascii="Times New Roman" w:hAnsi="Times New Roman"/>
                <w:sz w:val="22"/>
                <w:szCs w:val="22"/>
              </w:rPr>
            </w:pPr>
            <w:r w:rsidRPr="00BA1CEE">
              <w:rPr>
                <w:rFonts w:ascii="Times New Roman" w:hAnsi="Times New Roman"/>
                <w:sz w:val="22"/>
                <w:szCs w:val="22"/>
              </w:rPr>
              <w:t>One time cost</w:t>
            </w:r>
            <w:r w:rsidRPr="00BA1CEE" w:rsidR="006C66DD">
              <w:rPr>
                <w:rFonts w:ascii="Times New Roman" w:hAnsi="Times New Roman"/>
                <w:sz w:val="22"/>
                <w:szCs w:val="22"/>
              </w:rPr>
              <w:t xml:space="preserve"> </w:t>
            </w:r>
          </w:p>
        </w:tc>
        <w:tc>
          <w:tcPr>
            <w:tcW w:w="1620" w:type="dxa"/>
          </w:tcPr>
          <w:p w:rsidR="00467FB7" w:rsidRPr="00BA1CEE" w:rsidP="00050AE2" w14:paraId="20987788" w14:textId="0A471BC9">
            <w:pPr>
              <w:rPr>
                <w:rFonts w:ascii="Times New Roman" w:hAnsi="Times New Roman"/>
                <w:sz w:val="22"/>
                <w:szCs w:val="22"/>
              </w:rPr>
            </w:pPr>
            <w:r w:rsidRPr="00BA1CEE">
              <w:rPr>
                <w:rFonts w:ascii="Times New Roman" w:hAnsi="Times New Roman"/>
                <w:sz w:val="22"/>
                <w:szCs w:val="22"/>
              </w:rPr>
              <w:t>$</w:t>
            </w:r>
            <w:r w:rsidRPr="00BA1CEE" w:rsidR="00570B0C">
              <w:rPr>
                <w:rFonts w:ascii="Times New Roman" w:hAnsi="Times New Roman"/>
                <w:sz w:val="22"/>
                <w:szCs w:val="22"/>
              </w:rPr>
              <w:t>1,200,000/3</w:t>
            </w:r>
            <w:r w:rsidRPr="00BA1CEE" w:rsidR="004C6026">
              <w:rPr>
                <w:rFonts w:ascii="Times New Roman" w:hAnsi="Times New Roman"/>
                <w:sz w:val="22"/>
                <w:szCs w:val="22"/>
              </w:rPr>
              <w:t>yrs</w:t>
            </w:r>
          </w:p>
        </w:tc>
        <w:tc>
          <w:tcPr>
            <w:tcW w:w="1885" w:type="dxa"/>
          </w:tcPr>
          <w:p w:rsidR="00467FB7" w:rsidRPr="00BA1CEE" w:rsidP="00050AE2" w14:paraId="142E5175" w14:textId="2B60F646">
            <w:pPr>
              <w:rPr>
                <w:rFonts w:ascii="Times New Roman" w:hAnsi="Times New Roman"/>
                <w:sz w:val="22"/>
                <w:szCs w:val="22"/>
              </w:rPr>
            </w:pPr>
            <w:r w:rsidRPr="00BA1CEE">
              <w:rPr>
                <w:rFonts w:ascii="Times New Roman" w:hAnsi="Times New Roman"/>
                <w:sz w:val="22"/>
                <w:szCs w:val="22"/>
              </w:rPr>
              <w:t>$</w:t>
            </w:r>
            <w:r w:rsidRPr="00BA1CEE" w:rsidR="0088243B">
              <w:rPr>
                <w:rFonts w:ascii="Times New Roman" w:hAnsi="Times New Roman"/>
                <w:sz w:val="22"/>
                <w:szCs w:val="22"/>
              </w:rPr>
              <w:t>400</w:t>
            </w:r>
            <w:r w:rsidRPr="00BA1CEE" w:rsidR="00570B0C">
              <w:rPr>
                <w:rFonts w:ascii="Times New Roman" w:hAnsi="Times New Roman"/>
                <w:sz w:val="22"/>
                <w:szCs w:val="22"/>
              </w:rPr>
              <w:t>,000</w:t>
            </w:r>
          </w:p>
        </w:tc>
      </w:tr>
      <w:tr w14:paraId="64A4A273" w14:textId="77777777" w:rsidTr="00050AE2">
        <w:tblPrEx>
          <w:tblW w:w="0" w:type="auto"/>
          <w:tblLook w:val="04A0"/>
        </w:tblPrEx>
        <w:tc>
          <w:tcPr>
            <w:tcW w:w="3415" w:type="dxa"/>
            <w:shd w:val="clear" w:color="auto" w:fill="F2F2F2" w:themeFill="background1" w:themeFillShade="F2"/>
          </w:tcPr>
          <w:p w:rsidR="00467FB7" w:rsidRPr="00BA1CEE" w:rsidP="00050AE2" w14:paraId="6E8FCF05" w14:textId="77777777">
            <w:pPr>
              <w:rPr>
                <w:rFonts w:ascii="Times New Roman" w:hAnsi="Times New Roman"/>
                <w:b/>
                <w:bCs/>
                <w:sz w:val="22"/>
                <w:szCs w:val="22"/>
              </w:rPr>
            </w:pPr>
            <w:r w:rsidRPr="00BA1CEE">
              <w:rPr>
                <w:rFonts w:ascii="Times New Roman" w:hAnsi="Times New Roman"/>
                <w:b/>
                <w:bCs/>
                <w:sz w:val="22"/>
                <w:szCs w:val="22"/>
              </w:rPr>
              <w:t>Total</w:t>
            </w:r>
          </w:p>
        </w:tc>
        <w:tc>
          <w:tcPr>
            <w:tcW w:w="2430" w:type="dxa"/>
            <w:shd w:val="clear" w:color="auto" w:fill="F2F2F2" w:themeFill="background1" w:themeFillShade="F2"/>
          </w:tcPr>
          <w:p w:rsidR="00467FB7" w:rsidRPr="00BA1CEE" w:rsidP="00050AE2" w14:paraId="1E05EF46" w14:textId="77777777">
            <w:pPr>
              <w:rPr>
                <w:rFonts w:ascii="Times New Roman" w:hAnsi="Times New Roman"/>
                <w:sz w:val="22"/>
                <w:szCs w:val="22"/>
              </w:rPr>
            </w:pPr>
          </w:p>
        </w:tc>
        <w:tc>
          <w:tcPr>
            <w:tcW w:w="1620" w:type="dxa"/>
            <w:shd w:val="clear" w:color="auto" w:fill="F2F2F2" w:themeFill="background1" w:themeFillShade="F2"/>
          </w:tcPr>
          <w:p w:rsidR="00467FB7" w:rsidRPr="00BA1CEE" w:rsidP="00050AE2" w14:paraId="64B91F07" w14:textId="77777777">
            <w:pPr>
              <w:rPr>
                <w:rFonts w:ascii="Times New Roman" w:hAnsi="Times New Roman"/>
                <w:sz w:val="22"/>
                <w:szCs w:val="22"/>
              </w:rPr>
            </w:pPr>
          </w:p>
        </w:tc>
        <w:tc>
          <w:tcPr>
            <w:tcW w:w="1885" w:type="dxa"/>
            <w:shd w:val="clear" w:color="auto" w:fill="F2F2F2" w:themeFill="background1" w:themeFillShade="F2"/>
          </w:tcPr>
          <w:p w:rsidR="00467FB7" w:rsidRPr="00BA1CEE" w:rsidP="00050AE2" w14:paraId="2CE83E23" w14:textId="0BB609B5">
            <w:pPr>
              <w:rPr>
                <w:rFonts w:ascii="Times New Roman" w:hAnsi="Times New Roman"/>
                <w:b/>
                <w:bCs/>
                <w:sz w:val="22"/>
                <w:szCs w:val="22"/>
              </w:rPr>
            </w:pPr>
            <w:r w:rsidRPr="00BA1CEE">
              <w:rPr>
                <w:rFonts w:ascii="Times New Roman" w:hAnsi="Times New Roman"/>
                <w:b/>
                <w:bCs/>
                <w:color w:val="000000"/>
                <w:sz w:val="22"/>
                <w:szCs w:val="22"/>
              </w:rPr>
              <w:t>$</w:t>
            </w:r>
            <w:r w:rsidRPr="00BA1CEE" w:rsidR="005269A0">
              <w:rPr>
                <w:rFonts w:ascii="Times New Roman" w:hAnsi="Times New Roman"/>
                <w:b/>
                <w:bCs/>
                <w:color w:val="000000"/>
                <w:sz w:val="22"/>
                <w:szCs w:val="22"/>
              </w:rPr>
              <w:t>782,845</w:t>
            </w:r>
          </w:p>
        </w:tc>
      </w:tr>
    </w:tbl>
    <w:p w:rsidR="00F50AD2" w:rsidRPr="00BA1CEE" w:rsidP="00F10E54" w14:paraId="14976FA9" w14:textId="7FFCD430">
      <w:pPr>
        <w:rPr>
          <w:rFonts w:ascii="Times New Roman" w:hAnsi="Times New Roman"/>
        </w:rPr>
      </w:pPr>
    </w:p>
    <w:p w:rsidR="00872850" w:rsidRPr="00BA1CEE" w:rsidP="00F10E54" w14:paraId="1DB94C2A" w14:textId="77777777">
      <w:pPr>
        <w:rPr>
          <w:rFonts w:ascii="Times New Roman" w:hAnsi="Times New Roman"/>
        </w:rPr>
      </w:pPr>
    </w:p>
    <w:p w:rsidR="00BB6001" w:rsidRPr="00BA1CEE" w:rsidP="00BB6001" w14:paraId="600F75A4" w14:textId="77777777">
      <w:pPr>
        <w:pStyle w:val="BodyText2"/>
        <w:tabs>
          <w:tab w:val="clear" w:pos="-720"/>
          <w:tab w:val="clear" w:pos="3240"/>
          <w:tab w:val="left" w:pos="3600"/>
        </w:tabs>
        <w:rPr>
          <w:sz w:val="24"/>
          <w:szCs w:val="24"/>
        </w:rPr>
      </w:pPr>
      <w:r w:rsidRPr="00BA1CEE">
        <w:rPr>
          <w:sz w:val="24"/>
          <w:szCs w:val="24"/>
        </w:rPr>
        <w:t xml:space="preserve">15.  Explain the reasons for any program changes or adjustments. </w:t>
      </w:r>
    </w:p>
    <w:p w:rsidR="00427953" w:rsidRPr="00BA1CEE" w:rsidP="00427953" w14:paraId="4C20EF77" w14:textId="77777777">
      <w:pPr>
        <w:widowControl/>
        <w:autoSpaceDE/>
        <w:autoSpaceDN/>
        <w:adjustRightInd/>
        <w:ind w:firstLine="720"/>
        <w:rPr>
          <w:rFonts w:ascii="Times New Roman" w:hAnsi="Times New Roman"/>
        </w:rPr>
      </w:pPr>
    </w:p>
    <w:p w:rsidR="00B455C1" w:rsidRPr="00BA1CEE" w:rsidP="00500268" w14:paraId="3446AA7F" w14:textId="013A92DE">
      <w:pPr>
        <w:outlineLvl w:val="0"/>
        <w:rPr>
          <w:rFonts w:ascii="Times New Roman" w:hAnsi="Times New Roman"/>
        </w:rPr>
      </w:pPr>
      <w:r w:rsidRPr="00BA1CEE">
        <w:rPr>
          <w:rStyle w:val="blueten1"/>
          <w:rFonts w:ascii="Times New Roman" w:hAnsi="Times New Roman"/>
          <w:color w:val="000000"/>
        </w:rPr>
        <w:t>OSHA publish</w:t>
      </w:r>
      <w:r w:rsidRPr="00BA1CEE" w:rsidR="002F02B7">
        <w:rPr>
          <w:rStyle w:val="blueten1"/>
          <w:rFonts w:ascii="Times New Roman" w:hAnsi="Times New Roman"/>
          <w:color w:val="000000"/>
        </w:rPr>
        <w:t>ed</w:t>
      </w:r>
      <w:r w:rsidRPr="00BA1CEE" w:rsidR="002557C8">
        <w:rPr>
          <w:rStyle w:val="blueten1"/>
          <w:rFonts w:ascii="Times New Roman" w:hAnsi="Times New Roman"/>
          <w:color w:val="000000"/>
        </w:rPr>
        <w:t xml:space="preserve"> a</w:t>
      </w:r>
      <w:r w:rsidRPr="00BA1CEE">
        <w:rPr>
          <w:rStyle w:val="blueten1"/>
          <w:rFonts w:ascii="Times New Roman" w:hAnsi="Times New Roman"/>
          <w:color w:val="000000"/>
        </w:rPr>
        <w:t xml:space="preserve"> </w:t>
      </w:r>
      <w:r w:rsidRPr="00BA1CEE" w:rsidR="00934B6D">
        <w:rPr>
          <w:rStyle w:val="blueten1"/>
          <w:rFonts w:ascii="Times New Roman" w:hAnsi="Times New Roman"/>
          <w:color w:val="000000"/>
        </w:rPr>
        <w:t>final rule</w:t>
      </w:r>
      <w:r w:rsidRPr="00BA1CEE" w:rsidR="00237566">
        <w:rPr>
          <w:rStyle w:val="blueten1"/>
          <w:rFonts w:ascii="Times New Roman" w:hAnsi="Times New Roman"/>
          <w:color w:val="000000"/>
        </w:rPr>
        <w:t>,</w:t>
      </w:r>
      <w:r w:rsidRPr="00BA1CEE" w:rsidR="006D41D1">
        <w:rPr>
          <w:rStyle w:val="blueten1"/>
          <w:rFonts w:ascii="Times New Roman" w:hAnsi="Times New Roman"/>
          <w:color w:val="000000"/>
        </w:rPr>
        <w:t xml:space="preserve"> </w:t>
      </w:r>
      <w:r w:rsidRPr="00BA1CEE" w:rsidR="006D41D1">
        <w:rPr>
          <w:rStyle w:val="blueten1"/>
          <w:rFonts w:ascii="Times New Roman" w:hAnsi="Times New Roman"/>
          <w:i/>
          <w:iCs/>
          <w:color w:val="000000"/>
        </w:rPr>
        <w:t>Improve Tracking of Workplace Injuries and Illnesses</w:t>
      </w:r>
      <w:r w:rsidRPr="00BA1CEE" w:rsidR="001852AF">
        <w:rPr>
          <w:rStyle w:val="blueten1"/>
          <w:rFonts w:ascii="Times New Roman" w:hAnsi="Times New Roman"/>
          <w:i/>
          <w:iCs/>
          <w:color w:val="000000"/>
        </w:rPr>
        <w:t xml:space="preserve"> </w:t>
      </w:r>
      <w:r w:rsidRPr="00BA1CEE" w:rsidR="001852AF">
        <w:rPr>
          <w:rStyle w:val="blueten1"/>
          <w:rFonts w:ascii="Times New Roman" w:hAnsi="Times New Roman"/>
          <w:color w:val="000000"/>
        </w:rPr>
        <w:t>which contains</w:t>
      </w:r>
      <w:r w:rsidRPr="00BA1CEE" w:rsidR="005D382A">
        <w:rPr>
          <w:rStyle w:val="blueten1"/>
          <w:rFonts w:ascii="Times New Roman" w:hAnsi="Times New Roman"/>
          <w:color w:val="000000"/>
        </w:rPr>
        <w:t xml:space="preserve"> collection of information</w:t>
      </w:r>
      <w:r w:rsidRPr="00BA1CEE" w:rsidR="007C38B6">
        <w:rPr>
          <w:rStyle w:val="blueten1"/>
          <w:rFonts w:ascii="Times New Roman" w:hAnsi="Times New Roman"/>
          <w:color w:val="000000"/>
        </w:rPr>
        <w:t xml:space="preserve"> requirements</w:t>
      </w:r>
      <w:r w:rsidRPr="00BA1CEE" w:rsidR="00934B6D">
        <w:rPr>
          <w:rStyle w:val="blueten1"/>
          <w:rFonts w:ascii="Times New Roman" w:hAnsi="Times New Roman"/>
          <w:color w:val="000000"/>
        </w:rPr>
        <w:t xml:space="preserve"> </w:t>
      </w:r>
      <w:r w:rsidRPr="00BA1CEE" w:rsidR="00165AA8">
        <w:rPr>
          <w:rStyle w:val="blueten1"/>
          <w:rFonts w:ascii="Times New Roman" w:hAnsi="Times New Roman"/>
          <w:color w:val="000000"/>
        </w:rPr>
        <w:t xml:space="preserve">subject to OMB </w:t>
      </w:r>
      <w:r w:rsidRPr="00BA1CEE" w:rsidR="00305E28">
        <w:rPr>
          <w:rStyle w:val="blueten1"/>
          <w:rFonts w:ascii="Times New Roman" w:hAnsi="Times New Roman"/>
          <w:color w:val="000000"/>
        </w:rPr>
        <w:t>review.</w:t>
      </w:r>
      <w:r w:rsidRPr="00BA1CEE" w:rsidR="00263662">
        <w:rPr>
          <w:rStyle w:val="blueten1"/>
          <w:rFonts w:ascii="Times New Roman" w:hAnsi="Times New Roman"/>
          <w:color w:val="000000"/>
        </w:rPr>
        <w:t xml:space="preserve"> </w:t>
      </w:r>
      <w:r w:rsidRPr="00BA1CEE" w:rsidR="00DB29B4">
        <w:rPr>
          <w:rStyle w:val="blueten1"/>
          <w:rFonts w:ascii="Times New Roman" w:hAnsi="Times New Roman"/>
          <w:color w:val="000000"/>
        </w:rPr>
        <w:t xml:space="preserve"> The agency is requesting</w:t>
      </w:r>
      <w:r w:rsidRPr="00BA1CEE" w:rsidR="00623842">
        <w:rPr>
          <w:rStyle w:val="blueten1"/>
          <w:rFonts w:ascii="Times New Roman" w:hAnsi="Times New Roman"/>
          <w:color w:val="000000"/>
        </w:rPr>
        <w:t xml:space="preserve"> O</w:t>
      </w:r>
      <w:r w:rsidRPr="00BA1CEE" w:rsidR="007C5701">
        <w:rPr>
          <w:rStyle w:val="blueten1"/>
          <w:rFonts w:ascii="Times New Roman" w:hAnsi="Times New Roman"/>
          <w:color w:val="000000"/>
        </w:rPr>
        <w:t xml:space="preserve">MB approval </w:t>
      </w:r>
      <w:r w:rsidRPr="00BA1CEE" w:rsidR="00EB6AA6">
        <w:rPr>
          <w:rStyle w:val="blueten1"/>
          <w:rFonts w:ascii="Times New Roman" w:hAnsi="Times New Roman"/>
          <w:color w:val="000000"/>
        </w:rPr>
        <w:t xml:space="preserve">of </w:t>
      </w:r>
      <w:r w:rsidRPr="00BA1CEE" w:rsidR="00345200">
        <w:rPr>
          <w:rFonts w:ascii="Times New Roman" w:hAnsi="Times New Roman"/>
          <w:color w:val="000000"/>
        </w:rPr>
        <w:t>118,485</w:t>
      </w:r>
      <w:r w:rsidRPr="00BA1CEE" w:rsidR="003B0E6F">
        <w:rPr>
          <w:rFonts w:ascii="Times New Roman" w:hAnsi="Times New Roman"/>
          <w:color w:val="000000"/>
        </w:rPr>
        <w:t xml:space="preserve"> </w:t>
      </w:r>
      <w:r w:rsidRPr="00BA1CEE" w:rsidR="00936EAA">
        <w:rPr>
          <w:rFonts w:ascii="Times New Roman" w:hAnsi="Times New Roman"/>
          <w:color w:val="000000"/>
        </w:rPr>
        <w:t>a</w:t>
      </w:r>
      <w:r w:rsidRPr="00BA1CEE" w:rsidR="00935814">
        <w:rPr>
          <w:rFonts w:ascii="Times New Roman" w:hAnsi="Times New Roman"/>
          <w:color w:val="000000"/>
        </w:rPr>
        <w:t xml:space="preserve">nnualized </w:t>
      </w:r>
      <w:r w:rsidRPr="00BA1CEE" w:rsidR="003B0E6F">
        <w:rPr>
          <w:rFonts w:ascii="Times New Roman" w:hAnsi="Times New Roman"/>
          <w:color w:val="000000"/>
        </w:rPr>
        <w:t xml:space="preserve">burden hours </w:t>
      </w:r>
      <w:r w:rsidRPr="00BA1CEE" w:rsidR="00AA56E3">
        <w:rPr>
          <w:rFonts w:ascii="Times New Roman" w:hAnsi="Times New Roman"/>
          <w:color w:val="000000"/>
        </w:rPr>
        <w:t xml:space="preserve">over a period of three years </w:t>
      </w:r>
      <w:r w:rsidRPr="00BA1CEE" w:rsidR="003B0E6F">
        <w:rPr>
          <w:rFonts w:ascii="Times New Roman" w:hAnsi="Times New Roman"/>
          <w:color w:val="000000"/>
        </w:rPr>
        <w:t>for these collection of information requirements con</w:t>
      </w:r>
      <w:r w:rsidRPr="00BA1CEE" w:rsidR="00363936">
        <w:rPr>
          <w:rFonts w:ascii="Times New Roman" w:hAnsi="Times New Roman"/>
          <w:color w:val="000000"/>
        </w:rPr>
        <w:t xml:space="preserve">tained in this </w:t>
      </w:r>
      <w:r w:rsidRPr="00BA1CEE" w:rsidR="00001331">
        <w:rPr>
          <w:rFonts w:ascii="Times New Roman" w:hAnsi="Times New Roman"/>
          <w:color w:val="000000"/>
        </w:rPr>
        <w:t>final</w:t>
      </w:r>
      <w:r w:rsidRPr="00BA1CEE" w:rsidR="00363936">
        <w:rPr>
          <w:rFonts w:ascii="Times New Roman" w:hAnsi="Times New Roman"/>
          <w:color w:val="000000"/>
        </w:rPr>
        <w:t xml:space="preserve"> </w:t>
      </w:r>
      <w:r w:rsidRPr="00BA1CEE" w:rsidR="0043326C">
        <w:rPr>
          <w:rFonts w:ascii="Times New Roman" w:hAnsi="Times New Roman"/>
          <w:color w:val="000000"/>
        </w:rPr>
        <w:t xml:space="preserve">rule </w:t>
      </w:r>
      <w:r w:rsidRPr="00BA1CEE" w:rsidR="00363936">
        <w:rPr>
          <w:rFonts w:ascii="Times New Roman" w:hAnsi="Times New Roman"/>
          <w:color w:val="000000"/>
        </w:rPr>
        <w:t xml:space="preserve">under OMB Control </w:t>
      </w:r>
      <w:r w:rsidRPr="00BA1CEE" w:rsidR="006F5DB0">
        <w:rPr>
          <w:rFonts w:ascii="Times New Roman" w:hAnsi="Times New Roman"/>
          <w:color w:val="000000"/>
        </w:rPr>
        <w:t>Number 1218-0279</w:t>
      </w:r>
      <w:r w:rsidRPr="00BA1CEE" w:rsidR="00A80F28">
        <w:rPr>
          <w:rFonts w:ascii="Times New Roman" w:hAnsi="Times New Roman"/>
          <w:color w:val="000000"/>
        </w:rPr>
        <w:t>.</w:t>
      </w:r>
      <w:r w:rsidRPr="00BA1CEE" w:rsidR="00815332">
        <w:rPr>
          <w:rFonts w:ascii="Times New Roman" w:hAnsi="Times New Roman"/>
          <w:color w:val="000000"/>
        </w:rPr>
        <w:t xml:space="preserve"> The total number of </w:t>
      </w:r>
      <w:r w:rsidRPr="00BA1CEE" w:rsidR="00DB39F4">
        <w:rPr>
          <w:rFonts w:ascii="Times New Roman" w:hAnsi="Times New Roman"/>
          <w:color w:val="000000"/>
        </w:rPr>
        <w:t xml:space="preserve">annualized </w:t>
      </w:r>
      <w:r w:rsidRPr="00BA1CEE" w:rsidR="00815332">
        <w:rPr>
          <w:rFonts w:ascii="Times New Roman" w:hAnsi="Times New Roman"/>
          <w:color w:val="000000"/>
        </w:rPr>
        <w:t>re</w:t>
      </w:r>
      <w:r w:rsidRPr="00BA1CEE" w:rsidR="0097474D">
        <w:rPr>
          <w:rFonts w:ascii="Times New Roman" w:hAnsi="Times New Roman"/>
          <w:color w:val="000000"/>
        </w:rPr>
        <w:t xml:space="preserve">sponses is </w:t>
      </w:r>
      <w:r w:rsidRPr="00BA1CEE" w:rsidR="00DB39F4">
        <w:rPr>
          <w:rFonts w:ascii="Times New Roman" w:hAnsi="Times New Roman"/>
          <w:color w:val="000000"/>
        </w:rPr>
        <w:t>475,943</w:t>
      </w:r>
      <w:r w:rsidRPr="00BA1CEE" w:rsidR="007B44F8">
        <w:rPr>
          <w:rFonts w:ascii="Times New Roman" w:hAnsi="Times New Roman"/>
          <w:color w:val="000000"/>
        </w:rPr>
        <w:t>.</w:t>
      </w:r>
      <w:r w:rsidRPr="00BA1CEE" w:rsidR="006F2CC8">
        <w:rPr>
          <w:rFonts w:ascii="Times New Roman" w:hAnsi="Times New Roman"/>
          <w:color w:val="000000"/>
        </w:rPr>
        <w:t xml:space="preserve"> Also, </w:t>
      </w:r>
      <w:r w:rsidRPr="00BA1CEE" w:rsidR="008E503F">
        <w:rPr>
          <w:rFonts w:ascii="Times New Roman" w:hAnsi="Times New Roman"/>
          <w:color w:val="000000"/>
        </w:rPr>
        <w:t xml:space="preserve">there is a cost to the government of </w:t>
      </w:r>
      <w:r w:rsidRPr="00BA1CEE" w:rsidR="00E30559">
        <w:rPr>
          <w:rFonts w:ascii="Times New Roman" w:hAnsi="Times New Roman"/>
          <w:color w:val="000000"/>
        </w:rPr>
        <w:t>$</w:t>
      </w:r>
      <w:r w:rsidRPr="00BA1CEE" w:rsidR="00E77201">
        <w:rPr>
          <w:rFonts w:ascii="Times New Roman" w:hAnsi="Times New Roman"/>
          <w:color w:val="000000"/>
          <w:sz w:val="22"/>
          <w:szCs w:val="22"/>
        </w:rPr>
        <w:t>782,845</w:t>
      </w:r>
      <w:r w:rsidRPr="00BA1CEE" w:rsidR="00CB3EA5">
        <w:rPr>
          <w:rFonts w:ascii="Times New Roman" w:hAnsi="Times New Roman"/>
          <w:color w:val="000000"/>
        </w:rPr>
        <w:t xml:space="preserve"> to process these form</w:t>
      </w:r>
      <w:r w:rsidRPr="00BA1CEE" w:rsidR="0022102A">
        <w:rPr>
          <w:rFonts w:ascii="Times New Roman" w:hAnsi="Times New Roman"/>
          <w:color w:val="000000"/>
        </w:rPr>
        <w:t>s</w:t>
      </w:r>
      <w:r w:rsidRPr="00BA1CEE" w:rsidR="001B21E4">
        <w:rPr>
          <w:rFonts w:ascii="Times New Roman" w:hAnsi="Times New Roman"/>
          <w:color w:val="000000"/>
        </w:rPr>
        <w:t xml:space="preserve"> annually</w:t>
      </w:r>
      <w:r w:rsidRPr="00BA1CEE" w:rsidR="0022102A">
        <w:rPr>
          <w:rFonts w:ascii="Times New Roman" w:hAnsi="Times New Roman"/>
          <w:color w:val="000000"/>
        </w:rPr>
        <w:t>.</w:t>
      </w:r>
    </w:p>
    <w:p w:rsidR="00395EBB" w:rsidRPr="00BA1CEE" w:rsidP="00427953" w14:paraId="160796CB" w14:textId="77777777">
      <w:pPr>
        <w:widowControl/>
        <w:autoSpaceDE/>
        <w:autoSpaceDN/>
        <w:adjustRightInd/>
        <w:rPr>
          <w:rFonts w:ascii="Times New Roman" w:hAnsi="Times New Roman"/>
        </w:rPr>
      </w:pPr>
    </w:p>
    <w:p w:rsidR="007D50DE" w:rsidRPr="00BA1CEE" w:rsidP="007D50DE" w14:paraId="06785BEC" w14:textId="34F235DE">
      <w:pPr>
        <w:pStyle w:val="BodyText2"/>
        <w:rPr>
          <w:sz w:val="24"/>
          <w:szCs w:val="24"/>
        </w:rPr>
      </w:pPr>
      <w:r w:rsidRPr="00BA1CEE">
        <w:rPr>
          <w:sz w:val="24"/>
          <w:szCs w:val="24"/>
        </w:rPr>
        <w:t>16.  For collections of information whose results will be published, outline plans f</w:t>
      </w:r>
      <w:r w:rsidRPr="00BA1CEE" w:rsidR="002F424A">
        <w:rPr>
          <w:sz w:val="24"/>
          <w:szCs w:val="24"/>
        </w:rPr>
        <w:t xml:space="preserve">or tabulation and publication. </w:t>
      </w:r>
      <w:r w:rsidRPr="00BA1CEE">
        <w:rPr>
          <w:sz w:val="24"/>
          <w:szCs w:val="24"/>
        </w:rPr>
        <w:t>Address any complex analytical</w:t>
      </w:r>
      <w:r w:rsidRPr="00BA1CEE" w:rsidR="002F424A">
        <w:rPr>
          <w:sz w:val="24"/>
          <w:szCs w:val="24"/>
        </w:rPr>
        <w:t xml:space="preserve"> techniques that will be used. </w:t>
      </w:r>
      <w:r w:rsidRPr="00BA1CEE">
        <w:rPr>
          <w:sz w:val="24"/>
          <w:szCs w:val="24"/>
        </w:rPr>
        <w:t>Provide the time schedule for the entire project, including beginning and ending dates of the collection information, completion of report, publication dates, and other actions.</w:t>
      </w:r>
    </w:p>
    <w:p w:rsidR="0032628B" w:rsidRPr="00BA1CEE" w:rsidP="007D50DE" w14:paraId="4B096781" w14:textId="77777777">
      <w:pPr>
        <w:pStyle w:val="BodyText2"/>
        <w:rPr>
          <w:sz w:val="24"/>
          <w:szCs w:val="24"/>
        </w:rPr>
      </w:pPr>
    </w:p>
    <w:p w:rsidR="00F72597" w:rsidRPr="00BA1CEE" w:rsidP="0032628B" w14:paraId="03574227" w14:textId="37AAE62D">
      <w:pPr>
        <w:rPr>
          <w:rFonts w:ascii="Times New Roman" w:hAnsi="Times New Roman"/>
        </w:rPr>
      </w:pPr>
      <w:r w:rsidRPr="00BA1CEE">
        <w:rPr>
          <w:rFonts w:ascii="Times New Roman" w:hAnsi="Times New Roman"/>
        </w:rPr>
        <w:t xml:space="preserve">OSHA intends to </w:t>
      </w:r>
      <w:r w:rsidRPr="00BA1CEE" w:rsidR="00C54EF5">
        <w:rPr>
          <w:rFonts w:ascii="Times New Roman" w:hAnsi="Times New Roman"/>
        </w:rPr>
        <w:t xml:space="preserve">tabulate and </w:t>
      </w:r>
      <w:r w:rsidRPr="00BA1CEE">
        <w:rPr>
          <w:rFonts w:ascii="Times New Roman" w:hAnsi="Times New Roman"/>
        </w:rPr>
        <w:t xml:space="preserve">publish some of the </w:t>
      </w:r>
      <w:r w:rsidRPr="00BA1CEE" w:rsidR="00C54EF5">
        <w:rPr>
          <w:rFonts w:ascii="Times New Roman" w:hAnsi="Times New Roman"/>
        </w:rPr>
        <w:t xml:space="preserve">information </w:t>
      </w:r>
      <w:r w:rsidRPr="00BA1CEE" w:rsidR="00F32775">
        <w:rPr>
          <w:rFonts w:ascii="Times New Roman" w:hAnsi="Times New Roman"/>
        </w:rPr>
        <w:t xml:space="preserve">collected </w:t>
      </w:r>
      <w:r w:rsidRPr="00BA1CEE" w:rsidR="00C54EF5">
        <w:rPr>
          <w:rFonts w:ascii="Times New Roman" w:hAnsi="Times New Roman"/>
        </w:rPr>
        <w:t>from the 300 and 301 forms</w:t>
      </w:r>
      <w:r w:rsidRPr="00BA1CEE" w:rsidR="00C071B9">
        <w:rPr>
          <w:rFonts w:ascii="Times New Roman" w:hAnsi="Times New Roman"/>
        </w:rPr>
        <w:t xml:space="preserve"> on a public website after removing any submitted information that could reasonably be expected to identify individuals directly.</w:t>
      </w:r>
      <w:r w:rsidRPr="00BA1CEE" w:rsidR="004F4410">
        <w:rPr>
          <w:rFonts w:ascii="Times New Roman" w:hAnsi="Times New Roman"/>
        </w:rPr>
        <w:t xml:space="preserve"> </w:t>
      </w:r>
      <w:r w:rsidRPr="00BA1CEE" w:rsidR="00373C66">
        <w:rPr>
          <w:rFonts w:ascii="Times New Roman" w:hAnsi="Times New Roman"/>
        </w:rPr>
        <w:t xml:space="preserve">OSHA </w:t>
      </w:r>
      <w:r w:rsidRPr="00BA1CEE" w:rsidR="00C76768">
        <w:rPr>
          <w:rFonts w:ascii="Times New Roman" w:hAnsi="Times New Roman"/>
        </w:rPr>
        <w:t xml:space="preserve">generally </w:t>
      </w:r>
      <w:r w:rsidRPr="00BA1CEE" w:rsidR="00373C66">
        <w:rPr>
          <w:rFonts w:ascii="Times New Roman" w:hAnsi="Times New Roman"/>
        </w:rPr>
        <w:t>plans to publish the data</w:t>
      </w:r>
      <w:r w:rsidRPr="00BA1CEE" w:rsidR="00152501">
        <w:rPr>
          <w:rFonts w:ascii="Times New Roman" w:hAnsi="Times New Roman"/>
        </w:rPr>
        <w:t xml:space="preserve"> </w:t>
      </w:r>
      <w:r w:rsidRPr="00BA1CEE" w:rsidR="00373C66">
        <w:rPr>
          <w:rFonts w:ascii="Times New Roman" w:hAnsi="Times New Roman"/>
        </w:rPr>
        <w:t xml:space="preserve">on an annual basis.  </w:t>
      </w:r>
      <w:r w:rsidRPr="00BA1CEE">
        <w:rPr>
          <w:rFonts w:ascii="Times New Roman" w:hAnsi="Times New Roman"/>
        </w:rPr>
        <w:t xml:space="preserve">OSHA does not anticipate </w:t>
      </w:r>
      <w:r w:rsidRPr="00BA1CEE" w:rsidR="00A50E51">
        <w:rPr>
          <w:rFonts w:ascii="Times New Roman" w:hAnsi="Times New Roman"/>
        </w:rPr>
        <w:t>using</w:t>
      </w:r>
      <w:r w:rsidRPr="00BA1CEE">
        <w:rPr>
          <w:rFonts w:ascii="Times New Roman" w:hAnsi="Times New Roman"/>
        </w:rPr>
        <w:t xml:space="preserve"> complex </w:t>
      </w:r>
      <w:r w:rsidRPr="00BA1CEE" w:rsidR="00A50E51">
        <w:rPr>
          <w:rFonts w:ascii="Times New Roman" w:hAnsi="Times New Roman"/>
        </w:rPr>
        <w:t>analytical techniques</w:t>
      </w:r>
      <w:r w:rsidRPr="00BA1CEE">
        <w:rPr>
          <w:rFonts w:ascii="Times New Roman" w:hAnsi="Times New Roman"/>
        </w:rPr>
        <w:t>.</w:t>
      </w:r>
    </w:p>
    <w:p w:rsidR="007D50DE" w:rsidRPr="00BA1CEE" w:rsidP="007D50DE" w14:paraId="4591892A" w14:textId="77777777">
      <w:pPr>
        <w:rPr>
          <w:rFonts w:ascii="Times New Roman" w:hAnsi="Times New Roman"/>
        </w:rPr>
      </w:pPr>
    </w:p>
    <w:p w:rsidR="007D50DE" w:rsidRPr="00BA1CEE" w:rsidP="007D50DE" w14:paraId="7B47F688" w14:textId="0CEB1E70">
      <w:pPr>
        <w:pStyle w:val="BodyText2"/>
        <w:rPr>
          <w:sz w:val="24"/>
          <w:szCs w:val="24"/>
        </w:rPr>
      </w:pPr>
      <w:r w:rsidRPr="00BA1CEE">
        <w:rPr>
          <w:sz w:val="24"/>
          <w:szCs w:val="24"/>
        </w:rPr>
        <w:t>17.  If seeking approval to not display the expiration date for OMB approval of the information collection, explain the reasons that display would be appropriate</w:t>
      </w:r>
      <w:r w:rsidRPr="00BA1CEE" w:rsidR="002F424A">
        <w:rPr>
          <w:sz w:val="24"/>
          <w:szCs w:val="24"/>
        </w:rPr>
        <w:t xml:space="preserve">. </w:t>
      </w:r>
    </w:p>
    <w:p w:rsidR="00350731" w:rsidRPr="00BA1CEE" w:rsidP="007D50DE" w14:paraId="32FB5E6B" w14:textId="77777777">
      <w:pPr>
        <w:pStyle w:val="BodyText2"/>
        <w:rPr>
          <w:sz w:val="24"/>
          <w:szCs w:val="24"/>
        </w:rPr>
      </w:pPr>
    </w:p>
    <w:p w:rsidR="00F23459" w:rsidRPr="00BA1CEE" w:rsidP="007D50DE" w14:paraId="2926235D" w14:textId="77777777">
      <w:pPr>
        <w:rPr>
          <w:rFonts w:ascii="Times New Roman" w:hAnsi="Times New Roman"/>
        </w:rPr>
      </w:pPr>
      <w:r w:rsidRPr="00BA1CEE">
        <w:rPr>
          <w:rFonts w:ascii="Times New Roman" w:hAnsi="Times New Roman"/>
        </w:rPr>
        <w:t xml:space="preserve">The expiration date will be published on the data collection web portal. </w:t>
      </w:r>
    </w:p>
    <w:p w:rsidR="007D50DE" w:rsidRPr="00BA1CEE" w:rsidP="007D50DE" w14:paraId="37276C9F" w14:textId="77777777">
      <w:pPr>
        <w:pStyle w:val="BodyText2"/>
        <w:rPr>
          <w:sz w:val="24"/>
          <w:szCs w:val="24"/>
        </w:rPr>
      </w:pPr>
    </w:p>
    <w:p w:rsidR="007D50DE" w:rsidRPr="00BA1CEE" w:rsidP="007D50DE" w14:paraId="7E7ECE53" w14:textId="77777777">
      <w:pPr>
        <w:pStyle w:val="BodyText2"/>
        <w:rPr>
          <w:sz w:val="24"/>
          <w:szCs w:val="24"/>
        </w:rPr>
      </w:pPr>
      <w:r w:rsidRPr="00BA1CEE">
        <w:rPr>
          <w:sz w:val="24"/>
          <w:szCs w:val="24"/>
        </w:rPr>
        <w:t>18.  Explain each exception to the certification statement.</w:t>
      </w:r>
    </w:p>
    <w:p w:rsidR="007D50DE" w:rsidRPr="00BA1CEE" w:rsidP="007D50DE" w14:paraId="61BE39B1" w14:textId="77777777">
      <w:pPr>
        <w:pStyle w:val="BodyText2"/>
        <w:rPr>
          <w:sz w:val="24"/>
          <w:szCs w:val="24"/>
        </w:rPr>
      </w:pPr>
    </w:p>
    <w:p w:rsidR="007D50DE" w:rsidRPr="00BA1CEE" w:rsidP="007D50DE" w14:paraId="59B818B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BA1CEE">
        <w:rPr>
          <w:rFonts w:ascii="Times New Roman" w:hAnsi="Times New Roman"/>
        </w:rPr>
        <w:t>OSHA is not seeking such an exception.</w:t>
      </w:r>
    </w:p>
    <w:p w:rsidR="007D50DE" w:rsidRPr="00BA1CEE" w:rsidP="007D50DE" w14:paraId="0699D18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7D50DE" w:rsidRPr="00BA1CEE" w:rsidP="007D50DE" w14:paraId="560894E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rPr>
      </w:pPr>
      <w:r w:rsidRPr="00BA1CEE">
        <w:rPr>
          <w:rFonts w:ascii="Times New Roman" w:hAnsi="Times New Roman"/>
          <w:b/>
        </w:rPr>
        <w:t>B. COLLECTIONS OF INFORMATION EMPLOYING STATISTICAL METHODS</w:t>
      </w:r>
    </w:p>
    <w:p w:rsidR="007D50DE" w:rsidRPr="00BA1CEE" w:rsidP="007D50DE" w14:paraId="2244CF0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rPr>
      </w:pPr>
    </w:p>
    <w:p w:rsidR="006B209E" w:rsidRPr="00EE1125" w:rsidP="00427953" w14:paraId="44C76EC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BA1CEE">
        <w:rPr>
          <w:rFonts w:ascii="Times New Roman" w:hAnsi="Times New Roman"/>
        </w:rPr>
        <w:t>This Supporting Statement does not contain any collection of information requirements that employ statistical methods.</w:t>
      </w:r>
    </w:p>
    <w:p w:rsidR="000D3085" w:rsidRPr="00EE1125" w:rsidP="008D6DAF" w14:paraId="31F282D8" w14:textId="5A9758F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bookmarkStart w:id="0" w:name="1904.41(b)(2)"/>
      <w:bookmarkStart w:id="1" w:name="1904.41(b)(3)"/>
      <w:bookmarkStart w:id="2" w:name="1904.41(b)(4)"/>
      <w:bookmarkEnd w:id="0"/>
      <w:bookmarkEnd w:id="1"/>
      <w:bookmarkEnd w:id="2"/>
    </w:p>
    <w:sectPr w:rsidSect="00D26207">
      <w:footerReference w:type="default" r:id="rId12"/>
      <w:pgSz w:w="12240" w:h="15840" w:code="1"/>
      <w:pgMar w:top="978"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orinna BT">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D64" w:rsidP="00F56A8B" w14:paraId="023F282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2D64" w14:paraId="4BF480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D64" w14:paraId="03747AAD" w14:textId="77777777">
    <w:pPr>
      <w:spacing w:line="240" w:lineRule="exact"/>
    </w:pPr>
  </w:p>
  <w:p w:rsidR="001A2D64" w:rsidP="00A34FAE" w14:paraId="2692E48A" w14:textId="3EDA1A2E">
    <w:pPr>
      <w:framePr w:wrap="around" w:vAnchor="text" w:hAnchor="margin" w:xAlign="center" w:y="1"/>
      <w:jc w:val="center"/>
    </w:pPr>
    <w:r>
      <w:fldChar w:fldCharType="begin"/>
    </w:r>
    <w:r>
      <w:instrText xml:space="preserve">PAGE </w:instrText>
    </w:r>
    <w:r>
      <w:fldChar w:fldCharType="separate"/>
    </w:r>
    <w:r w:rsidR="005649A3">
      <w:rPr>
        <w:noProof/>
      </w:rPr>
      <w:t>2</w:t>
    </w:r>
    <w:r>
      <w:fldChar w:fldCharType="end"/>
    </w:r>
  </w:p>
  <w:p w:rsidR="001A2D64" w14:paraId="6C56439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D64" w14:paraId="12BE59C8" w14:textId="0C956976">
    <w:pPr>
      <w:pStyle w:val="Footer"/>
      <w:jc w:val="center"/>
    </w:pPr>
    <w:r>
      <w:fldChar w:fldCharType="begin"/>
    </w:r>
    <w:r>
      <w:instrText xml:space="preserve"> PAGE   \* MERGEFORMAT </w:instrText>
    </w:r>
    <w:r>
      <w:fldChar w:fldCharType="separate"/>
    </w:r>
    <w:r w:rsidR="005649A3">
      <w:rPr>
        <w:noProof/>
      </w:rPr>
      <w:t>10</w:t>
    </w:r>
    <w:r>
      <w:rPr>
        <w:noProof/>
      </w:rPr>
      <w:fldChar w:fldCharType="end"/>
    </w:r>
  </w:p>
  <w:p w:rsidR="001A2D64" w14:paraId="2B86FE8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31AD" w14:paraId="765069AC" w14:textId="77777777">
      <w:r>
        <w:separator/>
      </w:r>
    </w:p>
  </w:footnote>
  <w:footnote w:type="continuationSeparator" w:id="1">
    <w:p w:rsidR="00A231AD" w14:paraId="5103EACF" w14:textId="77777777">
      <w:r>
        <w:continuationSeparator/>
      </w:r>
    </w:p>
  </w:footnote>
  <w:footnote w:id="2">
    <w:p w:rsidR="00440A59" w:rsidRPr="00500268" w:rsidP="00500268" w14:paraId="34074129" w14:textId="234EFB6D">
      <w:pPr>
        <w:pStyle w:val="FootnoteText"/>
        <w:ind w:firstLine="720"/>
        <w:rPr>
          <w:rFonts w:ascii="Times New Roman" w:hAnsi="Times New Roman"/>
        </w:rPr>
      </w:pPr>
      <w:r w:rsidRPr="00500268">
        <w:rPr>
          <w:rStyle w:val="FootnoteReference"/>
          <w:rFonts w:ascii="Times New Roman" w:hAnsi="Times New Roman"/>
          <w:vertAlign w:val="superscript"/>
        </w:rPr>
        <w:footnoteRef/>
      </w:r>
      <w:r w:rsidRPr="00500268">
        <w:rPr>
          <w:rFonts w:ascii="Times New Roman" w:hAnsi="Times New Roman"/>
        </w:rPr>
        <w:t xml:space="preserve"> Fringe benefit factor calculated as [1/(1-0.31</w:t>
      </w:r>
      <w:r w:rsidR="00C7036E">
        <w:rPr>
          <w:rFonts w:ascii="Times New Roman" w:hAnsi="Times New Roman"/>
        </w:rPr>
        <w:t>0</w:t>
      </w:r>
      <w:r w:rsidRPr="00500268">
        <w:rPr>
          <w:rFonts w:ascii="Times New Roman" w:hAnsi="Times New Roman"/>
        </w:rPr>
        <w:t>)], where 0.31</w:t>
      </w:r>
      <w:r w:rsidR="00AF38B4">
        <w:rPr>
          <w:rFonts w:ascii="Times New Roman" w:hAnsi="Times New Roman"/>
        </w:rPr>
        <w:t>0</w:t>
      </w:r>
      <w:r w:rsidRPr="00500268">
        <w:rPr>
          <w:rFonts w:ascii="Times New Roman" w:hAnsi="Times New Roman"/>
        </w:rPr>
        <w:t xml:space="preserve"> is the percent of the average total benefits of civilian workers in all industries, as reported on Table 2 of the BLS’s ECEC report, </w:t>
      </w:r>
      <w:r w:rsidR="00F54ACD">
        <w:rPr>
          <w:rFonts w:ascii="Times New Roman" w:hAnsi="Times New Roman"/>
        </w:rPr>
        <w:t>September 2022; released December 15, 2022</w:t>
      </w:r>
      <w:r w:rsidRPr="00500268">
        <w:rPr>
          <w:rFonts w:ascii="Times New Roman" w:hAnsi="Times New Roman"/>
        </w:rPr>
        <w:t xml:space="preserve">: </w:t>
      </w:r>
      <w:r w:rsidRPr="00500268">
        <w:rPr>
          <w:rFonts w:ascii="Times New Roman" w:hAnsi="Times New Roman"/>
          <w:i/>
        </w:rPr>
        <w:t>https://www.bls.gov/news.release/ecec.t02.htm</w:t>
      </w:r>
      <w:r w:rsidRPr="00500268">
        <w:rPr>
          <w:rFonts w:ascii="Times New Roman" w:hAnsi="Times New Roman"/>
        </w:rPr>
        <w:t xml:space="preserve"> </w:t>
      </w:r>
    </w:p>
  </w:footnote>
  <w:footnote w:id="3">
    <w:p w:rsidR="00440A59" w:rsidRPr="00500268" w:rsidP="00500268" w14:paraId="155B99B7" w14:textId="77777777">
      <w:pPr>
        <w:pStyle w:val="FootnoteText"/>
        <w:ind w:firstLine="720"/>
        <w:rPr>
          <w:rFonts w:ascii="Times New Roman" w:hAnsi="Times New Roman"/>
        </w:rPr>
      </w:pPr>
      <w:r w:rsidRPr="00500268">
        <w:rPr>
          <w:rStyle w:val="FootnoteReference"/>
          <w:rFonts w:ascii="Times New Roman" w:hAnsi="Times New Roman"/>
          <w:vertAlign w:val="superscript"/>
        </w:rPr>
        <w:footnoteRef/>
      </w:r>
      <w:r w:rsidRPr="00500268">
        <w:rPr>
          <w:rFonts w:ascii="Times New Roman" w:hAnsi="Times New Roman"/>
        </w:rPr>
        <w:t xml:space="preserve"> 17 percent is OSHA’s standard estimate for the overhead cost incurred by the average employer.</w:t>
      </w:r>
    </w:p>
  </w:footnote>
  <w:footnote w:id="4">
    <w:p w:rsidR="00440A59" w:rsidRPr="00376865" w:rsidP="00EB6AA6" w14:paraId="7624B075" w14:textId="04976299">
      <w:pPr>
        <w:pStyle w:val="FootnoteText"/>
        <w:ind w:firstLine="720"/>
      </w:pPr>
      <w:r>
        <w:rPr>
          <w:rFonts w:ascii="Times New Roman" w:hAnsi="Times New Roman"/>
        </w:rPr>
        <w:t xml:space="preserve"> </w:t>
      </w:r>
      <w:r w:rsidRPr="00EB6AA6">
        <w:rPr>
          <w:rStyle w:val="FootnoteReference"/>
          <w:rFonts w:ascii="Times New Roman" w:hAnsi="Times New Roman"/>
          <w:vertAlign w:val="superscript"/>
        </w:rPr>
        <w:footnoteRef/>
      </w:r>
      <w:r w:rsidRPr="00500268">
        <w:rPr>
          <w:rFonts w:ascii="Times New Roman" w:hAnsi="Times New Roman"/>
        </w:rPr>
        <w:t xml:space="preserve"> See docket exhibit OSHA-2021-</w:t>
      </w:r>
      <w:r w:rsidR="00C50011">
        <w:rPr>
          <w:rFonts w:ascii="Times New Roman" w:hAnsi="Times New Roman"/>
        </w:rPr>
        <w:t>0</w:t>
      </w:r>
      <w:r w:rsidRPr="00500268">
        <w:rPr>
          <w:rFonts w:ascii="Times New Roman" w:hAnsi="Times New Roman"/>
        </w:rPr>
        <w:t>006</w:t>
      </w:r>
      <w:r w:rsidRPr="00500268">
        <w:rPr>
          <w:rFonts w:ascii="Times New Roman" w:hAnsi="Times New Roman"/>
        </w:rPr>
        <w:t>-[comment number] for a spreadsheet with the full calculations.</w:t>
      </w:r>
    </w:p>
  </w:footnote>
  <w:footnote w:id="5">
    <w:p w:rsidR="00C5779A" w:rsidRPr="0048563E" w:rsidP="0048563E" w14:paraId="3CA54A41" w14:textId="6C45B65A">
      <w:pPr>
        <w:pStyle w:val="FootnoteText"/>
        <w:ind w:firstLine="720"/>
        <w:rPr>
          <w:rFonts w:ascii="Times New Roman" w:hAnsi="Times New Roman"/>
        </w:rPr>
      </w:pPr>
      <w:r w:rsidRPr="0048563E">
        <w:rPr>
          <w:rStyle w:val="FootnoteReference"/>
          <w:rFonts w:ascii="Times New Roman" w:hAnsi="Times New Roman"/>
          <w:vertAlign w:val="superscript"/>
        </w:rPr>
        <w:footnoteRef/>
      </w:r>
      <w:r w:rsidRPr="0048563E">
        <w:rPr>
          <w:rFonts w:ascii="Times New Roman" w:hAnsi="Times New Roman"/>
        </w:rPr>
        <w:t xml:space="preserve"> </w:t>
      </w:r>
      <w:r w:rsidRPr="0048563E" w:rsidR="00BC244A">
        <w:rPr>
          <w:rFonts w:ascii="Times New Roman" w:hAnsi="Times New Roman"/>
        </w:rPr>
        <w:t>The total annualized bur</w:t>
      </w:r>
      <w:r w:rsidRPr="0048563E" w:rsidR="0047519D">
        <w:rPr>
          <w:rFonts w:ascii="Times New Roman" w:hAnsi="Times New Roman"/>
        </w:rPr>
        <w:t>de</w:t>
      </w:r>
      <w:r w:rsidR="00E3024C">
        <w:rPr>
          <w:rFonts w:ascii="Times New Roman" w:hAnsi="Times New Roman"/>
        </w:rPr>
        <w:t>n</w:t>
      </w:r>
      <w:r w:rsidR="00C51FC4">
        <w:rPr>
          <w:rFonts w:ascii="Times New Roman" w:hAnsi="Times New Roman"/>
        </w:rPr>
        <w:t xml:space="preserve"> over three years is calculated by taking </w:t>
      </w:r>
      <w:r w:rsidR="006757A6">
        <w:rPr>
          <w:rFonts w:ascii="Times New Roman" w:hAnsi="Times New Roman"/>
        </w:rPr>
        <w:t>the one</w:t>
      </w:r>
      <w:r w:rsidR="00763B5C">
        <w:rPr>
          <w:rFonts w:ascii="Times New Roman" w:hAnsi="Times New Roman"/>
        </w:rPr>
        <w:t>-</w:t>
      </w:r>
      <w:r w:rsidR="006757A6">
        <w:rPr>
          <w:rFonts w:ascii="Times New Roman" w:hAnsi="Times New Roman"/>
        </w:rPr>
        <w:t>time burden and dividing it by three</w:t>
      </w:r>
      <w:r w:rsidR="00B73CF5">
        <w:rPr>
          <w:rFonts w:ascii="Times New Roman" w:hAnsi="Times New Roman"/>
        </w:rPr>
        <w:t xml:space="preserve"> then adding that </w:t>
      </w:r>
      <w:r w:rsidR="00763B5C">
        <w:rPr>
          <w:rFonts w:ascii="Times New Roman" w:hAnsi="Times New Roman"/>
        </w:rPr>
        <w:t xml:space="preserve">number </w:t>
      </w:r>
      <w:r w:rsidR="00B73CF5">
        <w:rPr>
          <w:rFonts w:ascii="Times New Roman" w:hAnsi="Times New Roman"/>
        </w:rPr>
        <w:t>to the annual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CED" w:rsidP="006E6C00" w14:paraId="51664D5E" w14:textId="77777777">
    <w:pPr>
      <w:widowControl/>
      <w:rPr>
        <w:rFonts w:ascii="Times New Roman" w:hAnsi="Times New Roman"/>
        <w:bCs/>
      </w:rPr>
    </w:pPr>
    <w:r>
      <w:rPr>
        <w:rFonts w:ascii="Times New Roman" w:hAnsi="Times New Roman"/>
        <w:bCs/>
      </w:rPr>
      <w:t>Improve Tracking</w:t>
    </w:r>
    <w:r w:rsidR="00502F31">
      <w:rPr>
        <w:rFonts w:ascii="Times New Roman" w:hAnsi="Times New Roman"/>
        <w:bCs/>
      </w:rPr>
      <w:t xml:space="preserve"> Workplace Injuries and Illnesses </w:t>
    </w:r>
    <w:r w:rsidRPr="006E6C00" w:rsidR="001A2D64">
      <w:rPr>
        <w:rFonts w:ascii="Times New Roman" w:hAnsi="Times New Roman"/>
        <w:bCs/>
      </w:rPr>
      <w:t xml:space="preserve">(29 CFR Part 1904) </w:t>
    </w:r>
  </w:p>
  <w:p w:rsidR="001A2D64" w:rsidRPr="006E6C00" w:rsidP="006E6C00" w14:paraId="45738FA4" w14:textId="5634C0AE">
    <w:pPr>
      <w:widowControl/>
      <w:rPr>
        <w:rFonts w:ascii="Times New Roman" w:hAnsi="Times New Roman"/>
        <w:bCs/>
      </w:rPr>
    </w:pPr>
    <w:r>
      <w:rPr>
        <w:rFonts w:ascii="Times New Roman" w:hAnsi="Times New Roman"/>
        <w:bCs/>
      </w:rPr>
      <w:t xml:space="preserve">OMB Control Number: </w:t>
    </w:r>
    <w:r w:rsidRPr="006E6C00">
      <w:rPr>
        <w:rFonts w:ascii="Times New Roman" w:hAnsi="Times New Roman"/>
        <w:bCs/>
      </w:rPr>
      <w:t>1218-0</w:t>
    </w:r>
    <w:r w:rsidR="003073E7">
      <w:rPr>
        <w:rFonts w:ascii="Times New Roman" w:hAnsi="Times New Roman"/>
        <w:bCs/>
      </w:rPr>
      <w:t>279</w:t>
    </w:r>
    <w:r w:rsidRPr="006E6C00">
      <w:rPr>
        <w:rFonts w:ascii="Times New Roman" w:hAnsi="Times New Roman"/>
        <w:bCs/>
      </w:rPr>
      <w:t xml:space="preserve"> </w:t>
    </w:r>
  </w:p>
  <w:p w:rsidR="001A2D64" w14:paraId="7D5A558D" w14:textId="24C74CA4">
    <w:pPr>
      <w:pStyle w:val="Header"/>
    </w:pPr>
    <w:r>
      <w:rPr>
        <w:rFonts w:ascii="Times New Roman" w:hAnsi="Times New Roman"/>
        <w:bCs/>
      </w:rPr>
      <w:t xml:space="preserve">Expiration Date: </w:t>
    </w:r>
    <w:r w:rsidR="000204E8">
      <w:rPr>
        <w:rFonts w:ascii="Times New Roman" w:hAnsi="Times New Roman"/>
        <w:bCs/>
      </w:rPr>
      <w:t xml:space="preserve"> </w:t>
    </w:r>
    <w:r w:rsidR="00502F31">
      <w:rPr>
        <w:rFonts w:ascii="Times New Roman" w:hAnsi="Times New Roman"/>
        <w:bCs/>
      </w:rPr>
      <w:t xml:space="preserve">To </w:t>
    </w:r>
    <w:r w:rsidR="003F3016">
      <w:rPr>
        <w:rFonts w:ascii="Times New Roman" w:hAnsi="Times New Roman"/>
        <w:bCs/>
      </w:rPr>
      <w:t>Be D</w:t>
    </w:r>
    <w:r w:rsidR="00502F31">
      <w:rPr>
        <w:rFonts w:ascii="Times New Roman" w:hAnsi="Times New Roman"/>
        <w:bCs/>
      </w:rPr>
      <w:t>etermined</w:t>
    </w:r>
  </w:p>
  <w:p w:rsidR="001A2D64" w14:paraId="0D90ED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D64" w:rsidP="007D6117" w14:paraId="23EC29FD" w14:textId="77777777">
    <w:pPr>
      <w:widowControl/>
      <w:jc w:val="center"/>
      <w:rPr>
        <w:rFonts w:ascii="Times New Roman" w:hAnsi="Times New Roman"/>
        <w:b/>
        <w:bCs/>
      </w:rPr>
    </w:pPr>
    <w:r>
      <w:rPr>
        <w:rFonts w:ascii="Times New Roman" w:hAnsi="Times New Roman"/>
        <w:b/>
        <w:bCs/>
      </w:rPr>
      <w:t>SUPPORTING STATEMENT FOR THE</w:t>
    </w:r>
  </w:p>
  <w:p w:rsidR="001A2D64" w:rsidP="007D6117" w14:paraId="36139D70" w14:textId="77777777">
    <w:pPr>
      <w:widowControl/>
      <w:jc w:val="center"/>
      <w:rPr>
        <w:rFonts w:ascii="Times New Roman" w:hAnsi="Times New Roman"/>
        <w:b/>
        <w:bCs/>
      </w:rPr>
    </w:pPr>
    <w:r>
      <w:rPr>
        <w:rFonts w:ascii="Times New Roman" w:hAnsi="Times New Roman"/>
        <w:b/>
        <w:bCs/>
      </w:rPr>
      <w:t>INFORMATION COLLECTION REQUIREMENT ON RECORDKEEPING</w:t>
    </w:r>
  </w:p>
  <w:p w:rsidR="001A2D64" w:rsidP="007D6117" w14:paraId="298B92F4" w14:textId="77777777">
    <w:pPr>
      <w:widowControl/>
      <w:jc w:val="center"/>
      <w:rPr>
        <w:rFonts w:ascii="Times New Roman" w:hAnsi="Times New Roman"/>
        <w:b/>
        <w:bCs/>
      </w:rPr>
    </w:pPr>
    <w:r>
      <w:rPr>
        <w:rFonts w:ascii="Times New Roman" w:hAnsi="Times New Roman"/>
        <w:b/>
        <w:bCs/>
      </w:rPr>
      <w:t>AND REPORTING OCCUPATIONAL INJURIES AND ILLNESSES</w:t>
    </w:r>
  </w:p>
  <w:p w:rsidR="001A2D64" w:rsidP="007D6117" w14:paraId="6A915622" w14:textId="77777777">
    <w:pPr>
      <w:widowControl/>
      <w:jc w:val="center"/>
      <w:rPr>
        <w:rFonts w:ascii="Times New Roman" w:hAnsi="Times New Roman"/>
      </w:rPr>
    </w:pPr>
    <w:r>
      <w:rPr>
        <w:rFonts w:ascii="Times New Roman" w:hAnsi="Times New Roman"/>
        <w:b/>
        <w:bCs/>
      </w:rPr>
      <w:t>(29 CFR PART 1904)</w:t>
    </w:r>
  </w:p>
  <w:p w:rsidR="001A2D64" w:rsidP="007D6117" w14:paraId="64A238BB" w14:textId="77777777">
    <w:pPr>
      <w:widowControl/>
      <w:jc w:val="center"/>
      <w:rPr>
        <w:rFonts w:ascii="Times New Roman" w:hAnsi="Times New Roman"/>
        <w:b/>
        <w:bCs/>
      </w:rPr>
    </w:pPr>
    <w:r>
      <w:rPr>
        <w:rFonts w:ascii="Times New Roman" w:hAnsi="Times New Roman"/>
        <w:b/>
        <w:bCs/>
      </w:rPr>
      <w:t>OFFICE OF MANAGEMENT AND BUDGET (OMB)</w:t>
    </w:r>
  </w:p>
  <w:p w:rsidR="001A2D64" w:rsidP="007D6117" w14:paraId="3E674ABB" w14:textId="77777777">
    <w:pPr>
      <w:widowControl/>
      <w:jc w:val="center"/>
      <w:rPr>
        <w:rFonts w:ascii="Times New Roman" w:hAnsi="Times New Roman"/>
      </w:rPr>
    </w:pPr>
    <w:r>
      <w:rPr>
        <w:rFonts w:ascii="Times New Roman" w:hAnsi="Times New Roman"/>
        <w:b/>
        <w:bCs/>
      </w:rPr>
      <w:t xml:space="preserve">CONTROL NO. 1218-0176 </w:t>
    </w:r>
  </w:p>
  <w:p w:rsidR="001A2D64" w14:paraId="1BAAB7E2" w14:textId="77777777">
    <w:pPr>
      <w:pStyle w:val="Header"/>
    </w:pPr>
  </w:p>
  <w:p w:rsidR="001A2D64" w14:paraId="7F5D2B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1.45pt" o:bullet="t">
        <v:imagedata r:id="rId1" o:title=""/>
      </v:shape>
    </w:pict>
  </w:numPicBullet>
  <w:abstractNum w:abstractNumId="0">
    <w:nsid w:val="FFFFFF1D"/>
    <w:multiLevelType w:val="multilevel"/>
    <w:tmpl w:val="1F28BB4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E1817"/>
    <w:multiLevelType w:val="hybridMultilevel"/>
    <w:tmpl w:val="C156AC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8F18C8"/>
    <w:multiLevelType w:val="hybridMultilevel"/>
    <w:tmpl w:val="158CDF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BA021C"/>
    <w:multiLevelType w:val="hybridMultilevel"/>
    <w:tmpl w:val="3CF4BA22"/>
    <w:lvl w:ilvl="0">
      <w:start w:val="7"/>
      <w:numFmt w:val="decimal"/>
      <w:lvlText w:val="%1."/>
      <w:lvlJc w:val="left"/>
      <w:pPr>
        <w:tabs>
          <w:tab w:val="num" w:pos="405"/>
        </w:tabs>
        <w:ind w:left="405" w:hanging="360"/>
      </w:pPr>
      <w:rPr>
        <w:rFonts w:hint="default"/>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4">
    <w:nsid w:val="39801F55"/>
    <w:multiLevelType w:val="hybridMultilevel"/>
    <w:tmpl w:val="5E508172"/>
    <w:lvl w:ilvl="0">
      <w:start w:val="1"/>
      <w:numFmt w:val="decimal"/>
      <w:lvlText w:val="%1."/>
      <w:lvlJc w:val="left"/>
      <w:pPr>
        <w:ind w:left="777" w:hanging="360"/>
      </w:pPr>
    </w:lvl>
    <w:lvl w:ilvl="1" w:tentative="1">
      <w:start w:val="1"/>
      <w:numFmt w:val="lowerLetter"/>
      <w:lvlText w:val="%2."/>
      <w:lvlJc w:val="left"/>
      <w:pPr>
        <w:ind w:left="1497" w:hanging="360"/>
      </w:pPr>
    </w:lvl>
    <w:lvl w:ilvl="2" w:tentative="1">
      <w:start w:val="1"/>
      <w:numFmt w:val="lowerRoman"/>
      <w:lvlText w:val="%3."/>
      <w:lvlJc w:val="right"/>
      <w:pPr>
        <w:ind w:left="2217" w:hanging="180"/>
      </w:pPr>
    </w:lvl>
    <w:lvl w:ilvl="3" w:tentative="1">
      <w:start w:val="1"/>
      <w:numFmt w:val="decimal"/>
      <w:lvlText w:val="%4."/>
      <w:lvlJc w:val="left"/>
      <w:pPr>
        <w:ind w:left="2937" w:hanging="360"/>
      </w:pPr>
    </w:lvl>
    <w:lvl w:ilvl="4" w:tentative="1">
      <w:start w:val="1"/>
      <w:numFmt w:val="lowerLetter"/>
      <w:lvlText w:val="%5."/>
      <w:lvlJc w:val="left"/>
      <w:pPr>
        <w:ind w:left="3657" w:hanging="360"/>
      </w:pPr>
    </w:lvl>
    <w:lvl w:ilvl="5" w:tentative="1">
      <w:start w:val="1"/>
      <w:numFmt w:val="lowerRoman"/>
      <w:lvlText w:val="%6."/>
      <w:lvlJc w:val="right"/>
      <w:pPr>
        <w:ind w:left="4377" w:hanging="180"/>
      </w:pPr>
    </w:lvl>
    <w:lvl w:ilvl="6" w:tentative="1">
      <w:start w:val="1"/>
      <w:numFmt w:val="decimal"/>
      <w:lvlText w:val="%7."/>
      <w:lvlJc w:val="left"/>
      <w:pPr>
        <w:ind w:left="5097" w:hanging="360"/>
      </w:pPr>
    </w:lvl>
    <w:lvl w:ilvl="7" w:tentative="1">
      <w:start w:val="1"/>
      <w:numFmt w:val="lowerLetter"/>
      <w:lvlText w:val="%8."/>
      <w:lvlJc w:val="left"/>
      <w:pPr>
        <w:ind w:left="5817" w:hanging="360"/>
      </w:pPr>
    </w:lvl>
    <w:lvl w:ilvl="8" w:tentative="1">
      <w:start w:val="1"/>
      <w:numFmt w:val="lowerRoman"/>
      <w:lvlText w:val="%9."/>
      <w:lvlJc w:val="right"/>
      <w:pPr>
        <w:ind w:left="6537" w:hanging="180"/>
      </w:pPr>
    </w:lvl>
  </w:abstractNum>
  <w:abstractNum w:abstractNumId="5">
    <w:nsid w:val="416869A5"/>
    <w:multiLevelType w:val="hybridMultilevel"/>
    <w:tmpl w:val="71FC6BA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6">
    <w:nsid w:val="45C37C36"/>
    <w:multiLevelType w:val="hybridMultilevel"/>
    <w:tmpl w:val="DA0A61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6D40928"/>
    <w:multiLevelType w:val="multilevel"/>
    <w:tmpl w:val="DD7A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D42594"/>
    <w:multiLevelType w:val="hybridMultilevel"/>
    <w:tmpl w:val="0898F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FB3E89"/>
    <w:multiLevelType w:val="hybridMultilevel"/>
    <w:tmpl w:val="0898F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CEA1E14"/>
    <w:multiLevelType w:val="hybridMultilevel"/>
    <w:tmpl w:val="589A79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5627869"/>
    <w:multiLevelType w:val="hybridMultilevel"/>
    <w:tmpl w:val="3274DB96"/>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FDE3DD5"/>
    <w:multiLevelType w:val="hybridMultilevel"/>
    <w:tmpl w:val="A10E0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047879">
    <w:abstractNumId w:val="3"/>
  </w:num>
  <w:num w:numId="2" w16cid:durableId="1640497420">
    <w:abstractNumId w:val="1"/>
  </w:num>
  <w:num w:numId="3" w16cid:durableId="1369112852">
    <w:abstractNumId w:val="10"/>
  </w:num>
  <w:num w:numId="4" w16cid:durableId="2026789200">
    <w:abstractNumId w:val="11"/>
  </w:num>
  <w:num w:numId="5" w16cid:durableId="1271359623">
    <w:abstractNumId w:val="0"/>
  </w:num>
  <w:num w:numId="6" w16cid:durableId="958295477">
    <w:abstractNumId w:val="7"/>
  </w:num>
  <w:num w:numId="7" w16cid:durableId="1845238619">
    <w:abstractNumId w:val="2"/>
  </w:num>
  <w:num w:numId="8" w16cid:durableId="768964088">
    <w:abstractNumId w:val="6"/>
  </w:num>
  <w:num w:numId="9" w16cid:durableId="977611876">
    <w:abstractNumId w:val="5"/>
  </w:num>
  <w:num w:numId="10" w16cid:durableId="1273972363">
    <w:abstractNumId w:val="9"/>
  </w:num>
  <w:num w:numId="11" w16cid:durableId="574971463">
    <w:abstractNumId w:val="8"/>
  </w:num>
  <w:num w:numId="12" w16cid:durableId="272252806">
    <w:abstractNumId w:val="4"/>
  </w:num>
  <w:num w:numId="13" w16cid:durableId="444620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1F"/>
    <w:rsid w:val="000008AC"/>
    <w:rsid w:val="00001331"/>
    <w:rsid w:val="0000157E"/>
    <w:rsid w:val="000022A9"/>
    <w:rsid w:val="0000388E"/>
    <w:rsid w:val="00003E30"/>
    <w:rsid w:val="00004ACF"/>
    <w:rsid w:val="0000681E"/>
    <w:rsid w:val="0001169B"/>
    <w:rsid w:val="00012657"/>
    <w:rsid w:val="00013971"/>
    <w:rsid w:val="00013C51"/>
    <w:rsid w:val="00013DEA"/>
    <w:rsid w:val="00015BA7"/>
    <w:rsid w:val="000204E8"/>
    <w:rsid w:val="0002094F"/>
    <w:rsid w:val="00025143"/>
    <w:rsid w:val="0002614A"/>
    <w:rsid w:val="000266FA"/>
    <w:rsid w:val="00026CD4"/>
    <w:rsid w:val="000303CC"/>
    <w:rsid w:val="0003241E"/>
    <w:rsid w:val="00032D3B"/>
    <w:rsid w:val="000337E3"/>
    <w:rsid w:val="000373AF"/>
    <w:rsid w:val="00040758"/>
    <w:rsid w:val="0004102B"/>
    <w:rsid w:val="00041D51"/>
    <w:rsid w:val="00043071"/>
    <w:rsid w:val="00044424"/>
    <w:rsid w:val="00044CE5"/>
    <w:rsid w:val="00045055"/>
    <w:rsid w:val="00045D9B"/>
    <w:rsid w:val="00046CA4"/>
    <w:rsid w:val="00050026"/>
    <w:rsid w:val="0005091E"/>
    <w:rsid w:val="00050AE2"/>
    <w:rsid w:val="000519F1"/>
    <w:rsid w:val="000531E2"/>
    <w:rsid w:val="00053270"/>
    <w:rsid w:val="00053440"/>
    <w:rsid w:val="000537AF"/>
    <w:rsid w:val="00053E76"/>
    <w:rsid w:val="000541FF"/>
    <w:rsid w:val="00054A3F"/>
    <w:rsid w:val="0005685D"/>
    <w:rsid w:val="00056997"/>
    <w:rsid w:val="00056BFE"/>
    <w:rsid w:val="000600DC"/>
    <w:rsid w:val="000621BA"/>
    <w:rsid w:val="00062268"/>
    <w:rsid w:val="00062570"/>
    <w:rsid w:val="00063703"/>
    <w:rsid w:val="0006457D"/>
    <w:rsid w:val="000658D3"/>
    <w:rsid w:val="00065B8F"/>
    <w:rsid w:val="000665FF"/>
    <w:rsid w:val="00067154"/>
    <w:rsid w:val="0006777F"/>
    <w:rsid w:val="000677A4"/>
    <w:rsid w:val="00070492"/>
    <w:rsid w:val="00071C40"/>
    <w:rsid w:val="00072A12"/>
    <w:rsid w:val="0007485A"/>
    <w:rsid w:val="0007695D"/>
    <w:rsid w:val="00076F04"/>
    <w:rsid w:val="00077F25"/>
    <w:rsid w:val="000812A9"/>
    <w:rsid w:val="000816D4"/>
    <w:rsid w:val="00082DDD"/>
    <w:rsid w:val="00083EFB"/>
    <w:rsid w:val="00090A14"/>
    <w:rsid w:val="00091C77"/>
    <w:rsid w:val="00092F7D"/>
    <w:rsid w:val="00094BFE"/>
    <w:rsid w:val="000968FC"/>
    <w:rsid w:val="00096FA2"/>
    <w:rsid w:val="0009788B"/>
    <w:rsid w:val="00097ABE"/>
    <w:rsid w:val="000A1B82"/>
    <w:rsid w:val="000A34FE"/>
    <w:rsid w:val="000A5176"/>
    <w:rsid w:val="000A52E1"/>
    <w:rsid w:val="000B1085"/>
    <w:rsid w:val="000B2292"/>
    <w:rsid w:val="000B5001"/>
    <w:rsid w:val="000B533E"/>
    <w:rsid w:val="000B758E"/>
    <w:rsid w:val="000B7A80"/>
    <w:rsid w:val="000C01A7"/>
    <w:rsid w:val="000C158E"/>
    <w:rsid w:val="000C17ED"/>
    <w:rsid w:val="000C1C6E"/>
    <w:rsid w:val="000C27C2"/>
    <w:rsid w:val="000C355A"/>
    <w:rsid w:val="000C5047"/>
    <w:rsid w:val="000C5809"/>
    <w:rsid w:val="000C7D01"/>
    <w:rsid w:val="000D1FB1"/>
    <w:rsid w:val="000D3085"/>
    <w:rsid w:val="000D5264"/>
    <w:rsid w:val="000D61C1"/>
    <w:rsid w:val="000D7C61"/>
    <w:rsid w:val="000E0B69"/>
    <w:rsid w:val="000E1273"/>
    <w:rsid w:val="000E37B5"/>
    <w:rsid w:val="000E4E59"/>
    <w:rsid w:val="000E5CAE"/>
    <w:rsid w:val="000F072F"/>
    <w:rsid w:val="000F20C2"/>
    <w:rsid w:val="000F465C"/>
    <w:rsid w:val="000F59D6"/>
    <w:rsid w:val="00101D2A"/>
    <w:rsid w:val="00103AA3"/>
    <w:rsid w:val="00111007"/>
    <w:rsid w:val="001114E4"/>
    <w:rsid w:val="00112B05"/>
    <w:rsid w:val="001135D3"/>
    <w:rsid w:val="001165E0"/>
    <w:rsid w:val="00121CC6"/>
    <w:rsid w:val="00122A26"/>
    <w:rsid w:val="00122F55"/>
    <w:rsid w:val="00124F06"/>
    <w:rsid w:val="00125444"/>
    <w:rsid w:val="001264CE"/>
    <w:rsid w:val="00126751"/>
    <w:rsid w:val="001302F8"/>
    <w:rsid w:val="00132D4B"/>
    <w:rsid w:val="00132E42"/>
    <w:rsid w:val="00134966"/>
    <w:rsid w:val="00135226"/>
    <w:rsid w:val="00135A35"/>
    <w:rsid w:val="00135F2A"/>
    <w:rsid w:val="00137007"/>
    <w:rsid w:val="00141D3F"/>
    <w:rsid w:val="00142D98"/>
    <w:rsid w:val="00143347"/>
    <w:rsid w:val="001449B1"/>
    <w:rsid w:val="001449FA"/>
    <w:rsid w:val="001454FC"/>
    <w:rsid w:val="00146C23"/>
    <w:rsid w:val="0014706D"/>
    <w:rsid w:val="001517E8"/>
    <w:rsid w:val="001521F7"/>
    <w:rsid w:val="0015238E"/>
    <w:rsid w:val="00152501"/>
    <w:rsid w:val="00154A13"/>
    <w:rsid w:val="00154BA8"/>
    <w:rsid w:val="001555B3"/>
    <w:rsid w:val="001565AC"/>
    <w:rsid w:val="00156725"/>
    <w:rsid w:val="00156D16"/>
    <w:rsid w:val="0015715C"/>
    <w:rsid w:val="00160434"/>
    <w:rsid w:val="001633F7"/>
    <w:rsid w:val="00165AA8"/>
    <w:rsid w:val="00167590"/>
    <w:rsid w:val="00167CA7"/>
    <w:rsid w:val="001709D6"/>
    <w:rsid w:val="00171A55"/>
    <w:rsid w:val="00171C88"/>
    <w:rsid w:val="00172381"/>
    <w:rsid w:val="00172AAE"/>
    <w:rsid w:val="00172DF3"/>
    <w:rsid w:val="001738C3"/>
    <w:rsid w:val="0018085A"/>
    <w:rsid w:val="001814C8"/>
    <w:rsid w:val="0018269A"/>
    <w:rsid w:val="00183F83"/>
    <w:rsid w:val="00184092"/>
    <w:rsid w:val="00184B31"/>
    <w:rsid w:val="00184C19"/>
    <w:rsid w:val="001852AF"/>
    <w:rsid w:val="001857EB"/>
    <w:rsid w:val="0018795E"/>
    <w:rsid w:val="001900B0"/>
    <w:rsid w:val="00191D7D"/>
    <w:rsid w:val="00191F7F"/>
    <w:rsid w:val="0019351C"/>
    <w:rsid w:val="00196AFF"/>
    <w:rsid w:val="001A1519"/>
    <w:rsid w:val="001A1AC3"/>
    <w:rsid w:val="001A2845"/>
    <w:rsid w:val="001A2D64"/>
    <w:rsid w:val="001A5889"/>
    <w:rsid w:val="001A60B2"/>
    <w:rsid w:val="001A6EB2"/>
    <w:rsid w:val="001A7D16"/>
    <w:rsid w:val="001B0452"/>
    <w:rsid w:val="001B0EFC"/>
    <w:rsid w:val="001B1137"/>
    <w:rsid w:val="001B1D9D"/>
    <w:rsid w:val="001B21E4"/>
    <w:rsid w:val="001B37F9"/>
    <w:rsid w:val="001B471E"/>
    <w:rsid w:val="001B56B5"/>
    <w:rsid w:val="001B6088"/>
    <w:rsid w:val="001B6B31"/>
    <w:rsid w:val="001B7FB8"/>
    <w:rsid w:val="001C1106"/>
    <w:rsid w:val="001C4B84"/>
    <w:rsid w:val="001C4C6C"/>
    <w:rsid w:val="001C4EFD"/>
    <w:rsid w:val="001C6403"/>
    <w:rsid w:val="001C6685"/>
    <w:rsid w:val="001C7500"/>
    <w:rsid w:val="001D0066"/>
    <w:rsid w:val="001D09FD"/>
    <w:rsid w:val="001D0C3B"/>
    <w:rsid w:val="001D0E16"/>
    <w:rsid w:val="001D1026"/>
    <w:rsid w:val="001D3F83"/>
    <w:rsid w:val="001D5597"/>
    <w:rsid w:val="001D5FE6"/>
    <w:rsid w:val="001D6F40"/>
    <w:rsid w:val="001D7D53"/>
    <w:rsid w:val="001E015E"/>
    <w:rsid w:val="001E5363"/>
    <w:rsid w:val="001E70E0"/>
    <w:rsid w:val="001E74E8"/>
    <w:rsid w:val="001F0DE7"/>
    <w:rsid w:val="001F2734"/>
    <w:rsid w:val="001F32F4"/>
    <w:rsid w:val="001F3597"/>
    <w:rsid w:val="001F6C27"/>
    <w:rsid w:val="001F6CF4"/>
    <w:rsid w:val="001F7E14"/>
    <w:rsid w:val="00200A40"/>
    <w:rsid w:val="00201251"/>
    <w:rsid w:val="002028BE"/>
    <w:rsid w:val="0020352E"/>
    <w:rsid w:val="00203856"/>
    <w:rsid w:val="00203995"/>
    <w:rsid w:val="00203D76"/>
    <w:rsid w:val="0020483B"/>
    <w:rsid w:val="00204E22"/>
    <w:rsid w:val="002066B7"/>
    <w:rsid w:val="00211097"/>
    <w:rsid w:val="002110F0"/>
    <w:rsid w:val="002112C4"/>
    <w:rsid w:val="00211685"/>
    <w:rsid w:val="00211871"/>
    <w:rsid w:val="00212AD1"/>
    <w:rsid w:val="0021307C"/>
    <w:rsid w:val="0021526F"/>
    <w:rsid w:val="00216DAA"/>
    <w:rsid w:val="00217BDA"/>
    <w:rsid w:val="0022036F"/>
    <w:rsid w:val="002206CC"/>
    <w:rsid w:val="0022102A"/>
    <w:rsid w:val="002252CB"/>
    <w:rsid w:val="00230C44"/>
    <w:rsid w:val="00230C79"/>
    <w:rsid w:val="00232F9F"/>
    <w:rsid w:val="00233023"/>
    <w:rsid w:val="0023371D"/>
    <w:rsid w:val="00233814"/>
    <w:rsid w:val="00233C39"/>
    <w:rsid w:val="0023666F"/>
    <w:rsid w:val="00237030"/>
    <w:rsid w:val="00237566"/>
    <w:rsid w:val="0024072F"/>
    <w:rsid w:val="0024203B"/>
    <w:rsid w:val="0024369E"/>
    <w:rsid w:val="00244BD3"/>
    <w:rsid w:val="0024609E"/>
    <w:rsid w:val="00246394"/>
    <w:rsid w:val="002466EF"/>
    <w:rsid w:val="0024736F"/>
    <w:rsid w:val="0024772F"/>
    <w:rsid w:val="00252BEF"/>
    <w:rsid w:val="0025475E"/>
    <w:rsid w:val="002557C8"/>
    <w:rsid w:val="00255A13"/>
    <w:rsid w:val="00255B4A"/>
    <w:rsid w:val="00257473"/>
    <w:rsid w:val="00260330"/>
    <w:rsid w:val="00261737"/>
    <w:rsid w:val="0026200C"/>
    <w:rsid w:val="002624A1"/>
    <w:rsid w:val="00263662"/>
    <w:rsid w:val="00265B38"/>
    <w:rsid w:val="002662B4"/>
    <w:rsid w:val="00266C8F"/>
    <w:rsid w:val="0027003B"/>
    <w:rsid w:val="002701DC"/>
    <w:rsid w:val="0027172F"/>
    <w:rsid w:val="00271CDB"/>
    <w:rsid w:val="00272297"/>
    <w:rsid w:val="0027371A"/>
    <w:rsid w:val="0027422F"/>
    <w:rsid w:val="002742E5"/>
    <w:rsid w:val="00275DC0"/>
    <w:rsid w:val="00276A08"/>
    <w:rsid w:val="00276DF1"/>
    <w:rsid w:val="002771C2"/>
    <w:rsid w:val="00277603"/>
    <w:rsid w:val="00283BEA"/>
    <w:rsid w:val="002840F6"/>
    <w:rsid w:val="00284665"/>
    <w:rsid w:val="002876E4"/>
    <w:rsid w:val="0029388C"/>
    <w:rsid w:val="00296973"/>
    <w:rsid w:val="00297CDD"/>
    <w:rsid w:val="002A2F0A"/>
    <w:rsid w:val="002A38EB"/>
    <w:rsid w:val="002A4B37"/>
    <w:rsid w:val="002A5765"/>
    <w:rsid w:val="002A621D"/>
    <w:rsid w:val="002A6429"/>
    <w:rsid w:val="002B0296"/>
    <w:rsid w:val="002B184A"/>
    <w:rsid w:val="002B1B8A"/>
    <w:rsid w:val="002B42D4"/>
    <w:rsid w:val="002B430F"/>
    <w:rsid w:val="002B4A42"/>
    <w:rsid w:val="002B4C62"/>
    <w:rsid w:val="002B7C4D"/>
    <w:rsid w:val="002C0873"/>
    <w:rsid w:val="002C4A3D"/>
    <w:rsid w:val="002C72F3"/>
    <w:rsid w:val="002D0916"/>
    <w:rsid w:val="002D0C96"/>
    <w:rsid w:val="002D0DA3"/>
    <w:rsid w:val="002D0E3F"/>
    <w:rsid w:val="002D140C"/>
    <w:rsid w:val="002D28C7"/>
    <w:rsid w:val="002D2E89"/>
    <w:rsid w:val="002D4FB8"/>
    <w:rsid w:val="002D6F88"/>
    <w:rsid w:val="002D7B25"/>
    <w:rsid w:val="002E0BE4"/>
    <w:rsid w:val="002E1422"/>
    <w:rsid w:val="002E2962"/>
    <w:rsid w:val="002E3E94"/>
    <w:rsid w:val="002E4F54"/>
    <w:rsid w:val="002F02B7"/>
    <w:rsid w:val="002F035C"/>
    <w:rsid w:val="002F071C"/>
    <w:rsid w:val="002F2AFC"/>
    <w:rsid w:val="002F30A3"/>
    <w:rsid w:val="002F3844"/>
    <w:rsid w:val="002F424A"/>
    <w:rsid w:val="002F4373"/>
    <w:rsid w:val="002F4655"/>
    <w:rsid w:val="002F4E9E"/>
    <w:rsid w:val="002F61A5"/>
    <w:rsid w:val="002F6932"/>
    <w:rsid w:val="00300D0A"/>
    <w:rsid w:val="003042D3"/>
    <w:rsid w:val="003045CD"/>
    <w:rsid w:val="00304B03"/>
    <w:rsid w:val="00305087"/>
    <w:rsid w:val="00305E28"/>
    <w:rsid w:val="003073E7"/>
    <w:rsid w:val="0031118D"/>
    <w:rsid w:val="0031215E"/>
    <w:rsid w:val="003129C3"/>
    <w:rsid w:val="00312A76"/>
    <w:rsid w:val="00313214"/>
    <w:rsid w:val="00313A95"/>
    <w:rsid w:val="003173D0"/>
    <w:rsid w:val="00321203"/>
    <w:rsid w:val="00322682"/>
    <w:rsid w:val="003261BC"/>
    <w:rsid w:val="0032628B"/>
    <w:rsid w:val="00326684"/>
    <w:rsid w:val="00326E82"/>
    <w:rsid w:val="003277D4"/>
    <w:rsid w:val="00327854"/>
    <w:rsid w:val="003324E0"/>
    <w:rsid w:val="00332731"/>
    <w:rsid w:val="0033314D"/>
    <w:rsid w:val="00334506"/>
    <w:rsid w:val="0033594A"/>
    <w:rsid w:val="003405A7"/>
    <w:rsid w:val="00340969"/>
    <w:rsid w:val="003430FB"/>
    <w:rsid w:val="0034477E"/>
    <w:rsid w:val="00344C85"/>
    <w:rsid w:val="003451A8"/>
    <w:rsid w:val="00345200"/>
    <w:rsid w:val="003458B0"/>
    <w:rsid w:val="00345BA9"/>
    <w:rsid w:val="0034764F"/>
    <w:rsid w:val="00350731"/>
    <w:rsid w:val="003509FB"/>
    <w:rsid w:val="00350A9D"/>
    <w:rsid w:val="00351042"/>
    <w:rsid w:val="0035284C"/>
    <w:rsid w:val="00352D80"/>
    <w:rsid w:val="003542E1"/>
    <w:rsid w:val="00354D94"/>
    <w:rsid w:val="0035567C"/>
    <w:rsid w:val="00355D74"/>
    <w:rsid w:val="00356736"/>
    <w:rsid w:val="003612B1"/>
    <w:rsid w:val="003617B6"/>
    <w:rsid w:val="003619F2"/>
    <w:rsid w:val="00362DE4"/>
    <w:rsid w:val="00362E84"/>
    <w:rsid w:val="00363936"/>
    <w:rsid w:val="003659B7"/>
    <w:rsid w:val="00366CDC"/>
    <w:rsid w:val="00367CCB"/>
    <w:rsid w:val="00370EF6"/>
    <w:rsid w:val="003715B1"/>
    <w:rsid w:val="003733E4"/>
    <w:rsid w:val="0037385E"/>
    <w:rsid w:val="00373C66"/>
    <w:rsid w:val="00374691"/>
    <w:rsid w:val="00374B76"/>
    <w:rsid w:val="00375C71"/>
    <w:rsid w:val="00376865"/>
    <w:rsid w:val="00376AD4"/>
    <w:rsid w:val="00376B35"/>
    <w:rsid w:val="00376C6C"/>
    <w:rsid w:val="00382484"/>
    <w:rsid w:val="003833FF"/>
    <w:rsid w:val="00391D7E"/>
    <w:rsid w:val="0039502B"/>
    <w:rsid w:val="00395EBB"/>
    <w:rsid w:val="0039617E"/>
    <w:rsid w:val="0039673F"/>
    <w:rsid w:val="003A11D7"/>
    <w:rsid w:val="003A140C"/>
    <w:rsid w:val="003A4338"/>
    <w:rsid w:val="003A5FE4"/>
    <w:rsid w:val="003A675E"/>
    <w:rsid w:val="003A7539"/>
    <w:rsid w:val="003A79C3"/>
    <w:rsid w:val="003B0E6F"/>
    <w:rsid w:val="003B166C"/>
    <w:rsid w:val="003B4350"/>
    <w:rsid w:val="003B43DE"/>
    <w:rsid w:val="003B488E"/>
    <w:rsid w:val="003B58C0"/>
    <w:rsid w:val="003C0AF8"/>
    <w:rsid w:val="003C1009"/>
    <w:rsid w:val="003C3476"/>
    <w:rsid w:val="003C3B6F"/>
    <w:rsid w:val="003C4861"/>
    <w:rsid w:val="003C4AE9"/>
    <w:rsid w:val="003C71A1"/>
    <w:rsid w:val="003C7EA4"/>
    <w:rsid w:val="003D185A"/>
    <w:rsid w:val="003D2059"/>
    <w:rsid w:val="003D5734"/>
    <w:rsid w:val="003D7A1A"/>
    <w:rsid w:val="003E1AF2"/>
    <w:rsid w:val="003E4F83"/>
    <w:rsid w:val="003E514A"/>
    <w:rsid w:val="003E51AD"/>
    <w:rsid w:val="003E5CD5"/>
    <w:rsid w:val="003E5E69"/>
    <w:rsid w:val="003E62AA"/>
    <w:rsid w:val="003E684E"/>
    <w:rsid w:val="003E747B"/>
    <w:rsid w:val="003E751F"/>
    <w:rsid w:val="003E79E6"/>
    <w:rsid w:val="003E7EAB"/>
    <w:rsid w:val="003F0732"/>
    <w:rsid w:val="003F0847"/>
    <w:rsid w:val="003F2C38"/>
    <w:rsid w:val="003F3016"/>
    <w:rsid w:val="003F4431"/>
    <w:rsid w:val="003F55BC"/>
    <w:rsid w:val="00401F8D"/>
    <w:rsid w:val="004039F1"/>
    <w:rsid w:val="00403C61"/>
    <w:rsid w:val="00405187"/>
    <w:rsid w:val="0040581C"/>
    <w:rsid w:val="00405CFF"/>
    <w:rsid w:val="00405F59"/>
    <w:rsid w:val="0040652C"/>
    <w:rsid w:val="00412766"/>
    <w:rsid w:val="0041348F"/>
    <w:rsid w:val="0041477C"/>
    <w:rsid w:val="0041574D"/>
    <w:rsid w:val="00415D5C"/>
    <w:rsid w:val="004163B1"/>
    <w:rsid w:val="00416F4B"/>
    <w:rsid w:val="00421135"/>
    <w:rsid w:val="004214ED"/>
    <w:rsid w:val="00423456"/>
    <w:rsid w:val="00425ADF"/>
    <w:rsid w:val="0042687D"/>
    <w:rsid w:val="00426F8F"/>
    <w:rsid w:val="004277B7"/>
    <w:rsid w:val="004278A1"/>
    <w:rsid w:val="00427953"/>
    <w:rsid w:val="00427969"/>
    <w:rsid w:val="00430515"/>
    <w:rsid w:val="004330E3"/>
    <w:rsid w:val="0043326C"/>
    <w:rsid w:val="00433BAA"/>
    <w:rsid w:val="004343FE"/>
    <w:rsid w:val="0043538D"/>
    <w:rsid w:val="00435D4E"/>
    <w:rsid w:val="004404C4"/>
    <w:rsid w:val="00440A59"/>
    <w:rsid w:val="0044211B"/>
    <w:rsid w:val="00442532"/>
    <w:rsid w:val="004466F7"/>
    <w:rsid w:val="004469FD"/>
    <w:rsid w:val="00447B2C"/>
    <w:rsid w:val="0045257E"/>
    <w:rsid w:val="004535B0"/>
    <w:rsid w:val="0045457F"/>
    <w:rsid w:val="00454592"/>
    <w:rsid w:val="00455311"/>
    <w:rsid w:val="00455746"/>
    <w:rsid w:val="004558BE"/>
    <w:rsid w:val="00455F21"/>
    <w:rsid w:val="004610A5"/>
    <w:rsid w:val="0046223C"/>
    <w:rsid w:val="004627AB"/>
    <w:rsid w:val="00462C3B"/>
    <w:rsid w:val="00463DA9"/>
    <w:rsid w:val="00465D9A"/>
    <w:rsid w:val="00467FB7"/>
    <w:rsid w:val="00470CDA"/>
    <w:rsid w:val="00471FF9"/>
    <w:rsid w:val="00471FFB"/>
    <w:rsid w:val="00474DEA"/>
    <w:rsid w:val="0047519D"/>
    <w:rsid w:val="004753CD"/>
    <w:rsid w:val="004756F1"/>
    <w:rsid w:val="004761E0"/>
    <w:rsid w:val="004770A3"/>
    <w:rsid w:val="00481B61"/>
    <w:rsid w:val="00483BE3"/>
    <w:rsid w:val="0048440C"/>
    <w:rsid w:val="0048563E"/>
    <w:rsid w:val="00485A2E"/>
    <w:rsid w:val="00486084"/>
    <w:rsid w:val="0048743D"/>
    <w:rsid w:val="004907D9"/>
    <w:rsid w:val="00491384"/>
    <w:rsid w:val="0049265C"/>
    <w:rsid w:val="00497E78"/>
    <w:rsid w:val="004A05BC"/>
    <w:rsid w:val="004A116B"/>
    <w:rsid w:val="004A1D7F"/>
    <w:rsid w:val="004A3946"/>
    <w:rsid w:val="004A4BF4"/>
    <w:rsid w:val="004A52A2"/>
    <w:rsid w:val="004B0233"/>
    <w:rsid w:val="004B157B"/>
    <w:rsid w:val="004B6B74"/>
    <w:rsid w:val="004B7E45"/>
    <w:rsid w:val="004C056A"/>
    <w:rsid w:val="004C0E27"/>
    <w:rsid w:val="004C1E88"/>
    <w:rsid w:val="004C24B0"/>
    <w:rsid w:val="004C2989"/>
    <w:rsid w:val="004C2A3C"/>
    <w:rsid w:val="004C4BA6"/>
    <w:rsid w:val="004C59F5"/>
    <w:rsid w:val="004C5B44"/>
    <w:rsid w:val="004C6026"/>
    <w:rsid w:val="004C75E2"/>
    <w:rsid w:val="004D119C"/>
    <w:rsid w:val="004D134D"/>
    <w:rsid w:val="004D3829"/>
    <w:rsid w:val="004D3D25"/>
    <w:rsid w:val="004D493F"/>
    <w:rsid w:val="004D4B0C"/>
    <w:rsid w:val="004D4CFE"/>
    <w:rsid w:val="004D5C08"/>
    <w:rsid w:val="004D62F1"/>
    <w:rsid w:val="004D675A"/>
    <w:rsid w:val="004D6EC3"/>
    <w:rsid w:val="004D6FBE"/>
    <w:rsid w:val="004E089E"/>
    <w:rsid w:val="004E0920"/>
    <w:rsid w:val="004E23A9"/>
    <w:rsid w:val="004E370E"/>
    <w:rsid w:val="004E4CCC"/>
    <w:rsid w:val="004E677A"/>
    <w:rsid w:val="004E743A"/>
    <w:rsid w:val="004F010D"/>
    <w:rsid w:val="004F15DA"/>
    <w:rsid w:val="004F1DD7"/>
    <w:rsid w:val="004F24E6"/>
    <w:rsid w:val="004F2F03"/>
    <w:rsid w:val="004F3739"/>
    <w:rsid w:val="004F4410"/>
    <w:rsid w:val="004F5B4D"/>
    <w:rsid w:val="004F6715"/>
    <w:rsid w:val="004F7DDF"/>
    <w:rsid w:val="00500268"/>
    <w:rsid w:val="00501EC6"/>
    <w:rsid w:val="00502F31"/>
    <w:rsid w:val="005039CB"/>
    <w:rsid w:val="00504BA9"/>
    <w:rsid w:val="0050535E"/>
    <w:rsid w:val="005054F3"/>
    <w:rsid w:val="00505AE2"/>
    <w:rsid w:val="005064CD"/>
    <w:rsid w:val="0050653E"/>
    <w:rsid w:val="00511C3F"/>
    <w:rsid w:val="00511E58"/>
    <w:rsid w:val="005135A3"/>
    <w:rsid w:val="005143AF"/>
    <w:rsid w:val="00514F45"/>
    <w:rsid w:val="00514F92"/>
    <w:rsid w:val="005154ED"/>
    <w:rsid w:val="005156C0"/>
    <w:rsid w:val="005171A3"/>
    <w:rsid w:val="005174C2"/>
    <w:rsid w:val="00521523"/>
    <w:rsid w:val="00522D67"/>
    <w:rsid w:val="0052305E"/>
    <w:rsid w:val="005269A0"/>
    <w:rsid w:val="00526AEF"/>
    <w:rsid w:val="00527FC6"/>
    <w:rsid w:val="00531037"/>
    <w:rsid w:val="005313F4"/>
    <w:rsid w:val="005327A2"/>
    <w:rsid w:val="00534E4E"/>
    <w:rsid w:val="005368EA"/>
    <w:rsid w:val="00540A1A"/>
    <w:rsid w:val="00540A49"/>
    <w:rsid w:val="00540E59"/>
    <w:rsid w:val="00541C9D"/>
    <w:rsid w:val="00542B7A"/>
    <w:rsid w:val="00543D83"/>
    <w:rsid w:val="0054487A"/>
    <w:rsid w:val="0054597C"/>
    <w:rsid w:val="00547065"/>
    <w:rsid w:val="00551F5B"/>
    <w:rsid w:val="00553E99"/>
    <w:rsid w:val="00555087"/>
    <w:rsid w:val="005556CC"/>
    <w:rsid w:val="00556A7B"/>
    <w:rsid w:val="00557041"/>
    <w:rsid w:val="00560B9B"/>
    <w:rsid w:val="005617CF"/>
    <w:rsid w:val="005649A3"/>
    <w:rsid w:val="005650CB"/>
    <w:rsid w:val="00570B0C"/>
    <w:rsid w:val="0057147E"/>
    <w:rsid w:val="00572B58"/>
    <w:rsid w:val="00573A92"/>
    <w:rsid w:val="005740DA"/>
    <w:rsid w:val="005744AC"/>
    <w:rsid w:val="00575016"/>
    <w:rsid w:val="005754E6"/>
    <w:rsid w:val="00575D59"/>
    <w:rsid w:val="00580B7F"/>
    <w:rsid w:val="00580E7E"/>
    <w:rsid w:val="00583A02"/>
    <w:rsid w:val="005845C8"/>
    <w:rsid w:val="00584825"/>
    <w:rsid w:val="00585DB6"/>
    <w:rsid w:val="00590C6D"/>
    <w:rsid w:val="00591091"/>
    <w:rsid w:val="00591F7B"/>
    <w:rsid w:val="00592D9F"/>
    <w:rsid w:val="00596238"/>
    <w:rsid w:val="00596797"/>
    <w:rsid w:val="005A2EFF"/>
    <w:rsid w:val="005A3E9E"/>
    <w:rsid w:val="005A5CD2"/>
    <w:rsid w:val="005A6DF3"/>
    <w:rsid w:val="005A71C3"/>
    <w:rsid w:val="005A7952"/>
    <w:rsid w:val="005B006C"/>
    <w:rsid w:val="005B00B9"/>
    <w:rsid w:val="005B23BC"/>
    <w:rsid w:val="005B2DD7"/>
    <w:rsid w:val="005B391B"/>
    <w:rsid w:val="005B3B03"/>
    <w:rsid w:val="005B3E79"/>
    <w:rsid w:val="005C1390"/>
    <w:rsid w:val="005C1AC8"/>
    <w:rsid w:val="005C30CE"/>
    <w:rsid w:val="005C30D4"/>
    <w:rsid w:val="005C3185"/>
    <w:rsid w:val="005C4E75"/>
    <w:rsid w:val="005C5BCC"/>
    <w:rsid w:val="005C6CDD"/>
    <w:rsid w:val="005C741C"/>
    <w:rsid w:val="005D01CD"/>
    <w:rsid w:val="005D0874"/>
    <w:rsid w:val="005D158F"/>
    <w:rsid w:val="005D21AE"/>
    <w:rsid w:val="005D2439"/>
    <w:rsid w:val="005D382A"/>
    <w:rsid w:val="005D3FAC"/>
    <w:rsid w:val="005D418D"/>
    <w:rsid w:val="005D41A2"/>
    <w:rsid w:val="005D6221"/>
    <w:rsid w:val="005D639D"/>
    <w:rsid w:val="005D66EB"/>
    <w:rsid w:val="005D6BC4"/>
    <w:rsid w:val="005D6C11"/>
    <w:rsid w:val="005E001A"/>
    <w:rsid w:val="005E0DC0"/>
    <w:rsid w:val="005E17CF"/>
    <w:rsid w:val="005E256B"/>
    <w:rsid w:val="005E2C35"/>
    <w:rsid w:val="005E2F7E"/>
    <w:rsid w:val="005E3DC1"/>
    <w:rsid w:val="005E47E5"/>
    <w:rsid w:val="005E50C0"/>
    <w:rsid w:val="005E50E1"/>
    <w:rsid w:val="005E5B3C"/>
    <w:rsid w:val="005E799B"/>
    <w:rsid w:val="005F0B53"/>
    <w:rsid w:val="005F0E2E"/>
    <w:rsid w:val="005F1293"/>
    <w:rsid w:val="005F48A4"/>
    <w:rsid w:val="005F51F0"/>
    <w:rsid w:val="005F615F"/>
    <w:rsid w:val="005F6678"/>
    <w:rsid w:val="00601602"/>
    <w:rsid w:val="006019F9"/>
    <w:rsid w:val="00603324"/>
    <w:rsid w:val="00604216"/>
    <w:rsid w:val="0060429B"/>
    <w:rsid w:val="006052C4"/>
    <w:rsid w:val="00607DEE"/>
    <w:rsid w:val="00610DF8"/>
    <w:rsid w:val="00613398"/>
    <w:rsid w:val="006148D4"/>
    <w:rsid w:val="00617218"/>
    <w:rsid w:val="00620918"/>
    <w:rsid w:val="00620E23"/>
    <w:rsid w:val="00621378"/>
    <w:rsid w:val="00621458"/>
    <w:rsid w:val="00621CBC"/>
    <w:rsid w:val="0062337D"/>
    <w:rsid w:val="00623842"/>
    <w:rsid w:val="00624AEB"/>
    <w:rsid w:val="00625462"/>
    <w:rsid w:val="00625506"/>
    <w:rsid w:val="006270AC"/>
    <w:rsid w:val="00630053"/>
    <w:rsid w:val="006308FA"/>
    <w:rsid w:val="0063303E"/>
    <w:rsid w:val="00633FAA"/>
    <w:rsid w:val="0063432D"/>
    <w:rsid w:val="00636955"/>
    <w:rsid w:val="00641175"/>
    <w:rsid w:val="00641373"/>
    <w:rsid w:val="00643585"/>
    <w:rsid w:val="00644DA7"/>
    <w:rsid w:val="00645EEB"/>
    <w:rsid w:val="00646D53"/>
    <w:rsid w:val="0065039B"/>
    <w:rsid w:val="00650A13"/>
    <w:rsid w:val="006518EA"/>
    <w:rsid w:val="00652D80"/>
    <w:rsid w:val="00652E25"/>
    <w:rsid w:val="00652F75"/>
    <w:rsid w:val="00653862"/>
    <w:rsid w:val="00653F89"/>
    <w:rsid w:val="00654C39"/>
    <w:rsid w:val="00655511"/>
    <w:rsid w:val="00655A01"/>
    <w:rsid w:val="00657DB3"/>
    <w:rsid w:val="006609B1"/>
    <w:rsid w:val="00663342"/>
    <w:rsid w:val="0066597D"/>
    <w:rsid w:val="00665A68"/>
    <w:rsid w:val="00666E4C"/>
    <w:rsid w:val="00667B2B"/>
    <w:rsid w:val="00667D8C"/>
    <w:rsid w:val="00670DF5"/>
    <w:rsid w:val="00671590"/>
    <w:rsid w:val="006716AA"/>
    <w:rsid w:val="00671B21"/>
    <w:rsid w:val="006722D3"/>
    <w:rsid w:val="0067401D"/>
    <w:rsid w:val="006742E3"/>
    <w:rsid w:val="0067516F"/>
    <w:rsid w:val="006757A6"/>
    <w:rsid w:val="00675F8F"/>
    <w:rsid w:val="0067671A"/>
    <w:rsid w:val="00676E83"/>
    <w:rsid w:val="00680CD4"/>
    <w:rsid w:val="00683607"/>
    <w:rsid w:val="00683FBC"/>
    <w:rsid w:val="00686F31"/>
    <w:rsid w:val="0068716A"/>
    <w:rsid w:val="0069129A"/>
    <w:rsid w:val="006921D4"/>
    <w:rsid w:val="00693AFA"/>
    <w:rsid w:val="006948A4"/>
    <w:rsid w:val="006964DA"/>
    <w:rsid w:val="00696D26"/>
    <w:rsid w:val="0069730D"/>
    <w:rsid w:val="006A0181"/>
    <w:rsid w:val="006A07AE"/>
    <w:rsid w:val="006A09FF"/>
    <w:rsid w:val="006A11E1"/>
    <w:rsid w:val="006A151D"/>
    <w:rsid w:val="006A4BC5"/>
    <w:rsid w:val="006A4FB7"/>
    <w:rsid w:val="006A612E"/>
    <w:rsid w:val="006A6659"/>
    <w:rsid w:val="006A7A60"/>
    <w:rsid w:val="006B11A1"/>
    <w:rsid w:val="006B209E"/>
    <w:rsid w:val="006B4E97"/>
    <w:rsid w:val="006B55AE"/>
    <w:rsid w:val="006B773D"/>
    <w:rsid w:val="006C067F"/>
    <w:rsid w:val="006C0DBA"/>
    <w:rsid w:val="006C2DB8"/>
    <w:rsid w:val="006C2FF9"/>
    <w:rsid w:val="006C3387"/>
    <w:rsid w:val="006C4BD1"/>
    <w:rsid w:val="006C5EDD"/>
    <w:rsid w:val="006C66DD"/>
    <w:rsid w:val="006C6932"/>
    <w:rsid w:val="006D0A4F"/>
    <w:rsid w:val="006D41D1"/>
    <w:rsid w:val="006E128B"/>
    <w:rsid w:val="006E2795"/>
    <w:rsid w:val="006E318C"/>
    <w:rsid w:val="006E37A4"/>
    <w:rsid w:val="006E5C33"/>
    <w:rsid w:val="006E6C00"/>
    <w:rsid w:val="006E799E"/>
    <w:rsid w:val="006E7E33"/>
    <w:rsid w:val="006E7E96"/>
    <w:rsid w:val="006F116F"/>
    <w:rsid w:val="006F2CC8"/>
    <w:rsid w:val="006F5DB0"/>
    <w:rsid w:val="006F5FC2"/>
    <w:rsid w:val="006F71D2"/>
    <w:rsid w:val="006F78E9"/>
    <w:rsid w:val="006F7FFB"/>
    <w:rsid w:val="007020C1"/>
    <w:rsid w:val="007047D0"/>
    <w:rsid w:val="0070494F"/>
    <w:rsid w:val="00704ED2"/>
    <w:rsid w:val="00706012"/>
    <w:rsid w:val="00706579"/>
    <w:rsid w:val="00706660"/>
    <w:rsid w:val="00706892"/>
    <w:rsid w:val="00710489"/>
    <w:rsid w:val="0071056A"/>
    <w:rsid w:val="007114F3"/>
    <w:rsid w:val="0071265C"/>
    <w:rsid w:val="0071342D"/>
    <w:rsid w:val="00715463"/>
    <w:rsid w:val="007163A8"/>
    <w:rsid w:val="00716AED"/>
    <w:rsid w:val="007219D6"/>
    <w:rsid w:val="00722076"/>
    <w:rsid w:val="00722D6C"/>
    <w:rsid w:val="007240A8"/>
    <w:rsid w:val="00724BDC"/>
    <w:rsid w:val="00725A71"/>
    <w:rsid w:val="0072688E"/>
    <w:rsid w:val="00727D21"/>
    <w:rsid w:val="0073024B"/>
    <w:rsid w:val="00730318"/>
    <w:rsid w:val="00730B28"/>
    <w:rsid w:val="0073124E"/>
    <w:rsid w:val="007327DC"/>
    <w:rsid w:val="00734CB0"/>
    <w:rsid w:val="0073567F"/>
    <w:rsid w:val="0073574B"/>
    <w:rsid w:val="00736780"/>
    <w:rsid w:val="00736B9F"/>
    <w:rsid w:val="00737C83"/>
    <w:rsid w:val="00741B56"/>
    <w:rsid w:val="007422CF"/>
    <w:rsid w:val="007446B2"/>
    <w:rsid w:val="007448FA"/>
    <w:rsid w:val="007450BF"/>
    <w:rsid w:val="007464E0"/>
    <w:rsid w:val="00746626"/>
    <w:rsid w:val="007473D5"/>
    <w:rsid w:val="00751449"/>
    <w:rsid w:val="0075224E"/>
    <w:rsid w:val="00754876"/>
    <w:rsid w:val="00757403"/>
    <w:rsid w:val="00757DBF"/>
    <w:rsid w:val="00763B5C"/>
    <w:rsid w:val="0076462F"/>
    <w:rsid w:val="00764D6E"/>
    <w:rsid w:val="007661B0"/>
    <w:rsid w:val="00766997"/>
    <w:rsid w:val="0077082D"/>
    <w:rsid w:val="007754E9"/>
    <w:rsid w:val="0077551C"/>
    <w:rsid w:val="00776047"/>
    <w:rsid w:val="0078024B"/>
    <w:rsid w:val="00780951"/>
    <w:rsid w:val="007816B7"/>
    <w:rsid w:val="00781D8A"/>
    <w:rsid w:val="0078378F"/>
    <w:rsid w:val="007839BB"/>
    <w:rsid w:val="00784BD4"/>
    <w:rsid w:val="00785CD3"/>
    <w:rsid w:val="00792FB0"/>
    <w:rsid w:val="00793520"/>
    <w:rsid w:val="00795DE3"/>
    <w:rsid w:val="0079670E"/>
    <w:rsid w:val="00796F63"/>
    <w:rsid w:val="007973B9"/>
    <w:rsid w:val="00797FD9"/>
    <w:rsid w:val="007A0997"/>
    <w:rsid w:val="007A0E95"/>
    <w:rsid w:val="007A2763"/>
    <w:rsid w:val="007A2B89"/>
    <w:rsid w:val="007A338D"/>
    <w:rsid w:val="007A6B1B"/>
    <w:rsid w:val="007A790C"/>
    <w:rsid w:val="007B013E"/>
    <w:rsid w:val="007B172E"/>
    <w:rsid w:val="007B1B2E"/>
    <w:rsid w:val="007B44F8"/>
    <w:rsid w:val="007B77D2"/>
    <w:rsid w:val="007C0FCB"/>
    <w:rsid w:val="007C12F8"/>
    <w:rsid w:val="007C21F2"/>
    <w:rsid w:val="007C2428"/>
    <w:rsid w:val="007C38B6"/>
    <w:rsid w:val="007C4F18"/>
    <w:rsid w:val="007C5029"/>
    <w:rsid w:val="007C56E1"/>
    <w:rsid w:val="007C5701"/>
    <w:rsid w:val="007C708A"/>
    <w:rsid w:val="007C71D0"/>
    <w:rsid w:val="007C76DB"/>
    <w:rsid w:val="007C7B53"/>
    <w:rsid w:val="007C7EB2"/>
    <w:rsid w:val="007D0A61"/>
    <w:rsid w:val="007D33F2"/>
    <w:rsid w:val="007D35C1"/>
    <w:rsid w:val="007D4244"/>
    <w:rsid w:val="007D434B"/>
    <w:rsid w:val="007D50DE"/>
    <w:rsid w:val="007D55E8"/>
    <w:rsid w:val="007D6117"/>
    <w:rsid w:val="007D6268"/>
    <w:rsid w:val="007E04FC"/>
    <w:rsid w:val="007E07DD"/>
    <w:rsid w:val="007E1128"/>
    <w:rsid w:val="007E4851"/>
    <w:rsid w:val="007E4A45"/>
    <w:rsid w:val="007E6733"/>
    <w:rsid w:val="007E6DC0"/>
    <w:rsid w:val="007E7EEA"/>
    <w:rsid w:val="007F0CF4"/>
    <w:rsid w:val="007F1C24"/>
    <w:rsid w:val="007F1C58"/>
    <w:rsid w:val="007F4148"/>
    <w:rsid w:val="007F45AB"/>
    <w:rsid w:val="007F4C81"/>
    <w:rsid w:val="007F5E50"/>
    <w:rsid w:val="007F7A33"/>
    <w:rsid w:val="00800B89"/>
    <w:rsid w:val="00800BD2"/>
    <w:rsid w:val="00800F4D"/>
    <w:rsid w:val="00803660"/>
    <w:rsid w:val="00804AB6"/>
    <w:rsid w:val="00806B21"/>
    <w:rsid w:val="00806EF6"/>
    <w:rsid w:val="00811E18"/>
    <w:rsid w:val="00811ECF"/>
    <w:rsid w:val="00813714"/>
    <w:rsid w:val="00814872"/>
    <w:rsid w:val="00815332"/>
    <w:rsid w:val="00816C46"/>
    <w:rsid w:val="00821C18"/>
    <w:rsid w:val="008227C8"/>
    <w:rsid w:val="008234B6"/>
    <w:rsid w:val="00824F50"/>
    <w:rsid w:val="008253B9"/>
    <w:rsid w:val="00825B3D"/>
    <w:rsid w:val="0082635D"/>
    <w:rsid w:val="008264B4"/>
    <w:rsid w:val="00827BE2"/>
    <w:rsid w:val="00833713"/>
    <w:rsid w:val="008337AB"/>
    <w:rsid w:val="00834B55"/>
    <w:rsid w:val="008412A8"/>
    <w:rsid w:val="008418E2"/>
    <w:rsid w:val="00842686"/>
    <w:rsid w:val="008433E9"/>
    <w:rsid w:val="00843A38"/>
    <w:rsid w:val="00843E27"/>
    <w:rsid w:val="0084459D"/>
    <w:rsid w:val="008447C6"/>
    <w:rsid w:val="00844C78"/>
    <w:rsid w:val="00850995"/>
    <w:rsid w:val="00851029"/>
    <w:rsid w:val="00854A98"/>
    <w:rsid w:val="008552DA"/>
    <w:rsid w:val="00855D9E"/>
    <w:rsid w:val="008564FE"/>
    <w:rsid w:val="0085796E"/>
    <w:rsid w:val="008604CF"/>
    <w:rsid w:val="008618A7"/>
    <w:rsid w:val="00861CB4"/>
    <w:rsid w:val="008621AF"/>
    <w:rsid w:val="008630F2"/>
    <w:rsid w:val="008636B8"/>
    <w:rsid w:val="008636DF"/>
    <w:rsid w:val="00867509"/>
    <w:rsid w:val="0087120A"/>
    <w:rsid w:val="008713BB"/>
    <w:rsid w:val="00872850"/>
    <w:rsid w:val="00873AE8"/>
    <w:rsid w:val="00874A5F"/>
    <w:rsid w:val="008753CC"/>
    <w:rsid w:val="008757A4"/>
    <w:rsid w:val="008777BD"/>
    <w:rsid w:val="008801D0"/>
    <w:rsid w:val="008811E4"/>
    <w:rsid w:val="0088243B"/>
    <w:rsid w:val="0088473A"/>
    <w:rsid w:val="00891F99"/>
    <w:rsid w:val="0089286A"/>
    <w:rsid w:val="00893329"/>
    <w:rsid w:val="0089507B"/>
    <w:rsid w:val="00895743"/>
    <w:rsid w:val="00897188"/>
    <w:rsid w:val="008972B1"/>
    <w:rsid w:val="00897E40"/>
    <w:rsid w:val="008A129F"/>
    <w:rsid w:val="008A1786"/>
    <w:rsid w:val="008A1EA7"/>
    <w:rsid w:val="008A36AA"/>
    <w:rsid w:val="008A49C4"/>
    <w:rsid w:val="008A4FC2"/>
    <w:rsid w:val="008A563B"/>
    <w:rsid w:val="008A5723"/>
    <w:rsid w:val="008A5E07"/>
    <w:rsid w:val="008A61F0"/>
    <w:rsid w:val="008A639C"/>
    <w:rsid w:val="008B0D0F"/>
    <w:rsid w:val="008B1746"/>
    <w:rsid w:val="008B3460"/>
    <w:rsid w:val="008B37D3"/>
    <w:rsid w:val="008B3AFE"/>
    <w:rsid w:val="008B4687"/>
    <w:rsid w:val="008B48E8"/>
    <w:rsid w:val="008B59FD"/>
    <w:rsid w:val="008B61ED"/>
    <w:rsid w:val="008B6282"/>
    <w:rsid w:val="008B637C"/>
    <w:rsid w:val="008C0F4D"/>
    <w:rsid w:val="008C2612"/>
    <w:rsid w:val="008C3531"/>
    <w:rsid w:val="008C3821"/>
    <w:rsid w:val="008C419A"/>
    <w:rsid w:val="008C441D"/>
    <w:rsid w:val="008C72BB"/>
    <w:rsid w:val="008D03CF"/>
    <w:rsid w:val="008D0DD2"/>
    <w:rsid w:val="008D3292"/>
    <w:rsid w:val="008D4537"/>
    <w:rsid w:val="008D55FA"/>
    <w:rsid w:val="008D652D"/>
    <w:rsid w:val="008D6DAF"/>
    <w:rsid w:val="008D75A5"/>
    <w:rsid w:val="008E03C1"/>
    <w:rsid w:val="008E0A7F"/>
    <w:rsid w:val="008E1F07"/>
    <w:rsid w:val="008E503F"/>
    <w:rsid w:val="008E5C1B"/>
    <w:rsid w:val="008E6E65"/>
    <w:rsid w:val="008E6EAA"/>
    <w:rsid w:val="008E72A3"/>
    <w:rsid w:val="008E7CB1"/>
    <w:rsid w:val="008F01CD"/>
    <w:rsid w:val="008F15BB"/>
    <w:rsid w:val="008F1902"/>
    <w:rsid w:val="008F1B06"/>
    <w:rsid w:val="008F1FF7"/>
    <w:rsid w:val="008F2C45"/>
    <w:rsid w:val="008F4B08"/>
    <w:rsid w:val="008F54CC"/>
    <w:rsid w:val="0090170F"/>
    <w:rsid w:val="00901B77"/>
    <w:rsid w:val="009026C9"/>
    <w:rsid w:val="00903D19"/>
    <w:rsid w:val="00904570"/>
    <w:rsid w:val="00905B35"/>
    <w:rsid w:val="00905D22"/>
    <w:rsid w:val="00905D79"/>
    <w:rsid w:val="00905F2A"/>
    <w:rsid w:val="00910D63"/>
    <w:rsid w:val="00911D9D"/>
    <w:rsid w:val="00912C47"/>
    <w:rsid w:val="00913E6F"/>
    <w:rsid w:val="0091414A"/>
    <w:rsid w:val="009149C9"/>
    <w:rsid w:val="00914BA1"/>
    <w:rsid w:val="00916A85"/>
    <w:rsid w:val="00917E7E"/>
    <w:rsid w:val="009210F3"/>
    <w:rsid w:val="00921138"/>
    <w:rsid w:val="00923FC0"/>
    <w:rsid w:val="00925290"/>
    <w:rsid w:val="00926209"/>
    <w:rsid w:val="00930641"/>
    <w:rsid w:val="009306E8"/>
    <w:rsid w:val="00932F98"/>
    <w:rsid w:val="00933E08"/>
    <w:rsid w:val="00934B6D"/>
    <w:rsid w:val="00934FD6"/>
    <w:rsid w:val="0093522F"/>
    <w:rsid w:val="009356A6"/>
    <w:rsid w:val="00935814"/>
    <w:rsid w:val="00936EAA"/>
    <w:rsid w:val="009374EE"/>
    <w:rsid w:val="00937988"/>
    <w:rsid w:val="00937F7B"/>
    <w:rsid w:val="00937F8E"/>
    <w:rsid w:val="00941256"/>
    <w:rsid w:val="00941522"/>
    <w:rsid w:val="00941B56"/>
    <w:rsid w:val="00941FF8"/>
    <w:rsid w:val="00942177"/>
    <w:rsid w:val="00943388"/>
    <w:rsid w:val="009460FC"/>
    <w:rsid w:val="00946C61"/>
    <w:rsid w:val="00946F41"/>
    <w:rsid w:val="0095133A"/>
    <w:rsid w:val="00951A92"/>
    <w:rsid w:val="00952500"/>
    <w:rsid w:val="009552F3"/>
    <w:rsid w:val="009565EF"/>
    <w:rsid w:val="0095702C"/>
    <w:rsid w:val="00957E27"/>
    <w:rsid w:val="00961AAA"/>
    <w:rsid w:val="009625EF"/>
    <w:rsid w:val="0096392E"/>
    <w:rsid w:val="0096451D"/>
    <w:rsid w:val="00964B3C"/>
    <w:rsid w:val="00965124"/>
    <w:rsid w:val="00966C54"/>
    <w:rsid w:val="009701ED"/>
    <w:rsid w:val="009721A3"/>
    <w:rsid w:val="00972FF4"/>
    <w:rsid w:val="0097474D"/>
    <w:rsid w:val="00976985"/>
    <w:rsid w:val="009775CD"/>
    <w:rsid w:val="00977D1A"/>
    <w:rsid w:val="00977EC8"/>
    <w:rsid w:val="009805AA"/>
    <w:rsid w:val="00980E95"/>
    <w:rsid w:val="0098333C"/>
    <w:rsid w:val="00983E71"/>
    <w:rsid w:val="009922A0"/>
    <w:rsid w:val="009924A4"/>
    <w:rsid w:val="00996B76"/>
    <w:rsid w:val="00997766"/>
    <w:rsid w:val="009A0A1A"/>
    <w:rsid w:val="009A0A4A"/>
    <w:rsid w:val="009A0DC4"/>
    <w:rsid w:val="009A2132"/>
    <w:rsid w:val="009A27E9"/>
    <w:rsid w:val="009A291C"/>
    <w:rsid w:val="009A3149"/>
    <w:rsid w:val="009A34DB"/>
    <w:rsid w:val="009A3871"/>
    <w:rsid w:val="009A3D88"/>
    <w:rsid w:val="009A56D7"/>
    <w:rsid w:val="009B0852"/>
    <w:rsid w:val="009B2062"/>
    <w:rsid w:val="009B24E9"/>
    <w:rsid w:val="009B34B3"/>
    <w:rsid w:val="009B51F3"/>
    <w:rsid w:val="009B62E5"/>
    <w:rsid w:val="009C33A1"/>
    <w:rsid w:val="009C53EE"/>
    <w:rsid w:val="009C53F2"/>
    <w:rsid w:val="009C6F84"/>
    <w:rsid w:val="009D0FAD"/>
    <w:rsid w:val="009D30EA"/>
    <w:rsid w:val="009D36B4"/>
    <w:rsid w:val="009D4710"/>
    <w:rsid w:val="009D4925"/>
    <w:rsid w:val="009D4A80"/>
    <w:rsid w:val="009D692E"/>
    <w:rsid w:val="009D71C8"/>
    <w:rsid w:val="009D7B7F"/>
    <w:rsid w:val="009E01D1"/>
    <w:rsid w:val="009E0EDE"/>
    <w:rsid w:val="009E268C"/>
    <w:rsid w:val="009E28EF"/>
    <w:rsid w:val="009E3738"/>
    <w:rsid w:val="009E418B"/>
    <w:rsid w:val="009E737B"/>
    <w:rsid w:val="009E7F14"/>
    <w:rsid w:val="009F148A"/>
    <w:rsid w:val="009F1A26"/>
    <w:rsid w:val="009F31D7"/>
    <w:rsid w:val="009F32EA"/>
    <w:rsid w:val="009F4307"/>
    <w:rsid w:val="009F494E"/>
    <w:rsid w:val="009F49F0"/>
    <w:rsid w:val="009F72B8"/>
    <w:rsid w:val="00A001E6"/>
    <w:rsid w:val="00A0318A"/>
    <w:rsid w:val="00A03370"/>
    <w:rsid w:val="00A0350A"/>
    <w:rsid w:val="00A07078"/>
    <w:rsid w:val="00A07A09"/>
    <w:rsid w:val="00A10072"/>
    <w:rsid w:val="00A12494"/>
    <w:rsid w:val="00A131F6"/>
    <w:rsid w:val="00A136B5"/>
    <w:rsid w:val="00A137FF"/>
    <w:rsid w:val="00A13DD3"/>
    <w:rsid w:val="00A1524E"/>
    <w:rsid w:val="00A15CEB"/>
    <w:rsid w:val="00A17FD6"/>
    <w:rsid w:val="00A21EE9"/>
    <w:rsid w:val="00A22548"/>
    <w:rsid w:val="00A22984"/>
    <w:rsid w:val="00A2305D"/>
    <w:rsid w:val="00A230D3"/>
    <w:rsid w:val="00A23123"/>
    <w:rsid w:val="00A231AD"/>
    <w:rsid w:val="00A24693"/>
    <w:rsid w:val="00A247AF"/>
    <w:rsid w:val="00A251E5"/>
    <w:rsid w:val="00A26C44"/>
    <w:rsid w:val="00A30890"/>
    <w:rsid w:val="00A31ADE"/>
    <w:rsid w:val="00A31BCB"/>
    <w:rsid w:val="00A32CA3"/>
    <w:rsid w:val="00A3309F"/>
    <w:rsid w:val="00A33199"/>
    <w:rsid w:val="00A34FAE"/>
    <w:rsid w:val="00A37965"/>
    <w:rsid w:val="00A37C52"/>
    <w:rsid w:val="00A40183"/>
    <w:rsid w:val="00A4183D"/>
    <w:rsid w:val="00A428CB"/>
    <w:rsid w:val="00A42A99"/>
    <w:rsid w:val="00A45024"/>
    <w:rsid w:val="00A45C90"/>
    <w:rsid w:val="00A46F20"/>
    <w:rsid w:val="00A4791F"/>
    <w:rsid w:val="00A47E88"/>
    <w:rsid w:val="00A47F16"/>
    <w:rsid w:val="00A50B56"/>
    <w:rsid w:val="00A50E51"/>
    <w:rsid w:val="00A50F60"/>
    <w:rsid w:val="00A51E57"/>
    <w:rsid w:val="00A51E9B"/>
    <w:rsid w:val="00A544C4"/>
    <w:rsid w:val="00A54885"/>
    <w:rsid w:val="00A56A37"/>
    <w:rsid w:val="00A601C5"/>
    <w:rsid w:val="00A6030F"/>
    <w:rsid w:val="00A61448"/>
    <w:rsid w:val="00A630B1"/>
    <w:rsid w:val="00A64251"/>
    <w:rsid w:val="00A6430D"/>
    <w:rsid w:val="00A65F1A"/>
    <w:rsid w:val="00A66F4F"/>
    <w:rsid w:val="00A6722B"/>
    <w:rsid w:val="00A67D16"/>
    <w:rsid w:val="00A67F3F"/>
    <w:rsid w:val="00A7044F"/>
    <w:rsid w:val="00A71BB9"/>
    <w:rsid w:val="00A71EEB"/>
    <w:rsid w:val="00A74FF8"/>
    <w:rsid w:val="00A7687E"/>
    <w:rsid w:val="00A773A9"/>
    <w:rsid w:val="00A778CE"/>
    <w:rsid w:val="00A8049B"/>
    <w:rsid w:val="00A80F28"/>
    <w:rsid w:val="00A81DA7"/>
    <w:rsid w:val="00A82FE7"/>
    <w:rsid w:val="00A83E3B"/>
    <w:rsid w:val="00A87BAB"/>
    <w:rsid w:val="00A901CA"/>
    <w:rsid w:val="00A90710"/>
    <w:rsid w:val="00A91DA5"/>
    <w:rsid w:val="00A9213B"/>
    <w:rsid w:val="00A92819"/>
    <w:rsid w:val="00A92892"/>
    <w:rsid w:val="00A954EB"/>
    <w:rsid w:val="00A960E6"/>
    <w:rsid w:val="00AA0726"/>
    <w:rsid w:val="00AA08C8"/>
    <w:rsid w:val="00AA0E92"/>
    <w:rsid w:val="00AA17FC"/>
    <w:rsid w:val="00AA56E3"/>
    <w:rsid w:val="00AA5717"/>
    <w:rsid w:val="00AA6BC5"/>
    <w:rsid w:val="00AA7AF0"/>
    <w:rsid w:val="00AB070B"/>
    <w:rsid w:val="00AB1F0E"/>
    <w:rsid w:val="00AB2AAC"/>
    <w:rsid w:val="00AB38B9"/>
    <w:rsid w:val="00AB4DFB"/>
    <w:rsid w:val="00AB703F"/>
    <w:rsid w:val="00AC07D3"/>
    <w:rsid w:val="00AC1213"/>
    <w:rsid w:val="00AC1569"/>
    <w:rsid w:val="00AC2394"/>
    <w:rsid w:val="00AC3E79"/>
    <w:rsid w:val="00AC4365"/>
    <w:rsid w:val="00AC44B7"/>
    <w:rsid w:val="00AC4B7B"/>
    <w:rsid w:val="00AC51B5"/>
    <w:rsid w:val="00AC7C47"/>
    <w:rsid w:val="00AC7F92"/>
    <w:rsid w:val="00AD4928"/>
    <w:rsid w:val="00AD6415"/>
    <w:rsid w:val="00AE2368"/>
    <w:rsid w:val="00AE2575"/>
    <w:rsid w:val="00AE345A"/>
    <w:rsid w:val="00AE4AAA"/>
    <w:rsid w:val="00AE4F7C"/>
    <w:rsid w:val="00AE69EF"/>
    <w:rsid w:val="00AE7E34"/>
    <w:rsid w:val="00AF030E"/>
    <w:rsid w:val="00AF25F1"/>
    <w:rsid w:val="00AF2A59"/>
    <w:rsid w:val="00AF38B4"/>
    <w:rsid w:val="00AF3DC6"/>
    <w:rsid w:val="00AF5A58"/>
    <w:rsid w:val="00AF7552"/>
    <w:rsid w:val="00AF7EF1"/>
    <w:rsid w:val="00B00997"/>
    <w:rsid w:val="00B01243"/>
    <w:rsid w:val="00B023A9"/>
    <w:rsid w:val="00B02D10"/>
    <w:rsid w:val="00B038F4"/>
    <w:rsid w:val="00B03AF4"/>
    <w:rsid w:val="00B07847"/>
    <w:rsid w:val="00B079E2"/>
    <w:rsid w:val="00B10A46"/>
    <w:rsid w:val="00B11125"/>
    <w:rsid w:val="00B12859"/>
    <w:rsid w:val="00B15596"/>
    <w:rsid w:val="00B206D4"/>
    <w:rsid w:val="00B20E76"/>
    <w:rsid w:val="00B21195"/>
    <w:rsid w:val="00B220D5"/>
    <w:rsid w:val="00B2312B"/>
    <w:rsid w:val="00B25231"/>
    <w:rsid w:val="00B25583"/>
    <w:rsid w:val="00B25A2F"/>
    <w:rsid w:val="00B302FB"/>
    <w:rsid w:val="00B304D5"/>
    <w:rsid w:val="00B31D8A"/>
    <w:rsid w:val="00B33E1B"/>
    <w:rsid w:val="00B33EA7"/>
    <w:rsid w:val="00B342FE"/>
    <w:rsid w:val="00B34E14"/>
    <w:rsid w:val="00B35816"/>
    <w:rsid w:val="00B4263D"/>
    <w:rsid w:val="00B428A7"/>
    <w:rsid w:val="00B42B13"/>
    <w:rsid w:val="00B455C1"/>
    <w:rsid w:val="00B53C93"/>
    <w:rsid w:val="00B54D99"/>
    <w:rsid w:val="00B5723F"/>
    <w:rsid w:val="00B57573"/>
    <w:rsid w:val="00B611A7"/>
    <w:rsid w:val="00B63493"/>
    <w:rsid w:val="00B64A49"/>
    <w:rsid w:val="00B65D9E"/>
    <w:rsid w:val="00B67703"/>
    <w:rsid w:val="00B721EE"/>
    <w:rsid w:val="00B73BFE"/>
    <w:rsid w:val="00B73CF5"/>
    <w:rsid w:val="00B74282"/>
    <w:rsid w:val="00B75F9B"/>
    <w:rsid w:val="00B77CE5"/>
    <w:rsid w:val="00B77E3A"/>
    <w:rsid w:val="00B80E35"/>
    <w:rsid w:val="00B8430F"/>
    <w:rsid w:val="00B84C76"/>
    <w:rsid w:val="00B86779"/>
    <w:rsid w:val="00B9192C"/>
    <w:rsid w:val="00B91EE6"/>
    <w:rsid w:val="00B92615"/>
    <w:rsid w:val="00B92D5C"/>
    <w:rsid w:val="00B93E82"/>
    <w:rsid w:val="00B93F32"/>
    <w:rsid w:val="00B94099"/>
    <w:rsid w:val="00B9491A"/>
    <w:rsid w:val="00B95006"/>
    <w:rsid w:val="00B957BD"/>
    <w:rsid w:val="00B95A4E"/>
    <w:rsid w:val="00B95B36"/>
    <w:rsid w:val="00B9625E"/>
    <w:rsid w:val="00B97231"/>
    <w:rsid w:val="00BA0246"/>
    <w:rsid w:val="00BA06A5"/>
    <w:rsid w:val="00BA07B4"/>
    <w:rsid w:val="00BA0D95"/>
    <w:rsid w:val="00BA1B8B"/>
    <w:rsid w:val="00BA1BE9"/>
    <w:rsid w:val="00BA1CEE"/>
    <w:rsid w:val="00BA2DD4"/>
    <w:rsid w:val="00BA4171"/>
    <w:rsid w:val="00BA4622"/>
    <w:rsid w:val="00BA5E42"/>
    <w:rsid w:val="00BB00C1"/>
    <w:rsid w:val="00BB1530"/>
    <w:rsid w:val="00BB19A9"/>
    <w:rsid w:val="00BB1EB3"/>
    <w:rsid w:val="00BB25DC"/>
    <w:rsid w:val="00BB27D1"/>
    <w:rsid w:val="00BB3139"/>
    <w:rsid w:val="00BB4D5D"/>
    <w:rsid w:val="00BB54C0"/>
    <w:rsid w:val="00BB6001"/>
    <w:rsid w:val="00BC0265"/>
    <w:rsid w:val="00BC1159"/>
    <w:rsid w:val="00BC191C"/>
    <w:rsid w:val="00BC1A14"/>
    <w:rsid w:val="00BC244A"/>
    <w:rsid w:val="00BD073A"/>
    <w:rsid w:val="00BD5011"/>
    <w:rsid w:val="00BD504B"/>
    <w:rsid w:val="00BD542E"/>
    <w:rsid w:val="00BD62DB"/>
    <w:rsid w:val="00BD6320"/>
    <w:rsid w:val="00BD6E6F"/>
    <w:rsid w:val="00BD77FB"/>
    <w:rsid w:val="00BD7C9F"/>
    <w:rsid w:val="00BD7D3E"/>
    <w:rsid w:val="00BE077B"/>
    <w:rsid w:val="00BE14F2"/>
    <w:rsid w:val="00BE36B6"/>
    <w:rsid w:val="00BE4188"/>
    <w:rsid w:val="00BE5798"/>
    <w:rsid w:val="00BE594D"/>
    <w:rsid w:val="00BE7CB7"/>
    <w:rsid w:val="00BE7EF1"/>
    <w:rsid w:val="00BF37DD"/>
    <w:rsid w:val="00BF5898"/>
    <w:rsid w:val="00BF5BC1"/>
    <w:rsid w:val="00BF68D0"/>
    <w:rsid w:val="00C022C9"/>
    <w:rsid w:val="00C0241D"/>
    <w:rsid w:val="00C0286F"/>
    <w:rsid w:val="00C02BF1"/>
    <w:rsid w:val="00C05D49"/>
    <w:rsid w:val="00C071B9"/>
    <w:rsid w:val="00C07B8F"/>
    <w:rsid w:val="00C10358"/>
    <w:rsid w:val="00C126CC"/>
    <w:rsid w:val="00C14185"/>
    <w:rsid w:val="00C14FE0"/>
    <w:rsid w:val="00C16BBE"/>
    <w:rsid w:val="00C16BF8"/>
    <w:rsid w:val="00C252DE"/>
    <w:rsid w:val="00C254FD"/>
    <w:rsid w:val="00C27D33"/>
    <w:rsid w:val="00C27E97"/>
    <w:rsid w:val="00C307F6"/>
    <w:rsid w:val="00C32F79"/>
    <w:rsid w:val="00C33612"/>
    <w:rsid w:val="00C33F25"/>
    <w:rsid w:val="00C34D5F"/>
    <w:rsid w:val="00C362B8"/>
    <w:rsid w:val="00C36D7F"/>
    <w:rsid w:val="00C3708C"/>
    <w:rsid w:val="00C378A6"/>
    <w:rsid w:val="00C37DC9"/>
    <w:rsid w:val="00C40E71"/>
    <w:rsid w:val="00C41BE8"/>
    <w:rsid w:val="00C42A23"/>
    <w:rsid w:val="00C42F44"/>
    <w:rsid w:val="00C43990"/>
    <w:rsid w:val="00C44BB6"/>
    <w:rsid w:val="00C450BB"/>
    <w:rsid w:val="00C450CB"/>
    <w:rsid w:val="00C47A16"/>
    <w:rsid w:val="00C47A83"/>
    <w:rsid w:val="00C47E73"/>
    <w:rsid w:val="00C50011"/>
    <w:rsid w:val="00C50C7C"/>
    <w:rsid w:val="00C511EB"/>
    <w:rsid w:val="00C51EA9"/>
    <w:rsid w:val="00C51FC4"/>
    <w:rsid w:val="00C528D9"/>
    <w:rsid w:val="00C533D7"/>
    <w:rsid w:val="00C54EF5"/>
    <w:rsid w:val="00C56A13"/>
    <w:rsid w:val="00C56BF9"/>
    <w:rsid w:val="00C5775E"/>
    <w:rsid w:val="00C5779A"/>
    <w:rsid w:val="00C600B1"/>
    <w:rsid w:val="00C622DA"/>
    <w:rsid w:val="00C62413"/>
    <w:rsid w:val="00C64455"/>
    <w:rsid w:val="00C6463A"/>
    <w:rsid w:val="00C65EDF"/>
    <w:rsid w:val="00C668D2"/>
    <w:rsid w:val="00C7036E"/>
    <w:rsid w:val="00C7055F"/>
    <w:rsid w:val="00C72D55"/>
    <w:rsid w:val="00C74799"/>
    <w:rsid w:val="00C74A65"/>
    <w:rsid w:val="00C76768"/>
    <w:rsid w:val="00C76FD4"/>
    <w:rsid w:val="00C771F1"/>
    <w:rsid w:val="00C77C40"/>
    <w:rsid w:val="00C816A7"/>
    <w:rsid w:val="00C83ED9"/>
    <w:rsid w:val="00C844EE"/>
    <w:rsid w:val="00C85FF5"/>
    <w:rsid w:val="00C8733F"/>
    <w:rsid w:val="00C87984"/>
    <w:rsid w:val="00C91B64"/>
    <w:rsid w:val="00C922AB"/>
    <w:rsid w:val="00C93E23"/>
    <w:rsid w:val="00C95800"/>
    <w:rsid w:val="00C95D68"/>
    <w:rsid w:val="00C9699F"/>
    <w:rsid w:val="00CA14EF"/>
    <w:rsid w:val="00CA222F"/>
    <w:rsid w:val="00CA328C"/>
    <w:rsid w:val="00CA36BD"/>
    <w:rsid w:val="00CA3CC0"/>
    <w:rsid w:val="00CB2BDD"/>
    <w:rsid w:val="00CB3EA5"/>
    <w:rsid w:val="00CB5C74"/>
    <w:rsid w:val="00CB7881"/>
    <w:rsid w:val="00CB7A38"/>
    <w:rsid w:val="00CC1FD4"/>
    <w:rsid w:val="00CC200C"/>
    <w:rsid w:val="00CC4AFE"/>
    <w:rsid w:val="00CC5580"/>
    <w:rsid w:val="00CC6740"/>
    <w:rsid w:val="00CC7A93"/>
    <w:rsid w:val="00CD1111"/>
    <w:rsid w:val="00CD174E"/>
    <w:rsid w:val="00CD23DF"/>
    <w:rsid w:val="00CD2484"/>
    <w:rsid w:val="00CD37F7"/>
    <w:rsid w:val="00CD5F26"/>
    <w:rsid w:val="00CD7198"/>
    <w:rsid w:val="00CD770D"/>
    <w:rsid w:val="00CE44B8"/>
    <w:rsid w:val="00CE4639"/>
    <w:rsid w:val="00CE7931"/>
    <w:rsid w:val="00CE7E31"/>
    <w:rsid w:val="00CF087F"/>
    <w:rsid w:val="00CF1A2B"/>
    <w:rsid w:val="00CF201A"/>
    <w:rsid w:val="00CF2F8F"/>
    <w:rsid w:val="00CF353A"/>
    <w:rsid w:val="00CF3AD2"/>
    <w:rsid w:val="00CF5019"/>
    <w:rsid w:val="00CF5B90"/>
    <w:rsid w:val="00CF5E3A"/>
    <w:rsid w:val="00CF6734"/>
    <w:rsid w:val="00CF72BB"/>
    <w:rsid w:val="00CF7400"/>
    <w:rsid w:val="00D004D8"/>
    <w:rsid w:val="00D025A0"/>
    <w:rsid w:val="00D025DC"/>
    <w:rsid w:val="00D02B7D"/>
    <w:rsid w:val="00D03275"/>
    <w:rsid w:val="00D034A7"/>
    <w:rsid w:val="00D03800"/>
    <w:rsid w:val="00D03C8A"/>
    <w:rsid w:val="00D05038"/>
    <w:rsid w:val="00D06B91"/>
    <w:rsid w:val="00D12946"/>
    <w:rsid w:val="00D1385C"/>
    <w:rsid w:val="00D13FED"/>
    <w:rsid w:val="00D146ED"/>
    <w:rsid w:val="00D15146"/>
    <w:rsid w:val="00D15506"/>
    <w:rsid w:val="00D15E21"/>
    <w:rsid w:val="00D16CD0"/>
    <w:rsid w:val="00D176F7"/>
    <w:rsid w:val="00D2155C"/>
    <w:rsid w:val="00D23811"/>
    <w:rsid w:val="00D23C19"/>
    <w:rsid w:val="00D2457B"/>
    <w:rsid w:val="00D245D1"/>
    <w:rsid w:val="00D26207"/>
    <w:rsid w:val="00D26EBE"/>
    <w:rsid w:val="00D27537"/>
    <w:rsid w:val="00D31582"/>
    <w:rsid w:val="00D332FD"/>
    <w:rsid w:val="00D34162"/>
    <w:rsid w:val="00D352AE"/>
    <w:rsid w:val="00D364F0"/>
    <w:rsid w:val="00D36B5D"/>
    <w:rsid w:val="00D37237"/>
    <w:rsid w:val="00D37734"/>
    <w:rsid w:val="00D411DE"/>
    <w:rsid w:val="00D420C8"/>
    <w:rsid w:val="00D42FA0"/>
    <w:rsid w:val="00D43882"/>
    <w:rsid w:val="00D4502C"/>
    <w:rsid w:val="00D45E3A"/>
    <w:rsid w:val="00D45E96"/>
    <w:rsid w:val="00D5008A"/>
    <w:rsid w:val="00D5044F"/>
    <w:rsid w:val="00D50EB9"/>
    <w:rsid w:val="00D528F8"/>
    <w:rsid w:val="00D534CC"/>
    <w:rsid w:val="00D53E20"/>
    <w:rsid w:val="00D5635C"/>
    <w:rsid w:val="00D564AC"/>
    <w:rsid w:val="00D570EE"/>
    <w:rsid w:val="00D61906"/>
    <w:rsid w:val="00D62A9D"/>
    <w:rsid w:val="00D63592"/>
    <w:rsid w:val="00D64F01"/>
    <w:rsid w:val="00D65345"/>
    <w:rsid w:val="00D655D9"/>
    <w:rsid w:val="00D6722A"/>
    <w:rsid w:val="00D71276"/>
    <w:rsid w:val="00D71CCE"/>
    <w:rsid w:val="00D736D2"/>
    <w:rsid w:val="00D74A52"/>
    <w:rsid w:val="00D75765"/>
    <w:rsid w:val="00D7599A"/>
    <w:rsid w:val="00D76EF8"/>
    <w:rsid w:val="00D82A19"/>
    <w:rsid w:val="00D837B6"/>
    <w:rsid w:val="00D83870"/>
    <w:rsid w:val="00D84EF2"/>
    <w:rsid w:val="00D852B0"/>
    <w:rsid w:val="00D85DB6"/>
    <w:rsid w:val="00D911CB"/>
    <w:rsid w:val="00D941C6"/>
    <w:rsid w:val="00D94A8E"/>
    <w:rsid w:val="00D9577A"/>
    <w:rsid w:val="00D958BF"/>
    <w:rsid w:val="00D96511"/>
    <w:rsid w:val="00D975DC"/>
    <w:rsid w:val="00DA32B2"/>
    <w:rsid w:val="00DA41A1"/>
    <w:rsid w:val="00DA7F6D"/>
    <w:rsid w:val="00DB030E"/>
    <w:rsid w:val="00DB05C1"/>
    <w:rsid w:val="00DB297C"/>
    <w:rsid w:val="00DB29B4"/>
    <w:rsid w:val="00DB36F2"/>
    <w:rsid w:val="00DB39F4"/>
    <w:rsid w:val="00DB3B34"/>
    <w:rsid w:val="00DB61CD"/>
    <w:rsid w:val="00DB7BF9"/>
    <w:rsid w:val="00DC145B"/>
    <w:rsid w:val="00DC1745"/>
    <w:rsid w:val="00DC29CA"/>
    <w:rsid w:val="00DC4236"/>
    <w:rsid w:val="00DC4796"/>
    <w:rsid w:val="00DC526E"/>
    <w:rsid w:val="00DC5E1F"/>
    <w:rsid w:val="00DC6136"/>
    <w:rsid w:val="00DC6B42"/>
    <w:rsid w:val="00DC75B2"/>
    <w:rsid w:val="00DC7961"/>
    <w:rsid w:val="00DD0BA6"/>
    <w:rsid w:val="00DD1A9E"/>
    <w:rsid w:val="00DD1D34"/>
    <w:rsid w:val="00DD1EDA"/>
    <w:rsid w:val="00DD2109"/>
    <w:rsid w:val="00DD3208"/>
    <w:rsid w:val="00DD651F"/>
    <w:rsid w:val="00DD6AF1"/>
    <w:rsid w:val="00DD718B"/>
    <w:rsid w:val="00DD77ED"/>
    <w:rsid w:val="00DE098E"/>
    <w:rsid w:val="00DE1FA7"/>
    <w:rsid w:val="00DE3AB8"/>
    <w:rsid w:val="00DE6966"/>
    <w:rsid w:val="00DF29E4"/>
    <w:rsid w:val="00DF53A5"/>
    <w:rsid w:val="00DF611F"/>
    <w:rsid w:val="00DF7E3C"/>
    <w:rsid w:val="00E00BAA"/>
    <w:rsid w:val="00E01151"/>
    <w:rsid w:val="00E0124B"/>
    <w:rsid w:val="00E01A92"/>
    <w:rsid w:val="00E055A1"/>
    <w:rsid w:val="00E05641"/>
    <w:rsid w:val="00E0709D"/>
    <w:rsid w:val="00E102A6"/>
    <w:rsid w:val="00E11329"/>
    <w:rsid w:val="00E11AA2"/>
    <w:rsid w:val="00E14290"/>
    <w:rsid w:val="00E14482"/>
    <w:rsid w:val="00E14765"/>
    <w:rsid w:val="00E14987"/>
    <w:rsid w:val="00E1603B"/>
    <w:rsid w:val="00E1678A"/>
    <w:rsid w:val="00E17205"/>
    <w:rsid w:val="00E1784F"/>
    <w:rsid w:val="00E20123"/>
    <w:rsid w:val="00E20397"/>
    <w:rsid w:val="00E216A4"/>
    <w:rsid w:val="00E24CBF"/>
    <w:rsid w:val="00E25921"/>
    <w:rsid w:val="00E27424"/>
    <w:rsid w:val="00E27EBA"/>
    <w:rsid w:val="00E3024C"/>
    <w:rsid w:val="00E30559"/>
    <w:rsid w:val="00E30873"/>
    <w:rsid w:val="00E32A3A"/>
    <w:rsid w:val="00E340D3"/>
    <w:rsid w:val="00E34B5E"/>
    <w:rsid w:val="00E35105"/>
    <w:rsid w:val="00E3566B"/>
    <w:rsid w:val="00E3682D"/>
    <w:rsid w:val="00E36A17"/>
    <w:rsid w:val="00E379E4"/>
    <w:rsid w:val="00E37C51"/>
    <w:rsid w:val="00E40E6D"/>
    <w:rsid w:val="00E449F2"/>
    <w:rsid w:val="00E45546"/>
    <w:rsid w:val="00E51789"/>
    <w:rsid w:val="00E523BE"/>
    <w:rsid w:val="00E52A04"/>
    <w:rsid w:val="00E5376C"/>
    <w:rsid w:val="00E55309"/>
    <w:rsid w:val="00E60043"/>
    <w:rsid w:val="00E60588"/>
    <w:rsid w:val="00E609A0"/>
    <w:rsid w:val="00E60E6E"/>
    <w:rsid w:val="00E631BF"/>
    <w:rsid w:val="00E65A9B"/>
    <w:rsid w:val="00E66AC3"/>
    <w:rsid w:val="00E66DE8"/>
    <w:rsid w:val="00E670E2"/>
    <w:rsid w:val="00E67592"/>
    <w:rsid w:val="00E67649"/>
    <w:rsid w:val="00E67798"/>
    <w:rsid w:val="00E67975"/>
    <w:rsid w:val="00E71BD9"/>
    <w:rsid w:val="00E72CC3"/>
    <w:rsid w:val="00E73998"/>
    <w:rsid w:val="00E741D9"/>
    <w:rsid w:val="00E74796"/>
    <w:rsid w:val="00E75FDB"/>
    <w:rsid w:val="00E7648B"/>
    <w:rsid w:val="00E76B7F"/>
    <w:rsid w:val="00E7711A"/>
    <w:rsid w:val="00E771BE"/>
    <w:rsid w:val="00E77201"/>
    <w:rsid w:val="00E82CCD"/>
    <w:rsid w:val="00E8352B"/>
    <w:rsid w:val="00E83EA0"/>
    <w:rsid w:val="00E85345"/>
    <w:rsid w:val="00E85B45"/>
    <w:rsid w:val="00E86C08"/>
    <w:rsid w:val="00E8758A"/>
    <w:rsid w:val="00E94A36"/>
    <w:rsid w:val="00E94EA5"/>
    <w:rsid w:val="00E96120"/>
    <w:rsid w:val="00E96EEC"/>
    <w:rsid w:val="00E96F05"/>
    <w:rsid w:val="00EA0AAA"/>
    <w:rsid w:val="00EA1B42"/>
    <w:rsid w:val="00EA3508"/>
    <w:rsid w:val="00EA38FD"/>
    <w:rsid w:val="00EA3B6D"/>
    <w:rsid w:val="00EA3ECB"/>
    <w:rsid w:val="00EA746A"/>
    <w:rsid w:val="00EA75F0"/>
    <w:rsid w:val="00EB1729"/>
    <w:rsid w:val="00EB24FC"/>
    <w:rsid w:val="00EB3B8C"/>
    <w:rsid w:val="00EB5162"/>
    <w:rsid w:val="00EB6AA6"/>
    <w:rsid w:val="00EB7125"/>
    <w:rsid w:val="00EC3691"/>
    <w:rsid w:val="00EC4C20"/>
    <w:rsid w:val="00EC6F08"/>
    <w:rsid w:val="00EC737E"/>
    <w:rsid w:val="00ED3B37"/>
    <w:rsid w:val="00ED65BC"/>
    <w:rsid w:val="00ED66B7"/>
    <w:rsid w:val="00EE0039"/>
    <w:rsid w:val="00EE0A1D"/>
    <w:rsid w:val="00EE0CA5"/>
    <w:rsid w:val="00EE1125"/>
    <w:rsid w:val="00EE1A23"/>
    <w:rsid w:val="00EE2DF3"/>
    <w:rsid w:val="00EE31CA"/>
    <w:rsid w:val="00EE37EC"/>
    <w:rsid w:val="00EE4021"/>
    <w:rsid w:val="00EE4177"/>
    <w:rsid w:val="00EE504C"/>
    <w:rsid w:val="00EE5C39"/>
    <w:rsid w:val="00EF223F"/>
    <w:rsid w:val="00EF2C9C"/>
    <w:rsid w:val="00EF637B"/>
    <w:rsid w:val="00EF6927"/>
    <w:rsid w:val="00F00213"/>
    <w:rsid w:val="00F00752"/>
    <w:rsid w:val="00F01D4D"/>
    <w:rsid w:val="00F02766"/>
    <w:rsid w:val="00F04852"/>
    <w:rsid w:val="00F05811"/>
    <w:rsid w:val="00F05FED"/>
    <w:rsid w:val="00F07AA4"/>
    <w:rsid w:val="00F10E54"/>
    <w:rsid w:val="00F11A6F"/>
    <w:rsid w:val="00F121D5"/>
    <w:rsid w:val="00F12655"/>
    <w:rsid w:val="00F14970"/>
    <w:rsid w:val="00F15930"/>
    <w:rsid w:val="00F219D7"/>
    <w:rsid w:val="00F22F06"/>
    <w:rsid w:val="00F23459"/>
    <w:rsid w:val="00F24456"/>
    <w:rsid w:val="00F26CED"/>
    <w:rsid w:val="00F26D5D"/>
    <w:rsid w:val="00F30045"/>
    <w:rsid w:val="00F31872"/>
    <w:rsid w:val="00F32775"/>
    <w:rsid w:val="00F33456"/>
    <w:rsid w:val="00F339DD"/>
    <w:rsid w:val="00F33B89"/>
    <w:rsid w:val="00F362BD"/>
    <w:rsid w:val="00F371CA"/>
    <w:rsid w:val="00F37B34"/>
    <w:rsid w:val="00F41010"/>
    <w:rsid w:val="00F418EF"/>
    <w:rsid w:val="00F42871"/>
    <w:rsid w:val="00F42A62"/>
    <w:rsid w:val="00F44B08"/>
    <w:rsid w:val="00F44F6D"/>
    <w:rsid w:val="00F4550F"/>
    <w:rsid w:val="00F50AD2"/>
    <w:rsid w:val="00F53CA1"/>
    <w:rsid w:val="00F5442E"/>
    <w:rsid w:val="00F54ACD"/>
    <w:rsid w:val="00F5509E"/>
    <w:rsid w:val="00F5669F"/>
    <w:rsid w:val="00F56A8B"/>
    <w:rsid w:val="00F57713"/>
    <w:rsid w:val="00F57FE6"/>
    <w:rsid w:val="00F601B2"/>
    <w:rsid w:val="00F61ACC"/>
    <w:rsid w:val="00F628FA"/>
    <w:rsid w:val="00F62BB7"/>
    <w:rsid w:val="00F638E5"/>
    <w:rsid w:val="00F63FD2"/>
    <w:rsid w:val="00F67E52"/>
    <w:rsid w:val="00F7087D"/>
    <w:rsid w:val="00F71724"/>
    <w:rsid w:val="00F71822"/>
    <w:rsid w:val="00F72597"/>
    <w:rsid w:val="00F76A0E"/>
    <w:rsid w:val="00F76E32"/>
    <w:rsid w:val="00F80080"/>
    <w:rsid w:val="00F80B16"/>
    <w:rsid w:val="00F811F8"/>
    <w:rsid w:val="00F8204B"/>
    <w:rsid w:val="00F8573E"/>
    <w:rsid w:val="00F868B8"/>
    <w:rsid w:val="00F91B8D"/>
    <w:rsid w:val="00F93050"/>
    <w:rsid w:val="00F93117"/>
    <w:rsid w:val="00F93412"/>
    <w:rsid w:val="00F94D91"/>
    <w:rsid w:val="00F94E70"/>
    <w:rsid w:val="00FA1480"/>
    <w:rsid w:val="00FA32D8"/>
    <w:rsid w:val="00FA42B8"/>
    <w:rsid w:val="00FA726D"/>
    <w:rsid w:val="00FB02DE"/>
    <w:rsid w:val="00FB0EAF"/>
    <w:rsid w:val="00FB24BE"/>
    <w:rsid w:val="00FB26ED"/>
    <w:rsid w:val="00FB2E02"/>
    <w:rsid w:val="00FB2E4F"/>
    <w:rsid w:val="00FB33D3"/>
    <w:rsid w:val="00FB3EE3"/>
    <w:rsid w:val="00FB47DB"/>
    <w:rsid w:val="00FC1373"/>
    <w:rsid w:val="00FC1FCC"/>
    <w:rsid w:val="00FC340C"/>
    <w:rsid w:val="00FC4944"/>
    <w:rsid w:val="00FC734C"/>
    <w:rsid w:val="00FD02E1"/>
    <w:rsid w:val="00FD0371"/>
    <w:rsid w:val="00FD08C1"/>
    <w:rsid w:val="00FD0A87"/>
    <w:rsid w:val="00FD0E42"/>
    <w:rsid w:val="00FD0FC2"/>
    <w:rsid w:val="00FD1AA0"/>
    <w:rsid w:val="00FD248E"/>
    <w:rsid w:val="00FD4C18"/>
    <w:rsid w:val="00FD520D"/>
    <w:rsid w:val="00FD7126"/>
    <w:rsid w:val="00FD7D41"/>
    <w:rsid w:val="00FD7FF8"/>
    <w:rsid w:val="00FE1726"/>
    <w:rsid w:val="00FE23EB"/>
    <w:rsid w:val="00FE4E21"/>
    <w:rsid w:val="00FE6144"/>
    <w:rsid w:val="00FE7584"/>
    <w:rsid w:val="00FE7FDC"/>
    <w:rsid w:val="00FF1AA9"/>
    <w:rsid w:val="00FF1B34"/>
    <w:rsid w:val="00FF260D"/>
    <w:rsid w:val="00FF2B5E"/>
    <w:rsid w:val="00FF2B71"/>
    <w:rsid w:val="00FF2E6D"/>
    <w:rsid w:val="00FF427F"/>
    <w:rsid w:val="00FF5351"/>
    <w:rsid w:val="00FF6F32"/>
    <w:rsid w:val="00FF7F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493747"/>
  <w15:docId w15:val="{80A14D06-884E-4485-852E-A59B27E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paragraph" w:styleId="Footer">
    <w:name w:val="footer"/>
    <w:basedOn w:val="Normal"/>
    <w:link w:val="FooterChar"/>
    <w:uiPriority w:val="99"/>
    <w:rsid w:val="004F2F03"/>
    <w:pPr>
      <w:tabs>
        <w:tab w:val="center" w:pos="4320"/>
        <w:tab w:val="right" w:pos="8640"/>
      </w:tabs>
    </w:pPr>
  </w:style>
  <w:style w:type="character" w:styleId="FootnoteReference">
    <w:name w:val="footnote reference"/>
    <w:aliases w:val="4_G,Footnote Reference/,fr"/>
    <w:uiPriority w:val="99"/>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semiHidden/>
    <w:rsid w:val="00551F5B"/>
    <w:rPr>
      <w:sz w:val="16"/>
      <w:szCs w:val="16"/>
    </w:rPr>
  </w:style>
  <w:style w:type="paragraph" w:styleId="CommentText">
    <w:name w:val="annotation text"/>
    <w:basedOn w:val="Normal"/>
    <w:link w:val="CommentTextChar"/>
    <w:uiPriority w:val="99"/>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semiHidden/>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character" w:customStyle="1" w:styleId="FooterChar">
    <w:name w:val="Footer Char"/>
    <w:link w:val="Footer"/>
    <w:uiPriority w:val="99"/>
    <w:rsid w:val="00895743"/>
    <w:rPr>
      <w:rFonts w:ascii="Courier" w:hAnsi="Courier"/>
      <w:sz w:val="24"/>
      <w:szCs w:val="24"/>
    </w:rPr>
  </w:style>
  <w:style w:type="character" w:customStyle="1" w:styleId="HeaderChar">
    <w:name w:val="Header Char"/>
    <w:link w:val="Header"/>
    <w:uiPriority w:val="99"/>
    <w:rsid w:val="007D6117"/>
    <w:rPr>
      <w:rFonts w:ascii="Courier" w:hAnsi="Courier"/>
      <w:sz w:val="24"/>
      <w:szCs w:val="24"/>
    </w:rPr>
  </w:style>
  <w:style w:type="paragraph" w:styleId="ListParagraph">
    <w:name w:val="List Paragraph"/>
    <w:basedOn w:val="Normal"/>
    <w:uiPriority w:val="34"/>
    <w:qFormat/>
    <w:rsid w:val="00BA07B4"/>
    <w:pPr>
      <w:widowControl/>
      <w:autoSpaceDE/>
      <w:autoSpaceDN/>
      <w:adjustRightInd/>
      <w:ind w:left="720"/>
      <w:contextualSpacing/>
    </w:pPr>
    <w:rPr>
      <w:rFonts w:ascii="Times New Roman" w:hAnsi="Times New Roman"/>
    </w:rPr>
  </w:style>
  <w:style w:type="paragraph" w:styleId="FootnoteText">
    <w:name w:val="footnote text"/>
    <w:aliases w:val="5_G,ft"/>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aliases w:val="5_G Char,ft Char"/>
    <w:basedOn w:val="DefaultParagraphFont"/>
    <w:link w:val="FootnoteText"/>
    <w:uiPriority w:val="99"/>
    <w:rsid w:val="004535B0"/>
    <w:rPr>
      <w:rFonts w:ascii="Courier" w:hAnsi="Courier" w:eastAsiaTheme="minorHAnsi"/>
    </w:rPr>
  </w:style>
  <w:style w:type="character" w:styleId="FollowedHyperlink">
    <w:name w:val="FollowedHyperlink"/>
    <w:basedOn w:val="DefaultParagraphFont"/>
    <w:rsid w:val="000B5001"/>
    <w:rPr>
      <w:color w:val="800080" w:themeColor="followedHyperlink"/>
      <w:u w:val="single"/>
    </w:rPr>
  </w:style>
  <w:style w:type="paragraph" w:customStyle="1" w:styleId="PreambleCaptions-DatesAddresses">
    <w:name w:val="Preamble Captions-Dates Addresses"/>
    <w:basedOn w:val="Normal"/>
    <w:rsid w:val="00531037"/>
    <w:pPr>
      <w:widowControl/>
      <w:autoSpaceDE/>
      <w:autoSpaceDN/>
      <w:adjustRightInd/>
      <w:spacing w:line="480" w:lineRule="auto"/>
    </w:pPr>
    <w:rPr>
      <w:rFonts w:ascii="Times New Roman" w:hAnsi="Times New Roman"/>
      <w:szCs w:val="20"/>
    </w:rPr>
  </w:style>
  <w:style w:type="character" w:customStyle="1" w:styleId="HTMLPreformattedChar">
    <w:name w:val="HTML Preformatted Char"/>
    <w:link w:val="HTMLPreformatted"/>
    <w:uiPriority w:val="99"/>
    <w:rsid w:val="00531037"/>
    <w:rPr>
      <w:rFonts w:ascii="Courier New" w:hAnsi="Courier New" w:cs="Courier New"/>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 w:type="character" w:customStyle="1" w:styleId="HTMLPreformattedChar1">
    <w:name w:val="HTML Preformatted Char1"/>
    <w:uiPriority w:val="99"/>
    <w:rsid w:val="00B02D10"/>
    <w:rPr>
      <w:rFonts w:ascii="Korinna BT" w:hAnsi="Korinna BT" w:cs="Korinna BT"/>
      <w:sz w:val="28"/>
      <w:szCs w:val="28"/>
      <w:lang w:val="en-US" w:eastAsia="en-US" w:bidi="ar-SA"/>
    </w:rPr>
  </w:style>
  <w:style w:type="paragraph" w:styleId="Revision">
    <w:name w:val="Revision"/>
    <w:hidden/>
    <w:uiPriority w:val="99"/>
    <w:semiHidden/>
    <w:rsid w:val="008C441D"/>
    <w:rPr>
      <w:rFonts w:ascii="Courier" w:hAnsi="Courier"/>
      <w:sz w:val="24"/>
      <w:szCs w:val="24"/>
    </w:rPr>
  </w:style>
  <w:style w:type="table" w:styleId="TableGrid">
    <w:name w:val="Table Grid"/>
    <w:basedOn w:val="TableNormal"/>
    <w:rsid w:val="0078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342D"/>
    <w:rPr>
      <w:color w:val="605E5C"/>
      <w:shd w:val="clear" w:color="auto" w:fill="E1DFDD"/>
    </w:rPr>
  </w:style>
  <w:style w:type="character" w:customStyle="1" w:styleId="UnresolvedMention2">
    <w:name w:val="Unresolved Mention2"/>
    <w:basedOn w:val="DefaultParagraphFont"/>
    <w:uiPriority w:val="99"/>
    <w:semiHidden/>
    <w:unhideWhenUsed/>
    <w:rsid w:val="007F1C58"/>
    <w:rPr>
      <w:color w:val="605E5C"/>
      <w:shd w:val="clear" w:color="auto" w:fill="E1DFDD"/>
    </w:rPr>
  </w:style>
  <w:style w:type="paragraph" w:styleId="NoSpacing">
    <w:name w:val="No Spacing"/>
    <w:uiPriority w:val="1"/>
    <w:qFormat/>
    <w:rsid w:val="00440A59"/>
    <w:rPr>
      <w:rFonts w:asciiTheme="minorHAnsi" w:eastAsiaTheme="minorHAnsi" w:hAnsiTheme="minorHAnsi" w:cstheme="minorBidi"/>
      <w:sz w:val="22"/>
      <w:szCs w:val="22"/>
    </w:rPr>
  </w:style>
  <w:style w:type="character" w:customStyle="1" w:styleId="cf01">
    <w:name w:val="cf01"/>
    <w:basedOn w:val="DefaultParagraphFont"/>
    <w:rsid w:val="000B75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hyperlink" Target="http://www.reginfo.gov/public/do/PRAOMBHistory?ombControlNumber=1218-0" TargetMode="Externa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reginfo.gov/public/do/PRAViewICR?ref_nbr=201905-1218-00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EEBB-8505-49DC-AE73-3B9F8089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4323</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 STATEMENT</vt:lpstr>
    </vt:vector>
  </TitlesOfParts>
  <Company>USDOL/OSHA</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Rtingle</dc:creator>
  <cp:lastModifiedBy>Cannon, Belinda - OSHA</cp:lastModifiedBy>
  <cp:revision>4</cp:revision>
  <cp:lastPrinted>2019-01-10T18:29:00Z</cp:lastPrinted>
  <dcterms:created xsi:type="dcterms:W3CDTF">2023-07-19T20:46:00Z</dcterms:created>
  <dcterms:modified xsi:type="dcterms:W3CDTF">2023-07-20T11:59:00Z</dcterms:modified>
</cp:coreProperties>
</file>