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2FA2" w:rsidRPr="00C422ED" w:rsidP="00F12FA2" w14:paraId="1AA5C61C" w14:textId="4868ED52">
      <w:pPr>
        <w:jc w:val="center"/>
        <w:rPr>
          <w:b/>
          <w:bCs/>
        </w:rPr>
      </w:pPr>
      <w:r w:rsidRPr="00C422ED">
        <w:rPr>
          <w:b/>
          <w:bCs/>
        </w:rPr>
        <w:t>Supporting Statement for</w:t>
      </w:r>
      <w:r w:rsidRPr="00C422ED" w:rsidR="007B43C5">
        <w:rPr>
          <w:b/>
          <w:bCs/>
        </w:rPr>
        <w:t xml:space="preserve"> Hoist Operators’ Physical Fitness</w:t>
      </w:r>
    </w:p>
    <w:p w:rsidR="00EF1A9E" w:rsidRPr="00C422ED" w:rsidP="00F12FA2" w14:paraId="0E64FCF0" w14:textId="64ADDD03">
      <w:pPr>
        <w:jc w:val="center"/>
        <w:rPr>
          <w:b/>
        </w:rPr>
      </w:pPr>
      <w:r w:rsidRPr="00C422ED">
        <w:rPr>
          <w:b/>
          <w:bCs/>
        </w:rPr>
        <w:t>Paperwork Reduction Act Submission</w:t>
      </w:r>
    </w:p>
    <w:p w:rsidR="00EF1A9E" w:rsidRPr="00C422ED" w14:paraId="534835EA" w14:textId="77777777">
      <w:pPr>
        <w:pStyle w:val="Default"/>
        <w:rPr>
          <w:b/>
          <w:color w:val="auto"/>
        </w:rPr>
      </w:pPr>
      <w:r w:rsidRPr="00C422ED">
        <w:rPr>
          <w:b/>
          <w:bCs/>
          <w:color w:val="auto"/>
        </w:rPr>
        <w:t xml:space="preserve"> </w:t>
      </w:r>
    </w:p>
    <w:p w:rsidR="007B43C5" w:rsidRPr="00C422ED" w:rsidP="007B43C5" w14:paraId="2F4FC2AB" w14:textId="77777777">
      <w:pPr>
        <w:pStyle w:val="Default"/>
        <w:widowControl/>
        <w:rPr>
          <w:b/>
          <w:color w:val="auto"/>
          <w:u w:val="single"/>
        </w:rPr>
      </w:pPr>
      <w:r w:rsidRPr="00C422ED">
        <w:rPr>
          <w:bCs/>
          <w:color w:val="auto"/>
        </w:rPr>
        <w:t xml:space="preserve">This ICR seeks to extend, without change, an existing information collection request.  </w:t>
      </w:r>
    </w:p>
    <w:p w:rsidR="007B43C5" w:rsidRPr="00C422ED" w14:paraId="63920F27" w14:textId="77777777">
      <w:pPr>
        <w:pStyle w:val="Default"/>
        <w:rPr>
          <w:b/>
          <w:color w:val="auto"/>
          <w:u w:val="single"/>
        </w:rPr>
      </w:pPr>
    </w:p>
    <w:p w:rsidR="0013105C" w:rsidRPr="00C422ED" w14:paraId="14492ABA" w14:textId="4C1F3070">
      <w:pPr>
        <w:pStyle w:val="Default"/>
        <w:rPr>
          <w:b/>
          <w:color w:val="auto"/>
          <w:u w:val="single"/>
        </w:rPr>
      </w:pPr>
      <w:r w:rsidRPr="00C422ED">
        <w:rPr>
          <w:b/>
          <w:color w:val="auto"/>
          <w:u w:val="single"/>
        </w:rPr>
        <w:t xml:space="preserve">OMB </w:t>
      </w:r>
      <w:r w:rsidRPr="00C422ED" w:rsidR="00301088">
        <w:rPr>
          <w:b/>
          <w:color w:val="auto"/>
          <w:u w:val="single"/>
        </w:rPr>
        <w:t xml:space="preserve">Control </w:t>
      </w:r>
      <w:r w:rsidRPr="00C422ED">
        <w:rPr>
          <w:b/>
          <w:color w:val="auto"/>
          <w:u w:val="single"/>
        </w:rPr>
        <w:t>N</w:t>
      </w:r>
      <w:r w:rsidRPr="00C422ED" w:rsidR="00043D36">
        <w:rPr>
          <w:b/>
          <w:color w:val="auto"/>
          <w:u w:val="single"/>
        </w:rPr>
        <w:t>umber</w:t>
      </w:r>
      <w:r w:rsidRPr="00C422ED">
        <w:rPr>
          <w:b/>
          <w:color w:val="auto"/>
        </w:rPr>
        <w:t xml:space="preserve">: </w:t>
      </w:r>
      <w:r w:rsidRPr="00C422ED">
        <w:rPr>
          <w:color w:val="auto"/>
        </w:rPr>
        <w:t>1219-0049</w:t>
      </w:r>
    </w:p>
    <w:p w:rsidR="0013105C" w:rsidRPr="00C422ED" w14:paraId="55F8D771" w14:textId="77777777">
      <w:pPr>
        <w:pStyle w:val="Default"/>
        <w:rPr>
          <w:b/>
          <w:color w:val="auto"/>
          <w:u w:val="single"/>
        </w:rPr>
      </w:pPr>
    </w:p>
    <w:p w:rsidR="001854EC" w:rsidRPr="00C422ED" w14:paraId="466DFAE5" w14:textId="77777777">
      <w:pPr>
        <w:pStyle w:val="Default"/>
        <w:rPr>
          <w:color w:val="auto"/>
        </w:rPr>
      </w:pPr>
      <w:r w:rsidRPr="00C422ED">
        <w:rPr>
          <w:b/>
          <w:color w:val="auto"/>
          <w:u w:val="single"/>
        </w:rPr>
        <w:t>Information Collection Request Title</w:t>
      </w:r>
      <w:r w:rsidRPr="00C422ED">
        <w:rPr>
          <w:b/>
          <w:color w:val="auto"/>
        </w:rPr>
        <w:t xml:space="preserve">: </w:t>
      </w:r>
      <w:bookmarkStart w:id="0" w:name="_Hlk129782026"/>
      <w:r w:rsidRPr="00C422ED" w:rsidR="00EF1A9E">
        <w:rPr>
          <w:color w:val="auto"/>
        </w:rPr>
        <w:t>Hoist Operators’ Physical Fitness</w:t>
      </w:r>
      <w:r w:rsidRPr="00C422ED" w:rsidR="003F0CF6">
        <w:rPr>
          <w:color w:val="auto"/>
        </w:rPr>
        <w:t xml:space="preserve"> </w:t>
      </w:r>
      <w:bookmarkEnd w:id="0"/>
    </w:p>
    <w:p w:rsidR="001854EC" w:rsidRPr="00C422ED" w:rsidP="001854EC" w14:paraId="043EEBCD" w14:textId="77777777">
      <w:pPr>
        <w:widowControl/>
        <w:rPr>
          <w:b/>
          <w:u w:val="single"/>
        </w:rPr>
      </w:pPr>
    </w:p>
    <w:p w:rsidR="005C0D17" w:rsidRPr="00C422ED" w:rsidP="00EF5A1A" w14:paraId="5677ABBF" w14:textId="5D0937BC">
      <w:pPr>
        <w:pStyle w:val="Default"/>
        <w:rPr>
          <w:color w:val="auto"/>
        </w:rPr>
      </w:pPr>
      <w:r w:rsidRPr="00C422ED">
        <w:rPr>
          <w:b/>
          <w:color w:val="auto"/>
          <w:u w:val="single"/>
        </w:rPr>
        <w:t>Authority:</w:t>
      </w:r>
      <w:r w:rsidRPr="00C422ED">
        <w:rPr>
          <w:color w:val="auto"/>
        </w:rPr>
        <w:t xml:space="preserve"> </w:t>
      </w:r>
    </w:p>
    <w:p w:rsidR="005C0D17" w:rsidRPr="00C422ED" w:rsidP="00EF5A1A" w14:paraId="3A5317B5" w14:textId="5D2635ED">
      <w:pPr>
        <w:pStyle w:val="Default"/>
        <w:rPr>
          <w:color w:val="auto"/>
        </w:rPr>
      </w:pPr>
      <w:r w:rsidRPr="00C422ED">
        <w:rPr>
          <w:color w:val="auto"/>
        </w:rPr>
        <w:t xml:space="preserve">30 CFR 56.19057 </w:t>
      </w:r>
      <w:r w:rsidRPr="00C422ED">
        <w:rPr>
          <w:color w:val="auto"/>
        </w:rPr>
        <w:t xml:space="preserve">Hoist operator's physical fitness </w:t>
      </w:r>
      <w:r w:rsidR="00C422ED">
        <w:rPr>
          <w:color w:val="auto"/>
        </w:rPr>
        <w:t>(Surface Metal and Nonmetal Mines)</w:t>
      </w:r>
    </w:p>
    <w:p w:rsidR="00EF5A1A" w:rsidRPr="00C422ED" w:rsidP="00EF5A1A" w14:paraId="28813351" w14:textId="7F15338B">
      <w:pPr>
        <w:pStyle w:val="Default"/>
        <w:rPr>
          <w:color w:val="auto"/>
        </w:rPr>
      </w:pPr>
      <w:r w:rsidRPr="00C422ED">
        <w:rPr>
          <w:color w:val="auto"/>
        </w:rPr>
        <w:t xml:space="preserve">30 CFR 57.19057 </w:t>
      </w:r>
      <w:r w:rsidRPr="00C422ED" w:rsidR="005C0D17">
        <w:rPr>
          <w:color w:val="auto"/>
        </w:rPr>
        <w:t>Hoist operator's physical fitness</w:t>
      </w:r>
      <w:r w:rsidR="00C422ED">
        <w:rPr>
          <w:color w:val="auto"/>
        </w:rPr>
        <w:t xml:space="preserve"> (Underground Metal and Nonmetal Mines)</w:t>
      </w:r>
    </w:p>
    <w:p w:rsidR="00EF5A1A" w:rsidRPr="00C422ED" w:rsidP="001854EC" w14:paraId="652D5350" w14:textId="77777777">
      <w:pPr>
        <w:widowControl/>
        <w:rPr>
          <w:b/>
          <w:u w:val="single"/>
        </w:rPr>
      </w:pPr>
    </w:p>
    <w:p w:rsidR="00222E5E" w:rsidRPr="00C422ED" w:rsidP="00222E5E" w14:paraId="3D9B1BFD" w14:textId="2A16571E">
      <w:pPr>
        <w:pStyle w:val="Default"/>
        <w:widowControl/>
        <w:rPr>
          <w:b/>
          <w:sz w:val="22"/>
          <w:szCs w:val="22"/>
          <w:u w:val="single"/>
        </w:rPr>
      </w:pPr>
      <w:r w:rsidRPr="007143AD">
        <w:rPr>
          <w:b/>
          <w:sz w:val="22"/>
          <w:szCs w:val="22"/>
          <w:u w:val="single"/>
        </w:rPr>
        <w:t xml:space="preserve">Type of </w:t>
      </w:r>
      <w:r w:rsidRPr="007143AD" w:rsidR="00C422ED">
        <w:rPr>
          <w:b/>
          <w:sz w:val="22"/>
          <w:szCs w:val="22"/>
          <w:u w:val="single"/>
        </w:rPr>
        <w:t xml:space="preserve">OMB </w:t>
      </w:r>
      <w:r w:rsidRPr="007143AD">
        <w:rPr>
          <w:b/>
          <w:sz w:val="22"/>
          <w:szCs w:val="22"/>
          <w:u w:val="single"/>
        </w:rPr>
        <w:t>Review:</w:t>
      </w:r>
      <w:r w:rsidRPr="00C422ED">
        <w:rPr>
          <w:b/>
          <w:sz w:val="22"/>
          <w:szCs w:val="22"/>
        </w:rPr>
        <w:t xml:space="preserve"> </w:t>
      </w:r>
      <w:r w:rsidRPr="00C422ED">
        <w:rPr>
          <w:bCs/>
          <w:sz w:val="22"/>
          <w:szCs w:val="22"/>
        </w:rPr>
        <w:t>Extension</w:t>
      </w:r>
    </w:p>
    <w:p w:rsidR="00222E5E" w:rsidRPr="00C422ED" w:rsidP="001854EC" w14:paraId="74EF26B0" w14:textId="77777777">
      <w:pPr>
        <w:widowControl/>
        <w:rPr>
          <w:b/>
          <w:u w:val="single"/>
        </w:rPr>
      </w:pPr>
    </w:p>
    <w:p w:rsidR="001854EC" w:rsidRPr="00C422ED" w:rsidP="001854EC" w14:paraId="7CE8CB52" w14:textId="04EC3663">
      <w:pPr>
        <w:widowControl/>
      </w:pPr>
      <w:r w:rsidRPr="00C422ED">
        <w:rPr>
          <w:b/>
          <w:u w:val="single"/>
        </w:rPr>
        <w:t>Collection Instrument(s)</w:t>
      </w:r>
      <w:r w:rsidRPr="00C422ED">
        <w:rPr>
          <w:b/>
        </w:rPr>
        <w:t xml:space="preserve">: </w:t>
      </w:r>
      <w:r w:rsidRPr="00C422ED">
        <w:t>None</w:t>
      </w:r>
    </w:p>
    <w:p w:rsidR="001854EC" w:rsidRPr="00C422ED" w14:paraId="09CCFD4E" w14:textId="77777777">
      <w:pPr>
        <w:pStyle w:val="Default"/>
        <w:rPr>
          <w:color w:val="auto"/>
        </w:rPr>
      </w:pPr>
    </w:p>
    <w:p w:rsidR="0088752E" w:rsidRPr="00C422ED" w:rsidP="0088752E" w14:paraId="7D1EE4A9" w14:textId="77777777">
      <w:pPr>
        <w:rPr>
          <w:b/>
          <w:bCs/>
        </w:rPr>
      </w:pPr>
      <w:r w:rsidRPr="00C422ED">
        <w:rPr>
          <w:b/>
          <w:bCs/>
        </w:rPr>
        <w:t>General Instructions</w:t>
      </w:r>
    </w:p>
    <w:p w:rsidR="001854EC" w:rsidRPr="00C422ED" w14:paraId="60107B3B" w14:textId="6003EFC2">
      <w:pPr>
        <w:pStyle w:val="Default"/>
        <w:rPr>
          <w:color w:val="auto"/>
        </w:rPr>
      </w:pPr>
    </w:p>
    <w:p w:rsidR="009B5CD4" w:rsidRPr="00687C94" w14:paraId="1211C251" w14:textId="07A6479C">
      <w:pPr>
        <w:pStyle w:val="Default"/>
        <w:rPr>
          <w:b/>
          <w:bCs/>
          <w:color w:val="auto"/>
        </w:rPr>
      </w:pPr>
      <w:r w:rsidRPr="00687C94">
        <w:rPr>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9B5CD4" w:rsidRPr="00C422ED" w14:paraId="1115F0FC" w14:textId="75A7CF34">
      <w:pPr>
        <w:pStyle w:val="Default"/>
        <w:rPr>
          <w:color w:val="auto"/>
        </w:rPr>
      </w:pPr>
    </w:p>
    <w:p w:rsidR="009B5CD4" w:rsidRPr="00C422ED" w14:paraId="41C4F374" w14:textId="537ECB29">
      <w:pPr>
        <w:pStyle w:val="Default"/>
        <w:rPr>
          <w:b/>
          <w:bCs/>
          <w:color w:val="auto"/>
        </w:rPr>
      </w:pPr>
      <w:r w:rsidRPr="00C422ED">
        <w:rPr>
          <w:b/>
          <w:bCs/>
          <w:color w:val="auto"/>
        </w:rPr>
        <w:t>Specific Instructions</w:t>
      </w:r>
    </w:p>
    <w:p w:rsidR="00EF1A9E" w:rsidRPr="00C422ED" w14:paraId="735462D1" w14:textId="77777777">
      <w:pPr>
        <w:pStyle w:val="Default"/>
        <w:rPr>
          <w:color w:val="auto"/>
        </w:rPr>
      </w:pPr>
      <w:r w:rsidRPr="00C422ED">
        <w:rPr>
          <w:color w:val="auto"/>
        </w:rPr>
        <w:t xml:space="preserve"> </w:t>
      </w:r>
    </w:p>
    <w:p w:rsidR="00EF1A9E" w:rsidRPr="00C422ED" w14:paraId="075FEAB5" w14:textId="77777777">
      <w:pPr>
        <w:ind w:left="740" w:hanging="740"/>
        <w:rPr>
          <w:b/>
        </w:rPr>
      </w:pPr>
      <w:r w:rsidRPr="00C422ED">
        <w:rPr>
          <w:b/>
          <w:bCs/>
        </w:rPr>
        <w:t xml:space="preserve">A. JUSTIFICATION </w:t>
      </w:r>
    </w:p>
    <w:p w:rsidR="00EF1A9E" w:rsidRPr="00C422ED" w14:paraId="05BBE21F" w14:textId="77777777">
      <w:pPr>
        <w:pStyle w:val="Default"/>
        <w:rPr>
          <w:b/>
          <w:color w:val="auto"/>
        </w:rPr>
      </w:pPr>
      <w:r w:rsidRPr="00C422ED">
        <w:rPr>
          <w:b/>
          <w:bCs/>
          <w:color w:val="auto"/>
        </w:rPr>
        <w:t xml:space="preserve"> </w:t>
      </w:r>
    </w:p>
    <w:p w:rsidR="000C3CE0" w:rsidRPr="00C422ED" w14:paraId="13DE73DD" w14:textId="77777777">
      <w:pPr>
        <w:pStyle w:val="Default"/>
        <w:rPr>
          <w:b/>
          <w:bCs/>
          <w:color w:val="auto"/>
        </w:rPr>
      </w:pPr>
      <w:r w:rsidRPr="00C422ED">
        <w:rPr>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1A9E" w:rsidRPr="00C422ED" w14:paraId="580FAC64" w14:textId="77777777">
      <w:pPr>
        <w:pStyle w:val="Default"/>
        <w:rPr>
          <w:color w:val="auto"/>
        </w:rPr>
      </w:pPr>
      <w:r w:rsidRPr="00C422ED">
        <w:rPr>
          <w:bCs/>
          <w:color w:val="auto"/>
        </w:rPr>
        <w:t xml:space="preserve"> </w:t>
      </w:r>
    </w:p>
    <w:p w:rsidR="0013105C" w:rsidRPr="00C422ED" w:rsidP="00B51020" w14:paraId="6C5560A0" w14:textId="6514EF1D">
      <w:pPr>
        <w:pStyle w:val="Default"/>
        <w:rPr>
          <w:color w:val="auto"/>
        </w:rPr>
      </w:pPr>
      <w:r w:rsidRPr="00C422ED">
        <w:rPr>
          <w:color w:val="auto"/>
        </w:rPr>
        <w:t>Section 103(h) of the Federal Mine Safety and Health Act of 1977</w:t>
      </w:r>
      <w:r w:rsidR="000004E3">
        <w:rPr>
          <w:color w:val="auto"/>
        </w:rPr>
        <w:t>,</w:t>
      </w:r>
      <w:r w:rsidR="00C44C53">
        <w:rPr>
          <w:color w:val="auto"/>
        </w:rPr>
        <w:t xml:space="preserve"> </w:t>
      </w:r>
      <w:r w:rsidR="000004E3">
        <w:rPr>
          <w:color w:val="auto"/>
        </w:rPr>
        <w:t xml:space="preserve">as </w:t>
      </w:r>
      <w:r w:rsidR="00C44C53">
        <w:rPr>
          <w:color w:val="auto"/>
        </w:rPr>
        <w:t>amended</w:t>
      </w:r>
      <w:r w:rsidR="000004E3">
        <w:rPr>
          <w:color w:val="auto"/>
        </w:rPr>
        <w:t xml:space="preserve"> (Mine Act)</w:t>
      </w:r>
      <w:r w:rsidRPr="00C422ED">
        <w:rPr>
          <w:color w:val="auto"/>
        </w:rPr>
        <w:t xml:space="preserve">, 30 U.S.C. 813(h), authorizes the Mine Safety and Health Administration (MSHA) to collect information necessary to carry out its duty in protecting the safety and health of miners.  Further, </w:t>
      </w:r>
      <w:r w:rsidRPr="00C422ED" w:rsidR="00C97843">
        <w:rPr>
          <w:color w:val="auto"/>
        </w:rPr>
        <w:t>s</w:t>
      </w:r>
      <w:r w:rsidRPr="00C422ED">
        <w:rPr>
          <w:color w:val="auto"/>
        </w:rPr>
        <w:t>ec</w:t>
      </w:r>
      <w:r w:rsidRPr="00C422ED" w:rsidR="00C97843">
        <w:rPr>
          <w:color w:val="auto"/>
        </w:rPr>
        <w:t>tion</w:t>
      </w:r>
      <w:r w:rsidRPr="00C422ED">
        <w:rPr>
          <w:color w:val="auto"/>
        </w:rPr>
        <w:t xml:space="preserve"> 101(a) of the Mine Act, 30 U.S.C. 811</w:t>
      </w:r>
      <w:r w:rsidRPr="00C422ED" w:rsidR="00847C19">
        <w:rPr>
          <w:color w:val="auto"/>
        </w:rPr>
        <w:t>,</w:t>
      </w:r>
      <w:r w:rsidRPr="00C422ED">
        <w:rPr>
          <w:color w:val="auto"/>
        </w:rPr>
        <w:t xml:space="preserve"> authorizes the Secretary</w:t>
      </w:r>
      <w:r w:rsidRPr="00C422ED" w:rsidR="00847C19">
        <w:rPr>
          <w:color w:val="auto"/>
        </w:rPr>
        <w:t xml:space="preserve"> of Labor</w:t>
      </w:r>
      <w:r w:rsidRPr="00C422ED">
        <w:rPr>
          <w:color w:val="auto"/>
        </w:rPr>
        <w:t xml:space="preserve"> </w:t>
      </w:r>
      <w:r w:rsidRPr="006A2CB0" w:rsidR="00C422ED">
        <w:rPr>
          <w:color w:val="auto"/>
        </w:rPr>
        <w:t xml:space="preserve">(Secretary) </w:t>
      </w:r>
      <w:r w:rsidRPr="00C422ED">
        <w:rPr>
          <w:color w:val="auto"/>
        </w:rPr>
        <w:t>to develop, promulgate, and revise as may be appropriate, improved mandatory health or safety standards for the protection of life and prevention of injuries in coal and metal and nonmetal mines.</w:t>
      </w:r>
    </w:p>
    <w:p w:rsidR="00EF1A9E" w:rsidRPr="00C422ED" w:rsidP="00B51020" w14:paraId="2AA6A49C" w14:textId="4B72DECE">
      <w:pPr>
        <w:pStyle w:val="Default"/>
        <w:rPr>
          <w:color w:val="auto"/>
        </w:rPr>
      </w:pPr>
      <w:r w:rsidRPr="00DC0012">
        <w:rPr>
          <w:color w:val="auto"/>
        </w:rPr>
        <w:t xml:space="preserve">30 CFR 56.19057 - Hoist operator's physical fitness (Surface Metal and Nonmetal Mines) and 57.19057 - Hoist operator's physical fitness (Underground Metal and Nonmetal Mines) </w:t>
      </w:r>
      <w:r w:rsidRPr="00C422ED">
        <w:rPr>
          <w:color w:val="auto"/>
        </w:rPr>
        <w:t xml:space="preserve">require </w:t>
      </w:r>
      <w:r w:rsidRPr="00C422ED" w:rsidR="00E81A3B">
        <w:rPr>
          <w:color w:val="auto"/>
        </w:rPr>
        <w:t>the examination</w:t>
      </w:r>
      <w:r w:rsidRPr="00C422ED">
        <w:rPr>
          <w:color w:val="auto"/>
        </w:rPr>
        <w:t xml:space="preserve"> and certification of hoist operators’ fitness by a qualified, licensed</w:t>
      </w:r>
      <w:r w:rsidRPr="00C422ED" w:rsidR="00D44387">
        <w:rPr>
          <w:color w:val="auto"/>
        </w:rPr>
        <w:t xml:space="preserve"> physician</w:t>
      </w:r>
      <w:r w:rsidRPr="00C422ED" w:rsidR="002B4E51">
        <w:rPr>
          <w:color w:val="auto"/>
        </w:rPr>
        <w:t xml:space="preserve"> within 12 months prior to operating a hoist</w:t>
      </w:r>
      <w:r w:rsidRPr="00C422ED" w:rsidR="00D37893">
        <w:rPr>
          <w:color w:val="auto"/>
        </w:rPr>
        <w:t xml:space="preserve"> at a metal </w:t>
      </w:r>
      <w:r w:rsidRPr="00C422ED" w:rsidR="0070781A">
        <w:rPr>
          <w:color w:val="auto"/>
        </w:rPr>
        <w:t>or</w:t>
      </w:r>
      <w:r w:rsidRPr="00C422ED" w:rsidR="00D37893">
        <w:rPr>
          <w:color w:val="auto"/>
        </w:rPr>
        <w:t xml:space="preserve"> nonmetal mine</w:t>
      </w:r>
      <w:r w:rsidRPr="00C422ED" w:rsidR="00D44387">
        <w:rPr>
          <w:color w:val="auto"/>
        </w:rPr>
        <w:t>.  The safety of all metal and n</w:t>
      </w:r>
      <w:r w:rsidRPr="00C422ED">
        <w:rPr>
          <w:color w:val="auto"/>
        </w:rPr>
        <w:t xml:space="preserve">onmetal miners riding hoist conveyances is largely dependent upon the attentiveness and physical capabilities of the hoist operator.  Improper </w:t>
      </w:r>
      <w:r w:rsidRPr="00C422ED" w:rsidR="009908A2">
        <w:rPr>
          <w:color w:val="auto"/>
        </w:rPr>
        <w:t>movements,</w:t>
      </w:r>
      <w:r w:rsidRPr="00C422ED">
        <w:rPr>
          <w:color w:val="auto"/>
        </w:rPr>
        <w:t xml:space="preserve"> overspeed, and overtravel of a hoisting conveyance can result in serious physical harm or death to passengers.  </w:t>
      </w:r>
    </w:p>
    <w:p w:rsidR="00D212F9" w:rsidRPr="00C422ED" w14:paraId="61D203A3" w14:textId="7D6EB215">
      <w:pPr>
        <w:widowControl/>
        <w:autoSpaceDE/>
        <w:autoSpaceDN/>
        <w:adjustRightInd/>
        <w:rPr>
          <w:b/>
          <w:bCs/>
        </w:rPr>
      </w:pPr>
    </w:p>
    <w:p w:rsidR="000C3CE0" w:rsidRPr="00C422ED" w14:paraId="367478E9" w14:textId="17A9A2AA">
      <w:pPr>
        <w:pStyle w:val="Default"/>
        <w:rPr>
          <w:b/>
          <w:bCs/>
          <w:color w:val="auto"/>
        </w:rPr>
      </w:pPr>
      <w:r w:rsidRPr="00C422ED">
        <w:rPr>
          <w:b/>
          <w:bCs/>
          <w:color w:val="auto"/>
        </w:rPr>
        <w:t>2. Indicate how, by whom, and for what purpose the information is to be used. Except for a new collection, indicate the actual use the agency has made of the information received from the current collection.</w:t>
      </w:r>
    </w:p>
    <w:p w:rsidR="00EF1A9E" w:rsidRPr="00C422ED" w14:paraId="2D4F5BF6" w14:textId="77777777">
      <w:pPr>
        <w:pStyle w:val="Default"/>
        <w:rPr>
          <w:color w:val="auto"/>
        </w:rPr>
      </w:pPr>
      <w:r w:rsidRPr="00C422ED">
        <w:rPr>
          <w:bCs/>
          <w:color w:val="auto"/>
        </w:rPr>
        <w:t xml:space="preserve"> </w:t>
      </w:r>
    </w:p>
    <w:p w:rsidR="00EF1A9E" w:rsidRPr="00C422ED" w:rsidP="00B51020" w14:paraId="5887B39F" w14:textId="77777777">
      <w:pPr>
        <w:pStyle w:val="Default"/>
        <w:rPr>
          <w:color w:val="auto"/>
        </w:rPr>
      </w:pPr>
      <w:r w:rsidRPr="00C422ED">
        <w:rPr>
          <w:color w:val="auto"/>
        </w:rPr>
        <w:t xml:space="preserve">The information is used by mine operators and MSHA enforcement personnel to verify that persons operating hoisting equipment are physically able to safely perform their functions. </w:t>
      </w:r>
    </w:p>
    <w:p w:rsidR="00EF1A9E" w:rsidRPr="00C422ED" w14:paraId="6902D0FF" w14:textId="77777777">
      <w:pPr>
        <w:pStyle w:val="Default"/>
        <w:rPr>
          <w:color w:val="auto"/>
        </w:rPr>
      </w:pPr>
      <w:r w:rsidRPr="00C422ED">
        <w:rPr>
          <w:bCs/>
          <w:color w:val="auto"/>
        </w:rPr>
        <w:t xml:space="preserve"> </w:t>
      </w:r>
    </w:p>
    <w:p w:rsidR="000C3CE0" w:rsidRPr="00C422ED" w14:paraId="2C18B89B" w14:textId="77777777">
      <w:pPr>
        <w:pStyle w:val="Default"/>
        <w:rPr>
          <w:b/>
          <w:bCs/>
          <w:color w:val="auto"/>
        </w:rPr>
      </w:pPr>
      <w:r w:rsidRPr="00C422ED">
        <w:rPr>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F1A9E" w:rsidRPr="00C422ED" w14:paraId="4B6ED059" w14:textId="77777777">
      <w:pPr>
        <w:pStyle w:val="Default"/>
        <w:rPr>
          <w:b/>
          <w:color w:val="auto"/>
        </w:rPr>
      </w:pPr>
      <w:r w:rsidRPr="00C422ED">
        <w:rPr>
          <w:b/>
          <w:bCs/>
          <w:color w:val="auto"/>
        </w:rPr>
        <w:t xml:space="preserve"> </w:t>
      </w:r>
    </w:p>
    <w:p w:rsidR="00EF1A9E" w:rsidRPr="00C422ED" w:rsidP="00B51020" w14:paraId="753BCF74" w14:textId="49A37C00">
      <w:pPr>
        <w:pStyle w:val="Default"/>
        <w:rPr>
          <w:color w:val="auto"/>
        </w:rPr>
      </w:pPr>
      <w:r w:rsidRPr="00C422ED">
        <w:rPr>
          <w:color w:val="auto"/>
        </w:rPr>
        <w:t>No improved information technology has been identified that would reduce the burden.</w:t>
      </w:r>
      <w:r w:rsidRPr="00C422ED" w:rsidR="008514EB">
        <w:rPr>
          <w:color w:val="auto"/>
        </w:rPr>
        <w:t xml:space="preserve"> </w:t>
      </w:r>
      <w:r w:rsidRPr="00C422ED" w:rsidR="00D44387">
        <w:rPr>
          <w:color w:val="auto"/>
        </w:rPr>
        <w:t xml:space="preserve"> I</w:t>
      </w:r>
      <w:r w:rsidRPr="00C422ED">
        <w:rPr>
          <w:color w:val="auto"/>
        </w:rPr>
        <w:t>n order to comply with the Government Paperwork Elimination Act</w:t>
      </w:r>
      <w:r w:rsidRPr="00C422ED" w:rsidR="00A814EE">
        <w:rPr>
          <w:color w:val="auto"/>
        </w:rPr>
        <w:t xml:space="preserve"> (GPEA)</w:t>
      </w:r>
      <w:r w:rsidRPr="00C422ED">
        <w:rPr>
          <w:color w:val="auto"/>
        </w:rPr>
        <w:t>, mine operators may retain the records in whatever method they choose, including u</w:t>
      </w:r>
      <w:r w:rsidRPr="00C422ED" w:rsidR="00D44387">
        <w:rPr>
          <w:color w:val="auto"/>
        </w:rPr>
        <w:t>si</w:t>
      </w:r>
      <w:r w:rsidRPr="00C422ED">
        <w:rPr>
          <w:color w:val="auto"/>
        </w:rPr>
        <w:t xml:space="preserve">ng computer technology. </w:t>
      </w:r>
    </w:p>
    <w:p w:rsidR="00EF1A9E" w:rsidRPr="00C422ED" w14:paraId="12928F47" w14:textId="77777777">
      <w:pPr>
        <w:pStyle w:val="Default"/>
        <w:rPr>
          <w:color w:val="auto"/>
        </w:rPr>
      </w:pPr>
      <w:r w:rsidRPr="00C422ED">
        <w:rPr>
          <w:bCs/>
          <w:color w:val="auto"/>
        </w:rPr>
        <w:t xml:space="preserve"> </w:t>
      </w:r>
    </w:p>
    <w:p w:rsidR="000C3CE0" w:rsidRPr="00C422ED" w14:paraId="1B8F4D45" w14:textId="77777777">
      <w:pPr>
        <w:pStyle w:val="Default"/>
        <w:rPr>
          <w:b/>
          <w:bCs/>
          <w:color w:val="auto"/>
        </w:rPr>
      </w:pPr>
      <w:r w:rsidRPr="00C422ED">
        <w:rPr>
          <w:b/>
          <w:bCs/>
          <w:color w:val="auto"/>
        </w:rPr>
        <w:t>4. Describe efforts to identify duplication. Show specifically why any similar information already available cannot be used or modified for use for the purposes described in Item 2 above.</w:t>
      </w:r>
    </w:p>
    <w:p w:rsidR="00EF1A9E" w:rsidRPr="00C422ED" w14:paraId="63940590" w14:textId="77777777">
      <w:pPr>
        <w:pStyle w:val="Default"/>
        <w:rPr>
          <w:color w:val="auto"/>
        </w:rPr>
      </w:pPr>
      <w:r w:rsidRPr="00C422ED">
        <w:rPr>
          <w:color w:val="auto"/>
        </w:rPr>
        <w:t xml:space="preserve"> </w:t>
      </w:r>
    </w:p>
    <w:p w:rsidR="00EF1A9E" w:rsidRPr="00C422ED" w:rsidP="00B51020" w14:paraId="40A659AD" w14:textId="77777777">
      <w:pPr>
        <w:pStyle w:val="Default"/>
        <w:rPr>
          <w:color w:val="auto"/>
        </w:rPr>
      </w:pPr>
      <w:r w:rsidRPr="00C422ED">
        <w:rPr>
          <w:color w:val="auto"/>
        </w:rPr>
        <w:t xml:space="preserve">No duplication of the information exists.  Records are unique to each hoist operator. </w:t>
      </w:r>
    </w:p>
    <w:p w:rsidR="00EF1A9E" w:rsidRPr="00C422ED" w14:paraId="48CB1F0F" w14:textId="77777777">
      <w:pPr>
        <w:pStyle w:val="Default"/>
        <w:rPr>
          <w:color w:val="auto"/>
        </w:rPr>
      </w:pPr>
      <w:r w:rsidRPr="00C422ED">
        <w:rPr>
          <w:color w:val="auto"/>
        </w:rPr>
        <w:t xml:space="preserve"> </w:t>
      </w:r>
    </w:p>
    <w:p w:rsidR="000C3CE0" w:rsidRPr="00C422ED" w:rsidP="00B51020" w14:paraId="33735ACA" w14:textId="77777777">
      <w:pPr>
        <w:pStyle w:val="Default"/>
        <w:rPr>
          <w:b/>
          <w:bCs/>
          <w:color w:val="auto"/>
        </w:rPr>
      </w:pPr>
      <w:r w:rsidRPr="00C422ED">
        <w:rPr>
          <w:b/>
          <w:bCs/>
          <w:color w:val="auto"/>
        </w:rPr>
        <w:t>5. If the collection of information impacts small businesses or other small entities, describe any methods used to minimize burden.</w:t>
      </w:r>
    </w:p>
    <w:p w:rsidR="000C3CE0" w:rsidRPr="00C422ED" w:rsidP="00B51020" w14:paraId="6B6ED724" w14:textId="77777777">
      <w:pPr>
        <w:pStyle w:val="Default"/>
        <w:rPr>
          <w:b/>
          <w:bCs/>
          <w:color w:val="auto"/>
        </w:rPr>
      </w:pPr>
    </w:p>
    <w:p w:rsidR="00EF1A9E" w:rsidRPr="00C422ED" w:rsidP="00B51020" w14:paraId="16405F2A" w14:textId="77777777">
      <w:pPr>
        <w:pStyle w:val="Default"/>
        <w:rPr>
          <w:color w:val="auto"/>
        </w:rPr>
      </w:pPr>
      <w:r w:rsidRPr="00C422ED">
        <w:rPr>
          <w:color w:val="auto"/>
        </w:rPr>
        <w:t xml:space="preserve">This information does not have a significant impact on small businesses or other small entities.   </w:t>
      </w:r>
    </w:p>
    <w:p w:rsidR="00EF1A9E" w:rsidRPr="00C422ED" w14:paraId="3E8F9511" w14:textId="77777777">
      <w:pPr>
        <w:pStyle w:val="Default"/>
        <w:rPr>
          <w:color w:val="auto"/>
        </w:rPr>
      </w:pPr>
    </w:p>
    <w:p w:rsidR="009247B6" w:rsidRPr="00C422ED" w14:paraId="2AD51859" w14:textId="77777777">
      <w:pPr>
        <w:widowControl/>
        <w:autoSpaceDE/>
        <w:autoSpaceDN/>
        <w:adjustRightInd/>
        <w:rPr>
          <w:b/>
          <w:bCs/>
        </w:rPr>
      </w:pPr>
      <w:r w:rsidRPr="00C422ED">
        <w:rPr>
          <w:b/>
          <w:bCs/>
        </w:rPr>
        <w:br w:type="page"/>
      </w:r>
    </w:p>
    <w:p w:rsidR="000C3CE0" w:rsidRPr="00C422ED" w14:paraId="2556799B" w14:textId="7CDFA54B">
      <w:pPr>
        <w:pStyle w:val="Default"/>
        <w:rPr>
          <w:b/>
          <w:bCs/>
          <w:color w:val="auto"/>
        </w:rPr>
      </w:pPr>
      <w:r w:rsidRPr="00C422ED">
        <w:rPr>
          <w:b/>
          <w:bCs/>
          <w:color w:val="auto"/>
        </w:rPr>
        <w:t>6. Describe the consequence to Federal program or policy activities if the collection is not conducted or is conducted less frequently, as well as any technical or legal obstacles to reducing burden.</w:t>
      </w:r>
    </w:p>
    <w:p w:rsidR="00EF1A9E" w:rsidRPr="00C422ED" w14:paraId="0183ED47" w14:textId="77777777">
      <w:pPr>
        <w:pStyle w:val="Default"/>
        <w:rPr>
          <w:color w:val="auto"/>
        </w:rPr>
      </w:pPr>
      <w:r w:rsidRPr="00C422ED">
        <w:rPr>
          <w:bCs/>
          <w:color w:val="auto"/>
        </w:rPr>
        <w:t xml:space="preserve"> </w:t>
      </w:r>
    </w:p>
    <w:p w:rsidR="00EF1A9E" w:rsidRPr="00C422ED" w:rsidP="00B51020" w14:paraId="3D327896" w14:textId="453AA771">
      <w:pPr>
        <w:pStyle w:val="Default"/>
        <w:rPr>
          <w:color w:val="auto"/>
        </w:rPr>
      </w:pPr>
      <w:r w:rsidRPr="00C422ED">
        <w:rPr>
          <w:color w:val="auto"/>
        </w:rPr>
        <w:t xml:space="preserve">Hoist operators provide a critical service to all personnel and equipment going into and out of some surface and underground mines, as well as emergency </w:t>
      </w:r>
      <w:r w:rsidRPr="00C422ED" w:rsidR="008E707E">
        <w:rPr>
          <w:color w:val="auto"/>
        </w:rPr>
        <w:t xml:space="preserve">responders </w:t>
      </w:r>
      <w:r w:rsidRPr="00C422ED">
        <w:rPr>
          <w:color w:val="auto"/>
        </w:rPr>
        <w:t xml:space="preserve">on an as-needed basis. </w:t>
      </w:r>
      <w:r w:rsidRPr="00C422ED" w:rsidR="008514EB">
        <w:rPr>
          <w:color w:val="auto"/>
        </w:rPr>
        <w:t xml:space="preserve"> </w:t>
      </w:r>
      <w:r w:rsidRPr="00C422ED">
        <w:rPr>
          <w:color w:val="auto"/>
        </w:rPr>
        <w:t xml:space="preserve">Improper hoisting, caused by the inability of a hoist operator to function effectively due to a medical problem, can cause serious injury or death.  </w:t>
      </w:r>
      <w:r w:rsidRPr="00C422ED" w:rsidR="00D37893">
        <w:rPr>
          <w:color w:val="auto"/>
        </w:rPr>
        <w:t>Improper hoisting can result in</w:t>
      </w:r>
      <w:r w:rsidRPr="00C422ED">
        <w:rPr>
          <w:color w:val="auto"/>
        </w:rPr>
        <w:t xml:space="preserve"> bumps, sharp or unexpected movements, and improper stopping or starting</w:t>
      </w:r>
      <w:r w:rsidRPr="00C422ED" w:rsidR="00587E14">
        <w:rPr>
          <w:color w:val="auto"/>
        </w:rPr>
        <w:t xml:space="preserve"> of the hoist conveyance</w:t>
      </w:r>
      <w:r w:rsidRPr="00C422ED">
        <w:rPr>
          <w:color w:val="auto"/>
        </w:rPr>
        <w:t xml:space="preserve">.  Further, hoist operators also assist mine rescue personnel in emergency situations underground where miners may be trapped, injured, or in imminent peril.  </w:t>
      </w:r>
      <w:r w:rsidRPr="00C422ED" w:rsidR="008E707E">
        <w:rPr>
          <w:color w:val="auto"/>
        </w:rPr>
        <w:t>I</w:t>
      </w:r>
      <w:r w:rsidRPr="00C422ED">
        <w:rPr>
          <w:color w:val="auto"/>
        </w:rPr>
        <w:t>t is imperative that nothing interfere</w:t>
      </w:r>
      <w:r w:rsidRPr="00C422ED" w:rsidR="005F2001">
        <w:rPr>
          <w:color w:val="auto"/>
        </w:rPr>
        <w:t>s</w:t>
      </w:r>
      <w:r w:rsidRPr="00C422ED">
        <w:rPr>
          <w:color w:val="auto"/>
        </w:rPr>
        <w:t xml:space="preserve"> with the hoist operator’s ability to perform </w:t>
      </w:r>
      <w:r w:rsidRPr="00C422ED" w:rsidR="00587E14">
        <w:rPr>
          <w:color w:val="auto"/>
        </w:rPr>
        <w:t>t</w:t>
      </w:r>
      <w:r w:rsidRPr="00C422ED">
        <w:rPr>
          <w:color w:val="auto"/>
        </w:rPr>
        <w:t xml:space="preserve">his function safely and effectively.  If MSHA cannot verify that hoist operators are capable of performing their assigned tasks, the individuals themselves, and those requiring hoisting into or out of a mine, may be at risk. </w:t>
      </w:r>
    </w:p>
    <w:p w:rsidR="00EF1A9E" w:rsidRPr="00C422ED" w14:paraId="5448EA62" w14:textId="77777777">
      <w:pPr>
        <w:pStyle w:val="Default"/>
        <w:rPr>
          <w:color w:val="auto"/>
        </w:rPr>
      </w:pPr>
      <w:r w:rsidRPr="00C422ED">
        <w:rPr>
          <w:color w:val="auto"/>
        </w:rPr>
        <w:t xml:space="preserve"> </w:t>
      </w:r>
    </w:p>
    <w:p w:rsidR="00EF1A9E" w:rsidRPr="00C422ED" w:rsidP="00B51020" w14:paraId="0C549961" w14:textId="2AD9B3A8">
      <w:pPr>
        <w:pStyle w:val="Default"/>
        <w:rPr>
          <w:color w:val="auto"/>
        </w:rPr>
      </w:pPr>
      <w:r w:rsidRPr="00C422ED">
        <w:rPr>
          <w:color w:val="auto"/>
        </w:rPr>
        <w:t>If physical</w:t>
      </w:r>
      <w:r w:rsidR="00C422ED">
        <w:rPr>
          <w:color w:val="auto"/>
        </w:rPr>
        <w:t xml:space="preserve"> exam</w:t>
      </w:r>
      <w:r w:rsidRPr="00C422ED">
        <w:rPr>
          <w:color w:val="auto"/>
        </w:rPr>
        <w:t>s are done on a less frequent basis, the risk to all personnel will increase accordingly</w:t>
      </w:r>
      <w:r w:rsidRPr="00C422ED" w:rsidR="009908A2">
        <w:rPr>
          <w:color w:val="auto"/>
        </w:rPr>
        <w:t xml:space="preserve"> </w:t>
      </w:r>
      <w:r w:rsidRPr="00C422ED">
        <w:rPr>
          <w:color w:val="auto"/>
        </w:rPr>
        <w:t>as unfit hoist operators will not be detected as frequently and will continue to operate hoists</w:t>
      </w:r>
      <w:r w:rsidRPr="00C422ED" w:rsidR="008E707E">
        <w:rPr>
          <w:color w:val="auto"/>
        </w:rPr>
        <w:t xml:space="preserve"> endangering miners, mine equipment, </w:t>
      </w:r>
      <w:r w:rsidRPr="00C422ED" w:rsidR="009908A2">
        <w:rPr>
          <w:color w:val="auto"/>
        </w:rPr>
        <w:t>emergency responders, and mine rescue personnel</w:t>
      </w:r>
      <w:r w:rsidRPr="00C422ED">
        <w:rPr>
          <w:color w:val="auto"/>
        </w:rPr>
        <w:t xml:space="preserve">.   </w:t>
      </w:r>
    </w:p>
    <w:p w:rsidR="00EF1A9E" w:rsidRPr="00C422ED" w14:paraId="248CE7AC" w14:textId="77777777">
      <w:pPr>
        <w:pStyle w:val="Default"/>
        <w:rPr>
          <w:color w:val="auto"/>
        </w:rPr>
      </w:pPr>
      <w:r w:rsidRPr="00C422ED">
        <w:rPr>
          <w:color w:val="auto"/>
        </w:rPr>
        <w:t xml:space="preserve"> </w:t>
      </w:r>
    </w:p>
    <w:p w:rsidR="00506683" w:rsidRPr="00C422ED" w:rsidP="00506683" w14:paraId="4CA06542" w14:textId="77777777">
      <w:pPr>
        <w:pStyle w:val="Default"/>
        <w:rPr>
          <w:b/>
          <w:bCs/>
          <w:color w:val="auto"/>
        </w:rPr>
      </w:pPr>
      <w:r w:rsidRPr="00C422ED">
        <w:rPr>
          <w:b/>
          <w:bCs/>
          <w:color w:val="auto"/>
        </w:rPr>
        <w:t xml:space="preserve">7. Explain any special circumstances that would cause an information collection to be conducted in a manner: </w:t>
      </w:r>
    </w:p>
    <w:p w:rsidR="00506683" w:rsidRPr="00C422ED" w:rsidP="00BD7446" w14:paraId="40598286" w14:textId="40EFFE62">
      <w:pPr>
        <w:pStyle w:val="Default"/>
        <w:numPr>
          <w:ilvl w:val="0"/>
          <w:numId w:val="1"/>
        </w:numPr>
        <w:rPr>
          <w:b/>
          <w:bCs/>
          <w:color w:val="auto"/>
        </w:rPr>
      </w:pPr>
      <w:r w:rsidRPr="00C422ED">
        <w:rPr>
          <w:b/>
          <w:bCs/>
          <w:color w:val="auto"/>
        </w:rPr>
        <w:t>R</w:t>
      </w:r>
      <w:r w:rsidRPr="00C422ED">
        <w:rPr>
          <w:b/>
          <w:bCs/>
          <w:color w:val="auto"/>
        </w:rPr>
        <w:t xml:space="preserve">equiring respondents to report information to the agency more often than quarterly; </w:t>
      </w:r>
    </w:p>
    <w:p w:rsidR="00506683" w:rsidRPr="00C422ED" w:rsidP="00BD7446" w14:paraId="44F11796" w14:textId="3EC281A5">
      <w:pPr>
        <w:pStyle w:val="Default"/>
        <w:numPr>
          <w:ilvl w:val="0"/>
          <w:numId w:val="1"/>
        </w:numPr>
        <w:rPr>
          <w:b/>
          <w:bCs/>
          <w:color w:val="auto"/>
        </w:rPr>
      </w:pPr>
      <w:r w:rsidRPr="00C422ED">
        <w:rPr>
          <w:b/>
          <w:bCs/>
          <w:color w:val="auto"/>
        </w:rPr>
        <w:t>R</w:t>
      </w:r>
      <w:r w:rsidRPr="00C422ED">
        <w:rPr>
          <w:b/>
          <w:bCs/>
          <w:color w:val="auto"/>
        </w:rPr>
        <w:t xml:space="preserve">equiring respondents to prepare a written response to a collection of information in fewer than 30 days after receipt of it; </w:t>
      </w:r>
    </w:p>
    <w:p w:rsidR="00506683" w:rsidRPr="00C422ED" w:rsidP="00BD7446" w14:paraId="7022A537" w14:textId="2BC93904">
      <w:pPr>
        <w:pStyle w:val="Default"/>
        <w:numPr>
          <w:ilvl w:val="0"/>
          <w:numId w:val="1"/>
        </w:numPr>
        <w:rPr>
          <w:b/>
          <w:bCs/>
          <w:color w:val="auto"/>
        </w:rPr>
      </w:pPr>
      <w:r w:rsidRPr="00C422ED">
        <w:rPr>
          <w:b/>
          <w:bCs/>
          <w:color w:val="auto"/>
        </w:rPr>
        <w:t>R</w:t>
      </w:r>
      <w:r w:rsidRPr="00C422ED">
        <w:rPr>
          <w:b/>
          <w:bCs/>
          <w:color w:val="auto"/>
        </w:rPr>
        <w:t xml:space="preserve">equiring respondents to submit more than an original and two copies of any document; </w:t>
      </w:r>
    </w:p>
    <w:p w:rsidR="00506683" w:rsidRPr="00C422ED" w:rsidP="00BD7446" w14:paraId="7C291302" w14:textId="29AAA157">
      <w:pPr>
        <w:pStyle w:val="Default"/>
        <w:numPr>
          <w:ilvl w:val="0"/>
          <w:numId w:val="1"/>
        </w:numPr>
        <w:rPr>
          <w:b/>
          <w:bCs/>
          <w:color w:val="auto"/>
        </w:rPr>
      </w:pPr>
      <w:r w:rsidRPr="00C422ED">
        <w:rPr>
          <w:b/>
          <w:bCs/>
          <w:color w:val="auto"/>
        </w:rPr>
        <w:t>R</w:t>
      </w:r>
      <w:r w:rsidRPr="00C422ED">
        <w:rPr>
          <w:b/>
          <w:bCs/>
          <w:color w:val="auto"/>
        </w:rPr>
        <w:t xml:space="preserve">equiring respondents to retain records, other than health, medical, government contract, grant-in-aid, or tax records, for more than three years; </w:t>
      </w:r>
    </w:p>
    <w:p w:rsidR="00506683" w:rsidRPr="00C422ED" w:rsidP="00BD7446" w14:paraId="4ECB2072" w14:textId="47D72B12">
      <w:pPr>
        <w:pStyle w:val="Default"/>
        <w:numPr>
          <w:ilvl w:val="0"/>
          <w:numId w:val="1"/>
        </w:numPr>
        <w:rPr>
          <w:b/>
          <w:bCs/>
          <w:color w:val="auto"/>
        </w:rPr>
      </w:pPr>
      <w:r w:rsidRPr="00C422ED">
        <w:rPr>
          <w:b/>
          <w:bCs/>
          <w:color w:val="auto"/>
        </w:rPr>
        <w:t>I</w:t>
      </w:r>
      <w:r w:rsidRPr="00C422ED">
        <w:rPr>
          <w:b/>
          <w:bCs/>
          <w:color w:val="auto"/>
        </w:rPr>
        <w:t xml:space="preserve">n connection with a statistical survey, that is not designed to produce valid and reliable results that can be generalized to the universe of study; </w:t>
      </w:r>
    </w:p>
    <w:p w:rsidR="00506683" w:rsidRPr="00C422ED" w:rsidP="00BD7446" w14:paraId="61A8A4D5" w14:textId="2E3C6290">
      <w:pPr>
        <w:pStyle w:val="Default"/>
        <w:numPr>
          <w:ilvl w:val="0"/>
          <w:numId w:val="1"/>
        </w:numPr>
        <w:rPr>
          <w:b/>
          <w:bCs/>
          <w:color w:val="auto"/>
        </w:rPr>
      </w:pPr>
      <w:r w:rsidRPr="00C422ED">
        <w:rPr>
          <w:b/>
          <w:bCs/>
          <w:color w:val="auto"/>
        </w:rPr>
        <w:t>R</w:t>
      </w:r>
      <w:r w:rsidRPr="00C422ED">
        <w:rPr>
          <w:b/>
          <w:bCs/>
          <w:color w:val="auto"/>
        </w:rPr>
        <w:t xml:space="preserve">equiring the use of a statistical data classification that has not been reviewed and approved by OMB; </w:t>
      </w:r>
    </w:p>
    <w:p w:rsidR="00506683" w:rsidRPr="00C422ED" w:rsidP="00BD7446" w14:paraId="1DC85D0B" w14:textId="4C13C99A">
      <w:pPr>
        <w:pStyle w:val="Default"/>
        <w:numPr>
          <w:ilvl w:val="0"/>
          <w:numId w:val="1"/>
        </w:numPr>
        <w:rPr>
          <w:b/>
          <w:bCs/>
          <w:color w:val="auto"/>
        </w:rPr>
      </w:pPr>
      <w:r w:rsidRPr="00C422ED">
        <w:rPr>
          <w:b/>
          <w:bCs/>
          <w:color w:val="auto"/>
        </w:rPr>
        <w:t>T</w:t>
      </w:r>
      <w:r w:rsidRPr="00C422ED">
        <w:rPr>
          <w:b/>
          <w:bCs/>
          <w:color w:val="auto"/>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06683" w:rsidRPr="00C422ED" w:rsidP="00BD7446" w14:paraId="2AA6246C" w14:textId="2DD380B2">
      <w:pPr>
        <w:pStyle w:val="Default"/>
        <w:numPr>
          <w:ilvl w:val="0"/>
          <w:numId w:val="1"/>
        </w:numPr>
        <w:rPr>
          <w:b/>
          <w:bCs/>
          <w:color w:val="auto"/>
        </w:rPr>
      </w:pPr>
      <w:r w:rsidRPr="00C422ED">
        <w:rPr>
          <w:b/>
          <w:bCs/>
          <w:color w:val="auto"/>
        </w:rPr>
        <w:t>R</w:t>
      </w:r>
      <w:r w:rsidRPr="00C422ED">
        <w:rPr>
          <w:b/>
          <w:bCs/>
          <w:color w:val="auto"/>
        </w:rPr>
        <w:t>equiring respondents to submit proprietary trade secrets, or other confidential information unless the agency can demonstrate that it has instituted procedures to protect the information's confidentiality to the extent permitted by law.</w:t>
      </w:r>
    </w:p>
    <w:p w:rsidR="00506683" w:rsidRPr="00C422ED" w:rsidP="00506683" w14:paraId="42D00A44" w14:textId="77777777">
      <w:pPr>
        <w:pStyle w:val="Default"/>
        <w:rPr>
          <w:b/>
          <w:bCs/>
          <w:color w:val="auto"/>
        </w:rPr>
      </w:pPr>
    </w:p>
    <w:p w:rsidR="00EF1A9E" w:rsidRPr="00C422ED" w:rsidP="00506683" w14:paraId="4226B409" w14:textId="77777777">
      <w:pPr>
        <w:pStyle w:val="Default"/>
        <w:rPr>
          <w:color w:val="auto"/>
        </w:rPr>
      </w:pPr>
      <w:r w:rsidRPr="00C422ED">
        <w:rPr>
          <w:color w:val="auto"/>
        </w:rPr>
        <w:t>This collection of information is consiste</w:t>
      </w:r>
      <w:r w:rsidRPr="00C422ED" w:rsidR="00CB0607">
        <w:rPr>
          <w:color w:val="auto"/>
        </w:rPr>
        <w:t>nt with the guidelines in 5 CF</w:t>
      </w:r>
      <w:r w:rsidRPr="00C422ED">
        <w:rPr>
          <w:color w:val="auto"/>
        </w:rPr>
        <w:t>R 13</w:t>
      </w:r>
      <w:r w:rsidRPr="00C422ED" w:rsidR="00506683">
        <w:rPr>
          <w:color w:val="auto"/>
        </w:rPr>
        <w:t>20.5</w:t>
      </w:r>
      <w:r w:rsidRPr="00C422ED">
        <w:rPr>
          <w:color w:val="auto"/>
        </w:rPr>
        <w:t xml:space="preserve"> and does not contain any requirements for respondents to report more than quarterly. </w:t>
      </w:r>
    </w:p>
    <w:p w:rsidR="00EF1A9E" w:rsidRPr="00C422ED" w14:paraId="61D5953C" w14:textId="77777777">
      <w:pPr>
        <w:pStyle w:val="Default"/>
        <w:rPr>
          <w:color w:val="auto"/>
        </w:rPr>
      </w:pPr>
      <w:r w:rsidRPr="00C422ED">
        <w:rPr>
          <w:color w:val="auto"/>
        </w:rPr>
        <w:t xml:space="preserve"> </w:t>
      </w:r>
    </w:p>
    <w:p w:rsidR="00506683" w:rsidRPr="00C422ED" w:rsidP="00506683" w14:paraId="59CB0213" w14:textId="770BC90E">
      <w:pPr>
        <w:pStyle w:val="Default"/>
        <w:widowControl/>
        <w:rPr>
          <w:b/>
          <w:bCs/>
        </w:rPr>
      </w:pPr>
      <w:r w:rsidRPr="00C422ED">
        <w:rPr>
          <w:b/>
          <w:bCs/>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80BF5" w:rsidRPr="00C422ED" w:rsidP="00506683" w14:paraId="1A2D13F3" w14:textId="77777777">
      <w:pPr>
        <w:pStyle w:val="Default"/>
        <w:widowControl/>
        <w:rPr>
          <w:b/>
          <w:bCs/>
        </w:rPr>
      </w:pPr>
    </w:p>
    <w:p w:rsidR="00506683" w:rsidRPr="00C422ED" w:rsidP="00506683" w14:paraId="5C1B8697" w14:textId="683A1B69">
      <w:pPr>
        <w:pStyle w:val="Default"/>
        <w:widowControl/>
        <w:rPr>
          <w:b/>
          <w:bCs/>
        </w:rPr>
      </w:pPr>
      <w:r w:rsidRPr="00C422ED">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D7446" w:rsidRPr="00C422ED" w:rsidP="00506683" w14:paraId="183A8821" w14:textId="77777777">
      <w:pPr>
        <w:pStyle w:val="Default"/>
        <w:widowControl/>
        <w:rPr>
          <w:b/>
          <w:bCs/>
        </w:rPr>
      </w:pPr>
    </w:p>
    <w:p w:rsidR="00343BA6" w:rsidRPr="00C422ED" w:rsidP="00506683" w14:paraId="27073A14" w14:textId="77777777">
      <w:pPr>
        <w:pStyle w:val="Default"/>
        <w:widowControl/>
        <w:rPr>
          <w:b/>
          <w:bCs/>
        </w:rPr>
      </w:pPr>
      <w:r w:rsidRPr="00C422ED">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6683" w:rsidRPr="00C422ED" w:rsidP="00506683" w14:paraId="5B4BE855" w14:textId="77777777">
      <w:pPr>
        <w:pStyle w:val="Default"/>
        <w:widowControl/>
        <w:rPr>
          <w:color w:val="auto"/>
        </w:rPr>
      </w:pPr>
    </w:p>
    <w:p w:rsidR="004664A1" w:rsidRPr="00C422ED" w:rsidP="004664A1" w14:paraId="7B7DB71A" w14:textId="49A826E7">
      <w:pPr>
        <w:widowControl/>
        <w:autoSpaceDE/>
        <w:autoSpaceDN/>
        <w:adjustRightInd/>
      </w:pPr>
      <w:r w:rsidRPr="00C422ED">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293806" w:rsidR="00293806">
        <w:t>MSHA published a 60-day Federal Register notice on August 1, 2023 (88 FR 146).</w:t>
      </w:r>
      <w:r w:rsidR="00A93BDD">
        <w:t xml:space="preserve"> </w:t>
      </w:r>
      <w:r w:rsidR="00791803">
        <w:t xml:space="preserve"> One </w:t>
      </w:r>
      <w:r w:rsidR="00A93BDD">
        <w:t>comment</w:t>
      </w:r>
      <w:r w:rsidR="00791803">
        <w:t xml:space="preserve"> received that was not relevant to the information collection request. The comment was spam.</w:t>
      </w:r>
    </w:p>
    <w:p w:rsidR="00C80A52" w:rsidRPr="00C422ED" w:rsidP="00B51020" w14:paraId="7F8F539F" w14:textId="77777777">
      <w:pPr>
        <w:pStyle w:val="Default"/>
        <w:rPr>
          <w:b/>
          <w:bCs/>
          <w:color w:val="auto"/>
        </w:rPr>
      </w:pPr>
    </w:p>
    <w:p w:rsidR="00506683" w:rsidRPr="00C422ED" w:rsidP="00B51020" w14:paraId="3887FC17" w14:textId="77777777">
      <w:pPr>
        <w:pStyle w:val="Default"/>
        <w:rPr>
          <w:b/>
          <w:bCs/>
          <w:color w:val="auto"/>
        </w:rPr>
      </w:pPr>
      <w:r w:rsidRPr="00C422ED">
        <w:rPr>
          <w:b/>
          <w:bCs/>
          <w:color w:val="auto"/>
        </w:rPr>
        <w:t>9. Explain any decision to provide any payment or gift to respondents, other than remuneration of contractors or grantees.</w:t>
      </w:r>
    </w:p>
    <w:p w:rsidR="00506683" w:rsidRPr="00C422ED" w:rsidP="00B51020" w14:paraId="53DEC59D" w14:textId="77777777">
      <w:pPr>
        <w:pStyle w:val="Default"/>
        <w:rPr>
          <w:b/>
          <w:bCs/>
          <w:color w:val="auto"/>
        </w:rPr>
      </w:pPr>
    </w:p>
    <w:p w:rsidR="00EF1A9E" w:rsidRPr="00C422ED" w:rsidP="00B51020" w14:paraId="244FE7E9" w14:textId="77777777">
      <w:pPr>
        <w:pStyle w:val="Default"/>
        <w:rPr>
          <w:color w:val="auto"/>
        </w:rPr>
      </w:pPr>
      <w:r w:rsidRPr="00C422ED">
        <w:rPr>
          <w:color w:val="auto"/>
        </w:rPr>
        <w:t xml:space="preserve">MSHA does not provide payments or gifts to respondents. </w:t>
      </w:r>
    </w:p>
    <w:p w:rsidR="00EF1A9E" w:rsidRPr="00C422ED" w14:paraId="2880A140" w14:textId="77777777">
      <w:pPr>
        <w:pStyle w:val="Default"/>
        <w:rPr>
          <w:color w:val="auto"/>
        </w:rPr>
      </w:pPr>
      <w:r w:rsidRPr="00C422ED">
        <w:rPr>
          <w:color w:val="auto"/>
        </w:rPr>
        <w:t xml:space="preserve"> </w:t>
      </w:r>
    </w:p>
    <w:p w:rsidR="00EF1A9E" w:rsidRPr="00C422ED" w14:paraId="69B6D24A" w14:textId="77777777">
      <w:pPr>
        <w:pStyle w:val="Default"/>
        <w:rPr>
          <w:bCs/>
          <w:color w:val="auto"/>
        </w:rPr>
      </w:pPr>
      <w:r w:rsidRPr="00C422ED">
        <w:rPr>
          <w:b/>
          <w:bCs/>
          <w:color w:val="auto"/>
        </w:rPr>
        <w:t>10. Describe any assurance of confidentiality provided to respondents and the basis for the assurance in statute, regulation, or agency policy.</w:t>
      </w:r>
      <w:r w:rsidRPr="00C422ED">
        <w:rPr>
          <w:bCs/>
          <w:color w:val="auto"/>
        </w:rPr>
        <w:t xml:space="preserve"> </w:t>
      </w:r>
    </w:p>
    <w:p w:rsidR="00C97843" w:rsidRPr="00C422ED" w14:paraId="25AE4A02" w14:textId="77777777">
      <w:pPr>
        <w:pStyle w:val="Default"/>
        <w:rPr>
          <w:color w:val="auto"/>
        </w:rPr>
      </w:pPr>
    </w:p>
    <w:p w:rsidR="009247B6" w:rsidP="005774B6" w14:paraId="3D3C3464" w14:textId="13629B8C">
      <w:pPr>
        <w:pStyle w:val="Default"/>
        <w:rPr>
          <w:b/>
          <w:bCs/>
        </w:rPr>
      </w:pPr>
      <w:r w:rsidRPr="00C422ED">
        <w:rPr>
          <w:color w:val="auto"/>
        </w:rPr>
        <w:t xml:space="preserve">There is no assurance of confidentiality provided to respondents. </w:t>
      </w:r>
    </w:p>
    <w:p w:rsidR="005774B6" w:rsidRPr="00C422ED" w:rsidP="00261172" w14:paraId="52209064" w14:textId="77777777">
      <w:pPr>
        <w:pStyle w:val="Default"/>
        <w:rPr>
          <w:b/>
          <w:bCs/>
        </w:rPr>
      </w:pPr>
    </w:p>
    <w:p w:rsidR="00506683" w:rsidRPr="00C422ED" w:rsidP="00B51020" w14:paraId="63BFD293" w14:textId="4C323586">
      <w:pPr>
        <w:pStyle w:val="Default"/>
        <w:rPr>
          <w:b/>
          <w:bCs/>
          <w:color w:val="auto"/>
        </w:rPr>
      </w:pPr>
      <w:r w:rsidRPr="00C422ED">
        <w:rPr>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06683" w:rsidRPr="00C422ED" w:rsidP="00B51020" w14:paraId="50FE4E02" w14:textId="77777777">
      <w:pPr>
        <w:pStyle w:val="Default"/>
        <w:rPr>
          <w:b/>
          <w:bCs/>
          <w:color w:val="auto"/>
        </w:rPr>
      </w:pPr>
    </w:p>
    <w:p w:rsidR="00EF1A9E" w:rsidRPr="00C422ED" w:rsidP="00B51020" w14:paraId="47037F30" w14:textId="77777777">
      <w:pPr>
        <w:pStyle w:val="Default"/>
        <w:rPr>
          <w:color w:val="auto"/>
        </w:rPr>
      </w:pPr>
      <w:r w:rsidRPr="00C422ED">
        <w:rPr>
          <w:color w:val="auto"/>
        </w:rPr>
        <w:t xml:space="preserve">There are no questions of a sensitive nature. </w:t>
      </w:r>
    </w:p>
    <w:p w:rsidR="009679B1" w:rsidRPr="00C422ED" w:rsidP="00506683" w14:paraId="4BC00A08" w14:textId="49B2B60C">
      <w:pPr>
        <w:pStyle w:val="Default"/>
        <w:rPr>
          <w:b/>
          <w:bCs/>
          <w:color w:val="auto"/>
        </w:rPr>
      </w:pPr>
      <w:r w:rsidRPr="00C422ED">
        <w:rPr>
          <w:color w:val="auto"/>
        </w:rPr>
        <w:t xml:space="preserve"> </w:t>
      </w:r>
    </w:p>
    <w:p w:rsidR="00261172" w:rsidP="00506683" w14:paraId="3CB52441" w14:textId="77777777">
      <w:pPr>
        <w:pStyle w:val="Default"/>
        <w:rPr>
          <w:b/>
          <w:bCs/>
          <w:color w:val="auto"/>
        </w:rPr>
      </w:pPr>
    </w:p>
    <w:p w:rsidR="00261172" w:rsidP="00506683" w14:paraId="0C3FED33" w14:textId="77777777">
      <w:pPr>
        <w:pStyle w:val="Default"/>
        <w:rPr>
          <w:b/>
          <w:bCs/>
          <w:color w:val="auto"/>
        </w:rPr>
      </w:pPr>
    </w:p>
    <w:p w:rsidR="00261172" w:rsidP="00506683" w14:paraId="191B4B81" w14:textId="77777777">
      <w:pPr>
        <w:pStyle w:val="Default"/>
        <w:rPr>
          <w:b/>
          <w:bCs/>
          <w:color w:val="auto"/>
        </w:rPr>
      </w:pPr>
    </w:p>
    <w:p w:rsidR="00506683" w:rsidRPr="00C422ED" w:rsidP="00506683" w14:paraId="0357E1E6" w14:textId="0B7B6D43">
      <w:pPr>
        <w:pStyle w:val="Default"/>
        <w:rPr>
          <w:b/>
          <w:bCs/>
          <w:color w:val="auto"/>
        </w:rPr>
      </w:pPr>
      <w:r w:rsidRPr="00C422ED">
        <w:rPr>
          <w:b/>
          <w:bCs/>
          <w:color w:val="auto"/>
        </w:rPr>
        <w:t xml:space="preserve">12. Provide estimates of the hour burden of the collection of information. The statement should: </w:t>
      </w:r>
    </w:p>
    <w:p w:rsidR="009247B6" w:rsidRPr="00C422ED" w:rsidP="00506683" w14:paraId="72F06B5E" w14:textId="77777777">
      <w:pPr>
        <w:pStyle w:val="Default"/>
        <w:rPr>
          <w:b/>
          <w:bCs/>
          <w:color w:val="auto"/>
        </w:rPr>
      </w:pPr>
    </w:p>
    <w:p w:rsidR="00BD7446" w:rsidRPr="00C422ED" w:rsidP="009247B6" w14:paraId="6AC1C57F" w14:textId="7941D149">
      <w:pPr>
        <w:pStyle w:val="Default"/>
        <w:numPr>
          <w:ilvl w:val="0"/>
          <w:numId w:val="2"/>
        </w:numPr>
        <w:ind w:left="504"/>
        <w:rPr>
          <w:b/>
          <w:bCs/>
          <w:color w:val="auto"/>
        </w:rPr>
      </w:pPr>
      <w:r w:rsidRPr="00C422ED">
        <w:rPr>
          <w:b/>
          <w:bCs/>
          <w:color w:val="auto"/>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D7446" w:rsidRPr="00C422ED" w:rsidP="00BD7446" w14:paraId="6D06C824" w14:textId="77777777">
      <w:pPr>
        <w:pStyle w:val="Default"/>
        <w:ind w:left="720"/>
        <w:rPr>
          <w:b/>
          <w:bCs/>
          <w:color w:val="auto"/>
        </w:rPr>
      </w:pPr>
    </w:p>
    <w:p w:rsidR="00506683" w:rsidRPr="00C422ED" w:rsidP="009247B6" w14:paraId="5D81E987" w14:textId="5B1E1507">
      <w:pPr>
        <w:pStyle w:val="Default"/>
        <w:numPr>
          <w:ilvl w:val="0"/>
          <w:numId w:val="2"/>
        </w:numPr>
        <w:ind w:left="504"/>
        <w:rPr>
          <w:b/>
          <w:bCs/>
          <w:color w:val="auto"/>
        </w:rPr>
      </w:pPr>
      <w:r w:rsidRPr="00C422ED">
        <w:rPr>
          <w:b/>
          <w:bCs/>
          <w:color w:val="auto"/>
        </w:rPr>
        <w:t xml:space="preserve">If this request for approval covers more than one form, provide separate hour burden estimates for each form and aggregate the hour burdens. </w:t>
      </w:r>
    </w:p>
    <w:p w:rsidR="00BD7446" w:rsidRPr="00C422ED" w:rsidP="00BD7446" w14:paraId="6A1DEFC3" w14:textId="77777777">
      <w:pPr>
        <w:pStyle w:val="ListParagraph"/>
        <w:rPr>
          <w:b/>
          <w:bCs/>
        </w:rPr>
      </w:pPr>
    </w:p>
    <w:p w:rsidR="00506683" w:rsidRPr="00C422ED" w:rsidP="009247B6" w14:paraId="5BE8C9FD" w14:textId="6D209507">
      <w:pPr>
        <w:pStyle w:val="Default"/>
        <w:numPr>
          <w:ilvl w:val="0"/>
          <w:numId w:val="2"/>
        </w:numPr>
        <w:ind w:left="504"/>
        <w:rPr>
          <w:b/>
          <w:bCs/>
          <w:color w:val="auto"/>
        </w:rPr>
      </w:pPr>
      <w:r w:rsidRPr="00C422ED">
        <w:rPr>
          <w:b/>
          <w:bCs/>
          <w:color w:val="auto"/>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C422ED" w:rsidR="00507888">
        <w:rPr>
          <w:b/>
          <w:bCs/>
          <w:color w:val="auto"/>
        </w:rPr>
        <w:t>cost should be included under Item 13</w:t>
      </w:r>
      <w:r w:rsidRPr="00C422ED">
        <w:rPr>
          <w:b/>
          <w:bCs/>
          <w:color w:val="auto"/>
        </w:rPr>
        <w:t xml:space="preserve">. </w:t>
      </w:r>
    </w:p>
    <w:p w:rsidR="005E2F78" w:rsidRPr="00C422ED" w:rsidP="00506683" w14:paraId="0C99E8F9" w14:textId="624CF223">
      <w:pPr>
        <w:pStyle w:val="Default"/>
        <w:rPr>
          <w:b/>
          <w:bCs/>
          <w:color w:val="auto"/>
        </w:rPr>
      </w:pPr>
    </w:p>
    <w:p w:rsidR="00922420" w:rsidRPr="00C422ED" w:rsidP="00922420" w14:paraId="23B3AC44" w14:textId="12349D0A">
      <w:pPr>
        <w:widowControl/>
        <w:rPr>
          <w:b/>
          <w:color w:val="000000"/>
        </w:rPr>
      </w:pPr>
      <w:r w:rsidRPr="00C422ED">
        <w:rPr>
          <w:b/>
          <w:color w:val="000000"/>
        </w:rPr>
        <w:t>Respondents</w:t>
      </w:r>
    </w:p>
    <w:p w:rsidR="00922420" w:rsidRPr="00C422ED" w:rsidP="00506683" w14:paraId="3CF20FD1" w14:textId="308ED836">
      <w:pPr>
        <w:pStyle w:val="Default"/>
        <w:rPr>
          <w:b/>
          <w:bCs/>
          <w:color w:val="auto"/>
        </w:rPr>
      </w:pPr>
    </w:p>
    <w:p w:rsidR="00922420" w:rsidRPr="00C422ED" w:rsidP="00922420" w14:paraId="54C6E35D" w14:textId="6D015DEA">
      <w:pPr>
        <w:pStyle w:val="Default"/>
        <w:rPr>
          <w:color w:val="auto"/>
        </w:rPr>
      </w:pPr>
      <w:r w:rsidRPr="00C422ED">
        <w:rPr>
          <w:color w:val="auto"/>
        </w:rPr>
        <w:t>MSHA estimates that there are approximately 803 hoist operators that require a medical examination by a qualified licensed physician</w:t>
      </w:r>
      <w:r w:rsidR="00C422ED">
        <w:rPr>
          <w:color w:val="auto"/>
        </w:rPr>
        <w:t xml:space="preserve"> each year</w:t>
      </w:r>
      <w:r w:rsidRPr="00C422ED">
        <w:rPr>
          <w:color w:val="auto"/>
        </w:rPr>
        <w:t>. MSHA received responses from 8 of 15 district offices providing information for hoist operators at the metal and nonmetal mines within the district’s jurisdiction for the calendar year 2022. The 8 of 15 districts (53% response) reported 428 hoist operators requiring a medical examination. The average number of hoist operators per district equals 53.5 (428 / 8 = 53.5). Using the average number of hoist operators per district multiplied by the total number of districts equals 803 (53.5 x 15 = 802.5</w:t>
      </w:r>
      <w:r w:rsidRPr="00C422ED" w:rsidR="008D65BE">
        <w:rPr>
          <w:color w:val="auto"/>
        </w:rPr>
        <w:t>,</w:t>
      </w:r>
      <w:r w:rsidRPr="00C422ED">
        <w:rPr>
          <w:color w:val="auto"/>
        </w:rPr>
        <w:t xml:space="preserve"> rounded up to 803</w:t>
      </w:r>
      <w:r w:rsidRPr="00C422ED" w:rsidR="008D65BE">
        <w:rPr>
          <w:color w:val="auto"/>
        </w:rPr>
        <w:t>)</w:t>
      </w:r>
      <w:r w:rsidRPr="00C422ED">
        <w:rPr>
          <w:color w:val="auto"/>
        </w:rPr>
        <w:t xml:space="preserve">. </w:t>
      </w:r>
    </w:p>
    <w:p w:rsidR="00922420" w:rsidRPr="00C422ED" w:rsidP="00922420" w14:paraId="6D0D5753" w14:textId="77777777">
      <w:pPr>
        <w:pStyle w:val="Default"/>
        <w:rPr>
          <w:color w:val="auto"/>
        </w:rPr>
      </w:pPr>
      <w:r w:rsidRPr="00C422ED">
        <w:rPr>
          <w:color w:val="auto"/>
        </w:rPr>
        <w:t xml:space="preserve"> </w:t>
      </w:r>
    </w:p>
    <w:p w:rsidR="00922420" w:rsidRPr="00C422ED" w:rsidP="00922420" w14:paraId="33DC049D" w14:textId="035954BB">
      <w:pPr>
        <w:pStyle w:val="Default"/>
        <w:rPr>
          <w:color w:val="auto"/>
        </w:rPr>
      </w:pPr>
      <w:r w:rsidRPr="00C422ED">
        <w:rPr>
          <w:color w:val="auto"/>
        </w:rPr>
        <w:t xml:space="preserve">Mine operators contract out the </w:t>
      </w:r>
      <w:r w:rsidR="00C422ED">
        <w:rPr>
          <w:color w:val="auto"/>
        </w:rPr>
        <w:t xml:space="preserve">physical </w:t>
      </w:r>
      <w:r w:rsidRPr="00C422ED">
        <w:rPr>
          <w:color w:val="auto"/>
        </w:rPr>
        <w:t xml:space="preserve">examinations and certifications to a third party (private physicians). Therefore, examination costs are included in the answer to question 13.   </w:t>
      </w:r>
    </w:p>
    <w:p w:rsidR="00922420" w:rsidRPr="00C422ED" w:rsidP="00506683" w14:paraId="730960FD" w14:textId="77777777">
      <w:pPr>
        <w:pStyle w:val="Default"/>
        <w:rPr>
          <w:b/>
          <w:bCs/>
          <w:color w:val="auto"/>
        </w:rPr>
      </w:pPr>
    </w:p>
    <w:p w:rsidR="00922420" w:rsidRPr="00C422ED" w:rsidP="00922420" w14:paraId="4D5A1ECC" w14:textId="77777777">
      <w:pPr>
        <w:rPr>
          <w:b/>
          <w:bCs/>
          <w:iCs/>
        </w:rPr>
      </w:pPr>
      <w:r w:rsidRPr="00C422ED">
        <w:rPr>
          <w:b/>
          <w:bCs/>
          <w:iCs/>
        </w:rPr>
        <w:t>Wage Rates Determinations</w:t>
      </w:r>
      <w:r>
        <w:rPr>
          <w:iCs/>
          <w:vertAlign w:val="superscript"/>
        </w:rPr>
        <w:footnoteReference w:id="2"/>
      </w:r>
    </w:p>
    <w:p w:rsidR="00922420" w:rsidRPr="00C422ED" w:rsidP="00922420" w14:paraId="155C576C" w14:textId="77777777">
      <w:pPr>
        <w:rPr>
          <w:b/>
          <w:bCs/>
          <w:iCs/>
        </w:rPr>
      </w:pPr>
    </w:p>
    <w:p w:rsidR="00C422ED" w:rsidRPr="00166699" w:rsidP="00C422ED" w14:paraId="604C4415" w14:textId="77777777">
      <w:r w:rsidRPr="00166699">
        <w:t>MSHA used data from the May 202</w:t>
      </w:r>
      <w:r>
        <w:t>2</w:t>
      </w:r>
      <w:r w:rsidRPr="00166699">
        <w:t xml:space="preserve"> Occupational Employment and Wage Statistics (OEWS) published by the Bureau of Labor Statistics (BLS) for hourly wage rates</w:t>
      </w:r>
      <w:r>
        <w:rPr>
          <w:vertAlign w:val="superscript"/>
        </w:rPr>
        <w:footnoteReference w:id="3"/>
      </w:r>
      <w:r w:rsidRPr="00166699">
        <w:t xml:space="preserve"> and adjusted the rates </w:t>
      </w:r>
      <w:r w:rsidRPr="00166699">
        <w:t>for benefits</w:t>
      </w:r>
      <w:r>
        <w:t>,</w:t>
      </w:r>
      <w:r>
        <w:rPr>
          <w:vertAlign w:val="superscript"/>
        </w:rPr>
        <w:footnoteReference w:id="4"/>
      </w:r>
      <w:r w:rsidRPr="00166699">
        <w:t xml:space="preserve"> wage inflation</w:t>
      </w:r>
      <w:r>
        <w:t>,</w:t>
      </w:r>
      <w:r>
        <w:rPr>
          <w:vertAlign w:val="superscript"/>
        </w:rPr>
        <w:footnoteReference w:id="5"/>
      </w:r>
      <w:r>
        <w:t xml:space="preserve"> and overhead costs</w:t>
      </w:r>
      <w:r>
        <w:rPr>
          <w:rStyle w:val="FootnoteReference"/>
        </w:rPr>
        <w:footnoteReference w:id="6"/>
      </w:r>
      <w:r w:rsidRPr="00166699">
        <w:t>. The occupations listed below in Table 12-1 are those that were determined to be relevant for the cost calculations.</w:t>
      </w:r>
    </w:p>
    <w:p w:rsidR="00922420" w:rsidRPr="00C422ED" w:rsidP="00922420" w14:paraId="19327DB0" w14:textId="77777777">
      <w:pPr>
        <w:widowControl/>
      </w:pPr>
    </w:p>
    <w:p w:rsidR="00922420" w:rsidP="00922420" w14:paraId="410C8C26" w14:textId="20F3BBD4">
      <w:r w:rsidRPr="00687C94">
        <w:t>Table 12-1. Hourly Wage Rates</w:t>
      </w:r>
    </w:p>
    <w:tbl>
      <w:tblPr>
        <w:tblStyle w:val="TableGrid1"/>
        <w:tblW w:w="10075" w:type="dxa"/>
        <w:tblLook w:val="04A0"/>
      </w:tblPr>
      <w:tblGrid>
        <w:gridCol w:w="1537"/>
        <w:gridCol w:w="1514"/>
        <w:gridCol w:w="951"/>
        <w:gridCol w:w="1309"/>
        <w:gridCol w:w="1303"/>
        <w:gridCol w:w="1481"/>
        <w:gridCol w:w="1980"/>
      </w:tblGrid>
      <w:tr w14:paraId="002EA360" w14:textId="77777777" w:rsidTr="00D8217A">
        <w:tblPrEx>
          <w:tblW w:w="10075" w:type="dxa"/>
          <w:tblLook w:val="04A0"/>
        </w:tblPrEx>
        <w:trPr>
          <w:trHeight w:val="600"/>
        </w:trPr>
        <w:tc>
          <w:tcPr>
            <w:tcW w:w="1537" w:type="dxa"/>
            <w:shd w:val="clear" w:color="auto" w:fill="C6D9F1"/>
            <w:noWrap/>
            <w:vAlign w:val="center"/>
            <w:hideMark/>
          </w:tcPr>
          <w:p w:rsidR="00922420" w:rsidRPr="00C422ED" w:rsidP="00D8217A" w14:paraId="19696506" w14:textId="77777777">
            <w:pPr>
              <w:jc w:val="center"/>
              <w:rPr>
                <w:rFonts w:ascii="Times New Roman" w:hAnsi="Times New Roman"/>
                <w:b/>
                <w:bCs/>
              </w:rPr>
            </w:pPr>
            <w:r w:rsidRPr="00C422ED">
              <w:rPr>
                <w:rFonts w:ascii="Times New Roman" w:hAnsi="Times New Roman"/>
                <w:b/>
                <w:bCs/>
              </w:rPr>
              <w:t>Occupation</w:t>
            </w:r>
          </w:p>
        </w:tc>
        <w:tc>
          <w:tcPr>
            <w:tcW w:w="1514" w:type="dxa"/>
            <w:shd w:val="clear" w:color="auto" w:fill="C6D9F1"/>
            <w:vAlign w:val="center"/>
          </w:tcPr>
          <w:p w:rsidR="00922420" w:rsidRPr="00C422ED" w:rsidP="00D8217A" w14:paraId="7B555B23" w14:textId="77777777">
            <w:pPr>
              <w:widowControl/>
              <w:jc w:val="center"/>
              <w:rPr>
                <w:rFonts w:ascii="Times New Roman" w:hAnsi="Times New Roman"/>
                <w:b/>
                <w:bCs/>
              </w:rPr>
            </w:pPr>
            <w:r w:rsidRPr="00C422ED">
              <w:rPr>
                <w:rFonts w:ascii="Times New Roman" w:hAnsi="Times New Roman"/>
                <w:b/>
                <w:bCs/>
              </w:rPr>
              <w:t>NAICS Code</w:t>
            </w:r>
          </w:p>
        </w:tc>
        <w:tc>
          <w:tcPr>
            <w:tcW w:w="951" w:type="dxa"/>
            <w:shd w:val="clear" w:color="auto" w:fill="C6D9F1"/>
            <w:noWrap/>
            <w:vAlign w:val="center"/>
            <w:hideMark/>
          </w:tcPr>
          <w:p w:rsidR="00922420" w:rsidRPr="00C422ED" w:rsidP="00D8217A" w14:paraId="14964441" w14:textId="77777777">
            <w:pPr>
              <w:widowControl/>
              <w:jc w:val="center"/>
              <w:rPr>
                <w:rFonts w:ascii="Times New Roman" w:hAnsi="Times New Roman"/>
                <w:b/>
                <w:bCs/>
              </w:rPr>
            </w:pPr>
            <w:r w:rsidRPr="00C422ED">
              <w:rPr>
                <w:rFonts w:ascii="Times New Roman" w:hAnsi="Times New Roman"/>
                <w:b/>
                <w:bCs/>
              </w:rPr>
              <w:t>Mean Wage Rate</w:t>
            </w:r>
          </w:p>
        </w:tc>
        <w:tc>
          <w:tcPr>
            <w:tcW w:w="1309" w:type="dxa"/>
            <w:shd w:val="clear" w:color="auto" w:fill="C6D9F1"/>
            <w:noWrap/>
            <w:vAlign w:val="center"/>
            <w:hideMark/>
          </w:tcPr>
          <w:p w:rsidR="00922420" w:rsidRPr="00C422ED" w:rsidP="00D8217A" w14:paraId="63C532E0" w14:textId="77777777">
            <w:pPr>
              <w:widowControl/>
              <w:jc w:val="center"/>
              <w:rPr>
                <w:rFonts w:ascii="Times New Roman" w:hAnsi="Times New Roman"/>
                <w:b/>
                <w:bCs/>
              </w:rPr>
            </w:pPr>
            <w:r w:rsidRPr="00C422ED">
              <w:rPr>
                <w:rFonts w:ascii="Times New Roman" w:hAnsi="Times New Roman"/>
                <w:b/>
                <w:bCs/>
              </w:rPr>
              <w:t>Benefit Multiplier</w:t>
            </w:r>
          </w:p>
        </w:tc>
        <w:tc>
          <w:tcPr>
            <w:tcW w:w="1303" w:type="dxa"/>
            <w:shd w:val="clear" w:color="auto" w:fill="C6D9F1"/>
            <w:noWrap/>
            <w:vAlign w:val="center"/>
            <w:hideMark/>
          </w:tcPr>
          <w:p w:rsidR="00922420" w:rsidRPr="00C422ED" w:rsidP="00D8217A" w14:paraId="1F3D9D3C" w14:textId="77777777">
            <w:pPr>
              <w:widowControl/>
              <w:jc w:val="center"/>
              <w:rPr>
                <w:rFonts w:ascii="Times New Roman" w:hAnsi="Times New Roman"/>
                <w:b/>
                <w:bCs/>
              </w:rPr>
            </w:pPr>
            <w:r w:rsidRPr="00C422ED">
              <w:rPr>
                <w:rFonts w:ascii="Times New Roman" w:hAnsi="Times New Roman"/>
                <w:b/>
                <w:bCs/>
              </w:rPr>
              <w:t>Inflation Multiplier</w:t>
            </w:r>
          </w:p>
        </w:tc>
        <w:tc>
          <w:tcPr>
            <w:tcW w:w="1481" w:type="dxa"/>
            <w:shd w:val="clear" w:color="auto" w:fill="C6D9F1"/>
            <w:vAlign w:val="center"/>
            <w:hideMark/>
          </w:tcPr>
          <w:p w:rsidR="00922420" w:rsidRPr="00C422ED" w:rsidP="00D8217A" w14:paraId="19C5C2D1" w14:textId="77777777">
            <w:pPr>
              <w:widowControl/>
              <w:jc w:val="center"/>
              <w:rPr>
                <w:rFonts w:ascii="Times New Roman" w:hAnsi="Times New Roman"/>
                <w:b/>
                <w:bCs/>
              </w:rPr>
            </w:pPr>
            <w:r w:rsidRPr="00C422ED">
              <w:rPr>
                <w:rFonts w:ascii="Times New Roman" w:hAnsi="Times New Roman"/>
                <w:b/>
                <w:bCs/>
              </w:rPr>
              <w:t>Overhead Cost Multiplier</w:t>
            </w:r>
          </w:p>
        </w:tc>
        <w:tc>
          <w:tcPr>
            <w:tcW w:w="1980" w:type="dxa"/>
            <w:shd w:val="clear" w:color="auto" w:fill="C6D9F1"/>
            <w:vAlign w:val="center"/>
            <w:hideMark/>
          </w:tcPr>
          <w:p w:rsidR="00922420" w:rsidRPr="00C422ED" w:rsidP="00D8217A" w14:paraId="52CF925C" w14:textId="77777777">
            <w:pPr>
              <w:widowControl/>
              <w:jc w:val="center"/>
              <w:rPr>
                <w:rFonts w:ascii="Times New Roman" w:hAnsi="Times New Roman"/>
                <w:b/>
                <w:bCs/>
              </w:rPr>
            </w:pPr>
            <w:r w:rsidRPr="00C422ED">
              <w:rPr>
                <w:rFonts w:ascii="Times New Roman" w:hAnsi="Times New Roman"/>
                <w:b/>
                <w:bCs/>
              </w:rPr>
              <w:t>Loaded Hourly Wage Rate</w:t>
            </w:r>
          </w:p>
        </w:tc>
      </w:tr>
      <w:tr w14:paraId="733B9966" w14:textId="77777777" w:rsidTr="00D8217A">
        <w:tblPrEx>
          <w:tblW w:w="10075" w:type="dxa"/>
          <w:tblLook w:val="04A0"/>
        </w:tblPrEx>
        <w:trPr>
          <w:trHeight w:val="315"/>
        </w:trPr>
        <w:tc>
          <w:tcPr>
            <w:tcW w:w="1537" w:type="dxa"/>
            <w:shd w:val="clear" w:color="auto" w:fill="C6D9F1"/>
            <w:noWrap/>
            <w:vAlign w:val="center"/>
            <w:hideMark/>
          </w:tcPr>
          <w:p w:rsidR="00922420" w:rsidRPr="00C422ED" w:rsidP="00D8217A" w14:paraId="183E4616" w14:textId="77777777">
            <w:pPr>
              <w:widowControl/>
              <w:jc w:val="center"/>
              <w:rPr>
                <w:rFonts w:ascii="Times New Roman" w:hAnsi="Times New Roman"/>
                <w:b/>
                <w:bCs/>
              </w:rPr>
            </w:pPr>
          </w:p>
        </w:tc>
        <w:tc>
          <w:tcPr>
            <w:tcW w:w="1514" w:type="dxa"/>
            <w:shd w:val="clear" w:color="auto" w:fill="C6D9F1"/>
          </w:tcPr>
          <w:p w:rsidR="00922420" w:rsidRPr="00C422ED" w:rsidP="00D8217A" w14:paraId="281373EA" w14:textId="77777777">
            <w:pPr>
              <w:widowControl/>
              <w:jc w:val="center"/>
              <w:rPr>
                <w:rFonts w:ascii="Times New Roman" w:hAnsi="Times New Roman"/>
                <w:b/>
                <w:bCs/>
              </w:rPr>
            </w:pPr>
          </w:p>
        </w:tc>
        <w:tc>
          <w:tcPr>
            <w:tcW w:w="951" w:type="dxa"/>
            <w:shd w:val="clear" w:color="auto" w:fill="C6D9F1"/>
            <w:noWrap/>
            <w:vAlign w:val="center"/>
            <w:hideMark/>
          </w:tcPr>
          <w:p w:rsidR="00922420" w:rsidRPr="00C422ED" w:rsidP="00D8217A" w14:paraId="0D52A984" w14:textId="77777777">
            <w:pPr>
              <w:widowControl/>
              <w:jc w:val="center"/>
              <w:rPr>
                <w:rFonts w:ascii="Times New Roman" w:hAnsi="Times New Roman"/>
                <w:b/>
                <w:bCs/>
              </w:rPr>
            </w:pPr>
            <w:r w:rsidRPr="00C422ED">
              <w:rPr>
                <w:rFonts w:ascii="Times New Roman" w:hAnsi="Times New Roman"/>
                <w:b/>
                <w:bCs/>
              </w:rPr>
              <w:t>A</w:t>
            </w:r>
          </w:p>
        </w:tc>
        <w:tc>
          <w:tcPr>
            <w:tcW w:w="1309" w:type="dxa"/>
            <w:shd w:val="clear" w:color="auto" w:fill="C6D9F1"/>
            <w:noWrap/>
            <w:vAlign w:val="center"/>
            <w:hideMark/>
          </w:tcPr>
          <w:p w:rsidR="00922420" w:rsidRPr="00C422ED" w:rsidP="00D8217A" w14:paraId="373DD9E9" w14:textId="77777777">
            <w:pPr>
              <w:widowControl/>
              <w:jc w:val="center"/>
              <w:rPr>
                <w:rFonts w:ascii="Times New Roman" w:hAnsi="Times New Roman"/>
                <w:b/>
                <w:bCs/>
              </w:rPr>
            </w:pPr>
            <w:r w:rsidRPr="00C422ED">
              <w:rPr>
                <w:rFonts w:ascii="Times New Roman" w:hAnsi="Times New Roman"/>
                <w:b/>
                <w:bCs/>
              </w:rPr>
              <w:t>B</w:t>
            </w:r>
          </w:p>
        </w:tc>
        <w:tc>
          <w:tcPr>
            <w:tcW w:w="1303" w:type="dxa"/>
            <w:shd w:val="clear" w:color="auto" w:fill="C6D9F1"/>
            <w:noWrap/>
            <w:vAlign w:val="center"/>
            <w:hideMark/>
          </w:tcPr>
          <w:p w:rsidR="00922420" w:rsidRPr="00C422ED" w:rsidP="00D8217A" w14:paraId="5ADD98E2" w14:textId="77777777">
            <w:pPr>
              <w:widowControl/>
              <w:jc w:val="center"/>
              <w:rPr>
                <w:rFonts w:ascii="Times New Roman" w:hAnsi="Times New Roman"/>
                <w:b/>
                <w:bCs/>
              </w:rPr>
            </w:pPr>
            <w:r w:rsidRPr="00C422ED">
              <w:rPr>
                <w:rFonts w:ascii="Times New Roman" w:hAnsi="Times New Roman"/>
                <w:b/>
                <w:bCs/>
              </w:rPr>
              <w:t>C</w:t>
            </w:r>
          </w:p>
        </w:tc>
        <w:tc>
          <w:tcPr>
            <w:tcW w:w="1481" w:type="dxa"/>
            <w:shd w:val="clear" w:color="auto" w:fill="C6D9F1"/>
            <w:vAlign w:val="center"/>
            <w:hideMark/>
          </w:tcPr>
          <w:p w:rsidR="00922420" w:rsidRPr="00C422ED" w:rsidP="00D8217A" w14:paraId="023EFCC2" w14:textId="77777777">
            <w:pPr>
              <w:widowControl/>
              <w:jc w:val="center"/>
              <w:rPr>
                <w:rFonts w:ascii="Times New Roman" w:hAnsi="Times New Roman"/>
                <w:b/>
                <w:bCs/>
              </w:rPr>
            </w:pPr>
            <w:r w:rsidRPr="00C422ED">
              <w:rPr>
                <w:rFonts w:ascii="Times New Roman" w:hAnsi="Times New Roman"/>
                <w:b/>
                <w:bCs/>
              </w:rPr>
              <w:t>D</w:t>
            </w:r>
          </w:p>
        </w:tc>
        <w:tc>
          <w:tcPr>
            <w:tcW w:w="1980" w:type="dxa"/>
            <w:shd w:val="clear" w:color="auto" w:fill="C6D9F1"/>
            <w:vAlign w:val="center"/>
            <w:hideMark/>
          </w:tcPr>
          <w:p w:rsidR="00922420" w:rsidRPr="00C422ED" w:rsidP="00D8217A" w14:paraId="45734C1C" w14:textId="77777777">
            <w:pPr>
              <w:widowControl/>
              <w:jc w:val="center"/>
              <w:rPr>
                <w:rFonts w:ascii="Times New Roman" w:hAnsi="Times New Roman"/>
                <w:b/>
                <w:bCs/>
              </w:rPr>
            </w:pPr>
            <w:r w:rsidRPr="00C422ED">
              <w:rPr>
                <w:rFonts w:ascii="Times New Roman" w:hAnsi="Times New Roman"/>
                <w:b/>
                <w:bCs/>
              </w:rPr>
              <w:t>A x B x C x D</w:t>
            </w:r>
          </w:p>
        </w:tc>
      </w:tr>
      <w:tr w14:paraId="6DF9F07C" w14:textId="77777777" w:rsidTr="00D8217A">
        <w:tblPrEx>
          <w:tblW w:w="10075" w:type="dxa"/>
          <w:tblLook w:val="04A0"/>
        </w:tblPrEx>
        <w:trPr>
          <w:trHeight w:val="315"/>
        </w:trPr>
        <w:tc>
          <w:tcPr>
            <w:tcW w:w="1537" w:type="dxa"/>
            <w:noWrap/>
            <w:vAlign w:val="center"/>
            <w:hideMark/>
          </w:tcPr>
          <w:p w:rsidR="00922420" w:rsidRPr="00C422ED" w:rsidP="00D8217A" w14:paraId="407C5337" w14:textId="36C1EF7A">
            <w:pPr>
              <w:widowControl/>
              <w:rPr>
                <w:rFonts w:ascii="Times New Roman" w:hAnsi="Times New Roman"/>
              </w:rPr>
            </w:pPr>
            <w:r w:rsidRPr="00C422ED">
              <w:rPr>
                <w:rFonts w:ascii="Times New Roman" w:hAnsi="Times New Roman"/>
              </w:rPr>
              <w:t>Clerk*</w:t>
            </w:r>
          </w:p>
        </w:tc>
        <w:tc>
          <w:tcPr>
            <w:tcW w:w="1514" w:type="dxa"/>
            <w:vAlign w:val="center"/>
          </w:tcPr>
          <w:p w:rsidR="00922420" w:rsidRPr="00C422ED" w:rsidP="00D8217A" w14:paraId="6BADC9C0" w14:textId="77777777">
            <w:pPr>
              <w:pStyle w:val="Default"/>
              <w:jc w:val="center"/>
              <w:rPr>
                <w:rFonts w:ascii="Times New Roman" w:hAnsi="Times New Roman"/>
              </w:rPr>
            </w:pPr>
            <w:r w:rsidRPr="00C422ED">
              <w:rPr>
                <w:rFonts w:ascii="Times New Roman" w:hAnsi="Times New Roman"/>
              </w:rPr>
              <w:t>212200</w:t>
            </w:r>
          </w:p>
          <w:p w:rsidR="00922420" w:rsidRPr="00C422ED" w:rsidP="00D8217A" w14:paraId="0521C4AA" w14:textId="77777777">
            <w:pPr>
              <w:pStyle w:val="Default"/>
              <w:jc w:val="center"/>
              <w:rPr>
                <w:rFonts w:ascii="Times New Roman" w:hAnsi="Times New Roman"/>
              </w:rPr>
            </w:pPr>
            <w:r w:rsidRPr="00C422ED">
              <w:rPr>
                <w:rFonts w:ascii="Times New Roman" w:hAnsi="Times New Roman"/>
              </w:rPr>
              <w:t>212300</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922420" w:rsidRPr="00C422ED" w:rsidP="00D8217A" w14:paraId="7B824F3F" w14:textId="223427F8">
            <w:pPr>
              <w:widowControl/>
              <w:jc w:val="right"/>
              <w:rPr>
                <w:rFonts w:ascii="Times New Roman" w:hAnsi="Times New Roman"/>
              </w:rPr>
            </w:pPr>
            <w:r w:rsidRPr="00C422ED">
              <w:rPr>
                <w:rFonts w:ascii="Times New Roman" w:hAnsi="Times New Roman"/>
                <w:color w:val="000000"/>
              </w:rPr>
              <w:t>$23.75</w:t>
            </w:r>
          </w:p>
        </w:tc>
        <w:tc>
          <w:tcPr>
            <w:tcW w:w="1309" w:type="dxa"/>
            <w:tcBorders>
              <w:top w:val="nil"/>
              <w:left w:val="nil"/>
              <w:bottom w:val="single" w:sz="4" w:space="0" w:color="auto"/>
              <w:right w:val="single" w:sz="4" w:space="0" w:color="auto"/>
            </w:tcBorders>
            <w:shd w:val="clear" w:color="auto" w:fill="auto"/>
            <w:noWrap/>
            <w:vAlign w:val="center"/>
            <w:hideMark/>
          </w:tcPr>
          <w:p w:rsidR="00922420" w:rsidRPr="00C422ED" w:rsidP="00D8217A" w14:paraId="51272B82" w14:textId="77777777">
            <w:pPr>
              <w:widowControl/>
              <w:jc w:val="right"/>
              <w:rPr>
                <w:rFonts w:ascii="Times New Roman" w:hAnsi="Times New Roman"/>
              </w:rPr>
            </w:pPr>
            <w:r w:rsidRPr="00C422ED">
              <w:rPr>
                <w:rFonts w:ascii="Times New Roman" w:hAnsi="Times New Roman"/>
                <w:color w:val="000000"/>
              </w:rPr>
              <w:t>1.487</w:t>
            </w:r>
          </w:p>
        </w:tc>
        <w:tc>
          <w:tcPr>
            <w:tcW w:w="1303" w:type="dxa"/>
            <w:tcBorders>
              <w:top w:val="nil"/>
              <w:left w:val="nil"/>
              <w:bottom w:val="single" w:sz="4" w:space="0" w:color="auto"/>
              <w:right w:val="single" w:sz="4" w:space="0" w:color="auto"/>
            </w:tcBorders>
            <w:shd w:val="clear" w:color="auto" w:fill="auto"/>
            <w:noWrap/>
            <w:vAlign w:val="center"/>
            <w:hideMark/>
          </w:tcPr>
          <w:p w:rsidR="00922420" w:rsidRPr="00C422ED" w:rsidP="00D8217A" w14:paraId="66BCEB5F" w14:textId="77777777">
            <w:pPr>
              <w:widowControl/>
              <w:jc w:val="right"/>
              <w:rPr>
                <w:rFonts w:ascii="Times New Roman" w:hAnsi="Times New Roman"/>
              </w:rPr>
            </w:pPr>
            <w:r w:rsidRPr="00C422ED">
              <w:rPr>
                <w:rFonts w:ascii="Times New Roman" w:hAnsi="Times New Roman"/>
                <w:color w:val="000000"/>
              </w:rPr>
              <w:t>1.022</w:t>
            </w:r>
          </w:p>
        </w:tc>
        <w:tc>
          <w:tcPr>
            <w:tcW w:w="1481" w:type="dxa"/>
            <w:tcBorders>
              <w:top w:val="nil"/>
              <w:left w:val="nil"/>
              <w:bottom w:val="single" w:sz="4" w:space="0" w:color="auto"/>
              <w:right w:val="single" w:sz="4" w:space="0" w:color="auto"/>
            </w:tcBorders>
            <w:shd w:val="clear" w:color="auto" w:fill="auto"/>
            <w:noWrap/>
            <w:vAlign w:val="center"/>
            <w:hideMark/>
          </w:tcPr>
          <w:p w:rsidR="00922420" w:rsidRPr="00C422ED" w:rsidP="00D8217A" w14:paraId="789E90D9" w14:textId="77777777">
            <w:pPr>
              <w:widowControl/>
              <w:jc w:val="right"/>
              <w:rPr>
                <w:rFonts w:ascii="Times New Roman" w:hAnsi="Times New Roman"/>
              </w:rPr>
            </w:pPr>
            <w:r w:rsidRPr="00C422ED">
              <w:rPr>
                <w:rFonts w:ascii="Times New Roman" w:hAnsi="Times New Roman"/>
                <w:color w:val="000000"/>
              </w:rPr>
              <w:t>1.17</w:t>
            </w:r>
          </w:p>
        </w:tc>
        <w:tc>
          <w:tcPr>
            <w:tcW w:w="1980" w:type="dxa"/>
            <w:tcBorders>
              <w:top w:val="nil"/>
              <w:left w:val="nil"/>
              <w:bottom w:val="single" w:sz="4" w:space="0" w:color="auto"/>
              <w:right w:val="single" w:sz="4" w:space="0" w:color="auto"/>
            </w:tcBorders>
            <w:shd w:val="clear" w:color="auto" w:fill="auto"/>
            <w:noWrap/>
            <w:vAlign w:val="center"/>
            <w:hideMark/>
          </w:tcPr>
          <w:p w:rsidR="00922420" w:rsidRPr="00C422ED" w:rsidP="00D8217A" w14:paraId="7627BFE7" w14:textId="29F1A7DF">
            <w:pPr>
              <w:widowControl/>
              <w:jc w:val="right"/>
              <w:rPr>
                <w:rFonts w:ascii="Times New Roman" w:hAnsi="Times New Roman"/>
              </w:rPr>
            </w:pPr>
            <w:r w:rsidRPr="00C422ED">
              <w:rPr>
                <w:rFonts w:ascii="Times New Roman" w:hAnsi="Times New Roman"/>
                <w:color w:val="000000"/>
              </w:rPr>
              <w:t>$42.23</w:t>
            </w:r>
          </w:p>
        </w:tc>
      </w:tr>
    </w:tbl>
    <w:p w:rsidR="00C422ED" w:rsidP="00C422ED" w14:paraId="2B695F66" w14:textId="15B6F840">
      <w:pPr>
        <w:rPr>
          <w:sz w:val="18"/>
          <w:szCs w:val="18"/>
          <w:shd w:val="clear" w:color="auto" w:fill="FFFFFF"/>
        </w:rPr>
      </w:pPr>
      <w:bookmarkStart w:id="2" w:name="_Hlk114568297"/>
      <w:r w:rsidRPr="009B3011">
        <w:rPr>
          <w:sz w:val="18"/>
          <w:szCs w:val="18"/>
        </w:rPr>
        <w:t xml:space="preserve">Note: </w:t>
      </w:r>
      <w:r w:rsidRPr="006C29C4">
        <w:rPr>
          <w:sz w:val="18"/>
          <w:szCs w:val="18"/>
        </w:rPr>
        <w:t>MSHA used the latest 4-quarter moving average 202</w:t>
      </w:r>
      <w:r>
        <w:rPr>
          <w:sz w:val="18"/>
          <w:szCs w:val="18"/>
        </w:rPr>
        <w:t>2</w:t>
      </w:r>
      <w:r w:rsidRPr="006C29C4">
        <w:rPr>
          <w:sz w:val="18"/>
          <w:szCs w:val="18"/>
        </w:rPr>
        <w:t>Q</w:t>
      </w:r>
      <w:r>
        <w:rPr>
          <w:sz w:val="18"/>
          <w:szCs w:val="18"/>
        </w:rPr>
        <w:t>1</w:t>
      </w:r>
      <w:r w:rsidRPr="006C29C4">
        <w:rPr>
          <w:sz w:val="18"/>
          <w:szCs w:val="18"/>
        </w:rPr>
        <w:t>-2022Q</w:t>
      </w:r>
      <w:r>
        <w:rPr>
          <w:sz w:val="18"/>
          <w:szCs w:val="18"/>
        </w:rPr>
        <w:t>4</w:t>
      </w:r>
      <w:r w:rsidRPr="006C29C4">
        <w:rPr>
          <w:sz w:val="18"/>
          <w:szCs w:val="18"/>
        </w:rPr>
        <w:t xml:space="preserve"> to determine that 32.</w:t>
      </w:r>
      <w:r>
        <w:rPr>
          <w:sz w:val="18"/>
          <w:szCs w:val="18"/>
        </w:rPr>
        <w:t>8</w:t>
      </w:r>
      <w:r w:rsidRPr="006C29C4">
        <w:rPr>
          <w:sz w:val="18"/>
          <w:szCs w:val="18"/>
        </w:rPr>
        <w:t xml:space="preserve"> percent of total loaded wages are benefits</w:t>
      </w:r>
      <w:r>
        <w:rPr>
          <w:sz w:val="18"/>
          <w:szCs w:val="18"/>
        </w:rPr>
        <w:t xml:space="preserve"> for private industry workers in construction, extraction,</w:t>
      </w:r>
      <w:r w:rsidRPr="00927A05">
        <w:rPr>
          <w:sz w:val="18"/>
          <w:szCs w:val="18"/>
        </w:rPr>
        <w:t xml:space="preserve"> farming, fishing, and forestry occupations</w:t>
      </w:r>
      <w:r w:rsidRPr="006C29C4">
        <w:rPr>
          <w:sz w:val="18"/>
          <w:szCs w:val="18"/>
        </w:rPr>
        <w:t xml:space="preserve">. </w:t>
      </w:r>
      <w:r w:rsidRPr="00927A05">
        <w:rPr>
          <w:sz w:val="18"/>
          <w:szCs w:val="18"/>
        </w:rPr>
        <w:t>The benefit multiplier is 1.4</w:t>
      </w:r>
      <w:r>
        <w:rPr>
          <w:sz w:val="18"/>
          <w:szCs w:val="18"/>
        </w:rPr>
        <w:t>87</w:t>
      </w:r>
      <w:r w:rsidRPr="00927A05">
        <w:rPr>
          <w:sz w:val="18"/>
          <w:szCs w:val="18"/>
        </w:rPr>
        <w:t>= 1+</w:t>
      </w:r>
      <w:r>
        <w:rPr>
          <w:sz w:val="18"/>
          <w:szCs w:val="18"/>
        </w:rPr>
        <w:t xml:space="preserve"> </w:t>
      </w:r>
      <w:r w:rsidRPr="00927A05">
        <w:rPr>
          <w:sz w:val="18"/>
          <w:szCs w:val="18"/>
        </w:rPr>
        <w:t>(0.</w:t>
      </w:r>
      <w:r>
        <w:rPr>
          <w:sz w:val="18"/>
          <w:szCs w:val="18"/>
        </w:rPr>
        <w:t>3</w:t>
      </w:r>
      <w:r w:rsidRPr="00927A05">
        <w:rPr>
          <w:sz w:val="18"/>
          <w:szCs w:val="18"/>
        </w:rPr>
        <w:t>28/(1-0.</w:t>
      </w:r>
      <w:r>
        <w:rPr>
          <w:sz w:val="18"/>
          <w:szCs w:val="18"/>
        </w:rPr>
        <w:t>3</w:t>
      </w:r>
      <w:r w:rsidRPr="00927A05">
        <w:rPr>
          <w:sz w:val="18"/>
          <w:szCs w:val="18"/>
        </w:rPr>
        <w:t xml:space="preserve">28)). </w:t>
      </w:r>
      <w:r w:rsidRPr="006C29C4">
        <w:rPr>
          <w:sz w:val="18"/>
          <w:szCs w:val="18"/>
        </w:rPr>
        <w:t>The inflation multiplier of 1.0</w:t>
      </w:r>
      <w:r>
        <w:rPr>
          <w:sz w:val="18"/>
          <w:szCs w:val="18"/>
        </w:rPr>
        <w:t>22</w:t>
      </w:r>
      <w:r w:rsidRPr="006C29C4">
        <w:rPr>
          <w:sz w:val="18"/>
          <w:szCs w:val="18"/>
        </w:rPr>
        <w:t xml:space="preserve"> was determined by using the employment price index from the most current quarter data is available, 2022Q</w:t>
      </w:r>
      <w:r>
        <w:rPr>
          <w:sz w:val="18"/>
          <w:szCs w:val="18"/>
        </w:rPr>
        <w:t>4</w:t>
      </w:r>
      <w:r w:rsidRPr="006C29C4">
        <w:rPr>
          <w:sz w:val="18"/>
          <w:szCs w:val="18"/>
        </w:rPr>
        <w:t>, divided by the base year and quarter of the OEWS employment and wage statistics, 202</w:t>
      </w:r>
      <w:r>
        <w:rPr>
          <w:sz w:val="18"/>
          <w:szCs w:val="18"/>
        </w:rPr>
        <w:t>2</w:t>
      </w:r>
      <w:r w:rsidRPr="006C29C4">
        <w:rPr>
          <w:sz w:val="18"/>
          <w:szCs w:val="18"/>
        </w:rPr>
        <w:t>Q2</w:t>
      </w:r>
      <w:r>
        <w:rPr>
          <w:sz w:val="18"/>
          <w:szCs w:val="18"/>
        </w:rPr>
        <w:t xml:space="preserve">, </w:t>
      </w:r>
      <w:r w:rsidRPr="00927A05">
        <w:rPr>
          <w:sz w:val="18"/>
          <w:szCs w:val="18"/>
        </w:rPr>
        <w:t xml:space="preserve">for </w:t>
      </w:r>
      <w:r>
        <w:rPr>
          <w:sz w:val="18"/>
          <w:szCs w:val="18"/>
        </w:rPr>
        <w:t>p</w:t>
      </w:r>
      <w:r w:rsidRPr="00927A05">
        <w:rPr>
          <w:sz w:val="18"/>
          <w:szCs w:val="18"/>
        </w:rPr>
        <w:t xml:space="preserve">rivate industry workers in </w:t>
      </w:r>
      <w:r>
        <w:rPr>
          <w:sz w:val="18"/>
          <w:szCs w:val="18"/>
        </w:rPr>
        <w:t>c</w:t>
      </w:r>
      <w:r w:rsidRPr="00927A05">
        <w:rPr>
          <w:sz w:val="18"/>
          <w:szCs w:val="18"/>
        </w:rPr>
        <w:t xml:space="preserve">onstruction, extraction, farming, fishing, and forestry occupations, </w:t>
      </w:r>
      <w:r>
        <w:rPr>
          <w:sz w:val="18"/>
          <w:szCs w:val="18"/>
        </w:rPr>
        <w:t>current dollar i</w:t>
      </w:r>
      <w:r w:rsidRPr="00927A05">
        <w:rPr>
          <w:sz w:val="18"/>
          <w:szCs w:val="18"/>
        </w:rPr>
        <w:t>ndex</w:t>
      </w:r>
      <w:r>
        <w:rPr>
          <w:sz w:val="18"/>
          <w:szCs w:val="18"/>
        </w:rPr>
        <w:t xml:space="preserve">. </w:t>
      </w:r>
      <w:r w:rsidRPr="0018469C">
        <w:rPr>
          <w:sz w:val="18"/>
          <w:szCs w:val="18"/>
        </w:rPr>
        <w:t>The inflation multiplier is 1.0</w:t>
      </w:r>
      <w:r w:rsidR="00875AA7">
        <w:rPr>
          <w:sz w:val="18"/>
          <w:szCs w:val="18"/>
        </w:rPr>
        <w:t>22</w:t>
      </w:r>
      <w:r w:rsidRPr="0018469C">
        <w:rPr>
          <w:sz w:val="18"/>
          <w:szCs w:val="18"/>
        </w:rPr>
        <w:t xml:space="preserve"> (= 15</w:t>
      </w:r>
      <w:r>
        <w:rPr>
          <w:sz w:val="18"/>
          <w:szCs w:val="18"/>
        </w:rPr>
        <w:t>3</w:t>
      </w:r>
      <w:r w:rsidRPr="0018469C">
        <w:rPr>
          <w:sz w:val="18"/>
          <w:szCs w:val="18"/>
        </w:rPr>
        <w:t>.</w:t>
      </w:r>
      <w:r>
        <w:rPr>
          <w:sz w:val="18"/>
          <w:szCs w:val="18"/>
        </w:rPr>
        <w:t>8</w:t>
      </w:r>
      <w:r w:rsidRPr="0018469C">
        <w:rPr>
          <w:sz w:val="18"/>
          <w:szCs w:val="18"/>
        </w:rPr>
        <w:t>/1</w:t>
      </w:r>
      <w:r w:rsidR="00875AA7">
        <w:rPr>
          <w:sz w:val="18"/>
          <w:szCs w:val="18"/>
        </w:rPr>
        <w:t>50</w:t>
      </w:r>
      <w:r w:rsidRPr="0018469C">
        <w:rPr>
          <w:sz w:val="18"/>
          <w:szCs w:val="18"/>
        </w:rPr>
        <w:t>.</w:t>
      </w:r>
      <w:r w:rsidR="00875AA7">
        <w:rPr>
          <w:sz w:val="18"/>
          <w:szCs w:val="18"/>
        </w:rPr>
        <w:t>5</w:t>
      </w:r>
      <w:r w:rsidRPr="0018469C">
        <w:rPr>
          <w:sz w:val="18"/>
          <w:szCs w:val="18"/>
        </w:rPr>
        <w:t>).</w:t>
      </w:r>
      <w:r>
        <w:rPr>
          <w:sz w:val="18"/>
          <w:szCs w:val="18"/>
        </w:rPr>
        <w:t xml:space="preserve"> </w:t>
      </w:r>
      <w:r>
        <w:rPr>
          <w:sz w:val="18"/>
          <w:szCs w:val="18"/>
          <w:shd w:val="clear" w:color="auto" w:fill="FFFFFF"/>
        </w:rPr>
        <w:t>MSHA used t</w:t>
      </w:r>
      <w:r w:rsidRPr="009F4D44">
        <w:rPr>
          <w:sz w:val="18"/>
          <w:szCs w:val="18"/>
          <w:shd w:val="clear" w:color="auto" w:fill="FFFFFF"/>
        </w:rPr>
        <w:t xml:space="preserve">he overhead multiplier </w:t>
      </w:r>
      <w:r>
        <w:rPr>
          <w:sz w:val="18"/>
          <w:szCs w:val="18"/>
          <w:shd w:val="clear" w:color="auto" w:fill="FFFFFF"/>
        </w:rPr>
        <w:t>of 1.17.</w:t>
      </w:r>
    </w:p>
    <w:p w:rsidR="00922420" w:rsidRPr="00C422ED" w:rsidP="00922420" w14:paraId="12075D6F" w14:textId="7E5B4DEC">
      <w:pPr>
        <w:rPr>
          <w:sz w:val="20"/>
          <w:szCs w:val="20"/>
        </w:rPr>
      </w:pPr>
      <w:r w:rsidRPr="00C422ED">
        <w:rPr>
          <w:sz w:val="20"/>
          <w:szCs w:val="20"/>
        </w:rPr>
        <w:t>*The Standard Occupation Codes (SOC</w:t>
      </w:r>
      <w:r w:rsidR="00875AA7">
        <w:rPr>
          <w:sz w:val="20"/>
          <w:szCs w:val="20"/>
        </w:rPr>
        <w:t>s</w:t>
      </w:r>
      <w:r w:rsidRPr="00C422ED">
        <w:rPr>
          <w:sz w:val="20"/>
          <w:szCs w:val="20"/>
        </w:rPr>
        <w:t>) used for this occupation are (43-3021), (43-3031), (43-3051), (43-3061), (43-4171), (43-5061), (43-5071), and (43-9061).</w:t>
      </w:r>
      <w:bookmarkEnd w:id="2"/>
    </w:p>
    <w:p w:rsidR="00922420" w:rsidRPr="00C422ED" w:rsidP="00506683" w14:paraId="485C9B03" w14:textId="6DBDDB8D">
      <w:pPr>
        <w:pStyle w:val="Default"/>
        <w:rPr>
          <w:b/>
          <w:bCs/>
          <w:color w:val="auto"/>
        </w:rPr>
      </w:pPr>
    </w:p>
    <w:p w:rsidR="00EF1A9E" w:rsidRPr="00C422ED" w14:paraId="12EE023E" w14:textId="2FE93618">
      <w:pPr>
        <w:pStyle w:val="Default"/>
        <w:rPr>
          <w:b/>
          <w:bCs/>
          <w:color w:val="auto"/>
        </w:rPr>
      </w:pPr>
      <w:r w:rsidRPr="00C422ED">
        <w:rPr>
          <w:b/>
          <w:bCs/>
          <w:color w:val="auto"/>
        </w:rPr>
        <w:t>Medical Examinations</w:t>
      </w:r>
    </w:p>
    <w:p w:rsidR="00922420" w:rsidRPr="00C422ED" w14:paraId="0EBE36F2" w14:textId="20CD13C8">
      <w:pPr>
        <w:pStyle w:val="Default"/>
        <w:rPr>
          <w:color w:val="auto"/>
        </w:rPr>
      </w:pPr>
    </w:p>
    <w:p w:rsidR="00922420" w:rsidRPr="00C422ED" w:rsidP="00922420" w14:paraId="0CBC8A5F" w14:textId="747B9BF5">
      <w:r w:rsidRPr="00C422ED">
        <w:t xml:space="preserve">30 CFR 56.19057 </w:t>
      </w:r>
      <w:r w:rsidR="00875AA7">
        <w:t xml:space="preserve">(Surface Metal and Nonmetal Mines) </w:t>
      </w:r>
      <w:r w:rsidRPr="00C422ED">
        <w:t xml:space="preserve">and 30 CFR 57.19057 </w:t>
      </w:r>
      <w:bookmarkStart w:id="3" w:name="OLE_LINK4"/>
      <w:bookmarkStart w:id="4" w:name="OLE_LINK3"/>
      <w:r w:rsidR="00875AA7">
        <w:t xml:space="preserve">(Underground Metal and Nonmetal Mines) </w:t>
      </w:r>
      <w:r w:rsidRPr="00C422ED">
        <w:t>provide that “no person shall operate a hoist unless within the preceding 12 months he has had a medical examination by a qualified, licensed physician who shall certify his fitness to perform this duty,”</w:t>
      </w:r>
      <w:bookmarkEnd w:id="3"/>
      <w:bookmarkEnd w:id="4"/>
      <w:r w:rsidRPr="00C422ED">
        <w:t xml:space="preserve"> and that “such certification shall be available at the mine.”</w:t>
      </w:r>
    </w:p>
    <w:p w:rsidR="00922420" w:rsidRPr="00C422ED" w14:paraId="767CAA0F" w14:textId="38151CDA">
      <w:pPr>
        <w:pStyle w:val="Default"/>
        <w:rPr>
          <w:color w:val="auto"/>
        </w:rPr>
      </w:pPr>
    </w:p>
    <w:p w:rsidR="00A94065" w:rsidRPr="00C422ED" w:rsidP="00922420" w14:paraId="200617EF" w14:textId="41631F67">
      <w:pPr>
        <w:pStyle w:val="Default"/>
      </w:pPr>
      <w:r w:rsidRPr="00C422ED">
        <w:rPr>
          <w:color w:val="auto"/>
        </w:rPr>
        <w:t xml:space="preserve">MSHA estimates that there are 803 hoist operators in </w:t>
      </w:r>
      <w:r w:rsidR="00875AA7">
        <w:rPr>
          <w:color w:val="auto"/>
        </w:rPr>
        <w:t>M</w:t>
      </w:r>
      <w:r w:rsidRPr="00C422ED" w:rsidR="00875AA7">
        <w:rPr>
          <w:color w:val="auto"/>
        </w:rPr>
        <w:t>etal</w:t>
      </w:r>
      <w:r w:rsidR="00875AA7">
        <w:rPr>
          <w:color w:val="auto"/>
        </w:rPr>
        <w:t xml:space="preserve"> and N</w:t>
      </w:r>
      <w:r w:rsidRPr="00C422ED" w:rsidR="00875AA7">
        <w:rPr>
          <w:color w:val="auto"/>
        </w:rPr>
        <w:t xml:space="preserve">onmetal </w:t>
      </w:r>
      <w:r w:rsidRPr="00C422ED">
        <w:rPr>
          <w:color w:val="auto"/>
        </w:rPr>
        <w:t xml:space="preserve">mines. </w:t>
      </w:r>
      <w:r w:rsidRPr="00C422ED">
        <w:t xml:space="preserve">Clerks require an average of 2 minutes to file </w:t>
      </w:r>
      <w:r w:rsidRPr="00C422ED">
        <w:t>a</w:t>
      </w:r>
      <w:r w:rsidRPr="00C422ED">
        <w:t xml:space="preserve"> certification</w:t>
      </w:r>
      <w:r w:rsidRPr="00C422ED">
        <w:t xml:space="preserve"> for each hoist operator</w:t>
      </w:r>
      <w:r w:rsidRPr="00C422ED">
        <w:t>.</w:t>
      </w:r>
    </w:p>
    <w:p w:rsidR="00922420" w:rsidRPr="00C422ED" w:rsidP="00922420" w14:paraId="4256BB2D" w14:textId="14578B29">
      <w:pPr>
        <w:pStyle w:val="Default"/>
      </w:pPr>
    </w:p>
    <w:p w:rsidR="00261172" w:rsidP="00922420" w14:paraId="37536640" w14:textId="77777777">
      <w:pPr>
        <w:widowControl/>
        <w:autoSpaceDE/>
        <w:autoSpaceDN/>
        <w:adjustRightInd/>
        <w:rPr>
          <w:color w:val="000000"/>
        </w:rPr>
      </w:pPr>
    </w:p>
    <w:p w:rsidR="00261172" w:rsidP="00922420" w14:paraId="64EB99D6" w14:textId="77777777">
      <w:pPr>
        <w:widowControl/>
        <w:autoSpaceDE/>
        <w:autoSpaceDN/>
        <w:adjustRightInd/>
        <w:rPr>
          <w:color w:val="000000"/>
        </w:rPr>
      </w:pPr>
    </w:p>
    <w:p w:rsidR="00261172" w:rsidP="00922420" w14:paraId="7974A3BA" w14:textId="77777777">
      <w:pPr>
        <w:widowControl/>
        <w:autoSpaceDE/>
        <w:autoSpaceDN/>
        <w:adjustRightInd/>
        <w:rPr>
          <w:color w:val="000000"/>
        </w:rPr>
      </w:pPr>
    </w:p>
    <w:p w:rsidR="00261172" w:rsidP="00922420" w14:paraId="219529D5" w14:textId="77777777">
      <w:pPr>
        <w:widowControl/>
        <w:autoSpaceDE/>
        <w:autoSpaceDN/>
        <w:adjustRightInd/>
        <w:rPr>
          <w:color w:val="000000"/>
        </w:rPr>
      </w:pPr>
    </w:p>
    <w:p w:rsidR="00261172" w:rsidP="00922420" w14:paraId="30360357" w14:textId="77777777">
      <w:pPr>
        <w:widowControl/>
        <w:autoSpaceDE/>
        <w:autoSpaceDN/>
        <w:adjustRightInd/>
        <w:rPr>
          <w:color w:val="000000"/>
        </w:rPr>
      </w:pPr>
    </w:p>
    <w:p w:rsidR="00922420" w:rsidP="00922420" w14:paraId="7817428B" w14:textId="7272911D">
      <w:pPr>
        <w:widowControl/>
        <w:autoSpaceDE/>
        <w:autoSpaceDN/>
        <w:adjustRightInd/>
        <w:rPr>
          <w:color w:val="000000"/>
        </w:rPr>
      </w:pPr>
      <w:r w:rsidRPr="00687C94">
        <w:rPr>
          <w:color w:val="000000"/>
        </w:rPr>
        <w:t>Table 12-2. Medical Examinations</w:t>
      </w:r>
      <w:r w:rsidR="005774B6">
        <w:rPr>
          <w:color w:val="000000"/>
        </w:rPr>
        <w:t xml:space="preserve"> (</w:t>
      </w:r>
      <w:r w:rsidRPr="005774B6" w:rsidR="005774B6">
        <w:rPr>
          <w:color w:val="000000"/>
        </w:rPr>
        <w:t xml:space="preserve">56.19057 </w:t>
      </w:r>
      <w:r w:rsidR="005774B6">
        <w:rPr>
          <w:color w:val="000000"/>
        </w:rPr>
        <w:t>and</w:t>
      </w:r>
      <w:r w:rsidRPr="005774B6" w:rsidR="005774B6">
        <w:rPr>
          <w:color w:val="000000"/>
        </w:rPr>
        <w:t xml:space="preserve"> 57.19057</w:t>
      </w:r>
      <w:r w:rsidR="005774B6">
        <w:rPr>
          <w:color w:val="000000"/>
        </w:rPr>
        <w:t>)</w:t>
      </w:r>
    </w:p>
    <w:tbl>
      <w:tblPr>
        <w:tblW w:w="9476" w:type="dxa"/>
        <w:tblInd w:w="-5" w:type="dxa"/>
        <w:tblLook w:val="04A0"/>
      </w:tblPr>
      <w:tblGrid>
        <w:gridCol w:w="1372"/>
        <w:gridCol w:w="1328"/>
        <w:gridCol w:w="1260"/>
        <w:gridCol w:w="1530"/>
        <w:gridCol w:w="1170"/>
        <w:gridCol w:w="900"/>
        <w:gridCol w:w="927"/>
        <w:gridCol w:w="1016"/>
      </w:tblGrid>
      <w:tr w14:paraId="665D2933" w14:textId="77777777" w:rsidTr="00687C94">
        <w:tblPrEx>
          <w:tblW w:w="9476" w:type="dxa"/>
          <w:tblInd w:w="-5" w:type="dxa"/>
          <w:tblLook w:val="04A0"/>
        </w:tblPrEx>
        <w:trPr>
          <w:trHeight w:val="900"/>
        </w:trPr>
        <w:tc>
          <w:tcPr>
            <w:tcW w:w="1372"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922420" w:rsidRPr="00C422ED" w:rsidP="00922420" w14:paraId="5F207754" w14:textId="77777777">
            <w:pPr>
              <w:widowControl/>
              <w:autoSpaceDE/>
              <w:autoSpaceDN/>
              <w:adjustRightInd/>
              <w:jc w:val="center"/>
              <w:rPr>
                <w:b/>
                <w:bCs/>
                <w:color w:val="000000"/>
                <w:sz w:val="20"/>
                <w:szCs w:val="20"/>
              </w:rPr>
            </w:pPr>
            <w:r w:rsidRPr="00C422ED">
              <w:rPr>
                <w:b/>
                <w:bCs/>
                <w:color w:val="000000"/>
                <w:sz w:val="20"/>
                <w:szCs w:val="20"/>
              </w:rPr>
              <w:t>Occupation/</w:t>
            </w:r>
          </w:p>
          <w:p w:rsidR="00922420" w:rsidRPr="00C422ED" w:rsidP="00922420" w14:paraId="118DA851" w14:textId="5739CAA8">
            <w:pPr>
              <w:widowControl/>
              <w:autoSpaceDE/>
              <w:autoSpaceDN/>
              <w:adjustRightInd/>
              <w:jc w:val="center"/>
              <w:rPr>
                <w:b/>
                <w:bCs/>
                <w:color w:val="000000"/>
                <w:sz w:val="20"/>
                <w:szCs w:val="20"/>
              </w:rPr>
            </w:pPr>
            <w:r w:rsidRPr="00C422ED">
              <w:rPr>
                <w:b/>
                <w:bCs/>
                <w:color w:val="000000"/>
                <w:sz w:val="20"/>
                <w:szCs w:val="20"/>
              </w:rPr>
              <w:t>Rule Section</w:t>
            </w:r>
          </w:p>
        </w:tc>
        <w:tc>
          <w:tcPr>
            <w:tcW w:w="1328"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027EE127" w14:textId="2CE217A6">
            <w:pPr>
              <w:widowControl/>
              <w:autoSpaceDE/>
              <w:autoSpaceDN/>
              <w:adjustRightInd/>
              <w:jc w:val="center"/>
              <w:rPr>
                <w:b/>
                <w:bCs/>
                <w:color w:val="000000"/>
                <w:sz w:val="20"/>
                <w:szCs w:val="20"/>
              </w:rPr>
            </w:pPr>
            <w:r>
              <w:rPr>
                <w:b/>
                <w:bCs/>
                <w:color w:val="000000"/>
                <w:sz w:val="20"/>
                <w:szCs w:val="20"/>
              </w:rPr>
              <w:t>N</w:t>
            </w:r>
            <w:r w:rsidR="00CF0BBA">
              <w:rPr>
                <w:b/>
                <w:bCs/>
                <w:color w:val="000000"/>
                <w:sz w:val="20"/>
                <w:szCs w:val="20"/>
              </w:rPr>
              <w:t>umber</w:t>
            </w:r>
            <w:r>
              <w:rPr>
                <w:b/>
                <w:bCs/>
                <w:color w:val="000000"/>
                <w:sz w:val="20"/>
                <w:szCs w:val="20"/>
              </w:rPr>
              <w:t xml:space="preserve"> of </w:t>
            </w:r>
            <w:r w:rsidRPr="00C422ED">
              <w:rPr>
                <w:b/>
                <w:bCs/>
                <w:color w:val="000000"/>
                <w:sz w:val="20"/>
                <w:szCs w:val="20"/>
              </w:rPr>
              <w:t>Respondents (Hoist Operators)</w:t>
            </w:r>
          </w:p>
        </w:tc>
        <w:tc>
          <w:tcPr>
            <w:tcW w:w="1260"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589051B5" w14:textId="77777777">
            <w:pPr>
              <w:widowControl/>
              <w:autoSpaceDE/>
              <w:autoSpaceDN/>
              <w:adjustRightInd/>
              <w:jc w:val="center"/>
              <w:rPr>
                <w:b/>
                <w:bCs/>
                <w:color w:val="000000"/>
                <w:sz w:val="20"/>
                <w:szCs w:val="20"/>
              </w:rPr>
            </w:pPr>
            <w:r w:rsidRPr="00C422ED">
              <w:rPr>
                <w:b/>
                <w:bCs/>
                <w:color w:val="000000"/>
                <w:sz w:val="20"/>
                <w:szCs w:val="20"/>
              </w:rPr>
              <w:t>Responses per Respondent</w:t>
            </w:r>
          </w:p>
        </w:tc>
        <w:tc>
          <w:tcPr>
            <w:tcW w:w="1530"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339B83F8" w14:textId="78C59974">
            <w:pPr>
              <w:widowControl/>
              <w:autoSpaceDE/>
              <w:autoSpaceDN/>
              <w:adjustRightInd/>
              <w:jc w:val="center"/>
              <w:rPr>
                <w:b/>
                <w:bCs/>
                <w:color w:val="000000"/>
                <w:sz w:val="20"/>
                <w:szCs w:val="20"/>
              </w:rPr>
            </w:pPr>
            <w:r w:rsidRPr="00C422ED">
              <w:rPr>
                <w:b/>
                <w:bCs/>
                <w:color w:val="000000"/>
                <w:sz w:val="20"/>
                <w:szCs w:val="20"/>
              </w:rPr>
              <w:t>N</w:t>
            </w:r>
            <w:r w:rsidR="00CF0BBA">
              <w:rPr>
                <w:b/>
                <w:bCs/>
                <w:color w:val="000000"/>
                <w:sz w:val="20"/>
                <w:szCs w:val="20"/>
              </w:rPr>
              <w:t>umber</w:t>
            </w:r>
            <w:r w:rsidRPr="00C422ED">
              <w:rPr>
                <w:b/>
                <w:bCs/>
                <w:color w:val="000000"/>
                <w:sz w:val="20"/>
                <w:szCs w:val="20"/>
              </w:rPr>
              <w:t xml:space="preserve"> of Responses (Certifications)</w:t>
            </w:r>
          </w:p>
        </w:tc>
        <w:tc>
          <w:tcPr>
            <w:tcW w:w="1170"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70228B32" w14:textId="61106A32">
            <w:pPr>
              <w:widowControl/>
              <w:autoSpaceDE/>
              <w:autoSpaceDN/>
              <w:adjustRightInd/>
              <w:jc w:val="center"/>
              <w:rPr>
                <w:b/>
                <w:bCs/>
                <w:color w:val="000000"/>
                <w:sz w:val="20"/>
                <w:szCs w:val="20"/>
              </w:rPr>
            </w:pPr>
            <w:r w:rsidRPr="00C422ED">
              <w:rPr>
                <w:b/>
                <w:bCs/>
                <w:color w:val="000000"/>
                <w:sz w:val="20"/>
                <w:szCs w:val="20"/>
              </w:rPr>
              <w:t>Av</w:t>
            </w:r>
            <w:r w:rsidR="00CF0BBA">
              <w:rPr>
                <w:b/>
                <w:bCs/>
                <w:color w:val="000000"/>
                <w:sz w:val="20"/>
                <w:szCs w:val="20"/>
              </w:rPr>
              <w:t>era</w:t>
            </w:r>
            <w:r w:rsidRPr="00C422ED">
              <w:rPr>
                <w:b/>
                <w:bCs/>
                <w:color w:val="000000"/>
                <w:sz w:val="20"/>
                <w:szCs w:val="20"/>
              </w:rPr>
              <w:t>g</w:t>
            </w:r>
            <w:r w:rsidR="00CF0BBA">
              <w:rPr>
                <w:b/>
                <w:bCs/>
                <w:color w:val="000000"/>
                <w:sz w:val="20"/>
                <w:szCs w:val="20"/>
              </w:rPr>
              <w:t>e</w:t>
            </w:r>
            <w:r w:rsidRPr="00C422ED">
              <w:rPr>
                <w:b/>
                <w:bCs/>
                <w:color w:val="000000"/>
                <w:sz w:val="20"/>
                <w:szCs w:val="20"/>
              </w:rPr>
              <w:t xml:space="preserve"> Burden Minutes per Response</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7842EFA7" w14:textId="77777777">
            <w:pPr>
              <w:widowControl/>
              <w:autoSpaceDE/>
              <w:autoSpaceDN/>
              <w:adjustRightInd/>
              <w:jc w:val="center"/>
              <w:rPr>
                <w:b/>
                <w:bCs/>
                <w:color w:val="000000"/>
                <w:sz w:val="20"/>
                <w:szCs w:val="20"/>
              </w:rPr>
            </w:pPr>
            <w:r w:rsidRPr="00C422ED">
              <w:rPr>
                <w:b/>
                <w:bCs/>
                <w:color w:val="000000"/>
                <w:sz w:val="20"/>
                <w:szCs w:val="20"/>
              </w:rPr>
              <w:t>Total Annual Burden Hours</w:t>
            </w:r>
          </w:p>
        </w:tc>
        <w:tc>
          <w:tcPr>
            <w:tcW w:w="900"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3AF0C87D" w14:textId="39EE3FD5">
            <w:pPr>
              <w:widowControl/>
              <w:autoSpaceDE/>
              <w:autoSpaceDN/>
              <w:adjustRightInd/>
              <w:jc w:val="center"/>
              <w:rPr>
                <w:b/>
                <w:bCs/>
                <w:color w:val="000000"/>
                <w:sz w:val="20"/>
                <w:szCs w:val="20"/>
              </w:rPr>
            </w:pPr>
            <w:r w:rsidRPr="00C422ED">
              <w:rPr>
                <w:b/>
                <w:bCs/>
                <w:color w:val="000000"/>
                <w:sz w:val="20"/>
                <w:szCs w:val="20"/>
              </w:rPr>
              <w:t>Av</w:t>
            </w:r>
            <w:r w:rsidR="00CF0BBA">
              <w:rPr>
                <w:b/>
                <w:bCs/>
                <w:color w:val="000000"/>
                <w:sz w:val="20"/>
                <w:szCs w:val="20"/>
              </w:rPr>
              <w:t>era</w:t>
            </w:r>
            <w:r w:rsidRPr="00C422ED">
              <w:rPr>
                <w:b/>
                <w:bCs/>
                <w:color w:val="000000"/>
                <w:sz w:val="20"/>
                <w:szCs w:val="20"/>
              </w:rPr>
              <w:t>g</w:t>
            </w:r>
            <w:r w:rsidR="00CF0BBA">
              <w:rPr>
                <w:b/>
                <w:bCs/>
                <w:color w:val="000000"/>
                <w:sz w:val="20"/>
                <w:szCs w:val="20"/>
              </w:rPr>
              <w:t>e</w:t>
            </w:r>
            <w:r w:rsidRPr="00C422ED">
              <w:rPr>
                <w:b/>
                <w:bCs/>
                <w:color w:val="000000"/>
                <w:sz w:val="20"/>
                <w:szCs w:val="20"/>
              </w:rPr>
              <w:t xml:space="preserve"> Hourly Wage Rate</w:t>
            </w:r>
          </w:p>
        </w:tc>
        <w:tc>
          <w:tcPr>
            <w:tcW w:w="1016" w:type="dxa"/>
            <w:tcBorders>
              <w:top w:val="single" w:sz="4" w:space="0" w:color="auto"/>
              <w:left w:val="nil"/>
              <w:bottom w:val="single" w:sz="4" w:space="0" w:color="auto"/>
              <w:right w:val="single" w:sz="4" w:space="0" w:color="auto"/>
            </w:tcBorders>
            <w:shd w:val="clear" w:color="000000" w:fill="9CC2E5"/>
            <w:vAlign w:val="center"/>
            <w:hideMark/>
          </w:tcPr>
          <w:p w:rsidR="00922420" w:rsidRPr="00C422ED" w:rsidP="00922420" w14:paraId="42482FC3" w14:textId="77777777">
            <w:pPr>
              <w:widowControl/>
              <w:autoSpaceDE/>
              <w:autoSpaceDN/>
              <w:adjustRightInd/>
              <w:jc w:val="center"/>
              <w:rPr>
                <w:b/>
                <w:bCs/>
                <w:color w:val="000000"/>
                <w:sz w:val="20"/>
                <w:szCs w:val="20"/>
              </w:rPr>
            </w:pPr>
            <w:r w:rsidRPr="00C422ED">
              <w:rPr>
                <w:b/>
                <w:bCs/>
                <w:color w:val="000000"/>
                <w:sz w:val="20"/>
                <w:szCs w:val="20"/>
              </w:rPr>
              <w:t>Annual Burden Cost</w:t>
            </w:r>
          </w:p>
        </w:tc>
      </w:tr>
      <w:tr w14:paraId="398F43B8" w14:textId="77777777" w:rsidTr="00261172">
        <w:tblPrEx>
          <w:tblW w:w="9476" w:type="dxa"/>
          <w:tblInd w:w="-5" w:type="dxa"/>
          <w:tblLook w:val="04A0"/>
        </w:tblPrEx>
        <w:trPr>
          <w:trHeight w:val="314"/>
        </w:trPr>
        <w:tc>
          <w:tcPr>
            <w:tcW w:w="1372" w:type="dxa"/>
            <w:tcBorders>
              <w:top w:val="nil"/>
              <w:left w:val="single" w:sz="4" w:space="0" w:color="auto"/>
              <w:bottom w:val="single" w:sz="4" w:space="0" w:color="auto"/>
              <w:right w:val="single" w:sz="4" w:space="0" w:color="auto"/>
            </w:tcBorders>
            <w:shd w:val="clear" w:color="auto" w:fill="auto"/>
            <w:vAlign w:val="bottom"/>
            <w:hideMark/>
          </w:tcPr>
          <w:p w:rsidR="00922420" w:rsidRPr="00C422ED" w:rsidP="00922420" w14:paraId="1F026FCF" w14:textId="750B65C9">
            <w:pPr>
              <w:widowControl/>
              <w:autoSpaceDE/>
              <w:autoSpaceDN/>
              <w:adjustRightInd/>
              <w:rPr>
                <w:color w:val="000000"/>
                <w:sz w:val="20"/>
                <w:szCs w:val="20"/>
              </w:rPr>
            </w:pPr>
            <w:r w:rsidRPr="00C422ED">
              <w:rPr>
                <w:color w:val="000000"/>
                <w:sz w:val="20"/>
                <w:szCs w:val="20"/>
              </w:rPr>
              <w:t>Clerk</w:t>
            </w:r>
            <w:r w:rsidR="005774B6">
              <w:rPr>
                <w:color w:val="000000"/>
                <w:sz w:val="20"/>
                <w:szCs w:val="20"/>
              </w:rPr>
              <w:t xml:space="preserve"> </w:t>
            </w:r>
          </w:p>
        </w:tc>
        <w:tc>
          <w:tcPr>
            <w:tcW w:w="1328"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3B88095A" w14:textId="77777777">
            <w:pPr>
              <w:widowControl/>
              <w:autoSpaceDE/>
              <w:autoSpaceDN/>
              <w:adjustRightInd/>
              <w:jc w:val="right"/>
              <w:rPr>
                <w:color w:val="000000"/>
                <w:sz w:val="20"/>
                <w:szCs w:val="20"/>
              </w:rPr>
            </w:pPr>
            <w:r w:rsidRPr="00C422ED">
              <w:rPr>
                <w:color w:val="000000"/>
                <w:sz w:val="20"/>
                <w:szCs w:val="20"/>
              </w:rPr>
              <w:t>803</w:t>
            </w:r>
          </w:p>
        </w:tc>
        <w:tc>
          <w:tcPr>
            <w:tcW w:w="1260"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6CDBA187" w14:textId="77777777">
            <w:pPr>
              <w:widowControl/>
              <w:autoSpaceDE/>
              <w:autoSpaceDN/>
              <w:adjustRightInd/>
              <w:jc w:val="right"/>
              <w:rPr>
                <w:color w:val="000000"/>
                <w:sz w:val="20"/>
                <w:szCs w:val="20"/>
              </w:rPr>
            </w:pPr>
            <w:r w:rsidRPr="00C422ED">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40D09E18" w14:textId="77777777">
            <w:pPr>
              <w:widowControl/>
              <w:autoSpaceDE/>
              <w:autoSpaceDN/>
              <w:adjustRightInd/>
              <w:jc w:val="right"/>
              <w:rPr>
                <w:color w:val="000000"/>
                <w:sz w:val="20"/>
                <w:szCs w:val="20"/>
              </w:rPr>
            </w:pPr>
            <w:r w:rsidRPr="00C422ED">
              <w:rPr>
                <w:color w:val="000000"/>
                <w:sz w:val="20"/>
                <w:szCs w:val="20"/>
              </w:rPr>
              <w:t>803</w:t>
            </w:r>
          </w:p>
        </w:tc>
        <w:tc>
          <w:tcPr>
            <w:tcW w:w="1170"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1E4DE7D8" w14:textId="77777777">
            <w:pPr>
              <w:widowControl/>
              <w:autoSpaceDE/>
              <w:autoSpaceDN/>
              <w:adjustRightInd/>
              <w:jc w:val="right"/>
              <w:rPr>
                <w:color w:val="000000"/>
                <w:sz w:val="20"/>
                <w:szCs w:val="20"/>
              </w:rPr>
            </w:pPr>
            <w:r w:rsidRPr="00C422ED">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2DC41D3D" w14:textId="77777777">
            <w:pPr>
              <w:widowControl/>
              <w:autoSpaceDE/>
              <w:autoSpaceDN/>
              <w:adjustRightInd/>
              <w:jc w:val="right"/>
              <w:rPr>
                <w:color w:val="000000"/>
                <w:sz w:val="20"/>
                <w:szCs w:val="20"/>
              </w:rPr>
            </w:pPr>
            <w:r w:rsidRPr="00C422ED">
              <w:rPr>
                <w:color w:val="000000"/>
                <w:sz w:val="20"/>
                <w:szCs w:val="20"/>
              </w:rPr>
              <w:t>26.8</w:t>
            </w:r>
          </w:p>
        </w:tc>
        <w:tc>
          <w:tcPr>
            <w:tcW w:w="900"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57A289D8" w14:textId="77777777">
            <w:pPr>
              <w:widowControl/>
              <w:autoSpaceDE/>
              <w:autoSpaceDN/>
              <w:adjustRightInd/>
              <w:jc w:val="right"/>
              <w:rPr>
                <w:color w:val="000000"/>
                <w:sz w:val="20"/>
                <w:szCs w:val="20"/>
              </w:rPr>
            </w:pPr>
            <w:r w:rsidRPr="00C422ED">
              <w:rPr>
                <w:color w:val="000000"/>
                <w:sz w:val="20"/>
                <w:szCs w:val="20"/>
              </w:rPr>
              <w:t>$42.23</w:t>
            </w:r>
          </w:p>
        </w:tc>
        <w:tc>
          <w:tcPr>
            <w:tcW w:w="1016" w:type="dxa"/>
            <w:tcBorders>
              <w:top w:val="nil"/>
              <w:left w:val="nil"/>
              <w:bottom w:val="single" w:sz="4" w:space="0" w:color="auto"/>
              <w:right w:val="single" w:sz="4" w:space="0" w:color="auto"/>
            </w:tcBorders>
            <w:shd w:val="clear" w:color="auto" w:fill="auto"/>
            <w:noWrap/>
            <w:vAlign w:val="bottom"/>
            <w:hideMark/>
          </w:tcPr>
          <w:p w:rsidR="00922420" w:rsidRPr="00C422ED" w:rsidP="00922420" w14:paraId="118F17C3" w14:textId="77777777">
            <w:pPr>
              <w:widowControl/>
              <w:autoSpaceDE/>
              <w:autoSpaceDN/>
              <w:adjustRightInd/>
              <w:jc w:val="right"/>
              <w:rPr>
                <w:color w:val="000000"/>
                <w:sz w:val="20"/>
                <w:szCs w:val="20"/>
              </w:rPr>
            </w:pPr>
            <w:r w:rsidRPr="00C422ED">
              <w:rPr>
                <w:color w:val="000000"/>
                <w:sz w:val="20"/>
                <w:szCs w:val="20"/>
              </w:rPr>
              <w:t>$1,130.39</w:t>
            </w:r>
          </w:p>
        </w:tc>
      </w:tr>
      <w:tr w14:paraId="3870E868" w14:textId="77777777" w:rsidTr="00687C94">
        <w:tblPrEx>
          <w:tblW w:w="9476" w:type="dxa"/>
          <w:tblInd w:w="-5" w:type="dxa"/>
          <w:tblLook w:val="04A0"/>
        </w:tblPrEx>
        <w:trPr>
          <w:trHeight w:val="315"/>
        </w:trPr>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922420" w:rsidRPr="00687C94" w:rsidP="00922420" w14:paraId="4825C64E" w14:textId="514CB998">
            <w:pPr>
              <w:widowControl/>
              <w:autoSpaceDE/>
              <w:autoSpaceDN/>
              <w:adjustRightInd/>
              <w:rPr>
                <w:b/>
                <w:bCs/>
                <w:i/>
                <w:iCs/>
                <w:color w:val="000000"/>
                <w:sz w:val="20"/>
                <w:szCs w:val="20"/>
              </w:rPr>
            </w:pPr>
            <w:r>
              <w:rPr>
                <w:b/>
                <w:bCs/>
                <w:i/>
                <w:iCs/>
                <w:color w:val="000000"/>
                <w:sz w:val="20"/>
                <w:szCs w:val="20"/>
              </w:rPr>
              <w:t>Subt</w:t>
            </w:r>
            <w:r w:rsidRPr="00687C94">
              <w:rPr>
                <w:b/>
                <w:bCs/>
                <w:i/>
                <w:iCs/>
                <w:color w:val="000000"/>
                <w:sz w:val="20"/>
                <w:szCs w:val="20"/>
              </w:rPr>
              <w:t>otal</w:t>
            </w:r>
            <w:r w:rsidRPr="00687C94" w:rsidR="00875AA7">
              <w:rPr>
                <w:b/>
                <w:bCs/>
                <w:i/>
                <w:iCs/>
                <w:color w:val="000000"/>
                <w:sz w:val="20"/>
                <w:szCs w:val="20"/>
              </w:rPr>
              <w:t xml:space="preserve"> (Rounded)</w:t>
            </w:r>
          </w:p>
        </w:tc>
        <w:tc>
          <w:tcPr>
            <w:tcW w:w="1328" w:type="dxa"/>
            <w:tcBorders>
              <w:top w:val="nil"/>
              <w:left w:val="nil"/>
              <w:bottom w:val="single" w:sz="4" w:space="0" w:color="auto"/>
              <w:right w:val="single" w:sz="4" w:space="0" w:color="auto"/>
            </w:tcBorders>
            <w:shd w:val="clear" w:color="auto" w:fill="auto"/>
            <w:noWrap/>
            <w:vAlign w:val="bottom"/>
            <w:hideMark/>
          </w:tcPr>
          <w:p w:rsidR="00922420" w:rsidRPr="00687C94" w:rsidP="00922420" w14:paraId="6C357DB8" w14:textId="77777777">
            <w:pPr>
              <w:widowControl/>
              <w:autoSpaceDE/>
              <w:autoSpaceDN/>
              <w:adjustRightInd/>
              <w:jc w:val="right"/>
              <w:rPr>
                <w:b/>
                <w:bCs/>
                <w:i/>
                <w:iCs/>
                <w:color w:val="000000"/>
                <w:sz w:val="20"/>
                <w:szCs w:val="20"/>
              </w:rPr>
            </w:pPr>
            <w:r w:rsidRPr="00687C94">
              <w:rPr>
                <w:b/>
                <w:bCs/>
                <w:i/>
                <w:iCs/>
                <w:color w:val="000000"/>
                <w:sz w:val="20"/>
                <w:szCs w:val="20"/>
              </w:rPr>
              <w:t>803</w:t>
            </w:r>
          </w:p>
        </w:tc>
        <w:tc>
          <w:tcPr>
            <w:tcW w:w="1260" w:type="dxa"/>
            <w:tcBorders>
              <w:top w:val="nil"/>
              <w:left w:val="nil"/>
              <w:bottom w:val="single" w:sz="4" w:space="0" w:color="auto"/>
              <w:right w:val="single" w:sz="4" w:space="0" w:color="auto"/>
            </w:tcBorders>
            <w:shd w:val="clear" w:color="000000" w:fill="000000"/>
            <w:noWrap/>
            <w:vAlign w:val="bottom"/>
            <w:hideMark/>
          </w:tcPr>
          <w:p w:rsidR="00922420" w:rsidRPr="00687C94" w:rsidP="00922420" w14:paraId="5B24DE73" w14:textId="77777777">
            <w:pPr>
              <w:widowControl/>
              <w:autoSpaceDE/>
              <w:autoSpaceDN/>
              <w:adjustRightInd/>
              <w:jc w:val="right"/>
              <w:rPr>
                <w:b/>
                <w:bCs/>
                <w:i/>
                <w:iCs/>
                <w:color w:val="000000"/>
                <w:sz w:val="20"/>
                <w:szCs w:val="20"/>
              </w:rPr>
            </w:pPr>
            <w:r w:rsidRPr="00687C94">
              <w:rPr>
                <w:b/>
                <w:bCs/>
                <w:i/>
                <w:iCs/>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922420" w:rsidRPr="00687C94" w:rsidP="00922420" w14:paraId="3076BD1E" w14:textId="77777777">
            <w:pPr>
              <w:widowControl/>
              <w:autoSpaceDE/>
              <w:autoSpaceDN/>
              <w:adjustRightInd/>
              <w:jc w:val="right"/>
              <w:rPr>
                <w:b/>
                <w:bCs/>
                <w:i/>
                <w:iCs/>
                <w:color w:val="000000"/>
                <w:sz w:val="20"/>
                <w:szCs w:val="20"/>
              </w:rPr>
            </w:pPr>
            <w:r w:rsidRPr="00687C94">
              <w:rPr>
                <w:b/>
                <w:bCs/>
                <w:i/>
                <w:iCs/>
                <w:color w:val="000000"/>
                <w:sz w:val="20"/>
                <w:szCs w:val="20"/>
              </w:rPr>
              <w:t>803</w:t>
            </w:r>
          </w:p>
        </w:tc>
        <w:tc>
          <w:tcPr>
            <w:tcW w:w="1170" w:type="dxa"/>
            <w:tcBorders>
              <w:top w:val="nil"/>
              <w:left w:val="nil"/>
              <w:bottom w:val="single" w:sz="4" w:space="0" w:color="auto"/>
              <w:right w:val="single" w:sz="4" w:space="0" w:color="auto"/>
            </w:tcBorders>
            <w:shd w:val="clear" w:color="000000" w:fill="000000"/>
            <w:noWrap/>
            <w:vAlign w:val="bottom"/>
            <w:hideMark/>
          </w:tcPr>
          <w:p w:rsidR="00922420" w:rsidRPr="00687C94" w:rsidP="00922420" w14:paraId="5641EB7C" w14:textId="77777777">
            <w:pPr>
              <w:widowControl/>
              <w:autoSpaceDE/>
              <w:autoSpaceDN/>
              <w:adjustRightInd/>
              <w:jc w:val="right"/>
              <w:rPr>
                <w:i/>
                <w:iCs/>
                <w:color w:val="000000"/>
                <w:sz w:val="20"/>
                <w:szCs w:val="20"/>
              </w:rPr>
            </w:pPr>
            <w:r w:rsidRPr="00687C94">
              <w:rPr>
                <w:i/>
                <w:i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22420" w:rsidRPr="00687C94" w:rsidP="00922420" w14:paraId="39F3C7BE" w14:textId="77777777">
            <w:pPr>
              <w:widowControl/>
              <w:autoSpaceDE/>
              <w:autoSpaceDN/>
              <w:adjustRightInd/>
              <w:jc w:val="right"/>
              <w:rPr>
                <w:b/>
                <w:bCs/>
                <w:i/>
                <w:iCs/>
                <w:color w:val="000000"/>
                <w:sz w:val="20"/>
                <w:szCs w:val="20"/>
              </w:rPr>
            </w:pPr>
            <w:r w:rsidRPr="00687C94">
              <w:rPr>
                <w:b/>
                <w:bCs/>
                <w:i/>
                <w:iCs/>
                <w:color w:val="000000"/>
                <w:sz w:val="20"/>
                <w:szCs w:val="20"/>
              </w:rPr>
              <w:t>27</w:t>
            </w:r>
          </w:p>
        </w:tc>
        <w:tc>
          <w:tcPr>
            <w:tcW w:w="900" w:type="dxa"/>
            <w:tcBorders>
              <w:top w:val="nil"/>
              <w:left w:val="nil"/>
              <w:bottom w:val="single" w:sz="4" w:space="0" w:color="auto"/>
              <w:right w:val="single" w:sz="4" w:space="0" w:color="auto"/>
            </w:tcBorders>
            <w:shd w:val="clear" w:color="000000" w:fill="000000"/>
            <w:noWrap/>
            <w:vAlign w:val="bottom"/>
            <w:hideMark/>
          </w:tcPr>
          <w:p w:rsidR="00922420" w:rsidRPr="00687C94" w:rsidP="00922420" w14:paraId="584299BE" w14:textId="77777777">
            <w:pPr>
              <w:widowControl/>
              <w:autoSpaceDE/>
              <w:autoSpaceDN/>
              <w:adjustRightInd/>
              <w:jc w:val="right"/>
              <w:rPr>
                <w:i/>
                <w:iCs/>
                <w:color w:val="000000"/>
                <w:sz w:val="20"/>
                <w:szCs w:val="20"/>
              </w:rPr>
            </w:pPr>
            <w:r w:rsidRPr="00687C94">
              <w:rPr>
                <w:i/>
                <w:iCs/>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922420" w:rsidRPr="00687C94" w:rsidP="00922420" w14:paraId="0E10E013" w14:textId="77777777">
            <w:pPr>
              <w:widowControl/>
              <w:autoSpaceDE/>
              <w:autoSpaceDN/>
              <w:adjustRightInd/>
              <w:jc w:val="right"/>
              <w:rPr>
                <w:b/>
                <w:bCs/>
                <w:i/>
                <w:iCs/>
                <w:color w:val="000000"/>
                <w:sz w:val="20"/>
                <w:szCs w:val="20"/>
              </w:rPr>
            </w:pPr>
            <w:r w:rsidRPr="00687C94">
              <w:rPr>
                <w:b/>
                <w:bCs/>
                <w:i/>
                <w:iCs/>
                <w:color w:val="000000"/>
                <w:sz w:val="20"/>
                <w:szCs w:val="20"/>
              </w:rPr>
              <w:t>$1,130</w:t>
            </w:r>
          </w:p>
        </w:tc>
      </w:tr>
    </w:tbl>
    <w:p w:rsidR="00922420" w:rsidRPr="00C422ED" w:rsidP="00922420" w14:paraId="7D826740" w14:textId="0EC00DC5">
      <w:pPr>
        <w:pStyle w:val="Default"/>
      </w:pPr>
    </w:p>
    <w:p w:rsidR="00506683" w:rsidRPr="00C422ED" w:rsidP="00506683" w14:paraId="1A4EDEE0" w14:textId="42AEB185">
      <w:pPr>
        <w:pStyle w:val="Default"/>
        <w:rPr>
          <w:b/>
          <w:bCs/>
          <w:color w:val="auto"/>
        </w:rPr>
      </w:pPr>
      <w:r w:rsidRPr="00C422ED">
        <w:rPr>
          <w:b/>
          <w:bCs/>
          <w:color w:val="auto"/>
        </w:rPr>
        <w:t>13. Provide an estimate for the total annual cost burden to respondents or record keepers resulting from the collection of information. (Do not include the cost of any hour burden already reflected on the burden worksheet).</w:t>
      </w:r>
    </w:p>
    <w:p w:rsidR="00BD7446" w:rsidRPr="00C422ED" w:rsidP="00506683" w14:paraId="42DD123C" w14:textId="77777777">
      <w:pPr>
        <w:pStyle w:val="Default"/>
        <w:rPr>
          <w:b/>
          <w:bCs/>
          <w:color w:val="auto"/>
        </w:rPr>
      </w:pPr>
    </w:p>
    <w:p w:rsidR="00506683" w:rsidRPr="00C422ED" w:rsidP="009247B6" w14:paraId="5EC8E59B" w14:textId="3611563F">
      <w:pPr>
        <w:pStyle w:val="Default"/>
        <w:numPr>
          <w:ilvl w:val="0"/>
          <w:numId w:val="3"/>
        </w:numPr>
        <w:ind w:left="504"/>
        <w:rPr>
          <w:b/>
          <w:bCs/>
          <w:color w:val="auto"/>
        </w:rPr>
      </w:pPr>
      <w:r w:rsidRPr="00C422ED">
        <w:rPr>
          <w:b/>
          <w:bCs/>
          <w:color w:val="auto"/>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D7446" w:rsidRPr="00C422ED" w:rsidP="00BD7446" w14:paraId="52268F8B" w14:textId="77777777">
      <w:pPr>
        <w:pStyle w:val="Default"/>
        <w:ind w:left="720"/>
        <w:rPr>
          <w:b/>
          <w:bCs/>
          <w:color w:val="auto"/>
        </w:rPr>
      </w:pPr>
    </w:p>
    <w:p w:rsidR="00506683" w:rsidRPr="00C422ED" w:rsidP="009247B6" w14:paraId="5C1D47EB" w14:textId="2C5DAD7A">
      <w:pPr>
        <w:pStyle w:val="Default"/>
        <w:numPr>
          <w:ilvl w:val="0"/>
          <w:numId w:val="3"/>
        </w:numPr>
        <w:ind w:left="504"/>
        <w:rPr>
          <w:b/>
          <w:bCs/>
          <w:color w:val="auto"/>
        </w:rPr>
      </w:pPr>
      <w:r w:rsidRPr="00C422ED">
        <w:rPr>
          <w:b/>
          <w:bCs/>
          <w:color w:val="auto"/>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D7446" w:rsidRPr="00C422ED" w:rsidP="00BD7446" w14:paraId="1C36E9B0" w14:textId="77777777">
      <w:pPr>
        <w:pStyle w:val="Default"/>
        <w:ind w:left="720"/>
        <w:rPr>
          <w:b/>
          <w:bCs/>
          <w:color w:val="auto"/>
        </w:rPr>
      </w:pPr>
    </w:p>
    <w:p w:rsidR="00506683" w:rsidRPr="00C422ED" w:rsidP="009247B6" w14:paraId="6A5CEFB0" w14:textId="4B6F5EDD">
      <w:pPr>
        <w:pStyle w:val="Default"/>
        <w:numPr>
          <w:ilvl w:val="0"/>
          <w:numId w:val="3"/>
        </w:numPr>
        <w:ind w:left="504"/>
        <w:rPr>
          <w:b/>
          <w:bCs/>
          <w:color w:val="auto"/>
        </w:rPr>
      </w:pPr>
      <w:r w:rsidRPr="00C422ED">
        <w:rPr>
          <w:b/>
          <w:bCs/>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1A9E" w:rsidRPr="00C422ED" w:rsidP="00506683" w14:paraId="0A6433AB" w14:textId="77777777">
      <w:pPr>
        <w:pStyle w:val="Default"/>
        <w:rPr>
          <w:b/>
          <w:color w:val="auto"/>
        </w:rPr>
      </w:pPr>
      <w:r w:rsidRPr="00C422ED">
        <w:rPr>
          <w:b/>
          <w:bCs/>
          <w:color w:val="auto"/>
        </w:rPr>
        <w:t xml:space="preserve"> </w:t>
      </w:r>
    </w:p>
    <w:p w:rsidR="00EF1A9E" w:rsidP="00B51020" w14:paraId="411EDCD8" w14:textId="0CE9E381">
      <w:pPr>
        <w:pStyle w:val="Default"/>
        <w:rPr>
          <w:color w:val="auto"/>
        </w:rPr>
      </w:pPr>
      <w:r w:rsidRPr="00C422ED">
        <w:rPr>
          <w:color w:val="auto"/>
        </w:rPr>
        <w:t xml:space="preserve">30 </w:t>
      </w:r>
      <w:r w:rsidRPr="00C422ED" w:rsidR="00CB0607">
        <w:rPr>
          <w:color w:val="auto"/>
        </w:rPr>
        <w:t>CFR</w:t>
      </w:r>
      <w:r w:rsidRPr="00C422ED" w:rsidR="00D44387">
        <w:rPr>
          <w:color w:val="auto"/>
        </w:rPr>
        <w:t xml:space="preserve"> </w:t>
      </w:r>
      <w:r w:rsidRPr="00C422ED" w:rsidR="001F7D0F">
        <w:rPr>
          <w:color w:val="auto"/>
        </w:rPr>
        <w:t xml:space="preserve">56.19057 and </w:t>
      </w:r>
      <w:r w:rsidRPr="00C422ED" w:rsidR="00994409">
        <w:rPr>
          <w:color w:val="auto"/>
        </w:rPr>
        <w:t xml:space="preserve">30 CFR </w:t>
      </w:r>
      <w:r w:rsidRPr="00C422ED" w:rsidR="001F7D0F">
        <w:rPr>
          <w:color w:val="auto"/>
        </w:rPr>
        <w:t xml:space="preserve">57.19057 </w:t>
      </w:r>
      <w:r w:rsidRPr="00C422ED">
        <w:rPr>
          <w:color w:val="auto"/>
        </w:rPr>
        <w:t xml:space="preserve">require that hoist operators </w:t>
      </w:r>
      <w:r w:rsidRPr="00C422ED" w:rsidR="00BE6254">
        <w:rPr>
          <w:color w:val="auto"/>
        </w:rPr>
        <w:t>are</w:t>
      </w:r>
      <w:r w:rsidRPr="00C422ED">
        <w:rPr>
          <w:color w:val="auto"/>
        </w:rPr>
        <w:t xml:space="preserve"> examined </w:t>
      </w:r>
      <w:r w:rsidRPr="00C422ED" w:rsidR="00F8219E">
        <w:rPr>
          <w:color w:val="auto"/>
        </w:rPr>
        <w:t xml:space="preserve">periodically </w:t>
      </w:r>
      <w:r w:rsidRPr="00C422ED">
        <w:rPr>
          <w:color w:val="auto"/>
        </w:rPr>
        <w:t>by a</w:t>
      </w:r>
      <w:r w:rsidR="00875AA7">
        <w:rPr>
          <w:color w:val="auto"/>
        </w:rPr>
        <w:t>n</w:t>
      </w:r>
      <w:r w:rsidRPr="00C422ED">
        <w:rPr>
          <w:color w:val="auto"/>
        </w:rPr>
        <w:t xml:space="preserve"> </w:t>
      </w:r>
      <w:r w:rsidR="00875AA7">
        <w:rPr>
          <w:color w:val="auto"/>
        </w:rPr>
        <w:t xml:space="preserve">external </w:t>
      </w:r>
      <w:r w:rsidRPr="00C422ED">
        <w:rPr>
          <w:color w:val="auto"/>
        </w:rPr>
        <w:t xml:space="preserve">physician who shall certify that the operator is physically fit to perform his or her duties. </w:t>
      </w:r>
      <w:r w:rsidRPr="00C422ED" w:rsidR="008514EB">
        <w:rPr>
          <w:color w:val="auto"/>
        </w:rPr>
        <w:t xml:space="preserve"> </w:t>
      </w:r>
      <w:r w:rsidRPr="00C422ED" w:rsidR="00D44387">
        <w:rPr>
          <w:color w:val="auto"/>
        </w:rPr>
        <w:t>MSHA</w:t>
      </w:r>
      <w:r w:rsidRPr="00C422ED">
        <w:rPr>
          <w:color w:val="auto"/>
        </w:rPr>
        <w:t xml:space="preserve"> estimate</w:t>
      </w:r>
      <w:r w:rsidRPr="00C422ED" w:rsidR="00D44387">
        <w:rPr>
          <w:color w:val="auto"/>
        </w:rPr>
        <w:t>s that</w:t>
      </w:r>
      <w:r w:rsidRPr="00C422ED">
        <w:rPr>
          <w:color w:val="auto"/>
        </w:rPr>
        <w:t xml:space="preserve"> the average cost per exam</w:t>
      </w:r>
      <w:r w:rsidRPr="00C422ED" w:rsidR="008D65BE">
        <w:rPr>
          <w:color w:val="auto"/>
        </w:rPr>
        <w:t xml:space="preserve"> and certification for each of the 803 </w:t>
      </w:r>
      <w:r w:rsidRPr="00C422ED" w:rsidR="008D65BE">
        <w:rPr>
          <w:color w:val="auto"/>
        </w:rPr>
        <w:t>hoist operators</w:t>
      </w:r>
      <w:r w:rsidRPr="00C422ED">
        <w:rPr>
          <w:color w:val="auto"/>
        </w:rPr>
        <w:t xml:space="preserve"> is $</w:t>
      </w:r>
      <w:r w:rsidRPr="00C422ED" w:rsidR="008D65BE">
        <w:rPr>
          <w:color w:val="auto"/>
        </w:rPr>
        <w:t>4</w:t>
      </w:r>
      <w:r w:rsidRPr="00C422ED" w:rsidR="00564EFB">
        <w:rPr>
          <w:color w:val="auto"/>
        </w:rPr>
        <w:t>04</w:t>
      </w:r>
      <w:r w:rsidRPr="00C422ED" w:rsidR="008D65BE">
        <w:rPr>
          <w:color w:val="auto"/>
        </w:rPr>
        <w:t>.</w:t>
      </w:r>
      <w:r w:rsidRPr="00C422ED" w:rsidR="00564EFB">
        <w:rPr>
          <w:color w:val="auto"/>
        </w:rPr>
        <w:t>93</w:t>
      </w:r>
      <w:r w:rsidRPr="00C422ED" w:rsidR="008D65BE">
        <w:rPr>
          <w:color w:val="auto"/>
        </w:rPr>
        <w:t>.</w:t>
      </w:r>
      <w:r>
        <w:rPr>
          <w:rStyle w:val="FootnoteReference"/>
        </w:rPr>
        <w:footnoteReference w:id="7"/>
      </w:r>
      <w:r w:rsidRPr="00C422ED">
        <w:rPr>
          <w:color w:val="auto"/>
        </w:rPr>
        <w:t xml:space="preserve"> </w:t>
      </w:r>
    </w:p>
    <w:p w:rsidR="00875AA7" w:rsidRPr="00C422ED" w:rsidP="00B51020" w14:paraId="0A4C8FB4" w14:textId="77777777">
      <w:pPr>
        <w:pStyle w:val="Default"/>
        <w:rPr>
          <w:color w:val="auto"/>
        </w:rPr>
      </w:pPr>
    </w:p>
    <w:p w:rsidR="00EF1A9E" w:rsidP="008D65BE" w14:paraId="580B2D5F" w14:textId="1C1A9F77">
      <w:pPr>
        <w:widowControl/>
        <w:autoSpaceDE/>
        <w:autoSpaceDN/>
        <w:adjustRightInd/>
        <w:rPr>
          <w:color w:val="000000"/>
        </w:rPr>
      </w:pPr>
      <w:r w:rsidRPr="00875AA7">
        <w:t xml:space="preserve"> </w:t>
      </w:r>
      <w:r w:rsidRPr="00687C94" w:rsidR="008D65BE">
        <w:rPr>
          <w:color w:val="000000"/>
        </w:rPr>
        <w:t>Table 13-1. Medical Examinations</w:t>
      </w:r>
      <w:r w:rsidR="005774B6">
        <w:rPr>
          <w:color w:val="000000"/>
        </w:rPr>
        <w:t xml:space="preserve"> (</w:t>
      </w:r>
      <w:r w:rsidRPr="005774B6" w:rsidR="005774B6">
        <w:rPr>
          <w:color w:val="000000"/>
        </w:rPr>
        <w:t xml:space="preserve">56.19057 </w:t>
      </w:r>
      <w:r w:rsidR="005774B6">
        <w:rPr>
          <w:color w:val="000000"/>
        </w:rPr>
        <w:t>and</w:t>
      </w:r>
      <w:r w:rsidRPr="005774B6" w:rsidR="005774B6">
        <w:rPr>
          <w:color w:val="000000"/>
        </w:rPr>
        <w:t xml:space="preserve"> 57.19057</w:t>
      </w:r>
      <w:r w:rsidR="005774B6">
        <w:rPr>
          <w:color w:val="000000"/>
        </w:rPr>
        <w:t>)</w:t>
      </w:r>
    </w:p>
    <w:tbl>
      <w:tblPr>
        <w:tblW w:w="9501" w:type="dxa"/>
        <w:tblLook w:val="04A0"/>
      </w:tblPr>
      <w:tblGrid>
        <w:gridCol w:w="2335"/>
        <w:gridCol w:w="1440"/>
        <w:gridCol w:w="1350"/>
        <w:gridCol w:w="1568"/>
        <w:gridCol w:w="1492"/>
        <w:gridCol w:w="1316"/>
      </w:tblGrid>
      <w:tr w14:paraId="23F3D6CC" w14:textId="77777777" w:rsidTr="007143AD">
        <w:tblPrEx>
          <w:tblW w:w="9501" w:type="dxa"/>
          <w:tblLook w:val="04A0"/>
        </w:tblPrEx>
        <w:trPr>
          <w:trHeight w:val="900"/>
        </w:trPr>
        <w:tc>
          <w:tcPr>
            <w:tcW w:w="2335" w:type="dxa"/>
            <w:tcBorders>
              <w:top w:val="single" w:sz="4" w:space="0" w:color="auto"/>
              <w:left w:val="single" w:sz="4" w:space="0" w:color="auto"/>
              <w:bottom w:val="single" w:sz="4" w:space="0" w:color="auto"/>
              <w:right w:val="single" w:sz="4" w:space="0" w:color="auto"/>
            </w:tcBorders>
            <w:shd w:val="clear" w:color="000000" w:fill="9CC2E5"/>
            <w:vAlign w:val="center"/>
            <w:hideMark/>
          </w:tcPr>
          <w:p w:rsidR="008D65BE" w:rsidRPr="00C422ED" w:rsidP="008D65BE" w14:paraId="0AE881CE" w14:textId="77777777">
            <w:pPr>
              <w:widowControl/>
              <w:autoSpaceDE/>
              <w:autoSpaceDN/>
              <w:adjustRightInd/>
              <w:jc w:val="center"/>
              <w:rPr>
                <w:b/>
                <w:bCs/>
                <w:color w:val="000000"/>
                <w:sz w:val="20"/>
                <w:szCs w:val="20"/>
              </w:rPr>
            </w:pPr>
            <w:r w:rsidRPr="00C422ED">
              <w:rPr>
                <w:b/>
                <w:bCs/>
                <w:color w:val="000000"/>
                <w:sz w:val="20"/>
                <w:szCs w:val="20"/>
              </w:rPr>
              <w:t>Activity/Rule Section</w:t>
            </w:r>
          </w:p>
        </w:tc>
        <w:tc>
          <w:tcPr>
            <w:tcW w:w="1440" w:type="dxa"/>
            <w:tcBorders>
              <w:top w:val="single" w:sz="4" w:space="0" w:color="auto"/>
              <w:left w:val="nil"/>
              <w:bottom w:val="single" w:sz="4" w:space="0" w:color="auto"/>
              <w:right w:val="single" w:sz="4" w:space="0" w:color="auto"/>
            </w:tcBorders>
            <w:shd w:val="clear" w:color="000000" w:fill="9CC2E5"/>
            <w:vAlign w:val="center"/>
            <w:hideMark/>
          </w:tcPr>
          <w:p w:rsidR="008D65BE" w:rsidRPr="00C422ED" w:rsidP="008D65BE" w14:paraId="14C8717D" w14:textId="77777777">
            <w:pPr>
              <w:widowControl/>
              <w:autoSpaceDE/>
              <w:autoSpaceDN/>
              <w:adjustRightInd/>
              <w:jc w:val="center"/>
              <w:rPr>
                <w:b/>
                <w:bCs/>
                <w:color w:val="000000"/>
                <w:sz w:val="20"/>
                <w:szCs w:val="20"/>
              </w:rPr>
            </w:pPr>
            <w:r w:rsidRPr="00C422ED">
              <w:rPr>
                <w:b/>
                <w:bCs/>
                <w:color w:val="000000"/>
                <w:sz w:val="20"/>
                <w:szCs w:val="20"/>
              </w:rPr>
              <w:t>Respondents (Hoist Operators)</w:t>
            </w:r>
          </w:p>
        </w:tc>
        <w:tc>
          <w:tcPr>
            <w:tcW w:w="1350" w:type="dxa"/>
            <w:tcBorders>
              <w:top w:val="single" w:sz="4" w:space="0" w:color="auto"/>
              <w:left w:val="nil"/>
              <w:bottom w:val="single" w:sz="4" w:space="0" w:color="auto"/>
              <w:right w:val="single" w:sz="4" w:space="0" w:color="auto"/>
            </w:tcBorders>
            <w:shd w:val="clear" w:color="000000" w:fill="9CC2E5"/>
            <w:vAlign w:val="center"/>
            <w:hideMark/>
          </w:tcPr>
          <w:p w:rsidR="008D65BE" w:rsidRPr="00C422ED" w:rsidP="008D65BE" w14:paraId="68B694FA" w14:textId="77777777">
            <w:pPr>
              <w:widowControl/>
              <w:autoSpaceDE/>
              <w:autoSpaceDN/>
              <w:adjustRightInd/>
              <w:jc w:val="center"/>
              <w:rPr>
                <w:b/>
                <w:bCs/>
                <w:color w:val="000000"/>
                <w:sz w:val="20"/>
                <w:szCs w:val="20"/>
              </w:rPr>
            </w:pPr>
            <w:r w:rsidRPr="00C422ED">
              <w:rPr>
                <w:b/>
                <w:bCs/>
                <w:color w:val="000000"/>
                <w:sz w:val="20"/>
                <w:szCs w:val="20"/>
              </w:rPr>
              <w:t>Responses per Respondent</w:t>
            </w:r>
          </w:p>
        </w:tc>
        <w:tc>
          <w:tcPr>
            <w:tcW w:w="1568" w:type="dxa"/>
            <w:tcBorders>
              <w:top w:val="single" w:sz="4" w:space="0" w:color="auto"/>
              <w:left w:val="nil"/>
              <w:bottom w:val="single" w:sz="4" w:space="0" w:color="auto"/>
              <w:right w:val="single" w:sz="4" w:space="0" w:color="auto"/>
            </w:tcBorders>
            <w:shd w:val="clear" w:color="000000" w:fill="9CC2E5"/>
            <w:vAlign w:val="center"/>
            <w:hideMark/>
          </w:tcPr>
          <w:p w:rsidR="008D65BE" w:rsidRPr="00C422ED" w:rsidP="008D65BE" w14:paraId="3F7E1DD7" w14:textId="5D4045C3">
            <w:pPr>
              <w:widowControl/>
              <w:autoSpaceDE/>
              <w:autoSpaceDN/>
              <w:adjustRightInd/>
              <w:jc w:val="center"/>
              <w:rPr>
                <w:b/>
                <w:bCs/>
                <w:color w:val="000000"/>
                <w:sz w:val="20"/>
                <w:szCs w:val="20"/>
              </w:rPr>
            </w:pPr>
            <w:r w:rsidRPr="00C422ED">
              <w:rPr>
                <w:b/>
                <w:bCs/>
                <w:color w:val="000000"/>
                <w:sz w:val="20"/>
                <w:szCs w:val="20"/>
              </w:rPr>
              <w:t>N</w:t>
            </w:r>
            <w:r w:rsidR="00CF0BBA">
              <w:rPr>
                <w:b/>
                <w:bCs/>
                <w:color w:val="000000"/>
                <w:sz w:val="20"/>
                <w:szCs w:val="20"/>
              </w:rPr>
              <w:t>umber</w:t>
            </w:r>
            <w:r w:rsidRPr="00C422ED">
              <w:rPr>
                <w:b/>
                <w:bCs/>
                <w:color w:val="000000"/>
                <w:sz w:val="20"/>
                <w:szCs w:val="20"/>
              </w:rPr>
              <w:t xml:space="preserve"> of Responses (Certifications)</w:t>
            </w:r>
          </w:p>
        </w:tc>
        <w:tc>
          <w:tcPr>
            <w:tcW w:w="1492" w:type="dxa"/>
            <w:tcBorders>
              <w:top w:val="single" w:sz="4" w:space="0" w:color="auto"/>
              <w:left w:val="nil"/>
              <w:bottom w:val="single" w:sz="4" w:space="0" w:color="auto"/>
              <w:right w:val="single" w:sz="4" w:space="0" w:color="auto"/>
            </w:tcBorders>
            <w:shd w:val="clear" w:color="000000" w:fill="9CC2E5"/>
            <w:vAlign w:val="center"/>
            <w:hideMark/>
          </w:tcPr>
          <w:p w:rsidR="008D65BE" w:rsidRPr="00C422ED" w:rsidP="008D65BE" w14:paraId="644B892F" w14:textId="77777777">
            <w:pPr>
              <w:widowControl/>
              <w:autoSpaceDE/>
              <w:autoSpaceDN/>
              <w:adjustRightInd/>
              <w:jc w:val="center"/>
              <w:rPr>
                <w:b/>
                <w:bCs/>
                <w:color w:val="000000"/>
                <w:sz w:val="20"/>
                <w:szCs w:val="20"/>
              </w:rPr>
            </w:pPr>
            <w:r w:rsidRPr="00C422ED">
              <w:rPr>
                <w:b/>
                <w:bCs/>
                <w:color w:val="000000"/>
                <w:sz w:val="20"/>
                <w:szCs w:val="20"/>
              </w:rPr>
              <w:t>Cost per Item (Certification)</w:t>
            </w:r>
          </w:p>
        </w:tc>
        <w:tc>
          <w:tcPr>
            <w:tcW w:w="1316" w:type="dxa"/>
            <w:tcBorders>
              <w:top w:val="single" w:sz="4" w:space="0" w:color="auto"/>
              <w:left w:val="nil"/>
              <w:bottom w:val="single" w:sz="4" w:space="0" w:color="auto"/>
              <w:right w:val="single" w:sz="4" w:space="0" w:color="auto"/>
            </w:tcBorders>
            <w:shd w:val="clear" w:color="000000" w:fill="9CC2E5"/>
            <w:vAlign w:val="center"/>
            <w:hideMark/>
          </w:tcPr>
          <w:p w:rsidR="008D65BE" w:rsidRPr="00C422ED" w:rsidP="008D65BE" w14:paraId="40DAC63D" w14:textId="77777777">
            <w:pPr>
              <w:widowControl/>
              <w:autoSpaceDE/>
              <w:autoSpaceDN/>
              <w:adjustRightInd/>
              <w:jc w:val="center"/>
              <w:rPr>
                <w:b/>
                <w:bCs/>
                <w:color w:val="000000"/>
                <w:sz w:val="20"/>
                <w:szCs w:val="20"/>
              </w:rPr>
            </w:pPr>
            <w:r w:rsidRPr="00C422ED">
              <w:rPr>
                <w:b/>
                <w:bCs/>
                <w:color w:val="000000"/>
                <w:sz w:val="20"/>
                <w:szCs w:val="20"/>
              </w:rPr>
              <w:t>Total Annual Cost</w:t>
            </w:r>
          </w:p>
        </w:tc>
      </w:tr>
      <w:tr w14:paraId="1872602C" w14:textId="77777777" w:rsidTr="00261172">
        <w:tblPrEx>
          <w:tblW w:w="9501" w:type="dxa"/>
          <w:tblLook w:val="04A0"/>
        </w:tblPrEx>
        <w:trPr>
          <w:trHeight w:val="287"/>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8D65BE" w:rsidRPr="00C422ED" w:rsidP="008D65BE" w14:paraId="5C841245" w14:textId="4494A15E">
            <w:pPr>
              <w:widowControl/>
              <w:autoSpaceDE/>
              <w:autoSpaceDN/>
              <w:adjustRightInd/>
              <w:rPr>
                <w:color w:val="000000"/>
                <w:sz w:val="22"/>
                <w:szCs w:val="22"/>
              </w:rPr>
            </w:pPr>
            <w:r w:rsidRPr="00C422ED">
              <w:rPr>
                <w:color w:val="000000"/>
                <w:sz w:val="22"/>
                <w:szCs w:val="22"/>
              </w:rPr>
              <w:t>Medical Examinations</w:t>
            </w:r>
          </w:p>
        </w:tc>
        <w:tc>
          <w:tcPr>
            <w:tcW w:w="1440"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51BDC9D1" w14:textId="77777777">
            <w:pPr>
              <w:widowControl/>
              <w:autoSpaceDE/>
              <w:autoSpaceDN/>
              <w:adjustRightInd/>
              <w:jc w:val="right"/>
              <w:rPr>
                <w:color w:val="000000"/>
                <w:sz w:val="22"/>
                <w:szCs w:val="22"/>
              </w:rPr>
            </w:pPr>
            <w:r w:rsidRPr="00C422ED">
              <w:rPr>
                <w:color w:val="000000"/>
                <w:sz w:val="22"/>
                <w:szCs w:val="22"/>
              </w:rPr>
              <w:t>803</w:t>
            </w:r>
          </w:p>
        </w:tc>
        <w:tc>
          <w:tcPr>
            <w:tcW w:w="1350"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78F42E37" w14:textId="77777777">
            <w:pPr>
              <w:widowControl/>
              <w:autoSpaceDE/>
              <w:autoSpaceDN/>
              <w:adjustRightInd/>
              <w:jc w:val="right"/>
              <w:rPr>
                <w:color w:val="000000"/>
                <w:sz w:val="22"/>
                <w:szCs w:val="22"/>
              </w:rPr>
            </w:pPr>
            <w:r w:rsidRPr="00C422ED">
              <w:rPr>
                <w:color w:val="000000"/>
                <w:sz w:val="22"/>
                <w:szCs w:val="22"/>
              </w:rPr>
              <w:t>1</w:t>
            </w:r>
          </w:p>
        </w:tc>
        <w:tc>
          <w:tcPr>
            <w:tcW w:w="1568"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4A9DE546" w14:textId="77777777">
            <w:pPr>
              <w:widowControl/>
              <w:autoSpaceDE/>
              <w:autoSpaceDN/>
              <w:adjustRightInd/>
              <w:jc w:val="right"/>
              <w:rPr>
                <w:color w:val="000000"/>
                <w:sz w:val="22"/>
                <w:szCs w:val="22"/>
              </w:rPr>
            </w:pPr>
            <w:r w:rsidRPr="00C422ED">
              <w:rPr>
                <w:color w:val="000000"/>
                <w:sz w:val="22"/>
                <w:szCs w:val="22"/>
              </w:rPr>
              <w:t>803</w:t>
            </w:r>
          </w:p>
        </w:tc>
        <w:tc>
          <w:tcPr>
            <w:tcW w:w="1492"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26717A7C" w14:textId="77777777">
            <w:pPr>
              <w:widowControl/>
              <w:autoSpaceDE/>
              <w:autoSpaceDN/>
              <w:adjustRightInd/>
              <w:jc w:val="right"/>
              <w:rPr>
                <w:color w:val="000000"/>
                <w:sz w:val="22"/>
                <w:szCs w:val="22"/>
              </w:rPr>
            </w:pPr>
            <w:r w:rsidRPr="00C422ED">
              <w:rPr>
                <w:color w:val="000000"/>
                <w:sz w:val="22"/>
                <w:szCs w:val="22"/>
              </w:rPr>
              <w:t>$404.93</w:t>
            </w:r>
          </w:p>
        </w:tc>
        <w:tc>
          <w:tcPr>
            <w:tcW w:w="1316"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6A74A888" w14:textId="77777777">
            <w:pPr>
              <w:widowControl/>
              <w:autoSpaceDE/>
              <w:autoSpaceDN/>
              <w:adjustRightInd/>
              <w:jc w:val="right"/>
              <w:rPr>
                <w:color w:val="000000"/>
                <w:sz w:val="22"/>
                <w:szCs w:val="22"/>
              </w:rPr>
            </w:pPr>
            <w:r w:rsidRPr="00C422ED">
              <w:rPr>
                <w:color w:val="000000"/>
                <w:sz w:val="22"/>
                <w:szCs w:val="22"/>
              </w:rPr>
              <w:t>$325,157.18</w:t>
            </w:r>
          </w:p>
        </w:tc>
      </w:tr>
      <w:tr w14:paraId="656369E9" w14:textId="77777777" w:rsidTr="007143AD">
        <w:tblPrEx>
          <w:tblW w:w="95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8D65BE" w:rsidRPr="00261172" w:rsidP="008D65BE" w14:paraId="76E027A3" w14:textId="14FF7B01">
            <w:pPr>
              <w:widowControl/>
              <w:autoSpaceDE/>
              <w:autoSpaceDN/>
              <w:adjustRightInd/>
              <w:rPr>
                <w:b/>
                <w:bCs/>
                <w:i/>
                <w:iCs/>
                <w:color w:val="000000"/>
                <w:sz w:val="22"/>
                <w:szCs w:val="22"/>
              </w:rPr>
            </w:pPr>
            <w:r w:rsidRPr="00261172">
              <w:rPr>
                <w:b/>
                <w:bCs/>
                <w:i/>
                <w:iCs/>
                <w:color w:val="000000"/>
                <w:sz w:val="22"/>
                <w:szCs w:val="22"/>
              </w:rPr>
              <w:t>Subt</w:t>
            </w:r>
            <w:r w:rsidRPr="00261172">
              <w:rPr>
                <w:b/>
                <w:bCs/>
                <w:i/>
                <w:iCs/>
                <w:color w:val="000000"/>
                <w:sz w:val="22"/>
                <w:szCs w:val="22"/>
              </w:rPr>
              <w:t>otal</w:t>
            </w:r>
            <w:r w:rsidRPr="00261172">
              <w:rPr>
                <w:b/>
                <w:bCs/>
                <w:i/>
                <w:iCs/>
                <w:color w:val="000000"/>
                <w:sz w:val="22"/>
                <w:szCs w:val="22"/>
              </w:rPr>
              <w:t xml:space="preserve"> (rounded)</w:t>
            </w:r>
          </w:p>
        </w:tc>
        <w:tc>
          <w:tcPr>
            <w:tcW w:w="1440"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105D8623" w14:textId="77777777">
            <w:pPr>
              <w:widowControl/>
              <w:autoSpaceDE/>
              <w:autoSpaceDN/>
              <w:adjustRightInd/>
              <w:jc w:val="right"/>
              <w:rPr>
                <w:b/>
                <w:bCs/>
                <w:color w:val="000000"/>
                <w:sz w:val="22"/>
                <w:szCs w:val="22"/>
              </w:rPr>
            </w:pPr>
            <w:r w:rsidRPr="00C422ED">
              <w:rPr>
                <w:b/>
                <w:bCs/>
                <w:color w:val="000000"/>
                <w:sz w:val="22"/>
                <w:szCs w:val="22"/>
              </w:rPr>
              <w:t>803</w:t>
            </w:r>
          </w:p>
        </w:tc>
        <w:tc>
          <w:tcPr>
            <w:tcW w:w="1350" w:type="dxa"/>
            <w:tcBorders>
              <w:top w:val="nil"/>
              <w:left w:val="nil"/>
              <w:bottom w:val="single" w:sz="4" w:space="0" w:color="auto"/>
              <w:right w:val="single" w:sz="4" w:space="0" w:color="auto"/>
            </w:tcBorders>
            <w:shd w:val="clear" w:color="000000" w:fill="000000"/>
            <w:noWrap/>
            <w:vAlign w:val="bottom"/>
            <w:hideMark/>
          </w:tcPr>
          <w:p w:rsidR="008D65BE" w:rsidRPr="00C422ED" w:rsidP="008D65BE" w14:paraId="6EEFB22C" w14:textId="77777777">
            <w:pPr>
              <w:widowControl/>
              <w:autoSpaceDE/>
              <w:autoSpaceDN/>
              <w:adjustRightInd/>
              <w:jc w:val="right"/>
              <w:rPr>
                <w:b/>
                <w:bCs/>
                <w:color w:val="000000"/>
                <w:sz w:val="22"/>
                <w:szCs w:val="22"/>
              </w:rPr>
            </w:pPr>
            <w:r w:rsidRPr="00C422ED">
              <w:rPr>
                <w:b/>
                <w:bCs/>
                <w:color w:val="000000"/>
                <w:sz w:val="22"/>
                <w:szCs w:val="22"/>
              </w:rPr>
              <w:t> </w:t>
            </w:r>
          </w:p>
        </w:tc>
        <w:tc>
          <w:tcPr>
            <w:tcW w:w="1568"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7C932A6E" w14:textId="77777777">
            <w:pPr>
              <w:widowControl/>
              <w:autoSpaceDE/>
              <w:autoSpaceDN/>
              <w:adjustRightInd/>
              <w:jc w:val="right"/>
              <w:rPr>
                <w:b/>
                <w:bCs/>
                <w:color w:val="000000"/>
                <w:sz w:val="22"/>
                <w:szCs w:val="22"/>
              </w:rPr>
            </w:pPr>
            <w:r w:rsidRPr="00C422ED">
              <w:rPr>
                <w:b/>
                <w:bCs/>
                <w:color w:val="000000"/>
                <w:sz w:val="22"/>
                <w:szCs w:val="22"/>
              </w:rPr>
              <w:t>803</w:t>
            </w:r>
          </w:p>
        </w:tc>
        <w:tc>
          <w:tcPr>
            <w:tcW w:w="1492" w:type="dxa"/>
            <w:tcBorders>
              <w:top w:val="nil"/>
              <w:left w:val="nil"/>
              <w:bottom w:val="single" w:sz="4" w:space="0" w:color="auto"/>
              <w:right w:val="single" w:sz="4" w:space="0" w:color="auto"/>
            </w:tcBorders>
            <w:shd w:val="clear" w:color="000000" w:fill="000000"/>
            <w:noWrap/>
            <w:vAlign w:val="bottom"/>
            <w:hideMark/>
          </w:tcPr>
          <w:p w:rsidR="008D65BE" w:rsidRPr="00C422ED" w:rsidP="008D65BE" w14:paraId="34CFC642" w14:textId="77777777">
            <w:pPr>
              <w:widowControl/>
              <w:autoSpaceDE/>
              <w:autoSpaceDN/>
              <w:adjustRightInd/>
              <w:jc w:val="right"/>
              <w:rPr>
                <w:color w:val="000000"/>
                <w:sz w:val="22"/>
                <w:szCs w:val="22"/>
              </w:rPr>
            </w:pPr>
            <w:r w:rsidRPr="00C422ED">
              <w:rPr>
                <w:color w:val="000000"/>
                <w:sz w:val="22"/>
                <w:szCs w:val="22"/>
              </w:rPr>
              <w:t> </w:t>
            </w:r>
          </w:p>
        </w:tc>
        <w:tc>
          <w:tcPr>
            <w:tcW w:w="1316" w:type="dxa"/>
            <w:tcBorders>
              <w:top w:val="nil"/>
              <w:left w:val="nil"/>
              <w:bottom w:val="single" w:sz="4" w:space="0" w:color="auto"/>
              <w:right w:val="single" w:sz="4" w:space="0" w:color="auto"/>
            </w:tcBorders>
            <w:shd w:val="clear" w:color="auto" w:fill="auto"/>
            <w:noWrap/>
            <w:vAlign w:val="bottom"/>
            <w:hideMark/>
          </w:tcPr>
          <w:p w:rsidR="008D65BE" w:rsidRPr="00C422ED" w:rsidP="008D65BE" w14:paraId="21F5950A" w14:textId="77777777">
            <w:pPr>
              <w:widowControl/>
              <w:autoSpaceDE/>
              <w:autoSpaceDN/>
              <w:adjustRightInd/>
              <w:jc w:val="right"/>
              <w:rPr>
                <w:b/>
                <w:bCs/>
                <w:color w:val="000000"/>
                <w:sz w:val="22"/>
                <w:szCs w:val="22"/>
              </w:rPr>
            </w:pPr>
            <w:r w:rsidRPr="00C422ED">
              <w:rPr>
                <w:b/>
                <w:bCs/>
                <w:color w:val="000000"/>
                <w:sz w:val="22"/>
                <w:szCs w:val="22"/>
              </w:rPr>
              <w:t>$325,157</w:t>
            </w:r>
          </w:p>
        </w:tc>
      </w:tr>
    </w:tbl>
    <w:p w:rsidR="00EF1A9E" w:rsidRPr="00C422ED" w14:paraId="72F191AD" w14:textId="2B559F74">
      <w:pPr>
        <w:pStyle w:val="Default"/>
        <w:rPr>
          <w:color w:val="auto"/>
        </w:rPr>
      </w:pPr>
    </w:p>
    <w:p w:rsidR="00506683" w:rsidRPr="00C422ED" w14:paraId="386E87EB" w14:textId="77777777">
      <w:pPr>
        <w:pStyle w:val="Default"/>
        <w:rPr>
          <w:b/>
          <w:bCs/>
          <w:color w:val="auto"/>
        </w:rPr>
      </w:pPr>
      <w:r w:rsidRPr="00C422ED">
        <w:rPr>
          <w:b/>
          <w:bCs/>
          <w:color w:val="auto"/>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F1A9E" w:rsidRPr="00C422ED" w14:paraId="036115C5" w14:textId="77777777">
      <w:pPr>
        <w:pStyle w:val="Default"/>
        <w:rPr>
          <w:color w:val="auto"/>
        </w:rPr>
      </w:pPr>
      <w:r w:rsidRPr="00C422ED">
        <w:rPr>
          <w:bCs/>
          <w:color w:val="auto"/>
        </w:rPr>
        <w:t xml:space="preserve"> </w:t>
      </w:r>
    </w:p>
    <w:p w:rsidR="00EF1A9E" w:rsidRPr="00C422ED" w:rsidP="00B51020" w14:paraId="3E8CE069" w14:textId="77777777">
      <w:pPr>
        <w:pStyle w:val="Default"/>
      </w:pPr>
      <w:r w:rsidRPr="00C422ED">
        <w:rPr>
          <w:color w:val="auto"/>
        </w:rPr>
        <w:t xml:space="preserve">MSHA enforcement personnel examine the records during routine inspections. </w:t>
      </w:r>
      <w:r w:rsidRPr="00C422ED" w:rsidR="008514EB">
        <w:rPr>
          <w:color w:val="auto"/>
        </w:rPr>
        <w:t xml:space="preserve"> </w:t>
      </w:r>
      <w:r w:rsidRPr="00C422ED" w:rsidR="00D44387">
        <w:rPr>
          <w:color w:val="auto"/>
        </w:rPr>
        <w:t xml:space="preserve">There is no additional burden associated with this provision.  </w:t>
      </w:r>
    </w:p>
    <w:p w:rsidR="00EF1A9E" w:rsidRPr="00C422ED" w14:paraId="3D89FEAD" w14:textId="77777777">
      <w:pPr>
        <w:pStyle w:val="Default"/>
      </w:pPr>
      <w:r w:rsidRPr="00C422ED">
        <w:t xml:space="preserve"> </w:t>
      </w:r>
    </w:p>
    <w:p w:rsidR="00506683" w:rsidRPr="00C422ED" w14:paraId="71FC0737" w14:textId="77777777">
      <w:pPr>
        <w:pStyle w:val="Default"/>
        <w:rPr>
          <w:b/>
          <w:bCs/>
        </w:rPr>
      </w:pPr>
      <w:r w:rsidRPr="00C422ED">
        <w:rPr>
          <w:b/>
          <w:bCs/>
        </w:rPr>
        <w:t>15. Explain the reasons for any program changes or adjustments reported on the burden worksheet.</w:t>
      </w:r>
    </w:p>
    <w:p w:rsidR="00EF1A9E" w:rsidRPr="00C422ED" w14:paraId="6CADB70C" w14:textId="77777777">
      <w:pPr>
        <w:pStyle w:val="Default"/>
      </w:pPr>
      <w:r w:rsidRPr="00C422ED">
        <w:rPr>
          <w:bCs/>
        </w:rPr>
        <w:t xml:space="preserve"> </w:t>
      </w:r>
    </w:p>
    <w:p w:rsidR="00875AA7" w:rsidRPr="009B3011" w:rsidP="00875AA7" w14:paraId="471E31AD" w14:textId="60ED269F">
      <w:pPr>
        <w:widowControl/>
      </w:pPr>
      <w:r w:rsidRPr="009B3011">
        <w:rPr>
          <w:i/>
          <w:u w:val="single"/>
        </w:rPr>
        <w:t>Respondents</w:t>
      </w:r>
      <w:r w:rsidRPr="009B3011">
        <w:t xml:space="preserve">: The number of respondents </w:t>
      </w:r>
      <w:r>
        <w:t>de</w:t>
      </w:r>
      <w:r w:rsidRPr="009B3011">
        <w:t xml:space="preserve">creased from </w:t>
      </w:r>
      <w:r w:rsidRPr="00C422ED">
        <w:rPr>
          <w:color w:val="000000"/>
        </w:rPr>
        <w:t>1,060 to 803</w:t>
      </w:r>
      <w:r w:rsidR="009B3635">
        <w:rPr>
          <w:color w:val="000000"/>
        </w:rPr>
        <w:t xml:space="preserve"> number of mines with hoists</w:t>
      </w:r>
      <w:r w:rsidRPr="009B3011">
        <w:t>.</w:t>
      </w:r>
    </w:p>
    <w:p w:rsidR="00875AA7" w:rsidRPr="009B3011" w:rsidP="00875AA7" w14:paraId="6C648B11" w14:textId="77777777">
      <w:pPr>
        <w:widowControl/>
      </w:pPr>
    </w:p>
    <w:p w:rsidR="00875AA7" w:rsidRPr="009B3011" w:rsidP="00875AA7" w14:paraId="6838077B" w14:textId="25F4AB79">
      <w:pPr>
        <w:widowControl/>
      </w:pPr>
      <w:r w:rsidRPr="009B3011">
        <w:rPr>
          <w:i/>
          <w:u w:val="single"/>
        </w:rPr>
        <w:t>Responses</w:t>
      </w:r>
      <w:r w:rsidRPr="009B3011">
        <w:t xml:space="preserve">: The number of responses </w:t>
      </w:r>
      <w:r w:rsidR="009B3635">
        <w:t>de</w:t>
      </w:r>
      <w:r w:rsidRPr="009B3011">
        <w:t xml:space="preserve">creased from </w:t>
      </w:r>
      <w:r w:rsidRPr="00C422ED">
        <w:rPr>
          <w:color w:val="000000"/>
        </w:rPr>
        <w:t>1,060 to 803</w:t>
      </w:r>
      <w:r>
        <w:rPr>
          <w:color w:val="000000"/>
        </w:rPr>
        <w:t xml:space="preserve"> </w:t>
      </w:r>
      <w:r w:rsidRPr="009B3011">
        <w:t xml:space="preserve">due to the </w:t>
      </w:r>
      <w:r w:rsidR="009B3635">
        <w:t>de</w:t>
      </w:r>
      <w:r w:rsidRPr="009B3011">
        <w:t>crease in the number of respondents.</w:t>
      </w:r>
    </w:p>
    <w:p w:rsidR="00875AA7" w:rsidRPr="009B3011" w:rsidP="00875AA7" w14:paraId="4883E0B6" w14:textId="77777777">
      <w:pPr>
        <w:widowControl/>
      </w:pPr>
    </w:p>
    <w:p w:rsidR="00875AA7" w:rsidRPr="009B3011" w:rsidP="00875AA7" w14:paraId="06507698" w14:textId="3D0A0100">
      <w:pPr>
        <w:widowControl/>
      </w:pPr>
      <w:r w:rsidRPr="009B3011">
        <w:rPr>
          <w:i/>
          <w:u w:val="single"/>
        </w:rPr>
        <w:t>Burden Hours</w:t>
      </w:r>
      <w:r w:rsidRPr="009B3011">
        <w:t xml:space="preserve">: The number of burden hours </w:t>
      </w:r>
      <w:r w:rsidR="009B3635">
        <w:t>de</w:t>
      </w:r>
      <w:r w:rsidRPr="009B3011">
        <w:t xml:space="preserve">creased from </w:t>
      </w:r>
      <w:r w:rsidRPr="00C422ED" w:rsidR="009B3635">
        <w:rPr>
          <w:color w:val="000000"/>
        </w:rPr>
        <w:t>35 to 27</w:t>
      </w:r>
      <w:r w:rsidR="009B3635">
        <w:rPr>
          <w:color w:val="000000"/>
        </w:rPr>
        <w:t xml:space="preserve"> </w:t>
      </w:r>
      <w:r w:rsidRPr="009B3011">
        <w:t xml:space="preserve">due to the </w:t>
      </w:r>
      <w:r w:rsidR="009B3635">
        <w:t>de</w:t>
      </w:r>
      <w:r w:rsidRPr="009B3011">
        <w:t>creases in the number of respondents.</w:t>
      </w:r>
    </w:p>
    <w:p w:rsidR="00875AA7" w:rsidRPr="009B3011" w:rsidP="00875AA7" w14:paraId="57E25BD7" w14:textId="77777777">
      <w:pPr>
        <w:widowControl/>
      </w:pPr>
    </w:p>
    <w:p w:rsidR="007143AD" w:rsidP="00261172" w14:paraId="6A73560E" w14:textId="350A4213">
      <w:pPr>
        <w:widowControl/>
        <w:rPr>
          <w:color w:val="000000"/>
        </w:rPr>
      </w:pPr>
      <w:r w:rsidRPr="009B3011">
        <w:rPr>
          <w:i/>
          <w:u w:val="single"/>
        </w:rPr>
        <w:t>Respondents or Recordkeeping Costs</w:t>
      </w:r>
      <w:r w:rsidRPr="009B3011">
        <w:t xml:space="preserve">: The estimated annual costs remain the same. </w:t>
      </w:r>
    </w:p>
    <w:p w:rsidR="007143AD" w:rsidP="00564EFB" w14:paraId="119E8BD6" w14:textId="77777777">
      <w:pPr>
        <w:widowControl/>
        <w:autoSpaceDE/>
        <w:autoSpaceDN/>
        <w:adjustRightInd/>
        <w:rPr>
          <w:color w:val="000000"/>
        </w:rPr>
      </w:pPr>
    </w:p>
    <w:p w:rsidR="00261172" w:rsidP="00564EFB" w14:paraId="42B43AA3" w14:textId="77777777">
      <w:pPr>
        <w:widowControl/>
        <w:autoSpaceDE/>
        <w:autoSpaceDN/>
        <w:adjustRightInd/>
        <w:rPr>
          <w:color w:val="000000"/>
        </w:rPr>
      </w:pPr>
    </w:p>
    <w:p w:rsidR="00261172" w:rsidP="00564EFB" w14:paraId="360F6D65" w14:textId="77777777">
      <w:pPr>
        <w:widowControl/>
        <w:autoSpaceDE/>
        <w:autoSpaceDN/>
        <w:adjustRightInd/>
        <w:rPr>
          <w:color w:val="000000"/>
        </w:rPr>
      </w:pPr>
    </w:p>
    <w:p w:rsidR="00261172" w:rsidP="00564EFB" w14:paraId="42C265AB" w14:textId="77777777">
      <w:pPr>
        <w:widowControl/>
        <w:autoSpaceDE/>
        <w:autoSpaceDN/>
        <w:adjustRightInd/>
        <w:rPr>
          <w:color w:val="000000"/>
        </w:rPr>
      </w:pPr>
    </w:p>
    <w:p w:rsidR="00261172" w:rsidP="00564EFB" w14:paraId="7603CBAD" w14:textId="77777777">
      <w:pPr>
        <w:widowControl/>
        <w:autoSpaceDE/>
        <w:autoSpaceDN/>
        <w:adjustRightInd/>
        <w:rPr>
          <w:color w:val="000000"/>
        </w:rPr>
      </w:pPr>
    </w:p>
    <w:p w:rsidR="00261172" w:rsidP="00564EFB" w14:paraId="2AE6B8B6" w14:textId="77777777">
      <w:pPr>
        <w:widowControl/>
        <w:autoSpaceDE/>
        <w:autoSpaceDN/>
        <w:adjustRightInd/>
        <w:rPr>
          <w:color w:val="000000"/>
        </w:rPr>
      </w:pPr>
    </w:p>
    <w:p w:rsidR="00261172" w:rsidP="00564EFB" w14:paraId="38C7F5E9" w14:textId="77777777">
      <w:pPr>
        <w:widowControl/>
        <w:autoSpaceDE/>
        <w:autoSpaceDN/>
        <w:adjustRightInd/>
        <w:rPr>
          <w:color w:val="000000"/>
        </w:rPr>
      </w:pPr>
    </w:p>
    <w:p w:rsidR="00261172" w:rsidP="00564EFB" w14:paraId="133B2EAB" w14:textId="77777777">
      <w:pPr>
        <w:widowControl/>
        <w:autoSpaceDE/>
        <w:autoSpaceDN/>
        <w:adjustRightInd/>
        <w:rPr>
          <w:color w:val="000000"/>
        </w:rPr>
      </w:pPr>
    </w:p>
    <w:p w:rsidR="00261172" w:rsidP="00564EFB" w14:paraId="4780E537" w14:textId="77777777">
      <w:pPr>
        <w:widowControl/>
        <w:autoSpaceDE/>
        <w:autoSpaceDN/>
        <w:adjustRightInd/>
        <w:rPr>
          <w:color w:val="000000"/>
        </w:rPr>
      </w:pPr>
    </w:p>
    <w:p w:rsidR="00564EFB" w:rsidRPr="00C422ED" w:rsidP="00564EFB" w14:paraId="0E5C7BAA" w14:textId="607A1B94">
      <w:pPr>
        <w:widowControl/>
        <w:autoSpaceDE/>
        <w:autoSpaceDN/>
        <w:adjustRightInd/>
        <w:rPr>
          <w:color w:val="000000"/>
        </w:rPr>
      </w:pPr>
      <w:r w:rsidRPr="00C422ED">
        <w:rPr>
          <w:color w:val="000000"/>
        </w:rPr>
        <w:t>Table 15-1. Summary of Changes</w:t>
      </w:r>
    </w:p>
    <w:tbl>
      <w:tblPr>
        <w:tblW w:w="8202" w:type="dxa"/>
        <w:tblLook w:val="04A0"/>
      </w:tblPr>
      <w:tblGrid>
        <w:gridCol w:w="4820"/>
        <w:gridCol w:w="1180"/>
        <w:gridCol w:w="1116"/>
        <w:gridCol w:w="1242"/>
      </w:tblGrid>
      <w:tr w14:paraId="624B9357" w14:textId="77777777" w:rsidTr="00564EFB">
        <w:tblPrEx>
          <w:tblW w:w="8202" w:type="dxa"/>
          <w:tblLook w:val="04A0"/>
        </w:tblPrEx>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64EFB" w:rsidRPr="00C422ED" w:rsidP="00564EFB" w14:paraId="66058172" w14:textId="77777777">
            <w:pPr>
              <w:widowControl/>
              <w:autoSpaceDE/>
              <w:autoSpaceDN/>
              <w:adjustRightInd/>
              <w:rPr>
                <w:color w:val="000000"/>
              </w:rPr>
            </w:pPr>
            <w:r w:rsidRPr="00C422ED">
              <w:rPr>
                <w:color w:val="000000"/>
              </w:rPr>
              <w:t> </w:t>
            </w:r>
          </w:p>
        </w:tc>
        <w:tc>
          <w:tcPr>
            <w:tcW w:w="118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64EFB" w:rsidRPr="00C422ED" w:rsidP="00564EFB" w14:paraId="7C43EAD2" w14:textId="77777777">
            <w:pPr>
              <w:widowControl/>
              <w:autoSpaceDE/>
              <w:autoSpaceDN/>
              <w:adjustRightInd/>
              <w:rPr>
                <w:color w:val="000000"/>
              </w:rPr>
            </w:pPr>
            <w:r w:rsidRPr="00C422ED">
              <w:rPr>
                <w:color w:val="000000"/>
              </w:rPr>
              <w:t>Previous</w:t>
            </w:r>
          </w:p>
        </w:tc>
        <w:tc>
          <w:tcPr>
            <w:tcW w:w="1052"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64EFB" w:rsidRPr="00C422ED" w:rsidP="00564EFB" w14:paraId="54947685" w14:textId="77777777">
            <w:pPr>
              <w:widowControl/>
              <w:autoSpaceDE/>
              <w:autoSpaceDN/>
              <w:adjustRightInd/>
              <w:rPr>
                <w:color w:val="000000"/>
              </w:rPr>
            </w:pPr>
            <w:r w:rsidRPr="00C422ED">
              <w:rPr>
                <w:color w:val="000000"/>
              </w:rPr>
              <w:t>Current</w:t>
            </w:r>
          </w:p>
        </w:tc>
        <w:tc>
          <w:tcPr>
            <w:tcW w:w="115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64EFB" w:rsidRPr="00C422ED" w:rsidP="00564EFB" w14:paraId="5E93AC73" w14:textId="77777777">
            <w:pPr>
              <w:widowControl/>
              <w:autoSpaceDE/>
              <w:autoSpaceDN/>
              <w:adjustRightInd/>
              <w:rPr>
                <w:color w:val="000000"/>
              </w:rPr>
            </w:pPr>
            <w:r w:rsidRPr="00C422ED">
              <w:rPr>
                <w:color w:val="000000"/>
              </w:rPr>
              <w:t>Difference</w:t>
            </w:r>
          </w:p>
        </w:tc>
      </w:tr>
      <w:tr w14:paraId="74D8AEFE"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08604919" w14:textId="77777777">
            <w:pPr>
              <w:widowControl/>
              <w:autoSpaceDE/>
              <w:autoSpaceDN/>
              <w:adjustRightInd/>
              <w:rPr>
                <w:color w:val="000000"/>
              </w:rPr>
            </w:pPr>
            <w:r w:rsidRPr="00C422ED">
              <w:rPr>
                <w:color w:val="000000"/>
              </w:rPr>
              <w:t>Respondents</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70E10B69" w14:textId="77777777">
            <w:pPr>
              <w:widowControl/>
              <w:autoSpaceDE/>
              <w:autoSpaceDN/>
              <w:adjustRightInd/>
              <w:jc w:val="right"/>
              <w:rPr>
                <w:color w:val="000000"/>
              </w:rPr>
            </w:pPr>
            <w:r w:rsidRPr="00C422ED">
              <w:rPr>
                <w:color w:val="000000"/>
              </w:rPr>
              <w:t>1,060</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047FB85B" w14:textId="77777777">
            <w:pPr>
              <w:widowControl/>
              <w:autoSpaceDE/>
              <w:autoSpaceDN/>
              <w:adjustRightInd/>
              <w:jc w:val="right"/>
              <w:rPr>
                <w:color w:val="000000"/>
              </w:rPr>
            </w:pPr>
            <w:r w:rsidRPr="00C422ED">
              <w:rPr>
                <w:color w:val="000000"/>
              </w:rPr>
              <w:t>803</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32D01C41" w14:textId="77777777">
            <w:pPr>
              <w:widowControl/>
              <w:autoSpaceDE/>
              <w:autoSpaceDN/>
              <w:adjustRightInd/>
              <w:jc w:val="right"/>
              <w:rPr>
                <w:color w:val="000000"/>
              </w:rPr>
            </w:pPr>
            <w:r w:rsidRPr="00C422ED">
              <w:rPr>
                <w:color w:val="000000"/>
              </w:rPr>
              <w:t>-257</w:t>
            </w:r>
          </w:p>
        </w:tc>
      </w:tr>
      <w:tr w14:paraId="54A90E37"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37BE4E1F" w14:textId="77777777">
            <w:pPr>
              <w:widowControl/>
              <w:autoSpaceDE/>
              <w:autoSpaceDN/>
              <w:adjustRightInd/>
              <w:rPr>
                <w:color w:val="000000"/>
              </w:rPr>
            </w:pPr>
            <w:r w:rsidRPr="00C422ED">
              <w:rPr>
                <w:color w:val="000000"/>
              </w:rPr>
              <w:t>Responses</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1AC7BAE1" w14:textId="77777777">
            <w:pPr>
              <w:widowControl/>
              <w:autoSpaceDE/>
              <w:autoSpaceDN/>
              <w:adjustRightInd/>
              <w:jc w:val="right"/>
              <w:rPr>
                <w:color w:val="000000"/>
              </w:rPr>
            </w:pPr>
            <w:r w:rsidRPr="00C422ED">
              <w:rPr>
                <w:color w:val="000000"/>
              </w:rPr>
              <w:t>1,060</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7B590561" w14:textId="77777777">
            <w:pPr>
              <w:widowControl/>
              <w:autoSpaceDE/>
              <w:autoSpaceDN/>
              <w:adjustRightInd/>
              <w:jc w:val="right"/>
              <w:rPr>
                <w:color w:val="000000"/>
              </w:rPr>
            </w:pPr>
            <w:r w:rsidRPr="00C422ED">
              <w:rPr>
                <w:color w:val="000000"/>
              </w:rPr>
              <w:t>803</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21304A8F" w14:textId="77777777">
            <w:pPr>
              <w:widowControl/>
              <w:autoSpaceDE/>
              <w:autoSpaceDN/>
              <w:adjustRightInd/>
              <w:jc w:val="right"/>
              <w:rPr>
                <w:color w:val="000000"/>
              </w:rPr>
            </w:pPr>
            <w:r w:rsidRPr="00C422ED">
              <w:rPr>
                <w:color w:val="000000"/>
              </w:rPr>
              <w:t>-257</w:t>
            </w:r>
          </w:p>
        </w:tc>
      </w:tr>
      <w:tr w14:paraId="053A3956"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74932BA5" w14:textId="77777777">
            <w:pPr>
              <w:widowControl/>
              <w:autoSpaceDE/>
              <w:autoSpaceDN/>
              <w:adjustRightInd/>
              <w:rPr>
                <w:color w:val="000000"/>
              </w:rPr>
            </w:pPr>
            <w:r w:rsidRPr="00C422ED">
              <w:rPr>
                <w:color w:val="000000"/>
              </w:rPr>
              <w:t>Burden Hours</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4CFE46B6" w14:textId="77777777">
            <w:pPr>
              <w:widowControl/>
              <w:autoSpaceDE/>
              <w:autoSpaceDN/>
              <w:adjustRightInd/>
              <w:jc w:val="right"/>
              <w:rPr>
                <w:color w:val="000000"/>
              </w:rPr>
            </w:pPr>
            <w:r w:rsidRPr="00C422ED">
              <w:rPr>
                <w:color w:val="000000"/>
              </w:rPr>
              <w:t>35</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51EB9200" w14:textId="77777777">
            <w:pPr>
              <w:widowControl/>
              <w:autoSpaceDE/>
              <w:autoSpaceDN/>
              <w:adjustRightInd/>
              <w:jc w:val="right"/>
              <w:rPr>
                <w:color w:val="000000"/>
              </w:rPr>
            </w:pPr>
            <w:r w:rsidRPr="00C422ED">
              <w:rPr>
                <w:color w:val="000000"/>
              </w:rPr>
              <w:t>27</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554CFAB1" w14:textId="77777777">
            <w:pPr>
              <w:widowControl/>
              <w:autoSpaceDE/>
              <w:autoSpaceDN/>
              <w:adjustRightInd/>
              <w:jc w:val="right"/>
              <w:rPr>
                <w:color w:val="000000"/>
              </w:rPr>
            </w:pPr>
            <w:r w:rsidRPr="00C422ED">
              <w:rPr>
                <w:color w:val="000000"/>
              </w:rPr>
              <w:t>-8</w:t>
            </w:r>
          </w:p>
        </w:tc>
      </w:tr>
      <w:tr w14:paraId="4FDFE75A"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25B65456" w14:textId="77777777">
            <w:pPr>
              <w:widowControl/>
              <w:autoSpaceDE/>
              <w:autoSpaceDN/>
              <w:adjustRightInd/>
              <w:rPr>
                <w:color w:val="000000"/>
              </w:rPr>
            </w:pPr>
            <w:r w:rsidRPr="00C422ED">
              <w:rPr>
                <w:color w:val="000000"/>
              </w:rPr>
              <w:t>Respondent or Recordkeeper Costs</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5ECE34A4" w14:textId="77777777">
            <w:pPr>
              <w:widowControl/>
              <w:autoSpaceDE/>
              <w:autoSpaceDN/>
              <w:adjustRightInd/>
              <w:jc w:val="right"/>
              <w:rPr>
                <w:color w:val="000000"/>
              </w:rPr>
            </w:pPr>
            <w:r w:rsidRPr="00C422ED">
              <w:rPr>
                <w:color w:val="000000"/>
              </w:rPr>
              <w:t>$399,620</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27C669C5" w14:textId="77777777">
            <w:pPr>
              <w:widowControl/>
              <w:autoSpaceDE/>
              <w:autoSpaceDN/>
              <w:adjustRightInd/>
              <w:jc w:val="right"/>
              <w:rPr>
                <w:color w:val="000000"/>
              </w:rPr>
            </w:pPr>
            <w:r w:rsidRPr="00C422ED">
              <w:rPr>
                <w:color w:val="000000"/>
              </w:rPr>
              <w:t>$325,157</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01D47D84" w14:textId="77777777">
            <w:pPr>
              <w:widowControl/>
              <w:autoSpaceDE/>
              <w:autoSpaceDN/>
              <w:adjustRightInd/>
              <w:jc w:val="right"/>
              <w:rPr>
                <w:color w:val="000000"/>
              </w:rPr>
            </w:pPr>
            <w:r w:rsidRPr="00C422ED">
              <w:rPr>
                <w:color w:val="000000"/>
              </w:rPr>
              <w:t>-$74,463</w:t>
            </w:r>
          </w:p>
        </w:tc>
      </w:tr>
      <w:tr w14:paraId="683F9670"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5BBB3C97" w14:textId="77777777">
            <w:pPr>
              <w:widowControl/>
              <w:autoSpaceDE/>
              <w:autoSpaceDN/>
              <w:adjustRightInd/>
              <w:rPr>
                <w:color w:val="000000"/>
              </w:rPr>
            </w:pPr>
            <w:r w:rsidRPr="00C422ED">
              <w:rPr>
                <w:color w:val="000000"/>
              </w:rPr>
              <w:t> </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391055FB" w14:textId="77777777">
            <w:pPr>
              <w:widowControl/>
              <w:autoSpaceDE/>
              <w:autoSpaceDN/>
              <w:adjustRightInd/>
              <w:jc w:val="right"/>
              <w:rPr>
                <w:color w:val="000000"/>
              </w:rPr>
            </w:pPr>
            <w:r w:rsidRPr="00C422ED">
              <w:rPr>
                <w:color w:val="000000"/>
              </w:rPr>
              <w:t> </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42BF51F4" w14:textId="77777777">
            <w:pPr>
              <w:widowControl/>
              <w:autoSpaceDE/>
              <w:autoSpaceDN/>
              <w:adjustRightInd/>
              <w:jc w:val="right"/>
              <w:rPr>
                <w:color w:val="000000"/>
              </w:rPr>
            </w:pPr>
            <w:r w:rsidRPr="00C422ED">
              <w:rPr>
                <w:color w:val="000000"/>
              </w:rPr>
              <w:t> </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40B7DA54" w14:textId="77777777">
            <w:pPr>
              <w:widowControl/>
              <w:autoSpaceDE/>
              <w:autoSpaceDN/>
              <w:adjustRightInd/>
              <w:jc w:val="right"/>
              <w:rPr>
                <w:color w:val="000000"/>
              </w:rPr>
            </w:pPr>
            <w:r w:rsidRPr="00C422ED">
              <w:rPr>
                <w:color w:val="000000"/>
              </w:rPr>
              <w:t> </w:t>
            </w:r>
          </w:p>
        </w:tc>
      </w:tr>
      <w:tr w14:paraId="18D68921"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6A7B434A" w14:textId="77777777">
            <w:pPr>
              <w:widowControl/>
              <w:autoSpaceDE/>
              <w:autoSpaceDN/>
              <w:adjustRightInd/>
              <w:rPr>
                <w:color w:val="000000"/>
              </w:rPr>
            </w:pPr>
            <w:r w:rsidRPr="00C422ED">
              <w:rPr>
                <w:color w:val="000000"/>
              </w:rPr>
              <w:t>Federal Costs</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15D170B6" w14:textId="77777777">
            <w:pPr>
              <w:widowControl/>
              <w:autoSpaceDE/>
              <w:autoSpaceDN/>
              <w:adjustRightInd/>
              <w:jc w:val="right"/>
              <w:rPr>
                <w:color w:val="000000"/>
              </w:rPr>
            </w:pPr>
            <w:r w:rsidRPr="00C422ED">
              <w:rPr>
                <w:color w:val="000000"/>
              </w:rPr>
              <w:t>$0</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1EDDAF24" w14:textId="77777777">
            <w:pPr>
              <w:widowControl/>
              <w:autoSpaceDE/>
              <w:autoSpaceDN/>
              <w:adjustRightInd/>
              <w:jc w:val="right"/>
              <w:rPr>
                <w:color w:val="000000"/>
              </w:rPr>
            </w:pPr>
            <w:r w:rsidRPr="00C422ED">
              <w:rPr>
                <w:color w:val="000000"/>
              </w:rPr>
              <w:t>$0</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3994B452" w14:textId="77777777">
            <w:pPr>
              <w:widowControl/>
              <w:autoSpaceDE/>
              <w:autoSpaceDN/>
              <w:adjustRightInd/>
              <w:jc w:val="right"/>
              <w:rPr>
                <w:color w:val="000000"/>
              </w:rPr>
            </w:pPr>
            <w:r w:rsidRPr="00C422ED">
              <w:rPr>
                <w:color w:val="000000"/>
              </w:rPr>
              <w:t>$0</w:t>
            </w:r>
          </w:p>
        </w:tc>
      </w:tr>
      <w:tr w14:paraId="0E436514" w14:textId="77777777" w:rsidTr="00564EFB">
        <w:tblPrEx>
          <w:tblW w:w="8202" w:type="dxa"/>
          <w:tblLook w:val="04A0"/>
        </w:tblPrEx>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64EFB" w:rsidRPr="00C422ED" w:rsidP="00564EFB" w14:paraId="79577A92" w14:textId="77777777">
            <w:pPr>
              <w:widowControl/>
              <w:autoSpaceDE/>
              <w:autoSpaceDN/>
              <w:adjustRightInd/>
              <w:rPr>
                <w:color w:val="000000"/>
              </w:rPr>
            </w:pPr>
            <w:r w:rsidRPr="00C422ED">
              <w:rPr>
                <w:color w:val="000000"/>
              </w:rPr>
              <w:t>Federal Hours</w:t>
            </w:r>
          </w:p>
        </w:tc>
        <w:tc>
          <w:tcPr>
            <w:tcW w:w="118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2C062D19" w14:textId="77777777">
            <w:pPr>
              <w:widowControl/>
              <w:autoSpaceDE/>
              <w:autoSpaceDN/>
              <w:adjustRightInd/>
              <w:jc w:val="right"/>
              <w:rPr>
                <w:color w:val="000000"/>
              </w:rPr>
            </w:pPr>
            <w:r w:rsidRPr="00C422ED">
              <w:rPr>
                <w:color w:val="000000"/>
              </w:rPr>
              <w:t>0</w:t>
            </w:r>
          </w:p>
        </w:tc>
        <w:tc>
          <w:tcPr>
            <w:tcW w:w="1052"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03FCEDE1" w14:textId="77777777">
            <w:pPr>
              <w:widowControl/>
              <w:autoSpaceDE/>
              <w:autoSpaceDN/>
              <w:adjustRightInd/>
              <w:jc w:val="right"/>
              <w:rPr>
                <w:color w:val="000000"/>
              </w:rPr>
            </w:pPr>
            <w:r w:rsidRPr="00C422ED">
              <w:rPr>
                <w:color w:val="000000"/>
              </w:rPr>
              <w:t>0</w:t>
            </w:r>
          </w:p>
        </w:tc>
        <w:tc>
          <w:tcPr>
            <w:tcW w:w="1150" w:type="dxa"/>
            <w:tcBorders>
              <w:top w:val="nil"/>
              <w:left w:val="nil"/>
              <w:bottom w:val="single" w:sz="4" w:space="0" w:color="auto"/>
              <w:right w:val="single" w:sz="4" w:space="0" w:color="auto"/>
            </w:tcBorders>
            <w:shd w:val="clear" w:color="auto" w:fill="auto"/>
            <w:noWrap/>
            <w:vAlign w:val="center"/>
            <w:hideMark/>
          </w:tcPr>
          <w:p w:rsidR="00564EFB" w:rsidRPr="00C422ED" w:rsidP="00564EFB" w14:paraId="193E8364" w14:textId="77777777">
            <w:pPr>
              <w:widowControl/>
              <w:autoSpaceDE/>
              <w:autoSpaceDN/>
              <w:adjustRightInd/>
              <w:jc w:val="right"/>
              <w:rPr>
                <w:color w:val="000000"/>
              </w:rPr>
            </w:pPr>
            <w:r w:rsidRPr="00C422ED">
              <w:rPr>
                <w:color w:val="000000"/>
              </w:rPr>
              <w:t>0</w:t>
            </w:r>
          </w:p>
        </w:tc>
      </w:tr>
    </w:tbl>
    <w:p w:rsidR="00564EFB" w:rsidRPr="00C422ED" w:rsidP="00564EFB" w14:paraId="0A9C09B8" w14:textId="1F2D7DAF">
      <w:pPr>
        <w:pStyle w:val="Default"/>
      </w:pPr>
    </w:p>
    <w:p w:rsidR="00506683" w:rsidRPr="00C422ED" w14:paraId="10A15A37" w14:textId="106C6FC5">
      <w:pPr>
        <w:pStyle w:val="Default"/>
        <w:rPr>
          <w:b/>
        </w:rPr>
      </w:pPr>
      <w:r w:rsidRPr="00C422ED">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1A9E" w:rsidRPr="00C422ED" w14:paraId="190E99DE" w14:textId="77777777">
      <w:pPr>
        <w:pStyle w:val="Default"/>
      </w:pPr>
      <w:r w:rsidRPr="00C422ED">
        <w:rPr>
          <w:bCs/>
        </w:rPr>
        <w:t xml:space="preserve"> </w:t>
      </w:r>
    </w:p>
    <w:p w:rsidR="00EF1A9E" w:rsidRPr="00C422ED" w:rsidP="00B51020" w14:paraId="6031A1BA" w14:textId="77777777">
      <w:pPr>
        <w:pStyle w:val="Default"/>
      </w:pPr>
      <w:r w:rsidRPr="00C422ED">
        <w:t xml:space="preserve">MSHA does not intend to publish the results of this information collection. </w:t>
      </w:r>
    </w:p>
    <w:p w:rsidR="00EF1A9E" w:rsidRPr="00C422ED" w14:paraId="6B1652BB" w14:textId="77777777">
      <w:pPr>
        <w:pStyle w:val="Default"/>
      </w:pPr>
      <w:r w:rsidRPr="00C422ED">
        <w:t xml:space="preserve"> </w:t>
      </w:r>
    </w:p>
    <w:p w:rsidR="00506683" w:rsidRPr="00C422ED" w:rsidP="00B51020" w14:paraId="5270BAEE" w14:textId="77777777">
      <w:pPr>
        <w:pStyle w:val="Default"/>
        <w:rPr>
          <w:b/>
          <w:bCs/>
        </w:rPr>
      </w:pPr>
      <w:r w:rsidRPr="00C422ED">
        <w:rPr>
          <w:b/>
          <w:bCs/>
        </w:rPr>
        <w:t xml:space="preserve">17. If seeking approval to not display the expiration date for OMB approval of the information collection, explain the reasons that display would be inappropriate. </w:t>
      </w:r>
    </w:p>
    <w:p w:rsidR="00506683" w:rsidRPr="00C422ED" w:rsidP="00B51020" w14:paraId="49C024FC" w14:textId="77777777">
      <w:pPr>
        <w:pStyle w:val="Default"/>
        <w:rPr>
          <w:b/>
          <w:bCs/>
        </w:rPr>
      </w:pPr>
    </w:p>
    <w:p w:rsidR="00EF1A9E" w:rsidRPr="00C422ED" w:rsidP="00B51020" w14:paraId="6B57C04B" w14:textId="77777777">
      <w:pPr>
        <w:pStyle w:val="Default"/>
      </w:pPr>
      <w:r w:rsidRPr="00C422ED">
        <w:t xml:space="preserve">MSHA </w:t>
      </w:r>
      <w:r w:rsidRPr="00C422ED" w:rsidR="00F06539">
        <w:t>associates no forms with</w:t>
      </w:r>
      <w:r w:rsidRPr="00C422ED">
        <w:t xml:space="preserve"> this collection. </w:t>
      </w:r>
    </w:p>
    <w:p w:rsidR="00EF1A9E" w:rsidRPr="00C422ED" w14:paraId="2078FAE7" w14:textId="77777777">
      <w:pPr>
        <w:pStyle w:val="Default"/>
      </w:pPr>
      <w:r w:rsidRPr="00C422ED">
        <w:t xml:space="preserve"> </w:t>
      </w:r>
    </w:p>
    <w:p w:rsidR="00EF1A9E" w:rsidRPr="00C422ED" w:rsidP="00D902CE" w14:paraId="5C3E3AEB" w14:textId="54367127">
      <w:pPr>
        <w:widowControl/>
        <w:autoSpaceDE/>
        <w:autoSpaceDN/>
        <w:adjustRightInd/>
        <w:rPr>
          <w:b/>
          <w:bCs/>
        </w:rPr>
      </w:pPr>
      <w:r w:rsidRPr="00C422ED">
        <w:rPr>
          <w:b/>
          <w:bCs/>
        </w:rPr>
        <w:t>18. Explain each exception to the topics of the certification statement identified in “Certification for Paperwork Reduction Act Submissions.”</w:t>
      </w:r>
      <w:r w:rsidRPr="00C422ED">
        <w:rPr>
          <w:b/>
          <w:bCs/>
        </w:rPr>
        <w:t xml:space="preserve"> </w:t>
      </w:r>
    </w:p>
    <w:p w:rsidR="00506683" w:rsidRPr="00C422ED" w14:paraId="5A6742C1" w14:textId="77777777">
      <w:pPr>
        <w:pStyle w:val="Default"/>
        <w:rPr>
          <w:b/>
        </w:rPr>
      </w:pPr>
    </w:p>
    <w:p w:rsidR="00EF1A9E" w:rsidRPr="00C422ED" w:rsidP="00B51020" w14:paraId="4678C9D8" w14:textId="77777777">
      <w:pPr>
        <w:pStyle w:val="Default"/>
      </w:pPr>
      <w:r w:rsidRPr="00C422ED">
        <w:t xml:space="preserve">There are no exceptions to the certification statement. </w:t>
      </w:r>
    </w:p>
    <w:p w:rsidR="00EF1A9E" w:rsidRPr="00C422ED" w14:paraId="22E4343E" w14:textId="77777777">
      <w:pPr>
        <w:pStyle w:val="Default"/>
      </w:pPr>
    </w:p>
    <w:p w:rsidR="002E2468" w:rsidRPr="00C422ED" w:rsidP="0058422E" w14:paraId="27B50105" w14:textId="77777777">
      <w:pPr>
        <w:widowControl/>
      </w:pPr>
      <w:r w:rsidRPr="00C422ED">
        <w:t xml:space="preserve"> </w:t>
      </w:r>
      <w:r w:rsidRPr="00C422ED" w:rsidR="00BE6254">
        <w:rPr>
          <w:b/>
          <w:bCs/>
        </w:rPr>
        <w:t xml:space="preserve">B. </w:t>
      </w:r>
      <w:r w:rsidRPr="00C422ED">
        <w:rPr>
          <w:b/>
          <w:bCs/>
        </w:rPr>
        <w:t>Coll</w:t>
      </w:r>
      <w:r w:rsidRPr="00C422ED" w:rsidR="00F06539">
        <w:rPr>
          <w:b/>
          <w:bCs/>
        </w:rPr>
        <w:t>ection of Information Employing</w:t>
      </w:r>
      <w:r w:rsidRPr="00C422ED">
        <w:rPr>
          <w:b/>
          <w:bCs/>
        </w:rPr>
        <w:t xml:space="preserve"> Statistical Methods</w:t>
      </w:r>
      <w:r w:rsidRPr="00C422ED">
        <w:tab/>
      </w:r>
    </w:p>
    <w:p w:rsidR="00EF1A9E" w:rsidRPr="00C422ED" w:rsidP="00EF1A9E" w14:paraId="65F4F621" w14:textId="77777777">
      <w:pPr>
        <w:widowControl/>
      </w:pPr>
    </w:p>
    <w:p w:rsidR="00EF1A9E" w:rsidRPr="00C422ED" w:rsidP="003F0CF6" w14:paraId="01933D9D" w14:textId="77777777">
      <w:pPr>
        <w:widowControl/>
      </w:pPr>
      <w:r w:rsidRPr="00C422ED">
        <w:t xml:space="preserve">As statistical analysis is not required by the regulation, questions 1 through 5 do not apply. </w:t>
      </w:r>
    </w:p>
    <w:p w:rsidR="00EF1A9E" w:rsidRPr="00C422ED" w14:paraId="08AF598D" w14:textId="77777777">
      <w:pPr>
        <w:pStyle w:val="Default"/>
      </w:pPr>
    </w:p>
    <w:p w:rsidR="00EF1A9E" w:rsidRPr="00C422ED" w14:paraId="4A0B1B77" w14:textId="77777777">
      <w:pPr>
        <w:pStyle w:val="Default"/>
      </w:pPr>
      <w:r w:rsidRPr="00C422ED">
        <w:t xml:space="preserve"> </w:t>
      </w:r>
    </w:p>
    <w:sectPr w:rsidSect="00D44387">
      <w:headerReference w:type="default" r:id="rId6"/>
      <w:footerReference w:type="even" r:id="rId7"/>
      <w:footerReference w:type="default" r:id="rId8"/>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406" w:rsidP="00C55B9D" w14:paraId="25608C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2406" w14:paraId="03F92A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406" w:rsidP="00C55B9D" w14:paraId="33B1EC65" w14:textId="32BA53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BDC">
      <w:rPr>
        <w:rStyle w:val="PageNumber"/>
        <w:noProof/>
      </w:rPr>
      <w:t>8</w:t>
    </w:r>
    <w:r>
      <w:rPr>
        <w:rStyle w:val="PageNumber"/>
      </w:rPr>
      <w:fldChar w:fldCharType="end"/>
    </w:r>
  </w:p>
  <w:p w:rsidR="006D2406" w:rsidP="002E2468" w14:paraId="4BC6BE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604" w14:paraId="38E7B128" w14:textId="77777777">
      <w:r>
        <w:separator/>
      </w:r>
    </w:p>
  </w:footnote>
  <w:footnote w:type="continuationSeparator" w:id="1">
    <w:p w:rsidR="00B14604" w14:paraId="045BC490" w14:textId="77777777">
      <w:r>
        <w:continuationSeparator/>
      </w:r>
    </w:p>
  </w:footnote>
  <w:footnote w:id="2">
    <w:p w:rsidR="00922420" w:rsidRPr="00687C94" w:rsidP="00922420" w14:paraId="3F9835F4" w14:textId="77777777">
      <w:pPr>
        <w:pStyle w:val="FootnoteText"/>
        <w:rPr>
          <w:sz w:val="18"/>
          <w:szCs w:val="18"/>
        </w:rPr>
      </w:pPr>
      <w:r w:rsidRPr="00687C94">
        <w:rPr>
          <w:rStyle w:val="FootnoteReference"/>
          <w:sz w:val="18"/>
          <w:szCs w:val="18"/>
        </w:rPr>
        <w:footnoteRef/>
      </w:r>
      <w:bookmarkStart w:id="1" w:name="_Hlk101237093"/>
      <w:r w:rsidRPr="00687C94">
        <w:rPr>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1"/>
    </w:p>
  </w:footnote>
  <w:footnote w:id="3">
    <w:p w:rsidR="00C422ED" w:rsidRPr="00687C94" w:rsidP="00C422ED" w14:paraId="68DCC23A" w14:textId="77777777">
      <w:pPr>
        <w:pStyle w:val="FootnoteText"/>
        <w:rPr>
          <w:sz w:val="18"/>
          <w:szCs w:val="18"/>
        </w:rPr>
      </w:pPr>
      <w:r w:rsidRPr="00687C94">
        <w:rPr>
          <w:rStyle w:val="FootnoteReference"/>
          <w:sz w:val="18"/>
          <w:szCs w:val="18"/>
        </w:rPr>
        <w:footnoteRef/>
      </w:r>
      <w:r w:rsidRPr="00687C94">
        <w:rPr>
          <w:rStyle w:val="FootnoteReference"/>
          <w:sz w:val="18"/>
          <w:szCs w:val="18"/>
        </w:rPr>
        <w:t xml:space="preserve"> </w:t>
      </w:r>
      <w:r w:rsidRPr="00687C94">
        <w:rPr>
          <w:sz w:val="18"/>
          <w:szCs w:val="18"/>
        </w:rPr>
        <w:t xml:space="preserve">Options for obtaining OEWS data are available at item “E3. How to get OEWS data. What are the different ways to obtain OEWS estimates from this website?” at </w:t>
      </w:r>
      <w:hyperlink r:id="rId1" w:history="1">
        <w:r w:rsidRPr="00687C94">
          <w:rPr>
            <w:rStyle w:val="Hyperlink"/>
            <w:sz w:val="18"/>
            <w:szCs w:val="18"/>
          </w:rPr>
          <w:t>https://www.bls.gov/oes/oes_ques.htm</w:t>
        </w:r>
      </w:hyperlink>
      <w:r w:rsidRPr="00687C94">
        <w:rPr>
          <w:sz w:val="18"/>
          <w:szCs w:val="18"/>
        </w:rPr>
        <w:t xml:space="preserve">. </w:t>
      </w:r>
    </w:p>
    <w:p w:rsidR="00C422ED" w:rsidRPr="00687C94" w:rsidP="00C422ED" w14:paraId="78141AC9" w14:textId="77777777">
      <w:pPr>
        <w:pStyle w:val="FootnoteText"/>
        <w:rPr>
          <w:sz w:val="18"/>
          <w:szCs w:val="18"/>
        </w:rPr>
      </w:pPr>
    </w:p>
  </w:footnote>
  <w:footnote w:id="4">
    <w:p w:rsidR="00C422ED" w:rsidRPr="00687C94" w:rsidP="00C422ED" w14:paraId="36548A8E" w14:textId="77777777">
      <w:pPr>
        <w:pStyle w:val="FootnoteText"/>
        <w:rPr>
          <w:sz w:val="18"/>
          <w:szCs w:val="18"/>
        </w:rPr>
      </w:pPr>
      <w:r w:rsidRPr="00687C94">
        <w:rPr>
          <w:rStyle w:val="FootnoteReference"/>
          <w:sz w:val="18"/>
          <w:szCs w:val="18"/>
        </w:rPr>
        <w:footnoteRef/>
      </w:r>
      <w:r w:rsidRPr="00687C94">
        <w:rPr>
          <w:sz w:val="18"/>
          <w:szCs w:val="18"/>
        </w:rPr>
        <w:t xml:space="preserve"> The benefit multiplier comes from BLS Employer Costs for Employee Compensation accessed by menu at </w:t>
      </w:r>
      <w:hyperlink r:id="rId2" w:history="1">
        <w:r w:rsidRPr="00687C94">
          <w:rPr>
            <w:rStyle w:val="Hyperlink"/>
            <w:sz w:val="18"/>
            <w:szCs w:val="18"/>
          </w:rPr>
          <w:t>http://data.bls.gov/cgi-bin/srgate</w:t>
        </w:r>
      </w:hyperlink>
      <w:r w:rsidRPr="00687C94">
        <w:rPr>
          <w:sz w:val="18"/>
          <w:szCs w:val="18"/>
        </w:rPr>
        <w:t xml:space="preserve"> or directly with </w:t>
      </w:r>
      <w:hyperlink r:id="rId3" w:history="1">
        <w:r w:rsidRPr="00687C94">
          <w:rPr>
            <w:rStyle w:val="Hyperlink"/>
            <w:sz w:val="18"/>
            <w:szCs w:val="18"/>
          </w:rPr>
          <w:t>http://download.bls.gov/pub/time.series/cm/cm.data.0.Current</w:t>
        </w:r>
      </w:hyperlink>
      <w:r w:rsidRPr="00687C94">
        <w:rPr>
          <w:sz w:val="18"/>
          <w:szCs w:val="18"/>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C422ED" w:rsidRPr="00687C94" w:rsidP="00C422ED" w14:paraId="64543509" w14:textId="77777777">
      <w:pPr>
        <w:pStyle w:val="FootnoteText"/>
        <w:rPr>
          <w:sz w:val="18"/>
          <w:szCs w:val="18"/>
        </w:rPr>
      </w:pPr>
    </w:p>
  </w:footnote>
  <w:footnote w:id="5">
    <w:p w:rsidR="00C422ED" w:rsidRPr="00687C94" w:rsidP="00C422ED" w14:paraId="0D83971A" w14:textId="77777777">
      <w:pPr>
        <w:pStyle w:val="FootnoteText"/>
        <w:rPr>
          <w:sz w:val="18"/>
          <w:szCs w:val="18"/>
        </w:rPr>
      </w:pPr>
      <w:r w:rsidRPr="00687C94">
        <w:rPr>
          <w:rStyle w:val="FootnoteReference"/>
          <w:sz w:val="18"/>
          <w:szCs w:val="18"/>
        </w:rPr>
        <w:footnoteRef/>
      </w:r>
      <w:r w:rsidRPr="00687C94">
        <w:rPr>
          <w:rStyle w:val="FootnoteReference"/>
          <w:sz w:val="18"/>
          <w:szCs w:val="18"/>
        </w:rPr>
        <w:t xml:space="preserve"> </w:t>
      </w:r>
      <w:r w:rsidRPr="00687C94">
        <w:rPr>
          <w:sz w:val="18"/>
          <w:szCs w:val="18"/>
        </w:rPr>
        <w:t xml:space="preserve">Wage inflation is the change in Series ID: CIS2020000405000I; Seasonally adjusted; Series Title: Wages and salaries for Private industry workers in Construction, extraction, farming, fishing, and forestry occupations, Index at </w:t>
      </w:r>
      <w:hyperlink r:id="rId4" w:history="1">
        <w:r w:rsidRPr="00687C94">
          <w:rPr>
            <w:rStyle w:val="Hyperlink"/>
            <w:sz w:val="18"/>
            <w:szCs w:val="18"/>
          </w:rPr>
          <w:t>https://data.bls.gov/cgi-bin/srgate</w:t>
        </w:r>
      </w:hyperlink>
      <w:r w:rsidRPr="00687C94">
        <w:rPr>
          <w:rStyle w:val="Hyperlink"/>
          <w:sz w:val="18"/>
          <w:szCs w:val="18"/>
        </w:rPr>
        <w:t>.</w:t>
      </w:r>
      <w:r w:rsidRPr="00687C94">
        <w:rPr>
          <w:sz w:val="18"/>
          <w:szCs w:val="18"/>
        </w:rPr>
        <w:t xml:space="preserve"> Inflation multiplier = (current quarter cost index value / OEWS wage base quarter index value).</w:t>
      </w:r>
    </w:p>
    <w:p w:rsidR="00C422ED" w:rsidRPr="00C422ED" w:rsidP="00C422ED" w14:paraId="0C488B74" w14:textId="77777777">
      <w:pPr>
        <w:pStyle w:val="FootnoteText"/>
        <w:rPr>
          <w:sz w:val="18"/>
          <w:szCs w:val="18"/>
        </w:rPr>
      </w:pPr>
    </w:p>
  </w:footnote>
  <w:footnote w:id="6">
    <w:p w:rsidR="00C422ED" w:rsidRPr="00687C94" w:rsidP="00C422ED" w14:paraId="561A8DCC" w14:textId="77777777">
      <w:pPr>
        <w:pStyle w:val="FootnoteText"/>
        <w:rPr>
          <w:sz w:val="18"/>
          <w:szCs w:val="18"/>
        </w:rPr>
      </w:pPr>
      <w:r w:rsidRPr="00687C94">
        <w:rPr>
          <w:rStyle w:val="FootnoteReference"/>
          <w:sz w:val="18"/>
          <w:szCs w:val="18"/>
        </w:rPr>
        <w:footnoteRef/>
      </w:r>
      <w:r w:rsidRPr="00687C94">
        <w:rPr>
          <w:sz w:val="18"/>
          <w:szCs w:val="18"/>
        </w:rPr>
        <w:t xml:space="preserve"> MSHA used an overhead rate of 17 percent. This overhead rate is based on a 2002 EPA report by Cody Rice, "Wage Rates for Economic Analysis of the Toxics Release Inventory Program", available at </w:t>
      </w:r>
      <w:hyperlink r:id="rId5" w:history="1">
        <w:r w:rsidRPr="00687C94">
          <w:rPr>
            <w:rStyle w:val="Hyperlink"/>
            <w:sz w:val="18"/>
            <w:szCs w:val="18"/>
          </w:rPr>
          <w:t>https://www.regulations.gov/document/EPA-HQ-OPPT-2016-0387-0064</w:t>
        </w:r>
      </w:hyperlink>
      <w:r w:rsidRPr="00687C94">
        <w:rPr>
          <w:sz w:val="18"/>
          <w:szCs w:val="18"/>
        </w:rPr>
        <w:t>.</w:t>
      </w:r>
    </w:p>
  </w:footnote>
  <w:footnote w:id="7">
    <w:p w:rsidR="000529F3" w:rsidRPr="00687C94" w:rsidP="000529F3" w14:paraId="424D3C1E" w14:textId="4508163A">
      <w:pPr>
        <w:pStyle w:val="FootnoteText"/>
        <w:rPr>
          <w:sz w:val="18"/>
          <w:szCs w:val="18"/>
        </w:rPr>
      </w:pPr>
      <w:r w:rsidRPr="00687C94">
        <w:rPr>
          <w:rStyle w:val="FootnoteReference"/>
          <w:sz w:val="18"/>
          <w:szCs w:val="18"/>
        </w:rPr>
        <w:footnoteRef/>
      </w:r>
      <w:r w:rsidRPr="00687C94">
        <w:rPr>
          <w:sz w:val="18"/>
          <w:szCs w:val="18"/>
        </w:rPr>
        <w:t xml:space="preserve"> 201</w:t>
      </w:r>
      <w:r w:rsidRPr="00687C94" w:rsidR="00EB07C5">
        <w:rPr>
          <w:sz w:val="18"/>
          <w:szCs w:val="18"/>
        </w:rPr>
        <w:t>6</w:t>
      </w:r>
      <w:r w:rsidRPr="00687C94">
        <w:rPr>
          <w:sz w:val="18"/>
          <w:szCs w:val="18"/>
        </w:rPr>
        <w:t xml:space="preserve"> Mean physician office visit $</w:t>
      </w:r>
      <w:r w:rsidRPr="00687C94" w:rsidR="00F00661">
        <w:rPr>
          <w:sz w:val="18"/>
          <w:szCs w:val="18"/>
        </w:rPr>
        <w:t>265</w:t>
      </w:r>
      <w:r w:rsidRPr="00687C94">
        <w:rPr>
          <w:sz w:val="18"/>
          <w:szCs w:val="18"/>
        </w:rPr>
        <w:t xml:space="preserve"> plus average out of pocket costs for visits with costs $</w:t>
      </w:r>
      <w:r w:rsidRPr="00687C94" w:rsidR="00F00661">
        <w:rPr>
          <w:sz w:val="18"/>
          <w:szCs w:val="18"/>
        </w:rPr>
        <w:t xml:space="preserve">77 </w:t>
      </w:r>
      <w:r w:rsidRPr="00687C94">
        <w:rPr>
          <w:sz w:val="18"/>
          <w:szCs w:val="18"/>
        </w:rPr>
        <w:t>= $</w:t>
      </w:r>
      <w:r w:rsidRPr="00687C94" w:rsidR="000B037F">
        <w:rPr>
          <w:sz w:val="18"/>
          <w:szCs w:val="18"/>
        </w:rPr>
        <w:t>342</w:t>
      </w:r>
      <w:r w:rsidRPr="00687C94">
        <w:rPr>
          <w:sz w:val="18"/>
          <w:szCs w:val="18"/>
        </w:rPr>
        <w:t>. (</w:t>
      </w:r>
      <w:r w:rsidRPr="00687C94" w:rsidR="00F00661">
        <w:rPr>
          <w:sz w:val="18"/>
          <w:szCs w:val="18"/>
        </w:rPr>
        <w:t>Steven R. Machlin, MS and Emily M. Mitchell, PhD Expenses for Office-Based Physician Visits by Specialty, 2016. Statistical Brief #517. October 2018. Agency for Healthcare Research and Quality, Rockville,</w:t>
      </w:r>
      <w:r w:rsidRPr="00687C94" w:rsidR="000B037F">
        <w:rPr>
          <w:sz w:val="18"/>
          <w:szCs w:val="18"/>
        </w:rPr>
        <w:t xml:space="preserve"> </w:t>
      </w:r>
      <w:r w:rsidRPr="00687C94" w:rsidR="00F00661">
        <w:rPr>
          <w:sz w:val="18"/>
          <w:szCs w:val="18"/>
        </w:rPr>
        <w:t xml:space="preserve">MD. </w:t>
      </w:r>
      <w:hyperlink r:id="rId6" w:history="1">
        <w:r w:rsidRPr="00687C94" w:rsidR="00C826C2">
          <w:rPr>
            <w:rStyle w:val="Hyperlink"/>
            <w:sz w:val="18"/>
            <w:szCs w:val="18"/>
          </w:rPr>
          <w:t>https://meps.ahrq.gov/data_files/publications/st517/stat517.shtml</w:t>
        </w:r>
      </w:hyperlink>
      <w:r w:rsidRPr="00687C94">
        <w:rPr>
          <w:sz w:val="18"/>
          <w:szCs w:val="18"/>
        </w:rPr>
        <w:t>)</w:t>
      </w:r>
      <w:r w:rsidR="00C826C2">
        <w:rPr>
          <w:sz w:val="18"/>
          <w:szCs w:val="18"/>
        </w:rPr>
        <w:t>. This 2016 value is</w:t>
      </w:r>
      <w:r w:rsidRPr="00687C94">
        <w:rPr>
          <w:sz w:val="18"/>
          <w:szCs w:val="18"/>
        </w:rPr>
        <w:t xml:space="preserve"> adjusted for </w:t>
      </w:r>
      <w:r w:rsidRPr="009B3011" w:rsidR="00C826C2">
        <w:rPr>
          <w:sz w:val="18"/>
          <w:szCs w:val="18"/>
        </w:rPr>
        <w:t xml:space="preserve">medical services </w:t>
      </w:r>
      <w:r w:rsidRPr="00687C94">
        <w:rPr>
          <w:sz w:val="18"/>
          <w:szCs w:val="18"/>
        </w:rPr>
        <w:t xml:space="preserve">inflation </w:t>
      </w:r>
      <w:r w:rsidR="00C826C2">
        <w:rPr>
          <w:sz w:val="18"/>
          <w:szCs w:val="18"/>
        </w:rPr>
        <w:t xml:space="preserve">using </w:t>
      </w:r>
      <w:r w:rsidRPr="00687C94">
        <w:rPr>
          <w:sz w:val="18"/>
          <w:szCs w:val="18"/>
        </w:rPr>
        <w:t>BLS CPI series CUSR0000SAM2</w:t>
      </w:r>
      <w:r w:rsidR="00C826C2">
        <w:rPr>
          <w:sz w:val="18"/>
          <w:szCs w:val="18"/>
        </w:rPr>
        <w:t xml:space="preserve">, with index value </w:t>
      </w:r>
      <w:r w:rsidRPr="008B3832" w:rsidR="00C826C2">
        <w:rPr>
          <w:sz w:val="18"/>
          <w:szCs w:val="18"/>
        </w:rPr>
        <w:t>594.657</w:t>
      </w:r>
      <w:r w:rsidR="00C826C2">
        <w:rPr>
          <w:sz w:val="18"/>
          <w:szCs w:val="18"/>
        </w:rPr>
        <w:t xml:space="preserve"> in </w:t>
      </w:r>
      <w:r w:rsidRPr="009B3011" w:rsidR="00C826C2">
        <w:rPr>
          <w:sz w:val="18"/>
          <w:szCs w:val="18"/>
        </w:rPr>
        <w:t>March 2023</w:t>
      </w:r>
      <w:r w:rsidR="00C826C2">
        <w:rPr>
          <w:sz w:val="18"/>
          <w:szCs w:val="18"/>
        </w:rPr>
        <w:t xml:space="preserve"> and </w:t>
      </w:r>
      <w:r w:rsidRPr="004E3612" w:rsidR="00C826C2">
        <w:rPr>
          <w:sz w:val="18"/>
          <w:szCs w:val="18"/>
        </w:rPr>
        <w:t>502.333</w:t>
      </w:r>
      <w:r w:rsidR="00C826C2">
        <w:rPr>
          <w:sz w:val="18"/>
          <w:szCs w:val="18"/>
        </w:rPr>
        <w:t xml:space="preserve"> in </w:t>
      </w:r>
      <w:r w:rsidRPr="009B3011" w:rsidR="00C826C2">
        <w:rPr>
          <w:sz w:val="18"/>
          <w:szCs w:val="18"/>
        </w:rPr>
        <w:t>December 201</w:t>
      </w:r>
      <w:r w:rsidR="00C826C2">
        <w:rPr>
          <w:sz w:val="18"/>
          <w:szCs w:val="18"/>
        </w:rPr>
        <w:t xml:space="preserve">6, </w:t>
      </w:r>
      <w:hyperlink r:id="rId4" w:history="1">
        <w:r w:rsidRPr="00687C94">
          <w:rPr>
            <w:rStyle w:val="Hyperlink"/>
            <w:sz w:val="18"/>
            <w:szCs w:val="18"/>
          </w:rPr>
          <w:t>https://data.bls.gov/cgi-bin/srgate</w:t>
        </w:r>
      </w:hyperlink>
      <w:r w:rsidRPr="00687C94">
        <w:rPr>
          <w:sz w:val="18"/>
          <w:szCs w:val="18"/>
        </w:rPr>
        <w:t>)</w:t>
      </w:r>
      <w:r w:rsidR="00C826C2">
        <w:rPr>
          <w:sz w:val="18"/>
          <w:szCs w:val="18"/>
        </w:rPr>
        <w:t>. This yields an inflation factor of 1.184 (=</w:t>
      </w:r>
      <w:r w:rsidRPr="00350020" w:rsidR="00C826C2">
        <w:rPr>
          <w:sz w:val="18"/>
          <w:szCs w:val="18"/>
        </w:rPr>
        <w:t xml:space="preserve"> 594.657/502.333</w:t>
      </w:r>
      <w:r w:rsidR="00C826C2">
        <w:rPr>
          <w:sz w:val="18"/>
          <w:szCs w:val="18"/>
        </w:rPr>
        <w:t>) and the average physician office visit costs of $</w:t>
      </w:r>
      <w:r w:rsidR="00045971">
        <w:rPr>
          <w:sz w:val="18"/>
          <w:szCs w:val="18"/>
        </w:rPr>
        <w:t>404.93 (=342*1.184)</w:t>
      </w:r>
      <w:r w:rsidR="00C826C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FA2" w:rsidP="00F12FA2" w14:paraId="262AAA5F" w14:textId="1735D965">
    <w:pPr>
      <w:pStyle w:val="Header"/>
      <w:spacing w:after="0"/>
    </w:pPr>
    <w:r w:rsidRPr="00F12FA2">
      <w:t>Hoist Operator’s Physical Fitness</w:t>
    </w:r>
  </w:p>
  <w:p w:rsidR="0013105C" w:rsidP="00F12FA2" w14:paraId="25A2FD2F" w14:textId="5CE04F57">
    <w:pPr>
      <w:pStyle w:val="Header"/>
      <w:spacing w:after="0"/>
    </w:pPr>
    <w:r>
      <w:t>OMB</w:t>
    </w:r>
    <w:r w:rsidR="00F12FA2">
      <w:t xml:space="preserve"> Control Number:</w:t>
    </w:r>
    <w:r>
      <w:t xml:space="preserve"> 1219-0049</w:t>
    </w:r>
  </w:p>
  <w:p w:rsidR="00F12FA2" w:rsidP="00F12FA2" w14:paraId="2FF43EF2" w14:textId="18F81ABE">
    <w:pPr>
      <w:pStyle w:val="Header"/>
      <w:spacing w:after="0"/>
    </w:pPr>
    <w:r>
      <w:t xml:space="preserve">OMB </w:t>
    </w:r>
    <w:r w:rsidR="004664A1">
      <w:t>Exp</w:t>
    </w:r>
    <w:r>
      <w:t>iration Date</w:t>
    </w:r>
    <w:r w:rsidR="004664A1">
      <w:t>: 1/3</w:t>
    </w:r>
    <w:r>
      <w:t>1</w:t>
    </w:r>
    <w:r w:rsidR="004664A1">
      <w:t>/20</w:t>
    </w:r>
    <w:r>
      <w:t>24</w:t>
    </w:r>
  </w:p>
  <w:p w:rsidR="009247B6" w:rsidP="00F12FA2" w14:paraId="01269955" w14:textId="7777777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F45A45"/>
    <w:multiLevelType w:val="hybridMultilevel"/>
    <w:tmpl w:val="762E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2E43D2"/>
    <w:multiLevelType w:val="hybridMultilevel"/>
    <w:tmpl w:val="25824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046CCC"/>
    <w:multiLevelType w:val="hybridMultilevel"/>
    <w:tmpl w:val="456CC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5614298">
    <w:abstractNumId w:val="2"/>
  </w:num>
  <w:num w:numId="2" w16cid:durableId="196548331">
    <w:abstractNumId w:val="1"/>
  </w:num>
  <w:num w:numId="3" w16cid:durableId="85441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06"/>
    <w:rsid w:val="000004E3"/>
    <w:rsid w:val="00011229"/>
    <w:rsid w:val="00036937"/>
    <w:rsid w:val="00043D36"/>
    <w:rsid w:val="00044F65"/>
    <w:rsid w:val="00045971"/>
    <w:rsid w:val="00047E22"/>
    <w:rsid w:val="000529F3"/>
    <w:rsid w:val="00054A70"/>
    <w:rsid w:val="000610C5"/>
    <w:rsid w:val="00062FC3"/>
    <w:rsid w:val="00090AA5"/>
    <w:rsid w:val="000A35CD"/>
    <w:rsid w:val="000B037F"/>
    <w:rsid w:val="000C3CE0"/>
    <w:rsid w:val="000C59A1"/>
    <w:rsid w:val="000E5139"/>
    <w:rsid w:val="000F38B9"/>
    <w:rsid w:val="00104CEE"/>
    <w:rsid w:val="0011008F"/>
    <w:rsid w:val="0013105C"/>
    <w:rsid w:val="00137047"/>
    <w:rsid w:val="001409AF"/>
    <w:rsid w:val="0015383E"/>
    <w:rsid w:val="001551ED"/>
    <w:rsid w:val="00166002"/>
    <w:rsid w:val="00166699"/>
    <w:rsid w:val="001702A4"/>
    <w:rsid w:val="00175FD9"/>
    <w:rsid w:val="00183806"/>
    <w:rsid w:val="00184046"/>
    <w:rsid w:val="00184576"/>
    <w:rsid w:val="0018469C"/>
    <w:rsid w:val="001854EC"/>
    <w:rsid w:val="00195D37"/>
    <w:rsid w:val="001D2CAB"/>
    <w:rsid w:val="001D59A2"/>
    <w:rsid w:val="001E5FE2"/>
    <w:rsid w:val="001F0314"/>
    <w:rsid w:val="001F7D0F"/>
    <w:rsid w:val="00200062"/>
    <w:rsid w:val="002159C2"/>
    <w:rsid w:val="00222E5E"/>
    <w:rsid w:val="00223299"/>
    <w:rsid w:val="00234E81"/>
    <w:rsid w:val="00244B3A"/>
    <w:rsid w:val="00261172"/>
    <w:rsid w:val="00265A30"/>
    <w:rsid w:val="00275A0C"/>
    <w:rsid w:val="00293806"/>
    <w:rsid w:val="00294F14"/>
    <w:rsid w:val="002962AA"/>
    <w:rsid w:val="002A399A"/>
    <w:rsid w:val="002B4E51"/>
    <w:rsid w:val="002B5792"/>
    <w:rsid w:val="002C1461"/>
    <w:rsid w:val="002E09FC"/>
    <w:rsid w:val="002E2468"/>
    <w:rsid w:val="002E4C04"/>
    <w:rsid w:val="00301088"/>
    <w:rsid w:val="00305535"/>
    <w:rsid w:val="00316E76"/>
    <w:rsid w:val="00334B8E"/>
    <w:rsid w:val="00336B7B"/>
    <w:rsid w:val="00343BA6"/>
    <w:rsid w:val="00350020"/>
    <w:rsid w:val="00360CE4"/>
    <w:rsid w:val="0037238D"/>
    <w:rsid w:val="003779E6"/>
    <w:rsid w:val="00381E5B"/>
    <w:rsid w:val="00393A1C"/>
    <w:rsid w:val="003A3229"/>
    <w:rsid w:val="003C3CF2"/>
    <w:rsid w:val="003E5B61"/>
    <w:rsid w:val="003F0CF6"/>
    <w:rsid w:val="003F385B"/>
    <w:rsid w:val="00401D53"/>
    <w:rsid w:val="00404AF9"/>
    <w:rsid w:val="00413CC7"/>
    <w:rsid w:val="0042684E"/>
    <w:rsid w:val="004402DB"/>
    <w:rsid w:val="0044121F"/>
    <w:rsid w:val="00454EA2"/>
    <w:rsid w:val="004640A4"/>
    <w:rsid w:val="004661D1"/>
    <w:rsid w:val="004664A1"/>
    <w:rsid w:val="0047784F"/>
    <w:rsid w:val="00485990"/>
    <w:rsid w:val="004A22A0"/>
    <w:rsid w:val="004C580A"/>
    <w:rsid w:val="004D3A51"/>
    <w:rsid w:val="004E3612"/>
    <w:rsid w:val="004F22E3"/>
    <w:rsid w:val="004F6A98"/>
    <w:rsid w:val="00506683"/>
    <w:rsid w:val="00507888"/>
    <w:rsid w:val="00534FF9"/>
    <w:rsid w:val="00541185"/>
    <w:rsid w:val="00552FEA"/>
    <w:rsid w:val="00563639"/>
    <w:rsid w:val="00564638"/>
    <w:rsid w:val="00564EFB"/>
    <w:rsid w:val="00567E1C"/>
    <w:rsid w:val="00572042"/>
    <w:rsid w:val="005774B6"/>
    <w:rsid w:val="00584108"/>
    <w:rsid w:val="0058422E"/>
    <w:rsid w:val="00587E14"/>
    <w:rsid w:val="0059207F"/>
    <w:rsid w:val="005A614D"/>
    <w:rsid w:val="005B7EF9"/>
    <w:rsid w:val="005C0D17"/>
    <w:rsid w:val="005C3003"/>
    <w:rsid w:val="005C5573"/>
    <w:rsid w:val="005E2F78"/>
    <w:rsid w:val="005F1998"/>
    <w:rsid w:val="005F2001"/>
    <w:rsid w:val="005F253C"/>
    <w:rsid w:val="005F54C1"/>
    <w:rsid w:val="00600EB2"/>
    <w:rsid w:val="00604FE1"/>
    <w:rsid w:val="006119A8"/>
    <w:rsid w:val="0062073D"/>
    <w:rsid w:val="006542CA"/>
    <w:rsid w:val="00674295"/>
    <w:rsid w:val="00677626"/>
    <w:rsid w:val="00682E60"/>
    <w:rsid w:val="00687C94"/>
    <w:rsid w:val="006A2CB0"/>
    <w:rsid w:val="006A51FC"/>
    <w:rsid w:val="006A58B1"/>
    <w:rsid w:val="006A65F1"/>
    <w:rsid w:val="006A7B56"/>
    <w:rsid w:val="006C29C4"/>
    <w:rsid w:val="006C2B8B"/>
    <w:rsid w:val="006D2212"/>
    <w:rsid w:val="006D2406"/>
    <w:rsid w:val="006E41AD"/>
    <w:rsid w:val="006F4EE1"/>
    <w:rsid w:val="0070024E"/>
    <w:rsid w:val="00702465"/>
    <w:rsid w:val="0070781A"/>
    <w:rsid w:val="007143AD"/>
    <w:rsid w:val="007251F2"/>
    <w:rsid w:val="00731992"/>
    <w:rsid w:val="00737151"/>
    <w:rsid w:val="00760BDC"/>
    <w:rsid w:val="00780BAC"/>
    <w:rsid w:val="00791803"/>
    <w:rsid w:val="007B43C5"/>
    <w:rsid w:val="007B742D"/>
    <w:rsid w:val="007B7DA7"/>
    <w:rsid w:val="007C1F2C"/>
    <w:rsid w:val="007C48C2"/>
    <w:rsid w:val="007D6BDC"/>
    <w:rsid w:val="007F4344"/>
    <w:rsid w:val="007F4C80"/>
    <w:rsid w:val="007F7DE1"/>
    <w:rsid w:val="00805EB1"/>
    <w:rsid w:val="0083121F"/>
    <w:rsid w:val="00842EB3"/>
    <w:rsid w:val="00847C19"/>
    <w:rsid w:val="008514EB"/>
    <w:rsid w:val="008603A3"/>
    <w:rsid w:val="0086193C"/>
    <w:rsid w:val="00865B32"/>
    <w:rsid w:val="008728B3"/>
    <w:rsid w:val="00873EB4"/>
    <w:rsid w:val="00875AA7"/>
    <w:rsid w:val="00876E14"/>
    <w:rsid w:val="00881D31"/>
    <w:rsid w:val="00886538"/>
    <w:rsid w:val="0088752E"/>
    <w:rsid w:val="008A6B02"/>
    <w:rsid w:val="008B0A55"/>
    <w:rsid w:val="008B3832"/>
    <w:rsid w:val="008C6373"/>
    <w:rsid w:val="008D0711"/>
    <w:rsid w:val="008D49A1"/>
    <w:rsid w:val="008D60EF"/>
    <w:rsid w:val="008D65BE"/>
    <w:rsid w:val="008E707E"/>
    <w:rsid w:val="008F573F"/>
    <w:rsid w:val="008F623A"/>
    <w:rsid w:val="00922420"/>
    <w:rsid w:val="009224D4"/>
    <w:rsid w:val="009247B6"/>
    <w:rsid w:val="00927A05"/>
    <w:rsid w:val="00933393"/>
    <w:rsid w:val="009462A8"/>
    <w:rsid w:val="00947090"/>
    <w:rsid w:val="009679B1"/>
    <w:rsid w:val="0098562F"/>
    <w:rsid w:val="009908A2"/>
    <w:rsid w:val="00994409"/>
    <w:rsid w:val="009B3011"/>
    <w:rsid w:val="009B3635"/>
    <w:rsid w:val="009B5CD4"/>
    <w:rsid w:val="009B7D4C"/>
    <w:rsid w:val="009C1099"/>
    <w:rsid w:val="009C5D94"/>
    <w:rsid w:val="009D1E8E"/>
    <w:rsid w:val="009E65E7"/>
    <w:rsid w:val="009F4D44"/>
    <w:rsid w:val="00A1120C"/>
    <w:rsid w:val="00A25A5A"/>
    <w:rsid w:val="00A26281"/>
    <w:rsid w:val="00A27682"/>
    <w:rsid w:val="00A40872"/>
    <w:rsid w:val="00A417F5"/>
    <w:rsid w:val="00A43E8C"/>
    <w:rsid w:val="00A51921"/>
    <w:rsid w:val="00A56D0D"/>
    <w:rsid w:val="00A61B1F"/>
    <w:rsid w:val="00A814EE"/>
    <w:rsid w:val="00A816A0"/>
    <w:rsid w:val="00A931B8"/>
    <w:rsid w:val="00A93BDD"/>
    <w:rsid w:val="00A94065"/>
    <w:rsid w:val="00A975C9"/>
    <w:rsid w:val="00AA4DFC"/>
    <w:rsid w:val="00AD2CC5"/>
    <w:rsid w:val="00B0415A"/>
    <w:rsid w:val="00B14604"/>
    <w:rsid w:val="00B209EE"/>
    <w:rsid w:val="00B23167"/>
    <w:rsid w:val="00B374DC"/>
    <w:rsid w:val="00B51020"/>
    <w:rsid w:val="00B7088A"/>
    <w:rsid w:val="00B7553D"/>
    <w:rsid w:val="00B862F9"/>
    <w:rsid w:val="00B94197"/>
    <w:rsid w:val="00B94E47"/>
    <w:rsid w:val="00BB5D3F"/>
    <w:rsid w:val="00BD612C"/>
    <w:rsid w:val="00BD7446"/>
    <w:rsid w:val="00BE6254"/>
    <w:rsid w:val="00BE7CDD"/>
    <w:rsid w:val="00BF3A25"/>
    <w:rsid w:val="00BF6EE0"/>
    <w:rsid w:val="00C02C18"/>
    <w:rsid w:val="00C06331"/>
    <w:rsid w:val="00C34239"/>
    <w:rsid w:val="00C422ED"/>
    <w:rsid w:val="00C44C53"/>
    <w:rsid w:val="00C47656"/>
    <w:rsid w:val="00C55B9D"/>
    <w:rsid w:val="00C56CD8"/>
    <w:rsid w:val="00C62F97"/>
    <w:rsid w:val="00C63C3C"/>
    <w:rsid w:val="00C67C58"/>
    <w:rsid w:val="00C7460B"/>
    <w:rsid w:val="00C76D6E"/>
    <w:rsid w:val="00C80A52"/>
    <w:rsid w:val="00C826C2"/>
    <w:rsid w:val="00C97843"/>
    <w:rsid w:val="00CA0218"/>
    <w:rsid w:val="00CA24CE"/>
    <w:rsid w:val="00CA3A97"/>
    <w:rsid w:val="00CA455F"/>
    <w:rsid w:val="00CA6146"/>
    <w:rsid w:val="00CB0607"/>
    <w:rsid w:val="00CC22E6"/>
    <w:rsid w:val="00CF0BBA"/>
    <w:rsid w:val="00CF3799"/>
    <w:rsid w:val="00CF5970"/>
    <w:rsid w:val="00D212F9"/>
    <w:rsid w:val="00D37893"/>
    <w:rsid w:val="00D44387"/>
    <w:rsid w:val="00D7006B"/>
    <w:rsid w:val="00D8217A"/>
    <w:rsid w:val="00D902CE"/>
    <w:rsid w:val="00D92610"/>
    <w:rsid w:val="00DA712A"/>
    <w:rsid w:val="00DB27B7"/>
    <w:rsid w:val="00DB58D5"/>
    <w:rsid w:val="00DC0012"/>
    <w:rsid w:val="00DC34CA"/>
    <w:rsid w:val="00DD1E3F"/>
    <w:rsid w:val="00DE66D1"/>
    <w:rsid w:val="00E717DF"/>
    <w:rsid w:val="00E75DD1"/>
    <w:rsid w:val="00E81A3B"/>
    <w:rsid w:val="00E81F39"/>
    <w:rsid w:val="00E83805"/>
    <w:rsid w:val="00EB07C5"/>
    <w:rsid w:val="00EB6572"/>
    <w:rsid w:val="00EC13F0"/>
    <w:rsid w:val="00EC6333"/>
    <w:rsid w:val="00ED3F8C"/>
    <w:rsid w:val="00ED6657"/>
    <w:rsid w:val="00EE745D"/>
    <w:rsid w:val="00EF1A9E"/>
    <w:rsid w:val="00EF5A1A"/>
    <w:rsid w:val="00F00661"/>
    <w:rsid w:val="00F01CD1"/>
    <w:rsid w:val="00F0387C"/>
    <w:rsid w:val="00F06539"/>
    <w:rsid w:val="00F12FA2"/>
    <w:rsid w:val="00F240E8"/>
    <w:rsid w:val="00F30A7D"/>
    <w:rsid w:val="00F32EA5"/>
    <w:rsid w:val="00F342CF"/>
    <w:rsid w:val="00F560F1"/>
    <w:rsid w:val="00F57D3B"/>
    <w:rsid w:val="00F60B87"/>
    <w:rsid w:val="00F6191B"/>
    <w:rsid w:val="00F64A55"/>
    <w:rsid w:val="00F74ED8"/>
    <w:rsid w:val="00F76F84"/>
    <w:rsid w:val="00F80BF5"/>
    <w:rsid w:val="00F81C27"/>
    <w:rsid w:val="00F8219E"/>
    <w:rsid w:val="00F823EF"/>
    <w:rsid w:val="00F921BE"/>
    <w:rsid w:val="00FA42AE"/>
    <w:rsid w:val="00FB7B0A"/>
    <w:rsid w:val="00FC02A1"/>
    <w:rsid w:val="00FC1031"/>
    <w:rsid w:val="00FC1D8C"/>
    <w:rsid w:val="00FD13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4CA86D"/>
  <w15:chartTrackingRefBased/>
  <w15:docId w15:val="{866F30EF-FCA6-42F8-94BC-5C9B27A4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Default"/>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702A4"/>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er">
    <w:name w:val="footer"/>
    <w:basedOn w:val="Normal"/>
    <w:link w:val="FooterChar"/>
    <w:rsid w:val="006D2406"/>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sid w:val="006D2406"/>
    <w:rPr>
      <w:rFonts w:cs="Times New Roman"/>
    </w:rPr>
  </w:style>
  <w:style w:type="character" w:customStyle="1" w:styleId="BalloonTextChar">
    <w:name w:val="Balloon Text Char"/>
    <w:link w:val="BalloonText"/>
    <w:semiHidden/>
    <w:locked/>
    <w:rPr>
      <w:rFonts w:ascii="Tahoma" w:hAnsi="Tahoma" w:cs="Tahoma"/>
      <w:sz w:val="16"/>
      <w:szCs w:val="16"/>
    </w:rPr>
  </w:style>
  <w:style w:type="paragraph" w:styleId="Header">
    <w:name w:val="header"/>
    <w:basedOn w:val="Normal"/>
    <w:link w:val="HeaderChar"/>
    <w:uiPriority w:val="99"/>
    <w:rsid w:val="00343BA6"/>
    <w:pPr>
      <w:tabs>
        <w:tab w:val="center" w:pos="4320"/>
        <w:tab w:val="right" w:pos="8640"/>
      </w:tabs>
      <w:spacing w:after="160"/>
    </w:pPr>
    <w:rPr>
      <w:rFonts w:ascii="Book Antiqua" w:hAnsi="Book Antiqua"/>
    </w:rPr>
  </w:style>
  <w:style w:type="character" w:styleId="CommentReference">
    <w:name w:val="annotation reference"/>
    <w:rsid w:val="00B374DC"/>
    <w:rPr>
      <w:sz w:val="16"/>
      <w:szCs w:val="16"/>
    </w:rPr>
  </w:style>
  <w:style w:type="paragraph" w:styleId="CommentText">
    <w:name w:val="annotation text"/>
    <w:basedOn w:val="Normal"/>
    <w:link w:val="CommentTextChar"/>
    <w:rsid w:val="00B374DC"/>
    <w:rPr>
      <w:sz w:val="20"/>
      <w:szCs w:val="20"/>
    </w:rPr>
  </w:style>
  <w:style w:type="character" w:customStyle="1" w:styleId="CommentTextChar">
    <w:name w:val="Comment Text Char"/>
    <w:basedOn w:val="DefaultParagraphFont"/>
    <w:link w:val="CommentText"/>
    <w:rsid w:val="00B374DC"/>
  </w:style>
  <w:style w:type="paragraph" w:styleId="CommentSubject">
    <w:name w:val="annotation subject"/>
    <w:basedOn w:val="CommentText"/>
    <w:next w:val="CommentText"/>
    <w:link w:val="CommentSubjectChar"/>
    <w:rsid w:val="00B374DC"/>
    <w:rPr>
      <w:b/>
      <w:bCs/>
    </w:rPr>
  </w:style>
  <w:style w:type="character" w:customStyle="1" w:styleId="CommentSubjectChar">
    <w:name w:val="Comment Subject Char"/>
    <w:link w:val="CommentSubject"/>
    <w:rsid w:val="00B374DC"/>
    <w:rPr>
      <w:b/>
      <w:bCs/>
    </w:rPr>
  </w:style>
  <w:style w:type="character" w:customStyle="1" w:styleId="HeaderChar">
    <w:name w:val="Header Char"/>
    <w:link w:val="Header"/>
    <w:uiPriority w:val="99"/>
    <w:rsid w:val="0013105C"/>
    <w:rPr>
      <w:rFonts w:ascii="Book Antiqua" w:hAnsi="Book Antiqua"/>
      <w:sz w:val="24"/>
      <w:szCs w:val="24"/>
    </w:rPr>
  </w:style>
  <w:style w:type="character" w:styleId="Hyperlink">
    <w:name w:val="Hyperlink"/>
    <w:rsid w:val="005E2F78"/>
    <w:rPr>
      <w:color w:val="0000FF"/>
      <w:u w:val="single"/>
    </w:rPr>
  </w:style>
  <w:style w:type="paragraph" w:styleId="FootnoteText">
    <w:name w:val="footnote text"/>
    <w:basedOn w:val="Normal"/>
    <w:link w:val="FootnoteTextChar"/>
    <w:unhideWhenUsed/>
    <w:rsid w:val="005E2F78"/>
    <w:pPr>
      <w:widowControl/>
      <w:autoSpaceDE/>
      <w:autoSpaceDN/>
      <w:adjustRightInd/>
    </w:pPr>
    <w:rPr>
      <w:sz w:val="20"/>
      <w:szCs w:val="20"/>
    </w:rPr>
  </w:style>
  <w:style w:type="character" w:customStyle="1" w:styleId="FootnoteTextChar">
    <w:name w:val="Footnote Text Char"/>
    <w:basedOn w:val="DefaultParagraphFont"/>
    <w:link w:val="FootnoteText"/>
    <w:rsid w:val="005E2F78"/>
  </w:style>
  <w:style w:type="character" w:styleId="FootnoteReference">
    <w:name w:val="footnote reference"/>
    <w:unhideWhenUsed/>
    <w:rsid w:val="005E2F78"/>
    <w:rPr>
      <w:vertAlign w:val="superscript"/>
    </w:rPr>
  </w:style>
  <w:style w:type="character" w:styleId="FollowedHyperlink">
    <w:name w:val="FollowedHyperlink"/>
    <w:rsid w:val="005F1998"/>
    <w:rPr>
      <w:color w:val="800080"/>
      <w:u w:val="single"/>
    </w:rPr>
  </w:style>
  <w:style w:type="paragraph" w:styleId="Revision">
    <w:name w:val="Revision"/>
    <w:hidden/>
    <w:uiPriority w:val="99"/>
    <w:semiHidden/>
    <w:rsid w:val="00F12FA2"/>
    <w:rPr>
      <w:sz w:val="24"/>
      <w:szCs w:val="24"/>
    </w:rPr>
  </w:style>
  <w:style w:type="paragraph" w:styleId="ListParagraph">
    <w:name w:val="List Paragraph"/>
    <w:basedOn w:val="Normal"/>
    <w:uiPriority w:val="34"/>
    <w:qFormat/>
    <w:rsid w:val="00BD7446"/>
    <w:pPr>
      <w:ind w:left="720"/>
      <w:contextualSpacing/>
    </w:pPr>
  </w:style>
  <w:style w:type="character" w:styleId="UnresolvedMention">
    <w:name w:val="Unresolved Mention"/>
    <w:basedOn w:val="DefaultParagraphFont"/>
    <w:uiPriority w:val="99"/>
    <w:semiHidden/>
    <w:unhideWhenUsed/>
    <w:rsid w:val="008F573F"/>
    <w:rPr>
      <w:color w:val="605E5C"/>
      <w:shd w:val="clear" w:color="auto" w:fill="E1DFDD"/>
    </w:rPr>
  </w:style>
  <w:style w:type="table" w:styleId="TableGrid">
    <w:name w:val="Table Grid"/>
    <w:basedOn w:val="TableNormal"/>
    <w:locked/>
    <w:rsid w:val="0086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2420"/>
    <w:rPr>
      <w:rFonts w:ascii="Book Antiqua" w:eastAsia="Calibri" w:hAnsi="Book Antiqu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 Id="rId6" Type="http://schemas.openxmlformats.org/officeDocument/2006/relationships/hyperlink" Target="https://meps.ahrq.gov/data_files/publications/st517/stat517.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1A92-2886-47BE-AFBB-02796D60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2891</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davis.leah</dc:creator>
  <cp:lastModifiedBy>Moore, Joanna - MSHA</cp:lastModifiedBy>
  <cp:revision>6</cp:revision>
  <cp:lastPrinted>2014-04-29T17:02:00Z</cp:lastPrinted>
  <dcterms:created xsi:type="dcterms:W3CDTF">2023-06-28T14:06:00Z</dcterms:created>
  <dcterms:modified xsi:type="dcterms:W3CDTF">2023-10-03T11:45:00Z</dcterms:modified>
</cp:coreProperties>
</file>