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RPr="00512B62" w:rsidP="009F4D1C" w14:paraId="6556D67E" w14:textId="77777777">
      <w:pPr>
        <w:jc w:val="center"/>
        <w:rPr>
          <w:sz w:val="28"/>
          <w:szCs w:val="28"/>
        </w:rPr>
      </w:pPr>
      <w:r w:rsidRPr="00512B62">
        <w:rPr>
          <w:sz w:val="28"/>
          <w:szCs w:val="28"/>
        </w:rPr>
        <w:t>Department of the Treasury</w:t>
      </w:r>
    </w:p>
    <w:p w:rsidR="007E69B3" w:rsidRPr="00512B62" w:rsidP="009F4D1C" w14:paraId="4F6F99C2" w14:textId="77777777">
      <w:pPr>
        <w:jc w:val="center"/>
        <w:rPr>
          <w:sz w:val="28"/>
          <w:szCs w:val="28"/>
        </w:rPr>
      </w:pPr>
      <w:r w:rsidRPr="00512B62">
        <w:rPr>
          <w:sz w:val="28"/>
          <w:szCs w:val="28"/>
        </w:rPr>
        <w:t>Departmental Offices</w:t>
      </w:r>
    </w:p>
    <w:p w:rsidR="003C068B" w:rsidRPr="00512B62" w:rsidP="00A73FE3" w14:paraId="076A763B" w14:textId="04B1D81E">
      <w:pPr>
        <w:jc w:val="center"/>
        <w:rPr>
          <w:b/>
        </w:rPr>
      </w:pPr>
      <w:r w:rsidRPr="00512B62">
        <w:rPr>
          <w:b/>
        </w:rPr>
        <w:t xml:space="preserve">Application </w:t>
      </w:r>
      <w:r w:rsidR="00165343">
        <w:rPr>
          <w:b/>
        </w:rPr>
        <w:t xml:space="preserve">and Reports </w:t>
      </w:r>
      <w:r w:rsidRPr="00512B62">
        <w:rPr>
          <w:b/>
        </w:rPr>
        <w:t xml:space="preserve">for </w:t>
      </w:r>
      <w:r w:rsidR="000E07A3">
        <w:rPr>
          <w:b/>
        </w:rPr>
        <w:t xml:space="preserve">the </w:t>
      </w:r>
      <w:r w:rsidR="00165343">
        <w:rPr>
          <w:b/>
        </w:rPr>
        <w:t xml:space="preserve">Direct Component </w:t>
      </w:r>
      <w:r w:rsidR="000E07A3">
        <w:rPr>
          <w:b/>
        </w:rPr>
        <w:t>and the Centers of Excellence Research Grants Program</w:t>
      </w:r>
      <w:r w:rsidR="008D1E78">
        <w:rPr>
          <w:b/>
        </w:rPr>
        <w:t>s</w:t>
      </w:r>
      <w:r w:rsidR="000E07A3">
        <w:rPr>
          <w:b/>
        </w:rPr>
        <w:t xml:space="preserve"> </w:t>
      </w:r>
      <w:r w:rsidR="00165343">
        <w:rPr>
          <w:b/>
        </w:rPr>
        <w:t xml:space="preserve">of the </w:t>
      </w:r>
      <w:r w:rsidR="00B31CDA">
        <w:rPr>
          <w:b/>
        </w:rPr>
        <w:t>Office of Gulf Coast Restoration, Office of</w:t>
      </w:r>
      <w:r w:rsidR="00F23B72">
        <w:rPr>
          <w:b/>
        </w:rPr>
        <w:t xml:space="preserve"> </w:t>
      </w:r>
      <w:r w:rsidR="00260342">
        <w:rPr>
          <w:b/>
        </w:rPr>
        <w:t>Recovery Programs</w:t>
      </w:r>
    </w:p>
    <w:p w:rsidR="00512B62" w:rsidP="00512B62" w14:paraId="1A46653E" w14:textId="38A43383">
      <w:pPr>
        <w:jc w:val="center"/>
        <w:rPr>
          <w:i/>
        </w:rPr>
      </w:pPr>
      <w:r w:rsidRPr="00512B62">
        <w:rPr>
          <w:i/>
        </w:rPr>
        <w:t>Supporting Statement and Request for Clearance</w:t>
      </w:r>
    </w:p>
    <w:p w:rsidR="00110D39" w:rsidRPr="00110D39" w:rsidP="00512B62" w14:paraId="19A6AAA8" w14:textId="77777777">
      <w:pPr>
        <w:jc w:val="center"/>
      </w:pPr>
      <w:r>
        <w:t>OMB No. 1505-0250</w:t>
      </w:r>
    </w:p>
    <w:p w:rsidR="000E1D60" w:rsidP="00A73FE3" w14:paraId="29EDAC2D" w14:textId="77777777">
      <w:pPr>
        <w:jc w:val="center"/>
      </w:pPr>
    </w:p>
    <w:p w:rsidR="00A056F0" w:rsidRPr="00A056F0" w:rsidP="00A056F0" w14:paraId="72B36461" w14:textId="77777777">
      <w:pPr>
        <w:numPr>
          <w:ilvl w:val="0"/>
          <w:numId w:val="19"/>
        </w:numPr>
        <w:rPr>
          <w:b/>
          <w:bCs/>
        </w:rPr>
      </w:pPr>
      <w:r w:rsidRPr="00A056F0">
        <w:rPr>
          <w:b/>
          <w:bCs/>
        </w:rPr>
        <w:t>Justification</w:t>
      </w:r>
    </w:p>
    <w:p w:rsidR="00A73FE3" w:rsidRPr="0025604D" w14:paraId="1DF2F638" w14:textId="77777777"/>
    <w:p w:rsidR="00B50861" w:rsidRPr="002551F6" w:rsidP="00F41911" w14:paraId="0CDC7AD8" w14:textId="629ED022">
      <w:pPr>
        <w:numPr>
          <w:ilvl w:val="0"/>
          <w:numId w:val="12"/>
        </w:numPr>
        <w:rPr>
          <w:b/>
          <w:u w:val="single"/>
        </w:rPr>
      </w:pPr>
      <w:r w:rsidRPr="002551F6">
        <w:rPr>
          <w:b/>
        </w:rPr>
        <w:t xml:space="preserve"> </w:t>
      </w:r>
      <w:r w:rsidRPr="002551F6">
        <w:rPr>
          <w:b/>
          <w:u w:val="single"/>
        </w:rPr>
        <w:t xml:space="preserve">Circumstances </w:t>
      </w:r>
      <w:r w:rsidR="00A056F0">
        <w:rPr>
          <w:b/>
          <w:u w:val="single"/>
        </w:rPr>
        <w:t>Making the Collection of Information Necessary.</w:t>
      </w:r>
    </w:p>
    <w:p w:rsidR="00990870" w:rsidRPr="0025604D" w:rsidP="00990870" w14:paraId="0161624D" w14:textId="77777777">
      <w:pPr>
        <w:ind w:left="360"/>
        <w:rPr>
          <w:u w:val="single"/>
        </w:rPr>
      </w:pPr>
    </w:p>
    <w:p w:rsidR="00AF0BF9" w:rsidP="00B716A8" w14:paraId="1004CF6F" w14:textId="604EF414">
      <w:r>
        <w:t>T</w:t>
      </w:r>
      <w:r w:rsidRPr="002551F6">
        <w:t>he Direct Component and the Centers of Excellence Research</w:t>
      </w:r>
      <w:r>
        <w:t xml:space="preserve"> Grants Programs </w:t>
      </w:r>
      <w:r w:rsidR="00CC2474">
        <w:t>are two of the five grant programs authorized</w:t>
      </w:r>
      <w:r>
        <w:t xml:space="preserve"> by</w:t>
      </w:r>
      <w:r w:rsidRPr="002551F6">
        <w:t xml:space="preserve"> </w:t>
      </w:r>
      <w:r w:rsidRPr="002551F6" w:rsidR="00BA3E92">
        <w:t xml:space="preserve">the </w:t>
      </w:r>
      <w:r w:rsidRPr="002551F6" w:rsidR="000E07A3">
        <w:t>Resources and Ecosystems Sustainability, Tourist Opportunities, and Revived Economies of the Gulf Coast States Act (RESTORE</w:t>
      </w:r>
      <w:r w:rsidR="009E4CDC">
        <w:t xml:space="preserve"> Act</w:t>
      </w:r>
      <w:r w:rsidRPr="002551F6" w:rsidR="000E07A3">
        <w:t>)</w:t>
      </w:r>
      <w:r w:rsidR="000A44BE">
        <w:t>,</w:t>
      </w:r>
      <w:r w:rsidR="00E7233D">
        <w:t xml:space="preserve"> </w:t>
      </w:r>
      <w:r w:rsidR="002E4398">
        <w:t>P</w:t>
      </w:r>
      <w:r w:rsidR="00053D86">
        <w:t>ub</w:t>
      </w:r>
      <w:r w:rsidR="002E4398">
        <w:t>.</w:t>
      </w:r>
      <w:r w:rsidR="00053D86">
        <w:t xml:space="preserve"> </w:t>
      </w:r>
      <w:r w:rsidR="002E4398">
        <w:t>L.</w:t>
      </w:r>
      <w:r w:rsidR="00053D86">
        <w:t xml:space="preserve"> No.</w:t>
      </w:r>
      <w:r w:rsidR="002E4398">
        <w:t xml:space="preserve"> 112-141</w:t>
      </w:r>
      <w:r w:rsidRPr="002551F6" w:rsidR="000E07A3">
        <w:t>,</w:t>
      </w:r>
      <w:r w:rsidRPr="003073BC">
        <w:t xml:space="preserve"> </w:t>
      </w:r>
      <w:r w:rsidRPr="00683B0F">
        <w:t>126 Stat. 588</w:t>
      </w:r>
      <w:r>
        <w:t xml:space="preserve"> </w:t>
      </w:r>
      <w:r w:rsidRPr="00D1401A">
        <w:t>(2012)</w:t>
      </w:r>
      <w:r w:rsidR="00CC2474">
        <w:t xml:space="preserve"> </w:t>
      </w:r>
      <w:r w:rsidR="00571610">
        <w:t>and</w:t>
      </w:r>
      <w:r w:rsidR="00E10347">
        <w:t xml:space="preserve"> are</w:t>
      </w:r>
      <w:r w:rsidR="00A22844">
        <w:t xml:space="preserve"> administered by </w:t>
      </w:r>
      <w:r w:rsidRPr="002551F6" w:rsidR="000E07A3">
        <w:t>t</w:t>
      </w:r>
      <w:r w:rsidRPr="002551F6" w:rsidR="00BA3E92">
        <w:t xml:space="preserve">he </w:t>
      </w:r>
      <w:r w:rsidR="00FA7106">
        <w:t xml:space="preserve">U.S. </w:t>
      </w:r>
      <w:r w:rsidRPr="002551F6" w:rsidR="00BA3E92">
        <w:t>Department of the Treasury</w:t>
      </w:r>
      <w:r w:rsidR="00FA7106">
        <w:t xml:space="preserve"> (Treasury)</w:t>
      </w:r>
      <w:r w:rsidR="00A22844">
        <w:t>.</w:t>
      </w:r>
      <w:r w:rsidR="00FA7106">
        <w:t xml:space="preserve"> </w:t>
      </w:r>
      <w:r w:rsidR="00CC2474">
        <w:t>T</w:t>
      </w:r>
      <w:r w:rsidRPr="002551F6" w:rsidR="000E07A3">
        <w:t>he Gulf Coast Restoration Trust Fund</w:t>
      </w:r>
      <w:r w:rsidR="009259D5">
        <w:t xml:space="preserve"> (Trust Fund)</w:t>
      </w:r>
      <w:r w:rsidR="00CC2474">
        <w:t xml:space="preserve"> established by the RESTORE Act</w:t>
      </w:r>
      <w:r w:rsidR="00472A54">
        <w:t xml:space="preserve"> </w:t>
      </w:r>
      <w:r w:rsidRPr="007F2B2D" w:rsidR="00A22844">
        <w:rPr>
          <w:spacing w:val="-5"/>
        </w:rPr>
        <w:t xml:space="preserve">provides funding for the five grant programs established by the RESTORE Act and </w:t>
      </w:r>
      <w:r w:rsidRPr="007F2B2D" w:rsidR="00A65CFB">
        <w:rPr>
          <w:spacing w:val="-5"/>
        </w:rPr>
        <w:t xml:space="preserve">its </w:t>
      </w:r>
      <w:r w:rsidRPr="007F2B2D" w:rsidR="00A22844">
        <w:rPr>
          <w:spacing w:val="-5"/>
        </w:rPr>
        <w:t xml:space="preserve">funding </w:t>
      </w:r>
      <w:r w:rsidR="00A65CFB">
        <w:rPr>
          <w:spacing w:val="-5"/>
        </w:rPr>
        <w:t xml:space="preserve">is </w:t>
      </w:r>
      <w:r w:rsidRPr="007F2B2D" w:rsidR="00A65CFB">
        <w:rPr>
          <w:spacing w:val="-5"/>
        </w:rPr>
        <w:t>derive</w:t>
      </w:r>
      <w:r w:rsidR="00A65CFB">
        <w:rPr>
          <w:spacing w:val="-5"/>
        </w:rPr>
        <w:t>d</w:t>
      </w:r>
      <w:r w:rsidRPr="007F2B2D" w:rsidR="00A65CFB">
        <w:rPr>
          <w:spacing w:val="-5"/>
        </w:rPr>
        <w:t xml:space="preserve"> </w:t>
      </w:r>
      <w:r w:rsidRPr="007F2B2D" w:rsidR="00A22844">
        <w:rPr>
          <w:spacing w:val="-5"/>
        </w:rPr>
        <w:t>from civil and administrative penalties obtained from the parties responsible for the 2010 Deepwater Horizon oil spill in the Gulf of Mexico.</w:t>
      </w:r>
      <w:r w:rsidR="008B2FDC">
        <w:rPr>
          <w:spacing w:val="-5"/>
        </w:rPr>
        <w:t xml:space="preserve"> </w:t>
      </w:r>
      <w:r w:rsidRPr="002551F6" w:rsidR="000E07A3">
        <w:t xml:space="preserve">The </w:t>
      </w:r>
      <w:r w:rsidR="008B2FDC">
        <w:t xml:space="preserve">eligible entities under the </w:t>
      </w:r>
      <w:r w:rsidR="009259D5">
        <w:t xml:space="preserve">Direct Component </w:t>
      </w:r>
      <w:r w:rsidR="008B2FDC">
        <w:t xml:space="preserve">program </w:t>
      </w:r>
      <w:r w:rsidR="009E4CDC">
        <w:t>include</w:t>
      </w:r>
      <w:r w:rsidRPr="002551F6" w:rsidR="000E07A3">
        <w:t xml:space="preserve"> Alabama, </w:t>
      </w:r>
      <w:r w:rsidRPr="002551F6" w:rsidR="009E4CDC">
        <w:t xml:space="preserve">23 </w:t>
      </w:r>
      <w:r w:rsidR="009E4CDC">
        <w:t xml:space="preserve">Florida </w:t>
      </w:r>
      <w:r w:rsidRPr="002551F6" w:rsidR="009E4CDC">
        <w:t>counties</w:t>
      </w:r>
      <w:r w:rsidR="009E4CDC">
        <w:t>,</w:t>
      </w:r>
      <w:r w:rsidRPr="002551F6" w:rsidR="009E4CDC">
        <w:t xml:space="preserve"> </w:t>
      </w:r>
      <w:r w:rsidRPr="002551F6" w:rsidR="000E07A3">
        <w:t xml:space="preserve">Louisiana, </w:t>
      </w:r>
      <w:r w:rsidRPr="002551F6" w:rsidR="009E4CDC">
        <w:t xml:space="preserve">20 </w:t>
      </w:r>
      <w:r w:rsidR="009E4CDC">
        <w:t xml:space="preserve">Louisiana </w:t>
      </w:r>
      <w:r w:rsidRPr="002551F6" w:rsidR="009E4CDC">
        <w:t>parishes</w:t>
      </w:r>
      <w:r w:rsidR="009E4CDC">
        <w:t xml:space="preserve">, </w:t>
      </w:r>
      <w:r w:rsidRPr="002551F6" w:rsidR="000E07A3">
        <w:t>Mississippi, and Texas.</w:t>
      </w:r>
      <w:r w:rsidR="00822B1B">
        <w:t xml:space="preserve"> </w:t>
      </w:r>
      <w:r w:rsidR="009259D5">
        <w:t xml:space="preserve">Alabama, Florida, Louisiana, Mississippi, and Texas </w:t>
      </w:r>
      <w:r w:rsidR="008B2FDC">
        <w:t>are the eligible entities under</w:t>
      </w:r>
      <w:r w:rsidR="009259D5">
        <w:t xml:space="preserve"> the Centers of Excellence Research Grants Program</w:t>
      </w:r>
      <w:r w:rsidR="00B31CDA">
        <w:t>.</w:t>
      </w:r>
    </w:p>
    <w:p w:rsidR="00CC2474" w:rsidRPr="002551F6" w:rsidP="00B716A8" w14:paraId="307E1756" w14:textId="77777777"/>
    <w:p w:rsidR="006678F4" w:rsidRPr="00417F32" w:rsidP="0018454D" w14:paraId="6310665E" w14:textId="3996F241">
      <w:pPr>
        <w:rPr>
          <w:iCs/>
        </w:rPr>
      </w:pPr>
      <w:r>
        <w:t>In general, f</w:t>
      </w:r>
      <w:r w:rsidRPr="002551F6" w:rsidR="00AF0BF9">
        <w:t>or the Direct Component,</w:t>
      </w:r>
      <w:r>
        <w:t xml:space="preserve"> </w:t>
      </w:r>
      <w:r w:rsidRPr="006678F4">
        <w:t>the following projects, programs, and activities are eligible for funding under the Direct Component</w:t>
      </w:r>
      <w:r>
        <w:t>,</w:t>
      </w:r>
      <w:r w:rsidRPr="006678F4">
        <w:t xml:space="preserve"> </w:t>
      </w:r>
      <w:r>
        <w:t>based on t</w:t>
      </w:r>
      <w:r w:rsidRPr="006678F4">
        <w:t xml:space="preserve">he eligibility </w:t>
      </w:r>
      <w:r>
        <w:t>criteria</w:t>
      </w:r>
      <w:r w:rsidRPr="006678F4">
        <w:t xml:space="preserve"> desc</w:t>
      </w:r>
      <w:r>
        <w:t xml:space="preserve">ribed in Treasury’s </w:t>
      </w:r>
      <w:r w:rsidR="00A3189F">
        <w:t xml:space="preserve">implementing </w:t>
      </w:r>
      <w:r>
        <w:t>regulations</w:t>
      </w:r>
      <w:r w:rsidR="00A3189F">
        <w:t xml:space="preserve"> at </w:t>
      </w:r>
      <w:r w:rsidRPr="00417F32">
        <w:rPr>
          <w:iCs/>
        </w:rPr>
        <w:t>31 CFR 34.201</w:t>
      </w:r>
      <w:r w:rsidRPr="00417F32" w:rsidR="0058262E">
        <w:rPr>
          <w:iCs/>
        </w:rPr>
        <w:t>.</w:t>
      </w:r>
      <w:r w:rsidRPr="00950231" w:rsidR="00B64EA2">
        <w:rPr>
          <w:iCs/>
        </w:rPr>
        <w:t xml:space="preserve"> </w:t>
      </w:r>
    </w:p>
    <w:p w:rsidR="006678F4" w:rsidP="00106A18" w14:paraId="0733FF4D" w14:textId="3A708108">
      <w:pPr>
        <w:numPr>
          <w:ilvl w:val="0"/>
          <w:numId w:val="16"/>
        </w:numPr>
      </w:pPr>
      <w:r>
        <w:t>Restoration and protection of the natural resources, ecosystems, fisheries, marine and wildlife habitats, beaches and coastal wetlands of the Gulf Coast region</w:t>
      </w:r>
      <w:r w:rsidR="00950231">
        <w:t>;</w:t>
      </w:r>
    </w:p>
    <w:p w:rsidR="006678F4" w:rsidP="00106A18" w14:paraId="70D5F25B" w14:textId="0912F045">
      <w:pPr>
        <w:numPr>
          <w:ilvl w:val="0"/>
          <w:numId w:val="16"/>
        </w:numPr>
      </w:pPr>
      <w:r>
        <w:t>Mitigation of damage to fish, wildlife, and natural resources</w:t>
      </w:r>
      <w:r w:rsidR="00950231">
        <w:t>;</w:t>
      </w:r>
    </w:p>
    <w:p w:rsidR="006678F4" w:rsidP="00106A18" w14:paraId="5ABF6E8A" w14:textId="16198899">
      <w:pPr>
        <w:numPr>
          <w:ilvl w:val="0"/>
          <w:numId w:val="16"/>
        </w:numPr>
      </w:pPr>
      <w:r>
        <w:t>Implementation of a federally</w:t>
      </w:r>
      <w:r w:rsidR="00270B54">
        <w:t>-</w:t>
      </w:r>
      <w:r>
        <w:t>approved marine, coastal, or comprehensive conservation management plan, including fisheries monitoring</w:t>
      </w:r>
      <w:r w:rsidR="00950231">
        <w:t>;</w:t>
      </w:r>
    </w:p>
    <w:p w:rsidR="006678F4" w:rsidP="00106A18" w14:paraId="7D008A1B" w14:textId="06AF1355">
      <w:pPr>
        <w:numPr>
          <w:ilvl w:val="0"/>
          <w:numId w:val="16"/>
        </w:numPr>
      </w:pPr>
      <w:r>
        <w:t>Workforce development and job creation</w:t>
      </w:r>
      <w:r w:rsidR="00950231">
        <w:t>;</w:t>
      </w:r>
    </w:p>
    <w:p w:rsidR="006678F4" w:rsidP="00106A18" w14:paraId="18BF362E" w14:textId="058545FA">
      <w:pPr>
        <w:numPr>
          <w:ilvl w:val="0"/>
          <w:numId w:val="16"/>
        </w:numPr>
      </w:pPr>
      <w:r>
        <w:t>Improvements to or on State parks located in coastal areas affected by the Deepwater Horizon oil spill</w:t>
      </w:r>
      <w:r w:rsidR="00950231">
        <w:t>;</w:t>
      </w:r>
      <w:r w:rsidRPr="006678F4">
        <w:t xml:space="preserve"> </w:t>
      </w:r>
    </w:p>
    <w:p w:rsidR="006678F4" w:rsidP="00106A18" w14:paraId="7A8E4CA9" w14:textId="64DA2DBB">
      <w:pPr>
        <w:numPr>
          <w:ilvl w:val="0"/>
          <w:numId w:val="16"/>
        </w:numPr>
      </w:pPr>
      <w:r>
        <w:t>Infrastructure projects benefitting the economy or ecological resources, including port infrastructure</w:t>
      </w:r>
      <w:r w:rsidR="00950231">
        <w:t>;</w:t>
      </w:r>
    </w:p>
    <w:p w:rsidR="006678F4" w:rsidP="00106A18" w14:paraId="401FFA50" w14:textId="21195BB1">
      <w:pPr>
        <w:numPr>
          <w:ilvl w:val="0"/>
          <w:numId w:val="16"/>
        </w:numPr>
      </w:pPr>
      <w:r>
        <w:t>Coastal flood protection and related infrastructure</w:t>
      </w:r>
      <w:r w:rsidR="00950231">
        <w:t>;</w:t>
      </w:r>
    </w:p>
    <w:p w:rsidR="006678F4" w:rsidP="00106A18" w14:paraId="25D29FC3" w14:textId="64DF5955">
      <w:pPr>
        <w:numPr>
          <w:ilvl w:val="0"/>
          <w:numId w:val="16"/>
        </w:numPr>
      </w:pPr>
      <w:r>
        <w:t>Planning assistance</w:t>
      </w:r>
      <w:r w:rsidR="00950231">
        <w:t>;</w:t>
      </w:r>
      <w:r>
        <w:t xml:space="preserve"> </w:t>
      </w:r>
    </w:p>
    <w:p w:rsidR="006678F4" w:rsidP="00106A18" w14:paraId="1C47C75F" w14:textId="67730F62">
      <w:pPr>
        <w:numPr>
          <w:ilvl w:val="0"/>
          <w:numId w:val="16"/>
        </w:numPr>
      </w:pPr>
      <w:r>
        <w:t>Administrative costs</w:t>
      </w:r>
      <w:r w:rsidR="00950231">
        <w:t>;</w:t>
      </w:r>
    </w:p>
    <w:p w:rsidR="006678F4" w:rsidP="00106A18" w14:paraId="08B83E96" w14:textId="150FB5D1">
      <w:pPr>
        <w:numPr>
          <w:ilvl w:val="0"/>
          <w:numId w:val="16"/>
        </w:numPr>
      </w:pPr>
      <w:r>
        <w:t>Promotion of tourism in the Gulf Coast region, including recreational fishing</w:t>
      </w:r>
      <w:r w:rsidR="00950231">
        <w:t>; and</w:t>
      </w:r>
    </w:p>
    <w:p w:rsidR="006678F4" w:rsidP="00106A18" w14:paraId="1F45C760" w14:textId="77777777">
      <w:pPr>
        <w:numPr>
          <w:ilvl w:val="0"/>
          <w:numId w:val="16"/>
        </w:numPr>
      </w:pPr>
      <w:r>
        <w:t>Promotion of the consumption of seafood harvested from the Gulf Coast region</w:t>
      </w:r>
      <w:r w:rsidR="003F59C0">
        <w:t>.</w:t>
      </w:r>
    </w:p>
    <w:p w:rsidR="006678F4" w:rsidP="006678F4" w14:paraId="52FE8145" w14:textId="77777777"/>
    <w:p w:rsidR="00AF0BF9" w:rsidRPr="00106A18" w:rsidP="00106A18" w14:paraId="08B21447" w14:textId="7661D285">
      <w:pPr>
        <w:jc w:val="both"/>
        <w:rPr>
          <w:i/>
        </w:rPr>
      </w:pPr>
      <w:r w:rsidRPr="002551F6">
        <w:t xml:space="preserve">For the Centers of Excellence </w:t>
      </w:r>
      <w:r w:rsidR="009E4CDC">
        <w:t xml:space="preserve">Research Grants </w:t>
      </w:r>
      <w:r w:rsidRPr="002551F6">
        <w:t>Program,</w:t>
      </w:r>
      <w:r w:rsidR="009259D5">
        <w:t xml:space="preserve"> each Gulf Coast State may establish one or more centers of excellence </w:t>
      </w:r>
      <w:r w:rsidR="00A3189F">
        <w:t>that</w:t>
      </w:r>
      <w:r w:rsidRPr="002551F6" w:rsidR="00A3189F">
        <w:t xml:space="preserve"> </w:t>
      </w:r>
      <w:r w:rsidR="009259D5">
        <w:t xml:space="preserve">focus on science, technology, and monitoring </w:t>
      </w:r>
      <w:r w:rsidR="00A3189F">
        <w:t xml:space="preserve">in </w:t>
      </w:r>
      <w:r w:rsidRPr="00D14168" w:rsidR="00A3189F">
        <w:t xml:space="preserve">one or more of the five eligible disciplines in </w:t>
      </w:r>
      <w:r w:rsidRPr="002551F6">
        <w:t>the Gulf Coast Region</w:t>
      </w:r>
      <w:r w:rsidR="00950231">
        <w:rPr>
          <w:i/>
        </w:rPr>
        <w:t xml:space="preserve">, </w:t>
      </w:r>
      <w:r w:rsidRPr="00417F32" w:rsidR="00950231">
        <w:rPr>
          <w:iCs/>
        </w:rPr>
        <w:t>as described in</w:t>
      </w:r>
      <w:r w:rsidRPr="00417F32" w:rsidR="005E5A57">
        <w:rPr>
          <w:iCs/>
        </w:rPr>
        <w:t xml:space="preserve"> 31 CFR 34.704</w:t>
      </w:r>
      <w:r w:rsidR="00A3189F">
        <w:rPr>
          <w:iCs/>
        </w:rPr>
        <w:t>(b):</w:t>
      </w:r>
    </w:p>
    <w:p w:rsidR="00390A50" w:rsidRPr="002551F6" w:rsidP="006678F4" w14:paraId="32C0A3F6" w14:textId="77777777"/>
    <w:p w:rsidR="00390A50" w:rsidP="00106A18" w14:paraId="235EE8BD" w14:textId="6F69CCE3">
      <w:pPr>
        <w:numPr>
          <w:ilvl w:val="0"/>
          <w:numId w:val="18"/>
        </w:numPr>
      </w:pPr>
      <w:r>
        <w:t>Coastal and deltaic sustainability, restoration, and protection, including solutions and technology that allow citizens to live in a safe and sustainable manner in a coastal delta in the Gulf Coast Region</w:t>
      </w:r>
      <w:r w:rsidR="00950231">
        <w:t>;</w:t>
      </w:r>
    </w:p>
    <w:p w:rsidR="00390A50" w:rsidP="00106A18" w14:paraId="0B13625F" w14:textId="48E624DD">
      <w:pPr>
        <w:numPr>
          <w:ilvl w:val="0"/>
          <w:numId w:val="18"/>
        </w:numPr>
      </w:pPr>
      <w:r>
        <w:t>Coastal fisheries and wildlife ecosystem research and monitoring in the Gulf Coast Region</w:t>
      </w:r>
      <w:r w:rsidR="00950231">
        <w:t>;</w:t>
      </w:r>
    </w:p>
    <w:p w:rsidR="00390A50" w:rsidP="00106A18" w14:paraId="01B18379" w14:textId="40210AA0">
      <w:pPr>
        <w:numPr>
          <w:ilvl w:val="0"/>
          <w:numId w:val="18"/>
        </w:numPr>
      </w:pPr>
      <w:r>
        <w:t>Offshore energy development, including research and technology to improve the sustainable and safe development of energy resources in the Gulf of Mexico</w:t>
      </w:r>
      <w:r w:rsidR="00950231">
        <w:t>;</w:t>
      </w:r>
    </w:p>
    <w:p w:rsidR="00390A50" w:rsidP="00106A18" w14:paraId="120D6BD6" w14:textId="369E7480">
      <w:pPr>
        <w:numPr>
          <w:ilvl w:val="0"/>
          <w:numId w:val="18"/>
        </w:numPr>
      </w:pPr>
      <w:r>
        <w:t>Sustainable and resilient growth, economic and commercial development in the Gulf Coast Region</w:t>
      </w:r>
      <w:r w:rsidR="00950231">
        <w:t>; and</w:t>
      </w:r>
    </w:p>
    <w:p w:rsidR="00775C08" w:rsidRPr="0025604D" w:rsidP="00106A18" w14:paraId="27EEB109" w14:textId="77777777">
      <w:pPr>
        <w:numPr>
          <w:ilvl w:val="0"/>
          <w:numId w:val="18"/>
        </w:numPr>
      </w:pPr>
      <w:r>
        <w:t>Comprehensive observation, monitoring, and mapping of the Gulf of Mexico</w:t>
      </w:r>
      <w:r w:rsidR="003F59C0">
        <w:t>.</w:t>
      </w:r>
    </w:p>
    <w:p w:rsidR="005E5A57" w:rsidP="00106A18" w14:paraId="0B0A6AE8" w14:textId="77777777">
      <w:pPr>
        <w:ind w:left="720"/>
        <w:rPr>
          <w:b/>
        </w:rPr>
      </w:pPr>
    </w:p>
    <w:p w:rsidR="004564BB" w:rsidRPr="00CD125E" w:rsidP="004564BB" w14:paraId="6B24D477" w14:textId="656139C9">
      <w:pPr>
        <w:autoSpaceDE w:val="0"/>
        <w:autoSpaceDN w:val="0"/>
        <w:adjustRightInd w:val="0"/>
      </w:pPr>
      <w:r w:rsidRPr="004564BB">
        <w:t>Additionally,</w:t>
      </w:r>
      <w:r>
        <w:t xml:space="preserve"> on December 13, 2016, Treasury published a final rule in the Federal Register</w:t>
      </w:r>
      <w:r w:rsidR="006F201F">
        <w:t xml:space="preserve"> </w:t>
      </w:r>
      <w:r w:rsidRPr="008D1E78" w:rsidR="006F201F">
        <w:t>at 81 FR</w:t>
      </w:r>
      <w:r w:rsidRPr="008D1E78" w:rsidR="009126D6">
        <w:t xml:space="preserve"> </w:t>
      </w:r>
      <w:r w:rsidRPr="008D1E78" w:rsidR="006F201F">
        <w:t>89855</w:t>
      </w:r>
      <w:r w:rsidRPr="008D1E78" w:rsidR="00E67B5C">
        <w:t xml:space="preserve">, which </w:t>
      </w:r>
      <w:r w:rsidR="0086211B">
        <w:t>was</w:t>
      </w:r>
      <w:r w:rsidRPr="00A3189F" w:rsidR="0086211B">
        <w:t xml:space="preserve"> </w:t>
      </w:r>
      <w:r w:rsidRPr="00A3189F">
        <w:rPr>
          <w:bCs/>
        </w:rPr>
        <w:t xml:space="preserve">effective </w:t>
      </w:r>
      <w:r w:rsidRPr="00A3189F" w:rsidR="006F201F">
        <w:rPr>
          <w:bCs/>
        </w:rPr>
        <w:t xml:space="preserve">on </w:t>
      </w:r>
      <w:r w:rsidRPr="00A3189F">
        <w:rPr>
          <w:bCs/>
        </w:rPr>
        <w:t xml:space="preserve">January 12, 2017, </w:t>
      </w:r>
      <w:r w:rsidRPr="00A3189F">
        <w:t xml:space="preserve">titled </w:t>
      </w:r>
      <w:r w:rsidRPr="00A3189F">
        <w:rPr>
          <w:bCs/>
          <w:i/>
          <w:iCs/>
        </w:rPr>
        <w:t xml:space="preserve">Regulation Regarding </w:t>
      </w:r>
      <w:r w:rsidRPr="001022A9">
        <w:rPr>
          <w:bCs/>
          <w:i/>
          <w:iCs/>
        </w:rPr>
        <w:t xml:space="preserve">Nondiscrimination </w:t>
      </w:r>
      <w:r w:rsidRPr="001022A9">
        <w:rPr>
          <w:bCs/>
          <w:i/>
          <w:iCs/>
        </w:rPr>
        <w:t>on the Basis of</w:t>
      </w:r>
      <w:r w:rsidRPr="001022A9">
        <w:rPr>
          <w:bCs/>
          <w:i/>
          <w:iCs/>
        </w:rPr>
        <w:t xml:space="preserve"> Race, Color, or National Origin in Programs or Activities Receiving Federal Financial Assistance </w:t>
      </w:r>
      <w:r w:rsidR="00D0346A">
        <w:rPr>
          <w:bCs/>
          <w:i/>
          <w:iCs/>
        </w:rPr>
        <w:t>f</w:t>
      </w:r>
      <w:r w:rsidRPr="001022A9">
        <w:rPr>
          <w:bCs/>
          <w:i/>
          <w:iCs/>
        </w:rPr>
        <w:t>rom the Department of the Treasury</w:t>
      </w:r>
      <w:r>
        <w:rPr>
          <w:bCs/>
        </w:rPr>
        <w:t xml:space="preserve"> </w:t>
      </w:r>
      <w:r>
        <w:t>(31 CFR Part 22)</w:t>
      </w:r>
      <w:r>
        <w:rPr>
          <w:bCs/>
        </w:rPr>
        <w:t xml:space="preserve">, which implements </w:t>
      </w:r>
      <w:r w:rsidR="0086211B">
        <w:rPr>
          <w:bCs/>
        </w:rPr>
        <w:t xml:space="preserve">the requirements of </w:t>
      </w:r>
      <w:r>
        <w:rPr>
          <w:bCs/>
        </w:rPr>
        <w:t>Title VI of the Civil Rights Act of 1964. The</w:t>
      </w:r>
      <w:r w:rsidRPr="00CD125E">
        <w:t xml:space="preserve"> regulation</w:t>
      </w:r>
      <w:r w:rsidR="00CB18D9">
        <w:t>s</w:t>
      </w:r>
      <w:r w:rsidRPr="00CD125E">
        <w:t xml:space="preserve"> provide guidance to </w:t>
      </w:r>
      <w:r w:rsidR="00F6329B">
        <w:t>Treasury</w:t>
      </w:r>
      <w:r w:rsidRPr="00CD125E">
        <w:t xml:space="preserve">’s recipients of federal financial assistance </w:t>
      </w:r>
      <w:r w:rsidR="00E67B5C">
        <w:t xml:space="preserve">for </w:t>
      </w:r>
      <w:r w:rsidRPr="00CD125E">
        <w:t>compl</w:t>
      </w:r>
      <w:r w:rsidR="00E67B5C">
        <w:t>iance</w:t>
      </w:r>
      <w:r w:rsidRPr="00CD125E">
        <w:t xml:space="preserve"> with the provisions of Title VI </w:t>
      </w:r>
      <w:r w:rsidR="00E67B5C">
        <w:rPr>
          <w:bCs/>
        </w:rPr>
        <w:t xml:space="preserve">of the Civil Rights Act of 1964 </w:t>
      </w:r>
      <w:r w:rsidRPr="00CD125E">
        <w:t>and also</w:t>
      </w:r>
      <w:r w:rsidRPr="00CD125E">
        <w:t xml:space="preserve"> promote consistent and appropriate enforcement of </w:t>
      </w:r>
      <w:r w:rsidR="00D57CE9">
        <w:t xml:space="preserve">the requirements </w:t>
      </w:r>
      <w:r w:rsidR="00283167">
        <w:t xml:space="preserve">of </w:t>
      </w:r>
      <w:r w:rsidRPr="00CD125E">
        <w:t xml:space="preserve">Title VI </w:t>
      </w:r>
      <w:r w:rsidR="00D57CE9">
        <w:rPr>
          <w:bCs/>
        </w:rPr>
        <w:t xml:space="preserve">of the Civil Rights Act of 1964 </w:t>
      </w:r>
      <w:r w:rsidRPr="00CD125E">
        <w:t xml:space="preserve">by </w:t>
      </w:r>
      <w:r w:rsidR="00F6329B">
        <w:t>Treasury</w:t>
      </w:r>
      <w:r w:rsidRPr="00CD125E">
        <w:t xml:space="preserve">’s components. Through </w:t>
      </w:r>
      <w:r>
        <w:t>th</w:t>
      </w:r>
      <w:r w:rsidR="00D0346A">
        <w:t>ese</w:t>
      </w:r>
      <w:r w:rsidRPr="00CD125E">
        <w:t xml:space="preserve"> </w:t>
      </w:r>
      <w:r w:rsidR="00D57CE9">
        <w:t>regulations</w:t>
      </w:r>
      <w:r w:rsidRPr="00CD125E">
        <w:t>, the Department also notifie</w:t>
      </w:r>
      <w:r>
        <w:t>d</w:t>
      </w:r>
      <w:r w:rsidRPr="00CD125E">
        <w:t xml:space="preserve"> beneficiaries of </w:t>
      </w:r>
      <w:r w:rsidR="002C653D">
        <w:t>the assistance under its</w:t>
      </w:r>
      <w:r w:rsidRPr="00CD125E">
        <w:t xml:space="preserve"> financial assistance </w:t>
      </w:r>
      <w:r w:rsidRPr="00CD125E" w:rsidR="002C653D">
        <w:t xml:space="preserve">programs </w:t>
      </w:r>
      <w:r w:rsidRPr="00CD125E">
        <w:t>of the protections against discrimination based on race, color, and national origin.</w:t>
      </w:r>
    </w:p>
    <w:p w:rsidR="004564BB" w:rsidP="00D72F67" w14:paraId="5A9AC583" w14:textId="677106F6">
      <w:pPr>
        <w:tabs>
          <w:tab w:val="left" w:pos="5382"/>
        </w:tabs>
        <w:autoSpaceDE w:val="0"/>
        <w:autoSpaceDN w:val="0"/>
        <w:adjustRightInd w:val="0"/>
      </w:pPr>
      <w:r>
        <w:tab/>
      </w:r>
    </w:p>
    <w:p w:rsidR="004564BB" w:rsidP="004564BB" w14:paraId="5A2EA8E9" w14:textId="533818B6">
      <w:pPr>
        <w:autoSpaceDE w:val="0"/>
        <w:autoSpaceDN w:val="0"/>
        <w:adjustRightInd w:val="0"/>
      </w:pPr>
      <w:r w:rsidRPr="00CD125E">
        <w:t xml:space="preserve">The </w:t>
      </w:r>
      <w:r w:rsidR="002C653D">
        <w:t>final rule require</w:t>
      </w:r>
      <w:r w:rsidR="000D53BB">
        <w:t xml:space="preserve">s Treasury </w:t>
      </w:r>
      <w:r w:rsidR="002C653D">
        <w:t xml:space="preserve">to collect </w:t>
      </w:r>
      <w:r w:rsidR="000D53BB">
        <w:t xml:space="preserve">certain information </w:t>
      </w:r>
      <w:r w:rsidR="002C653D">
        <w:t>from recipients</w:t>
      </w:r>
      <w:r w:rsidR="000D53BB">
        <w:t xml:space="preserve"> of awards under its financial assistance programs</w:t>
      </w:r>
      <w:r w:rsidR="002C653D">
        <w:t xml:space="preserve"> </w:t>
      </w:r>
      <w:r w:rsidR="000D53BB">
        <w:t>and that information is</w:t>
      </w:r>
      <w:r>
        <w:t xml:space="preserve"> being added to the </w:t>
      </w:r>
      <w:r w:rsidRPr="00CD125E">
        <w:t>information collection</w:t>
      </w:r>
      <w:r>
        <w:t xml:space="preserve"> for</w:t>
      </w:r>
      <w:r w:rsidR="002C653D">
        <w:t xml:space="preserve"> Treasury’s</w:t>
      </w:r>
      <w:r>
        <w:t xml:space="preserve"> RESTORE Act grant</w:t>
      </w:r>
      <w:r w:rsidR="002C653D">
        <w:t xml:space="preserve"> programs</w:t>
      </w:r>
      <w:r>
        <w:t xml:space="preserve">. </w:t>
      </w:r>
      <w:r w:rsidRPr="00CD125E">
        <w:t>The information collections contained in this</w:t>
      </w:r>
      <w:r w:rsidR="002C653D">
        <w:t xml:space="preserve"> final</w:t>
      </w:r>
      <w:r w:rsidRPr="00CD125E">
        <w:t xml:space="preserve"> rule are found in </w:t>
      </w:r>
      <w:r>
        <w:t xml:space="preserve">31 CFR </w:t>
      </w:r>
      <w:r w:rsidR="0025330A">
        <w:t>Part</w:t>
      </w:r>
      <w:r w:rsidRPr="00CD125E">
        <w:t xml:space="preserve"> 22.</w:t>
      </w:r>
    </w:p>
    <w:p w:rsidR="00E6127C" w:rsidP="004564BB" w14:paraId="059DEFFE" w14:textId="170C8D16">
      <w:pPr>
        <w:autoSpaceDE w:val="0"/>
        <w:autoSpaceDN w:val="0"/>
        <w:adjustRightInd w:val="0"/>
      </w:pPr>
    </w:p>
    <w:p w:rsidR="00547276" w:rsidP="00547276" w14:paraId="0F52EE8F" w14:textId="607CEB2D">
      <w:r w:rsidRPr="00547276">
        <w:t xml:space="preserve">Additionally, in March 2022, </w:t>
      </w:r>
      <w:bookmarkStart w:id="0" w:name="_Hlk121406841"/>
      <w:r w:rsidRPr="00547276">
        <w:t xml:space="preserve">the Office of Management and Budget determined that </w:t>
      </w:r>
      <w:r w:rsidRPr="00547276" w:rsidR="00113971">
        <w:t>section 70914</w:t>
      </w:r>
      <w:r w:rsidRPr="00EC127E" w:rsidR="00113971">
        <w:t>(a)</w:t>
      </w:r>
      <w:r w:rsidRPr="00D14592" w:rsidR="00113971">
        <w:t xml:space="preserve"> of the Build America, Buy America Act</w:t>
      </w:r>
      <w:r w:rsidRPr="00880497" w:rsidR="00113971">
        <w:t xml:space="preserve"> (</w:t>
      </w:r>
      <w:r w:rsidRPr="00547276" w:rsidR="00113971">
        <w:t>“BABAA”) included in the Infrastructure Investment and Jobs Act (Pub. L. No. 117-58), applied to awards for “infrastructure,” as defined in BABAA, made under Treasury</w:t>
      </w:r>
      <w:r w:rsidR="00D57CE9">
        <w:t>’s RESTORE Act</w:t>
      </w:r>
      <w:r w:rsidRPr="00547276" w:rsidR="00113971">
        <w:t xml:space="preserve"> Direct Component program. </w:t>
      </w:r>
      <w:r>
        <w:t>Treasury’s RESTORE</w:t>
      </w:r>
      <w:r w:rsidR="00D57CE9">
        <w:t xml:space="preserve"> Act Direct Component p</w:t>
      </w:r>
      <w:r>
        <w:t xml:space="preserve">rogram sought and received a six-month </w:t>
      </w:r>
      <w:bookmarkStart w:id="1" w:name="_Hlk121407109"/>
      <w:r w:rsidR="00D57CE9">
        <w:t xml:space="preserve">general applicability public interest </w:t>
      </w:r>
      <w:r>
        <w:t xml:space="preserve">adjustment period </w:t>
      </w:r>
      <w:bookmarkEnd w:id="1"/>
      <w:r>
        <w:t>waiver, such that the BABAA requirements w</w:t>
      </w:r>
      <w:r w:rsidR="003029C9">
        <w:t xml:space="preserve">ould not apply to </w:t>
      </w:r>
      <w:r>
        <w:t xml:space="preserve">any new RESTORE </w:t>
      </w:r>
      <w:r w:rsidR="00D57CE9">
        <w:t xml:space="preserve">Act </w:t>
      </w:r>
      <w:r>
        <w:t xml:space="preserve">Direct Component </w:t>
      </w:r>
      <w:r w:rsidR="003029C9">
        <w:t xml:space="preserve">awards and monetary amendments to existing awards </w:t>
      </w:r>
      <w:r>
        <w:t xml:space="preserve">made between July 13, 2022, the date this waiver was issued, and January 12, 2023. However, these requirements </w:t>
      </w:r>
      <w:r w:rsidR="00B841ED">
        <w:t>went</w:t>
      </w:r>
      <w:r>
        <w:t xml:space="preserve"> into effect on January 1</w:t>
      </w:r>
      <w:r w:rsidR="00D57CE9">
        <w:t>3</w:t>
      </w:r>
      <w:r>
        <w:t>, 2023, for any new Direct Component award</w:t>
      </w:r>
      <w:r w:rsidR="003029C9">
        <w:t xml:space="preserve">s and monetary amendments to existing Direct Component awards </w:t>
      </w:r>
      <w:r w:rsidR="00C7036B">
        <w:t>for infrastructure projects</w:t>
      </w:r>
      <w:bookmarkEnd w:id="0"/>
      <w:r>
        <w:t>.</w:t>
      </w:r>
    </w:p>
    <w:p w:rsidR="00547276" w:rsidP="00547276" w14:paraId="5A9B0983" w14:textId="77777777"/>
    <w:p w:rsidR="00113971" w:rsidRPr="00D72F67" w:rsidP="00853680" w14:paraId="1709E712" w14:textId="58A54C0E">
      <w:pPr>
        <w:rPr>
          <w:color w:val="393B3E"/>
        </w:rPr>
      </w:pPr>
      <w:bookmarkStart w:id="2" w:name="_Hlk121406928"/>
      <w:r w:rsidRPr="000905CC">
        <w:t xml:space="preserve">As a result of this determination, </w:t>
      </w:r>
      <w:r w:rsidRPr="000905CC" w:rsidR="0096195A">
        <w:t>beginning on January 1</w:t>
      </w:r>
      <w:r w:rsidRPr="00470E28" w:rsidR="00A52BC9">
        <w:t>3</w:t>
      </w:r>
      <w:r w:rsidRPr="00470E28" w:rsidR="0096195A">
        <w:t xml:space="preserve">, 2023, </w:t>
      </w:r>
      <w:r w:rsidRPr="00470E28">
        <w:t xml:space="preserve">Direct Component recipients (and subrecipients, as applicable) </w:t>
      </w:r>
      <w:r w:rsidRPr="000905CC">
        <w:t xml:space="preserve">are prohibited from using Direct Component </w:t>
      </w:r>
      <w:r w:rsidRPr="000905CC" w:rsidR="00A52BC9">
        <w:t xml:space="preserve">grant </w:t>
      </w:r>
      <w:r w:rsidRPr="000905CC">
        <w:t>funds to purchase foreign-sourced iron, steel, manufactured products, or construction materials unless Treasury</w:t>
      </w:r>
      <w:r w:rsidRPr="000905CC" w:rsidR="00D77644">
        <w:t xml:space="preserve"> </w:t>
      </w:r>
      <w:r w:rsidRPr="000905CC">
        <w:t xml:space="preserve">approves a waiver pursuant to </w:t>
      </w:r>
      <w:r w:rsidRPr="000905CC" w:rsidR="00D77644">
        <w:t>s</w:t>
      </w:r>
      <w:r w:rsidRPr="000905CC">
        <w:t>ection 70914(b) of BABAA for one of the following reasons</w:t>
      </w:r>
      <w:bookmarkEnd w:id="2"/>
      <w:r w:rsidRPr="00D72F67">
        <w:rPr>
          <w:color w:val="393B3E"/>
        </w:rPr>
        <w:t>:</w:t>
      </w:r>
    </w:p>
    <w:p w:rsidR="00113971" w:rsidRPr="00D72F67" w:rsidP="00E6127C" w14:paraId="774061F3" w14:textId="7BFAAD78">
      <w:pPr>
        <w:ind w:left="360" w:hanging="360"/>
        <w:rPr>
          <w:color w:val="393B3E"/>
        </w:rPr>
      </w:pPr>
    </w:p>
    <w:p w:rsidR="00113971" w:rsidRPr="003029C9" w:rsidP="00113971" w14:paraId="4BD04A43" w14:textId="77777777">
      <w:pPr>
        <w:pStyle w:val="NormalWeb"/>
        <w:spacing w:before="45" w:beforeAutospacing="0" w:after="150" w:afterAutospacing="0"/>
      </w:pPr>
      <w:r w:rsidRPr="003029C9">
        <w:t>(1) applying the domestic content procurement preference would be inconsistent with the public interest (a “public interest waiver”);</w:t>
      </w:r>
    </w:p>
    <w:p w:rsidR="00113971" w:rsidRPr="003029C9" w:rsidP="00113971" w14:paraId="10BDC728" w14:textId="3E20E136">
      <w:pPr>
        <w:pStyle w:val="NormalWeb"/>
        <w:spacing w:before="45" w:beforeAutospacing="0" w:after="150" w:afterAutospacing="0"/>
      </w:pPr>
      <w:r w:rsidRPr="003029C9">
        <w:t xml:space="preserve">(2) </w:t>
      </w:r>
      <w:r w:rsidRPr="003029C9" w:rsidR="00F91DEC">
        <w:t xml:space="preserve">the </w:t>
      </w:r>
      <w:r w:rsidRPr="003029C9">
        <w:t xml:space="preserve">types of iron, steel, manufactured products, or construction materials </w:t>
      </w:r>
      <w:r w:rsidRPr="003029C9" w:rsidR="00F91DEC">
        <w:t xml:space="preserve">required for the project </w:t>
      </w:r>
      <w:r w:rsidRPr="003029C9">
        <w:t>are not produced in the United States in sufficient and reasonably available quantities or of a satisfactory quality (a “nonavailability waiver”); or</w:t>
      </w:r>
    </w:p>
    <w:p w:rsidR="00113971" w:rsidRPr="003029C9" w:rsidP="00113971" w14:paraId="5B8E02B3" w14:textId="5C9C80D2">
      <w:pPr>
        <w:pStyle w:val="NormalWeb"/>
        <w:spacing w:before="45" w:beforeAutospacing="0" w:after="150" w:afterAutospacing="0"/>
      </w:pPr>
      <w:r w:rsidRPr="003029C9">
        <w:t>(3) the inclusion of iron, steel, manufactured products, or construction materials produced in the United States will increase the cost of the overall project by more than 25 percent (an “unreasonable cost waiver”).</w:t>
      </w:r>
    </w:p>
    <w:p w:rsidR="00F91DEC" w:rsidRPr="003029C9" w:rsidP="00113971" w14:paraId="7B06E3BC" w14:textId="33D7AA07">
      <w:pPr>
        <w:pStyle w:val="NormalWeb"/>
        <w:spacing w:before="45" w:beforeAutospacing="0" w:after="150" w:afterAutospacing="0"/>
      </w:pPr>
      <w:r w:rsidRPr="003029C9">
        <w:t>Furthermore, the Office of Management and Budget’s (OMB)’s Made in America Office (MIAO)</w:t>
      </w:r>
      <w:r w:rsidRPr="003029C9" w:rsidR="006C0E4F">
        <w:t xml:space="preserve"> in accordance with OMB memorandum M-22-11</w:t>
      </w:r>
      <w:r w:rsidRPr="003029C9">
        <w:t xml:space="preserve"> requires all Federal agencies to post </w:t>
      </w:r>
      <w:r w:rsidRPr="003029C9" w:rsidR="00BB442E">
        <w:t xml:space="preserve">proposed </w:t>
      </w:r>
      <w:r w:rsidRPr="003029C9">
        <w:t xml:space="preserve">waivers on </w:t>
      </w:r>
      <w:r w:rsidRPr="003029C9" w:rsidR="00D77644">
        <w:t xml:space="preserve">the agency’s website and </w:t>
      </w:r>
      <w:r w:rsidRPr="003029C9">
        <w:t>a GSA-</w:t>
      </w:r>
      <w:r w:rsidRPr="003029C9" w:rsidR="00D77644">
        <w:t>managed</w:t>
      </w:r>
      <w:r w:rsidRPr="003029C9">
        <w:t xml:space="preserve">, centralized, BABAA transparency portal, </w:t>
      </w:r>
      <w:r w:rsidRPr="003029C9" w:rsidR="00D77644">
        <w:t>M</w:t>
      </w:r>
      <w:r w:rsidRPr="003029C9">
        <w:t>ade</w:t>
      </w:r>
      <w:r w:rsidRPr="003029C9" w:rsidR="00D77644">
        <w:t>I</w:t>
      </w:r>
      <w:r w:rsidRPr="003029C9">
        <w:t>n</w:t>
      </w:r>
      <w:r w:rsidRPr="003029C9" w:rsidR="00D77644">
        <w:t>A</w:t>
      </w:r>
      <w:r w:rsidRPr="003029C9">
        <w:t>merica.gov, for a 15-day</w:t>
      </w:r>
      <w:r w:rsidRPr="003029C9" w:rsidR="00F6329B">
        <w:t xml:space="preserve"> or 30-day</w:t>
      </w:r>
      <w:r w:rsidRPr="003029C9">
        <w:t xml:space="preserve"> public comment period</w:t>
      </w:r>
      <w:r w:rsidRPr="003029C9" w:rsidR="00F6329B">
        <w:t>, as applicable</w:t>
      </w:r>
      <w:r w:rsidRPr="003029C9" w:rsidR="00BB442E">
        <w:t>.</w:t>
      </w:r>
    </w:p>
    <w:p w:rsidR="00113971" w:rsidRPr="000905CC" w:rsidP="00113971" w14:paraId="720A7D91" w14:textId="2EF8E658">
      <w:pPr>
        <w:pStyle w:val="NormalWeb"/>
        <w:spacing w:before="45" w:beforeAutospacing="0" w:after="150" w:afterAutospacing="0"/>
      </w:pPr>
      <w:bookmarkStart w:id="3" w:name="_Hlk121407008"/>
      <w:r w:rsidRPr="000905CC">
        <w:t xml:space="preserve">Treasury therefore needs to collect information from recipients </w:t>
      </w:r>
      <w:r w:rsidRPr="000905CC" w:rsidR="00F822BC">
        <w:t xml:space="preserve">that </w:t>
      </w:r>
      <w:r w:rsidRPr="000905CC">
        <w:t>seek a waiver from BABAA requirements in order to (a)</w:t>
      </w:r>
      <w:r w:rsidRPr="000905CC" w:rsidR="00F822BC">
        <w:t xml:space="preserve"> </w:t>
      </w:r>
      <w:r w:rsidRPr="000905CC" w:rsidR="00610A88">
        <w:t xml:space="preserve">determine if a waiver is justified, and if so, (b) </w:t>
      </w:r>
      <w:r w:rsidRPr="000905CC" w:rsidR="00F822BC">
        <w:t>draft the</w:t>
      </w:r>
      <w:r w:rsidRPr="000905CC" w:rsidR="00610A88">
        <w:t xml:space="preserve"> requested</w:t>
      </w:r>
      <w:r w:rsidRPr="000905CC" w:rsidR="00F822BC">
        <w:t xml:space="preserve"> waiver</w:t>
      </w:r>
      <w:r w:rsidRPr="000905CC" w:rsidR="00610A88">
        <w:t xml:space="preserve"> and</w:t>
      </w:r>
      <w:r w:rsidRPr="000905CC" w:rsidR="00F822BC">
        <w:t xml:space="preserve"> </w:t>
      </w:r>
      <w:r w:rsidRPr="000905CC">
        <w:t>post</w:t>
      </w:r>
      <w:r w:rsidRPr="000905CC" w:rsidR="00610A88">
        <w:t xml:space="preserve"> it</w:t>
      </w:r>
      <w:r w:rsidRPr="000905CC">
        <w:t xml:space="preserve"> on the</w:t>
      </w:r>
      <w:r w:rsidRPr="000905CC" w:rsidR="00610A88">
        <w:t xml:space="preserve"> RESTORE Act Buy America Preference website and the </w:t>
      </w:r>
      <w:r w:rsidRPr="000905CC">
        <w:t>GSA</w:t>
      </w:r>
      <w:r w:rsidRPr="000905CC" w:rsidR="00610A88">
        <w:t>-managed MIAO</w:t>
      </w:r>
      <w:r w:rsidRPr="000905CC">
        <w:t xml:space="preserve"> website</w:t>
      </w:r>
      <w:r w:rsidRPr="000905CC" w:rsidR="00610A88">
        <w:t xml:space="preserve"> for public comments before it is finalized</w:t>
      </w:r>
      <w:r w:rsidRPr="000905CC" w:rsidR="006D4400">
        <w:t>.</w:t>
      </w:r>
      <w:r w:rsidRPr="000905CC">
        <w:t xml:space="preserve"> </w:t>
      </w:r>
      <w:r w:rsidR="00E237C6">
        <w:t xml:space="preserve">The GSA-managed MIAO website for public comment has certain required fields that agencies must enter, and Treasury drafted this information collection to ensure </w:t>
      </w:r>
      <w:r w:rsidR="00D0346A">
        <w:t xml:space="preserve">the agency is able to collect the necessary </w:t>
      </w:r>
      <w:r w:rsidR="00E237C6">
        <w:t>information from the entity</w:t>
      </w:r>
      <w:r w:rsidR="00D0346A">
        <w:t xml:space="preserve"> requesting a BABAA waiver</w:t>
      </w:r>
      <w:r w:rsidR="00E237C6">
        <w:t xml:space="preserve"> </w:t>
      </w:r>
      <w:r w:rsidR="00E237C6">
        <w:t>in order to</w:t>
      </w:r>
      <w:r w:rsidR="00E237C6">
        <w:t xml:space="preserve"> complete these required fields.</w:t>
      </w:r>
    </w:p>
    <w:bookmarkEnd w:id="3"/>
    <w:p w:rsidR="00E6127C" w:rsidRPr="00CD125E" w:rsidP="004564BB" w14:paraId="578D461B" w14:textId="77777777">
      <w:pPr>
        <w:autoSpaceDE w:val="0"/>
        <w:autoSpaceDN w:val="0"/>
        <w:adjustRightInd w:val="0"/>
      </w:pPr>
    </w:p>
    <w:p w:rsidR="004564BB" w:rsidRPr="004564BB" w:rsidP="00411121" w14:paraId="56E911E0" w14:textId="77777777"/>
    <w:p w:rsidR="003C1AB8" w:rsidRPr="002551F6" w:rsidP="00F41911" w14:paraId="29B40872" w14:textId="49DD45E4">
      <w:pPr>
        <w:numPr>
          <w:ilvl w:val="0"/>
          <w:numId w:val="12"/>
        </w:numPr>
        <w:rPr>
          <w:b/>
        </w:rPr>
      </w:pPr>
      <w:r>
        <w:rPr>
          <w:b/>
          <w:u w:val="single"/>
        </w:rPr>
        <w:t xml:space="preserve">Purpose and </w:t>
      </w:r>
      <w:r w:rsidRPr="002551F6" w:rsidR="00F72D0B">
        <w:rPr>
          <w:b/>
          <w:u w:val="single"/>
        </w:rPr>
        <w:t>U</w:t>
      </w:r>
      <w:r w:rsidRPr="002551F6">
        <w:rPr>
          <w:b/>
          <w:u w:val="single"/>
        </w:rPr>
        <w:t xml:space="preserve">se of the </w:t>
      </w:r>
      <w:r>
        <w:rPr>
          <w:b/>
          <w:u w:val="single"/>
        </w:rPr>
        <w:t>Information Collection.</w:t>
      </w:r>
    </w:p>
    <w:p w:rsidR="003C1AB8" w:rsidRPr="002551F6" w:rsidP="003C1AB8" w14:paraId="7AB4BFCC" w14:textId="77777777">
      <w:pPr>
        <w:rPr>
          <w:u w:val="single"/>
        </w:rPr>
      </w:pPr>
    </w:p>
    <w:p w:rsidR="00856DD0" w:rsidRPr="002551F6" w:rsidP="003C1AB8" w14:paraId="032EF2C5" w14:textId="18070B9A">
      <w:r w:rsidRPr="002551F6">
        <w:t xml:space="preserve">The </w:t>
      </w:r>
      <w:r w:rsidRPr="002551F6" w:rsidR="00A26140">
        <w:t>information</w:t>
      </w:r>
      <w:r w:rsidR="00A26140">
        <w:t xml:space="preserve"> </w:t>
      </w:r>
      <w:r w:rsidR="009E4CDC">
        <w:t xml:space="preserve">collection </w:t>
      </w:r>
      <w:r w:rsidR="001022A9">
        <w:t>assists Treasury in</w:t>
      </w:r>
      <w:r w:rsidR="009E4CDC">
        <w:t>:</w:t>
      </w:r>
      <w:r w:rsidR="00822B1B">
        <w:t xml:space="preserve"> </w:t>
      </w:r>
      <w:r w:rsidRPr="002551F6" w:rsidR="00EC5FAF">
        <w:t xml:space="preserve">(1) </w:t>
      </w:r>
      <w:r w:rsidR="001022A9">
        <w:t>determining if proposed projects are eligible for funding and meet all requirements under the RESTORE Act, Treasury</w:t>
      </w:r>
      <w:r w:rsidR="006A580C">
        <w:t>’s</w:t>
      </w:r>
      <w:r w:rsidR="001022A9">
        <w:t xml:space="preserve"> implementing regulations </w:t>
      </w:r>
      <w:r w:rsidR="001022A9">
        <w:rPr>
          <w:i/>
        </w:rPr>
        <w:t>(31</w:t>
      </w:r>
      <w:r w:rsidR="006A580C">
        <w:rPr>
          <w:i/>
        </w:rPr>
        <w:t xml:space="preserve"> </w:t>
      </w:r>
      <w:r w:rsidR="001022A9">
        <w:rPr>
          <w:i/>
        </w:rPr>
        <w:t>CFR Part 34)</w:t>
      </w:r>
      <w:r w:rsidR="001022A9">
        <w:t>, Treasury</w:t>
      </w:r>
      <w:r w:rsidR="006A580C">
        <w:t>’s</w:t>
      </w:r>
      <w:r w:rsidR="001022A9">
        <w:t xml:space="preserve"> </w:t>
      </w:r>
      <w:r w:rsidR="00A26140">
        <w:t xml:space="preserve">implementing </w:t>
      </w:r>
      <w:r w:rsidR="001022A9">
        <w:t xml:space="preserve">regulations </w:t>
      </w:r>
      <w:r w:rsidR="00A26140">
        <w:t xml:space="preserve"> for </w:t>
      </w:r>
      <w:r w:rsidR="001022A9">
        <w:t>Title VI of the Civil Rights Act of 1964 (</w:t>
      </w:r>
      <w:r w:rsidR="001022A9">
        <w:rPr>
          <w:i/>
        </w:rPr>
        <w:t xml:space="preserve">31 CFR Part 22), </w:t>
      </w:r>
      <w:r w:rsidR="001022A9">
        <w:t xml:space="preserve">and Federal grants </w:t>
      </w:r>
      <w:r w:rsidR="00A26140">
        <w:t xml:space="preserve">regulations </w:t>
      </w:r>
      <w:r w:rsidR="001022A9">
        <w:t xml:space="preserve">and policies </w:t>
      </w:r>
      <w:r w:rsidR="001022A9">
        <w:rPr>
          <w:i/>
        </w:rPr>
        <w:t>(</w:t>
      </w:r>
      <w:r w:rsidRPr="004A7CC6" w:rsidR="001022A9">
        <w:rPr>
          <w:i/>
        </w:rPr>
        <w:t>Uniform Administrative Requirements, Cost Principles, and Audit Requirements for Federal Awards</w:t>
      </w:r>
      <w:r w:rsidR="006A580C">
        <w:rPr>
          <w:i/>
        </w:rPr>
        <w:t>,</w:t>
      </w:r>
      <w:r w:rsidR="001022A9">
        <w:rPr>
          <w:i/>
        </w:rPr>
        <w:t xml:space="preserve"> 2 CF</w:t>
      </w:r>
      <w:r w:rsidRPr="004A7CC6" w:rsidR="001022A9">
        <w:rPr>
          <w:i/>
        </w:rPr>
        <w:t>R</w:t>
      </w:r>
      <w:r w:rsidR="001022A9">
        <w:rPr>
          <w:i/>
        </w:rPr>
        <w:t xml:space="preserve"> </w:t>
      </w:r>
      <w:r w:rsidR="006A580C">
        <w:rPr>
          <w:i/>
        </w:rPr>
        <w:t xml:space="preserve">Part </w:t>
      </w:r>
      <w:r w:rsidRPr="004A7CC6" w:rsidR="001022A9">
        <w:rPr>
          <w:i/>
        </w:rPr>
        <w:t>200</w:t>
      </w:r>
      <w:r w:rsidR="001022A9">
        <w:rPr>
          <w:i/>
        </w:rPr>
        <w:t xml:space="preserve">, </w:t>
      </w:r>
      <w:r w:rsidR="006A580C">
        <w:rPr>
          <w:i/>
        </w:rPr>
        <w:t>(</w:t>
      </w:r>
      <w:r w:rsidR="001022A9">
        <w:rPr>
          <w:i/>
        </w:rPr>
        <w:t>Uniform Guidance)</w:t>
      </w:r>
      <w:r w:rsidRPr="002551F6" w:rsidR="00EC5FAF">
        <w:t xml:space="preserve">; </w:t>
      </w:r>
      <w:r w:rsidRPr="002551F6" w:rsidR="005D099C">
        <w:t>(2)</w:t>
      </w:r>
      <w:r w:rsidR="00B64EA2">
        <w:t xml:space="preserve"> </w:t>
      </w:r>
      <w:r w:rsidR="001022A9">
        <w:t xml:space="preserve">approving and funding awards under the </w:t>
      </w:r>
      <w:r w:rsidR="00A26140">
        <w:t>Direct Component and Centers of Excellence Research Grants Program</w:t>
      </w:r>
      <w:r w:rsidR="00D44CAB">
        <w:t>s</w:t>
      </w:r>
      <w:r w:rsidR="00950231">
        <w:t xml:space="preserve">; </w:t>
      </w:r>
      <w:r w:rsidRPr="002551F6" w:rsidR="001648D5">
        <w:t>(</w:t>
      </w:r>
      <w:r w:rsidRPr="002551F6" w:rsidR="005D099C">
        <w:t>3</w:t>
      </w:r>
      <w:r w:rsidRPr="002551F6" w:rsidR="001648D5">
        <w:t xml:space="preserve">) </w:t>
      </w:r>
      <w:r w:rsidR="001022A9">
        <w:t>determining if requested award amendments and post-award approvals are appropriate and consistent with the</w:t>
      </w:r>
      <w:r w:rsidR="00A26140">
        <w:t xml:space="preserve"> applicable RESTORE Act Financial Assistance Standard Terms and Conditions and Program-specific Terms and Conditions,</w:t>
      </w:r>
      <w:r w:rsidR="001022A9">
        <w:t xml:space="preserve"> </w:t>
      </w:r>
      <w:r w:rsidR="00A26140">
        <w:t xml:space="preserve">and applicable requirements of the </w:t>
      </w:r>
      <w:r w:rsidR="001022A9">
        <w:t>RESTORE Act, Treasury</w:t>
      </w:r>
      <w:r w:rsidR="006A580C">
        <w:t>’s implementing</w:t>
      </w:r>
      <w:r w:rsidR="001022A9">
        <w:t xml:space="preserve"> regulations</w:t>
      </w:r>
      <w:r w:rsidR="00A26140">
        <w:t xml:space="preserve"> at 31 CFR Part 34</w:t>
      </w:r>
      <w:r w:rsidR="001022A9">
        <w:t xml:space="preserve">, </w:t>
      </w:r>
      <w:r w:rsidR="006A580C">
        <w:t>the Uniform Guidance</w:t>
      </w:r>
      <w:r w:rsidR="00A26140">
        <w:t>, and Treasury’s guidance</w:t>
      </w:r>
      <w:r w:rsidR="0050468D">
        <w:t xml:space="preserve">; </w:t>
      </w:r>
      <w:r w:rsidRPr="002551F6" w:rsidR="00860267">
        <w:t>(4)</w:t>
      </w:r>
      <w:r w:rsidRPr="002551F6" w:rsidR="00AF0BF9">
        <w:t xml:space="preserve"> </w:t>
      </w:r>
      <w:r w:rsidR="001022A9">
        <w:t>conduct</w:t>
      </w:r>
      <w:r w:rsidR="0050468D">
        <w:t>ing</w:t>
      </w:r>
      <w:r w:rsidR="001022A9">
        <w:t xml:space="preserve"> appropriate post-approval monitoring</w:t>
      </w:r>
      <w:r w:rsidR="00A26140">
        <w:t xml:space="preserve"> including monitoring compliance with Title VI of the Civil Rights Act as implemented by 31 CFR Part 22</w:t>
      </w:r>
      <w:r w:rsidRPr="002551F6" w:rsidR="00AF0BF9">
        <w:t>;</w:t>
      </w:r>
      <w:r w:rsidR="00D0346A">
        <w:t xml:space="preserve"> </w:t>
      </w:r>
      <w:r w:rsidRPr="002551F6" w:rsidR="00AF0BF9">
        <w:t>(5)</w:t>
      </w:r>
      <w:r w:rsidRPr="002551F6" w:rsidR="00860267">
        <w:t xml:space="preserve"> report</w:t>
      </w:r>
      <w:r w:rsidR="0050468D">
        <w:t>ing</w:t>
      </w:r>
      <w:r w:rsidRPr="002551F6" w:rsidR="00860267">
        <w:t xml:space="preserve"> on the effectiveness of</w:t>
      </w:r>
      <w:r w:rsidRPr="002551F6" w:rsidR="0072166B">
        <w:t xml:space="preserve"> the program</w:t>
      </w:r>
      <w:r w:rsidR="00A26140">
        <w:t>s</w:t>
      </w:r>
      <w:r w:rsidR="0096195A">
        <w:t xml:space="preserve">; and (6) </w:t>
      </w:r>
      <w:r w:rsidR="00D0346A">
        <w:t>ensuring</w:t>
      </w:r>
      <w:r w:rsidR="00A26140">
        <w:t xml:space="preserve"> recipients’ </w:t>
      </w:r>
      <w:r w:rsidR="0096195A">
        <w:t>compl</w:t>
      </w:r>
      <w:r w:rsidR="006A580C">
        <w:t>iance</w:t>
      </w:r>
      <w:r w:rsidR="0096195A">
        <w:t xml:space="preserve"> with </w:t>
      </w:r>
      <w:r w:rsidR="006A580C">
        <w:t xml:space="preserve">the </w:t>
      </w:r>
      <w:r w:rsidR="0096195A">
        <w:t>BABAA requirements</w:t>
      </w:r>
      <w:r w:rsidR="00A26140">
        <w:t>.</w:t>
      </w:r>
    </w:p>
    <w:p w:rsidR="00E13A9C" w:rsidRPr="002551F6" w:rsidP="003C1AB8" w14:paraId="63D0161C" w14:textId="77777777"/>
    <w:p w:rsidR="003C1AB8" w:rsidRPr="002551F6" w:rsidP="00181F21" w14:paraId="72280846" w14:textId="51F236B5">
      <w:pPr>
        <w:keepNext/>
        <w:ind w:left="720" w:hanging="360"/>
        <w:rPr>
          <w:b/>
        </w:rPr>
      </w:pPr>
      <w:r w:rsidRPr="002551F6">
        <w:rPr>
          <w:b/>
        </w:rPr>
        <w:t>3.</w:t>
      </w:r>
      <w:r w:rsidR="00822B1B">
        <w:rPr>
          <w:b/>
        </w:rPr>
        <w:t xml:space="preserve"> </w:t>
      </w:r>
      <w:r w:rsidRPr="00A056F0" w:rsidR="00A056F0">
        <w:rPr>
          <w:b/>
          <w:u w:val="single"/>
        </w:rPr>
        <w:t xml:space="preserve">Consideration Given to </w:t>
      </w:r>
      <w:r w:rsidR="0050468D">
        <w:rPr>
          <w:b/>
          <w:u w:val="single"/>
        </w:rPr>
        <w:t>I</w:t>
      </w:r>
      <w:r w:rsidRPr="002551F6" w:rsidR="00F72D0B">
        <w:rPr>
          <w:b/>
          <w:u w:val="single"/>
        </w:rPr>
        <w:t xml:space="preserve">nformation </w:t>
      </w:r>
      <w:r w:rsidR="0050468D">
        <w:rPr>
          <w:b/>
          <w:u w:val="single"/>
        </w:rPr>
        <w:t>T</w:t>
      </w:r>
      <w:r w:rsidRPr="002551F6" w:rsidR="00F72D0B">
        <w:rPr>
          <w:b/>
          <w:u w:val="single"/>
        </w:rPr>
        <w:t>echnology</w:t>
      </w:r>
      <w:r w:rsidRPr="002551F6">
        <w:rPr>
          <w:b/>
        </w:rPr>
        <w:t xml:space="preserve"> </w:t>
      </w:r>
    </w:p>
    <w:p w:rsidR="003C1AB8" w:rsidRPr="0025604D" w:rsidP="00961823" w14:paraId="04D2602B" w14:textId="77777777">
      <w:pPr>
        <w:keepNext/>
      </w:pPr>
    </w:p>
    <w:p w:rsidR="006C0667" w:rsidP="00F72D0B" w14:paraId="05A5A327" w14:textId="542B276F">
      <w:r>
        <w:t xml:space="preserve">On October 1, 2022, </w:t>
      </w:r>
      <w:r w:rsidR="0050468D">
        <w:t>Treasury’s Office of Gulf Coast Restoration</w:t>
      </w:r>
      <w:r>
        <w:t xml:space="preserve"> </w:t>
      </w:r>
      <w:r w:rsidR="00D44CAB">
        <w:t xml:space="preserve">(OGCR) </w:t>
      </w:r>
      <w:r>
        <w:t xml:space="preserve">transitioned from GrantSolutions.gov to the new RESTORE Grants Management System (RGMS) on a Salesforce </w:t>
      </w:r>
      <w:r>
        <w:t xml:space="preserve">platform. RGMS allows eligible entities under the </w:t>
      </w:r>
      <w:r w:rsidR="00D44CAB">
        <w:t xml:space="preserve">Direct Component and Centers of Excellence Research Grants Programs </w:t>
      </w:r>
      <w:r>
        <w:t xml:space="preserve">to submit applications for new awards, as well as to request amendments, permission to </w:t>
      </w:r>
      <w:r w:rsidR="006A68E6">
        <w:t>commence</w:t>
      </w:r>
      <w:r>
        <w:t xml:space="preserve"> with construction, and</w:t>
      </w:r>
      <w:r w:rsidR="00D44CAB">
        <w:t xml:space="preserve"> </w:t>
      </w:r>
      <w:r>
        <w:t xml:space="preserve">other post-award actions that require Treasury’s prior approval. Entities also use this system to submit semi-annual performance and financial reports. </w:t>
      </w:r>
    </w:p>
    <w:p w:rsidR="006C0667" w:rsidP="00F72D0B" w14:paraId="43EEB4CA" w14:textId="379A74D6"/>
    <w:p w:rsidR="006C0667" w:rsidP="00F72D0B" w14:paraId="3B810C36" w14:textId="0DDFED96">
      <w:r>
        <w:t>Beginning in May 2023, e</w:t>
      </w:r>
      <w:r w:rsidR="00BA3E92">
        <w:t xml:space="preserve">ligible entities under the </w:t>
      </w:r>
      <w:r w:rsidR="00DA37F2">
        <w:t xml:space="preserve">Direct Component </w:t>
      </w:r>
      <w:r>
        <w:t xml:space="preserve">transitioned from </w:t>
      </w:r>
      <w:r w:rsidR="00BA3E92">
        <w:t>us</w:t>
      </w:r>
      <w:r>
        <w:t>ing</w:t>
      </w:r>
      <w:r w:rsidR="00BA3E92">
        <w:t xml:space="preserve"> MAX.gov to </w:t>
      </w:r>
      <w:r>
        <w:t xml:space="preserve">using RGMS to </w:t>
      </w:r>
      <w:r w:rsidR="00BA3E92">
        <w:t xml:space="preserve">submit </w:t>
      </w:r>
      <w:r w:rsidR="00DA37F2">
        <w:t xml:space="preserve">their </w:t>
      </w:r>
      <w:r w:rsidR="00BA3E92">
        <w:t xml:space="preserve">Multiyear </w:t>
      </w:r>
      <w:r w:rsidR="00ED7D6E">
        <w:t xml:space="preserve">Implementation </w:t>
      </w:r>
      <w:r w:rsidR="00BA3E92">
        <w:t>Plans</w:t>
      </w:r>
      <w:r w:rsidR="00ED7D6E">
        <w:t xml:space="preserve"> (</w:t>
      </w:r>
      <w:r w:rsidR="00DA37F2">
        <w:t xml:space="preserve">Treasury-accepted </w:t>
      </w:r>
      <w:r w:rsidR="00ED7D6E">
        <w:t>MIP</w:t>
      </w:r>
      <w:r w:rsidR="00A41CB4">
        <w:t>s</w:t>
      </w:r>
      <w:r w:rsidR="00DA37F2">
        <w:t xml:space="preserve"> </w:t>
      </w:r>
      <w:r w:rsidR="001C519C">
        <w:t>are</w:t>
      </w:r>
      <w:r w:rsidR="00DA37F2">
        <w:t xml:space="preserve"> </w:t>
      </w:r>
      <w:r w:rsidR="00A41CB4">
        <w:t>a</w:t>
      </w:r>
      <w:r w:rsidR="00BA3E92">
        <w:t xml:space="preserve"> prerequisite </w:t>
      </w:r>
      <w:r w:rsidR="00A41CB4">
        <w:t xml:space="preserve">under the </w:t>
      </w:r>
      <w:r w:rsidR="00DA37F2">
        <w:t xml:space="preserve">Direct Component program </w:t>
      </w:r>
      <w:r w:rsidR="00A41CB4">
        <w:t>for</w:t>
      </w:r>
      <w:r w:rsidR="00BA3E92">
        <w:t xml:space="preserve"> </w:t>
      </w:r>
      <w:r w:rsidR="00DA37F2">
        <w:t xml:space="preserve">eligible entities to </w:t>
      </w:r>
      <w:r w:rsidR="00BA3E92">
        <w:t>receiv</w:t>
      </w:r>
      <w:r w:rsidR="00DA37F2">
        <w:t>e</w:t>
      </w:r>
      <w:r w:rsidR="00BA3E92">
        <w:t xml:space="preserve"> </w:t>
      </w:r>
      <w:r w:rsidR="00DA37F2">
        <w:t xml:space="preserve">grant </w:t>
      </w:r>
      <w:r w:rsidR="00BA3E92">
        <w:t>funding</w:t>
      </w:r>
      <w:r w:rsidR="00DA37F2">
        <w:t xml:space="preserve"> for projects under the Direct Component program</w:t>
      </w:r>
      <w:r>
        <w:t xml:space="preserve">) and </w:t>
      </w:r>
      <w:r w:rsidR="00BA3E92">
        <w:t>annual Operational Self-Assessment</w:t>
      </w:r>
      <w:r w:rsidR="00A41CB4">
        <w:t>s</w:t>
      </w:r>
      <w:r w:rsidR="00BA3E92">
        <w:t xml:space="preserve"> (OSA</w:t>
      </w:r>
      <w:r>
        <w:t>s</w:t>
      </w:r>
      <w:r w:rsidR="00DA37F2">
        <w:t xml:space="preserve"> are </w:t>
      </w:r>
      <w:r>
        <w:t>required</w:t>
      </w:r>
      <w:r w:rsidR="00C6511A">
        <w:t xml:space="preserve"> annually</w:t>
      </w:r>
      <w:r w:rsidR="00DA37F2">
        <w:t xml:space="preserve"> from eligible entities</w:t>
      </w:r>
      <w:r>
        <w:t xml:space="preserve"> under the </w:t>
      </w:r>
      <w:r w:rsidR="00DA37F2">
        <w:t>Direct Component and Centers of Excellence Research Grants Programs</w:t>
      </w:r>
      <w:r w:rsidR="00C6511A">
        <w:t xml:space="preserve"> </w:t>
      </w:r>
      <w:r w:rsidR="00BE6AEE">
        <w:t>prior to receiving</w:t>
      </w:r>
      <w:r w:rsidR="00C6511A">
        <w:t xml:space="preserve"> grant funding</w:t>
      </w:r>
      <w:r>
        <w:t xml:space="preserve">) </w:t>
      </w:r>
      <w:r w:rsidR="00DA37F2">
        <w:t>to Treasury.</w:t>
      </w:r>
    </w:p>
    <w:p w:rsidR="00260342" w:rsidP="00F72D0B" w14:paraId="07A2B1E8" w14:textId="5071473C"/>
    <w:p w:rsidR="00260342" w:rsidP="00F72D0B" w14:paraId="24C6AFC0" w14:textId="120BEDE8">
      <w:r>
        <w:t xml:space="preserve">Beginning in April 2023, eligible entities </w:t>
      </w:r>
      <w:r w:rsidR="002E7342">
        <w:t xml:space="preserve">that </w:t>
      </w:r>
      <w:r>
        <w:t>need to request a waiver</w:t>
      </w:r>
      <w:r w:rsidR="002E7342">
        <w:t xml:space="preserve"> from the requirements</w:t>
      </w:r>
      <w:r>
        <w:t xml:space="preserve"> </w:t>
      </w:r>
      <w:r w:rsidR="002E7342">
        <w:t xml:space="preserve">of </w:t>
      </w:r>
      <w:r w:rsidR="00A41CB4">
        <w:t xml:space="preserve">the </w:t>
      </w:r>
      <w:r>
        <w:t>Build America, Buy America</w:t>
      </w:r>
      <w:r w:rsidR="00A41CB4">
        <w:t xml:space="preserve"> Act</w:t>
      </w:r>
      <w:r>
        <w:t xml:space="preserve"> (BABA</w:t>
      </w:r>
      <w:r w:rsidR="00A41CB4">
        <w:t>A</w:t>
      </w:r>
      <w:r>
        <w:t xml:space="preserve">) </w:t>
      </w:r>
      <w:r w:rsidR="002E7342">
        <w:t xml:space="preserve">are </w:t>
      </w:r>
      <w:r>
        <w:t>able to</w:t>
      </w:r>
      <w:r>
        <w:t xml:space="preserve"> do so via RGMS.</w:t>
      </w:r>
    </w:p>
    <w:p w:rsidR="006C0667" w:rsidP="00F72D0B" w14:paraId="33EFEB1D" w14:textId="77777777"/>
    <w:p w:rsidR="00B72490" w:rsidP="00F72D0B" w14:paraId="27384C41" w14:textId="5F1B6A37">
      <w:r>
        <w:t xml:space="preserve">The switch </w:t>
      </w:r>
      <w:r w:rsidR="00260342">
        <w:t>from GrantSolutions.gov and MAX.gov to RGMS has</w:t>
      </w:r>
      <w:r w:rsidR="006A68E6">
        <w:t xml:space="preserve"> help</w:t>
      </w:r>
      <w:r w:rsidR="00260342">
        <w:t>ed</w:t>
      </w:r>
      <w:r w:rsidR="006A68E6">
        <w:t xml:space="preserve"> Treasury achieve the following customer service goals</w:t>
      </w:r>
      <w:r>
        <w:t>:</w:t>
      </w:r>
    </w:p>
    <w:p w:rsidR="00B72490" w:rsidP="00B72490" w14:paraId="2FBE4F4C" w14:textId="39C6AD27">
      <w:pPr>
        <w:pStyle w:val="ListParagraph"/>
        <w:numPr>
          <w:ilvl w:val="0"/>
          <w:numId w:val="20"/>
        </w:numPr>
      </w:pPr>
      <w:r>
        <w:t xml:space="preserve">Reduce or eliminate the number of duplicate fields across different forms, thus reducing the burden on eligible entities under the </w:t>
      </w:r>
      <w:r w:rsidR="0032136E">
        <w:t xml:space="preserve">Direct Component and Centers of Excellence Research Grants </w:t>
      </w:r>
      <w:r w:rsidR="0032136E">
        <w:t>Programs</w:t>
      </w:r>
      <w:r>
        <w:t>;</w:t>
      </w:r>
    </w:p>
    <w:p w:rsidR="006C0667" w:rsidP="00B72490" w14:paraId="059425CA" w14:textId="6AF206BA">
      <w:pPr>
        <w:pStyle w:val="ListParagraph"/>
        <w:numPr>
          <w:ilvl w:val="0"/>
          <w:numId w:val="20"/>
        </w:numPr>
      </w:pPr>
      <w:r>
        <w:t>Reduce the number of systems that eligible entities must access from two to one;</w:t>
      </w:r>
    </w:p>
    <w:p w:rsidR="00B72490" w:rsidP="00B72490" w14:paraId="023D3431" w14:textId="75CF4D8C">
      <w:pPr>
        <w:pStyle w:val="ListParagraph"/>
        <w:numPr>
          <w:ilvl w:val="0"/>
          <w:numId w:val="20"/>
        </w:numPr>
      </w:pPr>
      <w:r>
        <w:t xml:space="preserve">Aid </w:t>
      </w:r>
      <w:r w:rsidR="006C0667">
        <w:t>in automating some manual checks currently conducted by Treasury staff, thus reducing the average time from application receipt to approval; and</w:t>
      </w:r>
    </w:p>
    <w:p w:rsidR="00822B1B" w:rsidRPr="002551F6" w:rsidP="002552CC" w14:paraId="7E2A02E3" w14:textId="47A7E40E">
      <w:pPr>
        <w:pStyle w:val="ListParagraph"/>
        <w:numPr>
          <w:ilvl w:val="0"/>
          <w:numId w:val="20"/>
        </w:numPr>
      </w:pPr>
      <w:r>
        <w:t>Enhance Treasury’s reporting capabilities by consolidating data collections in a single system and increasing the amount of mineable data.</w:t>
      </w:r>
    </w:p>
    <w:p w:rsidR="00E13A9C" w:rsidP="00F72D0B" w14:paraId="428D358D" w14:textId="1CA3283F"/>
    <w:p w:rsidR="00973425" w:rsidRPr="0025604D" w:rsidP="00F72D0B" w14:paraId="3A4BB7E7" w14:textId="77777777"/>
    <w:p w:rsidR="00F72D0B" w:rsidRPr="002551F6" w:rsidP="00181F21" w14:paraId="3972E8F7" w14:textId="7F68A2BB">
      <w:pPr>
        <w:ind w:left="720" w:hanging="360"/>
        <w:rPr>
          <w:b/>
        </w:rPr>
      </w:pPr>
      <w:r w:rsidRPr="002551F6">
        <w:rPr>
          <w:b/>
        </w:rPr>
        <w:t>4.</w:t>
      </w:r>
      <w:r w:rsidR="00822B1B">
        <w:rPr>
          <w:b/>
        </w:rPr>
        <w:t xml:space="preserve"> </w:t>
      </w:r>
      <w:r w:rsidR="00A056F0">
        <w:rPr>
          <w:b/>
          <w:u w:val="single"/>
        </w:rPr>
        <w:t>D</w:t>
      </w:r>
      <w:r w:rsidRPr="002551F6">
        <w:rPr>
          <w:b/>
          <w:u w:val="single"/>
        </w:rPr>
        <w:t>uplication</w:t>
      </w:r>
      <w:r w:rsidR="00A056F0">
        <w:rPr>
          <w:b/>
          <w:u w:val="single"/>
        </w:rPr>
        <w:t xml:space="preserve"> of Information.</w:t>
      </w:r>
      <w:r w:rsidR="00822B1B">
        <w:rPr>
          <w:b/>
        </w:rPr>
        <w:t xml:space="preserve"> </w:t>
      </w:r>
    </w:p>
    <w:p w:rsidR="00406DAA" w:rsidP="00CC4534" w14:paraId="08600C19" w14:textId="77777777"/>
    <w:p w:rsidR="00F72D0B" w:rsidRPr="002551F6" w:rsidP="00856DD0" w14:paraId="67BCCFAE" w14:textId="41926042">
      <w:r w:rsidRPr="002551F6">
        <w:t xml:space="preserve">The information </w:t>
      </w:r>
      <w:r w:rsidRPr="002551F6" w:rsidR="002551F6">
        <w:t xml:space="preserve">is not known to </w:t>
      </w:r>
      <w:r w:rsidRPr="002551F6" w:rsidR="005A5C1B">
        <w:t xml:space="preserve">overlap with </w:t>
      </w:r>
      <w:r w:rsidRPr="002551F6" w:rsidR="002551F6">
        <w:t xml:space="preserve">any other </w:t>
      </w:r>
      <w:r w:rsidRPr="002551F6" w:rsidR="005A5C1B">
        <w:t xml:space="preserve">data collected </w:t>
      </w:r>
      <w:r w:rsidRPr="002551F6" w:rsidR="0054191E">
        <w:t>under previously approved information</w:t>
      </w:r>
      <w:r w:rsidR="00B64EA2">
        <w:t xml:space="preserve"> collections</w:t>
      </w:r>
      <w:r w:rsidRPr="002551F6" w:rsidR="0054191E">
        <w:t>.</w:t>
      </w:r>
      <w:r w:rsidR="00822B1B">
        <w:t xml:space="preserve"> </w:t>
      </w:r>
    </w:p>
    <w:p w:rsidR="00E13A9C" w:rsidRPr="0025604D" w:rsidP="00F72D0B" w14:paraId="3E4C2788" w14:textId="77777777"/>
    <w:p w:rsidR="00F72D0B" w:rsidRPr="002551F6" w:rsidP="00181F21" w14:paraId="0B638284" w14:textId="54F1DF42">
      <w:pPr>
        <w:ind w:firstLine="360"/>
        <w:rPr>
          <w:b/>
          <w:u w:val="single"/>
        </w:rPr>
      </w:pPr>
      <w:r w:rsidRPr="002551F6">
        <w:rPr>
          <w:b/>
        </w:rPr>
        <w:t>5.</w:t>
      </w:r>
      <w:r w:rsidR="00822B1B">
        <w:rPr>
          <w:b/>
        </w:rPr>
        <w:t xml:space="preserve"> </w:t>
      </w:r>
      <w:r w:rsidR="00A056F0">
        <w:rPr>
          <w:b/>
          <w:u w:val="single"/>
        </w:rPr>
        <w:t>Reducing the Burden on Small Entities.</w:t>
      </w:r>
    </w:p>
    <w:p w:rsidR="00F72D0B" w:rsidRPr="0025604D" w:rsidP="00F72D0B" w14:paraId="0392AF70" w14:textId="77777777"/>
    <w:p w:rsidR="00F72D0B" w:rsidRPr="002551F6" w:rsidP="00F72D0B" w14:paraId="2D6118FB" w14:textId="6AE598F6">
      <w:r>
        <w:t>T</w:t>
      </w:r>
      <w:r w:rsidRPr="002551F6" w:rsidR="007614AA">
        <w:t>his</w:t>
      </w:r>
      <w:r>
        <w:t xml:space="preserve"> collection is</w:t>
      </w:r>
      <w:r w:rsidRPr="002551F6" w:rsidR="007614AA">
        <w:t xml:space="preserve"> </w:t>
      </w:r>
      <w:r w:rsidR="00FE40CB">
        <w:t xml:space="preserve">limited to </w:t>
      </w:r>
      <w:r w:rsidR="00A41CB4">
        <w:t>the</w:t>
      </w:r>
      <w:r w:rsidR="00FE40CB">
        <w:t xml:space="preserve"> s</w:t>
      </w:r>
      <w:r w:rsidRPr="002551F6" w:rsidR="002551F6">
        <w:t>tates, counties, and parishes</w:t>
      </w:r>
      <w:r w:rsidR="001F31FB">
        <w:t xml:space="preserve"> named as eligible entit</w:t>
      </w:r>
      <w:r w:rsidR="0032136E">
        <w:t>ies</w:t>
      </w:r>
      <w:r w:rsidR="001F31FB">
        <w:t xml:space="preserve"> in the RESTORE Act and </w:t>
      </w:r>
      <w:r w:rsidR="008A5CF6">
        <w:t xml:space="preserve">Treasury’s implementing </w:t>
      </w:r>
      <w:r w:rsidR="001F31FB">
        <w:t>regulation</w:t>
      </w:r>
      <w:r w:rsidR="0032136E">
        <w:t>s</w:t>
      </w:r>
      <w:r w:rsidR="008A5CF6">
        <w:t xml:space="preserve"> at 31 CFR Part 34 for the Direct Component and Centers of Excellence Research Grants Programs</w:t>
      </w:r>
      <w:r>
        <w:t>.</w:t>
      </w:r>
      <w:r w:rsidR="00822B1B">
        <w:t xml:space="preserve"> </w:t>
      </w:r>
      <w:r w:rsidR="00802F36">
        <w:t>All efforts have been made to minimize burden on small entities therein.</w:t>
      </w:r>
    </w:p>
    <w:p w:rsidR="00D24A88" w:rsidP="00F72D0B" w14:paraId="01081EFE" w14:textId="77777777"/>
    <w:p w:rsidR="00F72D0B" w:rsidRPr="002551F6" w:rsidP="00181F21" w14:paraId="2F99A687" w14:textId="2F133407">
      <w:pPr>
        <w:ind w:firstLine="360"/>
        <w:rPr>
          <w:b/>
          <w:u w:val="single"/>
        </w:rPr>
      </w:pPr>
      <w:r w:rsidRPr="002551F6">
        <w:rPr>
          <w:b/>
        </w:rPr>
        <w:t>6.</w:t>
      </w:r>
      <w:r w:rsidR="00822B1B">
        <w:rPr>
          <w:b/>
        </w:rPr>
        <w:t xml:space="preserve"> </w:t>
      </w:r>
      <w:r w:rsidRPr="002551F6">
        <w:rPr>
          <w:b/>
          <w:u w:val="single"/>
        </w:rPr>
        <w:t xml:space="preserve">Consequences of </w:t>
      </w:r>
      <w:r w:rsidR="00A056F0">
        <w:rPr>
          <w:b/>
          <w:u w:val="single"/>
        </w:rPr>
        <w:t>Not Conducti</w:t>
      </w:r>
      <w:r w:rsidR="00A41CB4">
        <w:rPr>
          <w:b/>
          <w:u w:val="single"/>
        </w:rPr>
        <w:t>ng</w:t>
      </w:r>
      <w:r w:rsidR="00A056F0">
        <w:rPr>
          <w:b/>
          <w:u w:val="single"/>
        </w:rPr>
        <w:t xml:space="preserve"> Collection.</w:t>
      </w:r>
    </w:p>
    <w:p w:rsidR="00F72D0B" w:rsidRPr="002551F6" w:rsidP="00F72D0B" w14:paraId="349661FC" w14:textId="77777777"/>
    <w:p w:rsidR="00EC127E" w:rsidP="00A41CB4" w14:paraId="273F8C55" w14:textId="052A0397">
      <w:pPr>
        <w:tabs>
          <w:tab w:val="left" w:pos="-720"/>
        </w:tabs>
        <w:suppressAutoHyphens/>
        <w:rPr>
          <w:rStyle w:val="normaltextrun"/>
          <w:color w:val="000000"/>
        </w:rPr>
      </w:pPr>
      <w:r>
        <w:t xml:space="preserve">If Treasury did not collect this information, it would not be able to fund awards under the </w:t>
      </w:r>
      <w:r w:rsidR="00690553">
        <w:t>Direct Component and Centers of Excellence Research Grants Programs</w:t>
      </w:r>
      <w:r>
        <w:t xml:space="preserve">, approve amendments </w:t>
      </w:r>
      <w:r w:rsidR="00690553">
        <w:t xml:space="preserve">to existing awards </w:t>
      </w:r>
      <w:r>
        <w:t xml:space="preserve">or other post-award </w:t>
      </w:r>
      <w:r w:rsidR="008E4EFE">
        <w:t>actions</w:t>
      </w:r>
      <w:r>
        <w:t xml:space="preserve"> to existing awards, conduct appropriate post-approval monitoring</w:t>
      </w:r>
      <w:r w:rsidR="0096195A">
        <w:t>, or issue any waivers under BABAA.</w:t>
      </w:r>
      <w:r>
        <w:t xml:space="preserve"> If Treasury OGCR is not able to issue </w:t>
      </w:r>
      <w:r>
        <w:t xml:space="preserve">waivers under BABAA, Direct Component recipients may be unable to proceed with critically important infrastructure projects, many of which are focused on building economic and climate resiliency, since some necessary construction components may be unavailable from domestic sources or may be so costly that the project cannot be completed with available funding. </w:t>
      </w:r>
    </w:p>
    <w:p w:rsidR="00D43ACF" w:rsidRPr="002551F6" w:rsidP="008A5AEA" w14:paraId="7C52BBF5" w14:textId="4BF74DA1"/>
    <w:p w:rsidR="003F59C0" w:rsidRPr="002551F6" w:rsidP="00F72D0B" w14:paraId="6A4875CC" w14:textId="6B4EE25E"/>
    <w:p w:rsidR="00F72D0B" w:rsidRPr="002551F6" w:rsidP="00181F21" w14:paraId="78DBF5E6" w14:textId="61D9E420">
      <w:pPr>
        <w:ind w:firstLine="360"/>
        <w:rPr>
          <w:b/>
          <w:u w:val="single"/>
        </w:rPr>
      </w:pPr>
      <w:r w:rsidRPr="002551F6">
        <w:rPr>
          <w:b/>
        </w:rPr>
        <w:t>7.</w:t>
      </w:r>
      <w:r w:rsidR="00822B1B">
        <w:rPr>
          <w:b/>
        </w:rPr>
        <w:t xml:space="preserve"> </w:t>
      </w:r>
      <w:r w:rsidRPr="00A056F0" w:rsidR="00A056F0">
        <w:rPr>
          <w:b/>
          <w:u w:val="single"/>
        </w:rPr>
        <w:t xml:space="preserve">Special </w:t>
      </w:r>
      <w:r w:rsidRPr="002551F6">
        <w:rPr>
          <w:b/>
          <w:u w:val="single"/>
        </w:rPr>
        <w:t>Circumstances</w:t>
      </w:r>
      <w:r w:rsidR="00A056F0">
        <w:rPr>
          <w:b/>
          <w:u w:val="single"/>
        </w:rPr>
        <w:t>.</w:t>
      </w:r>
    </w:p>
    <w:p w:rsidR="00FB7F1C" w:rsidRPr="002551F6" w:rsidP="00CB003A" w14:paraId="29757889" w14:textId="77777777">
      <w:pPr>
        <w:rPr>
          <w:u w:val="single"/>
        </w:rPr>
      </w:pPr>
    </w:p>
    <w:p w:rsidR="00D24A88" w:rsidRPr="002551F6" w:rsidP="00D24A88" w14:paraId="1A9DDC8A" w14:textId="0B42EAF3">
      <w:r>
        <w:t>There are no special circumstances causing the information collection to be conducted in a manner</w:t>
      </w:r>
      <w:r w:rsidR="001F31FB">
        <w:t xml:space="preserve"> described</w:t>
      </w:r>
      <w:r>
        <w:t xml:space="preserve"> in 5 CFR 1320.6</w:t>
      </w:r>
      <w:r w:rsidRPr="002551F6">
        <w:t>.</w:t>
      </w:r>
      <w:r w:rsidRPr="002551F6" w:rsidR="009B6FA0">
        <w:t xml:space="preserve"> </w:t>
      </w:r>
    </w:p>
    <w:p w:rsidR="00E13A9C" w:rsidP="00CB003A" w14:paraId="209A2F66" w14:textId="77777777"/>
    <w:p w:rsidR="00CB003A" w:rsidRPr="002551F6" w:rsidP="00181F21" w14:paraId="01D136C9" w14:textId="6C028809">
      <w:pPr>
        <w:ind w:firstLine="360"/>
        <w:rPr>
          <w:b/>
          <w:u w:val="single"/>
        </w:rPr>
      </w:pPr>
      <w:r w:rsidRPr="00B36755">
        <w:rPr>
          <w:b/>
        </w:rPr>
        <w:t>8.</w:t>
      </w:r>
      <w:r w:rsidR="00822B1B">
        <w:rPr>
          <w:b/>
        </w:rPr>
        <w:t xml:space="preserve"> </w:t>
      </w:r>
      <w:r w:rsidRPr="00A056F0" w:rsidR="00A056F0">
        <w:rPr>
          <w:b/>
          <w:u w:val="single"/>
        </w:rPr>
        <w:t>Consultations with Persons Outside the Agency</w:t>
      </w:r>
      <w:r w:rsidR="00A056F0">
        <w:rPr>
          <w:b/>
          <w:u w:val="single"/>
        </w:rPr>
        <w:t>.</w:t>
      </w:r>
    </w:p>
    <w:p w:rsidR="00CB003A" w:rsidRPr="002551F6" w:rsidP="00CB003A" w14:paraId="522F6CF9" w14:textId="77777777"/>
    <w:p w:rsidR="00B01799" w:rsidP="00B01799" w14:paraId="4C39447D" w14:textId="3297E3EA">
      <w:r>
        <w:t xml:space="preserve">For all information collections, </w:t>
      </w:r>
      <w:r w:rsidRPr="00AE3975">
        <w:t xml:space="preserve">Treasury published a notice soliciting comments on information collection in the </w:t>
      </w:r>
      <w:r w:rsidRPr="00AE3975">
        <w:rPr>
          <w:i/>
        </w:rPr>
        <w:t>Federal Register</w:t>
      </w:r>
      <w:r w:rsidRPr="00AE3975">
        <w:t xml:space="preserve"> on </w:t>
      </w:r>
      <w:r>
        <w:t>June 3, 2023</w:t>
      </w:r>
      <w:r w:rsidRPr="00AE3975">
        <w:t>.</w:t>
      </w:r>
      <w:r w:rsidR="00822B1B">
        <w:t xml:space="preserve"> </w:t>
      </w:r>
      <w:r w:rsidRPr="00417F32">
        <w:rPr>
          <w:iCs/>
        </w:rPr>
        <w:t xml:space="preserve">See </w:t>
      </w:r>
      <w:hyperlink r:id="rId6" w:history="1">
        <w:r w:rsidRPr="00D0346A" w:rsidR="00D0346A">
          <w:rPr>
            <w:rStyle w:val="Hyperlink"/>
          </w:rPr>
          <w:t>88 FR 27591</w:t>
        </w:r>
      </w:hyperlink>
      <w:r w:rsidR="00D0346A">
        <w:rPr>
          <w:iCs/>
        </w:rPr>
        <w:t>.</w:t>
      </w:r>
      <w:r w:rsidR="00822B1B">
        <w:t xml:space="preserve"> </w:t>
      </w:r>
      <w:r w:rsidRPr="00AE3975">
        <w:t xml:space="preserve">Treasury received comments from </w:t>
      </w:r>
      <w:r w:rsidR="005030DF">
        <w:t>one</w:t>
      </w:r>
      <w:r w:rsidRPr="00AE3975">
        <w:t xml:space="preserve"> respondent</w:t>
      </w:r>
      <w:r>
        <w:t xml:space="preserve"> prior to the July 3, 2023, deadline for public comment</w:t>
      </w:r>
      <w:r w:rsidRPr="00AE3975">
        <w:t>.</w:t>
      </w:r>
      <w:r w:rsidR="00B35D25">
        <w:t xml:space="preserve"> </w:t>
      </w:r>
    </w:p>
    <w:p w:rsidR="00B01799" w:rsidP="00B01799" w14:paraId="65208D44" w14:textId="77777777"/>
    <w:p w:rsidR="00B01799" w:rsidP="00B01799" w14:paraId="13545F42" w14:textId="77777777">
      <w:r>
        <w:t>The</w:t>
      </w:r>
      <w:r w:rsidRPr="00AE3975" w:rsidR="00BA3E92">
        <w:t xml:space="preserve"> respondent </w:t>
      </w:r>
      <w:r>
        <w:t xml:space="preserve">noted that “the proposed MIP [Multiyear Implementation Plan narrative] is much shorter and easier to understand” and that “the proposed reporting forms, Milestones and Status of Performance, are much clearer, reflect previous suggestions to Treasury and will provide better information on the successes.” </w:t>
      </w:r>
    </w:p>
    <w:p w:rsidR="00B01799" w:rsidP="00B01799" w14:paraId="68F7CD9C" w14:textId="77777777"/>
    <w:p w:rsidR="00B01799" w:rsidP="00B01799" w14:paraId="5D87015F" w14:textId="24199473">
      <w:r>
        <w:t xml:space="preserve">The respondent did, however, request that Treasury OGCR reconsider requiring entities to submit all </w:t>
      </w:r>
      <w:r w:rsidR="00806725">
        <w:t xml:space="preserve">meaningful </w:t>
      </w:r>
      <w:r>
        <w:t xml:space="preserve">comments received from the public as part of the Multiyear Implementation Plan development process. The respondent expressed its opinion that “the requirement to provide actual copies of meaningful public comments in lieu of summaries </w:t>
      </w:r>
      <w:r>
        <w:t>create</w:t>
      </w:r>
      <w:r w:rsidR="00B841ED">
        <w:t>s</w:t>
      </w:r>
      <w:r>
        <w:t xml:space="preserve"> an extra paperwork burden while not adding any benefit to the performance of the agency, the public, or provide any practical utility.  The respondent believes “the entity receiving comment on its MIP is uniquely qualified to determine what is a meaningful comment, as well as when to provide a summary for those comments identified as such</w:t>
      </w:r>
      <w:r>
        <w:t>…..</w:t>
      </w:r>
      <w:r>
        <w:t>  It should be the discretion of the entity receiving the comments to determine if changes are necessary in response to comments.  In its expertise, if an entity determines that a comment does not require changes to the document, then the entity should also determine whether an explanation of that decision should be provided based on whether it is in the public interest to do so.”</w:t>
      </w:r>
    </w:p>
    <w:p w:rsidR="00B01799" w:rsidP="00B01799" w14:paraId="2B194ADC" w14:textId="17BB4EA9"/>
    <w:p w:rsidR="00B01799" w:rsidP="00B01799" w14:paraId="07C56AA9" w14:textId="0EB93926">
      <w:r>
        <w:t xml:space="preserve">Treasury OGCR is gratified to hear that the respondent agrees with </w:t>
      </w:r>
      <w:r>
        <w:t>the majority of</w:t>
      </w:r>
      <w:r>
        <w:t xml:space="preserve"> the proposed changes to these forms, and that the respondent agrees that most of these changes will reduce the paperwork burden.</w:t>
      </w:r>
    </w:p>
    <w:p w:rsidR="00B01799" w:rsidP="00B01799" w14:paraId="72D22E82" w14:textId="0103D275"/>
    <w:p w:rsidR="00A41CB4" w:rsidP="00A41CB4" w14:paraId="11842257" w14:textId="1BEA8623">
      <w:r>
        <w:t xml:space="preserve">Treasury OGCR respectfully disagrees that requiring the entity to submit </w:t>
      </w:r>
      <w:r w:rsidR="005028DF">
        <w:t xml:space="preserve">copies of </w:t>
      </w:r>
      <w:r>
        <w:t xml:space="preserve">all </w:t>
      </w:r>
      <w:r w:rsidR="00806725">
        <w:t xml:space="preserve">meaningful </w:t>
      </w:r>
      <w:r>
        <w:t xml:space="preserve">public comments, and all responses to </w:t>
      </w:r>
      <w:r w:rsidR="00806725">
        <w:t xml:space="preserve">meaningful </w:t>
      </w:r>
      <w:r>
        <w:t>public comments, is an undue burden</w:t>
      </w:r>
      <w:r w:rsidR="00E13B9E">
        <w:t xml:space="preserve"> and that the costs (in personnel time) of doing so outweigh the benefits.</w:t>
      </w:r>
      <w:r w:rsidR="0047164E">
        <w:t xml:space="preserve"> Treasury’s implementing regulations at </w:t>
      </w:r>
      <w:r w:rsidR="00E426A7">
        <w:t>31 CFR</w:t>
      </w:r>
      <w:r w:rsidR="0047164E">
        <w:t xml:space="preserve"> 34.303</w:t>
      </w:r>
      <w:r w:rsidR="00E426A7">
        <w:t xml:space="preserve">(b)(8) and 31 CFR 34.303(b)(9) </w:t>
      </w:r>
      <w:r w:rsidR="0047164E">
        <w:t xml:space="preserve">require that “the plan was made available for public review and comment for a minimum of 45 days in a manner calculated to obtain broad-based participation from individuals, businesses, Indian tribes, and non-profit organizations” and "each activity in the plan was approved after consideration of </w:t>
      </w:r>
      <w:r w:rsidR="0047164E">
        <w:t xml:space="preserve">meaningful input from the public.” Treasury is unable to provide adequate oversight and monitoring the process for developing and approving Multiyear Implementation Plans if it does not have visibility into all </w:t>
      </w:r>
      <w:r w:rsidR="00806725">
        <w:t xml:space="preserve">meaningful </w:t>
      </w:r>
      <w:r w:rsidR="0047164E">
        <w:t>public comments submitted. Under the prior information collection, which permitted the entity to interpret the term “meaningful” as it saw fit, most plans were submitted to Treasury with</w:t>
      </w:r>
      <w:r w:rsidR="005028DF">
        <w:t xml:space="preserve"> summaries of</w:t>
      </w:r>
      <w:r w:rsidR="0047164E">
        <w:t xml:space="preserve"> zero, one, or two </w:t>
      </w:r>
      <w:r w:rsidR="00806725">
        <w:t xml:space="preserve">meaningful </w:t>
      </w:r>
      <w:r w:rsidR="0047164E">
        <w:t>public comments</w:t>
      </w:r>
      <w:r>
        <w:t xml:space="preserve">. </w:t>
      </w:r>
      <w:r w:rsidR="005028DF">
        <w:t xml:space="preserve">Many of these summaries did not contain sufficient detail or were not clear enough to ascertain the nature of the comment and required Treasury to follow up and request a copy of the comment; requiring entities to provide </w:t>
      </w:r>
      <w:r w:rsidR="00233A5C">
        <w:t xml:space="preserve">summaries </w:t>
      </w:r>
      <w:r w:rsidR="005028DF">
        <w:t>up front at the time of submission will</w:t>
      </w:r>
      <w:r w:rsidR="00233A5C">
        <w:t xml:space="preserve"> reduce processing times.</w:t>
      </w:r>
      <w:r w:rsidR="005028DF">
        <w:t xml:space="preserve"> </w:t>
      </w:r>
    </w:p>
    <w:p w:rsidR="00A41CB4" w:rsidP="00B01799" w14:paraId="36B3ABA3" w14:textId="77777777"/>
    <w:p w:rsidR="00B01799" w:rsidP="00B01799" w14:paraId="0AAD76EC" w14:textId="24A79BC5">
      <w:r>
        <w:t xml:space="preserve">Giving Treasury access to the full scope of </w:t>
      </w:r>
      <w:r w:rsidR="00806725">
        <w:t xml:space="preserve">meaningful </w:t>
      </w:r>
      <w:r>
        <w:t xml:space="preserve">public comments </w:t>
      </w:r>
      <w:r w:rsidR="00806725">
        <w:t xml:space="preserve">[now </w:t>
      </w:r>
      <w:r w:rsidR="00A41CB4">
        <w:t>clarified</w:t>
      </w:r>
      <w:r w:rsidR="00806725">
        <w:t xml:space="preserve"> as “all comments pertaining to the selection of each activity (projects and programs) or the approach to or design of any proposed activities (projects and program)]” </w:t>
      </w:r>
      <w:r>
        <w:t xml:space="preserve">will allow Treasury to verify that the plan is the result of “broad-based participation from individuals, businesses, Indian tribes, and non-profit organizations” and that "each activity in the plan was approved after consideration of meaningful input from the public.” </w:t>
      </w:r>
      <w:r w:rsidR="00806725">
        <w:t>Given that respondents have typically indicated that no more than two meaningful comments were submitted, uploading a copy of these comments and the response to these comments should result in an additional burden of no more than a few minutes.</w:t>
      </w:r>
    </w:p>
    <w:p w:rsidR="00376E6A" w:rsidP="00B01799" w14:paraId="1ECA4ED0" w14:textId="0996D8C0"/>
    <w:p w:rsidR="00376E6A" w:rsidP="00B01799" w14:paraId="7B0603E1" w14:textId="00898A7C">
      <w:pPr>
        <w:rPr>
          <w:sz w:val="22"/>
          <w:szCs w:val="22"/>
        </w:rPr>
      </w:pPr>
      <w:r>
        <w:t xml:space="preserve">A second comment, from a respondent also objecting to the requirement to provide all public comments, was received after the deadline. </w:t>
      </w:r>
      <w:r w:rsidR="00A41CB4">
        <w:t>Treasury’s response to this comment is as noted above.</w:t>
      </w:r>
    </w:p>
    <w:p w:rsidR="00EC127E" w:rsidP="00175C18" w14:paraId="211D8011" w14:textId="03C6CE0B">
      <w:pPr>
        <w:spacing w:line="276" w:lineRule="auto"/>
      </w:pPr>
    </w:p>
    <w:p w:rsidR="00A81BCB" w:rsidP="00FE40CB" w14:paraId="00679B1A" w14:textId="77777777"/>
    <w:p w:rsidR="00147A26" w:rsidRPr="002551F6" w:rsidP="00FB7F1C" w14:paraId="170F2CD8" w14:textId="0F998348">
      <w:pPr>
        <w:keepNext/>
        <w:ind w:firstLine="360"/>
        <w:rPr>
          <w:b/>
        </w:rPr>
      </w:pPr>
      <w:r w:rsidRPr="002551F6">
        <w:rPr>
          <w:b/>
        </w:rPr>
        <w:t>9.</w:t>
      </w:r>
      <w:r w:rsidR="00822B1B">
        <w:rPr>
          <w:b/>
        </w:rPr>
        <w:t xml:space="preserve"> </w:t>
      </w:r>
      <w:r w:rsidRPr="002551F6">
        <w:rPr>
          <w:b/>
          <w:u w:val="single"/>
        </w:rPr>
        <w:t>P</w:t>
      </w:r>
      <w:r w:rsidR="00A056F0">
        <w:rPr>
          <w:b/>
          <w:u w:val="single"/>
        </w:rPr>
        <w:t>ayment or Gift.</w:t>
      </w:r>
    </w:p>
    <w:p w:rsidR="00147A26" w:rsidRPr="00C9704D" w:rsidP="00FB7F1C" w14:paraId="3C380E65" w14:textId="77777777">
      <w:pPr>
        <w:keepNext/>
      </w:pPr>
    </w:p>
    <w:p w:rsidR="00256911" w:rsidRPr="00C9704D" w:rsidP="00CB003A" w14:paraId="4D8D0DCF" w14:textId="77777777">
      <w:r>
        <w:t>No payments or gifts are provided to respondents</w:t>
      </w:r>
      <w:r w:rsidRPr="00C9704D" w:rsidR="009B6FA0">
        <w:t>.</w:t>
      </w:r>
    </w:p>
    <w:p w:rsidR="00BA51F9" w:rsidRPr="00C9704D" w:rsidP="00CB003A" w14:paraId="7725F7F3" w14:textId="77777777"/>
    <w:p w:rsidR="00147A26" w:rsidRPr="00C9704D" w:rsidP="00666B6D" w14:paraId="386A728B" w14:textId="41402FAF">
      <w:pPr>
        <w:keepNext/>
        <w:ind w:firstLine="360"/>
        <w:rPr>
          <w:b/>
        </w:rPr>
      </w:pPr>
      <w:r w:rsidRPr="00C9704D">
        <w:rPr>
          <w:b/>
        </w:rPr>
        <w:t>10.</w:t>
      </w:r>
      <w:r w:rsidR="00822B1B">
        <w:rPr>
          <w:b/>
        </w:rPr>
        <w:t xml:space="preserve"> </w:t>
      </w:r>
      <w:r w:rsidR="00A056F0">
        <w:rPr>
          <w:b/>
          <w:u w:val="single"/>
        </w:rPr>
        <w:t>C</w:t>
      </w:r>
      <w:r w:rsidRPr="00C9704D">
        <w:rPr>
          <w:b/>
          <w:u w:val="single"/>
        </w:rPr>
        <w:t>onfidentiality</w:t>
      </w:r>
      <w:r w:rsidR="005F1080">
        <w:rPr>
          <w:b/>
          <w:u w:val="single"/>
        </w:rPr>
        <w:t>.</w:t>
      </w:r>
    </w:p>
    <w:p w:rsidR="00147A26" w:rsidRPr="0025604D" w:rsidP="00666B6D" w14:paraId="66B91B7B" w14:textId="77777777">
      <w:pPr>
        <w:keepNext/>
      </w:pPr>
    </w:p>
    <w:p w:rsidR="00E146F2" w:rsidP="00E146F2" w14:paraId="6660277B" w14:textId="77777777">
      <w:pPr>
        <w:autoSpaceDE w:val="0"/>
        <w:autoSpaceDN w:val="0"/>
      </w:pPr>
      <w:r>
        <w:t>The Department is subject to all Federal regulations with respect to confidentiality of the information provided in this collection of information and provides no other assurances of confidentiality to respondents.</w:t>
      </w:r>
    </w:p>
    <w:p w:rsidR="00E13A9C" w:rsidRPr="00C9704D" w:rsidP="00CB003A" w14:paraId="5619105B" w14:textId="77777777"/>
    <w:p w:rsidR="00147A26" w:rsidRPr="00C9704D" w:rsidP="00181F21" w14:paraId="14350DCD" w14:textId="0AEB4D0E">
      <w:pPr>
        <w:ind w:firstLine="360"/>
        <w:rPr>
          <w:b/>
          <w:u w:val="single"/>
        </w:rPr>
      </w:pPr>
      <w:r w:rsidRPr="00C9704D">
        <w:rPr>
          <w:b/>
        </w:rPr>
        <w:t>11.</w:t>
      </w:r>
      <w:r w:rsidR="00822B1B">
        <w:rPr>
          <w:b/>
        </w:rPr>
        <w:t xml:space="preserve"> </w:t>
      </w:r>
      <w:r w:rsidRPr="00A056F0" w:rsidR="00A056F0">
        <w:rPr>
          <w:b/>
          <w:u w:val="single"/>
        </w:rPr>
        <w:t>Questions of a Sensitive Nature.</w:t>
      </w:r>
    </w:p>
    <w:p w:rsidR="00147A26" w:rsidRPr="0025604D" w:rsidP="00CB003A" w14:paraId="525F1C68" w14:textId="77777777"/>
    <w:p w:rsidR="00147A26" w:rsidP="00CB003A" w14:paraId="25D19EB2" w14:textId="4324DFFC">
      <w:r>
        <w:t xml:space="preserve">No </w:t>
      </w:r>
      <w:r w:rsidR="00FE40CB">
        <w:t xml:space="preserve">personally </w:t>
      </w:r>
      <w:r>
        <w:t>identifiable information (PII) is collected</w:t>
      </w:r>
      <w:r w:rsidRPr="00C9704D" w:rsidR="00475731">
        <w:t>.</w:t>
      </w:r>
      <w:r w:rsidR="00D43ACF">
        <w:t xml:space="preserve"> The only names, addresses, email addresses, and phone numbers collected pertain to the individual assigned as the point of contact (POC) for the </w:t>
      </w:r>
      <w:r w:rsidR="00E426A7">
        <w:t xml:space="preserve">eligible entities to complete the </w:t>
      </w:r>
      <w:r w:rsidR="00D43ACF">
        <w:t>application</w:t>
      </w:r>
      <w:r w:rsidR="005E63F6">
        <w:t>,</w:t>
      </w:r>
      <w:r w:rsidR="004470ED">
        <w:t xml:space="preserve"> </w:t>
      </w:r>
      <w:r w:rsidR="00D43ACF">
        <w:t>report</w:t>
      </w:r>
      <w:r w:rsidR="005E63F6">
        <w:t>, or waiver request</w:t>
      </w:r>
      <w:r w:rsidR="00C435A7">
        <w:t xml:space="preserve"> forms</w:t>
      </w:r>
      <w:r w:rsidR="00D43ACF">
        <w:t>. The contact information requested is the individuals’ business contact information. No home address or phone is requested.</w:t>
      </w:r>
    </w:p>
    <w:p w:rsidR="00A95A75" w:rsidP="004B0AEF" w14:paraId="2734153C" w14:textId="14AB5C31">
      <w:pPr>
        <w:ind w:firstLine="360"/>
        <w:rPr>
          <w:b/>
          <w:u w:val="single"/>
        </w:rPr>
      </w:pPr>
      <w:r>
        <w:rPr>
          <w:b/>
        </w:rPr>
        <w:br w:type="page"/>
      </w:r>
      <w:r>
        <w:rPr>
          <w:b/>
        </w:rPr>
        <w:t>12.</w:t>
      </w:r>
      <w:r w:rsidR="00822B1B">
        <w:rPr>
          <w:b/>
        </w:rPr>
        <w:t xml:space="preserve"> </w:t>
      </w:r>
      <w:r w:rsidRPr="00A056F0" w:rsidR="00A056F0">
        <w:rPr>
          <w:b/>
          <w:u w:val="single"/>
        </w:rPr>
        <w:t>Burden of Information Collection.</w:t>
      </w:r>
      <w:r>
        <w:rPr>
          <w:b/>
          <w:u w:val="single"/>
        </w:rPr>
        <w:t xml:space="preserve"> </w:t>
      </w:r>
    </w:p>
    <w:p w:rsidR="00425279" w:rsidP="004B0AEF" w14:paraId="0CFC890A" w14:textId="4F21F1D0">
      <w:pPr>
        <w:ind w:firstLine="360"/>
        <w:rPr>
          <w:b/>
          <w:u w:val="single"/>
        </w:rPr>
      </w:pPr>
    </w:p>
    <w:tbl>
      <w:tblPr>
        <w:tblW w:w="9710" w:type="dxa"/>
        <w:tblLayout w:type="fixed"/>
        <w:tblLook w:val="04A0"/>
      </w:tblPr>
      <w:tblGrid>
        <w:gridCol w:w="1520"/>
        <w:gridCol w:w="1170"/>
        <w:gridCol w:w="1170"/>
        <w:gridCol w:w="1080"/>
        <w:gridCol w:w="900"/>
        <w:gridCol w:w="990"/>
        <w:gridCol w:w="1260"/>
        <w:gridCol w:w="1620"/>
      </w:tblGrid>
      <w:tr w14:paraId="6152708B" w14:textId="77777777" w:rsidTr="00CA15F2">
        <w:tblPrEx>
          <w:tblW w:w="9710" w:type="dxa"/>
          <w:tblLayout w:type="fixed"/>
          <w:tblLook w:val="04A0"/>
        </w:tblPrEx>
        <w:trPr>
          <w:trHeight w:val="564"/>
        </w:trPr>
        <w:tc>
          <w:tcPr>
            <w:tcW w:w="152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rsidR="00074A49" w:rsidRPr="00CA15F2" w14:paraId="371CEF1C" w14:textId="77777777">
            <w:pPr>
              <w:rPr>
                <w:rFonts w:ascii="Arial Narrow" w:hAnsi="Arial Narrow" w:cs="Calibri"/>
                <w:b/>
                <w:bCs/>
                <w:color w:val="FFFFFF"/>
                <w:sz w:val="16"/>
                <w:szCs w:val="16"/>
              </w:rPr>
            </w:pPr>
            <w:r w:rsidRPr="00CA15F2">
              <w:rPr>
                <w:rFonts w:ascii="Arial Narrow" w:hAnsi="Arial Narrow" w:cs="Calibri"/>
                <w:b/>
                <w:bCs/>
                <w:color w:val="FFFFFF"/>
                <w:sz w:val="16"/>
                <w:szCs w:val="16"/>
              </w:rPr>
              <w:t>Reporting</w:t>
            </w:r>
          </w:p>
        </w:tc>
        <w:tc>
          <w:tcPr>
            <w:tcW w:w="1170" w:type="dxa"/>
            <w:tcBorders>
              <w:top w:val="single" w:sz="8" w:space="0" w:color="auto"/>
              <w:left w:val="nil"/>
              <w:bottom w:val="single" w:sz="8" w:space="0" w:color="auto"/>
              <w:right w:val="single" w:sz="8" w:space="0" w:color="auto"/>
            </w:tcBorders>
            <w:shd w:val="clear" w:color="000000" w:fill="000000"/>
            <w:vAlign w:val="center"/>
            <w:hideMark/>
          </w:tcPr>
          <w:p w:rsidR="00074A49" w:rsidRPr="00CA15F2" w14:paraId="6C0DE155"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 Respondents</w:t>
            </w:r>
          </w:p>
        </w:tc>
        <w:tc>
          <w:tcPr>
            <w:tcW w:w="1170" w:type="dxa"/>
            <w:tcBorders>
              <w:top w:val="single" w:sz="8" w:space="0" w:color="auto"/>
              <w:left w:val="nil"/>
              <w:bottom w:val="single" w:sz="8" w:space="0" w:color="auto"/>
              <w:right w:val="single" w:sz="8" w:space="0" w:color="auto"/>
            </w:tcBorders>
            <w:shd w:val="clear" w:color="000000" w:fill="000000"/>
            <w:vAlign w:val="center"/>
            <w:hideMark/>
          </w:tcPr>
          <w:p w:rsidR="00074A49" w:rsidRPr="00CA15F2" w14:paraId="6B8A63C0"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 Responses Per Respondent</w:t>
            </w:r>
          </w:p>
        </w:tc>
        <w:tc>
          <w:tcPr>
            <w:tcW w:w="1080" w:type="dxa"/>
            <w:tcBorders>
              <w:top w:val="single" w:sz="8" w:space="0" w:color="auto"/>
              <w:left w:val="nil"/>
              <w:bottom w:val="single" w:sz="8" w:space="0" w:color="auto"/>
              <w:right w:val="single" w:sz="8" w:space="0" w:color="auto"/>
            </w:tcBorders>
            <w:shd w:val="clear" w:color="000000" w:fill="000000"/>
            <w:vAlign w:val="center"/>
            <w:hideMark/>
          </w:tcPr>
          <w:p w:rsidR="00074A49" w:rsidRPr="00CA15F2" w14:paraId="3721AFEA"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Total annual Responses</w:t>
            </w:r>
          </w:p>
        </w:tc>
        <w:tc>
          <w:tcPr>
            <w:tcW w:w="900" w:type="dxa"/>
            <w:tcBorders>
              <w:top w:val="single" w:sz="8" w:space="0" w:color="auto"/>
              <w:left w:val="nil"/>
              <w:bottom w:val="single" w:sz="8" w:space="0" w:color="auto"/>
              <w:right w:val="single" w:sz="8" w:space="0" w:color="auto"/>
            </w:tcBorders>
            <w:shd w:val="clear" w:color="000000" w:fill="000000"/>
            <w:vAlign w:val="center"/>
            <w:hideMark/>
          </w:tcPr>
          <w:p w:rsidR="00074A49" w:rsidRPr="00CA15F2" w14:paraId="226684E4"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Hours per response</w:t>
            </w:r>
          </w:p>
        </w:tc>
        <w:tc>
          <w:tcPr>
            <w:tcW w:w="990" w:type="dxa"/>
            <w:tcBorders>
              <w:top w:val="single" w:sz="8" w:space="0" w:color="auto"/>
              <w:left w:val="nil"/>
              <w:bottom w:val="single" w:sz="8" w:space="0" w:color="auto"/>
              <w:right w:val="single" w:sz="8" w:space="0" w:color="auto"/>
            </w:tcBorders>
            <w:shd w:val="clear" w:color="000000" w:fill="000000"/>
            <w:vAlign w:val="center"/>
            <w:hideMark/>
          </w:tcPr>
          <w:p w:rsidR="00074A49" w:rsidRPr="00CA15F2" w14:paraId="5204F359"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Total Burden</w:t>
            </w:r>
          </w:p>
        </w:tc>
        <w:tc>
          <w:tcPr>
            <w:tcW w:w="1260" w:type="dxa"/>
            <w:tcBorders>
              <w:top w:val="single" w:sz="8" w:space="0" w:color="auto"/>
              <w:left w:val="nil"/>
              <w:bottom w:val="single" w:sz="8" w:space="0" w:color="auto"/>
              <w:right w:val="nil"/>
            </w:tcBorders>
            <w:shd w:val="clear" w:color="000000" w:fill="000000"/>
            <w:vAlign w:val="center"/>
            <w:hideMark/>
          </w:tcPr>
          <w:p w:rsidR="00074A49" w:rsidRPr="00CA15F2" w14:paraId="22F872FA"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Cost to Respondent (@ $50 per hr.*)</w:t>
            </w:r>
          </w:p>
        </w:tc>
        <w:tc>
          <w:tcPr>
            <w:tcW w:w="1620" w:type="dxa"/>
            <w:tcBorders>
              <w:top w:val="single" w:sz="8" w:space="0" w:color="auto"/>
              <w:left w:val="nil"/>
              <w:bottom w:val="single" w:sz="8" w:space="0" w:color="auto"/>
              <w:right w:val="single" w:sz="8" w:space="0" w:color="auto"/>
            </w:tcBorders>
            <w:shd w:val="clear" w:color="000000" w:fill="000000"/>
            <w:vAlign w:val="center"/>
            <w:hideMark/>
          </w:tcPr>
          <w:p w:rsidR="00074A49" w:rsidRPr="00CA15F2" w14:paraId="305FABE6"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Explanation of how burden estimated</w:t>
            </w:r>
          </w:p>
        </w:tc>
      </w:tr>
      <w:tr w14:paraId="0AEF86B0" w14:textId="77777777" w:rsidTr="00CA15F2">
        <w:tblPrEx>
          <w:tblW w:w="9710" w:type="dxa"/>
          <w:tblLayout w:type="fixed"/>
          <w:tblLook w:val="04A0"/>
        </w:tblPrEx>
        <w:trPr>
          <w:trHeight w:val="468"/>
        </w:trPr>
        <w:tc>
          <w:tcPr>
            <w:tcW w:w="1520" w:type="dxa"/>
            <w:tcBorders>
              <w:top w:val="single" w:sz="4" w:space="0" w:color="000000"/>
              <w:left w:val="single" w:sz="8" w:space="0" w:color="auto"/>
              <w:bottom w:val="single" w:sz="8" w:space="0" w:color="auto"/>
              <w:right w:val="single" w:sz="8" w:space="0" w:color="auto"/>
            </w:tcBorders>
            <w:shd w:val="clear" w:color="D9D9D9" w:fill="D9D9D9"/>
            <w:vAlign w:val="center"/>
            <w:hideMark/>
          </w:tcPr>
          <w:p w:rsidR="00074A49" w:rsidRPr="00CA15F2" w14:paraId="32B4641B" w14:textId="77777777">
            <w:pPr>
              <w:rPr>
                <w:rFonts w:ascii="Arial" w:hAnsi="Arial" w:cs="Arial"/>
                <w:color w:val="000000"/>
                <w:sz w:val="16"/>
                <w:szCs w:val="16"/>
              </w:rPr>
            </w:pPr>
            <w:r w:rsidRPr="00CA15F2">
              <w:rPr>
                <w:rFonts w:ascii="Arial" w:hAnsi="Arial" w:cs="Arial"/>
                <w:color w:val="000000"/>
                <w:sz w:val="16"/>
                <w:szCs w:val="16"/>
              </w:rPr>
              <w:t>Operational Self-Assessment</w:t>
            </w:r>
          </w:p>
        </w:tc>
        <w:tc>
          <w:tcPr>
            <w:tcW w:w="117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4D7130F5" w14:textId="77777777">
            <w:pPr>
              <w:jc w:val="center"/>
              <w:rPr>
                <w:rFonts w:ascii="Arial" w:hAnsi="Arial" w:cs="Arial"/>
                <w:color w:val="000000"/>
                <w:sz w:val="16"/>
                <w:szCs w:val="16"/>
              </w:rPr>
            </w:pPr>
            <w:r w:rsidRPr="00CA15F2">
              <w:rPr>
                <w:rFonts w:ascii="Arial" w:hAnsi="Arial" w:cs="Arial"/>
                <w:color w:val="000000"/>
                <w:sz w:val="16"/>
                <w:szCs w:val="16"/>
              </w:rPr>
              <w:t>48</w:t>
            </w:r>
          </w:p>
        </w:tc>
        <w:tc>
          <w:tcPr>
            <w:tcW w:w="117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0A6FF5FB"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108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043C62E6" w14:textId="77777777">
            <w:pPr>
              <w:jc w:val="center"/>
              <w:rPr>
                <w:rFonts w:ascii="Arial" w:hAnsi="Arial" w:cs="Arial"/>
                <w:color w:val="000000"/>
                <w:sz w:val="16"/>
                <w:szCs w:val="16"/>
              </w:rPr>
            </w:pPr>
            <w:r w:rsidRPr="00CA15F2">
              <w:rPr>
                <w:rFonts w:ascii="Arial" w:hAnsi="Arial" w:cs="Arial"/>
                <w:color w:val="000000"/>
                <w:sz w:val="16"/>
                <w:szCs w:val="16"/>
              </w:rPr>
              <w:t>48</w:t>
            </w:r>
          </w:p>
        </w:tc>
        <w:tc>
          <w:tcPr>
            <w:tcW w:w="90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1BAAB453"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99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7ED4926A" w14:textId="77777777">
            <w:pPr>
              <w:jc w:val="center"/>
              <w:rPr>
                <w:rFonts w:ascii="Arial" w:hAnsi="Arial" w:cs="Arial"/>
                <w:color w:val="000000"/>
                <w:sz w:val="16"/>
                <w:szCs w:val="16"/>
              </w:rPr>
            </w:pPr>
            <w:r w:rsidRPr="00CA15F2">
              <w:rPr>
                <w:rFonts w:ascii="Arial" w:hAnsi="Arial" w:cs="Arial"/>
                <w:color w:val="000000"/>
                <w:sz w:val="16"/>
                <w:szCs w:val="16"/>
              </w:rPr>
              <w:t>48</w:t>
            </w:r>
          </w:p>
        </w:tc>
        <w:tc>
          <w:tcPr>
            <w:tcW w:w="1260" w:type="dxa"/>
            <w:tcBorders>
              <w:top w:val="single" w:sz="4" w:space="0" w:color="000000"/>
              <w:left w:val="nil"/>
              <w:bottom w:val="single" w:sz="8" w:space="0" w:color="auto"/>
              <w:right w:val="nil"/>
            </w:tcBorders>
            <w:shd w:val="clear" w:color="D9D9D9" w:fill="D9D9D9"/>
            <w:noWrap/>
            <w:vAlign w:val="center"/>
            <w:hideMark/>
          </w:tcPr>
          <w:p w:rsidR="00074A49" w:rsidRPr="00CA15F2" w14:paraId="3C01EA8A" w14:textId="77777777">
            <w:pPr>
              <w:jc w:val="center"/>
              <w:rPr>
                <w:rFonts w:ascii="Arial" w:hAnsi="Arial" w:cs="Arial"/>
                <w:color w:val="000000"/>
                <w:sz w:val="16"/>
                <w:szCs w:val="16"/>
              </w:rPr>
            </w:pPr>
            <w:r w:rsidRPr="00CA15F2">
              <w:rPr>
                <w:rFonts w:ascii="Arial" w:hAnsi="Arial" w:cs="Arial"/>
                <w:color w:val="000000"/>
                <w:sz w:val="16"/>
                <w:szCs w:val="16"/>
              </w:rPr>
              <w:t xml:space="preserve">$2,400 </w:t>
            </w:r>
          </w:p>
        </w:tc>
        <w:tc>
          <w:tcPr>
            <w:tcW w:w="1620" w:type="dxa"/>
            <w:tcBorders>
              <w:top w:val="single" w:sz="8" w:space="0" w:color="auto"/>
              <w:left w:val="single" w:sz="8" w:space="0" w:color="auto"/>
              <w:bottom w:val="single" w:sz="8" w:space="0" w:color="auto"/>
              <w:right w:val="single" w:sz="8" w:space="0" w:color="auto"/>
            </w:tcBorders>
            <w:shd w:val="clear" w:color="D9D9D9" w:fill="D9D9D9"/>
            <w:vAlign w:val="center"/>
            <w:hideMark/>
          </w:tcPr>
          <w:p w:rsidR="00074A49" w:rsidRPr="00CA15F2" w14:paraId="308F77B1" w14:textId="74ABC600">
            <w:pPr>
              <w:rPr>
                <w:rFonts w:ascii="Arial" w:hAnsi="Arial" w:cs="Arial"/>
                <w:color w:val="000000"/>
                <w:sz w:val="16"/>
                <w:szCs w:val="16"/>
              </w:rPr>
            </w:pPr>
            <w:r w:rsidRPr="00CA15F2">
              <w:rPr>
                <w:rFonts w:ascii="Arial" w:hAnsi="Arial" w:cs="Arial"/>
                <w:color w:val="000000"/>
                <w:sz w:val="16"/>
                <w:szCs w:val="16"/>
              </w:rPr>
              <w:t>Every</w:t>
            </w:r>
            <w:r w:rsidR="00E426A7">
              <w:rPr>
                <w:rFonts w:ascii="Arial" w:hAnsi="Arial" w:cs="Arial"/>
                <w:color w:val="000000"/>
                <w:sz w:val="16"/>
                <w:szCs w:val="16"/>
              </w:rPr>
              <w:t xml:space="preserve"> eligible entity under</w:t>
            </w:r>
            <w:r w:rsidRPr="00CA15F2">
              <w:rPr>
                <w:rFonts w:ascii="Arial" w:hAnsi="Arial" w:cs="Arial"/>
                <w:color w:val="000000"/>
                <w:sz w:val="16"/>
                <w:szCs w:val="16"/>
              </w:rPr>
              <w:t xml:space="preserve"> </w:t>
            </w:r>
            <w:r w:rsidR="00E426A7">
              <w:rPr>
                <w:rFonts w:ascii="Arial" w:hAnsi="Arial" w:cs="Arial"/>
                <w:color w:val="000000"/>
                <w:sz w:val="16"/>
                <w:szCs w:val="16"/>
              </w:rPr>
              <w:t>Direct Componen</w:t>
            </w:r>
            <w:r w:rsidRPr="00CA15F2">
              <w:rPr>
                <w:rFonts w:ascii="Arial" w:hAnsi="Arial" w:cs="Arial"/>
                <w:color w:val="000000"/>
                <w:sz w:val="16"/>
                <w:szCs w:val="16"/>
              </w:rPr>
              <w:t>t</w:t>
            </w:r>
            <w:r w:rsidR="00E426A7">
              <w:rPr>
                <w:rFonts w:ascii="Arial" w:hAnsi="Arial" w:cs="Arial"/>
                <w:color w:val="000000"/>
                <w:sz w:val="16"/>
                <w:szCs w:val="16"/>
              </w:rPr>
              <w:t xml:space="preserve"> and Centers of Excellence Research Grants Program</w:t>
            </w:r>
            <w:r w:rsidR="001D780C">
              <w:rPr>
                <w:rFonts w:ascii="Arial" w:hAnsi="Arial" w:cs="Arial"/>
                <w:color w:val="000000"/>
                <w:sz w:val="16"/>
                <w:szCs w:val="16"/>
              </w:rPr>
              <w:t>s</w:t>
            </w:r>
            <w:r w:rsidRPr="00CA15F2">
              <w:rPr>
                <w:rFonts w:ascii="Arial" w:hAnsi="Arial" w:cs="Arial"/>
                <w:color w:val="000000"/>
                <w:sz w:val="16"/>
                <w:szCs w:val="16"/>
              </w:rPr>
              <w:t xml:space="preserve"> must complete the OSA annually</w:t>
            </w:r>
            <w:r w:rsidR="001D780C">
              <w:rPr>
                <w:rFonts w:ascii="Arial" w:hAnsi="Arial" w:cs="Arial"/>
                <w:color w:val="000000"/>
                <w:sz w:val="16"/>
                <w:szCs w:val="16"/>
              </w:rPr>
              <w:t xml:space="preserve"> prior to receiving grant funding</w:t>
            </w:r>
            <w:r w:rsidRPr="00CA15F2" w:rsidR="00231937">
              <w:rPr>
                <w:rFonts w:ascii="Arial" w:hAnsi="Arial" w:cs="Arial"/>
                <w:color w:val="000000"/>
                <w:sz w:val="16"/>
                <w:szCs w:val="16"/>
              </w:rPr>
              <w:t>.</w:t>
            </w:r>
          </w:p>
        </w:tc>
      </w:tr>
      <w:tr w14:paraId="1564476A" w14:textId="77777777" w:rsidTr="00CA15F2">
        <w:tblPrEx>
          <w:tblW w:w="9710" w:type="dxa"/>
          <w:tblLayout w:type="fixed"/>
          <w:tblLook w:val="04A0"/>
        </w:tblPrEx>
        <w:trPr>
          <w:trHeight w:val="1116"/>
        </w:trPr>
        <w:tc>
          <w:tcPr>
            <w:tcW w:w="1520" w:type="dxa"/>
            <w:tcBorders>
              <w:top w:val="single" w:sz="4" w:space="0" w:color="000000"/>
              <w:left w:val="single" w:sz="8" w:space="0" w:color="auto"/>
              <w:bottom w:val="single" w:sz="8" w:space="0" w:color="auto"/>
              <w:right w:val="single" w:sz="8" w:space="0" w:color="auto"/>
            </w:tcBorders>
            <w:shd w:val="clear" w:color="auto" w:fill="auto"/>
            <w:vAlign w:val="center"/>
            <w:hideMark/>
          </w:tcPr>
          <w:p w:rsidR="00074A49" w:rsidRPr="00CA15F2" w14:paraId="220EC90F" w14:textId="4B400834">
            <w:pPr>
              <w:rPr>
                <w:rFonts w:ascii="Arial" w:hAnsi="Arial" w:cs="Arial"/>
                <w:color w:val="000000"/>
                <w:sz w:val="16"/>
                <w:szCs w:val="16"/>
              </w:rPr>
            </w:pPr>
            <w:r w:rsidRPr="00CA15F2">
              <w:rPr>
                <w:rFonts w:ascii="Arial" w:hAnsi="Arial" w:cs="Arial"/>
                <w:color w:val="000000"/>
                <w:sz w:val="16"/>
                <w:szCs w:val="16"/>
              </w:rPr>
              <w:t>Multiyear</w:t>
            </w:r>
            <w:r w:rsidR="00B46CC0">
              <w:rPr>
                <w:rFonts w:ascii="Arial" w:hAnsi="Arial" w:cs="Arial"/>
                <w:color w:val="000000"/>
                <w:sz w:val="16"/>
                <w:szCs w:val="16"/>
              </w:rPr>
              <w:t xml:space="preserve"> Implementation</w:t>
            </w:r>
            <w:r w:rsidRPr="00CA15F2">
              <w:rPr>
                <w:rFonts w:ascii="Arial" w:hAnsi="Arial" w:cs="Arial"/>
                <w:color w:val="000000"/>
                <w:sz w:val="16"/>
                <w:szCs w:val="16"/>
              </w:rPr>
              <w:t xml:space="preserve"> Plans</w:t>
            </w:r>
          </w:p>
        </w:tc>
        <w:tc>
          <w:tcPr>
            <w:tcW w:w="1170" w:type="dxa"/>
            <w:tcBorders>
              <w:top w:val="single" w:sz="4" w:space="0" w:color="000000"/>
              <w:left w:val="nil"/>
              <w:bottom w:val="single" w:sz="8" w:space="0" w:color="auto"/>
              <w:right w:val="single" w:sz="8" w:space="0" w:color="auto"/>
            </w:tcBorders>
            <w:shd w:val="clear" w:color="auto" w:fill="auto"/>
            <w:vAlign w:val="center"/>
            <w:hideMark/>
          </w:tcPr>
          <w:p w:rsidR="00074A49" w:rsidRPr="00CA15F2" w14:paraId="2C4403FD" w14:textId="77777777">
            <w:pPr>
              <w:jc w:val="center"/>
              <w:rPr>
                <w:rFonts w:ascii="Arial" w:hAnsi="Arial" w:cs="Arial"/>
                <w:color w:val="000000"/>
                <w:sz w:val="16"/>
                <w:szCs w:val="16"/>
              </w:rPr>
            </w:pPr>
            <w:r w:rsidRPr="00CA15F2">
              <w:rPr>
                <w:rFonts w:ascii="Arial" w:hAnsi="Arial" w:cs="Arial"/>
                <w:color w:val="000000"/>
                <w:sz w:val="16"/>
                <w:szCs w:val="16"/>
              </w:rPr>
              <w:t>47</w:t>
            </w:r>
          </w:p>
        </w:tc>
        <w:tc>
          <w:tcPr>
            <w:tcW w:w="1170" w:type="dxa"/>
            <w:tcBorders>
              <w:top w:val="single" w:sz="4" w:space="0" w:color="000000"/>
              <w:left w:val="nil"/>
              <w:bottom w:val="single" w:sz="8" w:space="0" w:color="auto"/>
              <w:right w:val="single" w:sz="8" w:space="0" w:color="auto"/>
            </w:tcBorders>
            <w:shd w:val="clear" w:color="auto" w:fill="auto"/>
            <w:vAlign w:val="center"/>
            <w:hideMark/>
          </w:tcPr>
          <w:p w:rsidR="00074A49" w:rsidRPr="00CA15F2" w14:paraId="4859DBF3"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1080" w:type="dxa"/>
            <w:tcBorders>
              <w:top w:val="single" w:sz="4" w:space="0" w:color="000000"/>
              <w:left w:val="nil"/>
              <w:bottom w:val="single" w:sz="8" w:space="0" w:color="auto"/>
              <w:right w:val="single" w:sz="8" w:space="0" w:color="auto"/>
            </w:tcBorders>
            <w:shd w:val="clear" w:color="auto" w:fill="auto"/>
            <w:vAlign w:val="center"/>
            <w:hideMark/>
          </w:tcPr>
          <w:p w:rsidR="00074A49" w:rsidRPr="00CA15F2" w14:paraId="3A57C75A" w14:textId="77777777">
            <w:pPr>
              <w:jc w:val="center"/>
              <w:rPr>
                <w:rFonts w:ascii="Arial" w:hAnsi="Arial" w:cs="Arial"/>
                <w:color w:val="000000"/>
                <w:sz w:val="16"/>
                <w:szCs w:val="16"/>
              </w:rPr>
            </w:pPr>
            <w:r w:rsidRPr="00CA15F2">
              <w:rPr>
                <w:rFonts w:ascii="Arial" w:hAnsi="Arial" w:cs="Arial"/>
                <w:color w:val="000000"/>
                <w:sz w:val="16"/>
                <w:szCs w:val="16"/>
              </w:rPr>
              <w:t>12</w:t>
            </w:r>
          </w:p>
        </w:tc>
        <w:tc>
          <w:tcPr>
            <w:tcW w:w="900" w:type="dxa"/>
            <w:tcBorders>
              <w:top w:val="single" w:sz="4" w:space="0" w:color="000000"/>
              <w:left w:val="nil"/>
              <w:bottom w:val="single" w:sz="8" w:space="0" w:color="auto"/>
              <w:right w:val="single" w:sz="8" w:space="0" w:color="auto"/>
            </w:tcBorders>
            <w:shd w:val="clear" w:color="auto" w:fill="auto"/>
            <w:vAlign w:val="center"/>
            <w:hideMark/>
          </w:tcPr>
          <w:p w:rsidR="00074A49" w:rsidRPr="00CA15F2" w14:paraId="5487ABE0" w14:textId="77777777">
            <w:pPr>
              <w:jc w:val="center"/>
              <w:rPr>
                <w:rFonts w:ascii="Arial" w:hAnsi="Arial" w:cs="Arial"/>
                <w:color w:val="000000"/>
                <w:sz w:val="16"/>
                <w:szCs w:val="16"/>
              </w:rPr>
            </w:pPr>
            <w:r w:rsidRPr="00CA15F2">
              <w:rPr>
                <w:rFonts w:ascii="Arial" w:hAnsi="Arial" w:cs="Arial"/>
                <w:color w:val="000000"/>
                <w:sz w:val="16"/>
                <w:szCs w:val="16"/>
              </w:rPr>
              <w:t>5</w:t>
            </w:r>
          </w:p>
        </w:tc>
        <w:tc>
          <w:tcPr>
            <w:tcW w:w="990" w:type="dxa"/>
            <w:tcBorders>
              <w:top w:val="single" w:sz="4" w:space="0" w:color="000000"/>
              <w:left w:val="nil"/>
              <w:bottom w:val="single" w:sz="8" w:space="0" w:color="auto"/>
              <w:right w:val="single" w:sz="8" w:space="0" w:color="auto"/>
            </w:tcBorders>
            <w:shd w:val="clear" w:color="auto" w:fill="auto"/>
            <w:vAlign w:val="center"/>
            <w:hideMark/>
          </w:tcPr>
          <w:p w:rsidR="00074A49" w:rsidRPr="00CA15F2" w14:paraId="73D98497" w14:textId="77777777">
            <w:pPr>
              <w:jc w:val="center"/>
              <w:rPr>
                <w:rFonts w:ascii="Arial" w:hAnsi="Arial" w:cs="Arial"/>
                <w:color w:val="000000"/>
                <w:sz w:val="16"/>
                <w:szCs w:val="16"/>
              </w:rPr>
            </w:pPr>
            <w:r w:rsidRPr="00CA15F2">
              <w:rPr>
                <w:rFonts w:ascii="Arial" w:hAnsi="Arial" w:cs="Arial"/>
                <w:color w:val="000000"/>
                <w:sz w:val="16"/>
                <w:szCs w:val="16"/>
              </w:rPr>
              <w:t>60</w:t>
            </w:r>
          </w:p>
        </w:tc>
        <w:tc>
          <w:tcPr>
            <w:tcW w:w="1260" w:type="dxa"/>
            <w:tcBorders>
              <w:top w:val="single" w:sz="4" w:space="0" w:color="000000"/>
              <w:left w:val="nil"/>
              <w:bottom w:val="single" w:sz="8" w:space="0" w:color="auto"/>
              <w:right w:val="nil"/>
            </w:tcBorders>
            <w:shd w:val="clear" w:color="auto" w:fill="auto"/>
            <w:noWrap/>
            <w:vAlign w:val="center"/>
            <w:hideMark/>
          </w:tcPr>
          <w:p w:rsidR="00074A49" w:rsidRPr="00CA15F2" w14:paraId="7AC09B59" w14:textId="77777777">
            <w:pPr>
              <w:jc w:val="center"/>
              <w:rPr>
                <w:rFonts w:ascii="Arial" w:hAnsi="Arial" w:cs="Arial"/>
                <w:color w:val="000000"/>
                <w:sz w:val="16"/>
                <w:szCs w:val="16"/>
              </w:rPr>
            </w:pPr>
            <w:r w:rsidRPr="00CA15F2">
              <w:rPr>
                <w:rFonts w:ascii="Arial" w:hAnsi="Arial" w:cs="Arial"/>
                <w:color w:val="000000"/>
                <w:sz w:val="16"/>
                <w:szCs w:val="16"/>
              </w:rPr>
              <w:t xml:space="preserve">$3,000 </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4A49" w:rsidRPr="00CA15F2" w14:paraId="4A14A755" w14:textId="77777777">
            <w:pPr>
              <w:rPr>
                <w:rFonts w:ascii="Arial" w:hAnsi="Arial" w:cs="Arial"/>
                <w:color w:val="000000"/>
                <w:sz w:val="16"/>
                <w:szCs w:val="16"/>
              </w:rPr>
            </w:pPr>
            <w:r w:rsidRPr="00CA15F2">
              <w:rPr>
                <w:rFonts w:ascii="Arial" w:hAnsi="Arial" w:cs="Arial"/>
                <w:color w:val="000000"/>
                <w:sz w:val="16"/>
                <w:szCs w:val="16"/>
              </w:rPr>
              <w:t>Treasury receives between 9 and 18 MYP or MYP amendments annually.</w:t>
            </w:r>
          </w:p>
        </w:tc>
      </w:tr>
      <w:tr w14:paraId="5422A5EE" w14:textId="77777777" w:rsidTr="00CA15F2">
        <w:tblPrEx>
          <w:tblW w:w="9710" w:type="dxa"/>
          <w:tblLayout w:type="fixed"/>
          <w:tblLook w:val="04A0"/>
        </w:tblPrEx>
        <w:trPr>
          <w:trHeight w:val="1872"/>
        </w:trPr>
        <w:tc>
          <w:tcPr>
            <w:tcW w:w="1520" w:type="dxa"/>
            <w:tcBorders>
              <w:top w:val="single" w:sz="4" w:space="0" w:color="000000"/>
              <w:left w:val="single" w:sz="8" w:space="0" w:color="auto"/>
              <w:bottom w:val="single" w:sz="8" w:space="0" w:color="auto"/>
              <w:right w:val="single" w:sz="8" w:space="0" w:color="auto"/>
            </w:tcBorders>
            <w:shd w:val="clear" w:color="D9D9D9" w:fill="D9D9D9"/>
            <w:vAlign w:val="center"/>
            <w:hideMark/>
          </w:tcPr>
          <w:p w:rsidR="00074A49" w:rsidRPr="00CA15F2" w14:paraId="431477B0" w14:textId="77777777">
            <w:pPr>
              <w:rPr>
                <w:rFonts w:ascii="Arial" w:hAnsi="Arial" w:cs="Arial"/>
                <w:color w:val="000000"/>
                <w:sz w:val="16"/>
                <w:szCs w:val="16"/>
              </w:rPr>
            </w:pPr>
            <w:r w:rsidRPr="00CA15F2">
              <w:rPr>
                <w:rFonts w:ascii="Arial" w:hAnsi="Arial" w:cs="Arial"/>
                <w:color w:val="000000"/>
                <w:sz w:val="16"/>
                <w:szCs w:val="16"/>
              </w:rPr>
              <w:t>Application</w:t>
            </w:r>
            <w:r w:rsidRPr="00CA15F2">
              <w:rPr>
                <w:rFonts w:ascii="Arial" w:hAnsi="Arial" w:cs="Arial"/>
                <w:sz w:val="16"/>
                <w:szCs w:val="16"/>
              </w:rPr>
              <w:t>s</w:t>
            </w:r>
            <w:r w:rsidRPr="00CA15F2">
              <w:rPr>
                <w:rFonts w:ascii="Arial" w:hAnsi="Arial" w:cs="Arial"/>
                <w:color w:val="000000"/>
                <w:sz w:val="16"/>
                <w:szCs w:val="16"/>
              </w:rPr>
              <w:t xml:space="preserve"> - Direct Component</w:t>
            </w:r>
          </w:p>
        </w:tc>
        <w:tc>
          <w:tcPr>
            <w:tcW w:w="117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03406E09" w14:textId="77777777">
            <w:pPr>
              <w:jc w:val="center"/>
              <w:rPr>
                <w:rFonts w:ascii="Arial" w:hAnsi="Arial" w:cs="Arial"/>
                <w:color w:val="000000"/>
                <w:sz w:val="16"/>
                <w:szCs w:val="16"/>
              </w:rPr>
            </w:pPr>
            <w:r w:rsidRPr="00CA15F2">
              <w:rPr>
                <w:rFonts w:ascii="Arial" w:hAnsi="Arial" w:cs="Arial"/>
                <w:color w:val="000000"/>
                <w:sz w:val="16"/>
                <w:szCs w:val="16"/>
              </w:rPr>
              <w:t>47</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59CA139A" w14:textId="77777777">
            <w:pPr>
              <w:jc w:val="center"/>
              <w:rPr>
                <w:rFonts w:ascii="Arial" w:hAnsi="Arial" w:cs="Arial"/>
                <w:color w:val="000000"/>
                <w:sz w:val="16"/>
                <w:szCs w:val="16"/>
              </w:rPr>
            </w:pPr>
            <w:r w:rsidRPr="00CA15F2">
              <w:rPr>
                <w:rFonts w:ascii="Arial" w:hAnsi="Arial" w:cs="Arial"/>
                <w:color w:val="000000"/>
                <w:sz w:val="16"/>
                <w:szCs w:val="16"/>
              </w:rPr>
              <w:t>0.55</w:t>
            </w:r>
          </w:p>
        </w:tc>
        <w:tc>
          <w:tcPr>
            <w:tcW w:w="108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385EEDF7" w14:textId="77777777">
            <w:pPr>
              <w:jc w:val="center"/>
              <w:rPr>
                <w:rFonts w:ascii="Arial" w:hAnsi="Arial" w:cs="Arial"/>
                <w:color w:val="000000"/>
                <w:sz w:val="16"/>
                <w:szCs w:val="16"/>
              </w:rPr>
            </w:pPr>
            <w:r w:rsidRPr="00CA15F2">
              <w:rPr>
                <w:rFonts w:ascii="Arial" w:hAnsi="Arial" w:cs="Arial"/>
                <w:color w:val="000000"/>
                <w:sz w:val="16"/>
                <w:szCs w:val="16"/>
              </w:rPr>
              <w:t>26</w:t>
            </w:r>
          </w:p>
        </w:tc>
        <w:tc>
          <w:tcPr>
            <w:tcW w:w="90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2CDBE03E" w14:textId="77777777">
            <w:pPr>
              <w:jc w:val="center"/>
              <w:rPr>
                <w:rFonts w:ascii="Arial" w:hAnsi="Arial" w:cs="Arial"/>
                <w:color w:val="000000"/>
                <w:sz w:val="16"/>
                <w:szCs w:val="16"/>
              </w:rPr>
            </w:pPr>
            <w:r w:rsidRPr="00CA15F2">
              <w:rPr>
                <w:rFonts w:ascii="Arial" w:hAnsi="Arial" w:cs="Arial"/>
                <w:color w:val="000000"/>
                <w:sz w:val="16"/>
                <w:szCs w:val="16"/>
              </w:rPr>
              <w:t>9</w:t>
            </w:r>
          </w:p>
        </w:tc>
        <w:tc>
          <w:tcPr>
            <w:tcW w:w="99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0A367741" w14:textId="77777777">
            <w:pPr>
              <w:jc w:val="center"/>
              <w:rPr>
                <w:rFonts w:ascii="Arial" w:hAnsi="Arial" w:cs="Arial"/>
                <w:color w:val="000000"/>
                <w:sz w:val="16"/>
                <w:szCs w:val="16"/>
              </w:rPr>
            </w:pPr>
            <w:r w:rsidRPr="00CA15F2">
              <w:rPr>
                <w:rFonts w:ascii="Arial" w:hAnsi="Arial" w:cs="Arial"/>
                <w:color w:val="000000"/>
                <w:sz w:val="16"/>
                <w:szCs w:val="16"/>
              </w:rPr>
              <w:t>234</w:t>
            </w:r>
          </w:p>
        </w:tc>
        <w:tc>
          <w:tcPr>
            <w:tcW w:w="1260" w:type="dxa"/>
            <w:tcBorders>
              <w:top w:val="single" w:sz="4" w:space="0" w:color="000000"/>
              <w:left w:val="nil"/>
              <w:bottom w:val="single" w:sz="8" w:space="0" w:color="auto"/>
              <w:right w:val="nil"/>
            </w:tcBorders>
            <w:shd w:val="clear" w:color="D9D9D9" w:fill="D9D9D9"/>
            <w:noWrap/>
            <w:vAlign w:val="center"/>
            <w:hideMark/>
          </w:tcPr>
          <w:p w:rsidR="00074A49" w:rsidRPr="00CA15F2" w14:paraId="6689AC16" w14:textId="77777777">
            <w:pPr>
              <w:jc w:val="center"/>
              <w:rPr>
                <w:rFonts w:ascii="Arial" w:hAnsi="Arial" w:cs="Arial"/>
                <w:color w:val="000000"/>
                <w:sz w:val="16"/>
                <w:szCs w:val="16"/>
              </w:rPr>
            </w:pPr>
            <w:r w:rsidRPr="00CA15F2">
              <w:rPr>
                <w:rFonts w:ascii="Arial" w:hAnsi="Arial" w:cs="Arial"/>
                <w:color w:val="000000"/>
                <w:sz w:val="16"/>
                <w:szCs w:val="16"/>
              </w:rPr>
              <w:t xml:space="preserve">$11,700 </w:t>
            </w:r>
          </w:p>
        </w:tc>
        <w:tc>
          <w:tcPr>
            <w:tcW w:w="1620" w:type="dxa"/>
            <w:tcBorders>
              <w:top w:val="single" w:sz="8" w:space="0" w:color="auto"/>
              <w:left w:val="single" w:sz="8" w:space="0" w:color="auto"/>
              <w:bottom w:val="single" w:sz="8" w:space="0" w:color="auto"/>
              <w:right w:val="single" w:sz="8" w:space="0" w:color="auto"/>
            </w:tcBorders>
            <w:shd w:val="clear" w:color="D9D9D9" w:fill="D9D9D9"/>
            <w:vAlign w:val="center"/>
            <w:hideMark/>
          </w:tcPr>
          <w:p w:rsidR="00074A49" w:rsidRPr="00CA15F2" w14:paraId="4A9BC007" w14:textId="674F75D7">
            <w:pPr>
              <w:rPr>
                <w:rFonts w:ascii="Arial" w:hAnsi="Arial" w:cs="Arial"/>
                <w:color w:val="000000"/>
                <w:sz w:val="16"/>
                <w:szCs w:val="16"/>
              </w:rPr>
            </w:pPr>
            <w:r w:rsidRPr="00CA15F2">
              <w:rPr>
                <w:rFonts w:ascii="Arial" w:hAnsi="Arial" w:cs="Arial"/>
                <w:color w:val="000000"/>
                <w:sz w:val="16"/>
                <w:szCs w:val="16"/>
              </w:rPr>
              <w:t>Based on average number of Direct Component award applications submitted in FY17 - 19, FY20 and FY21. The number of responses per respondent is calcu</w:t>
            </w:r>
            <w:r w:rsidRPr="00CA15F2" w:rsidR="00501002">
              <w:rPr>
                <w:rFonts w:ascii="Arial" w:hAnsi="Arial" w:cs="Arial"/>
                <w:color w:val="000000"/>
                <w:sz w:val="16"/>
                <w:szCs w:val="16"/>
              </w:rPr>
              <w:t>lated</w:t>
            </w:r>
            <w:r w:rsidRPr="00CA15F2">
              <w:rPr>
                <w:rFonts w:ascii="Arial" w:hAnsi="Arial" w:cs="Arial"/>
                <w:color w:val="000000"/>
                <w:sz w:val="16"/>
                <w:szCs w:val="16"/>
              </w:rPr>
              <w:t xml:space="preserve"> as the average number of applications divided by the number of respondents.</w:t>
            </w:r>
          </w:p>
        </w:tc>
      </w:tr>
      <w:tr w14:paraId="3F75E761" w14:textId="77777777" w:rsidTr="00CA15F2">
        <w:tblPrEx>
          <w:tblW w:w="9710" w:type="dxa"/>
          <w:tblLayout w:type="fixed"/>
          <w:tblLook w:val="04A0"/>
        </w:tblPrEx>
        <w:trPr>
          <w:trHeight w:val="1260"/>
        </w:trPr>
        <w:tc>
          <w:tcPr>
            <w:tcW w:w="1520" w:type="dxa"/>
            <w:tcBorders>
              <w:top w:val="single" w:sz="4" w:space="0" w:color="000000"/>
              <w:left w:val="single" w:sz="8" w:space="0" w:color="auto"/>
              <w:bottom w:val="single" w:sz="8" w:space="0" w:color="auto"/>
              <w:right w:val="single" w:sz="8" w:space="0" w:color="auto"/>
            </w:tcBorders>
            <w:shd w:val="clear" w:color="auto" w:fill="auto"/>
            <w:vAlign w:val="center"/>
            <w:hideMark/>
          </w:tcPr>
          <w:p w:rsidR="00074A49" w:rsidRPr="00CA15F2" w14:paraId="5044900C" w14:textId="77777777">
            <w:pPr>
              <w:rPr>
                <w:rFonts w:ascii="Arial" w:hAnsi="Arial" w:cs="Arial"/>
                <w:color w:val="000000"/>
                <w:sz w:val="16"/>
                <w:szCs w:val="16"/>
              </w:rPr>
            </w:pPr>
            <w:r w:rsidRPr="00CA15F2">
              <w:rPr>
                <w:rFonts w:ascii="Arial" w:hAnsi="Arial" w:cs="Arial"/>
                <w:color w:val="000000"/>
                <w:sz w:val="16"/>
                <w:szCs w:val="16"/>
              </w:rPr>
              <w:t>Application - Centers of Excellence Research Grants Program</w:t>
            </w:r>
          </w:p>
        </w:tc>
        <w:tc>
          <w:tcPr>
            <w:tcW w:w="117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71570E79" w14:textId="77777777">
            <w:pPr>
              <w:jc w:val="center"/>
              <w:rPr>
                <w:rFonts w:ascii="Arial" w:hAnsi="Arial" w:cs="Arial"/>
                <w:color w:val="000000"/>
                <w:sz w:val="16"/>
                <w:szCs w:val="16"/>
              </w:rPr>
            </w:pPr>
            <w:r w:rsidRPr="00CA15F2">
              <w:rPr>
                <w:rFonts w:ascii="Arial" w:hAnsi="Arial" w:cs="Arial"/>
                <w:color w:val="000000"/>
                <w:sz w:val="16"/>
                <w:szCs w:val="16"/>
              </w:rPr>
              <w:t>5</w:t>
            </w:r>
          </w:p>
        </w:tc>
        <w:tc>
          <w:tcPr>
            <w:tcW w:w="117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33D32A4C"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108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470A86A4" w14:textId="77777777">
            <w:pPr>
              <w:jc w:val="center"/>
              <w:rPr>
                <w:rFonts w:ascii="Arial" w:hAnsi="Arial" w:cs="Arial"/>
                <w:color w:val="000000"/>
                <w:sz w:val="16"/>
                <w:szCs w:val="16"/>
              </w:rPr>
            </w:pPr>
            <w:r w:rsidRPr="00CA15F2">
              <w:rPr>
                <w:rFonts w:ascii="Arial" w:hAnsi="Arial" w:cs="Arial"/>
                <w:color w:val="000000"/>
                <w:sz w:val="16"/>
                <w:szCs w:val="16"/>
              </w:rPr>
              <w:t>3</w:t>
            </w:r>
          </w:p>
        </w:tc>
        <w:tc>
          <w:tcPr>
            <w:tcW w:w="90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79DC2408" w14:textId="77777777">
            <w:pPr>
              <w:jc w:val="center"/>
              <w:rPr>
                <w:rFonts w:ascii="Arial" w:hAnsi="Arial" w:cs="Arial"/>
                <w:color w:val="000000"/>
                <w:sz w:val="16"/>
                <w:szCs w:val="16"/>
              </w:rPr>
            </w:pPr>
            <w:r w:rsidRPr="00CA15F2">
              <w:rPr>
                <w:rFonts w:ascii="Arial" w:hAnsi="Arial" w:cs="Arial"/>
                <w:color w:val="000000"/>
                <w:sz w:val="16"/>
                <w:szCs w:val="16"/>
              </w:rPr>
              <w:t>5</w:t>
            </w:r>
          </w:p>
        </w:tc>
        <w:tc>
          <w:tcPr>
            <w:tcW w:w="99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0D5F3AAD" w14:textId="77777777">
            <w:pPr>
              <w:jc w:val="center"/>
              <w:rPr>
                <w:rFonts w:ascii="Arial" w:hAnsi="Arial" w:cs="Arial"/>
                <w:color w:val="000000"/>
                <w:sz w:val="16"/>
                <w:szCs w:val="16"/>
              </w:rPr>
            </w:pPr>
            <w:r w:rsidRPr="00CA15F2">
              <w:rPr>
                <w:rFonts w:ascii="Arial" w:hAnsi="Arial" w:cs="Arial"/>
                <w:color w:val="000000"/>
                <w:sz w:val="16"/>
                <w:szCs w:val="16"/>
              </w:rPr>
              <w:t>15</w:t>
            </w:r>
          </w:p>
        </w:tc>
        <w:tc>
          <w:tcPr>
            <w:tcW w:w="1260" w:type="dxa"/>
            <w:tcBorders>
              <w:top w:val="single" w:sz="4" w:space="0" w:color="000000"/>
              <w:left w:val="nil"/>
              <w:bottom w:val="single" w:sz="8" w:space="0" w:color="auto"/>
              <w:right w:val="nil"/>
            </w:tcBorders>
            <w:shd w:val="clear" w:color="auto" w:fill="auto"/>
            <w:noWrap/>
            <w:vAlign w:val="center"/>
            <w:hideMark/>
          </w:tcPr>
          <w:p w:rsidR="00074A49" w:rsidRPr="00CA15F2" w14:paraId="195AA464" w14:textId="77777777">
            <w:pPr>
              <w:jc w:val="center"/>
              <w:rPr>
                <w:rFonts w:ascii="Arial" w:hAnsi="Arial" w:cs="Arial"/>
                <w:color w:val="000000"/>
                <w:sz w:val="16"/>
                <w:szCs w:val="16"/>
              </w:rPr>
            </w:pPr>
            <w:r w:rsidRPr="00CA15F2">
              <w:rPr>
                <w:rFonts w:ascii="Arial" w:hAnsi="Arial" w:cs="Arial"/>
                <w:color w:val="000000"/>
                <w:sz w:val="16"/>
                <w:szCs w:val="16"/>
              </w:rPr>
              <w:t xml:space="preserve">$750 </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4A49" w:rsidRPr="00CA15F2" w14:paraId="456143E1" w14:textId="7CD7DC11">
            <w:pPr>
              <w:rPr>
                <w:rFonts w:ascii="Arial" w:hAnsi="Arial" w:cs="Arial"/>
                <w:color w:val="000000"/>
                <w:sz w:val="16"/>
                <w:szCs w:val="16"/>
              </w:rPr>
            </w:pPr>
            <w:r w:rsidRPr="00CA15F2">
              <w:rPr>
                <w:rFonts w:ascii="Arial" w:hAnsi="Arial" w:cs="Arial"/>
                <w:color w:val="000000"/>
                <w:sz w:val="16"/>
                <w:szCs w:val="16"/>
              </w:rPr>
              <w:t xml:space="preserve">Estimate based on direct communications with Centers of Excellence </w:t>
            </w:r>
            <w:r w:rsidR="00B46CC0">
              <w:rPr>
                <w:rFonts w:ascii="Arial" w:hAnsi="Arial" w:cs="Arial"/>
                <w:color w:val="000000"/>
                <w:sz w:val="16"/>
                <w:szCs w:val="16"/>
              </w:rPr>
              <w:t xml:space="preserve">Research Grants Program’s </w:t>
            </w:r>
            <w:r w:rsidRPr="00CA15F2">
              <w:rPr>
                <w:rFonts w:ascii="Arial" w:hAnsi="Arial" w:cs="Arial"/>
                <w:color w:val="000000"/>
                <w:sz w:val="16"/>
                <w:szCs w:val="16"/>
              </w:rPr>
              <w:t>eligible applicants and interest to submit applications in next 3 years</w:t>
            </w:r>
            <w:r w:rsidRPr="00CA15F2" w:rsidR="00231937">
              <w:rPr>
                <w:rFonts w:ascii="Arial" w:hAnsi="Arial" w:cs="Arial"/>
                <w:color w:val="000000"/>
                <w:sz w:val="16"/>
                <w:szCs w:val="16"/>
              </w:rPr>
              <w:t>.</w:t>
            </w:r>
          </w:p>
        </w:tc>
      </w:tr>
      <w:tr w14:paraId="5067FD56" w14:textId="77777777" w:rsidTr="00CA15F2">
        <w:tblPrEx>
          <w:tblW w:w="9710" w:type="dxa"/>
          <w:tblLayout w:type="fixed"/>
          <w:tblLook w:val="04A0"/>
        </w:tblPrEx>
        <w:trPr>
          <w:trHeight w:val="924"/>
        </w:trPr>
        <w:tc>
          <w:tcPr>
            <w:tcW w:w="1520" w:type="dxa"/>
            <w:tcBorders>
              <w:top w:val="single" w:sz="4" w:space="0" w:color="000000"/>
              <w:left w:val="single" w:sz="8" w:space="0" w:color="auto"/>
              <w:bottom w:val="single" w:sz="8" w:space="0" w:color="auto"/>
              <w:right w:val="single" w:sz="8" w:space="0" w:color="auto"/>
            </w:tcBorders>
            <w:shd w:val="clear" w:color="D9D9D9" w:fill="D9D9D9"/>
            <w:vAlign w:val="center"/>
            <w:hideMark/>
          </w:tcPr>
          <w:p w:rsidR="00074A49" w:rsidRPr="00CA15F2" w14:paraId="293A4982" w14:textId="77777777">
            <w:pPr>
              <w:rPr>
                <w:rFonts w:ascii="Arial" w:hAnsi="Arial" w:cs="Arial"/>
                <w:color w:val="000000"/>
                <w:sz w:val="16"/>
                <w:szCs w:val="16"/>
              </w:rPr>
            </w:pPr>
            <w:r w:rsidRPr="00CA15F2">
              <w:rPr>
                <w:rFonts w:ascii="Arial" w:hAnsi="Arial" w:cs="Arial"/>
                <w:color w:val="000000"/>
                <w:sz w:val="16"/>
                <w:szCs w:val="16"/>
              </w:rPr>
              <w:t>Direct Component Activity Milestones Report</w:t>
            </w:r>
          </w:p>
        </w:tc>
        <w:tc>
          <w:tcPr>
            <w:tcW w:w="117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3C22CED4" w14:textId="77777777">
            <w:pPr>
              <w:jc w:val="center"/>
              <w:rPr>
                <w:rFonts w:ascii="Arial" w:hAnsi="Arial" w:cs="Arial"/>
                <w:color w:val="000000"/>
                <w:sz w:val="16"/>
                <w:szCs w:val="16"/>
              </w:rPr>
            </w:pPr>
            <w:r w:rsidRPr="00CA15F2">
              <w:rPr>
                <w:rFonts w:ascii="Arial" w:hAnsi="Arial" w:cs="Arial"/>
                <w:color w:val="000000"/>
                <w:sz w:val="16"/>
                <w:szCs w:val="16"/>
              </w:rPr>
              <w:t>47</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1E656340" w14:textId="77777777">
            <w:pPr>
              <w:jc w:val="center"/>
              <w:rPr>
                <w:rFonts w:ascii="Arial" w:hAnsi="Arial" w:cs="Arial"/>
                <w:color w:val="000000"/>
                <w:sz w:val="16"/>
                <w:szCs w:val="16"/>
              </w:rPr>
            </w:pPr>
            <w:r w:rsidRPr="00CA15F2">
              <w:rPr>
                <w:rFonts w:ascii="Arial" w:hAnsi="Arial" w:cs="Arial"/>
                <w:color w:val="000000"/>
                <w:sz w:val="16"/>
                <w:szCs w:val="16"/>
              </w:rPr>
              <w:t>4</w:t>
            </w:r>
          </w:p>
        </w:tc>
        <w:tc>
          <w:tcPr>
            <w:tcW w:w="108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329D45A0" w14:textId="77777777">
            <w:pPr>
              <w:jc w:val="center"/>
              <w:rPr>
                <w:rFonts w:ascii="Arial" w:hAnsi="Arial" w:cs="Arial"/>
                <w:color w:val="000000"/>
                <w:sz w:val="16"/>
                <w:szCs w:val="16"/>
              </w:rPr>
            </w:pPr>
            <w:r w:rsidRPr="00CA15F2">
              <w:rPr>
                <w:rFonts w:ascii="Arial" w:hAnsi="Arial" w:cs="Arial"/>
                <w:color w:val="000000"/>
                <w:sz w:val="16"/>
                <w:szCs w:val="16"/>
              </w:rPr>
              <w:t>188</w:t>
            </w:r>
          </w:p>
        </w:tc>
        <w:tc>
          <w:tcPr>
            <w:tcW w:w="90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5684C784"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99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3EE6FC3A" w14:textId="77777777">
            <w:pPr>
              <w:jc w:val="center"/>
              <w:rPr>
                <w:rFonts w:ascii="Arial" w:hAnsi="Arial" w:cs="Arial"/>
                <w:color w:val="000000"/>
                <w:sz w:val="16"/>
                <w:szCs w:val="16"/>
              </w:rPr>
            </w:pPr>
            <w:r w:rsidRPr="00CA15F2">
              <w:rPr>
                <w:rFonts w:ascii="Arial" w:hAnsi="Arial" w:cs="Arial"/>
                <w:color w:val="000000"/>
                <w:sz w:val="16"/>
                <w:szCs w:val="16"/>
              </w:rPr>
              <w:t>188</w:t>
            </w:r>
          </w:p>
        </w:tc>
        <w:tc>
          <w:tcPr>
            <w:tcW w:w="1260" w:type="dxa"/>
            <w:tcBorders>
              <w:top w:val="single" w:sz="4" w:space="0" w:color="000000"/>
              <w:left w:val="nil"/>
              <w:bottom w:val="single" w:sz="8" w:space="0" w:color="auto"/>
              <w:right w:val="nil"/>
            </w:tcBorders>
            <w:shd w:val="clear" w:color="D9D9D9" w:fill="D9D9D9"/>
            <w:noWrap/>
            <w:vAlign w:val="center"/>
            <w:hideMark/>
          </w:tcPr>
          <w:p w:rsidR="00074A49" w:rsidRPr="00CA15F2" w14:paraId="3E671EC7" w14:textId="77777777">
            <w:pPr>
              <w:jc w:val="center"/>
              <w:rPr>
                <w:rFonts w:ascii="Arial" w:hAnsi="Arial" w:cs="Arial"/>
                <w:color w:val="000000"/>
                <w:sz w:val="16"/>
                <w:szCs w:val="16"/>
              </w:rPr>
            </w:pPr>
            <w:r w:rsidRPr="00CA15F2">
              <w:rPr>
                <w:rFonts w:ascii="Arial" w:hAnsi="Arial" w:cs="Arial"/>
                <w:color w:val="000000"/>
                <w:sz w:val="16"/>
                <w:szCs w:val="16"/>
              </w:rPr>
              <w:t xml:space="preserve">$9,400 </w:t>
            </w:r>
          </w:p>
        </w:tc>
        <w:tc>
          <w:tcPr>
            <w:tcW w:w="1620" w:type="dxa"/>
            <w:tcBorders>
              <w:top w:val="single" w:sz="8" w:space="0" w:color="auto"/>
              <w:left w:val="single" w:sz="8" w:space="0" w:color="auto"/>
              <w:bottom w:val="single" w:sz="8" w:space="0" w:color="auto"/>
              <w:right w:val="single" w:sz="8" w:space="0" w:color="auto"/>
            </w:tcBorders>
            <w:shd w:val="clear" w:color="D9D9D9" w:fill="D9D9D9"/>
            <w:vAlign w:val="center"/>
            <w:hideMark/>
          </w:tcPr>
          <w:p w:rsidR="00074A49" w:rsidRPr="00CA15F2" w14:paraId="15148CBD" w14:textId="6615C80E">
            <w:pPr>
              <w:rPr>
                <w:rFonts w:ascii="Arial" w:hAnsi="Arial" w:cs="Arial"/>
                <w:color w:val="000000"/>
                <w:sz w:val="16"/>
                <w:szCs w:val="16"/>
              </w:rPr>
            </w:pPr>
            <w:r w:rsidRPr="00CA15F2">
              <w:rPr>
                <w:rFonts w:ascii="Arial" w:hAnsi="Arial" w:cs="Arial"/>
                <w:color w:val="000000"/>
                <w:sz w:val="16"/>
                <w:szCs w:val="16"/>
              </w:rPr>
              <w:t>There are an average of 2 active Direct Component Awards per eligible entity; reports submitted semi-annually</w:t>
            </w:r>
            <w:r w:rsidRPr="00CA15F2" w:rsidR="00231937">
              <w:rPr>
                <w:rFonts w:ascii="Arial" w:hAnsi="Arial" w:cs="Arial"/>
                <w:color w:val="000000"/>
                <w:sz w:val="16"/>
                <w:szCs w:val="16"/>
              </w:rPr>
              <w:t>.</w:t>
            </w:r>
          </w:p>
        </w:tc>
      </w:tr>
      <w:tr w14:paraId="5CEEBB3F" w14:textId="77777777" w:rsidTr="00CA15F2">
        <w:tblPrEx>
          <w:tblW w:w="9710" w:type="dxa"/>
          <w:tblLayout w:type="fixed"/>
          <w:tblLook w:val="04A0"/>
        </w:tblPrEx>
        <w:trPr>
          <w:trHeight w:val="1035"/>
        </w:trPr>
        <w:tc>
          <w:tcPr>
            <w:tcW w:w="1520" w:type="dxa"/>
            <w:tcBorders>
              <w:top w:val="single" w:sz="4" w:space="0" w:color="000000"/>
              <w:left w:val="single" w:sz="8" w:space="0" w:color="auto"/>
              <w:bottom w:val="single" w:sz="8" w:space="0" w:color="auto"/>
              <w:right w:val="single" w:sz="8" w:space="0" w:color="auto"/>
            </w:tcBorders>
            <w:shd w:val="clear" w:color="auto" w:fill="auto"/>
            <w:vAlign w:val="center"/>
            <w:hideMark/>
          </w:tcPr>
          <w:p w:rsidR="00074A49" w:rsidRPr="00CA15F2" w14:paraId="406E9B71" w14:textId="77777777">
            <w:pPr>
              <w:rPr>
                <w:rFonts w:ascii="Arial" w:hAnsi="Arial" w:cs="Arial"/>
                <w:color w:val="000000"/>
                <w:sz w:val="16"/>
                <w:szCs w:val="16"/>
              </w:rPr>
            </w:pPr>
            <w:r w:rsidRPr="00CA15F2">
              <w:rPr>
                <w:rFonts w:ascii="Arial" w:hAnsi="Arial" w:cs="Arial"/>
                <w:color w:val="000000"/>
                <w:sz w:val="16"/>
                <w:szCs w:val="16"/>
              </w:rPr>
              <w:t>Direct Component Activity Status of Performance Report</w:t>
            </w:r>
          </w:p>
        </w:tc>
        <w:tc>
          <w:tcPr>
            <w:tcW w:w="117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6E4E17AA" w14:textId="77777777">
            <w:pPr>
              <w:jc w:val="center"/>
              <w:rPr>
                <w:rFonts w:ascii="Arial" w:hAnsi="Arial" w:cs="Arial"/>
                <w:color w:val="000000"/>
                <w:sz w:val="16"/>
                <w:szCs w:val="16"/>
              </w:rPr>
            </w:pPr>
            <w:r w:rsidRPr="00CA15F2">
              <w:rPr>
                <w:rFonts w:ascii="Arial" w:hAnsi="Arial" w:cs="Arial"/>
                <w:color w:val="000000"/>
                <w:sz w:val="16"/>
                <w:szCs w:val="16"/>
              </w:rPr>
              <w:t>47</w:t>
            </w:r>
          </w:p>
        </w:tc>
        <w:tc>
          <w:tcPr>
            <w:tcW w:w="117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44EEB7E3" w14:textId="77777777">
            <w:pPr>
              <w:jc w:val="center"/>
              <w:rPr>
                <w:rFonts w:ascii="Arial" w:hAnsi="Arial" w:cs="Arial"/>
                <w:color w:val="000000"/>
                <w:sz w:val="16"/>
                <w:szCs w:val="16"/>
              </w:rPr>
            </w:pPr>
            <w:r w:rsidRPr="00CA15F2">
              <w:rPr>
                <w:rFonts w:ascii="Arial" w:hAnsi="Arial" w:cs="Arial"/>
                <w:color w:val="000000"/>
                <w:sz w:val="16"/>
                <w:szCs w:val="16"/>
              </w:rPr>
              <w:t>4</w:t>
            </w:r>
          </w:p>
        </w:tc>
        <w:tc>
          <w:tcPr>
            <w:tcW w:w="108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1511654C" w14:textId="77777777">
            <w:pPr>
              <w:jc w:val="center"/>
              <w:rPr>
                <w:rFonts w:ascii="Arial" w:hAnsi="Arial" w:cs="Arial"/>
                <w:color w:val="000000"/>
                <w:sz w:val="16"/>
                <w:szCs w:val="16"/>
              </w:rPr>
            </w:pPr>
            <w:r w:rsidRPr="00CA15F2">
              <w:rPr>
                <w:rFonts w:ascii="Arial" w:hAnsi="Arial" w:cs="Arial"/>
                <w:color w:val="000000"/>
                <w:sz w:val="16"/>
                <w:szCs w:val="16"/>
              </w:rPr>
              <w:t>188</w:t>
            </w:r>
          </w:p>
        </w:tc>
        <w:tc>
          <w:tcPr>
            <w:tcW w:w="90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5767C251"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99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42966F9F" w14:textId="77777777">
            <w:pPr>
              <w:jc w:val="center"/>
              <w:rPr>
                <w:rFonts w:ascii="Arial" w:hAnsi="Arial" w:cs="Arial"/>
                <w:color w:val="000000"/>
                <w:sz w:val="16"/>
                <w:szCs w:val="16"/>
              </w:rPr>
            </w:pPr>
            <w:r w:rsidRPr="00CA15F2">
              <w:rPr>
                <w:rFonts w:ascii="Arial" w:hAnsi="Arial" w:cs="Arial"/>
                <w:color w:val="000000"/>
                <w:sz w:val="16"/>
                <w:szCs w:val="16"/>
              </w:rPr>
              <w:t>188</w:t>
            </w:r>
          </w:p>
        </w:tc>
        <w:tc>
          <w:tcPr>
            <w:tcW w:w="1260" w:type="dxa"/>
            <w:tcBorders>
              <w:top w:val="single" w:sz="4" w:space="0" w:color="000000"/>
              <w:left w:val="nil"/>
              <w:bottom w:val="single" w:sz="8" w:space="0" w:color="auto"/>
              <w:right w:val="nil"/>
            </w:tcBorders>
            <w:shd w:val="clear" w:color="auto" w:fill="auto"/>
            <w:noWrap/>
            <w:vAlign w:val="center"/>
            <w:hideMark/>
          </w:tcPr>
          <w:p w:rsidR="00074A49" w:rsidRPr="00CA15F2" w14:paraId="20450A92" w14:textId="77777777">
            <w:pPr>
              <w:jc w:val="center"/>
              <w:rPr>
                <w:rFonts w:ascii="Arial" w:hAnsi="Arial" w:cs="Arial"/>
                <w:color w:val="000000"/>
                <w:sz w:val="16"/>
                <w:szCs w:val="16"/>
              </w:rPr>
            </w:pPr>
            <w:r w:rsidRPr="00CA15F2">
              <w:rPr>
                <w:rFonts w:ascii="Arial" w:hAnsi="Arial" w:cs="Arial"/>
                <w:color w:val="000000"/>
                <w:sz w:val="16"/>
                <w:szCs w:val="16"/>
              </w:rPr>
              <w:t xml:space="preserve">$9,400 </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4A49" w:rsidRPr="00CA15F2" w14:paraId="13B3346B" w14:textId="6CA8B419">
            <w:pPr>
              <w:rPr>
                <w:rFonts w:ascii="Arial" w:hAnsi="Arial" w:cs="Arial"/>
                <w:color w:val="000000"/>
                <w:sz w:val="16"/>
                <w:szCs w:val="16"/>
              </w:rPr>
            </w:pPr>
            <w:r w:rsidRPr="00CA15F2">
              <w:rPr>
                <w:rFonts w:ascii="Arial" w:hAnsi="Arial" w:cs="Arial"/>
                <w:color w:val="000000"/>
                <w:sz w:val="16"/>
                <w:szCs w:val="16"/>
              </w:rPr>
              <w:t>There are an average of 2 active Direct Component Awards per eligible entity; reports submitted semi-annually</w:t>
            </w:r>
            <w:r w:rsidRPr="00CA15F2" w:rsidR="00231937">
              <w:rPr>
                <w:rFonts w:ascii="Arial" w:hAnsi="Arial" w:cs="Arial"/>
                <w:color w:val="000000"/>
                <w:sz w:val="16"/>
                <w:szCs w:val="16"/>
              </w:rPr>
              <w:t>.</w:t>
            </w:r>
          </w:p>
        </w:tc>
      </w:tr>
      <w:tr w14:paraId="470C79B6" w14:textId="77777777" w:rsidTr="00CA15F2">
        <w:tblPrEx>
          <w:tblW w:w="9710" w:type="dxa"/>
          <w:tblLayout w:type="fixed"/>
          <w:tblLook w:val="04A0"/>
        </w:tblPrEx>
        <w:trPr>
          <w:trHeight w:val="1065"/>
        </w:trPr>
        <w:tc>
          <w:tcPr>
            <w:tcW w:w="1520" w:type="dxa"/>
            <w:tcBorders>
              <w:top w:val="single" w:sz="4" w:space="0" w:color="000000"/>
              <w:left w:val="single" w:sz="8" w:space="0" w:color="auto"/>
              <w:bottom w:val="single" w:sz="8" w:space="0" w:color="auto"/>
              <w:right w:val="single" w:sz="8" w:space="0" w:color="auto"/>
            </w:tcBorders>
            <w:shd w:val="clear" w:color="D9D9D9" w:fill="D9D9D9"/>
            <w:vAlign w:val="center"/>
            <w:hideMark/>
          </w:tcPr>
          <w:p w:rsidR="00074A49" w:rsidRPr="00CA15F2" w14:paraId="4D923993" w14:textId="77777777">
            <w:pPr>
              <w:rPr>
                <w:rFonts w:ascii="Arial" w:hAnsi="Arial" w:cs="Arial"/>
                <w:color w:val="000000"/>
                <w:sz w:val="16"/>
                <w:szCs w:val="16"/>
              </w:rPr>
            </w:pPr>
            <w:r w:rsidRPr="00CA15F2">
              <w:rPr>
                <w:rFonts w:ascii="Arial" w:hAnsi="Arial" w:cs="Arial"/>
                <w:color w:val="000000"/>
                <w:sz w:val="16"/>
                <w:szCs w:val="16"/>
              </w:rPr>
              <w:t>Centers of Excellence Research Grants Program Activity Milestones Report</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7DB7A67F" w14:textId="77777777">
            <w:pPr>
              <w:jc w:val="center"/>
              <w:rPr>
                <w:rFonts w:ascii="Arial" w:hAnsi="Arial" w:cs="Arial"/>
                <w:color w:val="000000"/>
                <w:sz w:val="16"/>
                <w:szCs w:val="16"/>
              </w:rPr>
            </w:pPr>
            <w:r w:rsidRPr="00CA15F2">
              <w:rPr>
                <w:rFonts w:ascii="Arial" w:hAnsi="Arial" w:cs="Arial"/>
                <w:color w:val="000000"/>
                <w:sz w:val="16"/>
                <w:szCs w:val="16"/>
              </w:rPr>
              <w:t>5</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097B5E23" w14:textId="77777777">
            <w:pPr>
              <w:jc w:val="center"/>
              <w:rPr>
                <w:rFonts w:ascii="Arial" w:hAnsi="Arial" w:cs="Arial"/>
                <w:color w:val="000000"/>
                <w:sz w:val="16"/>
                <w:szCs w:val="16"/>
              </w:rPr>
            </w:pPr>
            <w:r w:rsidRPr="00CA15F2">
              <w:rPr>
                <w:rFonts w:ascii="Arial" w:hAnsi="Arial" w:cs="Arial"/>
                <w:color w:val="000000"/>
                <w:sz w:val="16"/>
                <w:szCs w:val="16"/>
              </w:rPr>
              <w:t>2</w:t>
            </w:r>
          </w:p>
        </w:tc>
        <w:tc>
          <w:tcPr>
            <w:tcW w:w="108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5CD70BE7" w14:textId="77777777">
            <w:pPr>
              <w:jc w:val="center"/>
              <w:rPr>
                <w:rFonts w:ascii="Arial" w:hAnsi="Arial" w:cs="Arial"/>
                <w:color w:val="000000"/>
                <w:sz w:val="16"/>
                <w:szCs w:val="16"/>
              </w:rPr>
            </w:pPr>
            <w:r w:rsidRPr="00CA15F2">
              <w:rPr>
                <w:rFonts w:ascii="Arial" w:hAnsi="Arial" w:cs="Arial"/>
                <w:color w:val="000000"/>
                <w:sz w:val="16"/>
                <w:szCs w:val="16"/>
              </w:rPr>
              <w:t>10</w:t>
            </w:r>
          </w:p>
        </w:tc>
        <w:tc>
          <w:tcPr>
            <w:tcW w:w="90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40F076AF"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99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6405E247" w14:textId="77777777">
            <w:pPr>
              <w:jc w:val="center"/>
              <w:rPr>
                <w:rFonts w:ascii="Arial" w:hAnsi="Arial" w:cs="Arial"/>
                <w:color w:val="000000"/>
                <w:sz w:val="16"/>
                <w:szCs w:val="16"/>
              </w:rPr>
            </w:pPr>
            <w:r w:rsidRPr="00CA15F2">
              <w:rPr>
                <w:rFonts w:ascii="Arial" w:hAnsi="Arial" w:cs="Arial"/>
                <w:color w:val="000000"/>
                <w:sz w:val="16"/>
                <w:szCs w:val="16"/>
              </w:rPr>
              <w:t>10</w:t>
            </w:r>
          </w:p>
        </w:tc>
        <w:tc>
          <w:tcPr>
            <w:tcW w:w="1260" w:type="dxa"/>
            <w:tcBorders>
              <w:top w:val="single" w:sz="4" w:space="0" w:color="000000"/>
              <w:left w:val="nil"/>
              <w:bottom w:val="single" w:sz="8" w:space="0" w:color="auto"/>
              <w:right w:val="nil"/>
            </w:tcBorders>
            <w:shd w:val="clear" w:color="D9D9D9" w:fill="D9D9D9"/>
            <w:noWrap/>
            <w:vAlign w:val="center"/>
            <w:hideMark/>
          </w:tcPr>
          <w:p w:rsidR="00074A49" w:rsidRPr="00CA15F2" w14:paraId="50C69B4E" w14:textId="77777777">
            <w:pPr>
              <w:jc w:val="center"/>
              <w:rPr>
                <w:rFonts w:ascii="Arial" w:hAnsi="Arial" w:cs="Arial"/>
                <w:color w:val="000000"/>
                <w:sz w:val="16"/>
                <w:szCs w:val="16"/>
              </w:rPr>
            </w:pPr>
            <w:r w:rsidRPr="00CA15F2">
              <w:rPr>
                <w:rFonts w:ascii="Arial" w:hAnsi="Arial" w:cs="Arial"/>
                <w:color w:val="000000"/>
                <w:sz w:val="16"/>
                <w:szCs w:val="16"/>
              </w:rPr>
              <w:t xml:space="preserve">$500 </w:t>
            </w:r>
          </w:p>
        </w:tc>
        <w:tc>
          <w:tcPr>
            <w:tcW w:w="1620" w:type="dxa"/>
            <w:tcBorders>
              <w:top w:val="single" w:sz="8" w:space="0" w:color="auto"/>
              <w:left w:val="single" w:sz="8" w:space="0" w:color="auto"/>
              <w:bottom w:val="single" w:sz="8" w:space="0" w:color="auto"/>
              <w:right w:val="single" w:sz="8" w:space="0" w:color="auto"/>
            </w:tcBorders>
            <w:shd w:val="clear" w:color="D9D9D9" w:fill="D9D9D9"/>
            <w:vAlign w:val="center"/>
            <w:hideMark/>
          </w:tcPr>
          <w:p w:rsidR="00074A49" w:rsidRPr="00CA15F2" w14:paraId="6E40CD2F" w14:textId="776DDDF8">
            <w:pPr>
              <w:rPr>
                <w:rFonts w:ascii="Arial" w:hAnsi="Arial" w:cs="Arial"/>
                <w:color w:val="000000"/>
                <w:sz w:val="16"/>
                <w:szCs w:val="16"/>
              </w:rPr>
            </w:pPr>
            <w:r w:rsidRPr="00CA15F2">
              <w:rPr>
                <w:rFonts w:ascii="Arial" w:hAnsi="Arial" w:cs="Arial"/>
                <w:color w:val="000000"/>
                <w:sz w:val="16"/>
                <w:szCs w:val="16"/>
              </w:rPr>
              <w:t>There are 5 active Centers of Excellence</w:t>
            </w:r>
            <w:r w:rsidR="00B46CC0">
              <w:rPr>
                <w:rFonts w:ascii="Arial" w:hAnsi="Arial" w:cs="Arial"/>
                <w:color w:val="000000"/>
                <w:sz w:val="16"/>
                <w:szCs w:val="16"/>
              </w:rPr>
              <w:t xml:space="preserve"> Research Grants Program</w:t>
            </w:r>
            <w:r w:rsidRPr="00CA15F2">
              <w:rPr>
                <w:rFonts w:ascii="Arial" w:hAnsi="Arial" w:cs="Arial"/>
                <w:color w:val="000000"/>
                <w:sz w:val="16"/>
                <w:szCs w:val="16"/>
              </w:rPr>
              <w:t xml:space="preserve"> Awards; reports submitted semi-annually</w:t>
            </w:r>
            <w:r w:rsidRPr="00CA15F2" w:rsidR="00231937">
              <w:rPr>
                <w:rFonts w:ascii="Arial" w:hAnsi="Arial" w:cs="Arial"/>
                <w:color w:val="000000"/>
                <w:sz w:val="16"/>
                <w:szCs w:val="16"/>
              </w:rPr>
              <w:t>.</w:t>
            </w:r>
          </w:p>
        </w:tc>
      </w:tr>
      <w:tr w14:paraId="4E4913B0" w14:textId="77777777" w:rsidTr="00CA15F2">
        <w:tblPrEx>
          <w:tblW w:w="9710" w:type="dxa"/>
          <w:tblLayout w:type="fixed"/>
          <w:tblLook w:val="04A0"/>
        </w:tblPrEx>
        <w:trPr>
          <w:trHeight w:val="924"/>
        </w:trPr>
        <w:tc>
          <w:tcPr>
            <w:tcW w:w="1520" w:type="dxa"/>
            <w:tcBorders>
              <w:top w:val="single" w:sz="4" w:space="0" w:color="000000"/>
              <w:left w:val="single" w:sz="8" w:space="0" w:color="auto"/>
              <w:bottom w:val="single" w:sz="4" w:space="0" w:color="000000"/>
              <w:right w:val="single" w:sz="8" w:space="0" w:color="auto"/>
            </w:tcBorders>
            <w:shd w:val="clear" w:color="auto" w:fill="auto"/>
            <w:vAlign w:val="center"/>
            <w:hideMark/>
          </w:tcPr>
          <w:p w:rsidR="00074A49" w:rsidRPr="00CA15F2" w14:paraId="44A61BDA" w14:textId="77777777">
            <w:pPr>
              <w:rPr>
                <w:rFonts w:ascii="Arial" w:hAnsi="Arial" w:cs="Arial"/>
                <w:color w:val="000000"/>
                <w:sz w:val="16"/>
                <w:szCs w:val="16"/>
              </w:rPr>
            </w:pPr>
            <w:r w:rsidRPr="00CA15F2">
              <w:rPr>
                <w:rFonts w:ascii="Arial" w:hAnsi="Arial" w:cs="Arial"/>
                <w:color w:val="000000"/>
                <w:sz w:val="16"/>
                <w:szCs w:val="16"/>
              </w:rPr>
              <w:t>Centers of Excellence Research Grants Program Status of Performance Report</w:t>
            </w:r>
          </w:p>
        </w:tc>
        <w:tc>
          <w:tcPr>
            <w:tcW w:w="117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338740C7" w14:textId="77777777">
            <w:pPr>
              <w:jc w:val="center"/>
              <w:rPr>
                <w:rFonts w:ascii="Arial" w:hAnsi="Arial" w:cs="Arial"/>
                <w:color w:val="000000"/>
                <w:sz w:val="16"/>
                <w:szCs w:val="16"/>
              </w:rPr>
            </w:pPr>
            <w:r w:rsidRPr="00CA15F2">
              <w:rPr>
                <w:rFonts w:ascii="Arial" w:hAnsi="Arial" w:cs="Arial"/>
                <w:color w:val="000000"/>
                <w:sz w:val="16"/>
                <w:szCs w:val="16"/>
              </w:rPr>
              <w:t>5</w:t>
            </w:r>
          </w:p>
        </w:tc>
        <w:tc>
          <w:tcPr>
            <w:tcW w:w="117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66CCF02D" w14:textId="77777777">
            <w:pPr>
              <w:jc w:val="center"/>
              <w:rPr>
                <w:rFonts w:ascii="Arial" w:hAnsi="Arial" w:cs="Arial"/>
                <w:color w:val="000000"/>
                <w:sz w:val="16"/>
                <w:szCs w:val="16"/>
              </w:rPr>
            </w:pPr>
            <w:r w:rsidRPr="00CA15F2">
              <w:rPr>
                <w:rFonts w:ascii="Arial" w:hAnsi="Arial" w:cs="Arial"/>
                <w:color w:val="000000"/>
                <w:sz w:val="16"/>
                <w:szCs w:val="16"/>
              </w:rPr>
              <w:t>2</w:t>
            </w:r>
          </w:p>
        </w:tc>
        <w:tc>
          <w:tcPr>
            <w:tcW w:w="108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5F26DF0A" w14:textId="77777777">
            <w:pPr>
              <w:jc w:val="center"/>
              <w:rPr>
                <w:rFonts w:ascii="Arial" w:hAnsi="Arial" w:cs="Arial"/>
                <w:color w:val="000000"/>
                <w:sz w:val="16"/>
                <w:szCs w:val="16"/>
              </w:rPr>
            </w:pPr>
            <w:r w:rsidRPr="00CA15F2">
              <w:rPr>
                <w:rFonts w:ascii="Arial" w:hAnsi="Arial" w:cs="Arial"/>
                <w:color w:val="000000"/>
                <w:sz w:val="16"/>
                <w:szCs w:val="16"/>
              </w:rPr>
              <w:t>10</w:t>
            </w:r>
          </w:p>
        </w:tc>
        <w:tc>
          <w:tcPr>
            <w:tcW w:w="90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714763AA"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74A49" w:rsidRPr="00CA15F2" w14:paraId="5AC75336" w14:textId="77777777">
            <w:pPr>
              <w:jc w:val="center"/>
              <w:rPr>
                <w:rFonts w:ascii="Arial" w:hAnsi="Arial" w:cs="Arial"/>
                <w:color w:val="000000"/>
                <w:sz w:val="16"/>
                <w:szCs w:val="16"/>
              </w:rPr>
            </w:pPr>
            <w:r w:rsidRPr="00CA15F2">
              <w:rPr>
                <w:rFonts w:ascii="Arial" w:hAnsi="Arial" w:cs="Arial"/>
                <w:color w:val="000000"/>
                <w:sz w:val="16"/>
                <w:szCs w:val="16"/>
              </w:rPr>
              <w:t>10</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74A49" w:rsidRPr="00CA15F2" w14:paraId="2BD03288" w14:textId="77777777">
            <w:pPr>
              <w:jc w:val="center"/>
              <w:rPr>
                <w:rFonts w:ascii="Arial" w:hAnsi="Arial" w:cs="Arial"/>
                <w:color w:val="000000"/>
                <w:sz w:val="16"/>
                <w:szCs w:val="16"/>
              </w:rPr>
            </w:pPr>
            <w:r w:rsidRPr="00CA15F2">
              <w:rPr>
                <w:rFonts w:ascii="Arial" w:hAnsi="Arial" w:cs="Arial"/>
                <w:color w:val="000000"/>
                <w:sz w:val="16"/>
                <w:szCs w:val="16"/>
              </w:rPr>
              <w:t xml:space="preserve">$500 </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4A49" w:rsidRPr="00CA15F2" w14:paraId="6D2F652B" w14:textId="5102847E">
            <w:pPr>
              <w:rPr>
                <w:rFonts w:ascii="Arial" w:hAnsi="Arial" w:cs="Arial"/>
                <w:color w:val="000000"/>
                <w:sz w:val="16"/>
                <w:szCs w:val="16"/>
              </w:rPr>
            </w:pPr>
            <w:r w:rsidRPr="00CA15F2">
              <w:rPr>
                <w:rFonts w:ascii="Arial" w:hAnsi="Arial" w:cs="Arial"/>
                <w:color w:val="000000"/>
                <w:sz w:val="16"/>
                <w:szCs w:val="16"/>
              </w:rPr>
              <w:t xml:space="preserve">There are 5 active Centers of Excellence </w:t>
            </w:r>
            <w:r w:rsidR="00B46CC0">
              <w:rPr>
                <w:rFonts w:ascii="Arial" w:hAnsi="Arial" w:cs="Arial"/>
                <w:color w:val="000000"/>
                <w:sz w:val="16"/>
                <w:szCs w:val="16"/>
              </w:rPr>
              <w:t xml:space="preserve">Research Grants Program </w:t>
            </w:r>
            <w:r w:rsidRPr="00CA15F2">
              <w:rPr>
                <w:rFonts w:ascii="Arial" w:hAnsi="Arial" w:cs="Arial"/>
                <w:color w:val="000000"/>
                <w:sz w:val="16"/>
                <w:szCs w:val="16"/>
              </w:rPr>
              <w:t>Awards; reports submitted semi-annually</w:t>
            </w:r>
            <w:r w:rsidRPr="00CA15F2" w:rsidR="00231937">
              <w:rPr>
                <w:rFonts w:ascii="Arial" w:hAnsi="Arial" w:cs="Arial"/>
                <w:color w:val="000000"/>
                <w:sz w:val="16"/>
                <w:szCs w:val="16"/>
              </w:rPr>
              <w:t>.</w:t>
            </w:r>
          </w:p>
        </w:tc>
      </w:tr>
      <w:tr w14:paraId="4701DA35" w14:textId="77777777" w:rsidTr="00CA15F2">
        <w:tblPrEx>
          <w:tblW w:w="9710" w:type="dxa"/>
          <w:tblLayout w:type="fixed"/>
          <w:tblLook w:val="04A0"/>
        </w:tblPrEx>
        <w:trPr>
          <w:trHeight w:val="915"/>
        </w:trPr>
        <w:tc>
          <w:tcPr>
            <w:tcW w:w="1520" w:type="dxa"/>
            <w:tcBorders>
              <w:top w:val="single" w:sz="8" w:space="0" w:color="auto"/>
              <w:left w:val="single" w:sz="8" w:space="0" w:color="auto"/>
              <w:bottom w:val="single" w:sz="8" w:space="0" w:color="auto"/>
              <w:right w:val="single" w:sz="8" w:space="0" w:color="auto"/>
            </w:tcBorders>
            <w:shd w:val="clear" w:color="D9D9D9" w:fill="D9D9D9"/>
            <w:vAlign w:val="bottom"/>
            <w:hideMark/>
          </w:tcPr>
          <w:p w:rsidR="00074A49" w:rsidRPr="00CA15F2" w14:paraId="64852485" w14:textId="77777777">
            <w:pPr>
              <w:rPr>
                <w:rFonts w:ascii="Arial" w:hAnsi="Arial" w:cs="Arial"/>
                <w:color w:val="000000"/>
                <w:sz w:val="16"/>
                <w:szCs w:val="16"/>
              </w:rPr>
            </w:pPr>
            <w:r w:rsidRPr="00CA15F2">
              <w:rPr>
                <w:rFonts w:ascii="Arial" w:hAnsi="Arial" w:cs="Arial"/>
                <w:color w:val="000000"/>
                <w:sz w:val="16"/>
                <w:szCs w:val="16"/>
              </w:rPr>
              <w:t xml:space="preserve">Notice to Proceed with Construction Checklist </w:t>
            </w:r>
          </w:p>
        </w:tc>
        <w:tc>
          <w:tcPr>
            <w:tcW w:w="117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074A49" w:rsidRPr="00CA15F2" w14:paraId="62D6FD7F" w14:textId="77777777">
            <w:pPr>
              <w:jc w:val="center"/>
              <w:rPr>
                <w:rFonts w:ascii="Arial" w:hAnsi="Arial" w:cs="Arial"/>
                <w:color w:val="000000"/>
                <w:sz w:val="16"/>
                <w:szCs w:val="16"/>
              </w:rPr>
            </w:pPr>
            <w:r w:rsidRPr="00CA15F2">
              <w:rPr>
                <w:rFonts w:ascii="Arial" w:hAnsi="Arial" w:cs="Arial"/>
                <w:color w:val="000000"/>
                <w:sz w:val="16"/>
                <w:szCs w:val="16"/>
              </w:rPr>
              <w:t>47</w:t>
            </w:r>
          </w:p>
        </w:tc>
        <w:tc>
          <w:tcPr>
            <w:tcW w:w="117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074A49" w:rsidRPr="00CA15F2" w14:paraId="6CC7E2A7"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108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074A49" w:rsidRPr="00CA15F2" w14:paraId="4B4F01A0" w14:textId="77777777">
            <w:pPr>
              <w:jc w:val="center"/>
              <w:rPr>
                <w:rFonts w:ascii="Arial" w:hAnsi="Arial" w:cs="Arial"/>
                <w:color w:val="000000"/>
                <w:sz w:val="16"/>
                <w:szCs w:val="16"/>
              </w:rPr>
            </w:pPr>
            <w:r w:rsidRPr="00CA15F2">
              <w:rPr>
                <w:rFonts w:ascii="Arial" w:hAnsi="Arial" w:cs="Arial"/>
                <w:color w:val="000000"/>
                <w:sz w:val="16"/>
                <w:szCs w:val="16"/>
              </w:rPr>
              <w:t>13</w:t>
            </w:r>
          </w:p>
        </w:tc>
        <w:tc>
          <w:tcPr>
            <w:tcW w:w="90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074A49" w:rsidRPr="00CA15F2" w14:paraId="30FE32C3" w14:textId="77777777">
            <w:pPr>
              <w:jc w:val="center"/>
              <w:rPr>
                <w:rFonts w:ascii="Arial" w:hAnsi="Arial" w:cs="Arial"/>
                <w:color w:val="000000"/>
                <w:sz w:val="16"/>
                <w:szCs w:val="16"/>
              </w:rPr>
            </w:pPr>
            <w:r w:rsidRPr="00CA15F2">
              <w:rPr>
                <w:rFonts w:ascii="Arial" w:hAnsi="Arial" w:cs="Arial"/>
                <w:color w:val="000000"/>
                <w:sz w:val="16"/>
                <w:szCs w:val="16"/>
              </w:rPr>
              <w:t>2</w:t>
            </w:r>
          </w:p>
        </w:tc>
        <w:tc>
          <w:tcPr>
            <w:tcW w:w="99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074A49" w:rsidRPr="00CA15F2" w14:paraId="22EE424D" w14:textId="77777777">
            <w:pPr>
              <w:jc w:val="center"/>
              <w:rPr>
                <w:rFonts w:ascii="Arial" w:hAnsi="Arial" w:cs="Arial"/>
                <w:color w:val="000000"/>
                <w:sz w:val="16"/>
                <w:szCs w:val="16"/>
              </w:rPr>
            </w:pPr>
            <w:r w:rsidRPr="00CA15F2">
              <w:rPr>
                <w:rFonts w:ascii="Arial" w:hAnsi="Arial" w:cs="Arial"/>
                <w:color w:val="000000"/>
                <w:sz w:val="16"/>
                <w:szCs w:val="16"/>
              </w:rPr>
              <w:t>26</w:t>
            </w:r>
          </w:p>
        </w:tc>
        <w:tc>
          <w:tcPr>
            <w:tcW w:w="126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074A49" w:rsidRPr="00CA15F2" w14:paraId="2972472F" w14:textId="77777777">
            <w:pPr>
              <w:jc w:val="center"/>
              <w:rPr>
                <w:rFonts w:ascii="Arial" w:hAnsi="Arial" w:cs="Arial"/>
                <w:color w:val="000000"/>
                <w:sz w:val="16"/>
                <w:szCs w:val="16"/>
              </w:rPr>
            </w:pPr>
            <w:r w:rsidRPr="00CA15F2">
              <w:rPr>
                <w:rFonts w:ascii="Arial" w:hAnsi="Arial" w:cs="Arial"/>
                <w:color w:val="000000"/>
                <w:sz w:val="16"/>
                <w:szCs w:val="16"/>
              </w:rPr>
              <w:t xml:space="preserve">$1,300 </w:t>
            </w:r>
          </w:p>
        </w:tc>
        <w:tc>
          <w:tcPr>
            <w:tcW w:w="1620" w:type="dxa"/>
            <w:tcBorders>
              <w:top w:val="single" w:sz="8" w:space="0" w:color="auto"/>
              <w:left w:val="single" w:sz="8" w:space="0" w:color="auto"/>
              <w:bottom w:val="single" w:sz="8" w:space="0" w:color="auto"/>
              <w:right w:val="single" w:sz="8" w:space="0" w:color="auto"/>
            </w:tcBorders>
            <w:shd w:val="clear" w:color="D9D9D9" w:fill="D9D9D9"/>
            <w:vAlign w:val="center"/>
            <w:hideMark/>
          </w:tcPr>
          <w:p w:rsidR="00074A49" w:rsidRPr="00CA15F2" w14:paraId="2021AD4B" w14:textId="5B56D88C">
            <w:pPr>
              <w:rPr>
                <w:rFonts w:ascii="Arial" w:hAnsi="Arial" w:cs="Arial"/>
                <w:color w:val="000000"/>
                <w:sz w:val="16"/>
                <w:szCs w:val="16"/>
              </w:rPr>
            </w:pPr>
            <w:r w:rsidRPr="00CA15F2">
              <w:rPr>
                <w:rFonts w:ascii="Arial" w:hAnsi="Arial" w:cs="Arial"/>
                <w:color w:val="000000"/>
                <w:sz w:val="16"/>
                <w:szCs w:val="16"/>
              </w:rPr>
              <w:t>There were 13 Notices to Proceed</w:t>
            </w:r>
            <w:r w:rsidR="00B46CC0">
              <w:rPr>
                <w:rFonts w:ascii="Arial" w:hAnsi="Arial" w:cs="Arial"/>
                <w:color w:val="000000"/>
                <w:sz w:val="16"/>
                <w:szCs w:val="16"/>
              </w:rPr>
              <w:t xml:space="preserve"> with construction</w:t>
            </w:r>
            <w:r w:rsidRPr="00CA15F2">
              <w:rPr>
                <w:rFonts w:ascii="Arial" w:hAnsi="Arial" w:cs="Arial"/>
                <w:color w:val="000000"/>
                <w:sz w:val="16"/>
                <w:szCs w:val="16"/>
              </w:rPr>
              <w:t xml:space="preserve"> processed in FY21</w:t>
            </w:r>
            <w:r w:rsidRPr="00CA15F2" w:rsidR="00231937">
              <w:rPr>
                <w:rFonts w:ascii="Arial" w:hAnsi="Arial" w:cs="Arial"/>
                <w:color w:val="000000"/>
                <w:sz w:val="16"/>
                <w:szCs w:val="16"/>
              </w:rPr>
              <w:t>.</w:t>
            </w:r>
          </w:p>
        </w:tc>
      </w:tr>
      <w:tr w14:paraId="47F9ECA1" w14:textId="77777777" w:rsidTr="0090217F">
        <w:tblPrEx>
          <w:tblW w:w="9710" w:type="dxa"/>
          <w:tblLayout w:type="fixed"/>
          <w:tblLook w:val="04A0"/>
        </w:tblPrEx>
        <w:trPr>
          <w:trHeight w:val="915"/>
        </w:trPr>
        <w:tc>
          <w:tcPr>
            <w:tcW w:w="1520" w:type="dxa"/>
            <w:tcBorders>
              <w:top w:val="single" w:sz="8" w:space="0" w:color="auto"/>
              <w:left w:val="single" w:sz="8" w:space="0" w:color="auto"/>
              <w:bottom w:val="single" w:sz="8" w:space="0" w:color="auto"/>
              <w:right w:val="single" w:sz="8" w:space="0" w:color="auto"/>
            </w:tcBorders>
            <w:shd w:val="clear" w:color="D9D9D9" w:fill="D9D9D9"/>
            <w:vAlign w:val="bottom"/>
            <w:hideMark/>
          </w:tcPr>
          <w:p w:rsidR="0090217F" w14:paraId="0ED4E1A9" w14:textId="3731423A">
            <w:pPr>
              <w:rPr>
                <w:rFonts w:ascii="Arial" w:hAnsi="Arial" w:cs="Arial"/>
                <w:color w:val="000000"/>
                <w:sz w:val="16"/>
                <w:szCs w:val="16"/>
              </w:rPr>
            </w:pPr>
            <w:r>
              <w:rPr>
                <w:rFonts w:ascii="Arial" w:hAnsi="Arial" w:cs="Arial"/>
                <w:color w:val="000000"/>
                <w:sz w:val="16"/>
                <w:szCs w:val="16"/>
              </w:rPr>
              <w:t xml:space="preserve">BABA Waiver Request </w:t>
            </w:r>
            <w:r w:rsidR="00C435A7">
              <w:rPr>
                <w:rFonts w:ascii="Arial" w:hAnsi="Arial" w:cs="Arial"/>
                <w:color w:val="000000"/>
                <w:sz w:val="16"/>
                <w:szCs w:val="16"/>
              </w:rPr>
              <w:t>forms</w:t>
            </w:r>
          </w:p>
        </w:tc>
        <w:tc>
          <w:tcPr>
            <w:tcW w:w="117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90217F" w:rsidP="0090217F" w14:paraId="17E1D961" w14:textId="77777777">
            <w:pPr>
              <w:jc w:val="center"/>
              <w:rPr>
                <w:rFonts w:ascii="Arial" w:hAnsi="Arial" w:cs="Arial"/>
                <w:color w:val="000000"/>
                <w:sz w:val="16"/>
                <w:szCs w:val="16"/>
              </w:rPr>
            </w:pPr>
            <w:r>
              <w:rPr>
                <w:rFonts w:ascii="Arial" w:hAnsi="Arial" w:cs="Arial"/>
                <w:color w:val="000000"/>
                <w:sz w:val="16"/>
                <w:szCs w:val="16"/>
              </w:rPr>
              <w:t>47</w:t>
            </w:r>
          </w:p>
        </w:tc>
        <w:tc>
          <w:tcPr>
            <w:tcW w:w="117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90217F" w:rsidP="0090217F" w14:paraId="4E5D0E91" w14:textId="77777777">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90217F" w:rsidP="0090217F" w14:paraId="6304B095" w14:textId="77777777">
            <w:pPr>
              <w:jc w:val="center"/>
              <w:rPr>
                <w:rFonts w:ascii="Arial" w:hAnsi="Arial" w:cs="Arial"/>
                <w:color w:val="000000"/>
                <w:sz w:val="16"/>
                <w:szCs w:val="16"/>
              </w:rPr>
            </w:pPr>
            <w:r>
              <w:rPr>
                <w:rFonts w:ascii="Arial" w:hAnsi="Arial" w:cs="Arial"/>
                <w:color w:val="000000"/>
                <w:sz w:val="16"/>
                <w:szCs w:val="16"/>
              </w:rPr>
              <w:t>13</w:t>
            </w:r>
          </w:p>
        </w:tc>
        <w:tc>
          <w:tcPr>
            <w:tcW w:w="90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90217F" w:rsidP="0090217F" w14:paraId="45F73126" w14:textId="77777777">
            <w:pPr>
              <w:jc w:val="center"/>
              <w:rPr>
                <w:rFonts w:ascii="Arial" w:hAnsi="Arial" w:cs="Arial"/>
                <w:color w:val="000000"/>
                <w:sz w:val="16"/>
                <w:szCs w:val="16"/>
              </w:rPr>
            </w:pPr>
            <w:r>
              <w:rPr>
                <w:rFonts w:ascii="Arial" w:hAnsi="Arial" w:cs="Arial"/>
                <w:color w:val="000000"/>
                <w:sz w:val="16"/>
                <w:szCs w:val="16"/>
              </w:rPr>
              <w:t>6</w:t>
            </w:r>
          </w:p>
        </w:tc>
        <w:tc>
          <w:tcPr>
            <w:tcW w:w="99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90217F" w:rsidP="0090217F" w14:paraId="372563A9" w14:textId="77777777">
            <w:pPr>
              <w:jc w:val="center"/>
              <w:rPr>
                <w:rFonts w:ascii="Arial" w:hAnsi="Arial" w:cs="Arial"/>
                <w:color w:val="000000"/>
                <w:sz w:val="16"/>
                <w:szCs w:val="16"/>
              </w:rPr>
            </w:pPr>
            <w:r>
              <w:rPr>
                <w:rFonts w:ascii="Arial" w:hAnsi="Arial" w:cs="Arial"/>
                <w:color w:val="000000"/>
                <w:sz w:val="16"/>
                <w:szCs w:val="16"/>
              </w:rPr>
              <w:t>78</w:t>
            </w:r>
          </w:p>
        </w:tc>
        <w:tc>
          <w:tcPr>
            <w:tcW w:w="126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90217F" w:rsidP="0090217F" w14:paraId="306D109B" w14:textId="77777777">
            <w:pPr>
              <w:jc w:val="center"/>
              <w:rPr>
                <w:rFonts w:ascii="Arial" w:hAnsi="Arial" w:cs="Arial"/>
                <w:color w:val="000000"/>
                <w:sz w:val="16"/>
                <w:szCs w:val="16"/>
              </w:rPr>
            </w:pPr>
            <w:r>
              <w:rPr>
                <w:rFonts w:ascii="Arial" w:hAnsi="Arial" w:cs="Arial"/>
                <w:color w:val="000000"/>
                <w:sz w:val="16"/>
                <w:szCs w:val="16"/>
              </w:rPr>
              <w:t>$2,837.64</w:t>
            </w:r>
          </w:p>
        </w:tc>
        <w:tc>
          <w:tcPr>
            <w:tcW w:w="1620" w:type="dxa"/>
            <w:tcBorders>
              <w:top w:val="single" w:sz="8" w:space="0" w:color="auto"/>
              <w:left w:val="single" w:sz="8" w:space="0" w:color="auto"/>
              <w:bottom w:val="single" w:sz="8" w:space="0" w:color="auto"/>
              <w:right w:val="single" w:sz="8" w:space="0" w:color="auto"/>
            </w:tcBorders>
            <w:shd w:val="clear" w:color="D9D9D9" w:fill="D9D9D9"/>
            <w:vAlign w:val="center"/>
            <w:hideMark/>
          </w:tcPr>
          <w:p w:rsidR="0090217F" w14:paraId="6322C55A" w14:textId="661C40B6">
            <w:pPr>
              <w:rPr>
                <w:rFonts w:ascii="Arial" w:hAnsi="Arial" w:cs="Arial"/>
                <w:color w:val="000000"/>
                <w:sz w:val="16"/>
                <w:szCs w:val="16"/>
              </w:rPr>
            </w:pPr>
            <w:r>
              <w:rPr>
                <w:rFonts w:ascii="Arial" w:hAnsi="Arial" w:cs="Arial"/>
                <w:color w:val="000000"/>
                <w:sz w:val="16"/>
                <w:szCs w:val="16"/>
              </w:rPr>
              <w:t>Based on conversations with Federal agencies that have implemented</w:t>
            </w:r>
            <w:r w:rsidR="00C435A7">
              <w:rPr>
                <w:rFonts w:ascii="Arial" w:hAnsi="Arial" w:cs="Arial"/>
                <w:color w:val="000000"/>
                <w:sz w:val="16"/>
                <w:szCs w:val="16"/>
              </w:rPr>
              <w:t xml:space="preserve"> a</w:t>
            </w:r>
            <w:r>
              <w:rPr>
                <w:rFonts w:ascii="Arial" w:hAnsi="Arial" w:cs="Arial"/>
                <w:color w:val="000000"/>
                <w:sz w:val="16"/>
                <w:szCs w:val="16"/>
              </w:rPr>
              <w:t xml:space="preserve"> </w:t>
            </w:r>
            <w:r w:rsidR="00087994">
              <w:rPr>
                <w:rFonts w:ascii="Arial" w:hAnsi="Arial" w:cs="Arial"/>
                <w:color w:val="000000"/>
                <w:sz w:val="16"/>
                <w:szCs w:val="16"/>
              </w:rPr>
              <w:t>Buy American</w:t>
            </w:r>
            <w:r w:rsidR="00C435A7">
              <w:rPr>
                <w:rFonts w:ascii="Arial" w:hAnsi="Arial" w:cs="Arial"/>
                <w:color w:val="000000"/>
                <w:sz w:val="16"/>
                <w:szCs w:val="16"/>
              </w:rPr>
              <w:t xml:space="preserve"> Preference</w:t>
            </w:r>
            <w:r>
              <w:rPr>
                <w:rFonts w:ascii="Arial" w:hAnsi="Arial" w:cs="Arial"/>
                <w:color w:val="000000"/>
                <w:sz w:val="16"/>
                <w:szCs w:val="16"/>
              </w:rPr>
              <w:t xml:space="preserve"> for iron and steel, recipients typically request a waiver at the time they request permission to proceed with construction. In FY21, OGCR processed 13 requests to proceed with construction, so OGCR estimates 13 BABAA-related collections a year. Federal agencies implementing BABAA have estimated 6 hours/response.</w:t>
            </w:r>
          </w:p>
        </w:tc>
      </w:tr>
      <w:tr w14:paraId="213D5D3C" w14:textId="77777777" w:rsidTr="00CA15F2">
        <w:tblPrEx>
          <w:tblW w:w="9710" w:type="dxa"/>
          <w:tblLayout w:type="fixed"/>
          <w:tblLook w:val="04A0"/>
        </w:tblPrEx>
        <w:trPr>
          <w:trHeight w:val="300"/>
        </w:trPr>
        <w:tc>
          <w:tcPr>
            <w:tcW w:w="1520" w:type="dxa"/>
            <w:tcBorders>
              <w:top w:val="single" w:sz="4" w:space="0" w:color="000000"/>
              <w:left w:val="single" w:sz="8" w:space="0" w:color="auto"/>
              <w:bottom w:val="single" w:sz="4" w:space="0" w:color="000000"/>
              <w:right w:val="single" w:sz="8" w:space="0" w:color="auto"/>
            </w:tcBorders>
            <w:shd w:val="clear" w:color="auto" w:fill="auto"/>
            <w:noWrap/>
            <w:vAlign w:val="center"/>
          </w:tcPr>
          <w:p w:rsidR="0090217F" w:rsidRPr="00CA15F2" w14:paraId="79435DC9" w14:textId="77777777">
            <w:pPr>
              <w:jc w:val="right"/>
              <w:rPr>
                <w:rFonts w:ascii="Arial" w:hAnsi="Arial" w:cs="Arial"/>
                <w:b/>
                <w:bCs/>
                <w:color w:val="000000"/>
                <w:sz w:val="16"/>
                <w:szCs w:val="16"/>
              </w:rPr>
            </w:pPr>
          </w:p>
        </w:tc>
        <w:tc>
          <w:tcPr>
            <w:tcW w:w="1170" w:type="dxa"/>
            <w:tcBorders>
              <w:top w:val="single" w:sz="4" w:space="0" w:color="000000"/>
              <w:left w:val="nil"/>
              <w:bottom w:val="single" w:sz="4" w:space="0" w:color="000000"/>
              <w:right w:val="single" w:sz="8" w:space="0" w:color="auto"/>
            </w:tcBorders>
            <w:shd w:val="clear" w:color="auto" w:fill="auto"/>
            <w:noWrap/>
            <w:vAlign w:val="center"/>
          </w:tcPr>
          <w:p w:rsidR="0090217F" w:rsidRPr="00CA15F2" w14:paraId="2871EB72" w14:textId="77777777">
            <w:pPr>
              <w:jc w:val="center"/>
              <w:rPr>
                <w:rFonts w:ascii="Arial" w:hAnsi="Arial" w:cs="Arial"/>
                <w:color w:val="000000"/>
                <w:sz w:val="16"/>
                <w:szCs w:val="16"/>
              </w:rPr>
            </w:pPr>
          </w:p>
        </w:tc>
        <w:tc>
          <w:tcPr>
            <w:tcW w:w="1170" w:type="dxa"/>
            <w:tcBorders>
              <w:top w:val="single" w:sz="4" w:space="0" w:color="000000"/>
              <w:left w:val="nil"/>
              <w:bottom w:val="single" w:sz="4" w:space="0" w:color="000000"/>
              <w:right w:val="single" w:sz="8" w:space="0" w:color="auto"/>
            </w:tcBorders>
            <w:shd w:val="clear" w:color="auto" w:fill="auto"/>
            <w:noWrap/>
            <w:vAlign w:val="center"/>
          </w:tcPr>
          <w:p w:rsidR="0090217F" w:rsidP="00AA5620" w14:paraId="35623EF8" w14:textId="77777777">
            <w:pPr>
              <w:jc w:val="center"/>
              <w:rPr>
                <w:rFonts w:ascii="Arial" w:hAnsi="Arial" w:cs="Arial"/>
                <w:color w:val="000000"/>
                <w:sz w:val="16"/>
                <w:szCs w:val="16"/>
              </w:rPr>
            </w:pPr>
          </w:p>
        </w:tc>
        <w:tc>
          <w:tcPr>
            <w:tcW w:w="1080" w:type="dxa"/>
            <w:tcBorders>
              <w:top w:val="single" w:sz="4" w:space="0" w:color="000000"/>
              <w:left w:val="nil"/>
              <w:bottom w:val="single" w:sz="4" w:space="0" w:color="000000"/>
              <w:right w:val="single" w:sz="8" w:space="0" w:color="auto"/>
            </w:tcBorders>
            <w:shd w:val="clear" w:color="auto" w:fill="auto"/>
            <w:noWrap/>
            <w:vAlign w:val="center"/>
          </w:tcPr>
          <w:p w:rsidR="0090217F" w:rsidRPr="00CA15F2" w14:paraId="15167FAC" w14:textId="77777777">
            <w:pPr>
              <w:jc w:val="center"/>
              <w:rPr>
                <w:rFonts w:ascii="Arial" w:hAnsi="Arial" w:cs="Arial"/>
                <w:color w:val="000000"/>
                <w:sz w:val="16"/>
                <w:szCs w:val="16"/>
              </w:rPr>
            </w:pPr>
          </w:p>
        </w:tc>
        <w:tc>
          <w:tcPr>
            <w:tcW w:w="900" w:type="dxa"/>
            <w:tcBorders>
              <w:top w:val="single" w:sz="4" w:space="0" w:color="000000"/>
              <w:left w:val="nil"/>
              <w:bottom w:val="single" w:sz="4" w:space="0" w:color="000000"/>
              <w:right w:val="single" w:sz="8" w:space="0" w:color="auto"/>
            </w:tcBorders>
            <w:shd w:val="clear" w:color="auto" w:fill="auto"/>
            <w:noWrap/>
            <w:vAlign w:val="center"/>
          </w:tcPr>
          <w:p w:rsidR="0090217F" w:rsidRPr="00CA15F2" w14:paraId="1B2C9937" w14:textId="77777777">
            <w:pPr>
              <w:jc w:val="center"/>
              <w:rPr>
                <w:rFonts w:ascii="Arial" w:hAnsi="Arial" w:cs="Arial"/>
                <w:color w:val="000000"/>
                <w:sz w:val="16"/>
                <w:szCs w:val="16"/>
              </w:rPr>
            </w:pPr>
          </w:p>
        </w:tc>
        <w:tc>
          <w:tcPr>
            <w:tcW w:w="990" w:type="dxa"/>
            <w:tcBorders>
              <w:top w:val="single" w:sz="4" w:space="0" w:color="000000"/>
              <w:left w:val="nil"/>
              <w:bottom w:val="single" w:sz="4" w:space="0" w:color="000000"/>
              <w:right w:val="single" w:sz="8" w:space="0" w:color="auto"/>
            </w:tcBorders>
            <w:shd w:val="clear" w:color="auto" w:fill="auto"/>
            <w:noWrap/>
            <w:vAlign w:val="center"/>
          </w:tcPr>
          <w:p w:rsidR="0090217F" w:rsidRPr="00CA15F2" w14:paraId="18FEA182" w14:textId="77777777">
            <w:pPr>
              <w:jc w:val="center"/>
              <w:rPr>
                <w:rFonts w:ascii="Arial" w:hAnsi="Arial" w:cs="Arial"/>
                <w:color w:val="000000"/>
                <w:sz w:val="16"/>
                <w:szCs w:val="16"/>
              </w:rPr>
            </w:pPr>
          </w:p>
        </w:tc>
        <w:tc>
          <w:tcPr>
            <w:tcW w:w="1260" w:type="dxa"/>
            <w:tcBorders>
              <w:top w:val="single" w:sz="4" w:space="0" w:color="000000"/>
              <w:left w:val="nil"/>
              <w:bottom w:val="single" w:sz="4" w:space="0" w:color="000000"/>
              <w:right w:val="nil"/>
            </w:tcBorders>
            <w:shd w:val="clear" w:color="auto" w:fill="auto"/>
            <w:noWrap/>
            <w:vAlign w:val="center"/>
          </w:tcPr>
          <w:p w:rsidR="0090217F" w:rsidRPr="00CA15F2" w14:paraId="7B86B97C" w14:textId="77777777">
            <w:pPr>
              <w:jc w:val="center"/>
              <w:rPr>
                <w:rFonts w:ascii="Arial" w:hAnsi="Arial" w:cs="Arial"/>
                <w:color w:val="000000"/>
                <w:sz w:val="16"/>
                <w:szCs w:val="16"/>
              </w:rPr>
            </w:pP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217F" w:rsidRPr="00CA15F2" w14:paraId="7A86D243" w14:textId="77777777">
            <w:pPr>
              <w:jc w:val="center"/>
              <w:rPr>
                <w:rFonts w:ascii="Arial" w:hAnsi="Arial" w:cs="Arial"/>
                <w:color w:val="000000"/>
                <w:sz w:val="16"/>
                <w:szCs w:val="16"/>
              </w:rPr>
            </w:pPr>
          </w:p>
        </w:tc>
      </w:tr>
      <w:tr w14:paraId="67F30500" w14:textId="77777777" w:rsidTr="00CA15F2">
        <w:tblPrEx>
          <w:tblW w:w="9710" w:type="dxa"/>
          <w:tblLayout w:type="fixed"/>
          <w:tblLook w:val="04A0"/>
        </w:tblPrEx>
        <w:trPr>
          <w:trHeight w:val="300"/>
        </w:trPr>
        <w:tc>
          <w:tcPr>
            <w:tcW w:w="1520" w:type="dxa"/>
            <w:tcBorders>
              <w:top w:val="single" w:sz="4" w:space="0" w:color="000000"/>
              <w:left w:val="single" w:sz="8" w:space="0" w:color="auto"/>
              <w:bottom w:val="single" w:sz="4" w:space="0" w:color="000000"/>
              <w:right w:val="single" w:sz="8" w:space="0" w:color="auto"/>
            </w:tcBorders>
            <w:shd w:val="clear" w:color="auto" w:fill="auto"/>
            <w:noWrap/>
            <w:vAlign w:val="center"/>
            <w:hideMark/>
          </w:tcPr>
          <w:p w:rsidR="00074A49" w:rsidRPr="00CA15F2" w14:paraId="2D1CF36E" w14:textId="77777777">
            <w:pPr>
              <w:jc w:val="right"/>
              <w:rPr>
                <w:rFonts w:ascii="Arial" w:hAnsi="Arial" w:cs="Arial"/>
                <w:b/>
                <w:bCs/>
                <w:color w:val="000000"/>
                <w:sz w:val="16"/>
                <w:szCs w:val="16"/>
              </w:rPr>
            </w:pPr>
            <w:r w:rsidRPr="00CA15F2">
              <w:rPr>
                <w:rFonts w:ascii="Arial" w:hAnsi="Arial" w:cs="Arial"/>
                <w:b/>
                <w:bCs/>
                <w:color w:val="000000"/>
                <w:sz w:val="16"/>
                <w:szCs w:val="16"/>
              </w:rPr>
              <w:t>Total Reporting</w:t>
            </w:r>
          </w:p>
        </w:tc>
        <w:tc>
          <w:tcPr>
            <w:tcW w:w="117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4AB38413" w14:textId="549B38A7">
            <w:pPr>
              <w:jc w:val="center"/>
              <w:rPr>
                <w:rFonts w:ascii="Arial" w:hAnsi="Arial" w:cs="Arial"/>
                <w:color w:val="000000"/>
                <w:sz w:val="16"/>
                <w:szCs w:val="16"/>
              </w:rPr>
            </w:pPr>
            <w:r w:rsidRPr="00CA15F2">
              <w:rPr>
                <w:rFonts w:ascii="Arial" w:hAnsi="Arial" w:cs="Arial"/>
                <w:color w:val="000000"/>
                <w:sz w:val="16"/>
                <w:szCs w:val="16"/>
              </w:rPr>
              <w:t>48</w:t>
            </w:r>
            <w:r>
              <w:rPr>
                <w:rStyle w:val="FootnoteReference"/>
                <w:rFonts w:ascii="Arial" w:hAnsi="Arial" w:cs="Arial"/>
                <w:color w:val="000000"/>
                <w:sz w:val="16"/>
                <w:szCs w:val="16"/>
              </w:rPr>
              <w:footnoteReference w:id="3"/>
            </w:r>
          </w:p>
        </w:tc>
        <w:tc>
          <w:tcPr>
            <w:tcW w:w="117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rsidP="00AA5620" w14:paraId="63DEA0D2" w14:textId="31859F79">
            <w:pPr>
              <w:jc w:val="center"/>
              <w:rPr>
                <w:rFonts w:ascii="Arial" w:hAnsi="Arial" w:cs="Arial"/>
                <w:color w:val="000000"/>
                <w:sz w:val="16"/>
                <w:szCs w:val="16"/>
              </w:rPr>
            </w:pPr>
            <w:r>
              <w:rPr>
                <w:rFonts w:ascii="Arial" w:hAnsi="Arial" w:cs="Arial"/>
                <w:color w:val="000000"/>
                <w:sz w:val="16"/>
                <w:szCs w:val="16"/>
              </w:rPr>
              <w:t>10.</w:t>
            </w:r>
            <w:r w:rsidR="00B01160">
              <w:rPr>
                <w:rFonts w:ascii="Arial" w:hAnsi="Arial" w:cs="Arial"/>
                <w:color w:val="000000"/>
                <w:sz w:val="16"/>
                <w:szCs w:val="16"/>
              </w:rPr>
              <w:t>646</w:t>
            </w:r>
            <w:r>
              <w:rPr>
                <w:rStyle w:val="FootnoteReference"/>
                <w:rFonts w:ascii="Arial" w:hAnsi="Arial" w:cs="Arial"/>
                <w:color w:val="000000"/>
                <w:sz w:val="16"/>
                <w:szCs w:val="16"/>
              </w:rPr>
              <w:footnoteReference w:id="4"/>
            </w:r>
          </w:p>
        </w:tc>
        <w:tc>
          <w:tcPr>
            <w:tcW w:w="108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6ECC82E9" w14:textId="6E439FC6">
            <w:pPr>
              <w:jc w:val="center"/>
              <w:rPr>
                <w:rFonts w:ascii="Arial" w:hAnsi="Arial" w:cs="Arial"/>
                <w:color w:val="000000"/>
                <w:sz w:val="16"/>
                <w:szCs w:val="16"/>
              </w:rPr>
            </w:pPr>
            <w:r>
              <w:rPr>
                <w:rFonts w:ascii="Arial" w:hAnsi="Arial" w:cs="Arial"/>
                <w:color w:val="000000"/>
                <w:sz w:val="16"/>
                <w:szCs w:val="16"/>
              </w:rPr>
              <w:t>511</w:t>
            </w:r>
          </w:p>
        </w:tc>
        <w:tc>
          <w:tcPr>
            <w:tcW w:w="90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36C710B1" w14:textId="33555F53">
            <w:pPr>
              <w:jc w:val="center"/>
              <w:rPr>
                <w:rFonts w:ascii="Arial" w:hAnsi="Arial" w:cs="Arial"/>
                <w:color w:val="000000"/>
                <w:sz w:val="16"/>
                <w:szCs w:val="16"/>
              </w:rPr>
            </w:pPr>
            <w:r w:rsidRPr="00CA15F2">
              <w:rPr>
                <w:rFonts w:ascii="Arial" w:hAnsi="Arial" w:cs="Arial"/>
                <w:color w:val="000000"/>
                <w:sz w:val="16"/>
                <w:szCs w:val="16"/>
              </w:rPr>
              <w:t>1.</w:t>
            </w:r>
            <w:r w:rsidR="00B01160">
              <w:rPr>
                <w:rFonts w:ascii="Arial" w:hAnsi="Arial" w:cs="Arial"/>
                <w:color w:val="000000"/>
                <w:sz w:val="16"/>
                <w:szCs w:val="16"/>
              </w:rPr>
              <w:t>677</w:t>
            </w:r>
            <w:r>
              <w:rPr>
                <w:rStyle w:val="FootnoteReference"/>
                <w:rFonts w:ascii="Arial" w:hAnsi="Arial" w:cs="Arial"/>
                <w:color w:val="000000"/>
                <w:sz w:val="16"/>
                <w:szCs w:val="16"/>
              </w:rPr>
              <w:footnoteReference w:id="5"/>
            </w:r>
          </w:p>
        </w:tc>
        <w:tc>
          <w:tcPr>
            <w:tcW w:w="99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0DD82D72" w14:textId="6D36B84F">
            <w:pPr>
              <w:jc w:val="center"/>
              <w:rPr>
                <w:rFonts w:ascii="Arial" w:hAnsi="Arial" w:cs="Arial"/>
                <w:color w:val="000000"/>
                <w:sz w:val="16"/>
                <w:szCs w:val="16"/>
              </w:rPr>
            </w:pPr>
            <w:r>
              <w:rPr>
                <w:rFonts w:ascii="Arial" w:hAnsi="Arial" w:cs="Arial"/>
                <w:color w:val="000000"/>
                <w:sz w:val="16"/>
                <w:szCs w:val="16"/>
              </w:rPr>
              <w:t>857</w:t>
            </w:r>
          </w:p>
        </w:tc>
        <w:tc>
          <w:tcPr>
            <w:tcW w:w="1260" w:type="dxa"/>
            <w:tcBorders>
              <w:top w:val="single" w:sz="4" w:space="0" w:color="000000"/>
              <w:left w:val="nil"/>
              <w:bottom w:val="single" w:sz="4" w:space="0" w:color="000000"/>
              <w:right w:val="nil"/>
            </w:tcBorders>
            <w:shd w:val="clear" w:color="auto" w:fill="auto"/>
            <w:noWrap/>
            <w:vAlign w:val="center"/>
            <w:hideMark/>
          </w:tcPr>
          <w:p w:rsidR="00074A49" w:rsidRPr="00CA15F2" w14:paraId="39542B68" w14:textId="6749A1A3">
            <w:pPr>
              <w:jc w:val="center"/>
              <w:rPr>
                <w:rFonts w:ascii="Arial" w:hAnsi="Arial" w:cs="Arial"/>
                <w:color w:val="000000"/>
                <w:sz w:val="16"/>
                <w:szCs w:val="16"/>
              </w:rPr>
            </w:pPr>
            <w:r w:rsidRPr="00CA15F2">
              <w:rPr>
                <w:rFonts w:ascii="Arial" w:hAnsi="Arial" w:cs="Arial"/>
                <w:color w:val="000000"/>
                <w:sz w:val="16"/>
                <w:szCs w:val="16"/>
              </w:rPr>
              <w:t>$</w:t>
            </w:r>
            <w:r w:rsidR="00B01160">
              <w:rPr>
                <w:rFonts w:ascii="Arial" w:hAnsi="Arial" w:cs="Arial"/>
                <w:color w:val="000000"/>
                <w:sz w:val="16"/>
                <w:szCs w:val="16"/>
              </w:rPr>
              <w:t>41,788</w:t>
            </w:r>
            <w:r>
              <w:rPr>
                <w:rStyle w:val="FootnoteReference"/>
                <w:rFonts w:ascii="Arial" w:hAnsi="Arial" w:cs="Arial"/>
                <w:color w:val="000000"/>
                <w:sz w:val="16"/>
                <w:szCs w:val="16"/>
              </w:rPr>
              <w:footnoteReference w:id="6"/>
            </w:r>
            <w:r w:rsidRPr="00CA15F2">
              <w:rPr>
                <w:rFonts w:ascii="Arial" w:hAnsi="Arial" w:cs="Arial"/>
                <w:color w:val="000000"/>
                <w:sz w:val="16"/>
                <w:szCs w:val="16"/>
              </w:rPr>
              <w:t xml:space="preserve"> </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74A49" w:rsidRPr="00CA15F2" w14:paraId="6D120913" w14:textId="77777777">
            <w:pPr>
              <w:jc w:val="center"/>
              <w:rPr>
                <w:rFonts w:ascii="Arial" w:hAnsi="Arial" w:cs="Arial"/>
                <w:color w:val="000000"/>
                <w:sz w:val="16"/>
                <w:szCs w:val="16"/>
              </w:rPr>
            </w:pPr>
            <w:r w:rsidRPr="00CA15F2">
              <w:rPr>
                <w:rFonts w:ascii="Arial" w:hAnsi="Arial" w:cs="Arial"/>
                <w:color w:val="000000"/>
                <w:sz w:val="16"/>
                <w:szCs w:val="16"/>
              </w:rPr>
              <w:t> </w:t>
            </w:r>
          </w:p>
        </w:tc>
      </w:tr>
    </w:tbl>
    <w:p w:rsidR="00425279" w:rsidP="004B0AEF" w14:paraId="6446A6B5" w14:textId="3FEC0796">
      <w:pPr>
        <w:ind w:firstLine="360"/>
        <w:rPr>
          <w:b/>
          <w:u w:val="single"/>
        </w:rPr>
      </w:pPr>
    </w:p>
    <w:tbl>
      <w:tblPr>
        <w:tblW w:w="8090" w:type="dxa"/>
        <w:tblLayout w:type="fixed"/>
        <w:tblLook w:val="04A0"/>
      </w:tblPr>
      <w:tblGrid>
        <w:gridCol w:w="1520"/>
        <w:gridCol w:w="1170"/>
        <w:gridCol w:w="1170"/>
        <w:gridCol w:w="1080"/>
        <w:gridCol w:w="900"/>
        <w:gridCol w:w="990"/>
        <w:gridCol w:w="1260"/>
      </w:tblGrid>
      <w:tr w14:paraId="1FF55DD3" w14:textId="77777777" w:rsidTr="00CA15F2">
        <w:tblPrEx>
          <w:tblW w:w="8090" w:type="dxa"/>
          <w:tblLayout w:type="fixed"/>
          <w:tblLook w:val="04A0"/>
        </w:tblPrEx>
        <w:trPr>
          <w:trHeight w:val="443"/>
        </w:trPr>
        <w:tc>
          <w:tcPr>
            <w:tcW w:w="152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rsidR="00CA15F2" w:rsidRPr="00CA15F2" w:rsidP="00D53103" w14:paraId="4EA9A4AB" w14:textId="77777777">
            <w:pPr>
              <w:rPr>
                <w:rFonts w:ascii="Arial Narrow" w:hAnsi="Arial Narrow" w:cs="Calibri"/>
                <w:b/>
                <w:bCs/>
                <w:color w:val="FFFFFF"/>
                <w:sz w:val="16"/>
                <w:szCs w:val="16"/>
              </w:rPr>
            </w:pPr>
            <w:r w:rsidRPr="00CA15F2">
              <w:rPr>
                <w:rFonts w:ascii="Arial Narrow" w:hAnsi="Arial Narrow" w:cs="Calibri"/>
                <w:b/>
                <w:bCs/>
                <w:color w:val="FFFFFF"/>
                <w:sz w:val="16"/>
                <w:szCs w:val="16"/>
              </w:rPr>
              <w:t xml:space="preserve">Recordkeeping </w:t>
            </w:r>
          </w:p>
        </w:tc>
        <w:tc>
          <w:tcPr>
            <w:tcW w:w="1170" w:type="dxa"/>
            <w:tcBorders>
              <w:top w:val="single" w:sz="8" w:space="0" w:color="auto"/>
              <w:left w:val="nil"/>
              <w:bottom w:val="single" w:sz="8" w:space="0" w:color="auto"/>
              <w:right w:val="single" w:sz="8" w:space="0" w:color="auto"/>
            </w:tcBorders>
            <w:shd w:val="clear" w:color="000000" w:fill="000000"/>
            <w:vAlign w:val="center"/>
            <w:hideMark/>
          </w:tcPr>
          <w:p w:rsidR="00CA15F2" w:rsidRPr="00CA15F2" w:rsidP="00D53103" w14:paraId="5D1F1A66"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 Recordkeepers</w:t>
            </w:r>
          </w:p>
        </w:tc>
        <w:tc>
          <w:tcPr>
            <w:tcW w:w="1170" w:type="dxa"/>
            <w:tcBorders>
              <w:top w:val="single" w:sz="8" w:space="0" w:color="auto"/>
              <w:left w:val="nil"/>
              <w:bottom w:val="single" w:sz="8" w:space="0" w:color="auto"/>
              <w:right w:val="single" w:sz="8" w:space="0" w:color="auto"/>
            </w:tcBorders>
            <w:shd w:val="clear" w:color="000000" w:fill="000000"/>
            <w:vAlign w:val="center"/>
            <w:hideMark/>
          </w:tcPr>
          <w:p w:rsidR="00CA15F2" w:rsidRPr="00CA15F2" w:rsidP="00D53103" w14:paraId="0D449293" w14:textId="77777777">
            <w:pPr>
              <w:jc w:val="center"/>
              <w:rPr>
                <w:rFonts w:ascii="Arial Narrow" w:hAnsi="Arial Narrow" w:cs="Calibri"/>
                <w:b/>
                <w:bCs/>
                <w:sz w:val="16"/>
                <w:szCs w:val="16"/>
              </w:rPr>
            </w:pPr>
          </w:p>
          <w:p w:rsidR="00CA15F2" w:rsidRPr="00CA15F2" w:rsidP="00D53103" w14:paraId="1AB7CAE0" w14:textId="77777777">
            <w:pPr>
              <w:rPr>
                <w:rFonts w:ascii="Arial Narrow" w:hAnsi="Arial Narrow" w:cs="Calibri"/>
                <w:sz w:val="16"/>
                <w:szCs w:val="16"/>
              </w:rPr>
            </w:pPr>
          </w:p>
        </w:tc>
        <w:tc>
          <w:tcPr>
            <w:tcW w:w="1080" w:type="dxa"/>
            <w:tcBorders>
              <w:top w:val="single" w:sz="8" w:space="0" w:color="auto"/>
              <w:left w:val="nil"/>
              <w:bottom w:val="single" w:sz="8" w:space="0" w:color="auto"/>
              <w:right w:val="single" w:sz="8" w:space="0" w:color="auto"/>
            </w:tcBorders>
            <w:shd w:val="clear" w:color="000000" w:fill="000000"/>
            <w:vAlign w:val="center"/>
            <w:hideMark/>
          </w:tcPr>
          <w:p w:rsidR="00CA15F2" w:rsidRPr="00CA15F2" w:rsidP="00D53103" w14:paraId="17EEB311" w14:textId="77777777">
            <w:pPr>
              <w:jc w:val="center"/>
              <w:rPr>
                <w:rFonts w:ascii="Arial Narrow" w:hAnsi="Arial Narrow" w:cs="Calibri"/>
                <w:b/>
                <w:bCs/>
                <w:sz w:val="16"/>
                <w:szCs w:val="16"/>
              </w:rPr>
            </w:pPr>
          </w:p>
        </w:tc>
        <w:tc>
          <w:tcPr>
            <w:tcW w:w="900" w:type="dxa"/>
            <w:tcBorders>
              <w:top w:val="single" w:sz="8" w:space="0" w:color="auto"/>
              <w:left w:val="nil"/>
              <w:bottom w:val="single" w:sz="8" w:space="0" w:color="auto"/>
              <w:right w:val="single" w:sz="8" w:space="0" w:color="auto"/>
            </w:tcBorders>
            <w:shd w:val="clear" w:color="000000" w:fill="000000"/>
            <w:vAlign w:val="center"/>
            <w:hideMark/>
          </w:tcPr>
          <w:p w:rsidR="00CA15F2" w:rsidRPr="00CA15F2" w:rsidP="00D53103" w14:paraId="3B5855CA" w14:textId="77777777">
            <w:pPr>
              <w:jc w:val="center"/>
              <w:rPr>
                <w:rFonts w:ascii="Arial Narrow" w:hAnsi="Arial Narrow" w:cs="Calibri"/>
                <w:b/>
                <w:bCs/>
                <w:sz w:val="16"/>
                <w:szCs w:val="16"/>
              </w:rPr>
            </w:pPr>
          </w:p>
        </w:tc>
        <w:tc>
          <w:tcPr>
            <w:tcW w:w="990" w:type="dxa"/>
            <w:tcBorders>
              <w:top w:val="single" w:sz="8" w:space="0" w:color="auto"/>
              <w:left w:val="nil"/>
              <w:bottom w:val="single" w:sz="8" w:space="0" w:color="auto"/>
              <w:right w:val="single" w:sz="8" w:space="0" w:color="auto"/>
            </w:tcBorders>
            <w:shd w:val="clear" w:color="000000" w:fill="000000"/>
            <w:vAlign w:val="center"/>
            <w:hideMark/>
          </w:tcPr>
          <w:p w:rsidR="00CA15F2" w:rsidRPr="00CA15F2" w:rsidP="00D53103" w14:paraId="46DFEC37"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Total Burden</w:t>
            </w:r>
          </w:p>
        </w:tc>
        <w:tc>
          <w:tcPr>
            <w:tcW w:w="1260" w:type="dxa"/>
            <w:tcBorders>
              <w:top w:val="single" w:sz="8" w:space="0" w:color="auto"/>
              <w:left w:val="nil"/>
              <w:bottom w:val="single" w:sz="8" w:space="0" w:color="auto"/>
              <w:right w:val="single" w:sz="8" w:space="0" w:color="auto"/>
            </w:tcBorders>
            <w:shd w:val="clear" w:color="000000" w:fill="000000"/>
            <w:vAlign w:val="center"/>
            <w:hideMark/>
          </w:tcPr>
          <w:p w:rsidR="00CA15F2" w:rsidRPr="00CA15F2" w:rsidP="00D53103" w14:paraId="1775DEE9"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Cost to Respondent (@ $50 per hrs.)</w:t>
            </w:r>
          </w:p>
        </w:tc>
      </w:tr>
      <w:tr w14:paraId="0D03A894" w14:textId="77777777" w:rsidTr="00CA15F2">
        <w:tblPrEx>
          <w:tblW w:w="8090" w:type="dxa"/>
          <w:tblLayout w:type="fixed"/>
          <w:tblLook w:val="04A0"/>
        </w:tblPrEx>
        <w:trPr>
          <w:trHeight w:val="664"/>
        </w:trPr>
        <w:tc>
          <w:tcPr>
            <w:tcW w:w="1520" w:type="dxa"/>
            <w:tcBorders>
              <w:top w:val="single" w:sz="4" w:space="0" w:color="000000"/>
              <w:left w:val="single" w:sz="8" w:space="0" w:color="auto"/>
              <w:bottom w:val="single" w:sz="8" w:space="0" w:color="auto"/>
              <w:right w:val="single" w:sz="8" w:space="0" w:color="auto"/>
            </w:tcBorders>
            <w:shd w:val="clear" w:color="D9D9D9" w:fill="D9D9D9"/>
            <w:vAlign w:val="center"/>
            <w:hideMark/>
          </w:tcPr>
          <w:p w:rsidR="00CA15F2" w:rsidRPr="00CA15F2" w:rsidP="00D53103" w14:paraId="231D1E94" w14:textId="77777777">
            <w:pPr>
              <w:rPr>
                <w:rFonts w:ascii="Arial" w:hAnsi="Arial" w:cs="Arial"/>
                <w:color w:val="000000"/>
                <w:sz w:val="16"/>
                <w:szCs w:val="16"/>
              </w:rPr>
            </w:pPr>
            <w:r w:rsidRPr="00CA15F2">
              <w:rPr>
                <w:rFonts w:ascii="Arial" w:hAnsi="Arial" w:cs="Arial"/>
                <w:color w:val="000000"/>
                <w:sz w:val="16"/>
                <w:szCs w:val="16"/>
              </w:rPr>
              <w:t>Application</w:t>
            </w:r>
            <w:r w:rsidRPr="00CA15F2">
              <w:rPr>
                <w:rFonts w:ascii="Arial" w:hAnsi="Arial" w:cs="Arial"/>
                <w:sz w:val="16"/>
                <w:szCs w:val="16"/>
              </w:rPr>
              <w:t>s</w:t>
            </w:r>
            <w:r w:rsidRPr="00CA15F2">
              <w:rPr>
                <w:rFonts w:ascii="Arial" w:hAnsi="Arial" w:cs="Arial"/>
                <w:color w:val="000000"/>
                <w:sz w:val="16"/>
                <w:szCs w:val="16"/>
              </w:rPr>
              <w:t xml:space="preserve"> - Direct Component</w:t>
            </w:r>
          </w:p>
        </w:tc>
        <w:tc>
          <w:tcPr>
            <w:tcW w:w="1170" w:type="dxa"/>
            <w:tcBorders>
              <w:top w:val="single" w:sz="4" w:space="0" w:color="000000"/>
              <w:left w:val="nil"/>
              <w:bottom w:val="single" w:sz="8" w:space="0" w:color="auto"/>
              <w:right w:val="single" w:sz="8" w:space="0" w:color="auto"/>
            </w:tcBorders>
            <w:shd w:val="clear" w:color="D9D9D9" w:fill="D9D9D9"/>
            <w:vAlign w:val="center"/>
            <w:hideMark/>
          </w:tcPr>
          <w:p w:rsidR="00CA15F2" w:rsidRPr="00CA15F2" w:rsidP="00D53103" w14:paraId="2F2ACCB6" w14:textId="77777777">
            <w:pPr>
              <w:jc w:val="center"/>
              <w:rPr>
                <w:rFonts w:ascii="Arial" w:hAnsi="Arial" w:cs="Arial"/>
                <w:color w:val="000000"/>
                <w:sz w:val="16"/>
                <w:szCs w:val="16"/>
              </w:rPr>
            </w:pPr>
            <w:r w:rsidRPr="00CA15F2">
              <w:rPr>
                <w:rFonts w:ascii="Arial" w:hAnsi="Arial" w:cs="Arial"/>
                <w:color w:val="000000"/>
                <w:sz w:val="16"/>
                <w:szCs w:val="16"/>
              </w:rPr>
              <w:t>47</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17FC3DC2" w14:textId="77777777">
            <w:pPr>
              <w:jc w:val="center"/>
              <w:rPr>
                <w:rFonts w:ascii="Arial" w:hAnsi="Arial" w:cs="Arial"/>
                <w:color w:val="000000"/>
                <w:sz w:val="16"/>
                <w:szCs w:val="16"/>
              </w:rPr>
            </w:pPr>
            <w:r w:rsidRPr="00CA15F2">
              <w:rPr>
                <w:rFonts w:ascii="Arial" w:hAnsi="Arial" w:cs="Arial"/>
                <w:color w:val="000000"/>
                <w:sz w:val="16"/>
                <w:szCs w:val="16"/>
              </w:rPr>
              <w:t> </w:t>
            </w:r>
          </w:p>
        </w:tc>
        <w:tc>
          <w:tcPr>
            <w:tcW w:w="108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42D9F492" w14:textId="77777777">
            <w:pPr>
              <w:jc w:val="center"/>
              <w:rPr>
                <w:rFonts w:ascii="Arial" w:hAnsi="Arial" w:cs="Arial"/>
                <w:color w:val="000000"/>
                <w:sz w:val="16"/>
                <w:szCs w:val="16"/>
              </w:rPr>
            </w:pPr>
            <w:r w:rsidRPr="00CA15F2">
              <w:rPr>
                <w:rFonts w:ascii="Arial" w:hAnsi="Arial" w:cs="Arial"/>
                <w:color w:val="000000"/>
                <w:sz w:val="16"/>
                <w:szCs w:val="16"/>
              </w:rPr>
              <w:t> </w:t>
            </w:r>
          </w:p>
        </w:tc>
        <w:tc>
          <w:tcPr>
            <w:tcW w:w="90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3E886E9D" w14:textId="77777777">
            <w:pPr>
              <w:jc w:val="center"/>
              <w:rPr>
                <w:rFonts w:ascii="Arial" w:hAnsi="Arial" w:cs="Arial"/>
                <w:color w:val="000000"/>
                <w:sz w:val="16"/>
                <w:szCs w:val="16"/>
              </w:rPr>
            </w:pPr>
            <w:r w:rsidRPr="00CA15F2">
              <w:rPr>
                <w:rFonts w:ascii="Arial" w:hAnsi="Arial" w:cs="Arial"/>
                <w:color w:val="000000"/>
                <w:sz w:val="16"/>
                <w:szCs w:val="16"/>
              </w:rPr>
              <w:t> </w:t>
            </w:r>
          </w:p>
        </w:tc>
        <w:tc>
          <w:tcPr>
            <w:tcW w:w="99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13085441" w14:textId="77777777">
            <w:pPr>
              <w:jc w:val="center"/>
              <w:rPr>
                <w:rFonts w:ascii="Arial" w:hAnsi="Arial" w:cs="Arial"/>
                <w:color w:val="000000"/>
                <w:sz w:val="16"/>
                <w:szCs w:val="16"/>
              </w:rPr>
            </w:pPr>
            <w:r w:rsidRPr="00CA15F2">
              <w:rPr>
                <w:rFonts w:ascii="Arial" w:hAnsi="Arial" w:cs="Arial"/>
                <w:color w:val="000000"/>
                <w:sz w:val="16"/>
                <w:szCs w:val="16"/>
              </w:rPr>
              <w:t>4,700</w:t>
            </w:r>
          </w:p>
        </w:tc>
        <w:tc>
          <w:tcPr>
            <w:tcW w:w="126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41950593" w14:textId="77777777">
            <w:pPr>
              <w:jc w:val="center"/>
              <w:rPr>
                <w:rFonts w:ascii="Arial" w:hAnsi="Arial" w:cs="Arial"/>
                <w:color w:val="000000"/>
                <w:sz w:val="16"/>
                <w:szCs w:val="16"/>
              </w:rPr>
            </w:pPr>
            <w:r w:rsidRPr="00CA15F2">
              <w:rPr>
                <w:rFonts w:ascii="Arial" w:hAnsi="Arial" w:cs="Arial"/>
                <w:color w:val="000000"/>
                <w:sz w:val="16"/>
                <w:szCs w:val="16"/>
              </w:rPr>
              <w:t xml:space="preserve">$235,000 </w:t>
            </w:r>
          </w:p>
        </w:tc>
      </w:tr>
      <w:tr w14:paraId="6E806192" w14:textId="77777777" w:rsidTr="00CA15F2">
        <w:tblPrEx>
          <w:tblW w:w="8090" w:type="dxa"/>
          <w:tblLayout w:type="fixed"/>
          <w:tblLook w:val="04A0"/>
        </w:tblPrEx>
        <w:trPr>
          <w:trHeight w:val="1316"/>
        </w:trPr>
        <w:tc>
          <w:tcPr>
            <w:tcW w:w="1520" w:type="dxa"/>
            <w:tcBorders>
              <w:top w:val="single" w:sz="4" w:space="0" w:color="000000"/>
              <w:left w:val="single" w:sz="8" w:space="0" w:color="auto"/>
              <w:bottom w:val="double" w:sz="6" w:space="0" w:color="auto"/>
              <w:right w:val="single" w:sz="8" w:space="0" w:color="auto"/>
            </w:tcBorders>
            <w:shd w:val="clear" w:color="auto" w:fill="auto"/>
            <w:vAlign w:val="center"/>
            <w:hideMark/>
          </w:tcPr>
          <w:p w:rsidR="00CA15F2" w:rsidRPr="00CA15F2" w:rsidP="00D53103" w14:paraId="6066F6E0" w14:textId="77777777">
            <w:pPr>
              <w:rPr>
                <w:rFonts w:ascii="Arial" w:hAnsi="Arial" w:cs="Arial"/>
                <w:color w:val="000000"/>
                <w:sz w:val="16"/>
                <w:szCs w:val="16"/>
              </w:rPr>
            </w:pPr>
            <w:r w:rsidRPr="00CA15F2">
              <w:rPr>
                <w:rFonts w:ascii="Arial" w:hAnsi="Arial" w:cs="Arial"/>
                <w:color w:val="000000"/>
                <w:sz w:val="16"/>
                <w:szCs w:val="16"/>
              </w:rPr>
              <w:t>Application - Centers of Excellence Research Grants Program</w:t>
            </w:r>
          </w:p>
        </w:tc>
        <w:tc>
          <w:tcPr>
            <w:tcW w:w="1170" w:type="dxa"/>
            <w:tcBorders>
              <w:top w:val="single" w:sz="4" w:space="0" w:color="000000"/>
              <w:left w:val="nil"/>
              <w:bottom w:val="double" w:sz="6" w:space="0" w:color="auto"/>
              <w:right w:val="single" w:sz="8" w:space="0" w:color="auto"/>
            </w:tcBorders>
            <w:shd w:val="clear" w:color="auto" w:fill="auto"/>
            <w:noWrap/>
            <w:vAlign w:val="center"/>
            <w:hideMark/>
          </w:tcPr>
          <w:p w:rsidR="00CA15F2" w:rsidRPr="00CA15F2" w:rsidP="00D53103" w14:paraId="6919E9A8" w14:textId="77777777">
            <w:pPr>
              <w:jc w:val="center"/>
              <w:rPr>
                <w:rFonts w:ascii="Arial" w:hAnsi="Arial" w:cs="Arial"/>
                <w:color w:val="000000"/>
                <w:sz w:val="16"/>
                <w:szCs w:val="16"/>
              </w:rPr>
            </w:pPr>
            <w:r w:rsidRPr="00CA15F2">
              <w:rPr>
                <w:rFonts w:ascii="Arial" w:hAnsi="Arial" w:cs="Arial"/>
                <w:color w:val="000000"/>
                <w:sz w:val="16"/>
                <w:szCs w:val="16"/>
              </w:rPr>
              <w:t>5</w:t>
            </w:r>
          </w:p>
        </w:tc>
        <w:tc>
          <w:tcPr>
            <w:tcW w:w="1170" w:type="dxa"/>
            <w:tcBorders>
              <w:top w:val="single" w:sz="4" w:space="0" w:color="000000"/>
              <w:left w:val="nil"/>
              <w:bottom w:val="double" w:sz="6" w:space="0" w:color="auto"/>
              <w:right w:val="single" w:sz="8" w:space="0" w:color="auto"/>
            </w:tcBorders>
            <w:shd w:val="clear" w:color="auto" w:fill="auto"/>
            <w:noWrap/>
            <w:vAlign w:val="center"/>
            <w:hideMark/>
          </w:tcPr>
          <w:p w:rsidR="00CA15F2" w:rsidRPr="00CA15F2" w:rsidP="00D53103" w14:paraId="2225BCA8" w14:textId="77777777">
            <w:pPr>
              <w:jc w:val="center"/>
              <w:rPr>
                <w:rFonts w:ascii="Arial" w:hAnsi="Arial" w:cs="Arial"/>
                <w:color w:val="000000"/>
                <w:sz w:val="16"/>
                <w:szCs w:val="16"/>
              </w:rPr>
            </w:pPr>
            <w:r w:rsidRPr="00CA15F2">
              <w:rPr>
                <w:rFonts w:ascii="Arial" w:hAnsi="Arial" w:cs="Arial"/>
                <w:color w:val="000000"/>
                <w:sz w:val="16"/>
                <w:szCs w:val="16"/>
              </w:rPr>
              <w:t> </w:t>
            </w:r>
          </w:p>
        </w:tc>
        <w:tc>
          <w:tcPr>
            <w:tcW w:w="1080" w:type="dxa"/>
            <w:tcBorders>
              <w:top w:val="single" w:sz="4" w:space="0" w:color="000000"/>
              <w:left w:val="nil"/>
              <w:bottom w:val="double" w:sz="6" w:space="0" w:color="auto"/>
              <w:right w:val="single" w:sz="8" w:space="0" w:color="auto"/>
            </w:tcBorders>
            <w:shd w:val="clear" w:color="auto" w:fill="auto"/>
            <w:noWrap/>
            <w:vAlign w:val="center"/>
            <w:hideMark/>
          </w:tcPr>
          <w:p w:rsidR="00CA15F2" w:rsidRPr="00CA15F2" w:rsidP="00D53103" w14:paraId="1CC33EB8" w14:textId="77777777">
            <w:pPr>
              <w:jc w:val="center"/>
              <w:rPr>
                <w:rFonts w:ascii="Arial" w:hAnsi="Arial" w:cs="Arial"/>
                <w:color w:val="000000"/>
                <w:sz w:val="16"/>
                <w:szCs w:val="16"/>
              </w:rPr>
            </w:pPr>
            <w:r w:rsidRPr="00CA15F2">
              <w:rPr>
                <w:rFonts w:ascii="Arial" w:hAnsi="Arial" w:cs="Arial"/>
                <w:color w:val="000000"/>
                <w:sz w:val="16"/>
                <w:szCs w:val="16"/>
              </w:rPr>
              <w:t> </w:t>
            </w:r>
          </w:p>
        </w:tc>
        <w:tc>
          <w:tcPr>
            <w:tcW w:w="900" w:type="dxa"/>
            <w:tcBorders>
              <w:top w:val="single" w:sz="4" w:space="0" w:color="000000"/>
              <w:left w:val="nil"/>
              <w:bottom w:val="double" w:sz="6" w:space="0" w:color="auto"/>
              <w:right w:val="single" w:sz="8" w:space="0" w:color="auto"/>
            </w:tcBorders>
            <w:shd w:val="clear" w:color="auto" w:fill="auto"/>
            <w:noWrap/>
            <w:vAlign w:val="center"/>
            <w:hideMark/>
          </w:tcPr>
          <w:p w:rsidR="00CA15F2" w:rsidRPr="00CA15F2" w:rsidP="00D53103" w14:paraId="0949C97A" w14:textId="77777777">
            <w:pPr>
              <w:jc w:val="center"/>
              <w:rPr>
                <w:rFonts w:ascii="Arial" w:hAnsi="Arial" w:cs="Arial"/>
                <w:color w:val="000000"/>
                <w:sz w:val="16"/>
                <w:szCs w:val="16"/>
              </w:rPr>
            </w:pPr>
            <w:r w:rsidRPr="00CA15F2">
              <w:rPr>
                <w:rFonts w:ascii="Arial" w:hAnsi="Arial" w:cs="Arial"/>
                <w:color w:val="000000"/>
                <w:sz w:val="16"/>
                <w:szCs w:val="16"/>
              </w:rPr>
              <w:t> </w:t>
            </w:r>
          </w:p>
        </w:tc>
        <w:tc>
          <w:tcPr>
            <w:tcW w:w="990" w:type="dxa"/>
            <w:tcBorders>
              <w:top w:val="single" w:sz="4" w:space="0" w:color="000000"/>
              <w:left w:val="nil"/>
              <w:bottom w:val="double" w:sz="6" w:space="0" w:color="auto"/>
              <w:right w:val="single" w:sz="8" w:space="0" w:color="auto"/>
            </w:tcBorders>
            <w:shd w:val="clear" w:color="auto" w:fill="auto"/>
            <w:noWrap/>
            <w:vAlign w:val="center"/>
            <w:hideMark/>
          </w:tcPr>
          <w:p w:rsidR="00CA15F2" w:rsidRPr="00CA15F2" w:rsidP="00D53103" w14:paraId="6EC2FC5F" w14:textId="77777777">
            <w:pPr>
              <w:jc w:val="center"/>
              <w:rPr>
                <w:rFonts w:ascii="Arial" w:hAnsi="Arial" w:cs="Arial"/>
                <w:color w:val="000000"/>
                <w:sz w:val="16"/>
                <w:szCs w:val="16"/>
              </w:rPr>
            </w:pPr>
            <w:r w:rsidRPr="00CA15F2">
              <w:rPr>
                <w:rFonts w:ascii="Arial" w:hAnsi="Arial" w:cs="Arial"/>
                <w:color w:val="000000"/>
                <w:sz w:val="16"/>
                <w:szCs w:val="16"/>
              </w:rPr>
              <w:t>500</w:t>
            </w:r>
          </w:p>
        </w:tc>
        <w:tc>
          <w:tcPr>
            <w:tcW w:w="1260" w:type="dxa"/>
            <w:tcBorders>
              <w:top w:val="single" w:sz="4" w:space="0" w:color="000000"/>
              <w:left w:val="nil"/>
              <w:bottom w:val="double" w:sz="6" w:space="0" w:color="auto"/>
              <w:right w:val="single" w:sz="8" w:space="0" w:color="auto"/>
            </w:tcBorders>
            <w:shd w:val="clear" w:color="auto" w:fill="auto"/>
            <w:noWrap/>
            <w:vAlign w:val="center"/>
            <w:hideMark/>
          </w:tcPr>
          <w:p w:rsidR="00CA15F2" w:rsidRPr="00CA15F2" w:rsidP="00D53103" w14:paraId="4958CB69" w14:textId="77777777">
            <w:pPr>
              <w:jc w:val="center"/>
              <w:rPr>
                <w:rFonts w:ascii="Arial" w:hAnsi="Arial" w:cs="Arial"/>
                <w:color w:val="000000"/>
                <w:sz w:val="16"/>
                <w:szCs w:val="16"/>
              </w:rPr>
            </w:pPr>
            <w:r w:rsidRPr="00CA15F2">
              <w:rPr>
                <w:rFonts w:ascii="Arial" w:hAnsi="Arial" w:cs="Arial"/>
                <w:color w:val="000000"/>
                <w:sz w:val="16"/>
                <w:szCs w:val="16"/>
              </w:rPr>
              <w:t xml:space="preserve">$25,000 </w:t>
            </w:r>
          </w:p>
        </w:tc>
      </w:tr>
      <w:tr w14:paraId="19CAD106" w14:textId="77777777" w:rsidTr="00CA15F2">
        <w:tblPrEx>
          <w:tblW w:w="8090" w:type="dxa"/>
          <w:tblLayout w:type="fixed"/>
          <w:tblLook w:val="04A0"/>
        </w:tblPrEx>
        <w:trPr>
          <w:trHeight w:val="255"/>
        </w:trPr>
        <w:tc>
          <w:tcPr>
            <w:tcW w:w="1520" w:type="dxa"/>
            <w:tcBorders>
              <w:top w:val="single" w:sz="4" w:space="0" w:color="000000"/>
              <w:left w:val="single" w:sz="8" w:space="0" w:color="auto"/>
              <w:bottom w:val="single" w:sz="8" w:space="0" w:color="auto"/>
              <w:right w:val="single" w:sz="8" w:space="0" w:color="auto"/>
            </w:tcBorders>
            <w:shd w:val="clear" w:color="D9D9D9" w:fill="D9D9D9"/>
            <w:noWrap/>
            <w:vAlign w:val="center"/>
          </w:tcPr>
          <w:p w:rsidR="00087994" w:rsidRPr="00CA15F2" w:rsidP="00D53103" w14:paraId="3ECC9511" w14:textId="0DB4238A">
            <w:pPr>
              <w:rPr>
                <w:rFonts w:ascii="Arial" w:hAnsi="Arial" w:cs="Arial"/>
                <w:b/>
                <w:bCs/>
                <w:color w:val="000000"/>
                <w:sz w:val="16"/>
                <w:szCs w:val="16"/>
              </w:rPr>
            </w:pPr>
            <w:r>
              <w:rPr>
                <w:rFonts w:ascii="Arial" w:hAnsi="Arial" w:cs="Arial"/>
                <w:b/>
                <w:bCs/>
                <w:color w:val="000000"/>
                <w:sz w:val="16"/>
                <w:szCs w:val="16"/>
              </w:rPr>
              <w:t>BABAA waiver compliance</w:t>
            </w:r>
          </w:p>
        </w:tc>
        <w:tc>
          <w:tcPr>
            <w:tcW w:w="1170" w:type="dxa"/>
            <w:tcBorders>
              <w:top w:val="single" w:sz="4" w:space="0" w:color="000000"/>
              <w:left w:val="nil"/>
              <w:bottom w:val="single" w:sz="8" w:space="0" w:color="auto"/>
              <w:right w:val="single" w:sz="8" w:space="0" w:color="auto"/>
            </w:tcBorders>
            <w:shd w:val="clear" w:color="D9D9D9" w:fill="D9D9D9"/>
            <w:noWrap/>
            <w:vAlign w:val="center"/>
          </w:tcPr>
          <w:p w:rsidR="00087994" w:rsidRPr="00CA15F2" w:rsidP="00D53103" w14:paraId="497F7448" w14:textId="4A49AF50">
            <w:pPr>
              <w:jc w:val="center"/>
              <w:rPr>
                <w:rFonts w:ascii="Arial" w:hAnsi="Arial" w:cs="Arial"/>
                <w:color w:val="000000"/>
                <w:sz w:val="16"/>
                <w:szCs w:val="16"/>
              </w:rPr>
            </w:pPr>
            <w:r>
              <w:rPr>
                <w:rFonts w:ascii="Arial" w:hAnsi="Arial" w:cs="Arial"/>
                <w:color w:val="000000"/>
                <w:sz w:val="16"/>
                <w:szCs w:val="16"/>
              </w:rPr>
              <w:t>47</w:t>
            </w:r>
          </w:p>
        </w:tc>
        <w:tc>
          <w:tcPr>
            <w:tcW w:w="1170" w:type="dxa"/>
            <w:tcBorders>
              <w:top w:val="single" w:sz="4" w:space="0" w:color="000000"/>
              <w:left w:val="nil"/>
              <w:bottom w:val="single" w:sz="8" w:space="0" w:color="auto"/>
              <w:right w:val="single" w:sz="8" w:space="0" w:color="auto"/>
            </w:tcBorders>
            <w:shd w:val="clear" w:color="D9D9D9" w:fill="D9D9D9"/>
            <w:noWrap/>
            <w:vAlign w:val="center"/>
          </w:tcPr>
          <w:p w:rsidR="00087994" w:rsidP="00D53103" w14:paraId="399CD675" w14:textId="77777777">
            <w:pPr>
              <w:jc w:val="center"/>
              <w:rPr>
                <w:rFonts w:ascii="Arial" w:hAnsi="Arial" w:cs="Arial"/>
                <w:color w:val="000000"/>
                <w:sz w:val="16"/>
                <w:szCs w:val="16"/>
              </w:rPr>
            </w:pPr>
          </w:p>
        </w:tc>
        <w:tc>
          <w:tcPr>
            <w:tcW w:w="1080" w:type="dxa"/>
            <w:tcBorders>
              <w:top w:val="single" w:sz="4" w:space="0" w:color="000000"/>
              <w:left w:val="nil"/>
              <w:bottom w:val="single" w:sz="8" w:space="0" w:color="auto"/>
              <w:right w:val="single" w:sz="8" w:space="0" w:color="auto"/>
            </w:tcBorders>
            <w:shd w:val="clear" w:color="D9D9D9" w:fill="D9D9D9"/>
            <w:noWrap/>
            <w:vAlign w:val="center"/>
          </w:tcPr>
          <w:p w:rsidR="00087994" w:rsidRPr="00CA15F2" w:rsidP="00D53103" w14:paraId="50DC1A59" w14:textId="77777777">
            <w:pPr>
              <w:jc w:val="center"/>
              <w:rPr>
                <w:rFonts w:ascii="Arial" w:hAnsi="Arial" w:cs="Arial"/>
                <w:color w:val="000000"/>
                <w:sz w:val="16"/>
                <w:szCs w:val="16"/>
              </w:rPr>
            </w:pPr>
          </w:p>
        </w:tc>
        <w:tc>
          <w:tcPr>
            <w:tcW w:w="900" w:type="dxa"/>
            <w:tcBorders>
              <w:top w:val="single" w:sz="4" w:space="0" w:color="000000"/>
              <w:left w:val="nil"/>
              <w:bottom w:val="single" w:sz="8" w:space="0" w:color="auto"/>
              <w:right w:val="single" w:sz="8" w:space="0" w:color="auto"/>
            </w:tcBorders>
            <w:shd w:val="clear" w:color="D9D9D9" w:fill="D9D9D9"/>
            <w:noWrap/>
            <w:vAlign w:val="center"/>
          </w:tcPr>
          <w:p w:rsidR="00087994" w:rsidRPr="00CA15F2" w:rsidP="00D53103" w14:paraId="26EBABFD" w14:textId="77777777">
            <w:pPr>
              <w:jc w:val="center"/>
              <w:rPr>
                <w:rFonts w:ascii="Arial" w:hAnsi="Arial" w:cs="Arial"/>
                <w:color w:val="000000"/>
                <w:sz w:val="16"/>
                <w:szCs w:val="16"/>
              </w:rPr>
            </w:pPr>
          </w:p>
        </w:tc>
        <w:tc>
          <w:tcPr>
            <w:tcW w:w="990" w:type="dxa"/>
            <w:tcBorders>
              <w:top w:val="single" w:sz="4" w:space="0" w:color="000000"/>
              <w:left w:val="nil"/>
              <w:bottom w:val="single" w:sz="8" w:space="0" w:color="auto"/>
              <w:right w:val="single" w:sz="8" w:space="0" w:color="auto"/>
            </w:tcBorders>
            <w:shd w:val="clear" w:color="D9D9D9" w:fill="D9D9D9"/>
            <w:noWrap/>
            <w:vAlign w:val="center"/>
          </w:tcPr>
          <w:p w:rsidR="00087994" w:rsidRPr="00CA15F2" w:rsidP="00D53103" w14:paraId="3A31D2B7" w14:textId="0322FE2E">
            <w:pPr>
              <w:jc w:val="center"/>
              <w:rPr>
                <w:rFonts w:ascii="Arial" w:hAnsi="Arial" w:cs="Arial"/>
                <w:color w:val="000000"/>
                <w:sz w:val="16"/>
                <w:szCs w:val="16"/>
              </w:rPr>
            </w:pPr>
            <w:r>
              <w:rPr>
                <w:rFonts w:ascii="Arial" w:hAnsi="Arial" w:cs="Arial"/>
                <w:color w:val="000000"/>
                <w:sz w:val="16"/>
                <w:szCs w:val="16"/>
              </w:rPr>
              <w:t>282</w:t>
            </w:r>
          </w:p>
        </w:tc>
        <w:tc>
          <w:tcPr>
            <w:tcW w:w="1260" w:type="dxa"/>
            <w:tcBorders>
              <w:top w:val="single" w:sz="4" w:space="0" w:color="000000"/>
              <w:left w:val="nil"/>
              <w:bottom w:val="single" w:sz="8" w:space="0" w:color="auto"/>
              <w:right w:val="single" w:sz="8" w:space="0" w:color="auto"/>
            </w:tcBorders>
            <w:shd w:val="clear" w:color="D9D9D9" w:fill="D9D9D9"/>
            <w:noWrap/>
            <w:vAlign w:val="center"/>
          </w:tcPr>
          <w:p w:rsidR="00087994" w:rsidRPr="00CA15F2" w:rsidP="00D53103" w14:paraId="246D8D19" w14:textId="50FAF6DB">
            <w:pPr>
              <w:jc w:val="center"/>
              <w:rPr>
                <w:rFonts w:ascii="Arial" w:hAnsi="Arial" w:cs="Arial"/>
                <w:color w:val="000000"/>
                <w:sz w:val="16"/>
                <w:szCs w:val="16"/>
              </w:rPr>
            </w:pPr>
            <w:r>
              <w:rPr>
                <w:rFonts w:ascii="Arial" w:hAnsi="Arial" w:cs="Arial"/>
                <w:color w:val="000000"/>
                <w:sz w:val="16"/>
                <w:szCs w:val="16"/>
              </w:rPr>
              <w:t>$14,100</w:t>
            </w:r>
          </w:p>
        </w:tc>
      </w:tr>
      <w:tr w14:paraId="37312541" w14:textId="77777777" w:rsidTr="00CA15F2">
        <w:tblPrEx>
          <w:tblW w:w="8090" w:type="dxa"/>
          <w:tblLayout w:type="fixed"/>
          <w:tblLook w:val="04A0"/>
        </w:tblPrEx>
        <w:trPr>
          <w:trHeight w:val="255"/>
        </w:trPr>
        <w:tc>
          <w:tcPr>
            <w:tcW w:w="1520" w:type="dxa"/>
            <w:tcBorders>
              <w:top w:val="single" w:sz="4" w:space="0" w:color="000000"/>
              <w:left w:val="single" w:sz="8" w:space="0" w:color="auto"/>
              <w:bottom w:val="single" w:sz="8" w:space="0" w:color="auto"/>
              <w:right w:val="single" w:sz="8" w:space="0" w:color="auto"/>
            </w:tcBorders>
            <w:shd w:val="clear" w:color="D9D9D9" w:fill="D9D9D9"/>
            <w:noWrap/>
            <w:vAlign w:val="center"/>
            <w:hideMark/>
          </w:tcPr>
          <w:p w:rsidR="00CA15F2" w:rsidRPr="00CA15F2" w:rsidP="00D53103" w14:paraId="4E2C037E" w14:textId="77777777">
            <w:pPr>
              <w:rPr>
                <w:rFonts w:ascii="Arial" w:hAnsi="Arial" w:cs="Arial"/>
                <w:b/>
                <w:bCs/>
                <w:color w:val="000000"/>
                <w:sz w:val="16"/>
                <w:szCs w:val="16"/>
              </w:rPr>
            </w:pPr>
            <w:r w:rsidRPr="00CA15F2">
              <w:rPr>
                <w:rFonts w:ascii="Arial" w:hAnsi="Arial" w:cs="Arial"/>
                <w:b/>
                <w:bCs/>
                <w:color w:val="000000"/>
                <w:sz w:val="16"/>
                <w:szCs w:val="16"/>
              </w:rPr>
              <w:t>Total Recordkeeping</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098ED085" w14:textId="77777777">
            <w:pPr>
              <w:jc w:val="center"/>
              <w:rPr>
                <w:rFonts w:ascii="Arial" w:hAnsi="Arial" w:cs="Arial"/>
                <w:color w:val="000000"/>
                <w:sz w:val="16"/>
                <w:szCs w:val="16"/>
              </w:rPr>
            </w:pPr>
            <w:r w:rsidRPr="00CA15F2">
              <w:rPr>
                <w:rFonts w:ascii="Arial" w:hAnsi="Arial" w:cs="Arial"/>
                <w:color w:val="000000"/>
                <w:sz w:val="16"/>
                <w:szCs w:val="16"/>
              </w:rPr>
              <w:t>52</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46E22654" w14:textId="35CE6506">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6CE53E34" w14:textId="77777777">
            <w:pPr>
              <w:jc w:val="center"/>
              <w:rPr>
                <w:rFonts w:ascii="Arial" w:hAnsi="Arial" w:cs="Arial"/>
                <w:color w:val="000000"/>
                <w:sz w:val="16"/>
                <w:szCs w:val="16"/>
              </w:rPr>
            </w:pPr>
            <w:r w:rsidRPr="00CA15F2">
              <w:rPr>
                <w:rFonts w:ascii="Arial" w:hAnsi="Arial" w:cs="Arial"/>
                <w:color w:val="000000"/>
                <w:sz w:val="16"/>
                <w:szCs w:val="16"/>
              </w:rPr>
              <w:t>52</w:t>
            </w:r>
          </w:p>
        </w:tc>
        <w:tc>
          <w:tcPr>
            <w:tcW w:w="90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31903AFE" w14:textId="77777777">
            <w:pPr>
              <w:jc w:val="center"/>
              <w:rPr>
                <w:rFonts w:ascii="Arial" w:hAnsi="Arial" w:cs="Arial"/>
                <w:color w:val="000000"/>
                <w:sz w:val="16"/>
                <w:szCs w:val="16"/>
              </w:rPr>
            </w:pPr>
            <w:r w:rsidRPr="00CA15F2">
              <w:rPr>
                <w:rFonts w:ascii="Arial" w:hAnsi="Arial" w:cs="Arial"/>
                <w:color w:val="000000"/>
                <w:sz w:val="16"/>
                <w:szCs w:val="16"/>
              </w:rPr>
              <w:t>100</w:t>
            </w:r>
          </w:p>
        </w:tc>
        <w:tc>
          <w:tcPr>
            <w:tcW w:w="99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0533DD8C" w14:textId="0ECADCA2">
            <w:pPr>
              <w:jc w:val="center"/>
              <w:rPr>
                <w:rFonts w:ascii="Arial" w:hAnsi="Arial" w:cs="Arial"/>
                <w:color w:val="000000"/>
                <w:sz w:val="16"/>
                <w:szCs w:val="16"/>
              </w:rPr>
            </w:pPr>
            <w:r w:rsidRPr="00CA15F2">
              <w:rPr>
                <w:rFonts w:ascii="Arial" w:hAnsi="Arial" w:cs="Arial"/>
                <w:color w:val="000000"/>
                <w:sz w:val="16"/>
                <w:szCs w:val="16"/>
              </w:rPr>
              <w:t>5,</w:t>
            </w:r>
            <w:r w:rsidR="00087994">
              <w:rPr>
                <w:rFonts w:ascii="Arial" w:hAnsi="Arial" w:cs="Arial"/>
                <w:color w:val="000000"/>
                <w:sz w:val="16"/>
                <w:szCs w:val="16"/>
              </w:rPr>
              <w:t>482</w:t>
            </w:r>
          </w:p>
        </w:tc>
        <w:tc>
          <w:tcPr>
            <w:tcW w:w="126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31C6EAF9" w14:textId="029EC263">
            <w:pPr>
              <w:jc w:val="center"/>
              <w:rPr>
                <w:rFonts w:ascii="Arial" w:hAnsi="Arial" w:cs="Arial"/>
                <w:color w:val="000000"/>
                <w:sz w:val="16"/>
                <w:szCs w:val="16"/>
              </w:rPr>
            </w:pPr>
            <w:r w:rsidRPr="00CA15F2">
              <w:rPr>
                <w:rFonts w:ascii="Arial" w:hAnsi="Arial" w:cs="Arial"/>
                <w:color w:val="000000"/>
                <w:sz w:val="16"/>
                <w:szCs w:val="16"/>
              </w:rPr>
              <w:t>$</w:t>
            </w:r>
            <w:r w:rsidR="00087994">
              <w:rPr>
                <w:rFonts w:ascii="Arial" w:hAnsi="Arial" w:cs="Arial"/>
                <w:color w:val="000000"/>
                <w:sz w:val="16"/>
                <w:szCs w:val="16"/>
              </w:rPr>
              <w:t>274,100</w:t>
            </w:r>
          </w:p>
        </w:tc>
      </w:tr>
      <w:tr w14:paraId="120DA223" w14:textId="77777777" w:rsidTr="00CA15F2">
        <w:tblPrEx>
          <w:tblW w:w="8090" w:type="dxa"/>
          <w:tblLayout w:type="fixed"/>
          <w:tblLook w:val="04A0"/>
        </w:tblPrEx>
        <w:trPr>
          <w:trHeight w:val="246"/>
        </w:trPr>
        <w:tc>
          <w:tcPr>
            <w:tcW w:w="1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15F2" w:rsidRPr="00D3001D" w:rsidP="00D53103" w14:paraId="736EFD6F" w14:textId="533E23F0">
            <w:pPr>
              <w:rPr>
                <w:rFonts w:ascii="Arial" w:hAnsi="Arial" w:cs="Arial"/>
                <w:b/>
                <w:bCs/>
                <w:color w:val="000000"/>
                <w:sz w:val="18"/>
                <w:szCs w:val="18"/>
              </w:rPr>
            </w:pPr>
            <w:r w:rsidRPr="00D3001D">
              <w:rPr>
                <w:rFonts w:ascii="Arial" w:hAnsi="Arial" w:cs="Arial"/>
                <w:b/>
                <w:bCs/>
                <w:color w:val="000000"/>
                <w:sz w:val="18"/>
                <w:szCs w:val="18"/>
              </w:rPr>
              <w:t>Total Burden</w:t>
            </w:r>
            <w:r w:rsidRPr="00D3001D" w:rsidR="00D3001D">
              <w:rPr>
                <w:rFonts w:ascii="Arial" w:hAnsi="Arial" w:cs="Arial"/>
                <w:b/>
                <w:bCs/>
                <w:color w:val="000000"/>
                <w:sz w:val="18"/>
                <w:szCs w:val="18"/>
              </w:rPr>
              <w:t xml:space="preserve"> </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CA15F2" w:rsidRPr="00D3001D" w:rsidP="00D53103" w14:paraId="03FD8ED4" w14:textId="77777777">
            <w:pPr>
              <w:jc w:val="center"/>
              <w:rPr>
                <w:rFonts w:ascii="Arial" w:hAnsi="Arial" w:cs="Arial"/>
                <w:b/>
                <w:bCs/>
                <w:color w:val="000000"/>
                <w:sz w:val="18"/>
                <w:szCs w:val="18"/>
              </w:rPr>
            </w:pPr>
            <w:r w:rsidRPr="00D3001D">
              <w:rPr>
                <w:rFonts w:ascii="Arial" w:hAnsi="Arial" w:cs="Arial"/>
                <w:b/>
                <w:bCs/>
                <w:color w:val="000000"/>
                <w:sz w:val="18"/>
                <w:szCs w:val="18"/>
              </w:rPr>
              <w:t>52</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CA15F2" w:rsidRPr="00D3001D" w:rsidP="00D53103" w14:paraId="315D061A" w14:textId="09977749">
            <w:pPr>
              <w:jc w:val="center"/>
              <w:rPr>
                <w:rFonts w:ascii="Arial" w:hAnsi="Arial" w:cs="Arial"/>
                <w:b/>
                <w:bCs/>
                <w:color w:val="000000"/>
                <w:sz w:val="18"/>
                <w:szCs w:val="18"/>
              </w:rPr>
            </w:pPr>
            <w:r>
              <w:rPr>
                <w:rFonts w:ascii="Arial" w:hAnsi="Arial" w:cs="Arial"/>
                <w:b/>
                <w:bCs/>
                <w:color w:val="000000"/>
                <w:sz w:val="18"/>
                <w:szCs w:val="18"/>
              </w:rPr>
              <w:t>1</w:t>
            </w:r>
            <w:r w:rsidR="00087994">
              <w:rPr>
                <w:rFonts w:ascii="Arial" w:hAnsi="Arial" w:cs="Arial"/>
                <w:b/>
                <w:bCs/>
                <w:color w:val="000000"/>
                <w:sz w:val="18"/>
                <w:szCs w:val="18"/>
              </w:rPr>
              <w:t>0.8086</w:t>
            </w:r>
            <w:r>
              <w:rPr>
                <w:rStyle w:val="FootnoteReference"/>
                <w:rFonts w:ascii="Arial" w:hAnsi="Arial" w:cs="Arial"/>
                <w:b/>
                <w:bCs/>
                <w:color w:val="000000"/>
                <w:sz w:val="18"/>
                <w:szCs w:val="18"/>
              </w:rPr>
              <w:footnoteReference w:id="7"/>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CA15F2" w:rsidRPr="00D3001D" w:rsidP="00D53103" w14:paraId="58BFD7EE" w14:textId="12C7D748">
            <w:pPr>
              <w:jc w:val="center"/>
              <w:rPr>
                <w:rFonts w:ascii="Arial" w:hAnsi="Arial" w:cs="Arial"/>
                <w:b/>
                <w:bCs/>
                <w:color w:val="000000"/>
                <w:sz w:val="18"/>
                <w:szCs w:val="18"/>
              </w:rPr>
            </w:pPr>
            <w:r>
              <w:rPr>
                <w:rFonts w:ascii="Arial" w:hAnsi="Arial" w:cs="Arial"/>
                <w:b/>
                <w:bCs/>
                <w:color w:val="000000"/>
                <w:sz w:val="18"/>
                <w:szCs w:val="18"/>
              </w:rPr>
              <w:t>563</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CA15F2" w:rsidRPr="00D3001D" w:rsidP="00D53103" w14:paraId="52CBA00C" w14:textId="179A9BA2">
            <w:pPr>
              <w:jc w:val="center"/>
              <w:rPr>
                <w:rFonts w:ascii="Arial" w:hAnsi="Arial" w:cs="Arial"/>
                <w:b/>
                <w:bCs/>
                <w:color w:val="000000"/>
                <w:sz w:val="18"/>
                <w:szCs w:val="18"/>
              </w:rPr>
            </w:pPr>
            <w:r w:rsidRPr="00D3001D">
              <w:rPr>
                <w:rFonts w:ascii="Arial" w:hAnsi="Arial" w:cs="Arial"/>
                <w:b/>
                <w:bCs/>
                <w:color w:val="000000"/>
                <w:sz w:val="18"/>
                <w:szCs w:val="18"/>
              </w:rPr>
              <w:t>1</w:t>
            </w:r>
            <w:r w:rsidR="00087994">
              <w:rPr>
                <w:rFonts w:ascii="Arial" w:hAnsi="Arial" w:cs="Arial"/>
                <w:b/>
                <w:bCs/>
                <w:color w:val="000000"/>
                <w:sz w:val="18"/>
                <w:szCs w:val="18"/>
              </w:rPr>
              <w:t>1.259</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CA15F2" w:rsidRPr="00D3001D" w:rsidP="00D53103" w14:paraId="68C7DD59" w14:textId="21514B5A">
            <w:pPr>
              <w:jc w:val="center"/>
              <w:rPr>
                <w:rFonts w:ascii="Arial" w:hAnsi="Arial" w:cs="Arial"/>
                <w:b/>
                <w:bCs/>
                <w:color w:val="000000"/>
                <w:sz w:val="18"/>
                <w:szCs w:val="18"/>
              </w:rPr>
            </w:pPr>
            <w:r>
              <w:rPr>
                <w:rFonts w:ascii="Arial" w:hAnsi="Arial" w:cs="Arial"/>
                <w:b/>
                <w:bCs/>
                <w:color w:val="000000"/>
                <w:sz w:val="18"/>
                <w:szCs w:val="18"/>
              </w:rPr>
              <w:t>6,339</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CA15F2" w:rsidRPr="00D3001D" w:rsidP="00D53103" w14:paraId="56839C3D" w14:textId="46C489B2">
            <w:pPr>
              <w:jc w:val="center"/>
              <w:rPr>
                <w:rFonts w:ascii="Arial" w:hAnsi="Arial" w:cs="Arial"/>
                <w:b/>
                <w:bCs/>
                <w:color w:val="000000"/>
                <w:sz w:val="18"/>
                <w:szCs w:val="18"/>
              </w:rPr>
            </w:pPr>
            <w:r w:rsidRPr="00D3001D">
              <w:rPr>
                <w:rFonts w:ascii="Arial" w:hAnsi="Arial" w:cs="Arial"/>
                <w:b/>
                <w:bCs/>
                <w:color w:val="000000"/>
                <w:sz w:val="18"/>
                <w:szCs w:val="18"/>
              </w:rPr>
              <w:t>$</w:t>
            </w:r>
            <w:r w:rsidR="00087994">
              <w:rPr>
                <w:rFonts w:ascii="Arial" w:hAnsi="Arial" w:cs="Arial"/>
                <w:b/>
                <w:bCs/>
                <w:color w:val="000000"/>
                <w:sz w:val="18"/>
                <w:szCs w:val="18"/>
              </w:rPr>
              <w:t>315,888</w:t>
            </w:r>
          </w:p>
        </w:tc>
      </w:tr>
    </w:tbl>
    <w:p w:rsidR="00CA15F2" w:rsidP="004B0AEF" w14:paraId="5CEBDF1B" w14:textId="5FDAF1F0">
      <w:pPr>
        <w:ind w:firstLine="360"/>
        <w:rPr>
          <w:b/>
          <w:u w:val="single"/>
        </w:rPr>
      </w:pPr>
    </w:p>
    <w:p w:rsidR="00FB7F1C" w:rsidRPr="00F561A0" w:rsidP="00A056F0" w14:paraId="3822291A" w14:textId="2AF801B3">
      <w:pPr>
        <w:ind w:firstLine="360"/>
        <w:rPr>
          <w:sz w:val="20"/>
          <w:szCs w:val="20"/>
        </w:rPr>
      </w:pPr>
      <w:r w:rsidRPr="00B36755">
        <w:rPr>
          <w:b/>
        </w:rPr>
        <w:t>13.</w:t>
      </w:r>
      <w:r w:rsidR="00822B1B">
        <w:rPr>
          <w:b/>
        </w:rPr>
        <w:t xml:space="preserve"> </w:t>
      </w:r>
      <w:r w:rsidR="005F1080">
        <w:rPr>
          <w:b/>
          <w:u w:val="single"/>
        </w:rPr>
        <w:t>A</w:t>
      </w:r>
      <w:r w:rsidRPr="00B36755">
        <w:rPr>
          <w:b/>
          <w:u w:val="single"/>
        </w:rPr>
        <w:t xml:space="preserve">nnual </w:t>
      </w:r>
      <w:r w:rsidR="005F1080">
        <w:rPr>
          <w:b/>
          <w:u w:val="single"/>
        </w:rPr>
        <w:t>C</w:t>
      </w:r>
      <w:r w:rsidRPr="00B36755">
        <w:rPr>
          <w:b/>
          <w:u w:val="single"/>
        </w:rPr>
        <w:t>ost</w:t>
      </w:r>
      <w:r w:rsidR="005F1080">
        <w:rPr>
          <w:b/>
          <w:u w:val="single"/>
        </w:rPr>
        <w:t>s</w:t>
      </w:r>
      <w:r w:rsidRPr="00B36755">
        <w:rPr>
          <w:b/>
          <w:u w:val="single"/>
        </w:rPr>
        <w:t xml:space="preserve"> to </w:t>
      </w:r>
      <w:r w:rsidR="005F1080">
        <w:rPr>
          <w:b/>
          <w:u w:val="single"/>
        </w:rPr>
        <w:t>R</w:t>
      </w:r>
      <w:r w:rsidRPr="00B36755">
        <w:rPr>
          <w:b/>
          <w:u w:val="single"/>
        </w:rPr>
        <w:t>espondents</w:t>
      </w:r>
      <w:r w:rsidR="005F1080">
        <w:rPr>
          <w:b/>
          <w:u w:val="single"/>
        </w:rPr>
        <w:t>.</w:t>
      </w:r>
    </w:p>
    <w:p w:rsidR="00403DA0" w:rsidP="00CB003A" w14:paraId="118FAE07" w14:textId="77777777"/>
    <w:p w:rsidR="004B7407" w:rsidP="00B36755" w14:paraId="2B1F34FA" w14:textId="1A77EB8F">
      <w:r w:rsidRPr="00BC1BAC">
        <w:t xml:space="preserve">There </w:t>
      </w:r>
      <w:r w:rsidR="00A10CD2">
        <w:t>are</w:t>
      </w:r>
      <w:r w:rsidR="00E13A9C">
        <w:t xml:space="preserve"> </w:t>
      </w:r>
      <w:r w:rsidRPr="00BC1BAC">
        <w:t xml:space="preserve">no annualized capital/startup costs for the </w:t>
      </w:r>
      <w:r w:rsidR="00302265">
        <w:t xml:space="preserve">eligible recipients </w:t>
      </w:r>
      <w:r w:rsidRPr="00BC1BAC">
        <w:t>to provide this information</w:t>
      </w:r>
      <w:r w:rsidR="00302265">
        <w:t xml:space="preserve"> collection.</w:t>
      </w:r>
      <w:r w:rsidR="00822B1B">
        <w:t xml:space="preserve"> </w:t>
      </w:r>
      <w:r w:rsidRPr="00302265" w:rsidR="00302265">
        <w:t>Receiving grant awards under the RESTORE Act specifically does not require grantees to incur startup costs beyond those costs generally associated with receiving federal financial assistance.</w:t>
      </w:r>
      <w:r w:rsidR="00822B1B">
        <w:t xml:space="preserve"> </w:t>
      </w:r>
    </w:p>
    <w:p w:rsidR="00E13A9C" w:rsidP="00CB003A" w14:paraId="3DF2F5DD" w14:textId="77777777"/>
    <w:p w:rsidR="00961823" w:rsidRPr="00C9704D" w:rsidP="00F561A0" w14:paraId="25002B44" w14:textId="08A8D177">
      <w:pPr>
        <w:ind w:firstLine="360"/>
        <w:rPr>
          <w:b/>
        </w:rPr>
      </w:pPr>
      <w:r w:rsidRPr="00C9704D">
        <w:rPr>
          <w:b/>
        </w:rPr>
        <w:t>14.</w:t>
      </w:r>
      <w:r w:rsidR="00822B1B">
        <w:rPr>
          <w:b/>
        </w:rPr>
        <w:t xml:space="preserve"> </w:t>
      </w:r>
      <w:r w:rsidR="005F1080">
        <w:rPr>
          <w:b/>
          <w:u w:val="single"/>
        </w:rPr>
        <w:t>C</w:t>
      </w:r>
      <w:r w:rsidRPr="00C9704D">
        <w:rPr>
          <w:b/>
          <w:u w:val="single"/>
        </w:rPr>
        <w:t xml:space="preserve">ost to the </w:t>
      </w:r>
      <w:r w:rsidR="005F1080">
        <w:rPr>
          <w:b/>
          <w:u w:val="single"/>
        </w:rPr>
        <w:t>F</w:t>
      </w:r>
      <w:r w:rsidRPr="00C9704D">
        <w:rPr>
          <w:b/>
          <w:u w:val="single"/>
        </w:rPr>
        <w:t xml:space="preserve">ederal </w:t>
      </w:r>
      <w:r w:rsidR="005F1080">
        <w:rPr>
          <w:b/>
          <w:u w:val="single"/>
        </w:rPr>
        <w:t>G</w:t>
      </w:r>
      <w:r w:rsidRPr="00C9704D">
        <w:rPr>
          <w:b/>
          <w:u w:val="single"/>
        </w:rPr>
        <w:t>overnment</w:t>
      </w:r>
      <w:r w:rsidRPr="009E75AE">
        <w:rPr>
          <w:b/>
          <w:u w:val="single"/>
        </w:rPr>
        <w:t>.</w:t>
      </w:r>
    </w:p>
    <w:p w:rsidR="00961823" w:rsidRPr="00AA65FC" w:rsidP="00CB003A" w14:paraId="1288A26D" w14:textId="77777777"/>
    <w:p w:rsidR="00513C1C" w:rsidP="00B117D1" w14:paraId="0BDE2BB0" w14:textId="77777777">
      <w:r>
        <w:t>The costs incurred to the government as a result of implementing the information collection include the annual cost of the grants management system used for applications and post-award management and the personnel costs associated with the review of recipient risk, applications, and post-award actions</w:t>
      </w:r>
      <w:r w:rsidR="00A70C5C">
        <w:t>.</w:t>
      </w:r>
    </w:p>
    <w:p w:rsidR="00513C1C" w:rsidP="00B117D1" w14:paraId="0275020D" w14:textId="77777777"/>
    <w:p w:rsidR="00B117D1" w:rsidP="00B117D1" w14:paraId="00A0E5AC" w14:textId="78D3B434">
      <w:r>
        <w:t>These costs do not represent a change to the costs previously estimated under the prior information collection.</w:t>
      </w:r>
      <w:r w:rsidRPr="00110D39" w:rsidR="00BA3E92">
        <w:t xml:space="preserve"> </w:t>
      </w:r>
    </w:p>
    <w:p w:rsidR="00D3001D" w:rsidP="00B117D1" w14:paraId="35AEA612" w14:textId="0825C687"/>
    <w:p w:rsidR="00D3001D" w:rsidP="00B117D1" w14:paraId="2C3DCF2F" w14:textId="5A420302"/>
    <w:p w:rsidR="00D3001D" w:rsidRPr="00110D39" w:rsidP="00B117D1" w14:paraId="317A41C3" w14:textId="77777777"/>
    <w:tbl>
      <w:tblPr>
        <w:tblW w:w="7740" w:type="dxa"/>
        <w:tblInd w:w="-10" w:type="dxa"/>
        <w:tblLook w:val="04A0"/>
      </w:tblPr>
      <w:tblGrid>
        <w:gridCol w:w="2311"/>
        <w:gridCol w:w="1879"/>
        <w:gridCol w:w="3550"/>
      </w:tblGrid>
      <w:tr w14:paraId="4390069F" w14:textId="77777777" w:rsidTr="00D3001D">
        <w:tblPrEx>
          <w:tblW w:w="7740" w:type="dxa"/>
          <w:tblInd w:w="-10" w:type="dxa"/>
          <w:tblLook w:val="04A0"/>
        </w:tblPrEx>
        <w:trPr>
          <w:trHeight w:val="948"/>
        </w:trPr>
        <w:tc>
          <w:tcPr>
            <w:tcW w:w="23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31937" w:rsidRPr="00D3001D" w14:paraId="789AE95C" w14:textId="77777777">
            <w:pPr>
              <w:rPr>
                <w:b/>
                <w:bCs/>
                <w:color w:val="000000"/>
                <w:sz w:val="22"/>
                <w:szCs w:val="22"/>
              </w:rPr>
            </w:pPr>
            <w:r w:rsidRPr="00D3001D">
              <w:rPr>
                <w:b/>
                <w:bCs/>
                <w:color w:val="000000"/>
                <w:sz w:val="22"/>
                <w:szCs w:val="22"/>
              </w:rPr>
              <w:t>Item</w:t>
            </w:r>
          </w:p>
        </w:tc>
        <w:tc>
          <w:tcPr>
            <w:tcW w:w="1879" w:type="dxa"/>
            <w:tcBorders>
              <w:top w:val="single" w:sz="8" w:space="0" w:color="auto"/>
              <w:left w:val="nil"/>
              <w:bottom w:val="single" w:sz="8" w:space="0" w:color="auto"/>
              <w:right w:val="single" w:sz="8" w:space="0" w:color="auto"/>
            </w:tcBorders>
            <w:shd w:val="clear" w:color="auto" w:fill="auto"/>
            <w:vAlign w:val="center"/>
            <w:hideMark/>
          </w:tcPr>
          <w:p w:rsidR="00231937" w:rsidRPr="00D3001D" w14:paraId="69F76FD2" w14:textId="77777777">
            <w:pPr>
              <w:rPr>
                <w:b/>
                <w:bCs/>
                <w:color w:val="000000"/>
                <w:sz w:val="22"/>
                <w:szCs w:val="22"/>
              </w:rPr>
            </w:pPr>
            <w:r w:rsidRPr="00D3001D">
              <w:rPr>
                <w:b/>
                <w:bCs/>
                <w:color w:val="000000"/>
                <w:sz w:val="22"/>
                <w:szCs w:val="22"/>
              </w:rPr>
              <w:t>Annual Cost</w:t>
            </w:r>
          </w:p>
        </w:tc>
        <w:tc>
          <w:tcPr>
            <w:tcW w:w="3550" w:type="dxa"/>
            <w:tcBorders>
              <w:top w:val="single" w:sz="8" w:space="0" w:color="auto"/>
              <w:left w:val="nil"/>
              <w:bottom w:val="single" w:sz="8" w:space="0" w:color="auto"/>
              <w:right w:val="single" w:sz="8" w:space="0" w:color="auto"/>
            </w:tcBorders>
            <w:shd w:val="clear" w:color="auto" w:fill="auto"/>
            <w:vAlign w:val="center"/>
            <w:hideMark/>
          </w:tcPr>
          <w:p w:rsidR="00231937" w:rsidRPr="00D3001D" w14:paraId="5489BFCD" w14:textId="77777777">
            <w:pPr>
              <w:rPr>
                <w:b/>
                <w:bCs/>
                <w:color w:val="000000"/>
                <w:sz w:val="22"/>
                <w:szCs w:val="22"/>
              </w:rPr>
            </w:pPr>
            <w:r w:rsidRPr="00D3001D">
              <w:rPr>
                <w:b/>
                <w:bCs/>
                <w:color w:val="000000"/>
                <w:sz w:val="22"/>
                <w:szCs w:val="22"/>
              </w:rPr>
              <w:t>Notes</w:t>
            </w:r>
          </w:p>
        </w:tc>
      </w:tr>
      <w:tr w14:paraId="01B11B41" w14:textId="77777777" w:rsidTr="00D3001D">
        <w:tblPrEx>
          <w:tblW w:w="7740" w:type="dxa"/>
          <w:tblInd w:w="-10" w:type="dxa"/>
          <w:tblLook w:val="04A0"/>
        </w:tblPrEx>
        <w:trPr>
          <w:trHeight w:val="1618"/>
        </w:trPr>
        <w:tc>
          <w:tcPr>
            <w:tcW w:w="2311" w:type="dxa"/>
            <w:tcBorders>
              <w:top w:val="nil"/>
              <w:left w:val="single" w:sz="8" w:space="0" w:color="auto"/>
              <w:bottom w:val="single" w:sz="8" w:space="0" w:color="auto"/>
              <w:right w:val="single" w:sz="8" w:space="0" w:color="auto"/>
            </w:tcBorders>
            <w:shd w:val="clear" w:color="auto" w:fill="auto"/>
            <w:vAlign w:val="center"/>
            <w:hideMark/>
          </w:tcPr>
          <w:p w:rsidR="00231937" w:rsidRPr="00D3001D" w14:paraId="075AD1DD" w14:textId="77777777">
            <w:pPr>
              <w:rPr>
                <w:color w:val="000000"/>
                <w:sz w:val="22"/>
                <w:szCs w:val="22"/>
              </w:rPr>
            </w:pPr>
            <w:r w:rsidRPr="00D3001D">
              <w:rPr>
                <w:color w:val="000000"/>
                <w:sz w:val="22"/>
                <w:szCs w:val="22"/>
              </w:rPr>
              <w:t>Salesforce-based online grants management system</w:t>
            </w:r>
          </w:p>
        </w:tc>
        <w:tc>
          <w:tcPr>
            <w:tcW w:w="1879" w:type="dxa"/>
            <w:tcBorders>
              <w:top w:val="nil"/>
              <w:left w:val="nil"/>
              <w:bottom w:val="single" w:sz="8" w:space="0" w:color="auto"/>
              <w:right w:val="single" w:sz="8" w:space="0" w:color="auto"/>
            </w:tcBorders>
            <w:shd w:val="clear" w:color="auto" w:fill="auto"/>
            <w:vAlign w:val="center"/>
            <w:hideMark/>
          </w:tcPr>
          <w:p w:rsidR="00231937" w:rsidRPr="00D3001D" w14:paraId="4231C56E" w14:textId="77777777">
            <w:pPr>
              <w:jc w:val="right"/>
              <w:rPr>
                <w:color w:val="000000"/>
                <w:sz w:val="22"/>
                <w:szCs w:val="22"/>
              </w:rPr>
            </w:pPr>
            <w:r w:rsidRPr="00D3001D">
              <w:rPr>
                <w:color w:val="000000"/>
                <w:sz w:val="22"/>
                <w:szCs w:val="22"/>
              </w:rPr>
              <w:t xml:space="preserve"> $     665,994.75 </w:t>
            </w:r>
          </w:p>
        </w:tc>
        <w:tc>
          <w:tcPr>
            <w:tcW w:w="3550" w:type="dxa"/>
            <w:tcBorders>
              <w:top w:val="nil"/>
              <w:left w:val="nil"/>
              <w:bottom w:val="single" w:sz="8" w:space="0" w:color="auto"/>
              <w:right w:val="single" w:sz="8" w:space="0" w:color="auto"/>
            </w:tcBorders>
            <w:shd w:val="clear" w:color="auto" w:fill="auto"/>
            <w:vAlign w:val="center"/>
            <w:hideMark/>
          </w:tcPr>
          <w:p w:rsidR="00231937" w:rsidRPr="00D3001D" w14:paraId="0A6FE501" w14:textId="77777777">
            <w:pPr>
              <w:rPr>
                <w:color w:val="000000"/>
                <w:sz w:val="22"/>
                <w:szCs w:val="22"/>
              </w:rPr>
            </w:pPr>
            <w:r w:rsidRPr="00D3001D">
              <w:rPr>
                <w:color w:val="000000"/>
                <w:sz w:val="22"/>
                <w:szCs w:val="22"/>
              </w:rPr>
              <w:t>Annual operations and management costs with support contractor. Average of FY23 development costs and FY23, FY24, and FY25 operations and maintenance costs.</w:t>
            </w:r>
          </w:p>
        </w:tc>
      </w:tr>
      <w:tr w14:paraId="5AA5317A" w14:textId="77777777" w:rsidTr="00D3001D">
        <w:tblPrEx>
          <w:tblW w:w="7740" w:type="dxa"/>
          <w:tblInd w:w="-10" w:type="dxa"/>
          <w:tblLook w:val="04A0"/>
        </w:tblPrEx>
        <w:trPr>
          <w:trHeight w:val="324"/>
        </w:trPr>
        <w:tc>
          <w:tcPr>
            <w:tcW w:w="2311" w:type="dxa"/>
            <w:tcBorders>
              <w:top w:val="nil"/>
              <w:left w:val="single" w:sz="8" w:space="0" w:color="auto"/>
              <w:bottom w:val="single" w:sz="8" w:space="0" w:color="auto"/>
              <w:right w:val="single" w:sz="8" w:space="0" w:color="auto"/>
            </w:tcBorders>
            <w:shd w:val="clear" w:color="auto" w:fill="auto"/>
            <w:vAlign w:val="center"/>
            <w:hideMark/>
          </w:tcPr>
          <w:p w:rsidR="00231937" w:rsidRPr="00D3001D" w14:paraId="026F2F76" w14:textId="77777777">
            <w:pPr>
              <w:rPr>
                <w:color w:val="000000"/>
                <w:sz w:val="22"/>
                <w:szCs w:val="22"/>
              </w:rPr>
            </w:pPr>
            <w:r w:rsidRPr="00D3001D">
              <w:rPr>
                <w:color w:val="000000"/>
                <w:sz w:val="22"/>
                <w:szCs w:val="22"/>
              </w:rPr>
              <w:t>Personnel</w:t>
            </w:r>
          </w:p>
        </w:tc>
        <w:tc>
          <w:tcPr>
            <w:tcW w:w="1879" w:type="dxa"/>
            <w:tcBorders>
              <w:top w:val="nil"/>
              <w:left w:val="nil"/>
              <w:bottom w:val="single" w:sz="8" w:space="0" w:color="auto"/>
              <w:right w:val="single" w:sz="8" w:space="0" w:color="auto"/>
            </w:tcBorders>
            <w:shd w:val="clear" w:color="auto" w:fill="auto"/>
            <w:vAlign w:val="center"/>
            <w:hideMark/>
          </w:tcPr>
          <w:p w:rsidR="00231937" w:rsidRPr="00D3001D" w14:paraId="7E7C60BD" w14:textId="77777777">
            <w:pPr>
              <w:rPr>
                <w:color w:val="000000"/>
                <w:sz w:val="22"/>
                <w:szCs w:val="22"/>
              </w:rPr>
            </w:pPr>
            <w:r w:rsidRPr="00D3001D">
              <w:rPr>
                <w:color w:val="000000"/>
                <w:sz w:val="22"/>
                <w:szCs w:val="22"/>
              </w:rPr>
              <w:t> </w:t>
            </w:r>
          </w:p>
        </w:tc>
        <w:tc>
          <w:tcPr>
            <w:tcW w:w="3550" w:type="dxa"/>
            <w:tcBorders>
              <w:top w:val="nil"/>
              <w:left w:val="nil"/>
              <w:bottom w:val="single" w:sz="8" w:space="0" w:color="auto"/>
              <w:right w:val="single" w:sz="8" w:space="0" w:color="auto"/>
            </w:tcBorders>
            <w:shd w:val="clear" w:color="auto" w:fill="auto"/>
            <w:vAlign w:val="center"/>
            <w:hideMark/>
          </w:tcPr>
          <w:p w:rsidR="00231937" w:rsidRPr="00D3001D" w14:paraId="04981D35" w14:textId="77777777">
            <w:pPr>
              <w:rPr>
                <w:color w:val="000000"/>
                <w:sz w:val="22"/>
                <w:szCs w:val="22"/>
              </w:rPr>
            </w:pPr>
            <w:r w:rsidRPr="00D3001D">
              <w:rPr>
                <w:color w:val="000000"/>
                <w:sz w:val="22"/>
                <w:szCs w:val="22"/>
              </w:rPr>
              <w:t> </w:t>
            </w:r>
          </w:p>
        </w:tc>
      </w:tr>
      <w:tr w14:paraId="7EDEF1D0" w14:textId="77777777" w:rsidTr="00D3001D">
        <w:tblPrEx>
          <w:tblW w:w="7740" w:type="dxa"/>
          <w:tblInd w:w="-10" w:type="dxa"/>
          <w:tblLook w:val="04A0"/>
        </w:tblPrEx>
        <w:trPr>
          <w:trHeight w:val="808"/>
        </w:trPr>
        <w:tc>
          <w:tcPr>
            <w:tcW w:w="2311" w:type="dxa"/>
            <w:tcBorders>
              <w:top w:val="nil"/>
              <w:left w:val="single" w:sz="8" w:space="0" w:color="auto"/>
              <w:bottom w:val="single" w:sz="8" w:space="0" w:color="auto"/>
              <w:right w:val="single" w:sz="8" w:space="0" w:color="auto"/>
            </w:tcBorders>
            <w:shd w:val="clear" w:color="auto" w:fill="auto"/>
            <w:vAlign w:val="center"/>
            <w:hideMark/>
          </w:tcPr>
          <w:p w:rsidR="00231937" w:rsidRPr="00D3001D" w14:paraId="0E67EA24" w14:textId="77777777">
            <w:pPr>
              <w:ind w:firstLine="220" w:firstLineChars="100"/>
              <w:rPr>
                <w:color w:val="000000"/>
                <w:sz w:val="22"/>
                <w:szCs w:val="22"/>
              </w:rPr>
            </w:pPr>
            <w:r w:rsidRPr="00D3001D">
              <w:rPr>
                <w:color w:val="000000"/>
                <w:sz w:val="22"/>
                <w:szCs w:val="22"/>
              </w:rPr>
              <w:t>OGCR staff</w:t>
            </w:r>
          </w:p>
        </w:tc>
        <w:tc>
          <w:tcPr>
            <w:tcW w:w="1879" w:type="dxa"/>
            <w:tcBorders>
              <w:top w:val="nil"/>
              <w:left w:val="nil"/>
              <w:bottom w:val="single" w:sz="8" w:space="0" w:color="auto"/>
              <w:right w:val="single" w:sz="8" w:space="0" w:color="auto"/>
            </w:tcBorders>
            <w:shd w:val="clear" w:color="auto" w:fill="auto"/>
            <w:vAlign w:val="center"/>
            <w:hideMark/>
          </w:tcPr>
          <w:p w:rsidR="00231937" w:rsidRPr="00D3001D" w14:paraId="438E323B" w14:textId="77777777">
            <w:pPr>
              <w:jc w:val="right"/>
              <w:rPr>
                <w:color w:val="000000"/>
                <w:sz w:val="22"/>
                <w:szCs w:val="22"/>
              </w:rPr>
            </w:pPr>
            <w:r w:rsidRPr="00D3001D">
              <w:rPr>
                <w:color w:val="000000"/>
                <w:sz w:val="22"/>
                <w:szCs w:val="22"/>
              </w:rPr>
              <w:t xml:space="preserve"> $     932,865.30 </w:t>
            </w:r>
          </w:p>
        </w:tc>
        <w:tc>
          <w:tcPr>
            <w:tcW w:w="3550" w:type="dxa"/>
            <w:tcBorders>
              <w:top w:val="nil"/>
              <w:left w:val="nil"/>
              <w:bottom w:val="single" w:sz="8" w:space="0" w:color="auto"/>
              <w:right w:val="single" w:sz="8" w:space="0" w:color="auto"/>
            </w:tcBorders>
            <w:shd w:val="clear" w:color="auto" w:fill="auto"/>
            <w:vAlign w:val="center"/>
            <w:hideMark/>
          </w:tcPr>
          <w:p w:rsidR="00231937" w:rsidRPr="00D3001D" w14:paraId="4129E264" w14:textId="77777777">
            <w:pPr>
              <w:rPr>
                <w:color w:val="000000"/>
                <w:sz w:val="22"/>
                <w:szCs w:val="22"/>
              </w:rPr>
            </w:pPr>
            <w:r w:rsidRPr="00D3001D">
              <w:rPr>
                <w:color w:val="000000"/>
                <w:sz w:val="22"/>
                <w:szCs w:val="22"/>
              </w:rPr>
              <w:t>3 GS-13 FTEs @ 50% + 3 GS-14 FTEs @ 50% + 3 GS-15 50 %*</w:t>
            </w:r>
          </w:p>
        </w:tc>
      </w:tr>
      <w:tr w14:paraId="1BAA30EC" w14:textId="77777777" w:rsidTr="00D3001D">
        <w:tblPrEx>
          <w:tblW w:w="7740" w:type="dxa"/>
          <w:tblInd w:w="-10" w:type="dxa"/>
          <w:tblLook w:val="04A0"/>
        </w:tblPrEx>
        <w:trPr>
          <w:trHeight w:val="636"/>
        </w:trPr>
        <w:tc>
          <w:tcPr>
            <w:tcW w:w="2311" w:type="dxa"/>
            <w:tcBorders>
              <w:top w:val="nil"/>
              <w:left w:val="single" w:sz="8" w:space="0" w:color="auto"/>
              <w:bottom w:val="single" w:sz="8" w:space="0" w:color="auto"/>
              <w:right w:val="single" w:sz="8" w:space="0" w:color="auto"/>
            </w:tcBorders>
            <w:shd w:val="clear" w:color="auto" w:fill="auto"/>
            <w:vAlign w:val="center"/>
            <w:hideMark/>
          </w:tcPr>
          <w:p w:rsidR="00231937" w:rsidRPr="00D3001D" w14:paraId="49EFB073" w14:textId="77777777">
            <w:pPr>
              <w:ind w:firstLine="220" w:firstLineChars="100"/>
              <w:rPr>
                <w:color w:val="000000"/>
                <w:sz w:val="22"/>
                <w:szCs w:val="22"/>
              </w:rPr>
            </w:pPr>
            <w:r w:rsidRPr="00D3001D">
              <w:rPr>
                <w:color w:val="000000"/>
                <w:sz w:val="22"/>
                <w:szCs w:val="22"/>
              </w:rPr>
              <w:t>TRAC staff</w:t>
            </w:r>
          </w:p>
        </w:tc>
        <w:tc>
          <w:tcPr>
            <w:tcW w:w="1879" w:type="dxa"/>
            <w:tcBorders>
              <w:top w:val="nil"/>
              <w:left w:val="nil"/>
              <w:bottom w:val="single" w:sz="8" w:space="0" w:color="auto"/>
              <w:right w:val="single" w:sz="8" w:space="0" w:color="auto"/>
            </w:tcBorders>
            <w:shd w:val="clear" w:color="auto" w:fill="auto"/>
            <w:vAlign w:val="center"/>
            <w:hideMark/>
          </w:tcPr>
          <w:p w:rsidR="00231937" w:rsidRPr="00D3001D" w14:paraId="0B50F73C" w14:textId="77777777">
            <w:pPr>
              <w:jc w:val="right"/>
              <w:rPr>
                <w:color w:val="000000"/>
                <w:sz w:val="22"/>
                <w:szCs w:val="22"/>
              </w:rPr>
            </w:pPr>
            <w:r w:rsidRPr="00D3001D">
              <w:rPr>
                <w:color w:val="000000"/>
                <w:sz w:val="22"/>
                <w:szCs w:val="22"/>
              </w:rPr>
              <w:t xml:space="preserve"> $     247,837.91 </w:t>
            </w:r>
          </w:p>
        </w:tc>
        <w:tc>
          <w:tcPr>
            <w:tcW w:w="3550" w:type="dxa"/>
            <w:tcBorders>
              <w:top w:val="nil"/>
              <w:left w:val="nil"/>
              <w:bottom w:val="single" w:sz="8" w:space="0" w:color="auto"/>
              <w:right w:val="single" w:sz="8" w:space="0" w:color="auto"/>
            </w:tcBorders>
            <w:shd w:val="clear" w:color="auto" w:fill="auto"/>
            <w:vAlign w:val="center"/>
            <w:hideMark/>
          </w:tcPr>
          <w:p w:rsidR="00231937" w:rsidRPr="00D3001D" w14:paraId="3C2968E7" w14:textId="77777777">
            <w:pPr>
              <w:rPr>
                <w:color w:val="000000"/>
                <w:sz w:val="22"/>
                <w:szCs w:val="22"/>
              </w:rPr>
            </w:pPr>
            <w:r w:rsidRPr="00D3001D">
              <w:rPr>
                <w:color w:val="000000"/>
                <w:sz w:val="22"/>
                <w:szCs w:val="22"/>
              </w:rPr>
              <w:t>1 GS-15, 4 GS-14, 1 GS-13 @ 20%* </w:t>
            </w:r>
          </w:p>
        </w:tc>
      </w:tr>
      <w:tr w14:paraId="1ED5B6E4" w14:textId="77777777" w:rsidTr="00D3001D">
        <w:tblPrEx>
          <w:tblW w:w="7740" w:type="dxa"/>
          <w:tblInd w:w="-10" w:type="dxa"/>
          <w:tblLook w:val="04A0"/>
        </w:tblPrEx>
        <w:trPr>
          <w:trHeight w:val="324"/>
        </w:trPr>
        <w:tc>
          <w:tcPr>
            <w:tcW w:w="2311" w:type="dxa"/>
            <w:tcBorders>
              <w:top w:val="nil"/>
              <w:left w:val="single" w:sz="8" w:space="0" w:color="auto"/>
              <w:bottom w:val="single" w:sz="8" w:space="0" w:color="auto"/>
              <w:right w:val="single" w:sz="8" w:space="0" w:color="auto"/>
            </w:tcBorders>
            <w:shd w:val="clear" w:color="auto" w:fill="auto"/>
            <w:vAlign w:val="center"/>
            <w:hideMark/>
          </w:tcPr>
          <w:p w:rsidR="00231937" w:rsidRPr="00D3001D" w14:paraId="6B23A0C1" w14:textId="77777777">
            <w:pPr>
              <w:rPr>
                <w:b/>
                <w:bCs/>
                <w:color w:val="000000"/>
                <w:sz w:val="22"/>
                <w:szCs w:val="22"/>
              </w:rPr>
            </w:pPr>
            <w:r w:rsidRPr="00D3001D">
              <w:rPr>
                <w:b/>
                <w:bCs/>
                <w:color w:val="000000"/>
                <w:sz w:val="22"/>
                <w:szCs w:val="22"/>
              </w:rPr>
              <w:t>TOTAL</w:t>
            </w:r>
          </w:p>
        </w:tc>
        <w:tc>
          <w:tcPr>
            <w:tcW w:w="1879" w:type="dxa"/>
            <w:tcBorders>
              <w:top w:val="nil"/>
              <w:left w:val="nil"/>
              <w:bottom w:val="single" w:sz="8" w:space="0" w:color="auto"/>
              <w:right w:val="single" w:sz="8" w:space="0" w:color="auto"/>
            </w:tcBorders>
            <w:shd w:val="clear" w:color="auto" w:fill="auto"/>
            <w:vAlign w:val="center"/>
            <w:hideMark/>
          </w:tcPr>
          <w:p w:rsidR="00231937" w:rsidRPr="00D3001D" w14:paraId="50DAEFD8" w14:textId="77777777">
            <w:pPr>
              <w:jc w:val="right"/>
              <w:rPr>
                <w:b/>
                <w:bCs/>
                <w:color w:val="000000"/>
                <w:sz w:val="22"/>
                <w:szCs w:val="22"/>
              </w:rPr>
            </w:pPr>
            <w:r w:rsidRPr="00D3001D">
              <w:rPr>
                <w:b/>
                <w:bCs/>
                <w:color w:val="000000"/>
                <w:sz w:val="22"/>
                <w:szCs w:val="22"/>
              </w:rPr>
              <w:t xml:space="preserve"> $  1,846,697.97 </w:t>
            </w:r>
          </w:p>
        </w:tc>
        <w:tc>
          <w:tcPr>
            <w:tcW w:w="3550" w:type="dxa"/>
            <w:tcBorders>
              <w:top w:val="nil"/>
              <w:left w:val="nil"/>
              <w:bottom w:val="single" w:sz="8" w:space="0" w:color="auto"/>
              <w:right w:val="single" w:sz="8" w:space="0" w:color="auto"/>
            </w:tcBorders>
            <w:shd w:val="clear" w:color="auto" w:fill="auto"/>
            <w:vAlign w:val="center"/>
            <w:hideMark/>
          </w:tcPr>
          <w:p w:rsidR="00231937" w:rsidRPr="00D3001D" w14:paraId="7A300250" w14:textId="77777777">
            <w:pPr>
              <w:rPr>
                <w:b/>
                <w:bCs/>
                <w:color w:val="000000"/>
                <w:sz w:val="22"/>
                <w:szCs w:val="22"/>
              </w:rPr>
            </w:pPr>
            <w:r w:rsidRPr="00D3001D">
              <w:rPr>
                <w:b/>
                <w:bCs/>
                <w:color w:val="000000"/>
                <w:sz w:val="22"/>
                <w:szCs w:val="22"/>
              </w:rPr>
              <w:t> </w:t>
            </w:r>
          </w:p>
        </w:tc>
      </w:tr>
    </w:tbl>
    <w:p w:rsidR="00961823" w:rsidRPr="00D3001D" w:rsidP="00CB003A" w14:paraId="1ECBF775" w14:textId="2171B02C">
      <w:pPr>
        <w:rPr>
          <w:sz w:val="20"/>
          <w:szCs w:val="20"/>
        </w:rPr>
      </w:pPr>
      <w:r w:rsidRPr="00272E50">
        <w:rPr>
          <w:sz w:val="20"/>
          <w:szCs w:val="20"/>
        </w:rPr>
        <w:t>*Calculated by taking the pro-rated annual salary for each grade level</w:t>
      </w:r>
      <w:r>
        <w:rPr>
          <w:sz w:val="20"/>
          <w:szCs w:val="20"/>
        </w:rPr>
        <w:t>, step 1</w:t>
      </w:r>
      <w:r w:rsidRPr="00272E50">
        <w:rPr>
          <w:sz w:val="20"/>
          <w:szCs w:val="20"/>
        </w:rPr>
        <w:t xml:space="preserve"> in the Washington, DC locality area from the </w:t>
      </w:r>
      <w:hyperlink r:id="rId7" w:history="1">
        <w:r w:rsidRPr="00272E50">
          <w:rPr>
            <w:rStyle w:val="Hyperlink"/>
            <w:sz w:val="20"/>
            <w:szCs w:val="20"/>
          </w:rPr>
          <w:t>Office of Personnel Management</w:t>
        </w:r>
      </w:hyperlink>
      <w:r w:rsidRPr="00272E50">
        <w:rPr>
          <w:sz w:val="20"/>
          <w:szCs w:val="20"/>
        </w:rPr>
        <w:t xml:space="preserve">, plus an additional 63% to account for the cost of benefits. </w:t>
      </w:r>
    </w:p>
    <w:p w:rsidR="00E13A9C" w:rsidRPr="00110D39" w:rsidP="00CB003A" w14:paraId="2CCEF5C1" w14:textId="77777777"/>
    <w:p w:rsidR="00961823" w:rsidRPr="00C9704D" w:rsidP="00666B6D" w14:paraId="7F8C600C" w14:textId="175D22C8">
      <w:pPr>
        <w:keepNext/>
        <w:ind w:firstLine="360"/>
        <w:rPr>
          <w:b/>
        </w:rPr>
      </w:pPr>
      <w:r w:rsidRPr="00B36755">
        <w:rPr>
          <w:b/>
        </w:rPr>
        <w:t>15.</w:t>
      </w:r>
      <w:r w:rsidR="00822B1B">
        <w:rPr>
          <w:b/>
        </w:rPr>
        <w:t xml:space="preserve"> </w:t>
      </w:r>
      <w:r w:rsidRPr="00B36755">
        <w:rPr>
          <w:b/>
          <w:u w:val="single"/>
        </w:rPr>
        <w:t xml:space="preserve">Reason for </w:t>
      </w:r>
      <w:r w:rsidR="005F1080">
        <w:rPr>
          <w:b/>
          <w:u w:val="single"/>
        </w:rPr>
        <w:t>C</w:t>
      </w:r>
      <w:r w:rsidRPr="00B36755">
        <w:rPr>
          <w:b/>
          <w:u w:val="single"/>
        </w:rPr>
        <w:t>hange</w:t>
      </w:r>
      <w:r w:rsidR="005F1080">
        <w:rPr>
          <w:b/>
          <w:u w:val="single"/>
        </w:rPr>
        <w:t>.</w:t>
      </w:r>
    </w:p>
    <w:p w:rsidR="00961823" w:rsidRPr="0025604D" w:rsidP="00666B6D" w14:paraId="474DBA20" w14:textId="77777777">
      <w:pPr>
        <w:keepNext/>
      </w:pPr>
    </w:p>
    <w:p w:rsidR="00331784" w:rsidP="00331784" w14:paraId="1DC29B4F" w14:textId="77777777"/>
    <w:p w:rsidR="00156E23" w:rsidRPr="0025604D" w:rsidP="00331784" w14:paraId="0BEA2A94" w14:textId="475629B6">
      <w:r>
        <w:t>T</w:t>
      </w:r>
      <w:r w:rsidR="005A1476">
        <w:t xml:space="preserve">he total </w:t>
      </w:r>
      <w:r>
        <w:t xml:space="preserve">estimate </w:t>
      </w:r>
      <w:r w:rsidR="005A1476">
        <w:t>burden is</w:t>
      </w:r>
      <w:r w:rsidR="00BB766F">
        <w:t xml:space="preserve"> </w:t>
      </w:r>
      <w:r w:rsidR="00880497">
        <w:t>6,339</w:t>
      </w:r>
      <w:r w:rsidR="00C072FB">
        <w:t xml:space="preserve"> </w:t>
      </w:r>
      <w:r w:rsidR="00BB766F">
        <w:t>hours</w:t>
      </w:r>
      <w:r w:rsidR="00A10CD2">
        <w:t>,</w:t>
      </w:r>
      <w:r w:rsidR="00C10515">
        <w:t xml:space="preserve"> </w:t>
      </w:r>
      <w:r>
        <w:t xml:space="preserve">which represents </w:t>
      </w:r>
      <w:r w:rsidRPr="001D486B">
        <w:rPr>
          <w:u w:val="single"/>
        </w:rPr>
        <w:t>no change</w:t>
      </w:r>
      <w:r>
        <w:t xml:space="preserve"> since the prior </w:t>
      </w:r>
      <w:r w:rsidR="0072245C">
        <w:t xml:space="preserve">emergency collection </w:t>
      </w:r>
      <w:r>
        <w:t xml:space="preserve">estimate approved on </w:t>
      </w:r>
      <w:r w:rsidR="00AE0C11">
        <w:t xml:space="preserve">January 13, 2023. </w:t>
      </w:r>
      <w:r w:rsidR="001D486B">
        <w:t>Treasury estimates that the slight reduction in burden related to the streamlining of the MIP narrative form and the removal of duplicative questions is offset by the slight increase in burden related to requiring entities to upload copies of public comments and their responses to the public comments. Therefore, there is no net effect of the total estimated paperwork burden.</w:t>
      </w:r>
    </w:p>
    <w:p w:rsidR="00E13A9C" w:rsidRPr="0025604D" w:rsidP="00CB003A" w14:paraId="1AB6B81E" w14:textId="77777777"/>
    <w:p w:rsidR="00961823" w:rsidRPr="00C9704D" w:rsidP="00181F21" w14:paraId="3926CF1D" w14:textId="07DF662D">
      <w:pPr>
        <w:keepNext/>
        <w:ind w:firstLine="360"/>
        <w:rPr>
          <w:b/>
        </w:rPr>
      </w:pPr>
      <w:r w:rsidRPr="00C9704D">
        <w:rPr>
          <w:b/>
        </w:rPr>
        <w:t>16.</w:t>
      </w:r>
      <w:r w:rsidR="00822B1B">
        <w:rPr>
          <w:b/>
        </w:rPr>
        <w:t xml:space="preserve"> </w:t>
      </w:r>
      <w:r w:rsidRPr="005F1080" w:rsidR="005F1080">
        <w:rPr>
          <w:b/>
          <w:u w:val="single"/>
        </w:rPr>
        <w:t>Tabulation of Results, Schedule, Analysis Plans.</w:t>
      </w:r>
    </w:p>
    <w:p w:rsidR="00A2596F" w:rsidRPr="00C9704D" w:rsidP="00CB003A" w14:paraId="20E4660D" w14:textId="77777777"/>
    <w:p w:rsidR="0034213F" w:rsidP="00DA5F5B" w14:paraId="55B9FD95" w14:textId="22519638">
      <w:r>
        <w:t>Treasury will use the results of these collections to manage the program. Treasury will summarize and analy</w:t>
      </w:r>
      <w:r w:rsidR="009A683F">
        <w:t>ze</w:t>
      </w:r>
      <w:r>
        <w:t xml:space="preserve"> the results of these collections for internal management use to identify workload trends and common challenges affecting project progress, to monitor the obligation and drawdown of program funds, and (in the case of OSAs) to conduct risk assessments of eligible entities and prioritize future compliance reviews.</w:t>
      </w:r>
    </w:p>
    <w:p w:rsidR="0034213F" w:rsidP="00DA5F5B" w14:paraId="11471BF8" w14:textId="77777777"/>
    <w:p w:rsidR="005E63F6" w:rsidP="00DA5F5B" w14:paraId="2C79FC9A" w14:textId="348ABF50">
      <w:r>
        <w:t>Treasury posts approved Multiyear</w:t>
      </w:r>
      <w:r w:rsidR="00BC04FC">
        <w:t xml:space="preserve"> Implementation</w:t>
      </w:r>
      <w:r>
        <w:t xml:space="preserve"> Plans on its </w:t>
      </w:r>
      <w:r w:rsidR="00BC04FC">
        <w:t xml:space="preserve">RESTORE Act </w:t>
      </w:r>
      <w:r>
        <w:t xml:space="preserve">website. </w:t>
      </w:r>
      <w:r w:rsidRPr="00BC04FC">
        <w:t>Treasury OGCR will also begin posting proposed BABAA waivers on its website, as well as the</w:t>
      </w:r>
      <w:r w:rsidRPr="00BC04FC" w:rsidR="00C435A7">
        <w:t xml:space="preserve"> GSA-managed M</w:t>
      </w:r>
      <w:r w:rsidRPr="00BC04FC" w:rsidR="00513C1C">
        <w:t xml:space="preserve">ade in America </w:t>
      </w:r>
      <w:r w:rsidRPr="00BC04FC" w:rsidR="00C435A7">
        <w:t>website</w:t>
      </w:r>
      <w:r w:rsidRPr="00BC04FC">
        <w:t xml:space="preserve">, </w:t>
      </w:r>
      <w:r>
        <w:t xml:space="preserve">in order to comply with the BABAA requirement for </w:t>
      </w:r>
      <w:r w:rsidRPr="00BC04FC">
        <w:t>public comment</w:t>
      </w:r>
      <w:r w:rsidRPr="00BC04FC" w:rsidR="00C435A7">
        <w:t xml:space="preserve"> before they are finalized</w:t>
      </w:r>
      <w:r w:rsidRPr="00BC04FC">
        <w:t>.</w:t>
      </w:r>
    </w:p>
    <w:p w:rsidR="005E63F6" w:rsidP="00DA5F5B" w14:paraId="47CC2D23" w14:textId="77777777"/>
    <w:p w:rsidR="00A2596F" w:rsidRPr="00C9704D" w:rsidP="00DA5F5B" w14:paraId="752BC461" w14:textId="3EB75EF2">
      <w:r>
        <w:t xml:space="preserve">Other than that, Treasury does not plan to post any data related to individual eligible entities on any public site. However, there may be occasions in which Treasury will summarize information collections to provide a portfolio-level look at program progress and accomplishments. </w:t>
      </w:r>
    </w:p>
    <w:p w:rsidR="00D8191D" w14:paraId="6EC229EB" w14:textId="36A802EE">
      <w:r>
        <w:br w:type="page"/>
      </w:r>
    </w:p>
    <w:p w:rsidR="00A2596F" w:rsidRPr="00C9704D" w:rsidP="00181F21" w14:paraId="15A5084E" w14:textId="4D39D828">
      <w:pPr>
        <w:ind w:firstLine="360"/>
        <w:rPr>
          <w:b/>
        </w:rPr>
      </w:pPr>
      <w:r w:rsidRPr="00C9704D">
        <w:rPr>
          <w:b/>
        </w:rPr>
        <w:t>17.</w:t>
      </w:r>
      <w:r w:rsidR="00822B1B">
        <w:rPr>
          <w:b/>
        </w:rPr>
        <w:t xml:space="preserve"> </w:t>
      </w:r>
      <w:r w:rsidR="005F1080">
        <w:rPr>
          <w:b/>
          <w:u w:val="single"/>
        </w:rPr>
        <w:t>Display of</w:t>
      </w:r>
      <w:r w:rsidRPr="00C9704D">
        <w:rPr>
          <w:b/>
          <w:u w:val="single"/>
        </w:rPr>
        <w:t xml:space="preserve"> OMB </w:t>
      </w:r>
      <w:r w:rsidR="005F1080">
        <w:rPr>
          <w:b/>
          <w:u w:val="single"/>
        </w:rPr>
        <w:t>E</w:t>
      </w:r>
      <w:r w:rsidRPr="00C9704D">
        <w:rPr>
          <w:b/>
          <w:u w:val="single"/>
        </w:rPr>
        <w:t xml:space="preserve">xpiration </w:t>
      </w:r>
      <w:r w:rsidR="005F1080">
        <w:rPr>
          <w:b/>
          <w:u w:val="single"/>
        </w:rPr>
        <w:t>D</w:t>
      </w:r>
      <w:r w:rsidRPr="00C9704D">
        <w:rPr>
          <w:b/>
          <w:u w:val="single"/>
        </w:rPr>
        <w:t>ate</w:t>
      </w:r>
      <w:r w:rsidR="005F1080">
        <w:rPr>
          <w:b/>
          <w:u w:val="single"/>
        </w:rPr>
        <w:t>.</w:t>
      </w:r>
    </w:p>
    <w:p w:rsidR="00A2596F" w:rsidRPr="0025604D" w:rsidP="00CB003A" w14:paraId="773C4464" w14:textId="77777777"/>
    <w:p w:rsidR="00A2596F" w:rsidRPr="000C3C83" w:rsidP="006B22D1" w14:paraId="5E18A909" w14:textId="0199ACCC">
      <w:r>
        <w:t>Display of the expiration date may be confusing to respondents.</w:t>
      </w:r>
      <w:r w:rsidR="00822B1B">
        <w:t xml:space="preserve"> </w:t>
      </w:r>
      <w:r>
        <w:t>Non-display of expiration date is requested.</w:t>
      </w:r>
    </w:p>
    <w:p w:rsidR="00E13A9C" w:rsidRPr="0025604D" w:rsidP="00CB003A" w14:paraId="29CF001A" w14:textId="77777777"/>
    <w:p w:rsidR="004B7407" w:rsidRPr="004B7407" w:rsidP="004B7407" w14:paraId="3B851276" w14:textId="76348329">
      <w:pPr>
        <w:ind w:firstLine="360"/>
        <w:rPr>
          <w:b/>
        </w:rPr>
      </w:pPr>
      <w:r w:rsidRPr="004B7407">
        <w:rPr>
          <w:b/>
        </w:rPr>
        <w:t>1</w:t>
      </w:r>
      <w:r w:rsidR="00D97B1A">
        <w:rPr>
          <w:b/>
        </w:rPr>
        <w:t>8</w:t>
      </w:r>
      <w:r w:rsidRPr="004B7407">
        <w:rPr>
          <w:b/>
        </w:rPr>
        <w:t>.</w:t>
      </w:r>
      <w:r w:rsidR="00822B1B">
        <w:rPr>
          <w:b/>
        </w:rPr>
        <w:t xml:space="preserve"> </w:t>
      </w:r>
      <w:r>
        <w:rPr>
          <w:b/>
          <w:u w:val="single"/>
        </w:rPr>
        <w:t xml:space="preserve">Exceptions to </w:t>
      </w:r>
      <w:r w:rsidRPr="005F1080" w:rsidR="005F1080">
        <w:rPr>
          <w:b/>
          <w:u w:val="single"/>
        </w:rPr>
        <w:t>Certification for Paperwork Reduction Act Submission.</w:t>
      </w:r>
    </w:p>
    <w:p w:rsidR="004B7407" w:rsidP="00A90BAB" w14:paraId="7B2203DE" w14:textId="77777777"/>
    <w:p w:rsidR="00156E23" w:rsidRPr="0025604D" w:rsidP="00A90BAB" w14:paraId="62FB5508" w14:textId="77777777">
      <w:r>
        <w:t>T</w:t>
      </w:r>
      <w:r w:rsidRPr="0025604D" w:rsidR="000E1F44">
        <w:t>here are no exceptions to the certification statement.</w:t>
      </w:r>
    </w:p>
    <w:sectPr w:rsidSect="00512B62">
      <w:footerReference w:type="even" r:id="rId8"/>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937" w:rsidP="00105553" w14:paraId="5EF9F7A2" w14:textId="302A13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356">
      <w:rPr>
        <w:rStyle w:val="PageNumber"/>
        <w:noProof/>
      </w:rPr>
      <w:t>2</w:t>
    </w:r>
    <w:r>
      <w:rPr>
        <w:rStyle w:val="PageNumber"/>
      </w:rPr>
      <w:fldChar w:fldCharType="end"/>
    </w:r>
  </w:p>
  <w:p w:rsidR="009F5937" w14:paraId="369DF8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937" w:rsidP="00105553" w14:paraId="0E927319" w14:textId="0A0286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1EDD">
      <w:rPr>
        <w:rStyle w:val="PageNumber"/>
        <w:noProof/>
      </w:rPr>
      <w:t>6</w:t>
    </w:r>
    <w:r>
      <w:rPr>
        <w:rStyle w:val="PageNumber"/>
      </w:rPr>
      <w:fldChar w:fldCharType="end"/>
    </w:r>
  </w:p>
  <w:p w:rsidR="009F5937" w14:paraId="23564D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3D36" w14:paraId="05632F49" w14:textId="77777777">
      <w:r>
        <w:separator/>
      </w:r>
    </w:p>
  </w:footnote>
  <w:footnote w:type="continuationSeparator" w:id="1">
    <w:p w:rsidR="00873D36" w14:paraId="789CDCAE" w14:textId="77777777">
      <w:r>
        <w:continuationSeparator/>
      </w:r>
    </w:p>
  </w:footnote>
  <w:footnote w:type="continuationNotice" w:id="2">
    <w:p w:rsidR="00873D36" w14:paraId="683FD380" w14:textId="77777777"/>
  </w:footnote>
  <w:footnote w:id="3">
    <w:p w:rsidR="00501002" w:rsidRPr="001638D9" w14:paraId="61D93CED" w14:textId="57FC4236">
      <w:pPr>
        <w:pStyle w:val="FootnoteText"/>
        <w:rPr>
          <w:sz w:val="16"/>
          <w:szCs w:val="16"/>
        </w:rPr>
      </w:pPr>
      <w:r w:rsidRPr="001638D9">
        <w:rPr>
          <w:rStyle w:val="FootnoteReference"/>
          <w:sz w:val="16"/>
          <w:szCs w:val="16"/>
        </w:rPr>
        <w:footnoteRef/>
      </w:r>
      <w:r w:rsidRPr="001638D9">
        <w:rPr>
          <w:sz w:val="16"/>
          <w:szCs w:val="16"/>
        </w:rPr>
        <w:t xml:space="preserve"> The total number of entities reporting does not sum to the individual rows in this column because entities complete multiple collections. There are 47 entities eligible for Direct Component funding, and 5 entities eligible for Centers of Excellence </w:t>
      </w:r>
      <w:r w:rsidRPr="00B46CC0" w:rsidR="00B46CC0">
        <w:rPr>
          <w:color w:val="000000"/>
          <w:sz w:val="16"/>
          <w:szCs w:val="16"/>
        </w:rPr>
        <w:t>Research Grants Program’s</w:t>
      </w:r>
      <w:r w:rsidR="00B46CC0">
        <w:rPr>
          <w:rFonts w:ascii="Arial" w:hAnsi="Arial" w:cs="Arial"/>
          <w:color w:val="000000"/>
          <w:sz w:val="16"/>
          <w:szCs w:val="16"/>
        </w:rPr>
        <w:t xml:space="preserve"> </w:t>
      </w:r>
      <w:r w:rsidRPr="001638D9">
        <w:rPr>
          <w:sz w:val="16"/>
          <w:szCs w:val="16"/>
        </w:rPr>
        <w:t xml:space="preserve">funding, </w:t>
      </w:r>
      <w:r w:rsidRPr="001638D9" w:rsidR="00EA734B">
        <w:rPr>
          <w:sz w:val="16"/>
          <w:szCs w:val="16"/>
        </w:rPr>
        <w:t>but 4 of these entities are eligible for both</w:t>
      </w:r>
      <w:r w:rsidRPr="001638D9">
        <w:rPr>
          <w:sz w:val="16"/>
          <w:szCs w:val="16"/>
        </w:rPr>
        <w:t xml:space="preserve">. </w:t>
      </w:r>
    </w:p>
    <w:p w:rsidR="00501002" w:rsidRPr="001638D9" w:rsidP="00501002" w14:paraId="2E365E25" w14:textId="0BFF49A0">
      <w:pPr>
        <w:rPr>
          <w:sz w:val="16"/>
          <w:szCs w:val="16"/>
        </w:rPr>
      </w:pPr>
      <w:r w:rsidRPr="001638D9">
        <w:rPr>
          <w:rStyle w:val="FootnoteReference"/>
          <w:sz w:val="16"/>
          <w:szCs w:val="16"/>
        </w:rPr>
        <w:t>2</w:t>
      </w:r>
      <w:r w:rsidRPr="001638D9">
        <w:rPr>
          <w:sz w:val="16"/>
          <w:szCs w:val="16"/>
        </w:rPr>
        <w:t xml:space="preserve"> The total number of responses per respondent does not sum to the individual rows in this column because typically, an entity would only complete some of the listed collections</w:t>
      </w:r>
      <w:r w:rsidRPr="001638D9" w:rsidR="00EA734B">
        <w:rPr>
          <w:sz w:val="16"/>
          <w:szCs w:val="16"/>
        </w:rPr>
        <w:t>; 10.375 is therefore a weighted average</w:t>
      </w:r>
      <w:r w:rsidR="001638D9">
        <w:rPr>
          <w:sz w:val="16"/>
          <w:szCs w:val="16"/>
        </w:rPr>
        <w:t>.</w:t>
      </w:r>
      <w:r w:rsidRPr="001638D9">
        <w:rPr>
          <w:sz w:val="16"/>
          <w:szCs w:val="16"/>
        </w:rPr>
        <w:t xml:space="preserve"> </w:t>
      </w:r>
      <w:r w:rsidRPr="001638D9" w:rsidR="00EA734B">
        <w:rPr>
          <w:sz w:val="16"/>
          <w:szCs w:val="16"/>
        </w:rPr>
        <w:t>As an example, t</w:t>
      </w:r>
      <w:r w:rsidRPr="001638D9">
        <w:rPr>
          <w:sz w:val="16"/>
          <w:szCs w:val="16"/>
        </w:rPr>
        <w:t xml:space="preserve">ypically, an entity eligible for Direct Component funding would submit one Operational Self-Assessment, 0.55 applications, four milestones reports, and four performance reports. Additionally, some portion of these entities would submit a Multiyear </w:t>
      </w:r>
      <w:r w:rsidR="00E80FB9">
        <w:rPr>
          <w:sz w:val="16"/>
          <w:szCs w:val="16"/>
        </w:rPr>
        <w:t xml:space="preserve">Implementation </w:t>
      </w:r>
      <w:r w:rsidRPr="001638D9">
        <w:rPr>
          <w:sz w:val="16"/>
          <w:szCs w:val="16"/>
        </w:rPr>
        <w:t>Plan and/or Notice to Proceed with Construction checklist. So, this totals to an expected value of roughly 10 collections per entity.</w:t>
      </w:r>
    </w:p>
  </w:footnote>
  <w:footnote w:id="4">
    <w:p w:rsidR="00501002" w:rsidRPr="001638D9" w14:paraId="0FA13BF7" w14:textId="586869BE">
      <w:pPr>
        <w:pStyle w:val="FootnoteText"/>
        <w:rPr>
          <w:sz w:val="16"/>
          <w:szCs w:val="16"/>
        </w:rPr>
      </w:pPr>
    </w:p>
  </w:footnote>
  <w:footnote w:id="5">
    <w:p w:rsidR="00501002" w:rsidRPr="001638D9" w14:paraId="04662C72" w14:textId="4673A75B">
      <w:pPr>
        <w:pStyle w:val="FootnoteText"/>
        <w:rPr>
          <w:sz w:val="16"/>
          <w:szCs w:val="16"/>
        </w:rPr>
      </w:pPr>
      <w:r w:rsidRPr="001638D9">
        <w:rPr>
          <w:rStyle w:val="FootnoteReference"/>
          <w:sz w:val="16"/>
          <w:szCs w:val="16"/>
        </w:rPr>
        <w:footnoteRef/>
      </w:r>
      <w:r w:rsidRPr="001638D9">
        <w:rPr>
          <w:sz w:val="16"/>
          <w:szCs w:val="16"/>
        </w:rPr>
        <w:t xml:space="preserve"> </w:t>
      </w:r>
      <w:r w:rsidRPr="001638D9" w:rsidR="00EA734B">
        <w:rPr>
          <w:sz w:val="16"/>
          <w:szCs w:val="16"/>
        </w:rPr>
        <w:t xml:space="preserve">This is a weighted average because </w:t>
      </w:r>
      <w:r w:rsidRPr="001638D9">
        <w:rPr>
          <w:sz w:val="16"/>
          <w:szCs w:val="16"/>
        </w:rPr>
        <w:t>only some entities complete some collections</w:t>
      </w:r>
      <w:r w:rsidRPr="001638D9" w:rsidR="00EA734B">
        <w:rPr>
          <w:sz w:val="16"/>
          <w:szCs w:val="16"/>
        </w:rPr>
        <w:t>. It</w:t>
      </w:r>
      <w:r w:rsidRPr="001638D9">
        <w:rPr>
          <w:sz w:val="16"/>
          <w:szCs w:val="16"/>
        </w:rPr>
        <w:t xml:space="preserve"> is not appropriate to sum the individual hours per response to come up with a total hours per response.</w:t>
      </w:r>
    </w:p>
  </w:footnote>
  <w:footnote w:id="6">
    <w:p w:rsidR="00501002" w:rsidRPr="001638D9" w14:paraId="28037EA0" w14:textId="4E7C8E9B">
      <w:pPr>
        <w:pStyle w:val="FootnoteText"/>
        <w:rPr>
          <w:sz w:val="16"/>
          <w:szCs w:val="16"/>
        </w:rPr>
      </w:pPr>
      <w:r w:rsidRPr="001638D9">
        <w:rPr>
          <w:rStyle w:val="FootnoteReference"/>
          <w:sz w:val="16"/>
          <w:szCs w:val="16"/>
        </w:rPr>
        <w:footnoteRef/>
      </w:r>
      <w:r w:rsidRPr="001638D9">
        <w:rPr>
          <w:sz w:val="16"/>
          <w:szCs w:val="16"/>
        </w:rPr>
        <w:t xml:space="preserve"> $50 per hour based on average Bureau of Labor Statistics Management Occupation for Gulf Coast states and select FL counties.</w:t>
      </w:r>
    </w:p>
  </w:footnote>
  <w:footnote w:id="7">
    <w:p w:rsidR="004C3B25" w:rsidRPr="00AD630C" w14:paraId="04172341" w14:textId="1112A203">
      <w:pPr>
        <w:pStyle w:val="FootnoteText"/>
        <w:rPr>
          <w:sz w:val="16"/>
          <w:szCs w:val="16"/>
        </w:rPr>
      </w:pPr>
      <w:r w:rsidRPr="001638D9">
        <w:rPr>
          <w:rStyle w:val="FootnoteReference"/>
          <w:sz w:val="16"/>
          <w:szCs w:val="16"/>
        </w:rPr>
        <w:footnoteRef/>
      </w:r>
      <w:r w:rsidR="00C70113">
        <w:rPr>
          <w:sz w:val="16"/>
          <w:szCs w:val="16"/>
        </w:rPr>
        <w:t>T</w:t>
      </w:r>
      <w:r w:rsidRPr="001638D9" w:rsidR="00AD630C">
        <w:rPr>
          <w:sz w:val="16"/>
          <w:szCs w:val="16"/>
        </w:rPr>
        <w:t>h</w:t>
      </w:r>
      <w:r w:rsidRPr="001638D9" w:rsidR="00CD5ADA">
        <w:rPr>
          <w:sz w:val="16"/>
          <w:szCs w:val="16"/>
        </w:rPr>
        <w:t>e</w:t>
      </w:r>
      <w:r w:rsidR="00C70113">
        <w:rPr>
          <w:sz w:val="16"/>
          <w:szCs w:val="16"/>
        </w:rPr>
        <w:t xml:space="preserve"> annualized frequency of responses </w:t>
      </w:r>
      <w:r w:rsidRPr="001638D9" w:rsidR="00CD5ADA">
        <w:rPr>
          <w:sz w:val="16"/>
          <w:szCs w:val="16"/>
        </w:rPr>
        <w:t xml:space="preserve">is </w:t>
      </w:r>
      <w:r w:rsidR="001638D9">
        <w:rPr>
          <w:sz w:val="16"/>
          <w:szCs w:val="16"/>
        </w:rPr>
        <w:t>estimated</w:t>
      </w:r>
      <w:r w:rsidRPr="001638D9" w:rsidR="00CD5ADA">
        <w:rPr>
          <w:sz w:val="16"/>
          <w:szCs w:val="16"/>
        </w:rPr>
        <w:t xml:space="preserve"> by </w:t>
      </w:r>
      <w:r w:rsidR="001638D9">
        <w:rPr>
          <w:sz w:val="16"/>
          <w:szCs w:val="16"/>
        </w:rPr>
        <w:t>dividing</w:t>
      </w:r>
      <w:r w:rsidRPr="001638D9" w:rsidR="00CD5ADA">
        <w:rPr>
          <w:sz w:val="16"/>
          <w:szCs w:val="16"/>
        </w:rPr>
        <w:t xml:space="preserve"> the </w:t>
      </w:r>
      <w:r w:rsidR="001638D9">
        <w:rPr>
          <w:sz w:val="16"/>
          <w:szCs w:val="16"/>
        </w:rPr>
        <w:t xml:space="preserve">total </w:t>
      </w:r>
      <w:r w:rsidRPr="001638D9" w:rsidR="00CD5ADA">
        <w:rPr>
          <w:sz w:val="16"/>
          <w:szCs w:val="16"/>
        </w:rPr>
        <w:t>number of recordkeepers</w:t>
      </w:r>
      <w:r w:rsidRPr="001638D9" w:rsidR="00AD630C">
        <w:rPr>
          <w:sz w:val="16"/>
          <w:szCs w:val="16"/>
        </w:rPr>
        <w:t xml:space="preserve"> by </w:t>
      </w:r>
      <w:r w:rsidR="001638D9">
        <w:rPr>
          <w:sz w:val="16"/>
          <w:szCs w:val="16"/>
        </w:rPr>
        <w:t xml:space="preserve">the </w:t>
      </w:r>
      <w:r w:rsidR="00C70113">
        <w:rPr>
          <w:sz w:val="16"/>
          <w:szCs w:val="16"/>
        </w:rPr>
        <w:t>total annual</w:t>
      </w:r>
      <w:r w:rsidRPr="001638D9" w:rsidR="00AD630C">
        <w:rPr>
          <w:sz w:val="16"/>
          <w:szCs w:val="16"/>
        </w:rPr>
        <w:t xml:space="preserve"> </w:t>
      </w:r>
      <w:r w:rsidR="001638D9">
        <w:rPr>
          <w:sz w:val="16"/>
          <w:szCs w:val="16"/>
        </w:rPr>
        <w:t>responses</w:t>
      </w:r>
      <w:r w:rsidRPr="001638D9" w:rsidR="00CD5ADA">
        <w:rPr>
          <w:sz w:val="16"/>
          <w:szCs w:val="16"/>
        </w:rPr>
        <w:t xml:space="preserve"> for the collection of information</w:t>
      </w:r>
      <w:r w:rsidRPr="001638D9" w:rsidR="00AD630C">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14D1685"/>
    <w:multiLevelType w:val="hybridMultilevel"/>
    <w:tmpl w:val="E14EE8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314F726D"/>
    <w:multiLevelType w:val="hybridMultilevel"/>
    <w:tmpl w:val="54000368"/>
    <w:lvl w:ilvl="0">
      <w:start w:val="1"/>
      <w:numFmt w:val="upperLetter"/>
      <w:lvlText w:val="%1."/>
      <w:lvlJc w:val="left"/>
      <w:pPr>
        <w:tabs>
          <w:tab w:val="num" w:pos="720"/>
        </w:tabs>
        <w:ind w:left="720" w:hanging="360"/>
      </w:pPr>
    </w:lvl>
    <w:lvl w:ilvl="1">
      <w:start w:val="7"/>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D0020DC"/>
    <w:multiLevelType w:val="hybridMultilevel"/>
    <w:tmpl w:val="B5589122"/>
    <w:lvl w:ilvl="0">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0DF6E02"/>
    <w:multiLevelType w:val="hybridMultilevel"/>
    <w:tmpl w:val="38EADF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F9841A8"/>
    <w:multiLevelType w:val="hybridMultilevel"/>
    <w:tmpl w:val="3BCA1C0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901720866">
    <w:abstractNumId w:val="3"/>
  </w:num>
  <w:num w:numId="2" w16cid:durableId="1239166842">
    <w:abstractNumId w:val="16"/>
  </w:num>
  <w:num w:numId="3" w16cid:durableId="1804730729">
    <w:abstractNumId w:val="21"/>
  </w:num>
  <w:num w:numId="4" w16cid:durableId="1040781058">
    <w:abstractNumId w:val="8"/>
  </w:num>
  <w:num w:numId="5" w16cid:durableId="1917860782">
    <w:abstractNumId w:val="20"/>
  </w:num>
  <w:num w:numId="6" w16cid:durableId="1991246574">
    <w:abstractNumId w:val="7"/>
  </w:num>
  <w:num w:numId="7" w16cid:durableId="834808937">
    <w:abstractNumId w:val="1"/>
  </w:num>
  <w:num w:numId="8" w16cid:durableId="1111362529">
    <w:abstractNumId w:val="12"/>
  </w:num>
  <w:num w:numId="9" w16cid:durableId="889269247">
    <w:abstractNumId w:val="11"/>
  </w:num>
  <w:num w:numId="10" w16cid:durableId="958997041">
    <w:abstractNumId w:val="14"/>
  </w:num>
  <w:num w:numId="11" w16cid:durableId="2083529214">
    <w:abstractNumId w:val="2"/>
  </w:num>
  <w:num w:numId="12" w16cid:durableId="1226985255">
    <w:abstractNumId w:val="9"/>
  </w:num>
  <w:num w:numId="13" w16cid:durableId="1405956279">
    <w:abstractNumId w:val="13"/>
  </w:num>
  <w:num w:numId="14" w16cid:durableId="1085616939">
    <w:abstractNumId w:val="17"/>
  </w:num>
  <w:num w:numId="15" w16cid:durableId="755595373">
    <w:abstractNumId w:val="0"/>
  </w:num>
  <w:num w:numId="16" w16cid:durableId="584997530">
    <w:abstractNumId w:val="10"/>
  </w:num>
  <w:num w:numId="17" w16cid:durableId="1126775689">
    <w:abstractNumId w:val="18"/>
  </w:num>
  <w:num w:numId="18" w16cid:durableId="926814234">
    <w:abstractNumId w:val="4"/>
  </w:num>
  <w:num w:numId="19" w16cid:durableId="1956792440">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4963962">
    <w:abstractNumId w:val="19"/>
  </w:num>
  <w:num w:numId="21" w16cid:durableId="219830494">
    <w:abstractNumId w:val="22"/>
  </w:num>
  <w:num w:numId="22" w16cid:durableId="466631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5418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0480C"/>
    <w:rsid w:val="000105BD"/>
    <w:rsid w:val="000141C3"/>
    <w:rsid w:val="0001560A"/>
    <w:rsid w:val="00017845"/>
    <w:rsid w:val="000204E2"/>
    <w:rsid w:val="00021D40"/>
    <w:rsid w:val="00022F56"/>
    <w:rsid w:val="00032DA3"/>
    <w:rsid w:val="00053D86"/>
    <w:rsid w:val="00053EBD"/>
    <w:rsid w:val="00062B59"/>
    <w:rsid w:val="00073704"/>
    <w:rsid w:val="00074A49"/>
    <w:rsid w:val="000762A9"/>
    <w:rsid w:val="00087994"/>
    <w:rsid w:val="00090033"/>
    <w:rsid w:val="000905CC"/>
    <w:rsid w:val="000945D8"/>
    <w:rsid w:val="000A44BE"/>
    <w:rsid w:val="000B0264"/>
    <w:rsid w:val="000C1553"/>
    <w:rsid w:val="000C3C83"/>
    <w:rsid w:val="000C7031"/>
    <w:rsid w:val="000D53BB"/>
    <w:rsid w:val="000E07A3"/>
    <w:rsid w:val="000E1D60"/>
    <w:rsid w:val="000E1F44"/>
    <w:rsid w:val="000E24F5"/>
    <w:rsid w:val="000E51C7"/>
    <w:rsid w:val="000F2AE6"/>
    <w:rsid w:val="000F53C2"/>
    <w:rsid w:val="001022A9"/>
    <w:rsid w:val="001022FC"/>
    <w:rsid w:val="00105553"/>
    <w:rsid w:val="00106A18"/>
    <w:rsid w:val="00110D39"/>
    <w:rsid w:val="001110E6"/>
    <w:rsid w:val="00112D71"/>
    <w:rsid w:val="00113971"/>
    <w:rsid w:val="001139DB"/>
    <w:rsid w:val="00113C21"/>
    <w:rsid w:val="00114490"/>
    <w:rsid w:val="00117922"/>
    <w:rsid w:val="00122583"/>
    <w:rsid w:val="001374B1"/>
    <w:rsid w:val="0013796F"/>
    <w:rsid w:val="00146E55"/>
    <w:rsid w:val="00147A26"/>
    <w:rsid w:val="0015403C"/>
    <w:rsid w:val="00156E23"/>
    <w:rsid w:val="00161711"/>
    <w:rsid w:val="001638D9"/>
    <w:rsid w:val="001648D5"/>
    <w:rsid w:val="00165343"/>
    <w:rsid w:val="00166F8F"/>
    <w:rsid w:val="00170A86"/>
    <w:rsid w:val="00171230"/>
    <w:rsid w:val="00171A85"/>
    <w:rsid w:val="001742C4"/>
    <w:rsid w:val="00174A47"/>
    <w:rsid w:val="00175C18"/>
    <w:rsid w:val="001819B9"/>
    <w:rsid w:val="001819F2"/>
    <w:rsid w:val="00181F21"/>
    <w:rsid w:val="00182322"/>
    <w:rsid w:val="0018375D"/>
    <w:rsid w:val="0018454D"/>
    <w:rsid w:val="00185424"/>
    <w:rsid w:val="00186222"/>
    <w:rsid w:val="00186409"/>
    <w:rsid w:val="00187672"/>
    <w:rsid w:val="001945CA"/>
    <w:rsid w:val="001A1B5B"/>
    <w:rsid w:val="001A2A65"/>
    <w:rsid w:val="001A71B7"/>
    <w:rsid w:val="001A7272"/>
    <w:rsid w:val="001B591E"/>
    <w:rsid w:val="001C260A"/>
    <w:rsid w:val="001C519C"/>
    <w:rsid w:val="001D486B"/>
    <w:rsid w:val="001D4D0C"/>
    <w:rsid w:val="001D780C"/>
    <w:rsid w:val="001E0C02"/>
    <w:rsid w:val="001E4BCF"/>
    <w:rsid w:val="001F31FB"/>
    <w:rsid w:val="0021039B"/>
    <w:rsid w:val="0022132A"/>
    <w:rsid w:val="00225E39"/>
    <w:rsid w:val="00231937"/>
    <w:rsid w:val="00233A5C"/>
    <w:rsid w:val="00237FAA"/>
    <w:rsid w:val="0024000F"/>
    <w:rsid w:val="00245E51"/>
    <w:rsid w:val="002465AC"/>
    <w:rsid w:val="002465E2"/>
    <w:rsid w:val="00252599"/>
    <w:rsid w:val="0025330A"/>
    <w:rsid w:val="002551F6"/>
    <w:rsid w:val="002552CC"/>
    <w:rsid w:val="0025604D"/>
    <w:rsid w:val="00256911"/>
    <w:rsid w:val="00260342"/>
    <w:rsid w:val="00260CEB"/>
    <w:rsid w:val="00270B54"/>
    <w:rsid w:val="00271992"/>
    <w:rsid w:val="00272E50"/>
    <w:rsid w:val="00275D84"/>
    <w:rsid w:val="00276E84"/>
    <w:rsid w:val="00277F1D"/>
    <w:rsid w:val="00283167"/>
    <w:rsid w:val="0028499E"/>
    <w:rsid w:val="002920BD"/>
    <w:rsid w:val="00293974"/>
    <w:rsid w:val="002B1282"/>
    <w:rsid w:val="002B6FA7"/>
    <w:rsid w:val="002C1CB0"/>
    <w:rsid w:val="002C2A5D"/>
    <w:rsid w:val="002C3FA6"/>
    <w:rsid w:val="002C653D"/>
    <w:rsid w:val="002D268B"/>
    <w:rsid w:val="002D3154"/>
    <w:rsid w:val="002E171C"/>
    <w:rsid w:val="002E2002"/>
    <w:rsid w:val="002E4398"/>
    <w:rsid w:val="002E7342"/>
    <w:rsid w:val="002F2729"/>
    <w:rsid w:val="002F4085"/>
    <w:rsid w:val="00302265"/>
    <w:rsid w:val="003029C9"/>
    <w:rsid w:val="003073BC"/>
    <w:rsid w:val="00314168"/>
    <w:rsid w:val="0032136E"/>
    <w:rsid w:val="003265D6"/>
    <w:rsid w:val="00331784"/>
    <w:rsid w:val="00332707"/>
    <w:rsid w:val="003401FE"/>
    <w:rsid w:val="0034213F"/>
    <w:rsid w:val="003453A7"/>
    <w:rsid w:val="003506E7"/>
    <w:rsid w:val="00365005"/>
    <w:rsid w:val="00370853"/>
    <w:rsid w:val="00376E6A"/>
    <w:rsid w:val="00380639"/>
    <w:rsid w:val="00390A50"/>
    <w:rsid w:val="00394A61"/>
    <w:rsid w:val="003A0E21"/>
    <w:rsid w:val="003A59D2"/>
    <w:rsid w:val="003B6624"/>
    <w:rsid w:val="003B792F"/>
    <w:rsid w:val="003C068B"/>
    <w:rsid w:val="003C1AB8"/>
    <w:rsid w:val="003E59BE"/>
    <w:rsid w:val="003F3118"/>
    <w:rsid w:val="003F59C0"/>
    <w:rsid w:val="00403DA0"/>
    <w:rsid w:val="004063EA"/>
    <w:rsid w:val="00406DAA"/>
    <w:rsid w:val="00411121"/>
    <w:rsid w:val="00417F32"/>
    <w:rsid w:val="00425279"/>
    <w:rsid w:val="0044510E"/>
    <w:rsid w:val="004470ED"/>
    <w:rsid w:val="004564BB"/>
    <w:rsid w:val="00460B20"/>
    <w:rsid w:val="004619BF"/>
    <w:rsid w:val="00464F41"/>
    <w:rsid w:val="00470E28"/>
    <w:rsid w:val="0047164E"/>
    <w:rsid w:val="00472A54"/>
    <w:rsid w:val="00474021"/>
    <w:rsid w:val="00475731"/>
    <w:rsid w:val="00476356"/>
    <w:rsid w:val="00476772"/>
    <w:rsid w:val="0048103A"/>
    <w:rsid w:val="0048426A"/>
    <w:rsid w:val="0049076F"/>
    <w:rsid w:val="004A184D"/>
    <w:rsid w:val="004A7CC6"/>
    <w:rsid w:val="004B06B5"/>
    <w:rsid w:val="004B0AEF"/>
    <w:rsid w:val="004B1400"/>
    <w:rsid w:val="004B32A0"/>
    <w:rsid w:val="004B54E0"/>
    <w:rsid w:val="004B7407"/>
    <w:rsid w:val="004C3B25"/>
    <w:rsid w:val="004C7F50"/>
    <w:rsid w:val="004E141A"/>
    <w:rsid w:val="004E3665"/>
    <w:rsid w:val="004E406F"/>
    <w:rsid w:val="004E6996"/>
    <w:rsid w:val="004F09CA"/>
    <w:rsid w:val="004F4483"/>
    <w:rsid w:val="004F5145"/>
    <w:rsid w:val="004F79CC"/>
    <w:rsid w:val="00501002"/>
    <w:rsid w:val="005028DF"/>
    <w:rsid w:val="005030DF"/>
    <w:rsid w:val="0050468D"/>
    <w:rsid w:val="00511BDA"/>
    <w:rsid w:val="00512B62"/>
    <w:rsid w:val="00513C1C"/>
    <w:rsid w:val="00525A6A"/>
    <w:rsid w:val="0052662E"/>
    <w:rsid w:val="00534EA9"/>
    <w:rsid w:val="00535AD0"/>
    <w:rsid w:val="005360E4"/>
    <w:rsid w:val="005366FC"/>
    <w:rsid w:val="0054191E"/>
    <w:rsid w:val="00547276"/>
    <w:rsid w:val="005678EC"/>
    <w:rsid w:val="00571610"/>
    <w:rsid w:val="00572D2C"/>
    <w:rsid w:val="00572D9D"/>
    <w:rsid w:val="005744E4"/>
    <w:rsid w:val="00577B83"/>
    <w:rsid w:val="0058262E"/>
    <w:rsid w:val="00587447"/>
    <w:rsid w:val="00587D50"/>
    <w:rsid w:val="00597B8E"/>
    <w:rsid w:val="005A1476"/>
    <w:rsid w:val="005A1D4B"/>
    <w:rsid w:val="005A5C1B"/>
    <w:rsid w:val="005B38E5"/>
    <w:rsid w:val="005B4124"/>
    <w:rsid w:val="005C533B"/>
    <w:rsid w:val="005C7887"/>
    <w:rsid w:val="005D099C"/>
    <w:rsid w:val="005E5A57"/>
    <w:rsid w:val="005E63F6"/>
    <w:rsid w:val="005F1080"/>
    <w:rsid w:val="005F5202"/>
    <w:rsid w:val="0060168D"/>
    <w:rsid w:val="006035EF"/>
    <w:rsid w:val="006049CB"/>
    <w:rsid w:val="00610580"/>
    <w:rsid w:val="00610A88"/>
    <w:rsid w:val="00612025"/>
    <w:rsid w:val="006137E1"/>
    <w:rsid w:val="00616A24"/>
    <w:rsid w:val="0063065F"/>
    <w:rsid w:val="00633442"/>
    <w:rsid w:val="0064051D"/>
    <w:rsid w:val="0064314F"/>
    <w:rsid w:val="006536E9"/>
    <w:rsid w:val="00666B6D"/>
    <w:rsid w:val="006678F4"/>
    <w:rsid w:val="00677F6C"/>
    <w:rsid w:val="00680A45"/>
    <w:rsid w:val="00681FB6"/>
    <w:rsid w:val="00683B0F"/>
    <w:rsid w:val="00685C0A"/>
    <w:rsid w:val="00686C1F"/>
    <w:rsid w:val="00690553"/>
    <w:rsid w:val="006929AD"/>
    <w:rsid w:val="006A580C"/>
    <w:rsid w:val="006A68E6"/>
    <w:rsid w:val="006B22D1"/>
    <w:rsid w:val="006B3E5B"/>
    <w:rsid w:val="006B47EB"/>
    <w:rsid w:val="006B6DF9"/>
    <w:rsid w:val="006C0667"/>
    <w:rsid w:val="006C0E4F"/>
    <w:rsid w:val="006C101A"/>
    <w:rsid w:val="006D4400"/>
    <w:rsid w:val="006E02EB"/>
    <w:rsid w:val="006F02DD"/>
    <w:rsid w:val="006F201F"/>
    <w:rsid w:val="006F648B"/>
    <w:rsid w:val="00707BDE"/>
    <w:rsid w:val="00712438"/>
    <w:rsid w:val="00715502"/>
    <w:rsid w:val="0072166B"/>
    <w:rsid w:val="0072245C"/>
    <w:rsid w:val="007313DF"/>
    <w:rsid w:val="00741F3C"/>
    <w:rsid w:val="00744AC4"/>
    <w:rsid w:val="00756FAF"/>
    <w:rsid w:val="007614AA"/>
    <w:rsid w:val="00764D4B"/>
    <w:rsid w:val="00765820"/>
    <w:rsid w:val="0077063E"/>
    <w:rsid w:val="00775C08"/>
    <w:rsid w:val="00780878"/>
    <w:rsid w:val="00781EF6"/>
    <w:rsid w:val="00786629"/>
    <w:rsid w:val="00787064"/>
    <w:rsid w:val="00795CCA"/>
    <w:rsid w:val="00795EFD"/>
    <w:rsid w:val="00797276"/>
    <w:rsid w:val="007A0410"/>
    <w:rsid w:val="007A0A29"/>
    <w:rsid w:val="007A3F57"/>
    <w:rsid w:val="007B57E8"/>
    <w:rsid w:val="007E596A"/>
    <w:rsid w:val="007E69B3"/>
    <w:rsid w:val="007F0335"/>
    <w:rsid w:val="007F0AC9"/>
    <w:rsid w:val="007F2B2D"/>
    <w:rsid w:val="00802F36"/>
    <w:rsid w:val="00806725"/>
    <w:rsid w:val="00810E73"/>
    <w:rsid w:val="00811E1F"/>
    <w:rsid w:val="008131F9"/>
    <w:rsid w:val="00821205"/>
    <w:rsid w:val="00822B1B"/>
    <w:rsid w:val="00832992"/>
    <w:rsid w:val="00853680"/>
    <w:rsid w:val="00856DD0"/>
    <w:rsid w:val="00860267"/>
    <w:rsid w:val="00861BDE"/>
    <w:rsid w:val="0086211B"/>
    <w:rsid w:val="00873D36"/>
    <w:rsid w:val="00873F65"/>
    <w:rsid w:val="0087613A"/>
    <w:rsid w:val="00880497"/>
    <w:rsid w:val="008821EF"/>
    <w:rsid w:val="00891D3E"/>
    <w:rsid w:val="00896327"/>
    <w:rsid w:val="008A5AEA"/>
    <w:rsid w:val="008A5CF6"/>
    <w:rsid w:val="008B2FDC"/>
    <w:rsid w:val="008B64D0"/>
    <w:rsid w:val="008B7CB1"/>
    <w:rsid w:val="008C31DD"/>
    <w:rsid w:val="008D0548"/>
    <w:rsid w:val="008D1E78"/>
    <w:rsid w:val="008D211C"/>
    <w:rsid w:val="008D6002"/>
    <w:rsid w:val="008E4EFE"/>
    <w:rsid w:val="008F03EB"/>
    <w:rsid w:val="0090217F"/>
    <w:rsid w:val="00907541"/>
    <w:rsid w:val="009126D6"/>
    <w:rsid w:val="00913A34"/>
    <w:rsid w:val="009175C3"/>
    <w:rsid w:val="00921EA8"/>
    <w:rsid w:val="00922376"/>
    <w:rsid w:val="00924C3D"/>
    <w:rsid w:val="009259D5"/>
    <w:rsid w:val="00925B03"/>
    <w:rsid w:val="00940B2A"/>
    <w:rsid w:val="00950231"/>
    <w:rsid w:val="00950A9E"/>
    <w:rsid w:val="00953166"/>
    <w:rsid w:val="00957A84"/>
    <w:rsid w:val="00960021"/>
    <w:rsid w:val="00960A8A"/>
    <w:rsid w:val="00960D41"/>
    <w:rsid w:val="00961823"/>
    <w:rsid w:val="0096195A"/>
    <w:rsid w:val="00963D0A"/>
    <w:rsid w:val="00970625"/>
    <w:rsid w:val="00973425"/>
    <w:rsid w:val="00977D3A"/>
    <w:rsid w:val="00983B56"/>
    <w:rsid w:val="00986077"/>
    <w:rsid w:val="00990870"/>
    <w:rsid w:val="009957B3"/>
    <w:rsid w:val="009A1A7C"/>
    <w:rsid w:val="009A683F"/>
    <w:rsid w:val="009B6250"/>
    <w:rsid w:val="009B6FA0"/>
    <w:rsid w:val="009B7C7D"/>
    <w:rsid w:val="009C5B9E"/>
    <w:rsid w:val="009D6D37"/>
    <w:rsid w:val="009E4CDC"/>
    <w:rsid w:val="009E5FD8"/>
    <w:rsid w:val="009E75AE"/>
    <w:rsid w:val="009F45CC"/>
    <w:rsid w:val="009F485F"/>
    <w:rsid w:val="009F4D1C"/>
    <w:rsid w:val="009F5937"/>
    <w:rsid w:val="00A00740"/>
    <w:rsid w:val="00A014CE"/>
    <w:rsid w:val="00A056F0"/>
    <w:rsid w:val="00A10A09"/>
    <w:rsid w:val="00A10CD2"/>
    <w:rsid w:val="00A137BE"/>
    <w:rsid w:val="00A14618"/>
    <w:rsid w:val="00A147E8"/>
    <w:rsid w:val="00A22844"/>
    <w:rsid w:val="00A22870"/>
    <w:rsid w:val="00A2596F"/>
    <w:rsid w:val="00A26140"/>
    <w:rsid w:val="00A3189F"/>
    <w:rsid w:val="00A41CB4"/>
    <w:rsid w:val="00A41E99"/>
    <w:rsid w:val="00A453BE"/>
    <w:rsid w:val="00A51E18"/>
    <w:rsid w:val="00A52085"/>
    <w:rsid w:val="00A52BC9"/>
    <w:rsid w:val="00A6381F"/>
    <w:rsid w:val="00A65CFB"/>
    <w:rsid w:val="00A67505"/>
    <w:rsid w:val="00A70C5C"/>
    <w:rsid w:val="00A70FB9"/>
    <w:rsid w:val="00A73817"/>
    <w:rsid w:val="00A73FE3"/>
    <w:rsid w:val="00A75336"/>
    <w:rsid w:val="00A81BCB"/>
    <w:rsid w:val="00A90BAB"/>
    <w:rsid w:val="00A91D99"/>
    <w:rsid w:val="00A95474"/>
    <w:rsid w:val="00A95A75"/>
    <w:rsid w:val="00AA13C1"/>
    <w:rsid w:val="00AA5620"/>
    <w:rsid w:val="00AA65FC"/>
    <w:rsid w:val="00AB01BE"/>
    <w:rsid w:val="00AD630C"/>
    <w:rsid w:val="00AE07D3"/>
    <w:rsid w:val="00AE0C11"/>
    <w:rsid w:val="00AE3975"/>
    <w:rsid w:val="00AE7799"/>
    <w:rsid w:val="00AF0283"/>
    <w:rsid w:val="00AF0BF9"/>
    <w:rsid w:val="00AF115F"/>
    <w:rsid w:val="00B002FE"/>
    <w:rsid w:val="00B01160"/>
    <w:rsid w:val="00B01799"/>
    <w:rsid w:val="00B10AC2"/>
    <w:rsid w:val="00B117D1"/>
    <w:rsid w:val="00B21358"/>
    <w:rsid w:val="00B31CDA"/>
    <w:rsid w:val="00B35D25"/>
    <w:rsid w:val="00B36755"/>
    <w:rsid w:val="00B3747A"/>
    <w:rsid w:val="00B46CC0"/>
    <w:rsid w:val="00B50861"/>
    <w:rsid w:val="00B52D55"/>
    <w:rsid w:val="00B601FF"/>
    <w:rsid w:val="00B60C80"/>
    <w:rsid w:val="00B61494"/>
    <w:rsid w:val="00B64EA2"/>
    <w:rsid w:val="00B716A8"/>
    <w:rsid w:val="00B71ECF"/>
    <w:rsid w:val="00B72490"/>
    <w:rsid w:val="00B74EBB"/>
    <w:rsid w:val="00B841ED"/>
    <w:rsid w:val="00BA0D32"/>
    <w:rsid w:val="00BA3E92"/>
    <w:rsid w:val="00BA51F9"/>
    <w:rsid w:val="00BA59A6"/>
    <w:rsid w:val="00BA5A05"/>
    <w:rsid w:val="00BA67F9"/>
    <w:rsid w:val="00BB442E"/>
    <w:rsid w:val="00BB4BD8"/>
    <w:rsid w:val="00BB766F"/>
    <w:rsid w:val="00BC04FC"/>
    <w:rsid w:val="00BC16C0"/>
    <w:rsid w:val="00BC1BAC"/>
    <w:rsid w:val="00BE34DF"/>
    <w:rsid w:val="00BE4F64"/>
    <w:rsid w:val="00BE6AEE"/>
    <w:rsid w:val="00BF7366"/>
    <w:rsid w:val="00C00259"/>
    <w:rsid w:val="00C0391A"/>
    <w:rsid w:val="00C06D3B"/>
    <w:rsid w:val="00C072FB"/>
    <w:rsid w:val="00C10220"/>
    <w:rsid w:val="00C10515"/>
    <w:rsid w:val="00C27364"/>
    <w:rsid w:val="00C3022F"/>
    <w:rsid w:val="00C31808"/>
    <w:rsid w:val="00C34ABE"/>
    <w:rsid w:val="00C36F16"/>
    <w:rsid w:val="00C435A7"/>
    <w:rsid w:val="00C43B54"/>
    <w:rsid w:val="00C60DF5"/>
    <w:rsid w:val="00C632D7"/>
    <w:rsid w:val="00C6511A"/>
    <w:rsid w:val="00C70113"/>
    <w:rsid w:val="00C7036B"/>
    <w:rsid w:val="00C748DF"/>
    <w:rsid w:val="00C75252"/>
    <w:rsid w:val="00C778FE"/>
    <w:rsid w:val="00C81F65"/>
    <w:rsid w:val="00C954EA"/>
    <w:rsid w:val="00C97037"/>
    <w:rsid w:val="00C9704D"/>
    <w:rsid w:val="00CA15F2"/>
    <w:rsid w:val="00CB003A"/>
    <w:rsid w:val="00CB18D9"/>
    <w:rsid w:val="00CB61CA"/>
    <w:rsid w:val="00CC0B33"/>
    <w:rsid w:val="00CC2474"/>
    <w:rsid w:val="00CC4534"/>
    <w:rsid w:val="00CC4C01"/>
    <w:rsid w:val="00CD125E"/>
    <w:rsid w:val="00CD13E2"/>
    <w:rsid w:val="00CD2AD3"/>
    <w:rsid w:val="00CD58CD"/>
    <w:rsid w:val="00CD5ADA"/>
    <w:rsid w:val="00CE2D06"/>
    <w:rsid w:val="00CE332E"/>
    <w:rsid w:val="00CF2CA4"/>
    <w:rsid w:val="00CF4A47"/>
    <w:rsid w:val="00CF4D50"/>
    <w:rsid w:val="00D01021"/>
    <w:rsid w:val="00D0346A"/>
    <w:rsid w:val="00D12944"/>
    <w:rsid w:val="00D12A06"/>
    <w:rsid w:val="00D1401A"/>
    <w:rsid w:val="00D14168"/>
    <w:rsid w:val="00D14592"/>
    <w:rsid w:val="00D158E4"/>
    <w:rsid w:val="00D24A88"/>
    <w:rsid w:val="00D3001D"/>
    <w:rsid w:val="00D367C2"/>
    <w:rsid w:val="00D43ACF"/>
    <w:rsid w:val="00D44CAB"/>
    <w:rsid w:val="00D53103"/>
    <w:rsid w:val="00D57CE9"/>
    <w:rsid w:val="00D72F67"/>
    <w:rsid w:val="00D77556"/>
    <w:rsid w:val="00D77644"/>
    <w:rsid w:val="00D8191D"/>
    <w:rsid w:val="00D82EEB"/>
    <w:rsid w:val="00D8477F"/>
    <w:rsid w:val="00D87D0B"/>
    <w:rsid w:val="00D905A2"/>
    <w:rsid w:val="00D97B1A"/>
    <w:rsid w:val="00DA033B"/>
    <w:rsid w:val="00DA35D5"/>
    <w:rsid w:val="00DA37F2"/>
    <w:rsid w:val="00DA5F5B"/>
    <w:rsid w:val="00DB29A8"/>
    <w:rsid w:val="00DC52CB"/>
    <w:rsid w:val="00DD050F"/>
    <w:rsid w:val="00DD0D70"/>
    <w:rsid w:val="00DD6046"/>
    <w:rsid w:val="00DD6760"/>
    <w:rsid w:val="00DE7858"/>
    <w:rsid w:val="00DF17C1"/>
    <w:rsid w:val="00DF3373"/>
    <w:rsid w:val="00E03DE3"/>
    <w:rsid w:val="00E07A7C"/>
    <w:rsid w:val="00E10347"/>
    <w:rsid w:val="00E11EDD"/>
    <w:rsid w:val="00E13A9C"/>
    <w:rsid w:val="00E13B9E"/>
    <w:rsid w:val="00E146F2"/>
    <w:rsid w:val="00E17630"/>
    <w:rsid w:val="00E20513"/>
    <w:rsid w:val="00E22A19"/>
    <w:rsid w:val="00E237C6"/>
    <w:rsid w:val="00E238E9"/>
    <w:rsid w:val="00E24973"/>
    <w:rsid w:val="00E26A53"/>
    <w:rsid w:val="00E379D4"/>
    <w:rsid w:val="00E426A7"/>
    <w:rsid w:val="00E45F6B"/>
    <w:rsid w:val="00E46F9D"/>
    <w:rsid w:val="00E6127C"/>
    <w:rsid w:val="00E67B5C"/>
    <w:rsid w:val="00E71397"/>
    <w:rsid w:val="00E7233D"/>
    <w:rsid w:val="00E73BC0"/>
    <w:rsid w:val="00E77A64"/>
    <w:rsid w:val="00E8070F"/>
    <w:rsid w:val="00E80CE1"/>
    <w:rsid w:val="00E80FB9"/>
    <w:rsid w:val="00E8245B"/>
    <w:rsid w:val="00E92231"/>
    <w:rsid w:val="00E96BF2"/>
    <w:rsid w:val="00EA6AB3"/>
    <w:rsid w:val="00EA734B"/>
    <w:rsid w:val="00EB5E62"/>
    <w:rsid w:val="00EC0DB0"/>
    <w:rsid w:val="00EC127E"/>
    <w:rsid w:val="00EC5FAF"/>
    <w:rsid w:val="00ED4EC9"/>
    <w:rsid w:val="00ED7D6E"/>
    <w:rsid w:val="00EE0B0E"/>
    <w:rsid w:val="00EF748D"/>
    <w:rsid w:val="00EF781C"/>
    <w:rsid w:val="00F02CD8"/>
    <w:rsid w:val="00F23B72"/>
    <w:rsid w:val="00F24F5A"/>
    <w:rsid w:val="00F27C5F"/>
    <w:rsid w:val="00F31337"/>
    <w:rsid w:val="00F3231F"/>
    <w:rsid w:val="00F41911"/>
    <w:rsid w:val="00F4591C"/>
    <w:rsid w:val="00F51DC7"/>
    <w:rsid w:val="00F561A0"/>
    <w:rsid w:val="00F56D95"/>
    <w:rsid w:val="00F6095F"/>
    <w:rsid w:val="00F6329B"/>
    <w:rsid w:val="00F66A16"/>
    <w:rsid w:val="00F72D0B"/>
    <w:rsid w:val="00F7395C"/>
    <w:rsid w:val="00F75F2D"/>
    <w:rsid w:val="00F77798"/>
    <w:rsid w:val="00F822BC"/>
    <w:rsid w:val="00F91DEC"/>
    <w:rsid w:val="00F9526D"/>
    <w:rsid w:val="00FA30DB"/>
    <w:rsid w:val="00FA49D0"/>
    <w:rsid w:val="00FA5177"/>
    <w:rsid w:val="00FA6B23"/>
    <w:rsid w:val="00FA7106"/>
    <w:rsid w:val="00FB0552"/>
    <w:rsid w:val="00FB7F1C"/>
    <w:rsid w:val="00FB7F8A"/>
    <w:rsid w:val="00FC174E"/>
    <w:rsid w:val="00FC2B60"/>
    <w:rsid w:val="00FD0BF8"/>
    <w:rsid w:val="00FD0D7E"/>
    <w:rsid w:val="00FE26B3"/>
    <w:rsid w:val="00FE2AC2"/>
    <w:rsid w:val="00FE40CB"/>
    <w:rsid w:val="00FE5155"/>
    <w:rsid w:val="00FF51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7D5213"/>
  <w15:docId w15:val="{BF852222-8FC1-409A-B290-3D997168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270B5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character" w:customStyle="1" w:styleId="HeaderChar">
    <w:name w:val="Header Char"/>
    <w:basedOn w:val="DefaultParagraphFont"/>
    <w:link w:val="Header"/>
    <w:uiPriority w:val="99"/>
    <w:rsid w:val="002E171C"/>
    <w:rPr>
      <w:sz w:val="24"/>
      <w:szCs w:val="24"/>
    </w:rPr>
  </w:style>
  <w:style w:type="paragraph" w:styleId="ListParagraph">
    <w:name w:val="List Paragraph"/>
    <w:basedOn w:val="Normal"/>
    <w:uiPriority w:val="34"/>
    <w:qFormat/>
    <w:rsid w:val="00A056F0"/>
    <w:pPr>
      <w:ind w:left="720"/>
      <w:contextualSpacing/>
    </w:pPr>
  </w:style>
  <w:style w:type="character" w:styleId="Hyperlink">
    <w:name w:val="Hyperlink"/>
    <w:basedOn w:val="DefaultParagraphFont"/>
    <w:unhideWhenUsed/>
    <w:rsid w:val="00B117D1"/>
    <w:rPr>
      <w:color w:val="0000FF" w:themeColor="hyperlink"/>
      <w:u w:val="single"/>
    </w:rPr>
  </w:style>
  <w:style w:type="paragraph" w:styleId="FootnoteText">
    <w:name w:val="footnote text"/>
    <w:basedOn w:val="Normal"/>
    <w:link w:val="FootnoteTextChar"/>
    <w:semiHidden/>
    <w:unhideWhenUsed/>
    <w:rsid w:val="0021039B"/>
    <w:rPr>
      <w:sz w:val="20"/>
      <w:szCs w:val="20"/>
    </w:rPr>
  </w:style>
  <w:style w:type="character" w:customStyle="1" w:styleId="FootnoteTextChar">
    <w:name w:val="Footnote Text Char"/>
    <w:basedOn w:val="DefaultParagraphFont"/>
    <w:link w:val="FootnoteText"/>
    <w:semiHidden/>
    <w:rsid w:val="0021039B"/>
  </w:style>
  <w:style w:type="character" w:styleId="FootnoteReference">
    <w:name w:val="footnote reference"/>
    <w:basedOn w:val="DefaultParagraphFont"/>
    <w:semiHidden/>
    <w:unhideWhenUsed/>
    <w:rsid w:val="0021039B"/>
    <w:rPr>
      <w:vertAlign w:val="superscript"/>
    </w:rPr>
  </w:style>
  <w:style w:type="paragraph" w:styleId="BodyText">
    <w:name w:val="Body Text"/>
    <w:basedOn w:val="Normal"/>
    <w:link w:val="BodyTextChar"/>
    <w:semiHidden/>
    <w:unhideWhenUsed/>
    <w:rsid w:val="00E6127C"/>
    <w:pPr>
      <w:widowControl w:val="0"/>
      <w:snapToGrid w:val="0"/>
    </w:pPr>
    <w:rPr>
      <w:rFonts w:ascii="Courier" w:hAnsi="Courier"/>
      <w:i/>
      <w:szCs w:val="20"/>
    </w:rPr>
  </w:style>
  <w:style w:type="character" w:customStyle="1" w:styleId="BodyTextChar">
    <w:name w:val="Body Text Char"/>
    <w:basedOn w:val="DefaultParagraphFont"/>
    <w:link w:val="BodyText"/>
    <w:semiHidden/>
    <w:rsid w:val="00E6127C"/>
    <w:rPr>
      <w:rFonts w:ascii="Courier" w:hAnsi="Courier"/>
      <w:i/>
      <w:sz w:val="24"/>
    </w:rPr>
  </w:style>
  <w:style w:type="paragraph" w:customStyle="1" w:styleId="indent-1">
    <w:name w:val="indent-1"/>
    <w:basedOn w:val="Normal"/>
    <w:rsid w:val="00E6127C"/>
    <w:pPr>
      <w:spacing w:before="100" w:beforeAutospacing="1" w:after="100" w:afterAutospacing="1"/>
    </w:pPr>
  </w:style>
  <w:style w:type="paragraph" w:styleId="NormalWeb">
    <w:name w:val="Normal (Web)"/>
    <w:basedOn w:val="Normal"/>
    <w:uiPriority w:val="99"/>
    <w:semiHidden/>
    <w:unhideWhenUsed/>
    <w:rsid w:val="00113971"/>
    <w:pPr>
      <w:spacing w:before="100" w:beforeAutospacing="1" w:after="100" w:afterAutospacing="1"/>
    </w:pPr>
  </w:style>
  <w:style w:type="character" w:customStyle="1" w:styleId="normaltextrun">
    <w:name w:val="normaltextrun"/>
    <w:basedOn w:val="DefaultParagraphFont"/>
    <w:rsid w:val="00EC127E"/>
  </w:style>
  <w:style w:type="character" w:customStyle="1" w:styleId="Heading1Char">
    <w:name w:val="Heading 1 Char"/>
    <w:basedOn w:val="DefaultParagraphFont"/>
    <w:link w:val="Heading1"/>
    <w:uiPriority w:val="9"/>
    <w:rsid w:val="00270B54"/>
    <w:rPr>
      <w:b/>
      <w:bCs/>
      <w:kern w:val="36"/>
      <w:sz w:val="48"/>
      <w:szCs w:val="48"/>
    </w:rPr>
  </w:style>
  <w:style w:type="character" w:styleId="UnresolvedMention">
    <w:name w:val="Unresolved Mention"/>
    <w:basedOn w:val="DefaultParagraphFont"/>
    <w:uiPriority w:val="99"/>
    <w:semiHidden/>
    <w:unhideWhenUsed/>
    <w:rsid w:val="00D03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ederalregister.gov/documents/2023/05/02/2023-09256/agency-information-collection-activities-proposed-collection-comment-request-departmental-offices-do" TargetMode="External" /><Relationship Id="rId7" Type="http://schemas.openxmlformats.org/officeDocument/2006/relationships/hyperlink" Target="https://www.opm.gov/policy-data-oversight/pay-leave/salaries-wages/salary-tables/20Tables/html/DCB.aspx"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BC8EA-207C-4E02-949A-A2D2EB78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3514</Words>
  <Characters>20425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#1505-0250 supporting statement</vt:lpstr>
    </vt:vector>
  </TitlesOfParts>
  <Company>U.S. Department of the Treasury</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#1505-0250 supporting statement</dc:title>
  <dc:creator>jev</dc:creator>
  <dc:description>Office of Gulf Coast Restoration information collection</dc:description>
  <cp:lastModifiedBy>Braswell, Melody</cp:lastModifiedBy>
  <cp:revision>2</cp:revision>
  <cp:lastPrinted>2016-07-20T13:46:00Z</cp:lastPrinted>
  <dcterms:created xsi:type="dcterms:W3CDTF">2023-07-24T19:33:00Z</dcterms:created>
  <dcterms:modified xsi:type="dcterms:W3CDTF">2023-07-24T19:33:00Z</dcterms:modified>
</cp:coreProperties>
</file>