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60984" w:rsidRPr="00B60984" w:rsidP="00B60984" w14:paraId="7A0C3E08" w14:textId="77777777">
      <w:pPr>
        <w:widowControl w:val="0"/>
        <w:tabs>
          <w:tab w:val="center" w:pos="4320"/>
          <w:tab w:val="right" w:pos="8640"/>
        </w:tabs>
        <w:spacing w:after="0" w:line="240" w:lineRule="auto"/>
        <w:rPr>
          <w:rFonts w:eastAsia="Times New Roman"/>
          <w:snapToGrid w:val="0"/>
          <w:color w:val="000000"/>
          <w:sz w:val="18"/>
          <w:szCs w:val="18"/>
        </w:rPr>
      </w:pPr>
    </w:p>
    <w:p w:rsidR="00B60984" w:rsidRPr="00B60984" w:rsidP="00B60984" w14:paraId="42B4C313" w14:textId="77777777">
      <w:pPr>
        <w:widowControl w:val="0"/>
        <w:tabs>
          <w:tab w:val="center" w:pos="4320"/>
          <w:tab w:val="right" w:pos="8640"/>
        </w:tabs>
        <w:spacing w:after="0" w:line="240" w:lineRule="auto"/>
        <w:rPr>
          <w:rFonts w:eastAsia="Times New Roman"/>
          <w:snapToGrid w:val="0"/>
          <w:color w:val="000000"/>
          <w:sz w:val="18"/>
          <w:szCs w:val="18"/>
        </w:rPr>
      </w:pPr>
      <w:r>
        <w:rPr>
          <w:rFonts w:eastAsia="Times New Roman"/>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29.85pt;margin-left:57.6pt;mso-position-horizontal-relative:page;mso-position-vertical-relative:page;mso-wrap-edited:f;position:absolute;visibility:visible;z-index:251658240" o:oleicon="f" o:allowincell="f" fillcolor="window">
            <v:imagedata r:id="rId10" o:title=""/>
          </v:shape>
          <o:OLEObject Type="Embed" ProgID="Word.Picture.8" ShapeID="_x0000_s1025" DrawAspect="Content" ObjectID="_1751892662" r:id="rId11"/>
        </w:pict>
      </w:r>
    </w:p>
    <w:p w:rsidR="00B60984" w:rsidRPr="00B60984" w:rsidP="00B60984" w14:paraId="2BAC87A5" w14:textId="77777777">
      <w:pPr>
        <w:widowControl w:val="0"/>
        <w:tabs>
          <w:tab w:val="center" w:pos="4320"/>
          <w:tab w:val="right" w:pos="8640"/>
        </w:tabs>
        <w:spacing w:after="0" w:line="240" w:lineRule="auto"/>
        <w:jc w:val="center"/>
        <w:rPr>
          <w:rFonts w:eastAsia="Times New Roman"/>
          <w:snapToGrid w:val="0"/>
          <w:color w:val="000000"/>
          <w:sz w:val="18"/>
          <w:szCs w:val="18"/>
        </w:rPr>
      </w:pPr>
      <w:r w:rsidRPr="00B60984">
        <w:rPr>
          <w:rFonts w:eastAsia="Times New Roman"/>
          <w:b/>
          <w:snapToGrid w:val="0"/>
          <w:color w:val="000000"/>
          <w:sz w:val="18"/>
          <w:szCs w:val="18"/>
        </w:rPr>
        <w:t>DEPARTMENT OF THE TREASURY</w:t>
      </w:r>
    </w:p>
    <w:p w:rsidR="00B60984" w:rsidRPr="00B60984" w:rsidP="00B60984" w14:paraId="14DC9352" w14:textId="77777777">
      <w:pPr>
        <w:widowControl w:val="0"/>
        <w:tabs>
          <w:tab w:val="center" w:pos="4320"/>
          <w:tab w:val="right" w:pos="8640"/>
        </w:tabs>
        <w:spacing w:after="0" w:line="240" w:lineRule="auto"/>
        <w:jc w:val="center"/>
        <w:rPr>
          <w:rFonts w:eastAsia="Times New Roman"/>
          <w:b/>
          <w:snapToGrid w:val="0"/>
          <w:color w:val="000000"/>
          <w:sz w:val="18"/>
          <w:szCs w:val="18"/>
        </w:rPr>
      </w:pPr>
      <w:r w:rsidRPr="00B60984">
        <w:rPr>
          <w:rFonts w:eastAsia="Times New Roman"/>
          <w:b/>
          <w:snapToGrid w:val="0"/>
          <w:color w:val="000000"/>
          <w:sz w:val="18"/>
          <w:szCs w:val="18"/>
        </w:rPr>
        <w:t>WASHINGTON, D.C.  20220</w:t>
      </w:r>
    </w:p>
    <w:p w:rsidR="00B60984" w:rsidRPr="00B60984" w:rsidP="00B60984" w14:paraId="6D0C641D" w14:textId="77777777">
      <w:pPr>
        <w:spacing w:after="0" w:line="240" w:lineRule="auto"/>
        <w:rPr>
          <w:rFonts w:eastAsia="Times New Roman"/>
          <w:color w:val="000000"/>
          <w:sz w:val="18"/>
          <w:szCs w:val="18"/>
        </w:rPr>
      </w:pPr>
    </w:p>
    <w:p w:rsidR="00B60984" w:rsidRPr="00B60984" w:rsidP="00B60984" w14:paraId="0F6996A3" w14:textId="77777777">
      <w:pPr>
        <w:spacing w:after="0" w:line="240" w:lineRule="auto"/>
        <w:ind w:left="360"/>
        <w:contextualSpacing/>
        <w:rPr>
          <w:rFonts w:eastAsia="Times New Roman"/>
          <w:color w:val="000000"/>
          <w:sz w:val="18"/>
          <w:szCs w:val="18"/>
        </w:rPr>
      </w:pPr>
    </w:p>
    <w:p w:rsidR="00B60984" w:rsidRPr="00B60984" w:rsidP="00B60984" w14:paraId="60C4A67B" w14:textId="77777777">
      <w:pPr>
        <w:spacing w:after="0" w:line="240" w:lineRule="auto"/>
        <w:rPr>
          <w:rFonts w:eastAsia="Times New Roman"/>
          <w:color w:val="000000"/>
          <w:sz w:val="18"/>
          <w:szCs w:val="18"/>
        </w:rPr>
      </w:pPr>
    </w:p>
    <w:p w:rsidR="00B60984" w:rsidRPr="00B60984" w:rsidP="00B60984" w14:paraId="7333B085" w14:textId="77777777">
      <w:pPr>
        <w:pBdr>
          <w:bottom w:val="single" w:sz="4" w:space="1" w:color="auto"/>
        </w:pBdr>
        <w:spacing w:after="0" w:line="240" w:lineRule="auto"/>
        <w:rPr>
          <w:rFonts w:eastAsia="Times New Roman"/>
          <w:b/>
          <w:color w:val="000000"/>
          <w:sz w:val="18"/>
          <w:szCs w:val="18"/>
        </w:rPr>
      </w:pPr>
      <w:r w:rsidRPr="00B60984">
        <w:rPr>
          <w:rFonts w:eastAsia="Times New Roman"/>
          <w:b/>
          <w:color w:val="000000"/>
          <w:sz w:val="18"/>
          <w:szCs w:val="18"/>
        </w:rPr>
        <w:t xml:space="preserve">Appendix. CDFI Program Awardee and NMTC Allocatee Annual Report PRA (OMB Control Number 1559-0027) - Summary of Public Comments and CDFI Fund Responses </w:t>
      </w:r>
    </w:p>
    <w:p w:rsidR="00B60984" w:rsidRPr="00B60984" w:rsidP="00B60984" w14:paraId="2107D77A" w14:textId="77777777">
      <w:pPr>
        <w:spacing w:after="0" w:line="240" w:lineRule="auto"/>
        <w:rPr>
          <w:rFonts w:eastAsia="Times New Roman"/>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1538"/>
        <w:gridCol w:w="1365"/>
        <w:gridCol w:w="1202"/>
        <w:gridCol w:w="1269"/>
        <w:gridCol w:w="1515"/>
        <w:gridCol w:w="2727"/>
        <w:gridCol w:w="2121"/>
      </w:tblGrid>
      <w:tr w14:paraId="06785357" w14:textId="77777777" w:rsidTr="00B609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468" w:type="pct"/>
            <w:shd w:val="clear" w:color="auto" w:fill="BFBFBF"/>
            <w:vAlign w:val="center"/>
            <w:hideMark/>
          </w:tcPr>
          <w:p w:rsidR="00B60984" w:rsidRPr="00B60984" w:rsidP="00B60984" w14:paraId="44E23238" w14:textId="77777777">
            <w:pPr>
              <w:spacing w:after="0" w:line="240" w:lineRule="auto"/>
              <w:jc w:val="center"/>
              <w:rPr>
                <w:rFonts w:eastAsia="Times New Roman"/>
                <w:b/>
                <w:bCs/>
                <w:color w:val="000000"/>
                <w:sz w:val="18"/>
                <w:szCs w:val="18"/>
              </w:rPr>
            </w:pPr>
            <w:r w:rsidRPr="00B60984">
              <w:rPr>
                <w:rFonts w:eastAsia="Times New Roman"/>
                <w:b/>
                <w:bCs/>
                <w:color w:val="000000"/>
                <w:sz w:val="18"/>
                <w:szCs w:val="18"/>
              </w:rPr>
              <w:t>Comment #</w:t>
            </w:r>
          </w:p>
        </w:tc>
        <w:tc>
          <w:tcPr>
            <w:tcW w:w="594" w:type="pct"/>
            <w:shd w:val="clear" w:color="auto" w:fill="BFBFBF"/>
            <w:vAlign w:val="center"/>
            <w:hideMark/>
          </w:tcPr>
          <w:p w:rsidR="00B60984" w:rsidRPr="00B60984" w:rsidP="00B60984" w14:paraId="34AD7273" w14:textId="77777777">
            <w:pPr>
              <w:spacing w:after="0" w:line="240" w:lineRule="auto"/>
              <w:jc w:val="center"/>
              <w:rPr>
                <w:rFonts w:eastAsia="Times New Roman"/>
                <w:b/>
                <w:bCs/>
                <w:color w:val="000000"/>
                <w:sz w:val="18"/>
                <w:szCs w:val="18"/>
              </w:rPr>
            </w:pPr>
            <w:r w:rsidRPr="00B60984">
              <w:rPr>
                <w:rFonts w:eastAsia="Times New Roman"/>
                <w:b/>
                <w:bCs/>
                <w:color w:val="000000"/>
                <w:sz w:val="18"/>
                <w:szCs w:val="18"/>
              </w:rPr>
              <w:t>Organization</w:t>
            </w:r>
          </w:p>
        </w:tc>
        <w:tc>
          <w:tcPr>
            <w:tcW w:w="527" w:type="pct"/>
            <w:shd w:val="clear" w:color="auto" w:fill="BFBFBF"/>
            <w:vAlign w:val="center"/>
            <w:hideMark/>
          </w:tcPr>
          <w:p w:rsidR="00B60984" w:rsidRPr="00B60984" w:rsidP="00B60984" w14:paraId="7D0C7306" w14:textId="77777777">
            <w:pPr>
              <w:spacing w:after="0" w:line="240" w:lineRule="auto"/>
              <w:jc w:val="center"/>
              <w:rPr>
                <w:rFonts w:eastAsia="Times New Roman"/>
                <w:b/>
                <w:bCs/>
                <w:color w:val="000000"/>
                <w:sz w:val="18"/>
                <w:szCs w:val="18"/>
              </w:rPr>
            </w:pPr>
            <w:r w:rsidRPr="00B60984">
              <w:rPr>
                <w:rFonts w:eastAsia="Times New Roman"/>
                <w:b/>
                <w:bCs/>
                <w:color w:val="000000"/>
                <w:sz w:val="18"/>
                <w:szCs w:val="18"/>
              </w:rPr>
              <w:t>Author Name</w:t>
            </w:r>
          </w:p>
        </w:tc>
        <w:tc>
          <w:tcPr>
            <w:tcW w:w="464" w:type="pct"/>
            <w:shd w:val="clear" w:color="auto" w:fill="BFBFBF"/>
            <w:vAlign w:val="center"/>
            <w:hideMark/>
          </w:tcPr>
          <w:p w:rsidR="00B60984" w:rsidRPr="00B60984" w:rsidP="00B60984" w14:paraId="61A5B7CC" w14:textId="77777777">
            <w:pPr>
              <w:spacing w:after="0" w:line="240" w:lineRule="auto"/>
              <w:jc w:val="center"/>
              <w:rPr>
                <w:rFonts w:eastAsia="Times New Roman"/>
                <w:b/>
                <w:bCs/>
                <w:color w:val="000000"/>
                <w:sz w:val="18"/>
                <w:szCs w:val="18"/>
              </w:rPr>
            </w:pPr>
            <w:r w:rsidRPr="00B60984">
              <w:rPr>
                <w:rFonts w:eastAsia="Times New Roman"/>
                <w:b/>
                <w:bCs/>
                <w:color w:val="000000"/>
                <w:sz w:val="18"/>
                <w:szCs w:val="18"/>
              </w:rPr>
              <w:t>Author Position</w:t>
            </w:r>
          </w:p>
        </w:tc>
        <w:tc>
          <w:tcPr>
            <w:tcW w:w="490" w:type="pct"/>
            <w:shd w:val="clear" w:color="auto" w:fill="BFBFBF"/>
            <w:vAlign w:val="center"/>
            <w:hideMark/>
          </w:tcPr>
          <w:p w:rsidR="00B60984" w:rsidRPr="00B60984" w:rsidP="00B60984" w14:paraId="2D88E873" w14:textId="77777777">
            <w:pPr>
              <w:spacing w:after="0" w:line="240" w:lineRule="auto"/>
              <w:jc w:val="center"/>
              <w:rPr>
                <w:rFonts w:eastAsia="Times New Roman"/>
                <w:b/>
                <w:bCs/>
                <w:color w:val="000000"/>
                <w:sz w:val="18"/>
                <w:szCs w:val="18"/>
              </w:rPr>
            </w:pPr>
            <w:r w:rsidRPr="00B60984">
              <w:rPr>
                <w:rFonts w:eastAsia="Times New Roman"/>
                <w:b/>
                <w:bCs/>
                <w:color w:val="000000"/>
                <w:sz w:val="18"/>
                <w:szCs w:val="18"/>
              </w:rPr>
              <w:t>Letter Comment Date</w:t>
            </w:r>
          </w:p>
        </w:tc>
        <w:tc>
          <w:tcPr>
            <w:tcW w:w="585" w:type="pct"/>
            <w:shd w:val="clear" w:color="auto" w:fill="BFBFBF"/>
            <w:vAlign w:val="center"/>
            <w:hideMark/>
          </w:tcPr>
          <w:p w:rsidR="00B60984" w:rsidRPr="00B60984" w:rsidP="00B60984" w14:paraId="784A475C" w14:textId="77777777">
            <w:pPr>
              <w:spacing w:after="0" w:line="240" w:lineRule="auto"/>
              <w:jc w:val="center"/>
              <w:rPr>
                <w:rFonts w:eastAsia="Times New Roman"/>
                <w:b/>
                <w:bCs/>
                <w:color w:val="000000"/>
                <w:sz w:val="18"/>
                <w:szCs w:val="18"/>
              </w:rPr>
            </w:pPr>
            <w:r w:rsidRPr="00B60984">
              <w:rPr>
                <w:rFonts w:eastAsia="Times New Roman"/>
                <w:b/>
                <w:bCs/>
                <w:color w:val="000000"/>
                <w:sz w:val="18"/>
                <w:szCs w:val="18"/>
              </w:rPr>
              <w:t>Category</w:t>
            </w:r>
          </w:p>
        </w:tc>
        <w:tc>
          <w:tcPr>
            <w:tcW w:w="1053" w:type="pct"/>
            <w:shd w:val="clear" w:color="auto" w:fill="BFBFBF"/>
            <w:vAlign w:val="center"/>
            <w:hideMark/>
          </w:tcPr>
          <w:p w:rsidR="00B60984" w:rsidRPr="00B60984" w:rsidP="00B60984" w14:paraId="54A08E7B" w14:textId="77777777">
            <w:pPr>
              <w:spacing w:after="0" w:line="240" w:lineRule="auto"/>
              <w:jc w:val="center"/>
              <w:rPr>
                <w:rFonts w:eastAsia="Times New Roman"/>
                <w:b/>
                <w:bCs/>
                <w:color w:val="000000"/>
                <w:sz w:val="18"/>
                <w:szCs w:val="18"/>
              </w:rPr>
            </w:pPr>
            <w:r w:rsidRPr="00B60984">
              <w:rPr>
                <w:rFonts w:eastAsia="Times New Roman"/>
                <w:b/>
                <w:bCs/>
                <w:color w:val="000000"/>
                <w:sz w:val="18"/>
                <w:szCs w:val="18"/>
              </w:rPr>
              <w:t>Comment</w:t>
            </w:r>
          </w:p>
        </w:tc>
        <w:tc>
          <w:tcPr>
            <w:tcW w:w="819" w:type="pct"/>
            <w:shd w:val="clear" w:color="auto" w:fill="BFBFBF"/>
            <w:vAlign w:val="center"/>
            <w:hideMark/>
          </w:tcPr>
          <w:p w:rsidR="00B60984" w:rsidRPr="00B60984" w:rsidP="00B60984" w14:paraId="2E86DA7A" w14:textId="77777777">
            <w:pPr>
              <w:spacing w:after="0" w:line="240" w:lineRule="auto"/>
              <w:jc w:val="center"/>
              <w:rPr>
                <w:rFonts w:eastAsia="Times New Roman"/>
                <w:b/>
                <w:bCs/>
                <w:color w:val="000000"/>
                <w:sz w:val="18"/>
                <w:szCs w:val="18"/>
              </w:rPr>
            </w:pPr>
            <w:r w:rsidRPr="00B60984">
              <w:rPr>
                <w:rFonts w:eastAsia="Times New Roman"/>
                <w:b/>
                <w:bCs/>
                <w:color w:val="000000"/>
                <w:sz w:val="18"/>
                <w:szCs w:val="18"/>
              </w:rPr>
              <w:t>CDFI Fund Response</w:t>
            </w:r>
          </w:p>
        </w:tc>
      </w:tr>
      <w:tr w14:paraId="1F354BBF" w14:textId="77777777" w:rsidTr="00B86BBF">
        <w:tblPrEx>
          <w:tblW w:w="5000" w:type="pct"/>
          <w:tblLook w:val="04A0"/>
        </w:tblPrEx>
        <w:tc>
          <w:tcPr>
            <w:tcW w:w="468" w:type="pct"/>
            <w:shd w:val="clear" w:color="auto" w:fill="auto"/>
          </w:tcPr>
          <w:p w:rsidR="00B60984" w:rsidRPr="00B60984" w:rsidP="00B60984" w14:paraId="5121DBFD" w14:textId="77777777">
            <w:pPr>
              <w:spacing w:after="0" w:line="240" w:lineRule="auto"/>
              <w:rPr>
                <w:rFonts w:eastAsia="Times New Roman"/>
                <w:color w:val="000000"/>
                <w:sz w:val="18"/>
                <w:szCs w:val="18"/>
              </w:rPr>
            </w:pPr>
            <w:r w:rsidRPr="00B60984">
              <w:rPr>
                <w:rFonts w:eastAsia="Times New Roman"/>
                <w:color w:val="000000"/>
                <w:sz w:val="18"/>
                <w:szCs w:val="18"/>
              </w:rPr>
              <w:t>1</w:t>
            </w:r>
          </w:p>
        </w:tc>
        <w:tc>
          <w:tcPr>
            <w:tcW w:w="594" w:type="pct"/>
            <w:shd w:val="clear" w:color="auto" w:fill="auto"/>
          </w:tcPr>
          <w:p w:rsidR="00B60984" w:rsidRPr="00B60984" w:rsidP="00B60984" w14:paraId="1B015945" w14:textId="77777777">
            <w:pPr>
              <w:spacing w:after="0" w:line="240" w:lineRule="auto"/>
              <w:rPr>
                <w:rFonts w:eastAsia="Times New Roman"/>
                <w:color w:val="000000"/>
                <w:sz w:val="18"/>
                <w:szCs w:val="18"/>
              </w:rPr>
            </w:pPr>
            <w:r w:rsidRPr="00B60984">
              <w:rPr>
                <w:rFonts w:eastAsia="Times New Roman"/>
                <w:color w:val="000000"/>
                <w:sz w:val="18"/>
                <w:szCs w:val="18"/>
              </w:rPr>
              <w:t>Community Development Bankers Association</w:t>
            </w:r>
          </w:p>
        </w:tc>
        <w:tc>
          <w:tcPr>
            <w:tcW w:w="527" w:type="pct"/>
            <w:shd w:val="clear" w:color="auto" w:fill="auto"/>
          </w:tcPr>
          <w:p w:rsidR="00B60984" w:rsidRPr="00B60984" w:rsidP="00B60984" w14:paraId="1DCA762C" w14:textId="77777777">
            <w:pPr>
              <w:spacing w:after="0" w:line="240" w:lineRule="auto"/>
              <w:rPr>
                <w:rFonts w:eastAsia="Times New Roman"/>
                <w:color w:val="000000"/>
                <w:sz w:val="18"/>
                <w:szCs w:val="18"/>
              </w:rPr>
            </w:pPr>
            <w:r w:rsidRPr="00B60984">
              <w:rPr>
                <w:rFonts w:eastAsia="Times New Roman"/>
                <w:color w:val="000000"/>
                <w:sz w:val="18"/>
                <w:szCs w:val="18"/>
              </w:rPr>
              <w:t>Brian Blake</w:t>
            </w:r>
          </w:p>
        </w:tc>
        <w:tc>
          <w:tcPr>
            <w:tcW w:w="464" w:type="pct"/>
            <w:shd w:val="clear" w:color="auto" w:fill="auto"/>
          </w:tcPr>
          <w:p w:rsidR="00B60984" w:rsidRPr="00B60984" w:rsidP="00B60984" w14:paraId="7B24421C" w14:textId="77777777">
            <w:pPr>
              <w:spacing w:after="0" w:line="240" w:lineRule="auto"/>
              <w:rPr>
                <w:rFonts w:eastAsia="Times New Roman"/>
                <w:color w:val="000000"/>
                <w:sz w:val="18"/>
                <w:szCs w:val="18"/>
              </w:rPr>
            </w:pPr>
            <w:r w:rsidRPr="00B60984">
              <w:rPr>
                <w:rFonts w:eastAsia="Times New Roman"/>
                <w:color w:val="000000"/>
                <w:sz w:val="18"/>
                <w:szCs w:val="18"/>
              </w:rPr>
              <w:t>Chief Public Policy Officer</w:t>
            </w:r>
          </w:p>
        </w:tc>
        <w:tc>
          <w:tcPr>
            <w:tcW w:w="490" w:type="pct"/>
            <w:shd w:val="clear" w:color="auto" w:fill="auto"/>
          </w:tcPr>
          <w:p w:rsidR="00B60984" w:rsidRPr="00B60984" w:rsidP="00B60984" w14:paraId="39091AFE" w14:textId="77777777">
            <w:pPr>
              <w:spacing w:after="0" w:line="240" w:lineRule="auto"/>
              <w:rPr>
                <w:rFonts w:eastAsia="Times New Roman"/>
                <w:color w:val="000000"/>
                <w:sz w:val="18"/>
                <w:szCs w:val="18"/>
              </w:rPr>
            </w:pPr>
            <w:r w:rsidRPr="00B60984">
              <w:rPr>
                <w:rFonts w:eastAsia="Times New Roman"/>
                <w:color w:val="000000"/>
                <w:sz w:val="18"/>
                <w:szCs w:val="18"/>
              </w:rPr>
              <w:t>4/5/2023</w:t>
            </w:r>
          </w:p>
        </w:tc>
        <w:tc>
          <w:tcPr>
            <w:tcW w:w="585" w:type="pct"/>
            <w:shd w:val="clear" w:color="auto" w:fill="auto"/>
          </w:tcPr>
          <w:p w:rsidR="00B60984" w:rsidRPr="00B60984" w:rsidP="00B60984" w14:paraId="2D5D4EA0" w14:textId="77777777">
            <w:pPr>
              <w:spacing w:after="0" w:line="240" w:lineRule="auto"/>
              <w:rPr>
                <w:rFonts w:eastAsia="Times New Roman"/>
                <w:color w:val="000000"/>
                <w:sz w:val="18"/>
                <w:szCs w:val="18"/>
              </w:rPr>
            </w:pPr>
            <w:r w:rsidRPr="00B60984">
              <w:rPr>
                <w:rFonts w:eastAsia="Times New Roman"/>
                <w:color w:val="000000"/>
                <w:sz w:val="18"/>
                <w:szCs w:val="18"/>
              </w:rPr>
              <w:t>Depth of Public Subsidy Data Points</w:t>
            </w:r>
          </w:p>
        </w:tc>
        <w:tc>
          <w:tcPr>
            <w:tcW w:w="1053" w:type="pct"/>
            <w:shd w:val="clear" w:color="auto" w:fill="auto"/>
          </w:tcPr>
          <w:p w:rsidR="00B60984" w:rsidRPr="00B60984" w:rsidP="00B60984" w14:paraId="6F9E2D7C" w14:textId="77777777">
            <w:pPr>
              <w:spacing w:after="0" w:line="240" w:lineRule="auto"/>
              <w:rPr>
                <w:rFonts w:eastAsia="Times New Roman"/>
                <w:color w:val="000000"/>
                <w:sz w:val="18"/>
                <w:szCs w:val="18"/>
              </w:rPr>
            </w:pPr>
            <w:r w:rsidRPr="00B60984">
              <w:rPr>
                <w:rFonts w:eastAsia="Times New Roman"/>
                <w:color w:val="000000"/>
                <w:sz w:val="18"/>
                <w:szCs w:val="18"/>
              </w:rPr>
              <w:t>Estimated Annual Net Operating Income (Page 63)</w:t>
            </w:r>
            <w:r w:rsidRPr="00B60984">
              <w:rPr>
                <w:rFonts w:eastAsia="Times New Roman"/>
                <w:color w:val="000000"/>
                <w:sz w:val="18"/>
                <w:szCs w:val="18"/>
              </w:rPr>
              <w:br/>
              <w:t xml:space="preserve">This field provides an acceptable definition for a for-profit entities’ calculation of Net Operating Income (annual revenue </w:t>
            </w:r>
            <w:r w:rsidRPr="00B60984">
              <w:rPr>
                <w:rFonts w:eastAsia="Times New Roman"/>
                <w:color w:val="000000"/>
                <w:sz w:val="18"/>
                <w:szCs w:val="18"/>
              </w:rPr>
              <w:t>less</w:t>
            </w:r>
            <w:r w:rsidRPr="00B60984">
              <w:rPr>
                <w:rFonts w:eastAsia="Times New Roman"/>
                <w:color w:val="000000"/>
                <w:sz w:val="18"/>
                <w:szCs w:val="18"/>
              </w:rPr>
              <w:t xml:space="preserve"> operating costs). Then, it notes "In the case of a non-profit entity, report the Change in Net Assets or the Addition to Net Assets." For non-profit entities, this will cause a more conservative calculation of Estimated Annual Net Operating Income as it burdens the calculation with non-operating costs (such as depreciation, amortization, interest, and one-time non-operating costs). We recommend the CDFI Fund review this data point to ensure that this reflects the intent. We recommend that the CDFI Fund ensure a level field for all entities, and not use definitions that burden non-profit entities to the advantage of for-profits.</w:t>
            </w:r>
          </w:p>
        </w:tc>
        <w:tc>
          <w:tcPr>
            <w:tcW w:w="819" w:type="pct"/>
            <w:shd w:val="clear" w:color="auto" w:fill="auto"/>
          </w:tcPr>
          <w:p w:rsidR="00B60984" w:rsidRPr="00B60984" w:rsidP="00B60984" w14:paraId="2243D453" w14:textId="77777777">
            <w:pPr>
              <w:spacing w:after="0" w:line="240" w:lineRule="auto"/>
              <w:rPr>
                <w:rFonts w:eastAsia="Times New Roman"/>
                <w:color w:val="000000"/>
                <w:sz w:val="18"/>
                <w:szCs w:val="18"/>
              </w:rPr>
            </w:pPr>
            <w:r w:rsidRPr="00B60984">
              <w:rPr>
                <w:rFonts w:eastAsia="Times New Roman"/>
                <w:color w:val="000000"/>
                <w:sz w:val="18"/>
                <w:szCs w:val="18"/>
              </w:rPr>
              <w:t xml:space="preserve">Currently the CDFI Fund is not using Net Operating Income in the NMTC application. The CDFI Fund will take this comment into consideration in the future to review the TLR data point on Annual Net Operating Income for non-profits. </w:t>
            </w:r>
          </w:p>
        </w:tc>
      </w:tr>
      <w:tr w14:paraId="432F3324" w14:textId="77777777" w:rsidTr="00B86BBF">
        <w:tblPrEx>
          <w:tblW w:w="5000" w:type="pct"/>
          <w:tblLook w:val="04A0"/>
        </w:tblPrEx>
        <w:tc>
          <w:tcPr>
            <w:tcW w:w="468" w:type="pct"/>
            <w:shd w:val="clear" w:color="auto" w:fill="auto"/>
          </w:tcPr>
          <w:p w:rsidR="00B60984" w:rsidRPr="00B60984" w:rsidP="00B60984" w14:paraId="5AA79ED3" w14:textId="77777777">
            <w:pPr>
              <w:spacing w:after="0" w:line="240" w:lineRule="auto"/>
              <w:rPr>
                <w:rFonts w:eastAsia="Times New Roman"/>
                <w:color w:val="000000"/>
                <w:sz w:val="18"/>
                <w:szCs w:val="18"/>
              </w:rPr>
            </w:pPr>
            <w:r w:rsidRPr="00B60984">
              <w:rPr>
                <w:rFonts w:eastAsia="Times New Roman"/>
                <w:color w:val="000000"/>
                <w:sz w:val="18"/>
                <w:szCs w:val="18"/>
              </w:rPr>
              <w:t>2</w:t>
            </w:r>
          </w:p>
        </w:tc>
        <w:tc>
          <w:tcPr>
            <w:tcW w:w="594" w:type="pct"/>
            <w:shd w:val="clear" w:color="auto" w:fill="auto"/>
          </w:tcPr>
          <w:p w:rsidR="00B60984" w:rsidRPr="00B60984" w:rsidP="00B60984" w14:paraId="6B84E695" w14:textId="77777777">
            <w:pPr>
              <w:spacing w:after="0" w:line="240" w:lineRule="auto"/>
              <w:rPr>
                <w:rFonts w:eastAsia="Times New Roman"/>
                <w:color w:val="000000"/>
                <w:sz w:val="18"/>
                <w:szCs w:val="18"/>
              </w:rPr>
            </w:pPr>
            <w:r w:rsidRPr="00B60984">
              <w:rPr>
                <w:rFonts w:eastAsia="Times New Roman"/>
                <w:color w:val="000000"/>
                <w:sz w:val="18"/>
                <w:szCs w:val="18"/>
              </w:rPr>
              <w:t>Community Development Bankers Association</w:t>
            </w:r>
          </w:p>
        </w:tc>
        <w:tc>
          <w:tcPr>
            <w:tcW w:w="527" w:type="pct"/>
            <w:shd w:val="clear" w:color="auto" w:fill="auto"/>
          </w:tcPr>
          <w:p w:rsidR="00B60984" w:rsidRPr="00B60984" w:rsidP="00B60984" w14:paraId="648ECB7A" w14:textId="77777777">
            <w:pPr>
              <w:spacing w:after="0" w:line="240" w:lineRule="auto"/>
              <w:rPr>
                <w:rFonts w:eastAsia="Times New Roman"/>
                <w:color w:val="000000"/>
                <w:sz w:val="18"/>
                <w:szCs w:val="18"/>
              </w:rPr>
            </w:pPr>
            <w:r w:rsidRPr="00B60984">
              <w:rPr>
                <w:rFonts w:eastAsia="Times New Roman"/>
                <w:color w:val="000000"/>
                <w:sz w:val="18"/>
                <w:szCs w:val="18"/>
              </w:rPr>
              <w:t>Brian Blake</w:t>
            </w:r>
          </w:p>
        </w:tc>
        <w:tc>
          <w:tcPr>
            <w:tcW w:w="464" w:type="pct"/>
            <w:shd w:val="clear" w:color="auto" w:fill="auto"/>
          </w:tcPr>
          <w:p w:rsidR="00B60984" w:rsidRPr="00B60984" w:rsidP="00B60984" w14:paraId="5520F025" w14:textId="77777777">
            <w:pPr>
              <w:spacing w:after="0" w:line="240" w:lineRule="auto"/>
              <w:rPr>
                <w:rFonts w:eastAsia="Times New Roman"/>
                <w:color w:val="000000"/>
                <w:sz w:val="18"/>
                <w:szCs w:val="18"/>
              </w:rPr>
            </w:pPr>
            <w:r w:rsidRPr="00B60984">
              <w:rPr>
                <w:rFonts w:eastAsia="Times New Roman"/>
                <w:color w:val="000000"/>
                <w:sz w:val="18"/>
                <w:szCs w:val="18"/>
              </w:rPr>
              <w:t>Chief Public Policy Officer</w:t>
            </w:r>
          </w:p>
        </w:tc>
        <w:tc>
          <w:tcPr>
            <w:tcW w:w="490" w:type="pct"/>
            <w:shd w:val="clear" w:color="auto" w:fill="auto"/>
          </w:tcPr>
          <w:p w:rsidR="00B60984" w:rsidRPr="00B60984" w:rsidP="00B60984" w14:paraId="6BA999B3" w14:textId="77777777">
            <w:pPr>
              <w:spacing w:after="0" w:line="240" w:lineRule="auto"/>
              <w:rPr>
                <w:rFonts w:eastAsia="Times New Roman"/>
                <w:color w:val="000000"/>
                <w:sz w:val="18"/>
                <w:szCs w:val="18"/>
              </w:rPr>
            </w:pPr>
            <w:r w:rsidRPr="00B60984">
              <w:rPr>
                <w:rFonts w:eastAsia="Times New Roman"/>
                <w:color w:val="000000"/>
                <w:sz w:val="18"/>
                <w:szCs w:val="18"/>
              </w:rPr>
              <w:t>4/5/2023</w:t>
            </w:r>
          </w:p>
        </w:tc>
        <w:tc>
          <w:tcPr>
            <w:tcW w:w="585" w:type="pct"/>
            <w:shd w:val="clear" w:color="auto" w:fill="auto"/>
          </w:tcPr>
          <w:p w:rsidR="00B60984" w:rsidRPr="00B60984" w:rsidP="00B60984" w14:paraId="647A5532"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44235207" w14:textId="77777777">
            <w:pPr>
              <w:spacing w:after="0" w:line="240" w:lineRule="auto"/>
              <w:rPr>
                <w:rFonts w:eastAsia="Times New Roman"/>
                <w:color w:val="000000"/>
                <w:sz w:val="18"/>
                <w:szCs w:val="18"/>
              </w:rPr>
            </w:pPr>
            <w:r w:rsidRPr="00B60984">
              <w:rPr>
                <w:rFonts w:eastAsia="Times New Roman"/>
                <w:color w:val="000000"/>
                <w:sz w:val="18"/>
                <w:szCs w:val="18"/>
              </w:rPr>
              <w:t>Actual Jobs to Be Created at Tenant Businesses (Page 75)</w:t>
            </w:r>
            <w:r w:rsidRPr="00B60984">
              <w:rPr>
                <w:rFonts w:eastAsia="Times New Roman"/>
                <w:color w:val="000000"/>
                <w:sz w:val="18"/>
                <w:szCs w:val="18"/>
              </w:rPr>
              <w:br/>
              <w:t xml:space="preserve">Due to the nature of the report, we believe this text should be re-written to reflect the past tense. In this case, the CDFI Fund would </w:t>
            </w:r>
            <w:r w:rsidRPr="00B60984">
              <w:rPr>
                <w:rFonts w:eastAsia="Times New Roman"/>
                <w:color w:val="000000"/>
                <w:sz w:val="18"/>
                <w:szCs w:val="18"/>
              </w:rPr>
              <w:t>strike “to be” so the text reads "Actual Jobs Created at Tenant Business."</w:t>
            </w:r>
          </w:p>
        </w:tc>
        <w:tc>
          <w:tcPr>
            <w:tcW w:w="819" w:type="pct"/>
            <w:shd w:val="clear" w:color="auto" w:fill="auto"/>
          </w:tcPr>
          <w:p w:rsidR="00B60984" w:rsidRPr="00B60984" w:rsidP="00B60984" w14:paraId="1A0EC1D8" w14:textId="77777777">
            <w:pPr>
              <w:spacing w:after="0" w:line="240" w:lineRule="auto"/>
              <w:rPr>
                <w:rFonts w:eastAsia="Times New Roman"/>
                <w:color w:val="000000"/>
                <w:sz w:val="18"/>
                <w:szCs w:val="18"/>
              </w:rPr>
            </w:pPr>
            <w:r w:rsidRPr="00B60984">
              <w:rPr>
                <w:rFonts w:eastAsia="Times New Roman"/>
                <w:color w:val="000000"/>
                <w:sz w:val="18"/>
                <w:szCs w:val="18"/>
              </w:rPr>
              <w:t>The CDFI Fund will change the TLR text to read "Actual Jobs Created at Tenant Business."</w:t>
            </w:r>
          </w:p>
        </w:tc>
      </w:tr>
      <w:tr w14:paraId="7A9B4BDD" w14:textId="77777777" w:rsidTr="00B86BBF">
        <w:tblPrEx>
          <w:tblW w:w="5000" w:type="pct"/>
          <w:tblLook w:val="04A0"/>
        </w:tblPrEx>
        <w:tc>
          <w:tcPr>
            <w:tcW w:w="468" w:type="pct"/>
            <w:shd w:val="clear" w:color="auto" w:fill="auto"/>
          </w:tcPr>
          <w:p w:rsidR="00B60984" w:rsidRPr="00B60984" w:rsidP="00B60984" w14:paraId="04C9C459" w14:textId="77777777">
            <w:pPr>
              <w:spacing w:after="0" w:line="240" w:lineRule="auto"/>
              <w:rPr>
                <w:rFonts w:eastAsia="Times New Roman"/>
                <w:color w:val="000000"/>
                <w:sz w:val="18"/>
                <w:szCs w:val="18"/>
              </w:rPr>
            </w:pPr>
            <w:r w:rsidRPr="00B60984">
              <w:rPr>
                <w:rFonts w:eastAsia="Times New Roman"/>
                <w:color w:val="000000"/>
                <w:sz w:val="18"/>
                <w:szCs w:val="18"/>
              </w:rPr>
              <w:t>3</w:t>
            </w:r>
          </w:p>
        </w:tc>
        <w:tc>
          <w:tcPr>
            <w:tcW w:w="594" w:type="pct"/>
            <w:shd w:val="clear" w:color="auto" w:fill="auto"/>
          </w:tcPr>
          <w:p w:rsidR="00B60984" w:rsidRPr="00B60984" w:rsidP="00B60984" w14:paraId="4B7E3CC2" w14:textId="77777777">
            <w:pPr>
              <w:spacing w:after="0" w:line="240" w:lineRule="auto"/>
              <w:rPr>
                <w:rFonts w:eastAsia="Times New Roman"/>
                <w:color w:val="000000"/>
                <w:sz w:val="18"/>
                <w:szCs w:val="18"/>
              </w:rPr>
            </w:pPr>
            <w:r w:rsidRPr="00B60984">
              <w:rPr>
                <w:rFonts w:eastAsia="Times New Roman"/>
                <w:color w:val="000000"/>
                <w:sz w:val="18"/>
                <w:szCs w:val="18"/>
              </w:rPr>
              <w:t>Community Development Bankers Association</w:t>
            </w:r>
          </w:p>
        </w:tc>
        <w:tc>
          <w:tcPr>
            <w:tcW w:w="527" w:type="pct"/>
            <w:shd w:val="clear" w:color="auto" w:fill="auto"/>
          </w:tcPr>
          <w:p w:rsidR="00B60984" w:rsidRPr="00B60984" w:rsidP="00B60984" w14:paraId="44EDC1AF" w14:textId="77777777">
            <w:pPr>
              <w:spacing w:after="0" w:line="240" w:lineRule="auto"/>
              <w:rPr>
                <w:rFonts w:eastAsia="Times New Roman"/>
                <w:color w:val="000000"/>
                <w:sz w:val="18"/>
                <w:szCs w:val="18"/>
              </w:rPr>
            </w:pPr>
            <w:r w:rsidRPr="00B60984">
              <w:rPr>
                <w:rFonts w:eastAsia="Times New Roman"/>
                <w:color w:val="000000"/>
                <w:sz w:val="18"/>
                <w:szCs w:val="18"/>
              </w:rPr>
              <w:t>Brian Blake</w:t>
            </w:r>
          </w:p>
        </w:tc>
        <w:tc>
          <w:tcPr>
            <w:tcW w:w="464" w:type="pct"/>
            <w:shd w:val="clear" w:color="auto" w:fill="auto"/>
          </w:tcPr>
          <w:p w:rsidR="00B60984" w:rsidRPr="00B60984" w:rsidP="00B60984" w14:paraId="702C1CEE" w14:textId="77777777">
            <w:pPr>
              <w:spacing w:after="0" w:line="240" w:lineRule="auto"/>
              <w:rPr>
                <w:rFonts w:eastAsia="Times New Roman"/>
                <w:color w:val="000000"/>
                <w:sz w:val="18"/>
                <w:szCs w:val="18"/>
              </w:rPr>
            </w:pPr>
            <w:r w:rsidRPr="00B60984">
              <w:rPr>
                <w:rFonts w:eastAsia="Times New Roman"/>
                <w:color w:val="000000"/>
                <w:sz w:val="18"/>
                <w:szCs w:val="18"/>
              </w:rPr>
              <w:t>Chief Public Policy Officer</w:t>
            </w:r>
          </w:p>
        </w:tc>
        <w:tc>
          <w:tcPr>
            <w:tcW w:w="490" w:type="pct"/>
            <w:shd w:val="clear" w:color="auto" w:fill="auto"/>
          </w:tcPr>
          <w:p w:rsidR="00B60984" w:rsidRPr="00B60984" w:rsidP="00B60984" w14:paraId="675EC5CD" w14:textId="77777777">
            <w:pPr>
              <w:spacing w:after="0" w:line="240" w:lineRule="auto"/>
              <w:rPr>
                <w:rFonts w:eastAsia="Times New Roman"/>
                <w:color w:val="000000"/>
                <w:sz w:val="18"/>
                <w:szCs w:val="18"/>
              </w:rPr>
            </w:pPr>
            <w:r w:rsidRPr="00B60984">
              <w:rPr>
                <w:rFonts w:eastAsia="Times New Roman"/>
                <w:color w:val="000000"/>
                <w:sz w:val="18"/>
                <w:szCs w:val="18"/>
              </w:rPr>
              <w:t>4/5/2023</w:t>
            </w:r>
          </w:p>
        </w:tc>
        <w:tc>
          <w:tcPr>
            <w:tcW w:w="585" w:type="pct"/>
            <w:shd w:val="clear" w:color="auto" w:fill="auto"/>
          </w:tcPr>
          <w:p w:rsidR="00B60984" w:rsidRPr="00B60984" w:rsidP="00B60984" w14:paraId="39D746AE"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12BF48B2" w14:textId="77777777">
            <w:pPr>
              <w:spacing w:after="0" w:line="240" w:lineRule="auto"/>
              <w:rPr>
                <w:rFonts w:eastAsia="Times New Roman"/>
                <w:color w:val="000000"/>
                <w:sz w:val="18"/>
                <w:szCs w:val="18"/>
              </w:rPr>
            </w:pPr>
            <w:r w:rsidRPr="00B60984">
              <w:rPr>
                <w:rFonts w:eastAsia="Times New Roman"/>
                <w:color w:val="000000"/>
                <w:sz w:val="18"/>
                <w:szCs w:val="18"/>
              </w:rPr>
              <w:t>Job Quality Measures (Page 77)</w:t>
            </w:r>
            <w:r w:rsidRPr="00B60984">
              <w:rPr>
                <w:rFonts w:eastAsia="Times New Roman"/>
                <w:color w:val="000000"/>
                <w:sz w:val="18"/>
                <w:szCs w:val="18"/>
              </w:rPr>
              <w:br/>
              <w:t>This field has six job quality data points. As presented, it appears that one of these measures could be selected even if only one of the jobs associated with the project offered the applicable quality. The CDFI Fund should clarify whether and what numeric threshold exists for a legitimate election in this field.</w:t>
            </w:r>
          </w:p>
        </w:tc>
        <w:tc>
          <w:tcPr>
            <w:tcW w:w="819" w:type="pct"/>
            <w:shd w:val="clear" w:color="auto" w:fill="auto"/>
          </w:tcPr>
          <w:p w:rsidR="00B60984" w:rsidRPr="00B60984" w:rsidP="00B60984" w14:paraId="4F549314" w14:textId="77777777">
            <w:pPr>
              <w:spacing w:after="0" w:line="240" w:lineRule="auto"/>
              <w:rPr>
                <w:rFonts w:eastAsia="Times New Roman"/>
                <w:color w:val="000000"/>
                <w:sz w:val="18"/>
                <w:szCs w:val="18"/>
              </w:rPr>
            </w:pPr>
            <w:r w:rsidRPr="00B60984">
              <w:rPr>
                <w:rFonts w:eastAsia="Times New Roman"/>
                <w:color w:val="000000"/>
                <w:sz w:val="18"/>
                <w:szCs w:val="18"/>
              </w:rPr>
              <w:t>The CDFI Fund will add the variable “Number of Quality Jobs Measure” after the “Quality Jobs” variable.</w:t>
            </w:r>
          </w:p>
        </w:tc>
      </w:tr>
      <w:tr w14:paraId="5B41BD6C" w14:textId="77777777" w:rsidTr="00B86BBF">
        <w:tblPrEx>
          <w:tblW w:w="5000" w:type="pct"/>
          <w:tblLook w:val="04A0"/>
        </w:tblPrEx>
        <w:tc>
          <w:tcPr>
            <w:tcW w:w="468" w:type="pct"/>
            <w:shd w:val="clear" w:color="auto" w:fill="auto"/>
          </w:tcPr>
          <w:p w:rsidR="00B60984" w:rsidRPr="00B60984" w:rsidP="00B60984" w14:paraId="32BA692D" w14:textId="77777777">
            <w:pPr>
              <w:spacing w:after="0" w:line="240" w:lineRule="auto"/>
              <w:rPr>
                <w:rFonts w:eastAsia="Times New Roman"/>
                <w:color w:val="000000"/>
                <w:sz w:val="18"/>
                <w:szCs w:val="18"/>
              </w:rPr>
            </w:pPr>
            <w:r w:rsidRPr="00B60984">
              <w:rPr>
                <w:rFonts w:eastAsia="Times New Roman"/>
                <w:color w:val="000000"/>
                <w:sz w:val="18"/>
                <w:szCs w:val="18"/>
              </w:rPr>
              <w:t>4</w:t>
            </w:r>
          </w:p>
        </w:tc>
        <w:tc>
          <w:tcPr>
            <w:tcW w:w="594" w:type="pct"/>
            <w:shd w:val="clear" w:color="auto" w:fill="auto"/>
          </w:tcPr>
          <w:p w:rsidR="00B60984" w:rsidRPr="00B60984" w:rsidP="00B60984" w14:paraId="3461C1FC" w14:textId="77777777">
            <w:pPr>
              <w:spacing w:after="0" w:line="240" w:lineRule="auto"/>
              <w:rPr>
                <w:rFonts w:eastAsia="Times New Roman"/>
                <w:color w:val="000000"/>
                <w:sz w:val="18"/>
                <w:szCs w:val="18"/>
              </w:rPr>
            </w:pPr>
            <w:r w:rsidRPr="00B60984">
              <w:rPr>
                <w:rFonts w:eastAsia="Times New Roman"/>
                <w:color w:val="000000"/>
                <w:sz w:val="18"/>
                <w:szCs w:val="18"/>
              </w:rPr>
              <w:t>Community Development Bankers Association</w:t>
            </w:r>
          </w:p>
        </w:tc>
        <w:tc>
          <w:tcPr>
            <w:tcW w:w="527" w:type="pct"/>
            <w:shd w:val="clear" w:color="auto" w:fill="auto"/>
          </w:tcPr>
          <w:p w:rsidR="00B60984" w:rsidRPr="00B60984" w:rsidP="00B60984" w14:paraId="255BA3D6" w14:textId="77777777">
            <w:pPr>
              <w:spacing w:after="0" w:line="240" w:lineRule="auto"/>
              <w:rPr>
                <w:rFonts w:eastAsia="Times New Roman"/>
                <w:color w:val="000000"/>
                <w:sz w:val="18"/>
                <w:szCs w:val="18"/>
              </w:rPr>
            </w:pPr>
            <w:r w:rsidRPr="00B60984">
              <w:rPr>
                <w:rFonts w:eastAsia="Times New Roman"/>
                <w:color w:val="000000"/>
                <w:sz w:val="18"/>
                <w:szCs w:val="18"/>
              </w:rPr>
              <w:t>Brian Blake</w:t>
            </w:r>
          </w:p>
        </w:tc>
        <w:tc>
          <w:tcPr>
            <w:tcW w:w="464" w:type="pct"/>
            <w:shd w:val="clear" w:color="auto" w:fill="auto"/>
          </w:tcPr>
          <w:p w:rsidR="00B60984" w:rsidRPr="00B60984" w:rsidP="00B60984" w14:paraId="47A90090" w14:textId="77777777">
            <w:pPr>
              <w:spacing w:after="0" w:line="240" w:lineRule="auto"/>
              <w:rPr>
                <w:rFonts w:eastAsia="Times New Roman"/>
                <w:color w:val="000000"/>
                <w:sz w:val="18"/>
                <w:szCs w:val="18"/>
              </w:rPr>
            </w:pPr>
            <w:r w:rsidRPr="00B60984">
              <w:rPr>
                <w:rFonts w:eastAsia="Times New Roman"/>
                <w:color w:val="000000"/>
                <w:sz w:val="18"/>
                <w:szCs w:val="18"/>
              </w:rPr>
              <w:t>Chief Public Policy Officer</w:t>
            </w:r>
          </w:p>
        </w:tc>
        <w:tc>
          <w:tcPr>
            <w:tcW w:w="490" w:type="pct"/>
            <w:shd w:val="clear" w:color="auto" w:fill="auto"/>
          </w:tcPr>
          <w:p w:rsidR="00B60984" w:rsidRPr="00B60984" w:rsidP="00B60984" w14:paraId="39877A84" w14:textId="77777777">
            <w:pPr>
              <w:spacing w:after="0" w:line="240" w:lineRule="auto"/>
              <w:rPr>
                <w:rFonts w:eastAsia="Times New Roman"/>
                <w:color w:val="000000"/>
                <w:sz w:val="18"/>
                <w:szCs w:val="18"/>
              </w:rPr>
            </w:pPr>
            <w:r w:rsidRPr="00B60984">
              <w:rPr>
                <w:rFonts w:eastAsia="Times New Roman"/>
                <w:color w:val="000000"/>
                <w:sz w:val="18"/>
                <w:szCs w:val="18"/>
              </w:rPr>
              <w:t>4/5/2023</w:t>
            </w:r>
          </w:p>
        </w:tc>
        <w:tc>
          <w:tcPr>
            <w:tcW w:w="585" w:type="pct"/>
            <w:shd w:val="clear" w:color="auto" w:fill="auto"/>
          </w:tcPr>
          <w:p w:rsidR="00B60984" w:rsidRPr="00B60984" w:rsidP="00B60984" w14:paraId="1D73EA81" w14:textId="77777777">
            <w:pPr>
              <w:spacing w:after="0" w:line="240" w:lineRule="auto"/>
              <w:rPr>
                <w:rFonts w:eastAsia="Times New Roman"/>
                <w:color w:val="000000"/>
                <w:sz w:val="18"/>
                <w:szCs w:val="18"/>
              </w:rPr>
            </w:pPr>
            <w:r w:rsidRPr="00B60984">
              <w:rPr>
                <w:rFonts w:eastAsia="Times New Roman"/>
                <w:color w:val="000000"/>
                <w:sz w:val="18"/>
                <w:szCs w:val="18"/>
              </w:rPr>
              <w:t>Project Outcomes</w:t>
            </w:r>
          </w:p>
        </w:tc>
        <w:tc>
          <w:tcPr>
            <w:tcW w:w="1053" w:type="pct"/>
            <w:shd w:val="clear" w:color="auto" w:fill="auto"/>
          </w:tcPr>
          <w:p w:rsidR="00B60984" w:rsidRPr="00B60984" w:rsidP="00B60984" w14:paraId="02F81475" w14:textId="77777777">
            <w:pPr>
              <w:spacing w:after="0" w:line="240" w:lineRule="auto"/>
              <w:rPr>
                <w:rFonts w:eastAsia="Times New Roman"/>
                <w:color w:val="000000"/>
                <w:sz w:val="18"/>
                <w:szCs w:val="18"/>
              </w:rPr>
            </w:pPr>
            <w:r w:rsidRPr="00B60984">
              <w:rPr>
                <w:rFonts w:eastAsia="Times New Roman"/>
                <w:color w:val="000000"/>
                <w:sz w:val="18"/>
                <w:szCs w:val="18"/>
              </w:rPr>
              <w:t>Impact Data Points (Pages 79 – 81)</w:t>
            </w:r>
            <w:r w:rsidRPr="00B60984">
              <w:rPr>
                <w:rFonts w:eastAsia="Times New Roman"/>
                <w:color w:val="000000"/>
                <w:sz w:val="18"/>
                <w:szCs w:val="18"/>
              </w:rPr>
              <w:br/>
              <w:t>Starting with “Square Feet of Real Estate” on page 79 and ending with “Affordable Housing Units” on page 81, we believe that the word "or" should be rewritten to state "and/or."</w:t>
            </w:r>
          </w:p>
        </w:tc>
        <w:tc>
          <w:tcPr>
            <w:tcW w:w="819" w:type="pct"/>
            <w:shd w:val="clear" w:color="auto" w:fill="auto"/>
          </w:tcPr>
          <w:p w:rsidR="00B60984" w:rsidRPr="00B60984" w:rsidP="00B60984" w14:paraId="02358BD3" w14:textId="27A474E6">
            <w:pPr>
              <w:spacing w:after="0" w:line="240" w:lineRule="auto"/>
              <w:rPr>
                <w:rFonts w:eastAsia="Times New Roman"/>
                <w:color w:val="000000"/>
                <w:sz w:val="18"/>
                <w:szCs w:val="18"/>
              </w:rPr>
            </w:pPr>
            <w:r w:rsidRPr="00B60984">
              <w:rPr>
                <w:rFonts w:eastAsia="Times New Roman"/>
                <w:color w:val="000000"/>
                <w:sz w:val="18"/>
                <w:szCs w:val="18"/>
              </w:rPr>
              <w:t>The CDFI Fund will change TLR guidance to include “and/or</w:t>
            </w:r>
            <w:r w:rsidR="008026E7">
              <w:rPr>
                <w:rFonts w:eastAsia="Times New Roman"/>
                <w:color w:val="000000"/>
                <w:sz w:val="18"/>
                <w:szCs w:val="18"/>
              </w:rPr>
              <w:t>.</w:t>
            </w:r>
            <w:r w:rsidRPr="00B60984">
              <w:rPr>
                <w:rFonts w:eastAsia="Times New Roman"/>
                <w:color w:val="000000"/>
                <w:sz w:val="18"/>
                <w:szCs w:val="18"/>
              </w:rPr>
              <w:t>”</w:t>
            </w:r>
          </w:p>
        </w:tc>
      </w:tr>
      <w:tr w14:paraId="696453B7" w14:textId="77777777" w:rsidTr="00B86BBF">
        <w:tblPrEx>
          <w:tblW w:w="5000" w:type="pct"/>
          <w:tblLook w:val="04A0"/>
        </w:tblPrEx>
        <w:tc>
          <w:tcPr>
            <w:tcW w:w="468" w:type="pct"/>
            <w:shd w:val="clear" w:color="auto" w:fill="auto"/>
          </w:tcPr>
          <w:p w:rsidR="00B60984" w:rsidRPr="00B60984" w:rsidP="00B60984" w14:paraId="040CC9AD" w14:textId="77777777">
            <w:pPr>
              <w:spacing w:after="0" w:line="240" w:lineRule="auto"/>
              <w:rPr>
                <w:rFonts w:eastAsia="Times New Roman"/>
                <w:color w:val="000000"/>
                <w:sz w:val="18"/>
                <w:szCs w:val="18"/>
              </w:rPr>
            </w:pPr>
            <w:r w:rsidRPr="00B60984">
              <w:rPr>
                <w:rFonts w:eastAsia="Times New Roman"/>
                <w:color w:val="000000"/>
                <w:sz w:val="18"/>
                <w:szCs w:val="18"/>
              </w:rPr>
              <w:t>5</w:t>
            </w:r>
          </w:p>
        </w:tc>
        <w:tc>
          <w:tcPr>
            <w:tcW w:w="594" w:type="pct"/>
            <w:shd w:val="clear" w:color="auto" w:fill="auto"/>
          </w:tcPr>
          <w:p w:rsidR="00B60984" w:rsidRPr="00B60984" w:rsidP="00B60984" w14:paraId="79A19DD4" w14:textId="77777777">
            <w:pPr>
              <w:spacing w:after="0" w:line="240" w:lineRule="auto"/>
              <w:rPr>
                <w:rFonts w:eastAsia="Times New Roman"/>
                <w:color w:val="000000"/>
                <w:sz w:val="18"/>
                <w:szCs w:val="18"/>
              </w:rPr>
            </w:pPr>
            <w:r w:rsidRPr="00B60984">
              <w:rPr>
                <w:rFonts w:eastAsia="Times New Roman"/>
                <w:color w:val="000000"/>
                <w:sz w:val="18"/>
                <w:szCs w:val="18"/>
              </w:rPr>
              <w:t>Community Development Bankers Association</w:t>
            </w:r>
          </w:p>
        </w:tc>
        <w:tc>
          <w:tcPr>
            <w:tcW w:w="527" w:type="pct"/>
            <w:shd w:val="clear" w:color="auto" w:fill="auto"/>
          </w:tcPr>
          <w:p w:rsidR="00B60984" w:rsidRPr="00B60984" w:rsidP="00B60984" w14:paraId="4830BFC2" w14:textId="77777777">
            <w:pPr>
              <w:spacing w:after="0" w:line="240" w:lineRule="auto"/>
              <w:rPr>
                <w:rFonts w:eastAsia="Times New Roman"/>
                <w:color w:val="000000"/>
                <w:sz w:val="18"/>
                <w:szCs w:val="18"/>
              </w:rPr>
            </w:pPr>
            <w:r w:rsidRPr="00B60984">
              <w:rPr>
                <w:rFonts w:eastAsia="Times New Roman"/>
                <w:color w:val="000000"/>
                <w:sz w:val="18"/>
                <w:szCs w:val="18"/>
              </w:rPr>
              <w:t>Brian Blake</w:t>
            </w:r>
          </w:p>
        </w:tc>
        <w:tc>
          <w:tcPr>
            <w:tcW w:w="464" w:type="pct"/>
            <w:shd w:val="clear" w:color="auto" w:fill="auto"/>
          </w:tcPr>
          <w:p w:rsidR="00B60984" w:rsidRPr="00B60984" w:rsidP="00B60984" w14:paraId="11394521" w14:textId="77777777">
            <w:pPr>
              <w:spacing w:after="0" w:line="240" w:lineRule="auto"/>
              <w:rPr>
                <w:rFonts w:eastAsia="Times New Roman"/>
                <w:color w:val="000000"/>
                <w:sz w:val="18"/>
                <w:szCs w:val="18"/>
              </w:rPr>
            </w:pPr>
            <w:r w:rsidRPr="00B60984">
              <w:rPr>
                <w:rFonts w:eastAsia="Times New Roman"/>
                <w:color w:val="000000"/>
                <w:sz w:val="18"/>
                <w:szCs w:val="18"/>
              </w:rPr>
              <w:t>Chief Public Policy Officer</w:t>
            </w:r>
          </w:p>
        </w:tc>
        <w:tc>
          <w:tcPr>
            <w:tcW w:w="490" w:type="pct"/>
            <w:shd w:val="clear" w:color="auto" w:fill="auto"/>
          </w:tcPr>
          <w:p w:rsidR="00B60984" w:rsidRPr="00B60984" w:rsidP="00B60984" w14:paraId="5D1DB9AF" w14:textId="77777777">
            <w:pPr>
              <w:spacing w:after="0" w:line="240" w:lineRule="auto"/>
              <w:rPr>
                <w:rFonts w:eastAsia="Times New Roman"/>
                <w:color w:val="000000"/>
                <w:sz w:val="18"/>
                <w:szCs w:val="18"/>
              </w:rPr>
            </w:pPr>
            <w:r w:rsidRPr="00B60984">
              <w:rPr>
                <w:rFonts w:eastAsia="Times New Roman"/>
                <w:color w:val="000000"/>
                <w:sz w:val="18"/>
                <w:szCs w:val="18"/>
              </w:rPr>
              <w:t>4/5/2023</w:t>
            </w:r>
          </w:p>
        </w:tc>
        <w:tc>
          <w:tcPr>
            <w:tcW w:w="585" w:type="pct"/>
            <w:shd w:val="clear" w:color="auto" w:fill="auto"/>
          </w:tcPr>
          <w:p w:rsidR="00B60984" w:rsidRPr="00B60984" w:rsidP="00B60984" w14:paraId="58695F57" w14:textId="77777777">
            <w:pPr>
              <w:spacing w:after="0" w:line="240" w:lineRule="auto"/>
              <w:rPr>
                <w:rFonts w:eastAsia="Times New Roman"/>
                <w:color w:val="000000"/>
                <w:sz w:val="18"/>
                <w:szCs w:val="18"/>
              </w:rPr>
            </w:pPr>
            <w:r w:rsidRPr="00B60984">
              <w:rPr>
                <w:rFonts w:eastAsia="Times New Roman"/>
                <w:color w:val="000000"/>
                <w:sz w:val="18"/>
                <w:szCs w:val="18"/>
              </w:rPr>
              <w:t>General</w:t>
            </w:r>
          </w:p>
        </w:tc>
        <w:tc>
          <w:tcPr>
            <w:tcW w:w="1053" w:type="pct"/>
            <w:shd w:val="clear" w:color="auto" w:fill="auto"/>
          </w:tcPr>
          <w:p w:rsidR="00B60984" w:rsidRPr="00B60984" w:rsidP="00B60984" w14:paraId="5D7B749B" w14:textId="77777777">
            <w:pPr>
              <w:spacing w:after="0" w:line="240" w:lineRule="auto"/>
              <w:rPr>
                <w:rFonts w:eastAsia="Times New Roman"/>
                <w:color w:val="000000"/>
                <w:sz w:val="18"/>
                <w:szCs w:val="18"/>
              </w:rPr>
            </w:pPr>
            <w:r w:rsidRPr="00B60984">
              <w:rPr>
                <w:rFonts w:eastAsia="Times New Roman"/>
                <w:color w:val="000000"/>
                <w:sz w:val="18"/>
                <w:szCs w:val="18"/>
              </w:rPr>
              <w:t xml:space="preserve">The NMTC supports complex projects that have great potential to benefit communities by bringing disparate funding sources together for projects that might not otherwise happen. CDBA supports updates that increase the ability of the CDFI Fund to assess the activities of NMTC allocatees, the uses of their allocations, allocatees financial conditions, the socio-economic characteristics of allocatees borrowers/investees, loan and investment terms, repayment status, and community development outcomes, and allocatees overall compliance </w:t>
            </w:r>
            <w:r w:rsidRPr="00B60984">
              <w:rPr>
                <w:rFonts w:eastAsia="Times New Roman"/>
                <w:color w:val="000000"/>
                <w:sz w:val="18"/>
                <w:szCs w:val="18"/>
              </w:rPr>
              <w:t>with the terms and conditions of the allocation agreements.</w:t>
            </w:r>
            <w:r w:rsidRPr="00B60984">
              <w:rPr>
                <w:rFonts w:eastAsia="Times New Roman"/>
                <w:color w:val="000000"/>
                <w:sz w:val="18"/>
                <w:szCs w:val="18"/>
              </w:rPr>
              <w:br/>
              <w:t>The proposed changes generally add clarity to the TLR process, and support the stated goals of the proposed changes.</w:t>
            </w:r>
          </w:p>
        </w:tc>
        <w:tc>
          <w:tcPr>
            <w:tcW w:w="819" w:type="pct"/>
            <w:shd w:val="clear" w:color="auto" w:fill="auto"/>
          </w:tcPr>
          <w:p w:rsidR="00B60984" w:rsidRPr="00B60984" w:rsidP="00B60984" w14:paraId="64353CA4" w14:textId="494ECF81">
            <w:pPr>
              <w:spacing w:after="0" w:line="240" w:lineRule="auto"/>
              <w:rPr>
                <w:rFonts w:eastAsia="Times New Roman"/>
                <w:color w:val="000000"/>
                <w:sz w:val="18"/>
                <w:szCs w:val="18"/>
              </w:rPr>
            </w:pPr>
            <w:r w:rsidRPr="00B60984">
              <w:rPr>
                <w:rFonts w:eastAsia="Times New Roman"/>
                <w:color w:val="000000"/>
                <w:sz w:val="18"/>
                <w:szCs w:val="18"/>
              </w:rPr>
              <w:t>This comment is not pertinent to this Information Collection Request (ICR</w:t>
            </w:r>
            <w:r w:rsidR="00FB6B3C">
              <w:rPr>
                <w:rFonts w:eastAsia="Times New Roman"/>
                <w:color w:val="000000"/>
                <w:sz w:val="18"/>
                <w:szCs w:val="18"/>
              </w:rPr>
              <w:t>).</w:t>
            </w:r>
          </w:p>
        </w:tc>
      </w:tr>
      <w:tr w14:paraId="1CEEFAE3" w14:textId="77777777" w:rsidTr="00B86BBF">
        <w:tblPrEx>
          <w:tblW w:w="5000" w:type="pct"/>
          <w:tblLook w:val="04A0"/>
        </w:tblPrEx>
        <w:tc>
          <w:tcPr>
            <w:tcW w:w="468" w:type="pct"/>
            <w:shd w:val="clear" w:color="auto" w:fill="auto"/>
          </w:tcPr>
          <w:p w:rsidR="00B60984" w:rsidRPr="00B60984" w:rsidP="00B60984" w14:paraId="48EC8226" w14:textId="77777777">
            <w:pPr>
              <w:spacing w:after="0" w:line="240" w:lineRule="auto"/>
              <w:rPr>
                <w:rFonts w:eastAsia="Times New Roman"/>
                <w:color w:val="000000"/>
                <w:sz w:val="18"/>
                <w:szCs w:val="18"/>
              </w:rPr>
            </w:pPr>
            <w:r w:rsidRPr="00B60984">
              <w:rPr>
                <w:rFonts w:eastAsia="Times New Roman"/>
                <w:color w:val="000000"/>
                <w:sz w:val="18"/>
                <w:szCs w:val="18"/>
              </w:rPr>
              <w:t>6</w:t>
            </w:r>
          </w:p>
        </w:tc>
        <w:tc>
          <w:tcPr>
            <w:tcW w:w="594" w:type="pct"/>
            <w:shd w:val="clear" w:color="auto" w:fill="auto"/>
          </w:tcPr>
          <w:p w:rsidR="00B60984" w:rsidRPr="00B60984" w:rsidP="00B60984" w14:paraId="3449D082" w14:textId="77777777">
            <w:pPr>
              <w:spacing w:after="0" w:line="240" w:lineRule="auto"/>
              <w:rPr>
                <w:rFonts w:eastAsia="Times New Roman"/>
                <w:color w:val="000000"/>
                <w:sz w:val="18"/>
                <w:szCs w:val="18"/>
              </w:rPr>
            </w:pPr>
            <w:r w:rsidRPr="00B60984">
              <w:rPr>
                <w:rFonts w:eastAsia="Times New Roman"/>
                <w:color w:val="000000"/>
                <w:sz w:val="18"/>
                <w:szCs w:val="18"/>
              </w:rPr>
              <w:t>African American Alliance of CDFI CEOs</w:t>
            </w:r>
          </w:p>
        </w:tc>
        <w:tc>
          <w:tcPr>
            <w:tcW w:w="527" w:type="pct"/>
            <w:shd w:val="clear" w:color="auto" w:fill="auto"/>
          </w:tcPr>
          <w:p w:rsidR="00B60984" w:rsidRPr="00B60984" w:rsidP="00B60984" w14:paraId="0ED0E9DD" w14:textId="77777777">
            <w:pPr>
              <w:spacing w:after="0" w:line="240" w:lineRule="auto"/>
              <w:rPr>
                <w:rFonts w:eastAsia="Times New Roman"/>
                <w:color w:val="000000"/>
                <w:sz w:val="18"/>
                <w:szCs w:val="18"/>
              </w:rPr>
            </w:pPr>
            <w:r w:rsidRPr="00B60984">
              <w:rPr>
                <w:rFonts w:eastAsia="Times New Roman"/>
                <w:color w:val="000000"/>
                <w:sz w:val="18"/>
                <w:szCs w:val="18"/>
              </w:rPr>
              <w:t>Lenwood</w:t>
            </w:r>
            <w:r w:rsidRPr="00B60984">
              <w:rPr>
                <w:rFonts w:eastAsia="Times New Roman"/>
                <w:color w:val="000000"/>
                <w:sz w:val="18"/>
                <w:szCs w:val="18"/>
              </w:rPr>
              <w:t xml:space="preserve"> V. Long, Sr.</w:t>
            </w:r>
          </w:p>
        </w:tc>
        <w:tc>
          <w:tcPr>
            <w:tcW w:w="464" w:type="pct"/>
            <w:shd w:val="clear" w:color="auto" w:fill="auto"/>
          </w:tcPr>
          <w:p w:rsidR="00B60984" w:rsidRPr="00B60984" w:rsidP="00B60984" w14:paraId="7FA88691" w14:textId="77777777">
            <w:pPr>
              <w:spacing w:after="0" w:line="240" w:lineRule="auto"/>
              <w:rPr>
                <w:rFonts w:eastAsia="Times New Roman"/>
                <w:color w:val="000000"/>
                <w:sz w:val="18"/>
                <w:szCs w:val="18"/>
              </w:rPr>
            </w:pPr>
            <w:r w:rsidRPr="00B60984">
              <w:rPr>
                <w:rFonts w:eastAsia="Times New Roman"/>
                <w:color w:val="000000"/>
                <w:sz w:val="18"/>
                <w:szCs w:val="18"/>
              </w:rPr>
              <w:t>President and CEO</w:t>
            </w:r>
          </w:p>
        </w:tc>
        <w:tc>
          <w:tcPr>
            <w:tcW w:w="490" w:type="pct"/>
            <w:shd w:val="clear" w:color="auto" w:fill="auto"/>
          </w:tcPr>
          <w:p w:rsidR="00B60984" w:rsidRPr="00B60984" w:rsidP="00B60984" w14:paraId="7F3F6D38"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3F4E09FC" w14:textId="77777777">
            <w:pPr>
              <w:spacing w:after="0" w:line="240" w:lineRule="auto"/>
              <w:rPr>
                <w:rFonts w:eastAsia="Times New Roman"/>
                <w:color w:val="000000"/>
                <w:sz w:val="18"/>
                <w:szCs w:val="18"/>
              </w:rPr>
            </w:pPr>
            <w:r w:rsidRPr="00B60984">
              <w:rPr>
                <w:rFonts w:eastAsia="Times New Roman"/>
                <w:color w:val="000000"/>
                <w:sz w:val="18"/>
                <w:szCs w:val="18"/>
              </w:rPr>
              <w:t>Investee Profile</w:t>
            </w:r>
          </w:p>
        </w:tc>
        <w:tc>
          <w:tcPr>
            <w:tcW w:w="1053" w:type="pct"/>
            <w:shd w:val="clear" w:color="auto" w:fill="auto"/>
          </w:tcPr>
          <w:p w:rsidR="00B60984" w:rsidRPr="00B60984" w:rsidP="00B60984" w14:paraId="2FE1E024" w14:textId="295C44C0">
            <w:pPr>
              <w:spacing w:after="0" w:line="240" w:lineRule="auto"/>
              <w:rPr>
                <w:rFonts w:eastAsia="Times New Roman"/>
                <w:color w:val="000000"/>
                <w:sz w:val="18"/>
                <w:szCs w:val="18"/>
              </w:rPr>
            </w:pPr>
            <w:r w:rsidRPr="008026E7">
              <w:rPr>
                <w:rFonts w:asciiTheme="majorHAnsi" w:hAnsiTheme="majorHAnsi" w:cstheme="majorHAnsi"/>
                <w:sz w:val="18"/>
                <w:szCs w:val="18"/>
              </w:rPr>
              <w:t>Specifically, we are encouraged by the requirement that CDEs report whether the investee/borrower is at least 51 percent owned or controlled by one or more individuals that identify themselves as Black or African American, Asian American, or Hispanic or Latino. Previously, this was a data point that was conditionally required for investees considered businesses. Though we appreciate the intent of the proposed change, we urge the CDFI Fund to consider the burden of converting formerly conditional fields to mandatory fields and institute a grace period for CDEs to comply with the new requirement</w:t>
            </w:r>
            <w:r w:rsidRPr="008026E7">
              <w:rPr>
                <w:rFonts w:ascii="TimesNewRomanPSMT" w:hAnsi="TimesNewRomanPSMT" w:cs="TimesNewRomanPSMT"/>
                <w:sz w:val="18"/>
                <w:szCs w:val="18"/>
              </w:rPr>
              <w:t>.</w:t>
            </w:r>
          </w:p>
        </w:tc>
        <w:tc>
          <w:tcPr>
            <w:tcW w:w="819" w:type="pct"/>
            <w:shd w:val="clear" w:color="auto" w:fill="auto"/>
          </w:tcPr>
          <w:p w:rsidR="00B60984" w:rsidRPr="00B60984" w:rsidP="00B60984" w14:paraId="07608585" w14:textId="6A22648B">
            <w:pPr>
              <w:spacing w:after="0" w:line="240" w:lineRule="auto"/>
              <w:rPr>
                <w:rFonts w:eastAsia="Times New Roman"/>
                <w:color w:val="000000"/>
                <w:sz w:val="18"/>
                <w:szCs w:val="18"/>
              </w:rPr>
            </w:pPr>
            <w:r w:rsidRPr="00B60984">
              <w:rPr>
                <w:rFonts w:eastAsia="Times New Roman"/>
                <w:color w:val="000000"/>
                <w:sz w:val="18"/>
                <w:szCs w:val="18"/>
              </w:rPr>
              <w:t xml:space="preserve">The CDFI Fund </w:t>
            </w:r>
            <w:r w:rsidR="00542EF1">
              <w:rPr>
                <w:rFonts w:eastAsia="Times New Roman"/>
                <w:color w:val="000000"/>
                <w:sz w:val="18"/>
                <w:szCs w:val="18"/>
              </w:rPr>
              <w:t xml:space="preserve">has determined that a grace period would not be feasible to </w:t>
            </w:r>
            <w:r w:rsidR="00542EF1">
              <w:rPr>
                <w:rFonts w:eastAsia="Times New Roman"/>
                <w:color w:val="000000"/>
                <w:sz w:val="18"/>
                <w:szCs w:val="18"/>
              </w:rPr>
              <w:t>implement</w:t>
            </w:r>
            <w:r w:rsidRPr="00B60984">
              <w:rPr>
                <w:rFonts w:eastAsia="Times New Roman"/>
                <w:color w:val="000000"/>
                <w:sz w:val="18"/>
                <w:szCs w:val="18"/>
              </w:rPr>
              <w:t>, but</w:t>
            </w:r>
            <w:r w:rsidRPr="00B60984">
              <w:rPr>
                <w:rFonts w:eastAsia="Times New Roman"/>
                <w:color w:val="000000"/>
                <w:sz w:val="18"/>
                <w:szCs w:val="18"/>
              </w:rPr>
              <w:t xml:space="preserve"> </w:t>
            </w:r>
            <w:r w:rsidRPr="007C6746" w:rsidR="007C6746">
              <w:rPr>
                <w:rFonts w:eastAsia="Times New Roman"/>
                <w:color w:val="000000"/>
                <w:sz w:val="18"/>
                <w:szCs w:val="18"/>
              </w:rPr>
              <w:t xml:space="preserve">will inform users in a timely manner about TLR data changes related to minority-owned and native-owned data </w:t>
            </w:r>
            <w:r w:rsidR="007C6746">
              <w:rPr>
                <w:rFonts w:eastAsia="Times New Roman"/>
                <w:color w:val="000000"/>
                <w:sz w:val="18"/>
                <w:szCs w:val="18"/>
              </w:rPr>
              <w:t>fields</w:t>
            </w:r>
            <w:r w:rsidRPr="007C6746" w:rsidR="007C6746">
              <w:rPr>
                <w:rFonts w:eastAsia="Times New Roman"/>
                <w:color w:val="000000"/>
                <w:sz w:val="18"/>
                <w:szCs w:val="18"/>
              </w:rPr>
              <w:t>.</w:t>
            </w:r>
          </w:p>
        </w:tc>
      </w:tr>
      <w:tr w14:paraId="10450D4B" w14:textId="77777777" w:rsidTr="00B86BBF">
        <w:tblPrEx>
          <w:tblW w:w="5000" w:type="pct"/>
          <w:tblLook w:val="04A0"/>
        </w:tblPrEx>
        <w:tc>
          <w:tcPr>
            <w:tcW w:w="468" w:type="pct"/>
            <w:shd w:val="clear" w:color="auto" w:fill="auto"/>
          </w:tcPr>
          <w:p w:rsidR="00B60984" w:rsidRPr="00B60984" w:rsidP="00B60984" w14:paraId="171B9974" w14:textId="77777777">
            <w:pPr>
              <w:spacing w:after="0" w:line="240" w:lineRule="auto"/>
              <w:rPr>
                <w:rFonts w:eastAsia="Times New Roman"/>
                <w:color w:val="000000"/>
                <w:sz w:val="18"/>
                <w:szCs w:val="18"/>
              </w:rPr>
            </w:pPr>
            <w:r w:rsidRPr="00B60984">
              <w:rPr>
                <w:rFonts w:eastAsia="Times New Roman"/>
                <w:color w:val="000000"/>
                <w:sz w:val="18"/>
                <w:szCs w:val="18"/>
              </w:rPr>
              <w:t>7</w:t>
            </w:r>
          </w:p>
        </w:tc>
        <w:tc>
          <w:tcPr>
            <w:tcW w:w="594" w:type="pct"/>
            <w:shd w:val="clear" w:color="auto" w:fill="auto"/>
          </w:tcPr>
          <w:p w:rsidR="00B60984" w:rsidRPr="00B60984" w:rsidP="00B60984" w14:paraId="18DAB974" w14:textId="77777777">
            <w:pPr>
              <w:spacing w:after="0" w:line="240" w:lineRule="auto"/>
              <w:rPr>
                <w:rFonts w:eastAsia="Times New Roman"/>
                <w:color w:val="000000"/>
                <w:sz w:val="18"/>
                <w:szCs w:val="18"/>
              </w:rPr>
            </w:pPr>
            <w:r w:rsidRPr="00B60984">
              <w:rPr>
                <w:rFonts w:eastAsia="Times New Roman"/>
                <w:color w:val="000000"/>
                <w:sz w:val="18"/>
                <w:szCs w:val="18"/>
              </w:rPr>
              <w:t>African American Alliance of CDFI CEOs</w:t>
            </w:r>
          </w:p>
        </w:tc>
        <w:tc>
          <w:tcPr>
            <w:tcW w:w="527" w:type="pct"/>
            <w:shd w:val="clear" w:color="auto" w:fill="auto"/>
          </w:tcPr>
          <w:p w:rsidR="00B60984" w:rsidRPr="00B60984" w:rsidP="00B60984" w14:paraId="1A096777" w14:textId="77777777">
            <w:pPr>
              <w:spacing w:after="0" w:line="240" w:lineRule="auto"/>
              <w:rPr>
                <w:rFonts w:eastAsia="Times New Roman"/>
                <w:color w:val="000000"/>
                <w:sz w:val="18"/>
                <w:szCs w:val="18"/>
              </w:rPr>
            </w:pPr>
            <w:r w:rsidRPr="00B60984">
              <w:rPr>
                <w:rFonts w:eastAsia="Times New Roman"/>
                <w:color w:val="000000"/>
                <w:sz w:val="18"/>
                <w:szCs w:val="18"/>
              </w:rPr>
              <w:t>Lenwood</w:t>
            </w:r>
            <w:r w:rsidRPr="00B60984">
              <w:rPr>
                <w:rFonts w:eastAsia="Times New Roman"/>
                <w:color w:val="000000"/>
                <w:sz w:val="18"/>
                <w:szCs w:val="18"/>
              </w:rPr>
              <w:t xml:space="preserve"> V. Long, Sr.</w:t>
            </w:r>
          </w:p>
        </w:tc>
        <w:tc>
          <w:tcPr>
            <w:tcW w:w="464" w:type="pct"/>
            <w:shd w:val="clear" w:color="auto" w:fill="auto"/>
          </w:tcPr>
          <w:p w:rsidR="00B60984" w:rsidRPr="00B60984" w:rsidP="00B60984" w14:paraId="75D30F47" w14:textId="77777777">
            <w:pPr>
              <w:spacing w:after="0" w:line="240" w:lineRule="auto"/>
              <w:rPr>
                <w:rFonts w:eastAsia="Times New Roman"/>
                <w:color w:val="000000"/>
                <w:sz w:val="18"/>
                <w:szCs w:val="18"/>
              </w:rPr>
            </w:pPr>
            <w:r w:rsidRPr="00B60984">
              <w:rPr>
                <w:rFonts w:eastAsia="Times New Roman"/>
                <w:color w:val="000000"/>
                <w:sz w:val="18"/>
                <w:szCs w:val="18"/>
              </w:rPr>
              <w:t>President and CEO</w:t>
            </w:r>
          </w:p>
        </w:tc>
        <w:tc>
          <w:tcPr>
            <w:tcW w:w="490" w:type="pct"/>
            <w:shd w:val="clear" w:color="auto" w:fill="auto"/>
          </w:tcPr>
          <w:p w:rsidR="00B60984" w:rsidRPr="00B60984" w:rsidP="00B60984" w14:paraId="3CFE08D6"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78A5BEE6" w14:textId="77777777">
            <w:pPr>
              <w:spacing w:after="0" w:line="240" w:lineRule="auto"/>
              <w:rPr>
                <w:rFonts w:eastAsia="Times New Roman"/>
                <w:color w:val="000000"/>
                <w:sz w:val="18"/>
                <w:szCs w:val="18"/>
              </w:rPr>
            </w:pPr>
            <w:r w:rsidRPr="00B60984">
              <w:rPr>
                <w:rFonts w:eastAsia="Times New Roman"/>
                <w:color w:val="000000"/>
                <w:sz w:val="18"/>
                <w:szCs w:val="18"/>
              </w:rPr>
              <w:t>General</w:t>
            </w:r>
          </w:p>
        </w:tc>
        <w:tc>
          <w:tcPr>
            <w:tcW w:w="1053" w:type="pct"/>
            <w:shd w:val="clear" w:color="auto" w:fill="auto"/>
          </w:tcPr>
          <w:p w:rsidR="00B60984" w:rsidRPr="00B60984" w:rsidP="00B60984" w14:paraId="09997080" w14:textId="77777777">
            <w:pPr>
              <w:spacing w:after="0" w:line="240" w:lineRule="auto"/>
              <w:rPr>
                <w:rFonts w:eastAsia="Times New Roman"/>
                <w:color w:val="000000"/>
                <w:sz w:val="18"/>
                <w:szCs w:val="18"/>
              </w:rPr>
            </w:pPr>
            <w:r w:rsidRPr="00B60984">
              <w:rPr>
                <w:rFonts w:eastAsia="Times New Roman"/>
                <w:color w:val="000000"/>
                <w:sz w:val="18"/>
                <w:szCs w:val="18"/>
              </w:rPr>
              <w:t>The Alliance is pleased with CDFI Fund efforts to increase transparency and ensure better outcomes for the communities targeted by the program – specifically, as it relates to reporting on data points regarding fees and transaction costs as well as reporting on community outcomes.</w:t>
            </w:r>
          </w:p>
        </w:tc>
        <w:tc>
          <w:tcPr>
            <w:tcW w:w="819" w:type="pct"/>
            <w:shd w:val="clear" w:color="auto" w:fill="auto"/>
          </w:tcPr>
          <w:p w:rsidR="00B60984" w:rsidRPr="00B60984" w:rsidP="00B60984" w14:paraId="5E7D8430" w14:textId="4351AAD9">
            <w:pPr>
              <w:spacing w:after="0" w:line="240" w:lineRule="auto"/>
              <w:rPr>
                <w:rFonts w:eastAsia="Times New Roman"/>
                <w:color w:val="000000"/>
                <w:sz w:val="18"/>
                <w:szCs w:val="18"/>
              </w:rPr>
            </w:pPr>
            <w:r w:rsidRPr="00B60984">
              <w:rPr>
                <w:rFonts w:eastAsia="Times New Roman"/>
                <w:color w:val="000000"/>
                <w:sz w:val="18"/>
                <w:szCs w:val="18"/>
              </w:rPr>
              <w:t>This comment is not pertinent to this Information Collection Request (ICR</w:t>
            </w:r>
            <w:r w:rsidRPr="00B60984" w:rsidR="007C6746">
              <w:rPr>
                <w:rFonts w:eastAsia="Times New Roman"/>
                <w:color w:val="000000"/>
                <w:sz w:val="18"/>
                <w:szCs w:val="18"/>
              </w:rPr>
              <w:t>)</w:t>
            </w:r>
            <w:r w:rsidR="007C6746">
              <w:rPr>
                <w:rFonts w:eastAsia="Times New Roman"/>
                <w:color w:val="000000"/>
                <w:sz w:val="18"/>
                <w:szCs w:val="18"/>
              </w:rPr>
              <w:t>.</w:t>
            </w:r>
          </w:p>
        </w:tc>
      </w:tr>
      <w:tr w14:paraId="4DA2C227" w14:textId="77777777" w:rsidTr="00B86BBF">
        <w:tblPrEx>
          <w:tblW w:w="5000" w:type="pct"/>
          <w:tblLook w:val="04A0"/>
        </w:tblPrEx>
        <w:tc>
          <w:tcPr>
            <w:tcW w:w="468" w:type="pct"/>
            <w:shd w:val="clear" w:color="auto" w:fill="auto"/>
          </w:tcPr>
          <w:p w:rsidR="00B60984" w:rsidRPr="00B60984" w:rsidP="00B60984" w14:paraId="441BA048" w14:textId="77777777">
            <w:pPr>
              <w:spacing w:after="0" w:line="240" w:lineRule="auto"/>
              <w:rPr>
                <w:rFonts w:eastAsia="Times New Roman"/>
                <w:color w:val="000000"/>
                <w:sz w:val="18"/>
                <w:szCs w:val="18"/>
              </w:rPr>
            </w:pPr>
            <w:r w:rsidRPr="00B60984">
              <w:rPr>
                <w:rFonts w:eastAsia="Times New Roman"/>
                <w:color w:val="000000"/>
                <w:sz w:val="18"/>
                <w:szCs w:val="18"/>
              </w:rPr>
              <w:t>8</w:t>
            </w:r>
          </w:p>
        </w:tc>
        <w:tc>
          <w:tcPr>
            <w:tcW w:w="594" w:type="pct"/>
            <w:shd w:val="clear" w:color="auto" w:fill="auto"/>
          </w:tcPr>
          <w:p w:rsidR="00B60984" w:rsidRPr="00B60984" w:rsidP="00B60984" w14:paraId="72E0C02C" w14:textId="77777777">
            <w:pPr>
              <w:spacing w:after="0" w:line="240" w:lineRule="auto"/>
              <w:rPr>
                <w:rFonts w:eastAsia="Times New Roman"/>
                <w:color w:val="000000"/>
                <w:sz w:val="18"/>
                <w:szCs w:val="18"/>
              </w:rPr>
            </w:pPr>
            <w:r w:rsidRPr="00B60984">
              <w:rPr>
                <w:rFonts w:eastAsia="Times New Roman"/>
                <w:color w:val="000000"/>
                <w:sz w:val="18"/>
                <w:szCs w:val="18"/>
              </w:rPr>
              <w:t>IFF</w:t>
            </w:r>
          </w:p>
        </w:tc>
        <w:tc>
          <w:tcPr>
            <w:tcW w:w="527" w:type="pct"/>
            <w:shd w:val="clear" w:color="auto" w:fill="auto"/>
          </w:tcPr>
          <w:p w:rsidR="00B60984" w:rsidRPr="00B60984" w:rsidP="00B60984" w14:paraId="333945E8" w14:textId="77777777">
            <w:pPr>
              <w:spacing w:after="0" w:line="240" w:lineRule="auto"/>
              <w:rPr>
                <w:rFonts w:eastAsia="Times New Roman"/>
                <w:color w:val="000000"/>
                <w:sz w:val="18"/>
                <w:szCs w:val="18"/>
              </w:rPr>
            </w:pPr>
            <w:r w:rsidRPr="00B60984">
              <w:rPr>
                <w:rFonts w:eastAsia="Times New Roman"/>
                <w:color w:val="000000"/>
                <w:sz w:val="18"/>
                <w:szCs w:val="18"/>
              </w:rPr>
              <w:t>Kirby Burkholder</w:t>
            </w:r>
          </w:p>
        </w:tc>
        <w:tc>
          <w:tcPr>
            <w:tcW w:w="464" w:type="pct"/>
            <w:shd w:val="clear" w:color="auto" w:fill="auto"/>
          </w:tcPr>
          <w:p w:rsidR="00B60984" w:rsidRPr="00B60984" w:rsidP="00B60984" w14:paraId="373B9ABE" w14:textId="77777777">
            <w:pPr>
              <w:spacing w:after="0" w:line="240" w:lineRule="auto"/>
              <w:rPr>
                <w:rFonts w:eastAsia="Times New Roman"/>
                <w:color w:val="000000"/>
                <w:sz w:val="18"/>
                <w:szCs w:val="18"/>
              </w:rPr>
            </w:pPr>
            <w:r w:rsidRPr="00B60984">
              <w:rPr>
                <w:rFonts w:eastAsia="Times New Roman"/>
                <w:color w:val="000000"/>
                <w:sz w:val="18"/>
                <w:szCs w:val="18"/>
              </w:rPr>
              <w:t>President of Core Business Solutions</w:t>
            </w:r>
          </w:p>
        </w:tc>
        <w:tc>
          <w:tcPr>
            <w:tcW w:w="490" w:type="pct"/>
            <w:shd w:val="clear" w:color="auto" w:fill="auto"/>
          </w:tcPr>
          <w:p w:rsidR="00B60984" w:rsidRPr="00B60984" w:rsidP="00B60984" w14:paraId="04AC2D1D"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5C4B6CF4" w14:textId="77777777">
            <w:pPr>
              <w:spacing w:after="0" w:line="240" w:lineRule="auto"/>
              <w:rPr>
                <w:rFonts w:eastAsia="Times New Roman"/>
                <w:color w:val="000000"/>
                <w:sz w:val="18"/>
                <w:szCs w:val="18"/>
              </w:rPr>
            </w:pPr>
            <w:r w:rsidRPr="00B60984">
              <w:rPr>
                <w:rFonts w:eastAsia="Times New Roman"/>
                <w:color w:val="000000"/>
                <w:sz w:val="18"/>
                <w:szCs w:val="18"/>
              </w:rPr>
              <w:t>Fees and Transaction Costs</w:t>
            </w:r>
          </w:p>
        </w:tc>
        <w:tc>
          <w:tcPr>
            <w:tcW w:w="1053" w:type="pct"/>
            <w:shd w:val="clear" w:color="auto" w:fill="auto"/>
          </w:tcPr>
          <w:p w:rsidR="00B60984" w:rsidRPr="00B60984" w:rsidP="00B60984" w14:paraId="549FA80D" w14:textId="77777777">
            <w:pPr>
              <w:spacing w:after="0" w:line="240" w:lineRule="auto"/>
              <w:rPr>
                <w:rFonts w:eastAsia="Times New Roman"/>
                <w:color w:val="000000"/>
                <w:sz w:val="18"/>
                <w:szCs w:val="18"/>
              </w:rPr>
            </w:pPr>
            <w:r w:rsidRPr="00B60984">
              <w:rPr>
                <w:rFonts w:eastAsia="Times New Roman"/>
                <w:color w:val="000000"/>
                <w:sz w:val="18"/>
                <w:szCs w:val="18"/>
              </w:rPr>
              <w:t>Upfront Fees to the Community Development Entities (CDE) or CDE Affiliate</w:t>
            </w:r>
            <w:r w:rsidRPr="00B60984">
              <w:rPr>
                <w:rFonts w:eastAsia="Times New Roman"/>
                <w:color w:val="000000"/>
                <w:sz w:val="18"/>
                <w:szCs w:val="18"/>
              </w:rPr>
              <w:br/>
            </w:r>
            <w:r w:rsidRPr="00B60984">
              <w:rPr>
                <w:rFonts w:eastAsia="Times New Roman"/>
                <w:color w:val="000000"/>
                <w:sz w:val="18"/>
                <w:szCs w:val="18"/>
              </w:rPr>
              <w:br/>
            </w:r>
            <w:r w:rsidRPr="00B60984">
              <w:rPr>
                <w:rFonts w:eastAsia="Times New Roman"/>
                <w:color w:val="000000"/>
                <w:sz w:val="18"/>
                <w:szCs w:val="18"/>
              </w:rPr>
              <w:t>• We propose expanded guidance be provided on which fees to include under this data point. For example, if a CDE or a CDE Affiliate charges a fee for services provided that would normally be considered a project cost (e.g., real estate development consulting, financial consulting by a CDE or a CDE Affiliate, etc.), should such fee be reported under this data point?</w:t>
            </w:r>
          </w:p>
        </w:tc>
        <w:tc>
          <w:tcPr>
            <w:tcW w:w="819" w:type="pct"/>
            <w:shd w:val="clear" w:color="auto" w:fill="auto"/>
          </w:tcPr>
          <w:p w:rsidR="00B60984" w:rsidRPr="00B60984" w:rsidP="00B60984" w14:paraId="0BFEEBA5" w14:textId="77777777">
            <w:pPr>
              <w:spacing w:after="0" w:line="240" w:lineRule="auto"/>
              <w:rPr>
                <w:rFonts w:eastAsia="Times New Roman"/>
                <w:color w:val="000000"/>
                <w:sz w:val="18"/>
                <w:szCs w:val="18"/>
              </w:rPr>
            </w:pPr>
            <w:r w:rsidRPr="00B60984">
              <w:rPr>
                <w:rFonts w:eastAsia="Times New Roman"/>
                <w:color w:val="000000"/>
                <w:sz w:val="18"/>
                <w:szCs w:val="18"/>
              </w:rPr>
              <w:t>The CDFI Fund accepts this comment and will include additional guidance.</w:t>
            </w:r>
          </w:p>
        </w:tc>
      </w:tr>
      <w:tr w14:paraId="7B343FCA" w14:textId="77777777" w:rsidTr="00B86BBF">
        <w:tblPrEx>
          <w:tblW w:w="5000" w:type="pct"/>
          <w:tblLook w:val="04A0"/>
        </w:tblPrEx>
        <w:tc>
          <w:tcPr>
            <w:tcW w:w="468" w:type="pct"/>
            <w:shd w:val="clear" w:color="auto" w:fill="auto"/>
          </w:tcPr>
          <w:p w:rsidR="00B60984" w:rsidRPr="00B60984" w:rsidP="00B60984" w14:paraId="77FF2842" w14:textId="77777777">
            <w:pPr>
              <w:spacing w:after="0" w:line="240" w:lineRule="auto"/>
              <w:rPr>
                <w:rFonts w:eastAsia="Times New Roman"/>
                <w:color w:val="000000"/>
                <w:sz w:val="18"/>
                <w:szCs w:val="18"/>
              </w:rPr>
            </w:pPr>
            <w:r w:rsidRPr="00B60984">
              <w:rPr>
                <w:rFonts w:eastAsia="Times New Roman"/>
                <w:color w:val="000000"/>
                <w:sz w:val="18"/>
                <w:szCs w:val="18"/>
              </w:rPr>
              <w:t>9</w:t>
            </w:r>
          </w:p>
        </w:tc>
        <w:tc>
          <w:tcPr>
            <w:tcW w:w="594" w:type="pct"/>
            <w:shd w:val="clear" w:color="auto" w:fill="auto"/>
          </w:tcPr>
          <w:p w:rsidR="00B60984" w:rsidRPr="00B60984" w:rsidP="00B60984" w14:paraId="12B860DE" w14:textId="77777777">
            <w:pPr>
              <w:spacing w:after="0" w:line="240" w:lineRule="auto"/>
              <w:rPr>
                <w:rFonts w:eastAsia="Times New Roman"/>
                <w:color w:val="000000"/>
                <w:sz w:val="18"/>
                <w:szCs w:val="18"/>
              </w:rPr>
            </w:pPr>
            <w:r w:rsidRPr="00B60984">
              <w:rPr>
                <w:rFonts w:eastAsia="Times New Roman"/>
                <w:color w:val="000000"/>
                <w:sz w:val="18"/>
                <w:szCs w:val="18"/>
              </w:rPr>
              <w:t>IFF</w:t>
            </w:r>
          </w:p>
        </w:tc>
        <w:tc>
          <w:tcPr>
            <w:tcW w:w="527" w:type="pct"/>
            <w:shd w:val="clear" w:color="auto" w:fill="auto"/>
          </w:tcPr>
          <w:p w:rsidR="00B60984" w:rsidRPr="00B60984" w:rsidP="00B60984" w14:paraId="4668E5E9" w14:textId="77777777">
            <w:pPr>
              <w:spacing w:after="0" w:line="240" w:lineRule="auto"/>
              <w:rPr>
                <w:rFonts w:eastAsia="Times New Roman"/>
                <w:color w:val="000000"/>
                <w:sz w:val="18"/>
                <w:szCs w:val="18"/>
              </w:rPr>
            </w:pPr>
            <w:r w:rsidRPr="00B60984">
              <w:rPr>
                <w:rFonts w:eastAsia="Times New Roman"/>
                <w:color w:val="000000"/>
                <w:sz w:val="18"/>
                <w:szCs w:val="18"/>
              </w:rPr>
              <w:t>Kirby Burkholder</w:t>
            </w:r>
          </w:p>
        </w:tc>
        <w:tc>
          <w:tcPr>
            <w:tcW w:w="464" w:type="pct"/>
            <w:shd w:val="clear" w:color="auto" w:fill="auto"/>
          </w:tcPr>
          <w:p w:rsidR="00B60984" w:rsidRPr="00B60984" w:rsidP="00B60984" w14:paraId="4148FD80" w14:textId="77777777">
            <w:pPr>
              <w:spacing w:after="0" w:line="240" w:lineRule="auto"/>
              <w:rPr>
                <w:rFonts w:eastAsia="Times New Roman"/>
                <w:color w:val="000000"/>
                <w:sz w:val="18"/>
                <w:szCs w:val="18"/>
              </w:rPr>
            </w:pPr>
            <w:r w:rsidRPr="00B60984">
              <w:rPr>
                <w:rFonts w:eastAsia="Times New Roman"/>
                <w:color w:val="000000"/>
                <w:sz w:val="18"/>
                <w:szCs w:val="18"/>
              </w:rPr>
              <w:t>President of Core Business Solutions</w:t>
            </w:r>
          </w:p>
        </w:tc>
        <w:tc>
          <w:tcPr>
            <w:tcW w:w="490" w:type="pct"/>
            <w:shd w:val="clear" w:color="auto" w:fill="auto"/>
          </w:tcPr>
          <w:p w:rsidR="00B60984" w:rsidRPr="00B60984" w:rsidP="00B60984" w14:paraId="2831F9E2"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204C1989" w14:textId="77777777">
            <w:pPr>
              <w:spacing w:after="0" w:line="240" w:lineRule="auto"/>
              <w:rPr>
                <w:rFonts w:eastAsia="Times New Roman"/>
                <w:color w:val="000000"/>
                <w:sz w:val="18"/>
                <w:szCs w:val="18"/>
              </w:rPr>
            </w:pPr>
            <w:r w:rsidRPr="00B60984">
              <w:rPr>
                <w:rFonts w:eastAsia="Times New Roman"/>
                <w:color w:val="000000"/>
                <w:sz w:val="18"/>
                <w:szCs w:val="18"/>
              </w:rPr>
              <w:t>Fees and Transaction Costs</w:t>
            </w:r>
          </w:p>
        </w:tc>
        <w:tc>
          <w:tcPr>
            <w:tcW w:w="1053" w:type="pct"/>
            <w:shd w:val="clear" w:color="auto" w:fill="auto"/>
          </w:tcPr>
          <w:p w:rsidR="00B60984" w:rsidRPr="00B60984" w:rsidP="00B60984" w14:paraId="227C6CB8" w14:textId="77777777">
            <w:pPr>
              <w:spacing w:after="0" w:line="240" w:lineRule="auto"/>
              <w:rPr>
                <w:rFonts w:eastAsia="Times New Roman"/>
                <w:color w:val="000000"/>
                <w:sz w:val="18"/>
                <w:szCs w:val="18"/>
              </w:rPr>
            </w:pPr>
            <w:r w:rsidRPr="00B60984">
              <w:rPr>
                <w:rFonts w:eastAsia="Times New Roman"/>
                <w:color w:val="000000"/>
                <w:sz w:val="18"/>
                <w:szCs w:val="18"/>
              </w:rPr>
              <w:t>Upfront Fees to Investors or Investor Affiliates</w:t>
            </w:r>
            <w:r w:rsidRPr="00B60984">
              <w:rPr>
                <w:rFonts w:eastAsia="Times New Roman"/>
                <w:color w:val="000000"/>
                <w:sz w:val="18"/>
                <w:szCs w:val="18"/>
              </w:rPr>
              <w:br/>
            </w:r>
            <w:r w:rsidRPr="00B60984">
              <w:rPr>
                <w:rFonts w:eastAsia="Times New Roman"/>
                <w:color w:val="000000"/>
                <w:sz w:val="18"/>
                <w:szCs w:val="18"/>
              </w:rPr>
              <w:br/>
              <w:t xml:space="preserve">• We propose additional guidance be provided on whether this question is intended for, and applicable to, the investor CDE only, or if it is addressed to all CDEs participating in an NMTC project. If the latter, we also propose that additional guidance be provided on how CDEs report this figure for the </w:t>
            </w:r>
            <w:r w:rsidRPr="00B60984">
              <w:rPr>
                <w:rFonts w:eastAsia="Times New Roman"/>
                <w:color w:val="000000"/>
                <w:sz w:val="18"/>
                <w:szCs w:val="18"/>
              </w:rPr>
              <w:t>Multi-CDE</w:t>
            </w:r>
            <w:r w:rsidRPr="00B60984">
              <w:rPr>
                <w:rFonts w:eastAsia="Times New Roman"/>
                <w:color w:val="000000"/>
                <w:sz w:val="18"/>
                <w:szCs w:val="18"/>
              </w:rPr>
              <w:t xml:space="preserve"> projects, in which upfront fees to investors or investor affiliates are not directly traceable to a specific CDE.</w:t>
            </w:r>
          </w:p>
        </w:tc>
        <w:tc>
          <w:tcPr>
            <w:tcW w:w="819" w:type="pct"/>
            <w:shd w:val="clear" w:color="auto" w:fill="auto"/>
          </w:tcPr>
          <w:p w:rsidR="00B60984" w:rsidRPr="00B60984" w:rsidP="00B60984" w14:paraId="1A63A16B" w14:textId="77777777">
            <w:pPr>
              <w:spacing w:after="0" w:line="240" w:lineRule="auto"/>
              <w:rPr>
                <w:rFonts w:eastAsia="Times New Roman"/>
                <w:color w:val="000000"/>
                <w:sz w:val="18"/>
                <w:szCs w:val="18"/>
              </w:rPr>
            </w:pPr>
            <w:r w:rsidRPr="00B60984">
              <w:rPr>
                <w:rFonts w:eastAsia="Times New Roman"/>
                <w:color w:val="000000"/>
                <w:sz w:val="18"/>
                <w:szCs w:val="18"/>
              </w:rPr>
              <w:t>The CDFI Fund accepts this comment and will include additional TLR guidance.</w:t>
            </w:r>
          </w:p>
        </w:tc>
      </w:tr>
      <w:tr w14:paraId="2F14DE05" w14:textId="77777777" w:rsidTr="00B86BBF">
        <w:tblPrEx>
          <w:tblW w:w="5000" w:type="pct"/>
          <w:tblLook w:val="04A0"/>
        </w:tblPrEx>
        <w:tc>
          <w:tcPr>
            <w:tcW w:w="468" w:type="pct"/>
            <w:shd w:val="clear" w:color="auto" w:fill="auto"/>
          </w:tcPr>
          <w:p w:rsidR="00B60984" w:rsidRPr="00B60984" w:rsidP="00B60984" w14:paraId="1E8011E2" w14:textId="77777777">
            <w:pPr>
              <w:spacing w:after="0" w:line="240" w:lineRule="auto"/>
              <w:rPr>
                <w:rFonts w:eastAsia="Times New Roman"/>
                <w:color w:val="000000"/>
                <w:sz w:val="18"/>
                <w:szCs w:val="18"/>
              </w:rPr>
            </w:pPr>
            <w:r w:rsidRPr="00B60984">
              <w:rPr>
                <w:rFonts w:eastAsia="Times New Roman"/>
                <w:color w:val="000000"/>
                <w:sz w:val="18"/>
                <w:szCs w:val="18"/>
              </w:rPr>
              <w:t>10</w:t>
            </w:r>
          </w:p>
        </w:tc>
        <w:tc>
          <w:tcPr>
            <w:tcW w:w="594" w:type="pct"/>
            <w:shd w:val="clear" w:color="auto" w:fill="auto"/>
          </w:tcPr>
          <w:p w:rsidR="00B60984" w:rsidRPr="00B60984" w:rsidP="00B60984" w14:paraId="323ADB5A" w14:textId="77777777">
            <w:pPr>
              <w:spacing w:after="0" w:line="240" w:lineRule="auto"/>
              <w:rPr>
                <w:rFonts w:eastAsia="Times New Roman"/>
                <w:color w:val="000000"/>
                <w:sz w:val="18"/>
                <w:szCs w:val="18"/>
              </w:rPr>
            </w:pPr>
            <w:r w:rsidRPr="00B60984">
              <w:rPr>
                <w:rFonts w:eastAsia="Times New Roman"/>
                <w:color w:val="000000"/>
                <w:sz w:val="18"/>
                <w:szCs w:val="18"/>
              </w:rPr>
              <w:t>IFF</w:t>
            </w:r>
          </w:p>
        </w:tc>
        <w:tc>
          <w:tcPr>
            <w:tcW w:w="527" w:type="pct"/>
            <w:shd w:val="clear" w:color="auto" w:fill="auto"/>
          </w:tcPr>
          <w:p w:rsidR="00B60984" w:rsidRPr="00B60984" w:rsidP="00B60984" w14:paraId="16FDD3C7" w14:textId="77777777">
            <w:pPr>
              <w:spacing w:after="0" w:line="240" w:lineRule="auto"/>
              <w:rPr>
                <w:rFonts w:eastAsia="Times New Roman"/>
                <w:color w:val="000000"/>
                <w:sz w:val="18"/>
                <w:szCs w:val="18"/>
              </w:rPr>
            </w:pPr>
            <w:r w:rsidRPr="00B60984">
              <w:rPr>
                <w:rFonts w:eastAsia="Times New Roman"/>
                <w:color w:val="000000"/>
                <w:sz w:val="18"/>
                <w:szCs w:val="18"/>
              </w:rPr>
              <w:t>Kirby Burkholder</w:t>
            </w:r>
          </w:p>
        </w:tc>
        <w:tc>
          <w:tcPr>
            <w:tcW w:w="464" w:type="pct"/>
            <w:shd w:val="clear" w:color="auto" w:fill="auto"/>
          </w:tcPr>
          <w:p w:rsidR="00B60984" w:rsidRPr="00B60984" w:rsidP="00B60984" w14:paraId="22B24918" w14:textId="77777777">
            <w:pPr>
              <w:spacing w:after="0" w:line="240" w:lineRule="auto"/>
              <w:rPr>
                <w:rFonts w:eastAsia="Times New Roman"/>
                <w:color w:val="000000"/>
                <w:sz w:val="18"/>
                <w:szCs w:val="18"/>
              </w:rPr>
            </w:pPr>
            <w:r w:rsidRPr="00B60984">
              <w:rPr>
                <w:rFonts w:eastAsia="Times New Roman"/>
                <w:color w:val="000000"/>
                <w:sz w:val="18"/>
                <w:szCs w:val="18"/>
              </w:rPr>
              <w:t>President of Core Business Solutions</w:t>
            </w:r>
          </w:p>
        </w:tc>
        <w:tc>
          <w:tcPr>
            <w:tcW w:w="490" w:type="pct"/>
            <w:shd w:val="clear" w:color="auto" w:fill="auto"/>
          </w:tcPr>
          <w:p w:rsidR="00B60984" w:rsidRPr="00B60984" w:rsidP="00B60984" w14:paraId="2CAAE25B"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32BA7F39" w14:textId="77777777">
            <w:pPr>
              <w:spacing w:after="0" w:line="240" w:lineRule="auto"/>
              <w:rPr>
                <w:rFonts w:eastAsia="Times New Roman"/>
                <w:color w:val="000000"/>
                <w:sz w:val="18"/>
                <w:szCs w:val="18"/>
              </w:rPr>
            </w:pPr>
            <w:r w:rsidRPr="00B60984">
              <w:rPr>
                <w:rFonts w:eastAsia="Times New Roman"/>
                <w:color w:val="000000"/>
                <w:sz w:val="18"/>
                <w:szCs w:val="18"/>
              </w:rPr>
              <w:t>Fees and Transaction Costs</w:t>
            </w:r>
          </w:p>
        </w:tc>
        <w:tc>
          <w:tcPr>
            <w:tcW w:w="1053" w:type="pct"/>
            <w:shd w:val="clear" w:color="auto" w:fill="auto"/>
          </w:tcPr>
          <w:p w:rsidR="00B60984" w:rsidRPr="00B60984" w:rsidP="00B60984" w14:paraId="37AF7018" w14:textId="77777777">
            <w:pPr>
              <w:spacing w:after="0" w:line="240" w:lineRule="auto"/>
              <w:rPr>
                <w:rFonts w:eastAsia="Times New Roman"/>
                <w:color w:val="000000"/>
                <w:sz w:val="18"/>
                <w:szCs w:val="18"/>
              </w:rPr>
            </w:pPr>
            <w:r w:rsidRPr="00B60984">
              <w:rPr>
                <w:rFonts w:eastAsia="Times New Roman"/>
                <w:color w:val="000000"/>
                <w:sz w:val="18"/>
                <w:szCs w:val="18"/>
              </w:rPr>
              <w:t>Upfront Fees to Unaffiliated Third Parties</w:t>
            </w:r>
            <w:r w:rsidRPr="00B60984">
              <w:rPr>
                <w:rFonts w:eastAsia="Times New Roman"/>
                <w:color w:val="000000"/>
                <w:sz w:val="18"/>
                <w:szCs w:val="18"/>
              </w:rPr>
              <w:br/>
            </w:r>
            <w:r w:rsidRPr="00B60984">
              <w:rPr>
                <w:rFonts w:eastAsia="Times New Roman"/>
                <w:color w:val="000000"/>
                <w:sz w:val="18"/>
                <w:szCs w:val="18"/>
              </w:rPr>
              <w:br/>
              <w:t xml:space="preserve">• We propose that additional guidance be provided to clarify the scope of upfront fees to unaffiliated third parties, including 1) the types of fees that are applicable (e.g., real estate development consulting fees, capital raise consulting fees, etc.), </w:t>
            </w:r>
            <w:r w:rsidRPr="00B60984">
              <w:rPr>
                <w:rFonts w:eastAsia="Times New Roman"/>
                <w:color w:val="000000"/>
                <w:sz w:val="18"/>
                <w:szCs w:val="18"/>
              </w:rPr>
              <w:t>2) the time period in which the fees are incurred prior to the QEI, and 3) how the amounts that should be reported here are tied to the payor (e.g., Sponsor/QALICB, CDE, etc.).</w:t>
            </w:r>
          </w:p>
        </w:tc>
        <w:tc>
          <w:tcPr>
            <w:tcW w:w="819" w:type="pct"/>
            <w:shd w:val="clear" w:color="auto" w:fill="auto"/>
          </w:tcPr>
          <w:p w:rsidR="00B60984" w:rsidRPr="00B60984" w:rsidP="00B60984" w14:paraId="606C2002" w14:textId="77777777">
            <w:pPr>
              <w:spacing w:after="0" w:line="240" w:lineRule="auto"/>
              <w:rPr>
                <w:rFonts w:eastAsia="Times New Roman"/>
                <w:color w:val="000000"/>
                <w:sz w:val="18"/>
                <w:szCs w:val="18"/>
              </w:rPr>
            </w:pPr>
            <w:r w:rsidRPr="00B60984">
              <w:rPr>
                <w:rFonts w:eastAsia="Times New Roman"/>
                <w:color w:val="000000"/>
                <w:sz w:val="18"/>
                <w:szCs w:val="18"/>
              </w:rPr>
              <w:t>The CDFI Fund accepts this comment and will include additional TLR guidance.</w:t>
            </w:r>
          </w:p>
        </w:tc>
      </w:tr>
      <w:tr w14:paraId="695AF4DA" w14:textId="77777777" w:rsidTr="00B86BBF">
        <w:tblPrEx>
          <w:tblW w:w="5000" w:type="pct"/>
          <w:tblLook w:val="04A0"/>
        </w:tblPrEx>
        <w:tc>
          <w:tcPr>
            <w:tcW w:w="468" w:type="pct"/>
            <w:shd w:val="clear" w:color="auto" w:fill="auto"/>
          </w:tcPr>
          <w:p w:rsidR="00B60984" w:rsidRPr="00B60984" w:rsidP="00B60984" w14:paraId="4E9631DE" w14:textId="77777777">
            <w:pPr>
              <w:spacing w:after="0" w:line="240" w:lineRule="auto"/>
              <w:rPr>
                <w:rFonts w:eastAsia="Times New Roman"/>
                <w:color w:val="000000"/>
                <w:sz w:val="18"/>
                <w:szCs w:val="18"/>
              </w:rPr>
            </w:pPr>
            <w:r w:rsidRPr="00B60984">
              <w:rPr>
                <w:rFonts w:eastAsia="Times New Roman"/>
                <w:color w:val="000000"/>
                <w:sz w:val="18"/>
                <w:szCs w:val="18"/>
              </w:rPr>
              <w:t>11</w:t>
            </w:r>
          </w:p>
        </w:tc>
        <w:tc>
          <w:tcPr>
            <w:tcW w:w="594" w:type="pct"/>
            <w:shd w:val="clear" w:color="auto" w:fill="auto"/>
          </w:tcPr>
          <w:p w:rsidR="00B60984" w:rsidRPr="00B60984" w:rsidP="00B60984" w14:paraId="7303F97F" w14:textId="77777777">
            <w:pPr>
              <w:spacing w:after="0" w:line="240" w:lineRule="auto"/>
              <w:rPr>
                <w:rFonts w:eastAsia="Times New Roman"/>
                <w:color w:val="000000"/>
                <w:sz w:val="18"/>
                <w:szCs w:val="18"/>
              </w:rPr>
            </w:pPr>
            <w:r w:rsidRPr="00B60984">
              <w:rPr>
                <w:rFonts w:eastAsia="Times New Roman"/>
                <w:color w:val="000000"/>
                <w:sz w:val="18"/>
                <w:szCs w:val="18"/>
              </w:rPr>
              <w:t>IFF</w:t>
            </w:r>
          </w:p>
        </w:tc>
        <w:tc>
          <w:tcPr>
            <w:tcW w:w="527" w:type="pct"/>
            <w:shd w:val="clear" w:color="auto" w:fill="auto"/>
          </w:tcPr>
          <w:p w:rsidR="00B60984" w:rsidRPr="00B60984" w:rsidP="00B60984" w14:paraId="7A8773E5" w14:textId="77777777">
            <w:pPr>
              <w:spacing w:after="0" w:line="240" w:lineRule="auto"/>
              <w:rPr>
                <w:rFonts w:eastAsia="Times New Roman"/>
                <w:color w:val="000000"/>
                <w:sz w:val="18"/>
                <w:szCs w:val="18"/>
              </w:rPr>
            </w:pPr>
            <w:r w:rsidRPr="00B60984">
              <w:rPr>
                <w:rFonts w:eastAsia="Times New Roman"/>
                <w:color w:val="000000"/>
                <w:sz w:val="18"/>
                <w:szCs w:val="18"/>
              </w:rPr>
              <w:t>Kirby Burkholder</w:t>
            </w:r>
          </w:p>
        </w:tc>
        <w:tc>
          <w:tcPr>
            <w:tcW w:w="464" w:type="pct"/>
            <w:shd w:val="clear" w:color="auto" w:fill="auto"/>
          </w:tcPr>
          <w:p w:rsidR="00B60984" w:rsidRPr="00B60984" w:rsidP="00B60984" w14:paraId="397614A6" w14:textId="77777777">
            <w:pPr>
              <w:spacing w:after="0" w:line="240" w:lineRule="auto"/>
              <w:rPr>
                <w:rFonts w:eastAsia="Times New Roman"/>
                <w:color w:val="000000"/>
                <w:sz w:val="18"/>
                <w:szCs w:val="18"/>
              </w:rPr>
            </w:pPr>
            <w:r w:rsidRPr="00B60984">
              <w:rPr>
                <w:rFonts w:eastAsia="Times New Roman"/>
                <w:color w:val="000000"/>
                <w:sz w:val="18"/>
                <w:szCs w:val="18"/>
              </w:rPr>
              <w:t>President of Core Business Solutions</w:t>
            </w:r>
          </w:p>
        </w:tc>
        <w:tc>
          <w:tcPr>
            <w:tcW w:w="490" w:type="pct"/>
            <w:shd w:val="clear" w:color="auto" w:fill="auto"/>
          </w:tcPr>
          <w:p w:rsidR="00B60984" w:rsidRPr="00B60984" w:rsidP="00B60984" w14:paraId="0202F2E9"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462D7683" w14:textId="77777777">
            <w:pPr>
              <w:spacing w:after="0" w:line="240" w:lineRule="auto"/>
              <w:rPr>
                <w:rFonts w:eastAsia="Times New Roman"/>
                <w:color w:val="000000"/>
                <w:sz w:val="18"/>
                <w:szCs w:val="18"/>
              </w:rPr>
            </w:pPr>
            <w:r w:rsidRPr="00B60984">
              <w:rPr>
                <w:rFonts w:eastAsia="Times New Roman"/>
                <w:color w:val="000000"/>
                <w:sz w:val="18"/>
                <w:szCs w:val="18"/>
              </w:rPr>
              <w:t>Fees and Transaction Costs</w:t>
            </w:r>
          </w:p>
        </w:tc>
        <w:tc>
          <w:tcPr>
            <w:tcW w:w="1053" w:type="pct"/>
            <w:shd w:val="clear" w:color="auto" w:fill="auto"/>
          </w:tcPr>
          <w:p w:rsidR="00B60984" w:rsidRPr="00B60984" w:rsidP="00B60984" w14:paraId="59285D54" w14:textId="77777777">
            <w:pPr>
              <w:spacing w:after="0" w:line="240" w:lineRule="auto"/>
              <w:rPr>
                <w:rFonts w:eastAsia="Times New Roman"/>
                <w:color w:val="000000"/>
                <w:sz w:val="18"/>
                <w:szCs w:val="18"/>
              </w:rPr>
            </w:pPr>
            <w:r w:rsidRPr="00B60984">
              <w:rPr>
                <w:rFonts w:eastAsia="Times New Roman"/>
                <w:color w:val="000000"/>
                <w:sz w:val="18"/>
                <w:szCs w:val="18"/>
              </w:rPr>
              <w:t>Back-end Transaction Costs</w:t>
            </w:r>
            <w:r w:rsidRPr="00B60984">
              <w:rPr>
                <w:rFonts w:eastAsia="Times New Roman"/>
                <w:color w:val="000000"/>
                <w:sz w:val="18"/>
                <w:szCs w:val="18"/>
              </w:rPr>
              <w:br/>
            </w:r>
            <w:r w:rsidRPr="00B60984">
              <w:rPr>
                <w:rFonts w:eastAsia="Times New Roman"/>
                <w:color w:val="000000"/>
                <w:sz w:val="18"/>
                <w:szCs w:val="18"/>
              </w:rPr>
              <w:br/>
              <w:t>• Given post-closing reporting of transaction features is being curtailed, we propose that additional guidance be provided to clarify the point at which back-end transaction costs should be reported (i.e., as an estimate at origination, or actual amounts upon NMTC exit).</w:t>
            </w:r>
          </w:p>
        </w:tc>
        <w:tc>
          <w:tcPr>
            <w:tcW w:w="819" w:type="pct"/>
            <w:shd w:val="clear" w:color="auto" w:fill="auto"/>
          </w:tcPr>
          <w:p w:rsidR="00B60984" w:rsidRPr="00B60984" w:rsidP="00B60984" w14:paraId="7C9132E8" w14:textId="77777777">
            <w:pPr>
              <w:spacing w:after="0" w:line="240" w:lineRule="auto"/>
              <w:rPr>
                <w:rFonts w:eastAsia="Times New Roman"/>
                <w:color w:val="000000"/>
                <w:sz w:val="18"/>
                <w:szCs w:val="18"/>
              </w:rPr>
            </w:pPr>
            <w:r w:rsidRPr="00B60984">
              <w:rPr>
                <w:rFonts w:eastAsia="Times New Roman"/>
                <w:color w:val="000000"/>
                <w:sz w:val="18"/>
                <w:szCs w:val="18"/>
              </w:rPr>
              <w:t>The CDFI Fund accepts this comment and will include additional TLR guidance.</w:t>
            </w:r>
          </w:p>
        </w:tc>
      </w:tr>
      <w:tr w14:paraId="3D702B81" w14:textId="77777777" w:rsidTr="00B86BBF">
        <w:tblPrEx>
          <w:tblW w:w="5000" w:type="pct"/>
          <w:tblLook w:val="04A0"/>
        </w:tblPrEx>
        <w:tc>
          <w:tcPr>
            <w:tcW w:w="468" w:type="pct"/>
            <w:shd w:val="clear" w:color="auto" w:fill="auto"/>
          </w:tcPr>
          <w:p w:rsidR="00B60984" w:rsidRPr="00B60984" w:rsidP="00B60984" w14:paraId="617031B9" w14:textId="77777777">
            <w:pPr>
              <w:spacing w:after="0" w:line="240" w:lineRule="auto"/>
              <w:rPr>
                <w:rFonts w:eastAsia="Times New Roman"/>
                <w:color w:val="000000"/>
                <w:sz w:val="18"/>
                <w:szCs w:val="18"/>
              </w:rPr>
            </w:pPr>
            <w:r w:rsidRPr="00B60984">
              <w:rPr>
                <w:rFonts w:eastAsia="Times New Roman"/>
                <w:color w:val="000000"/>
                <w:sz w:val="18"/>
                <w:szCs w:val="18"/>
              </w:rPr>
              <w:t>12</w:t>
            </w:r>
          </w:p>
        </w:tc>
        <w:tc>
          <w:tcPr>
            <w:tcW w:w="594" w:type="pct"/>
            <w:shd w:val="clear" w:color="auto" w:fill="auto"/>
          </w:tcPr>
          <w:p w:rsidR="00B60984" w:rsidRPr="00B60984" w:rsidP="00B60984" w14:paraId="283080F1" w14:textId="77777777">
            <w:pPr>
              <w:spacing w:after="0" w:line="240" w:lineRule="auto"/>
              <w:rPr>
                <w:rFonts w:eastAsia="Times New Roman"/>
                <w:color w:val="000000"/>
                <w:sz w:val="18"/>
                <w:szCs w:val="18"/>
              </w:rPr>
            </w:pPr>
            <w:r w:rsidRPr="00B60984">
              <w:rPr>
                <w:rFonts w:eastAsia="Times New Roman"/>
                <w:color w:val="000000"/>
                <w:sz w:val="18"/>
                <w:szCs w:val="18"/>
              </w:rPr>
              <w:t>IFF</w:t>
            </w:r>
          </w:p>
        </w:tc>
        <w:tc>
          <w:tcPr>
            <w:tcW w:w="527" w:type="pct"/>
            <w:shd w:val="clear" w:color="auto" w:fill="auto"/>
          </w:tcPr>
          <w:p w:rsidR="00B60984" w:rsidRPr="00B60984" w:rsidP="00B60984" w14:paraId="67CF6541" w14:textId="77777777">
            <w:pPr>
              <w:spacing w:after="0" w:line="240" w:lineRule="auto"/>
              <w:rPr>
                <w:rFonts w:eastAsia="Times New Roman"/>
                <w:color w:val="000000"/>
                <w:sz w:val="18"/>
                <w:szCs w:val="18"/>
              </w:rPr>
            </w:pPr>
            <w:r w:rsidRPr="00B60984">
              <w:rPr>
                <w:rFonts w:eastAsia="Times New Roman"/>
                <w:color w:val="000000"/>
                <w:sz w:val="18"/>
                <w:szCs w:val="18"/>
              </w:rPr>
              <w:t>Kirby Burkholder</w:t>
            </w:r>
          </w:p>
        </w:tc>
        <w:tc>
          <w:tcPr>
            <w:tcW w:w="464" w:type="pct"/>
            <w:shd w:val="clear" w:color="auto" w:fill="auto"/>
          </w:tcPr>
          <w:p w:rsidR="00B60984" w:rsidRPr="00B60984" w:rsidP="00B60984" w14:paraId="1A6C684D" w14:textId="77777777">
            <w:pPr>
              <w:spacing w:after="0" w:line="240" w:lineRule="auto"/>
              <w:rPr>
                <w:rFonts w:eastAsia="Times New Roman"/>
                <w:color w:val="000000"/>
                <w:sz w:val="18"/>
                <w:szCs w:val="18"/>
              </w:rPr>
            </w:pPr>
            <w:r w:rsidRPr="00B60984">
              <w:rPr>
                <w:rFonts w:eastAsia="Times New Roman"/>
                <w:color w:val="000000"/>
                <w:sz w:val="18"/>
                <w:szCs w:val="18"/>
              </w:rPr>
              <w:t>President of Core Business Solutions</w:t>
            </w:r>
          </w:p>
        </w:tc>
        <w:tc>
          <w:tcPr>
            <w:tcW w:w="490" w:type="pct"/>
            <w:shd w:val="clear" w:color="auto" w:fill="auto"/>
          </w:tcPr>
          <w:p w:rsidR="00B60984" w:rsidRPr="00B60984" w:rsidP="00B60984" w14:paraId="4BEA04D9"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6BC8DF7B"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14326C0B" w14:textId="77777777">
            <w:pPr>
              <w:spacing w:after="0" w:line="240" w:lineRule="auto"/>
              <w:rPr>
                <w:rFonts w:eastAsia="Times New Roman"/>
                <w:color w:val="000000"/>
                <w:sz w:val="18"/>
                <w:szCs w:val="18"/>
              </w:rPr>
            </w:pPr>
            <w:r w:rsidRPr="00B60984">
              <w:rPr>
                <w:rFonts w:eastAsia="Times New Roman"/>
                <w:color w:val="000000"/>
                <w:sz w:val="18"/>
                <w:szCs w:val="18"/>
              </w:rPr>
              <w:t>Projected and Actual Full-Time Equivalent (FTE) Jobs to Be Created or Retained at Business Financed</w:t>
            </w:r>
            <w:r w:rsidRPr="00B60984">
              <w:rPr>
                <w:rFonts w:eastAsia="Times New Roman"/>
                <w:color w:val="000000"/>
                <w:sz w:val="18"/>
                <w:szCs w:val="18"/>
              </w:rPr>
              <w:br/>
            </w:r>
            <w:r w:rsidRPr="00B60984">
              <w:rPr>
                <w:rFonts w:eastAsia="Times New Roman"/>
                <w:color w:val="000000"/>
                <w:sz w:val="18"/>
                <w:szCs w:val="18"/>
              </w:rPr>
              <w:br/>
              <w:t xml:space="preserve">• The revised guidance proposed to include FTE jobs created and retained under one category, however the language implies a choice but not necessarily a combination of both. We propose updating the name and description to include jobs created and/or retained (rather than jobs created or retained). We also noticed the use of the word “permanent” to describe FTE jobs in the data point description for "Projected Full-Time Equivalent (FTE) Jobs to Be Created or Retained at Businesses Financed." However, "permanent” was deleted from </w:t>
            </w:r>
            <w:r w:rsidRPr="00B60984">
              <w:rPr>
                <w:rFonts w:eastAsia="Times New Roman"/>
                <w:color w:val="000000"/>
                <w:sz w:val="18"/>
                <w:szCs w:val="18"/>
              </w:rPr>
              <w:t>the "Projected Full-Time Equivalent (FTE) Jobs to Be Created or Retained at Businesses Financed" data point name in the proposed CDE TLR guidance and is absent from the data point names and description of "Actual Full-Time Equivalent (FTE) Jobs Created or Retained at Businesses Financed." We propose aligning the guidance with proposed revisions.</w:t>
            </w:r>
          </w:p>
        </w:tc>
        <w:tc>
          <w:tcPr>
            <w:tcW w:w="819" w:type="pct"/>
            <w:shd w:val="clear" w:color="auto" w:fill="auto"/>
          </w:tcPr>
          <w:p w:rsidR="00B60984" w:rsidRPr="00B60984" w:rsidP="00B60984" w14:paraId="6D67AD4C" w14:textId="77777777">
            <w:pPr>
              <w:spacing w:after="0" w:line="240" w:lineRule="auto"/>
              <w:rPr>
                <w:rFonts w:eastAsia="Times New Roman"/>
                <w:color w:val="000000"/>
                <w:sz w:val="18"/>
                <w:szCs w:val="18"/>
              </w:rPr>
            </w:pPr>
            <w:r w:rsidRPr="00B60984">
              <w:rPr>
                <w:rFonts w:eastAsia="Times New Roman"/>
                <w:color w:val="000000"/>
                <w:sz w:val="18"/>
                <w:szCs w:val="18"/>
              </w:rPr>
              <w:t>The CDFI Fund accepts this comment and will revise TLR guidance.</w:t>
            </w:r>
          </w:p>
        </w:tc>
      </w:tr>
      <w:tr w14:paraId="7134BE82" w14:textId="77777777" w:rsidTr="00B86BBF">
        <w:tblPrEx>
          <w:tblW w:w="5000" w:type="pct"/>
          <w:tblLook w:val="04A0"/>
        </w:tblPrEx>
        <w:tc>
          <w:tcPr>
            <w:tcW w:w="468" w:type="pct"/>
            <w:shd w:val="clear" w:color="auto" w:fill="auto"/>
          </w:tcPr>
          <w:p w:rsidR="00B60984" w:rsidRPr="00B60984" w:rsidP="00B60984" w14:paraId="1341C71D" w14:textId="77777777">
            <w:pPr>
              <w:spacing w:after="0" w:line="240" w:lineRule="auto"/>
              <w:rPr>
                <w:rFonts w:eastAsia="Times New Roman"/>
                <w:color w:val="000000"/>
                <w:sz w:val="18"/>
                <w:szCs w:val="18"/>
              </w:rPr>
            </w:pPr>
            <w:r w:rsidRPr="00B60984">
              <w:rPr>
                <w:rFonts w:eastAsia="Times New Roman"/>
                <w:color w:val="000000"/>
                <w:sz w:val="18"/>
                <w:szCs w:val="18"/>
              </w:rPr>
              <w:t>13</w:t>
            </w:r>
          </w:p>
        </w:tc>
        <w:tc>
          <w:tcPr>
            <w:tcW w:w="594" w:type="pct"/>
            <w:shd w:val="clear" w:color="auto" w:fill="auto"/>
          </w:tcPr>
          <w:p w:rsidR="00B60984" w:rsidRPr="00B60984" w:rsidP="00B60984" w14:paraId="5D804F71" w14:textId="77777777">
            <w:pPr>
              <w:spacing w:after="0" w:line="240" w:lineRule="auto"/>
              <w:rPr>
                <w:rFonts w:eastAsia="Times New Roman"/>
                <w:color w:val="000000"/>
                <w:sz w:val="18"/>
                <w:szCs w:val="18"/>
              </w:rPr>
            </w:pPr>
            <w:r w:rsidRPr="00B60984">
              <w:rPr>
                <w:rFonts w:eastAsia="Times New Roman"/>
                <w:color w:val="000000"/>
                <w:sz w:val="18"/>
                <w:szCs w:val="18"/>
              </w:rPr>
              <w:t>IFF</w:t>
            </w:r>
          </w:p>
        </w:tc>
        <w:tc>
          <w:tcPr>
            <w:tcW w:w="527" w:type="pct"/>
            <w:shd w:val="clear" w:color="auto" w:fill="auto"/>
          </w:tcPr>
          <w:p w:rsidR="00B60984" w:rsidRPr="00B60984" w:rsidP="00B60984" w14:paraId="1E748CD3" w14:textId="77777777">
            <w:pPr>
              <w:spacing w:after="0" w:line="240" w:lineRule="auto"/>
              <w:rPr>
                <w:rFonts w:eastAsia="Times New Roman"/>
                <w:color w:val="000000"/>
                <w:sz w:val="18"/>
                <w:szCs w:val="18"/>
              </w:rPr>
            </w:pPr>
            <w:r w:rsidRPr="00B60984">
              <w:rPr>
                <w:rFonts w:eastAsia="Times New Roman"/>
                <w:color w:val="000000"/>
                <w:sz w:val="18"/>
                <w:szCs w:val="18"/>
              </w:rPr>
              <w:t>Kirby Burkholder</w:t>
            </w:r>
          </w:p>
        </w:tc>
        <w:tc>
          <w:tcPr>
            <w:tcW w:w="464" w:type="pct"/>
            <w:shd w:val="clear" w:color="auto" w:fill="auto"/>
          </w:tcPr>
          <w:p w:rsidR="00B60984" w:rsidRPr="00B60984" w:rsidP="00B60984" w14:paraId="784B4E45" w14:textId="77777777">
            <w:pPr>
              <w:spacing w:after="0" w:line="240" w:lineRule="auto"/>
              <w:rPr>
                <w:rFonts w:eastAsia="Times New Roman"/>
                <w:color w:val="000000"/>
                <w:sz w:val="18"/>
                <w:szCs w:val="18"/>
              </w:rPr>
            </w:pPr>
            <w:r w:rsidRPr="00B60984">
              <w:rPr>
                <w:rFonts w:eastAsia="Times New Roman"/>
                <w:color w:val="000000"/>
                <w:sz w:val="18"/>
                <w:szCs w:val="18"/>
              </w:rPr>
              <w:t>President of Core Business Solutions</w:t>
            </w:r>
          </w:p>
        </w:tc>
        <w:tc>
          <w:tcPr>
            <w:tcW w:w="490" w:type="pct"/>
            <w:shd w:val="clear" w:color="auto" w:fill="auto"/>
          </w:tcPr>
          <w:p w:rsidR="00B60984" w:rsidRPr="00B60984" w:rsidP="00B60984" w14:paraId="7C06A22D"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258894F5"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03C7312E" w14:textId="77777777">
            <w:pPr>
              <w:spacing w:after="0" w:line="240" w:lineRule="auto"/>
              <w:rPr>
                <w:rFonts w:eastAsia="Times New Roman"/>
                <w:color w:val="000000"/>
                <w:sz w:val="18"/>
                <w:szCs w:val="18"/>
              </w:rPr>
            </w:pPr>
            <w:r w:rsidRPr="00B60984">
              <w:rPr>
                <w:rFonts w:eastAsia="Times New Roman"/>
                <w:color w:val="000000"/>
                <w:sz w:val="18"/>
                <w:szCs w:val="18"/>
              </w:rPr>
              <w:t>Job Quality Measures</w:t>
            </w:r>
            <w:r w:rsidRPr="00B60984">
              <w:rPr>
                <w:rFonts w:eastAsia="Times New Roman"/>
                <w:color w:val="000000"/>
                <w:sz w:val="18"/>
                <w:szCs w:val="18"/>
              </w:rPr>
              <w:br/>
            </w:r>
            <w:r w:rsidRPr="00B60984">
              <w:rPr>
                <w:rFonts w:eastAsia="Times New Roman"/>
                <w:color w:val="000000"/>
                <w:sz w:val="18"/>
                <w:szCs w:val="18"/>
              </w:rPr>
              <w:br/>
              <w:t>• The revised guidance offers categories of job quality measures, but no field for quantifying (i.e., number of quality jobs) the impact. We propose that the CDFI Fund also include “Number of Quality Jobs” to capture the quantitative quality job measures.</w:t>
            </w:r>
          </w:p>
        </w:tc>
        <w:tc>
          <w:tcPr>
            <w:tcW w:w="819" w:type="pct"/>
            <w:shd w:val="clear" w:color="auto" w:fill="auto"/>
          </w:tcPr>
          <w:p w:rsidR="00B60984" w:rsidRPr="00B60984" w:rsidP="00B60984" w14:paraId="0BB671B4" w14:textId="77777777">
            <w:pPr>
              <w:spacing w:after="0" w:line="240" w:lineRule="auto"/>
              <w:rPr>
                <w:rFonts w:eastAsia="Times New Roman"/>
                <w:color w:val="000000"/>
                <w:sz w:val="18"/>
                <w:szCs w:val="18"/>
              </w:rPr>
            </w:pPr>
            <w:r w:rsidRPr="00B60984">
              <w:rPr>
                <w:rFonts w:eastAsia="Times New Roman"/>
                <w:color w:val="000000"/>
                <w:sz w:val="18"/>
                <w:szCs w:val="18"/>
              </w:rPr>
              <w:t xml:space="preserve">The CDFI Fund accepts this </w:t>
            </w:r>
            <w:r w:rsidRPr="00B60984">
              <w:rPr>
                <w:rFonts w:eastAsia="Times New Roman"/>
                <w:color w:val="000000"/>
                <w:sz w:val="18"/>
                <w:szCs w:val="18"/>
              </w:rPr>
              <w:t>comment</w:t>
            </w:r>
            <w:r w:rsidRPr="00B60984">
              <w:rPr>
                <w:rFonts w:eastAsia="Times New Roman"/>
                <w:color w:val="000000"/>
                <w:sz w:val="18"/>
                <w:szCs w:val="18"/>
              </w:rPr>
              <w:t xml:space="preserve"> and a data field will be added.</w:t>
            </w:r>
          </w:p>
        </w:tc>
      </w:tr>
      <w:tr w14:paraId="437E6B8D" w14:textId="77777777" w:rsidTr="00B86BBF">
        <w:tblPrEx>
          <w:tblW w:w="5000" w:type="pct"/>
          <w:tblLook w:val="04A0"/>
        </w:tblPrEx>
        <w:tc>
          <w:tcPr>
            <w:tcW w:w="468" w:type="pct"/>
            <w:shd w:val="clear" w:color="auto" w:fill="auto"/>
          </w:tcPr>
          <w:p w:rsidR="00B60984" w:rsidRPr="00B60984" w:rsidP="00B60984" w14:paraId="0F7D834E" w14:textId="77777777">
            <w:pPr>
              <w:spacing w:after="0" w:line="240" w:lineRule="auto"/>
              <w:rPr>
                <w:rFonts w:eastAsia="Times New Roman"/>
                <w:color w:val="000000"/>
                <w:sz w:val="18"/>
                <w:szCs w:val="18"/>
              </w:rPr>
            </w:pPr>
            <w:r w:rsidRPr="00B60984">
              <w:rPr>
                <w:rFonts w:eastAsia="Times New Roman"/>
                <w:color w:val="000000"/>
                <w:sz w:val="18"/>
                <w:szCs w:val="18"/>
              </w:rPr>
              <w:t>14</w:t>
            </w:r>
          </w:p>
        </w:tc>
        <w:tc>
          <w:tcPr>
            <w:tcW w:w="594" w:type="pct"/>
            <w:shd w:val="clear" w:color="auto" w:fill="auto"/>
          </w:tcPr>
          <w:p w:rsidR="00B60984" w:rsidRPr="00B60984" w:rsidP="00B60984" w14:paraId="5D230766" w14:textId="77777777">
            <w:pPr>
              <w:spacing w:after="0" w:line="240" w:lineRule="auto"/>
              <w:rPr>
                <w:rFonts w:eastAsia="Times New Roman"/>
                <w:color w:val="000000"/>
                <w:sz w:val="18"/>
                <w:szCs w:val="18"/>
              </w:rPr>
            </w:pPr>
            <w:r w:rsidRPr="00B60984">
              <w:rPr>
                <w:rFonts w:eastAsia="Times New Roman"/>
                <w:color w:val="000000"/>
                <w:sz w:val="18"/>
                <w:szCs w:val="18"/>
              </w:rPr>
              <w:t>IFF</w:t>
            </w:r>
          </w:p>
        </w:tc>
        <w:tc>
          <w:tcPr>
            <w:tcW w:w="527" w:type="pct"/>
            <w:shd w:val="clear" w:color="auto" w:fill="auto"/>
          </w:tcPr>
          <w:p w:rsidR="00B60984" w:rsidRPr="00B60984" w:rsidP="00B60984" w14:paraId="23DFB982" w14:textId="77777777">
            <w:pPr>
              <w:spacing w:after="0" w:line="240" w:lineRule="auto"/>
              <w:rPr>
                <w:rFonts w:eastAsia="Times New Roman"/>
                <w:color w:val="000000"/>
                <w:sz w:val="18"/>
                <w:szCs w:val="18"/>
              </w:rPr>
            </w:pPr>
            <w:r w:rsidRPr="00B60984">
              <w:rPr>
                <w:rFonts w:eastAsia="Times New Roman"/>
                <w:color w:val="000000"/>
                <w:sz w:val="18"/>
                <w:szCs w:val="18"/>
              </w:rPr>
              <w:t>Kirby Burkholder</w:t>
            </w:r>
          </w:p>
        </w:tc>
        <w:tc>
          <w:tcPr>
            <w:tcW w:w="464" w:type="pct"/>
            <w:shd w:val="clear" w:color="auto" w:fill="auto"/>
          </w:tcPr>
          <w:p w:rsidR="00B60984" w:rsidRPr="00B60984" w:rsidP="00B60984" w14:paraId="58DC87D1" w14:textId="77777777">
            <w:pPr>
              <w:spacing w:after="0" w:line="240" w:lineRule="auto"/>
              <w:rPr>
                <w:rFonts w:eastAsia="Times New Roman"/>
                <w:color w:val="000000"/>
                <w:sz w:val="18"/>
                <w:szCs w:val="18"/>
              </w:rPr>
            </w:pPr>
            <w:r w:rsidRPr="00B60984">
              <w:rPr>
                <w:rFonts w:eastAsia="Times New Roman"/>
                <w:color w:val="000000"/>
                <w:sz w:val="18"/>
                <w:szCs w:val="18"/>
              </w:rPr>
              <w:t>President of Core Business Solutions</w:t>
            </w:r>
          </w:p>
        </w:tc>
        <w:tc>
          <w:tcPr>
            <w:tcW w:w="490" w:type="pct"/>
            <w:shd w:val="clear" w:color="auto" w:fill="auto"/>
          </w:tcPr>
          <w:p w:rsidR="00B60984" w:rsidRPr="00B60984" w:rsidP="00B60984" w14:paraId="1F5343BB"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585A1880"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136ACFDA" w14:textId="77777777">
            <w:pPr>
              <w:spacing w:after="0" w:line="240" w:lineRule="auto"/>
              <w:rPr>
                <w:rFonts w:eastAsia="Times New Roman"/>
                <w:color w:val="000000"/>
                <w:sz w:val="18"/>
                <w:szCs w:val="18"/>
              </w:rPr>
            </w:pPr>
            <w:r w:rsidRPr="00B60984">
              <w:rPr>
                <w:rFonts w:eastAsia="Times New Roman"/>
                <w:color w:val="000000"/>
                <w:sz w:val="18"/>
                <w:szCs w:val="18"/>
              </w:rPr>
              <w:t>Number of Accessible Jobs</w:t>
            </w:r>
            <w:r w:rsidRPr="00B60984">
              <w:rPr>
                <w:rFonts w:eastAsia="Times New Roman"/>
                <w:color w:val="000000"/>
                <w:sz w:val="18"/>
                <w:szCs w:val="18"/>
              </w:rPr>
              <w:br/>
            </w:r>
            <w:r w:rsidRPr="00B60984">
              <w:rPr>
                <w:rFonts w:eastAsia="Times New Roman"/>
                <w:color w:val="000000"/>
                <w:sz w:val="18"/>
                <w:szCs w:val="18"/>
              </w:rPr>
              <w:br/>
              <w:t xml:space="preserve">• Nonprofit operators frequently use all means available to them to create accessible jobs. To capture all types of accessible jobs created by a NMTC project, we propose that the number of accessible jobs reported not be limited to the predominant measure selected under “Identify Accessible Jobs Measure.” Instead, we request changing this data point to include ALL accessible jobs associated with the project. </w:t>
            </w:r>
          </w:p>
        </w:tc>
        <w:tc>
          <w:tcPr>
            <w:tcW w:w="819" w:type="pct"/>
            <w:shd w:val="clear" w:color="auto" w:fill="auto"/>
          </w:tcPr>
          <w:p w:rsidR="00B60984" w:rsidRPr="00B60984" w:rsidP="00B60984" w14:paraId="03B4A083" w14:textId="77777777">
            <w:pPr>
              <w:spacing w:after="0" w:line="240" w:lineRule="auto"/>
              <w:rPr>
                <w:rFonts w:eastAsia="Times New Roman"/>
                <w:color w:val="000000"/>
                <w:sz w:val="18"/>
                <w:szCs w:val="18"/>
              </w:rPr>
            </w:pPr>
            <w:r w:rsidRPr="00B60984">
              <w:rPr>
                <w:rFonts w:eastAsia="Times New Roman"/>
                <w:color w:val="000000"/>
                <w:sz w:val="18"/>
                <w:szCs w:val="18"/>
              </w:rPr>
              <w:t xml:space="preserve">The CDFI Fund accepts this comment and will change the Accessible Jobs Measure to allow users to select all that apply and will provide additional guidance. </w:t>
            </w:r>
          </w:p>
        </w:tc>
      </w:tr>
      <w:tr w14:paraId="4B3F4A07" w14:textId="77777777" w:rsidTr="00B86BBF">
        <w:tblPrEx>
          <w:tblW w:w="5000" w:type="pct"/>
          <w:tblLook w:val="04A0"/>
        </w:tblPrEx>
        <w:tc>
          <w:tcPr>
            <w:tcW w:w="468" w:type="pct"/>
            <w:shd w:val="clear" w:color="auto" w:fill="auto"/>
          </w:tcPr>
          <w:p w:rsidR="00B60984" w:rsidRPr="00B60984" w:rsidP="00B60984" w14:paraId="63F0CF45" w14:textId="77777777">
            <w:pPr>
              <w:spacing w:after="0" w:line="240" w:lineRule="auto"/>
              <w:rPr>
                <w:rFonts w:eastAsia="Times New Roman"/>
                <w:color w:val="000000"/>
                <w:sz w:val="18"/>
                <w:szCs w:val="18"/>
              </w:rPr>
            </w:pPr>
            <w:r w:rsidRPr="00B60984">
              <w:rPr>
                <w:rFonts w:eastAsia="Times New Roman"/>
                <w:color w:val="000000"/>
                <w:sz w:val="18"/>
                <w:szCs w:val="18"/>
              </w:rPr>
              <w:t>15</w:t>
            </w:r>
          </w:p>
        </w:tc>
        <w:tc>
          <w:tcPr>
            <w:tcW w:w="594" w:type="pct"/>
            <w:shd w:val="clear" w:color="auto" w:fill="auto"/>
          </w:tcPr>
          <w:p w:rsidR="00B60984" w:rsidRPr="00B60984" w:rsidP="00B60984" w14:paraId="284C7C1C" w14:textId="77777777">
            <w:pPr>
              <w:spacing w:after="0" w:line="240" w:lineRule="auto"/>
              <w:rPr>
                <w:rFonts w:eastAsia="Times New Roman"/>
                <w:color w:val="000000"/>
                <w:sz w:val="18"/>
                <w:szCs w:val="18"/>
              </w:rPr>
            </w:pPr>
            <w:r w:rsidRPr="00B60984">
              <w:rPr>
                <w:rFonts w:eastAsia="Times New Roman"/>
                <w:color w:val="000000"/>
                <w:sz w:val="18"/>
                <w:szCs w:val="18"/>
              </w:rPr>
              <w:t>IFF</w:t>
            </w:r>
          </w:p>
        </w:tc>
        <w:tc>
          <w:tcPr>
            <w:tcW w:w="527" w:type="pct"/>
            <w:shd w:val="clear" w:color="auto" w:fill="auto"/>
          </w:tcPr>
          <w:p w:rsidR="00B60984" w:rsidRPr="00B60984" w:rsidP="00B60984" w14:paraId="1942032F" w14:textId="77777777">
            <w:pPr>
              <w:spacing w:after="0" w:line="240" w:lineRule="auto"/>
              <w:rPr>
                <w:rFonts w:eastAsia="Times New Roman"/>
                <w:color w:val="000000"/>
                <w:sz w:val="18"/>
                <w:szCs w:val="18"/>
              </w:rPr>
            </w:pPr>
            <w:r w:rsidRPr="00B60984">
              <w:rPr>
                <w:rFonts w:eastAsia="Times New Roman"/>
                <w:color w:val="000000"/>
                <w:sz w:val="18"/>
                <w:szCs w:val="18"/>
              </w:rPr>
              <w:t>Kirby Burkholder</w:t>
            </w:r>
          </w:p>
        </w:tc>
        <w:tc>
          <w:tcPr>
            <w:tcW w:w="464" w:type="pct"/>
            <w:shd w:val="clear" w:color="auto" w:fill="auto"/>
          </w:tcPr>
          <w:p w:rsidR="00B60984" w:rsidRPr="00B60984" w:rsidP="00B60984" w14:paraId="1480E0B8" w14:textId="77777777">
            <w:pPr>
              <w:spacing w:after="0" w:line="240" w:lineRule="auto"/>
              <w:rPr>
                <w:rFonts w:eastAsia="Times New Roman"/>
                <w:color w:val="000000"/>
                <w:sz w:val="18"/>
                <w:szCs w:val="18"/>
              </w:rPr>
            </w:pPr>
            <w:r w:rsidRPr="00B60984">
              <w:rPr>
                <w:rFonts w:eastAsia="Times New Roman"/>
                <w:color w:val="000000"/>
                <w:sz w:val="18"/>
                <w:szCs w:val="18"/>
              </w:rPr>
              <w:t>President of Core Business Solutions</w:t>
            </w:r>
          </w:p>
        </w:tc>
        <w:tc>
          <w:tcPr>
            <w:tcW w:w="490" w:type="pct"/>
            <w:shd w:val="clear" w:color="auto" w:fill="auto"/>
          </w:tcPr>
          <w:p w:rsidR="00B60984" w:rsidRPr="00B60984" w:rsidP="00B60984" w14:paraId="2F39A0A0"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50D3F34A" w14:textId="77777777">
            <w:pPr>
              <w:spacing w:after="0" w:line="240" w:lineRule="auto"/>
              <w:rPr>
                <w:rFonts w:eastAsia="Times New Roman"/>
                <w:color w:val="000000"/>
                <w:sz w:val="18"/>
                <w:szCs w:val="18"/>
              </w:rPr>
            </w:pPr>
            <w:r w:rsidRPr="00B60984">
              <w:rPr>
                <w:rFonts w:eastAsia="Times New Roman"/>
                <w:color w:val="000000"/>
                <w:sz w:val="18"/>
                <w:szCs w:val="18"/>
              </w:rPr>
              <w:t>Project Outcomes</w:t>
            </w:r>
          </w:p>
        </w:tc>
        <w:tc>
          <w:tcPr>
            <w:tcW w:w="1053" w:type="pct"/>
            <w:shd w:val="clear" w:color="auto" w:fill="auto"/>
          </w:tcPr>
          <w:p w:rsidR="00B60984" w:rsidRPr="00B60984" w:rsidP="00B60984" w14:paraId="6E293D90" w14:textId="77777777">
            <w:pPr>
              <w:spacing w:after="0" w:line="240" w:lineRule="auto"/>
              <w:rPr>
                <w:rFonts w:eastAsia="Times New Roman"/>
                <w:color w:val="000000"/>
                <w:sz w:val="18"/>
                <w:szCs w:val="18"/>
              </w:rPr>
            </w:pPr>
            <w:r w:rsidRPr="00B60984">
              <w:rPr>
                <w:rFonts w:eastAsia="Times New Roman"/>
                <w:color w:val="000000"/>
                <w:sz w:val="18"/>
                <w:szCs w:val="18"/>
              </w:rPr>
              <w:t>Square Feet of Real Estate - Community Facilities</w:t>
            </w:r>
            <w:r w:rsidRPr="00B60984">
              <w:rPr>
                <w:rFonts w:eastAsia="Times New Roman"/>
                <w:color w:val="000000"/>
                <w:sz w:val="18"/>
                <w:szCs w:val="18"/>
              </w:rPr>
              <w:br/>
            </w:r>
            <w:r w:rsidRPr="00B60984">
              <w:rPr>
                <w:rFonts w:eastAsia="Times New Roman"/>
                <w:color w:val="000000"/>
                <w:sz w:val="18"/>
                <w:szCs w:val="18"/>
              </w:rPr>
              <w:br/>
              <w:t>• The CDFI Fund currently collects information on the square footage of real estate for manufacturing, office, and retail, which is more applicable for for-profit projects. Including the square footage of real estate for community facilities will better reflect the magnitude and impact of investments made to nonprofit service providers that serve Low-Income Communities.</w:t>
            </w:r>
          </w:p>
        </w:tc>
        <w:tc>
          <w:tcPr>
            <w:tcW w:w="819" w:type="pct"/>
            <w:shd w:val="clear" w:color="auto" w:fill="auto"/>
          </w:tcPr>
          <w:p w:rsidR="00B60984" w:rsidRPr="00B60984" w:rsidP="00B60984" w14:paraId="3F2BBBCB" w14:textId="0A1903A0">
            <w:pPr>
              <w:spacing w:after="0" w:line="240" w:lineRule="auto"/>
              <w:rPr>
                <w:rFonts w:eastAsia="Times New Roman"/>
                <w:color w:val="000000"/>
                <w:sz w:val="18"/>
                <w:szCs w:val="18"/>
              </w:rPr>
            </w:pPr>
            <w:r w:rsidRPr="00B60984">
              <w:rPr>
                <w:rFonts w:eastAsia="Times New Roman"/>
                <w:color w:val="000000"/>
                <w:sz w:val="18"/>
                <w:szCs w:val="18"/>
              </w:rPr>
              <w:t xml:space="preserve">The CDFI Fund will continue to collect TLR data based on square feet of real estate for manufacturing, </w:t>
            </w:r>
            <w:r w:rsidRPr="00B60984">
              <w:rPr>
                <w:rFonts w:eastAsia="Times New Roman"/>
                <w:color w:val="000000"/>
                <w:sz w:val="18"/>
                <w:szCs w:val="18"/>
              </w:rPr>
              <w:t>office</w:t>
            </w:r>
            <w:r w:rsidRPr="00B60984">
              <w:rPr>
                <w:rFonts w:eastAsia="Times New Roman"/>
                <w:color w:val="000000"/>
                <w:sz w:val="18"/>
                <w:szCs w:val="18"/>
              </w:rPr>
              <w:t xml:space="preserve"> and retail. </w:t>
            </w:r>
            <w:r w:rsidR="001005E0">
              <w:rPr>
                <w:rFonts w:eastAsia="Times New Roman"/>
                <w:color w:val="000000"/>
                <w:sz w:val="18"/>
                <w:szCs w:val="18"/>
              </w:rPr>
              <w:t>The Fund will continue to only collection information about the capacity of community facilities not the square footage of a community facility.</w:t>
            </w:r>
          </w:p>
          <w:p w:rsidR="00B60984" w:rsidRPr="00B60984" w:rsidP="00B60984" w14:paraId="0BD0259A" w14:textId="77777777">
            <w:pPr>
              <w:spacing w:after="0" w:line="240" w:lineRule="auto"/>
              <w:rPr>
                <w:rFonts w:eastAsia="Times New Roman"/>
                <w:color w:val="000000"/>
                <w:sz w:val="18"/>
                <w:szCs w:val="18"/>
              </w:rPr>
            </w:pPr>
          </w:p>
        </w:tc>
      </w:tr>
      <w:tr w14:paraId="2D320569" w14:textId="77777777" w:rsidTr="00B86BBF">
        <w:tblPrEx>
          <w:tblW w:w="5000" w:type="pct"/>
          <w:tblLook w:val="04A0"/>
        </w:tblPrEx>
        <w:tc>
          <w:tcPr>
            <w:tcW w:w="468" w:type="pct"/>
            <w:shd w:val="clear" w:color="auto" w:fill="auto"/>
          </w:tcPr>
          <w:p w:rsidR="00B60984" w:rsidRPr="00B60984" w:rsidP="00B60984" w14:paraId="5607DA83" w14:textId="77777777">
            <w:pPr>
              <w:spacing w:after="0" w:line="240" w:lineRule="auto"/>
              <w:rPr>
                <w:rFonts w:eastAsia="Times New Roman"/>
                <w:color w:val="000000"/>
                <w:sz w:val="18"/>
                <w:szCs w:val="18"/>
              </w:rPr>
            </w:pPr>
            <w:r w:rsidRPr="00B60984">
              <w:rPr>
                <w:rFonts w:eastAsia="Times New Roman"/>
                <w:color w:val="000000"/>
                <w:sz w:val="18"/>
                <w:szCs w:val="18"/>
              </w:rPr>
              <w:t>16</w:t>
            </w:r>
          </w:p>
        </w:tc>
        <w:tc>
          <w:tcPr>
            <w:tcW w:w="594" w:type="pct"/>
            <w:shd w:val="clear" w:color="auto" w:fill="auto"/>
          </w:tcPr>
          <w:p w:rsidR="00B60984" w:rsidRPr="00B60984" w:rsidP="00B60984" w14:paraId="0656C9FB" w14:textId="77777777">
            <w:pPr>
              <w:spacing w:after="0" w:line="240" w:lineRule="auto"/>
              <w:rPr>
                <w:rFonts w:eastAsia="Times New Roman"/>
                <w:color w:val="000000"/>
                <w:sz w:val="18"/>
                <w:szCs w:val="18"/>
              </w:rPr>
            </w:pPr>
            <w:r w:rsidRPr="00B60984">
              <w:rPr>
                <w:rFonts w:eastAsia="Times New Roman"/>
                <w:color w:val="000000"/>
                <w:sz w:val="18"/>
                <w:szCs w:val="18"/>
              </w:rPr>
              <w:t>IFF</w:t>
            </w:r>
          </w:p>
        </w:tc>
        <w:tc>
          <w:tcPr>
            <w:tcW w:w="527" w:type="pct"/>
            <w:shd w:val="clear" w:color="auto" w:fill="auto"/>
          </w:tcPr>
          <w:p w:rsidR="00B60984" w:rsidRPr="00B60984" w:rsidP="00B60984" w14:paraId="4A8F555C" w14:textId="77777777">
            <w:pPr>
              <w:spacing w:after="0" w:line="240" w:lineRule="auto"/>
              <w:rPr>
                <w:rFonts w:eastAsia="Times New Roman"/>
                <w:color w:val="000000"/>
                <w:sz w:val="18"/>
                <w:szCs w:val="18"/>
              </w:rPr>
            </w:pPr>
            <w:r w:rsidRPr="00B60984">
              <w:rPr>
                <w:rFonts w:eastAsia="Times New Roman"/>
                <w:color w:val="000000"/>
                <w:sz w:val="18"/>
                <w:szCs w:val="18"/>
              </w:rPr>
              <w:t>Kirby Burkholder</w:t>
            </w:r>
          </w:p>
        </w:tc>
        <w:tc>
          <w:tcPr>
            <w:tcW w:w="464" w:type="pct"/>
            <w:shd w:val="clear" w:color="auto" w:fill="auto"/>
          </w:tcPr>
          <w:p w:rsidR="00B60984" w:rsidRPr="00B60984" w:rsidP="00B60984" w14:paraId="77CA8695" w14:textId="77777777">
            <w:pPr>
              <w:spacing w:after="0" w:line="240" w:lineRule="auto"/>
              <w:rPr>
                <w:rFonts w:eastAsia="Times New Roman"/>
                <w:color w:val="000000"/>
                <w:sz w:val="18"/>
                <w:szCs w:val="18"/>
              </w:rPr>
            </w:pPr>
            <w:r w:rsidRPr="00B60984">
              <w:rPr>
                <w:rFonts w:eastAsia="Times New Roman"/>
                <w:color w:val="000000"/>
                <w:sz w:val="18"/>
                <w:szCs w:val="18"/>
              </w:rPr>
              <w:t>President of Core Business Solutions</w:t>
            </w:r>
          </w:p>
        </w:tc>
        <w:tc>
          <w:tcPr>
            <w:tcW w:w="490" w:type="pct"/>
            <w:shd w:val="clear" w:color="auto" w:fill="auto"/>
          </w:tcPr>
          <w:p w:rsidR="00B60984" w:rsidRPr="00B60984" w:rsidP="00B60984" w14:paraId="2F99EC01"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3EFFAF2A" w14:textId="77777777">
            <w:pPr>
              <w:spacing w:after="0" w:line="240" w:lineRule="auto"/>
              <w:rPr>
                <w:rFonts w:eastAsia="Times New Roman"/>
                <w:color w:val="000000"/>
                <w:sz w:val="18"/>
                <w:szCs w:val="18"/>
              </w:rPr>
            </w:pPr>
            <w:r w:rsidRPr="00B60984">
              <w:rPr>
                <w:rFonts w:eastAsia="Times New Roman"/>
                <w:color w:val="000000"/>
                <w:sz w:val="18"/>
                <w:szCs w:val="18"/>
              </w:rPr>
              <w:t>Project Outcomes</w:t>
            </w:r>
          </w:p>
        </w:tc>
        <w:tc>
          <w:tcPr>
            <w:tcW w:w="1053" w:type="pct"/>
            <w:shd w:val="clear" w:color="auto" w:fill="auto"/>
          </w:tcPr>
          <w:p w:rsidR="00B60984" w:rsidRPr="00B60984" w:rsidP="00B60984" w14:paraId="71EFBF10" w14:textId="77777777">
            <w:pPr>
              <w:spacing w:after="0" w:line="240" w:lineRule="auto"/>
              <w:rPr>
                <w:rFonts w:eastAsia="Times New Roman"/>
                <w:color w:val="000000"/>
                <w:sz w:val="18"/>
                <w:szCs w:val="18"/>
              </w:rPr>
            </w:pPr>
            <w:r w:rsidRPr="00B60984">
              <w:rPr>
                <w:rFonts w:eastAsia="Times New Roman"/>
                <w:color w:val="000000"/>
                <w:sz w:val="18"/>
                <w:szCs w:val="18"/>
              </w:rPr>
              <w:t>Capacity of Community Facility – Other</w:t>
            </w:r>
            <w:r w:rsidRPr="00B60984">
              <w:rPr>
                <w:rFonts w:eastAsia="Times New Roman"/>
                <w:color w:val="000000"/>
                <w:sz w:val="18"/>
                <w:szCs w:val="18"/>
              </w:rPr>
              <w:br/>
            </w:r>
            <w:r w:rsidRPr="00B60984">
              <w:rPr>
                <w:rFonts w:eastAsia="Times New Roman"/>
                <w:color w:val="000000"/>
                <w:sz w:val="18"/>
                <w:szCs w:val="18"/>
              </w:rPr>
              <w:br/>
              <w:t>• The CDFI Fund currently collects information on Capacity of Educational, Childcare, Healthcare, and Arts community facilities. However, this excludes all providers of social, behavioral, trauma informed, and other essential safety-net services in Low-Income Communities (e.g., homeless, domestic violence, substance abuse centers, facilities providing a combination of different complementary social, human, and community services, etc.)</w:t>
            </w:r>
          </w:p>
        </w:tc>
        <w:tc>
          <w:tcPr>
            <w:tcW w:w="819" w:type="pct"/>
            <w:shd w:val="clear" w:color="auto" w:fill="auto"/>
          </w:tcPr>
          <w:p w:rsidR="00B60984" w:rsidRPr="00B60984" w:rsidP="00B60984" w14:paraId="1581BCBB" w14:textId="77777777">
            <w:pPr>
              <w:spacing w:after="0" w:line="240" w:lineRule="auto"/>
              <w:rPr>
                <w:rFonts w:eastAsia="Times New Roman"/>
                <w:color w:val="000000"/>
                <w:sz w:val="18"/>
                <w:szCs w:val="18"/>
              </w:rPr>
            </w:pPr>
            <w:r w:rsidRPr="00B60984">
              <w:rPr>
                <w:rFonts w:eastAsia="Times New Roman"/>
                <w:color w:val="000000"/>
                <w:sz w:val="18"/>
                <w:szCs w:val="18"/>
              </w:rPr>
              <w:t>The CDFI Fund has addressed this concern through the new “Number of People Served by Community Goods or Services” data field.</w:t>
            </w:r>
          </w:p>
        </w:tc>
      </w:tr>
      <w:tr w14:paraId="1919111A" w14:textId="77777777" w:rsidTr="00B86BBF">
        <w:tblPrEx>
          <w:tblW w:w="5000" w:type="pct"/>
          <w:tblLook w:val="04A0"/>
        </w:tblPrEx>
        <w:tc>
          <w:tcPr>
            <w:tcW w:w="468" w:type="pct"/>
            <w:shd w:val="clear" w:color="auto" w:fill="auto"/>
          </w:tcPr>
          <w:p w:rsidR="00B60984" w:rsidRPr="00B60984" w:rsidP="00B60984" w14:paraId="73065ED0" w14:textId="77777777">
            <w:pPr>
              <w:spacing w:after="0" w:line="240" w:lineRule="auto"/>
              <w:rPr>
                <w:rFonts w:eastAsia="Times New Roman"/>
                <w:color w:val="000000"/>
                <w:sz w:val="18"/>
                <w:szCs w:val="18"/>
              </w:rPr>
            </w:pPr>
            <w:r w:rsidRPr="00B60984">
              <w:rPr>
                <w:rFonts w:eastAsia="Times New Roman"/>
                <w:color w:val="000000"/>
                <w:sz w:val="18"/>
                <w:szCs w:val="18"/>
              </w:rPr>
              <w:t>17</w:t>
            </w:r>
          </w:p>
        </w:tc>
        <w:tc>
          <w:tcPr>
            <w:tcW w:w="594" w:type="pct"/>
            <w:shd w:val="clear" w:color="auto" w:fill="auto"/>
          </w:tcPr>
          <w:p w:rsidR="00B60984" w:rsidRPr="00B60984" w:rsidP="00B60984" w14:paraId="56705150"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2DEC5EBA"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5FFAD84A"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35487D1A"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38F42FB4" w14:textId="77777777">
            <w:pPr>
              <w:spacing w:after="0" w:line="240" w:lineRule="auto"/>
              <w:rPr>
                <w:rFonts w:eastAsia="Times New Roman"/>
                <w:color w:val="000000"/>
                <w:sz w:val="18"/>
                <w:szCs w:val="18"/>
              </w:rPr>
            </w:pPr>
            <w:r w:rsidRPr="00B60984">
              <w:rPr>
                <w:rFonts w:eastAsia="Times New Roman"/>
                <w:color w:val="000000"/>
                <w:sz w:val="18"/>
                <w:szCs w:val="18"/>
              </w:rPr>
              <w:t>General</w:t>
            </w:r>
          </w:p>
        </w:tc>
        <w:tc>
          <w:tcPr>
            <w:tcW w:w="1053" w:type="pct"/>
            <w:shd w:val="clear" w:color="auto" w:fill="auto"/>
          </w:tcPr>
          <w:p w:rsidR="00B60984" w:rsidRPr="00B60984" w:rsidP="00B60984" w14:paraId="0AD6DD64" w14:textId="77777777">
            <w:pPr>
              <w:spacing w:after="0" w:line="240" w:lineRule="auto"/>
              <w:rPr>
                <w:rFonts w:eastAsia="Times New Roman"/>
                <w:color w:val="000000"/>
                <w:sz w:val="18"/>
                <w:szCs w:val="18"/>
              </w:rPr>
            </w:pPr>
            <w:r w:rsidRPr="00B60984">
              <w:rPr>
                <w:rFonts w:eastAsia="Times New Roman"/>
                <w:color w:val="000000"/>
                <w:sz w:val="18"/>
                <w:szCs w:val="18"/>
              </w:rPr>
              <w:t xml:space="preserve">We request that any changes made to the Allocatee (CDE) Transaction Level Report Data Point Guidance for AMIS (September 2021) document (“Current Guidance”) do not become effective until six months </w:t>
            </w:r>
            <w:r w:rsidRPr="00B60984">
              <w:rPr>
                <w:rFonts w:eastAsia="Times New Roman"/>
                <w:color w:val="000000"/>
                <w:sz w:val="18"/>
                <w:szCs w:val="18"/>
              </w:rPr>
              <w:t>after it is published, or later. By delaying the effective date, allocatees will be allowed adequate time to implement changes where necessary to better address the new/revised reporting fields.</w:t>
            </w:r>
          </w:p>
        </w:tc>
        <w:tc>
          <w:tcPr>
            <w:tcW w:w="819" w:type="pct"/>
            <w:shd w:val="clear" w:color="auto" w:fill="auto"/>
          </w:tcPr>
          <w:p w:rsidR="00B60984" w:rsidRPr="00B60984" w:rsidP="00B60984" w14:paraId="6FF8065D" w14:textId="6F22DB36">
            <w:pPr>
              <w:spacing w:after="0" w:line="240" w:lineRule="auto"/>
              <w:rPr>
                <w:rFonts w:eastAsia="Times New Roman"/>
                <w:color w:val="000000"/>
                <w:sz w:val="18"/>
                <w:szCs w:val="18"/>
              </w:rPr>
            </w:pPr>
            <w:r w:rsidRPr="00B60984">
              <w:rPr>
                <w:rFonts w:eastAsia="Times New Roman"/>
                <w:color w:val="000000"/>
                <w:sz w:val="18"/>
                <w:szCs w:val="18"/>
              </w:rPr>
              <w:t xml:space="preserve">The CDFI Fund </w:t>
            </w:r>
            <w:r w:rsidR="00542EF1">
              <w:rPr>
                <w:rFonts w:eastAsia="Times New Roman"/>
                <w:color w:val="000000"/>
                <w:sz w:val="18"/>
                <w:szCs w:val="18"/>
              </w:rPr>
              <w:t xml:space="preserve">has </w:t>
            </w:r>
            <w:r w:rsidR="00542EF1">
              <w:rPr>
                <w:rFonts w:eastAsia="Times New Roman"/>
                <w:color w:val="000000"/>
                <w:sz w:val="18"/>
                <w:szCs w:val="18"/>
              </w:rPr>
              <w:t>determined</w:t>
            </w:r>
            <w:r w:rsidR="00542EF1">
              <w:rPr>
                <w:rFonts w:eastAsia="Times New Roman"/>
                <w:color w:val="000000"/>
                <w:sz w:val="18"/>
                <w:szCs w:val="18"/>
              </w:rPr>
              <w:t xml:space="preserve"> that a grace period would not be feasible to </w:t>
            </w:r>
            <w:r w:rsidR="00542EF1">
              <w:rPr>
                <w:rFonts w:eastAsia="Times New Roman"/>
                <w:color w:val="000000"/>
                <w:sz w:val="18"/>
                <w:szCs w:val="18"/>
              </w:rPr>
              <w:t>implement</w:t>
            </w:r>
            <w:r w:rsidRPr="00B60984">
              <w:rPr>
                <w:rFonts w:eastAsia="Times New Roman"/>
                <w:color w:val="000000"/>
                <w:sz w:val="18"/>
                <w:szCs w:val="18"/>
              </w:rPr>
              <w:t>, but</w:t>
            </w:r>
            <w:r w:rsidRPr="00B60984">
              <w:rPr>
                <w:rFonts w:eastAsia="Times New Roman"/>
                <w:color w:val="000000"/>
                <w:sz w:val="18"/>
                <w:szCs w:val="18"/>
              </w:rPr>
              <w:t xml:space="preserve"> </w:t>
            </w:r>
            <w:r w:rsidRPr="007C6746">
              <w:rPr>
                <w:rFonts w:eastAsia="Times New Roman"/>
                <w:color w:val="000000"/>
                <w:sz w:val="18"/>
                <w:szCs w:val="18"/>
              </w:rPr>
              <w:t xml:space="preserve">will inform users in a timely manner about </w:t>
            </w:r>
            <w:r>
              <w:rPr>
                <w:rFonts w:eastAsia="Times New Roman"/>
                <w:color w:val="000000"/>
                <w:sz w:val="18"/>
                <w:szCs w:val="18"/>
              </w:rPr>
              <w:t xml:space="preserve">any </w:t>
            </w:r>
            <w:r w:rsidRPr="007C6746">
              <w:rPr>
                <w:rFonts w:eastAsia="Times New Roman"/>
                <w:color w:val="000000"/>
                <w:sz w:val="18"/>
                <w:szCs w:val="18"/>
              </w:rPr>
              <w:t xml:space="preserve">TLR data </w:t>
            </w:r>
            <w:r>
              <w:rPr>
                <w:rFonts w:eastAsia="Times New Roman"/>
                <w:color w:val="000000"/>
                <w:sz w:val="18"/>
                <w:szCs w:val="18"/>
              </w:rPr>
              <w:t>field changes.</w:t>
            </w:r>
          </w:p>
        </w:tc>
      </w:tr>
      <w:tr w14:paraId="6CA8358B" w14:textId="77777777" w:rsidTr="00B86BBF">
        <w:tblPrEx>
          <w:tblW w:w="5000" w:type="pct"/>
          <w:tblLook w:val="04A0"/>
        </w:tblPrEx>
        <w:tc>
          <w:tcPr>
            <w:tcW w:w="468" w:type="pct"/>
            <w:shd w:val="clear" w:color="auto" w:fill="auto"/>
          </w:tcPr>
          <w:p w:rsidR="00B60984" w:rsidRPr="00B60984" w:rsidP="00B60984" w14:paraId="71B1DAE6" w14:textId="77777777">
            <w:pPr>
              <w:spacing w:after="0" w:line="240" w:lineRule="auto"/>
              <w:rPr>
                <w:rFonts w:eastAsia="Times New Roman"/>
                <w:color w:val="000000"/>
                <w:sz w:val="18"/>
                <w:szCs w:val="18"/>
              </w:rPr>
            </w:pPr>
            <w:r w:rsidRPr="00B60984">
              <w:rPr>
                <w:rFonts w:eastAsia="Times New Roman"/>
                <w:color w:val="000000"/>
                <w:sz w:val="18"/>
                <w:szCs w:val="18"/>
              </w:rPr>
              <w:t>18</w:t>
            </w:r>
          </w:p>
        </w:tc>
        <w:tc>
          <w:tcPr>
            <w:tcW w:w="594" w:type="pct"/>
            <w:shd w:val="clear" w:color="auto" w:fill="auto"/>
          </w:tcPr>
          <w:p w:rsidR="00B60984" w:rsidRPr="00B60984" w:rsidP="00B60984" w14:paraId="4F279C32"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3DA000B5"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3E47F1BA"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69113B78"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55234EB2"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468EF647" w14:textId="77777777">
            <w:pPr>
              <w:spacing w:after="0" w:line="240" w:lineRule="auto"/>
              <w:rPr>
                <w:rFonts w:eastAsia="Times New Roman"/>
                <w:color w:val="000000"/>
                <w:sz w:val="18"/>
                <w:szCs w:val="18"/>
              </w:rPr>
            </w:pPr>
            <w:r w:rsidRPr="00B60984">
              <w:rPr>
                <w:rFonts w:eastAsia="Times New Roman"/>
                <w:color w:val="000000"/>
                <w:sz w:val="18"/>
                <w:szCs w:val="18"/>
              </w:rPr>
              <w:t xml:space="preserve">We request that any new fields being proposed, particularly the proposed new ‘Jobs’ fields, would not also become </w:t>
            </w:r>
            <w:r w:rsidRPr="00B60984">
              <w:rPr>
                <w:rFonts w:eastAsia="Times New Roman"/>
                <w:color w:val="000000"/>
                <w:sz w:val="18"/>
                <w:szCs w:val="18"/>
              </w:rPr>
              <w:t>Multi-CDE</w:t>
            </w:r>
            <w:r w:rsidRPr="00B60984">
              <w:rPr>
                <w:rFonts w:eastAsia="Times New Roman"/>
                <w:color w:val="000000"/>
                <w:sz w:val="18"/>
                <w:szCs w:val="18"/>
              </w:rPr>
              <w:t xml:space="preserve"> reporting fields. The NMTC Allocation Application allows CDEs to develop their own customized definitions of “Quality Jobs” and “Accessible Jobs” based on the context of where/how they are investing. If all CDEs </w:t>
            </w:r>
            <w:r w:rsidRPr="00B60984">
              <w:rPr>
                <w:rFonts w:eastAsia="Times New Roman"/>
                <w:color w:val="000000"/>
                <w:sz w:val="18"/>
                <w:szCs w:val="18"/>
              </w:rPr>
              <w:t>in a given</w:t>
            </w:r>
            <w:r w:rsidRPr="00B60984">
              <w:rPr>
                <w:rFonts w:eastAsia="Times New Roman"/>
                <w:color w:val="000000"/>
                <w:sz w:val="18"/>
                <w:szCs w:val="18"/>
              </w:rPr>
              <w:t xml:space="preserve"> transaction need to agree on a single definition of “Quality Jobs” and “Accessible Jobs” for multi-CDE reporting, it would potentially prevent CDEs from participating in certain multi-CDE transactions if their definitions of “Quality Jobs” and “Accessible Jobs” do not align. It would also create a significant additional burden on CDEs with respect to collecting the data itself and coordinating Transaction Level Report (“TLR”) data points with partner CDEs on an annual basis.</w:t>
            </w:r>
          </w:p>
        </w:tc>
        <w:tc>
          <w:tcPr>
            <w:tcW w:w="819" w:type="pct"/>
            <w:shd w:val="clear" w:color="auto" w:fill="auto"/>
          </w:tcPr>
          <w:p w:rsidR="00B60984" w:rsidRPr="00B60984" w:rsidP="00B60984" w14:paraId="758AE60B" w14:textId="7054C87C">
            <w:pPr>
              <w:spacing w:after="0" w:line="240" w:lineRule="auto"/>
              <w:rPr>
                <w:rFonts w:eastAsia="Times New Roman"/>
                <w:color w:val="000000"/>
                <w:sz w:val="18"/>
                <w:szCs w:val="18"/>
              </w:rPr>
            </w:pPr>
            <w:r w:rsidRPr="00B60984">
              <w:rPr>
                <w:rFonts w:eastAsia="Times New Roman"/>
                <w:color w:val="000000"/>
                <w:sz w:val="18"/>
                <w:szCs w:val="18"/>
              </w:rPr>
              <w:t xml:space="preserve">The CDFI Fund encourages upfront coordination for </w:t>
            </w:r>
            <w:r w:rsidR="008026E7">
              <w:rPr>
                <w:rFonts w:eastAsia="Times New Roman"/>
                <w:color w:val="000000"/>
                <w:sz w:val="18"/>
                <w:szCs w:val="18"/>
              </w:rPr>
              <w:t>M</w:t>
            </w:r>
            <w:r w:rsidRPr="00B60984">
              <w:rPr>
                <w:rFonts w:eastAsia="Times New Roman"/>
                <w:color w:val="000000"/>
                <w:sz w:val="18"/>
                <w:szCs w:val="18"/>
              </w:rPr>
              <w:t>ulti-CDE</w:t>
            </w:r>
            <w:r w:rsidRPr="00B60984">
              <w:rPr>
                <w:rFonts w:eastAsia="Times New Roman"/>
                <w:color w:val="000000"/>
                <w:sz w:val="18"/>
                <w:szCs w:val="18"/>
              </w:rPr>
              <w:t xml:space="preserve"> reporting and does not encourage QALICB to report multiple measures for quality jobs for </w:t>
            </w:r>
            <w:r w:rsidR="008026E7">
              <w:rPr>
                <w:rFonts w:eastAsia="Times New Roman"/>
                <w:color w:val="000000"/>
                <w:sz w:val="18"/>
                <w:szCs w:val="18"/>
              </w:rPr>
              <w:t>M</w:t>
            </w:r>
            <w:r w:rsidRPr="00B60984">
              <w:rPr>
                <w:rFonts w:eastAsia="Times New Roman"/>
                <w:color w:val="000000"/>
                <w:sz w:val="18"/>
                <w:szCs w:val="18"/>
              </w:rPr>
              <w:t>ulti-CDE deals.</w:t>
            </w:r>
            <w:r w:rsidR="007C6746">
              <w:rPr>
                <w:rFonts w:eastAsia="Times New Roman"/>
                <w:color w:val="000000"/>
                <w:sz w:val="18"/>
                <w:szCs w:val="18"/>
              </w:rPr>
              <w:t xml:space="preserve"> Further, the fields will remain as </w:t>
            </w:r>
            <w:r w:rsidR="008026E7">
              <w:rPr>
                <w:rFonts w:eastAsia="Times New Roman"/>
                <w:color w:val="000000"/>
                <w:sz w:val="18"/>
                <w:szCs w:val="18"/>
              </w:rPr>
              <w:t>M</w:t>
            </w:r>
            <w:r w:rsidR="007C6746">
              <w:rPr>
                <w:rFonts w:eastAsia="Times New Roman"/>
                <w:color w:val="000000"/>
                <w:sz w:val="18"/>
                <w:szCs w:val="18"/>
              </w:rPr>
              <w:t>ulti-CDE</w:t>
            </w:r>
            <w:r w:rsidR="007C6746">
              <w:rPr>
                <w:rFonts w:eastAsia="Times New Roman"/>
                <w:color w:val="000000"/>
                <w:sz w:val="18"/>
                <w:szCs w:val="18"/>
              </w:rPr>
              <w:t xml:space="preserve"> reporting fields and the CDFI Fund expects CDEs to minimize reporting burden on QALICBs.</w:t>
            </w:r>
          </w:p>
        </w:tc>
      </w:tr>
      <w:tr w14:paraId="4A30E43A" w14:textId="77777777" w:rsidTr="00B86BBF">
        <w:tblPrEx>
          <w:tblW w:w="5000" w:type="pct"/>
          <w:tblLook w:val="04A0"/>
        </w:tblPrEx>
        <w:tc>
          <w:tcPr>
            <w:tcW w:w="468" w:type="pct"/>
            <w:shd w:val="clear" w:color="auto" w:fill="auto"/>
          </w:tcPr>
          <w:p w:rsidR="00B60984" w:rsidRPr="00B60984" w:rsidP="00B60984" w14:paraId="0C1B17F3" w14:textId="77777777">
            <w:pPr>
              <w:spacing w:after="0" w:line="240" w:lineRule="auto"/>
              <w:rPr>
                <w:rFonts w:eastAsia="Times New Roman"/>
                <w:color w:val="000000"/>
                <w:sz w:val="18"/>
                <w:szCs w:val="18"/>
              </w:rPr>
            </w:pPr>
            <w:r w:rsidRPr="00B60984">
              <w:rPr>
                <w:rFonts w:eastAsia="Times New Roman"/>
                <w:color w:val="000000"/>
                <w:sz w:val="18"/>
                <w:szCs w:val="18"/>
              </w:rPr>
              <w:t>19</w:t>
            </w:r>
          </w:p>
        </w:tc>
        <w:tc>
          <w:tcPr>
            <w:tcW w:w="594" w:type="pct"/>
            <w:shd w:val="clear" w:color="auto" w:fill="auto"/>
          </w:tcPr>
          <w:p w:rsidR="00B60984" w:rsidRPr="00B60984" w:rsidP="00B60984" w14:paraId="067281E6"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71EE0601"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53695012"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0A319830"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2BA80E27" w14:textId="77777777">
            <w:pPr>
              <w:spacing w:after="0" w:line="240" w:lineRule="auto"/>
              <w:rPr>
                <w:rFonts w:eastAsia="Times New Roman"/>
                <w:color w:val="000000"/>
                <w:sz w:val="18"/>
                <w:szCs w:val="18"/>
              </w:rPr>
            </w:pPr>
            <w:r w:rsidRPr="00B60984">
              <w:rPr>
                <w:rFonts w:eastAsia="Times New Roman"/>
                <w:color w:val="000000"/>
                <w:sz w:val="18"/>
                <w:szCs w:val="18"/>
              </w:rPr>
              <w:t xml:space="preserve">Project Outcomes </w:t>
            </w:r>
          </w:p>
        </w:tc>
        <w:tc>
          <w:tcPr>
            <w:tcW w:w="1053" w:type="pct"/>
            <w:shd w:val="clear" w:color="auto" w:fill="auto"/>
          </w:tcPr>
          <w:p w:rsidR="00B60984" w:rsidRPr="00B60984" w:rsidP="00B60984" w14:paraId="6933C828" w14:textId="77777777">
            <w:pPr>
              <w:spacing w:after="0" w:line="240" w:lineRule="auto"/>
              <w:rPr>
                <w:rFonts w:eastAsia="Times New Roman"/>
                <w:color w:val="000000"/>
                <w:sz w:val="18"/>
                <w:szCs w:val="18"/>
              </w:rPr>
            </w:pPr>
            <w:r w:rsidRPr="00B60984">
              <w:rPr>
                <w:rFonts w:eastAsia="Times New Roman"/>
                <w:color w:val="000000"/>
                <w:sz w:val="18"/>
                <w:szCs w:val="18"/>
              </w:rPr>
              <w:t xml:space="preserve">With respect to the following new additions to community outcome reporting, we request clarification as to whether these data points are required for all active investments or only for those investments that are originated </w:t>
            </w:r>
            <w:r w:rsidRPr="00B60984">
              <w:rPr>
                <w:rFonts w:eastAsia="Times New Roman"/>
                <w:color w:val="000000"/>
                <w:sz w:val="18"/>
                <w:szCs w:val="18"/>
              </w:rPr>
              <w:t>after the effective date of any new TLR guidance. Making these new data points applicable to transactions that closed before the issuance of new guidance would be administratively burdensome for CDEs to begin collecting any new data that was not contemplated at the time of closing. This would also be needed for any other new data points not mentioned below.</w:t>
            </w:r>
          </w:p>
        </w:tc>
        <w:tc>
          <w:tcPr>
            <w:tcW w:w="819" w:type="pct"/>
            <w:shd w:val="clear" w:color="auto" w:fill="auto"/>
          </w:tcPr>
          <w:p w:rsidR="00B60984" w:rsidRPr="00B60984" w:rsidP="00B60984" w14:paraId="02928625" w14:textId="77777777">
            <w:pPr>
              <w:spacing w:after="0" w:line="240" w:lineRule="auto"/>
              <w:rPr>
                <w:rFonts w:eastAsia="Times New Roman"/>
                <w:color w:val="000000"/>
                <w:sz w:val="18"/>
                <w:szCs w:val="18"/>
              </w:rPr>
            </w:pPr>
            <w:r w:rsidRPr="00B60984">
              <w:rPr>
                <w:rFonts w:eastAsia="Times New Roman"/>
                <w:color w:val="000000"/>
                <w:sz w:val="18"/>
                <w:szCs w:val="18"/>
              </w:rPr>
              <w:t xml:space="preserve">The CDFI Fund will provide additional guidance. </w:t>
            </w:r>
          </w:p>
        </w:tc>
      </w:tr>
      <w:tr w14:paraId="5848872F" w14:textId="77777777" w:rsidTr="00B86BBF">
        <w:tblPrEx>
          <w:tblW w:w="5000" w:type="pct"/>
          <w:tblLook w:val="04A0"/>
        </w:tblPrEx>
        <w:tc>
          <w:tcPr>
            <w:tcW w:w="468" w:type="pct"/>
            <w:shd w:val="clear" w:color="auto" w:fill="auto"/>
          </w:tcPr>
          <w:p w:rsidR="00B60984" w:rsidRPr="00B60984" w:rsidP="00B60984" w14:paraId="50B0540C" w14:textId="77777777">
            <w:pPr>
              <w:spacing w:after="0" w:line="240" w:lineRule="auto"/>
              <w:rPr>
                <w:rFonts w:eastAsia="Times New Roman"/>
                <w:color w:val="000000"/>
                <w:sz w:val="18"/>
                <w:szCs w:val="18"/>
              </w:rPr>
            </w:pPr>
            <w:r w:rsidRPr="00B60984">
              <w:rPr>
                <w:rFonts w:eastAsia="Times New Roman"/>
                <w:color w:val="000000"/>
                <w:sz w:val="18"/>
                <w:szCs w:val="18"/>
              </w:rPr>
              <w:t>20</w:t>
            </w:r>
          </w:p>
        </w:tc>
        <w:tc>
          <w:tcPr>
            <w:tcW w:w="594" w:type="pct"/>
            <w:shd w:val="clear" w:color="auto" w:fill="auto"/>
          </w:tcPr>
          <w:p w:rsidR="00B60984" w:rsidRPr="00B60984" w:rsidP="00B60984" w14:paraId="17952C13"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50C894F7"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3A07AD2F"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538BBBAA"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32AB4F90"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711802E1" w14:textId="77777777">
            <w:pPr>
              <w:spacing w:after="0" w:line="240" w:lineRule="auto"/>
              <w:rPr>
                <w:rFonts w:eastAsia="Times New Roman"/>
                <w:color w:val="000000"/>
                <w:sz w:val="18"/>
                <w:szCs w:val="18"/>
              </w:rPr>
            </w:pPr>
            <w:r w:rsidRPr="00B60984">
              <w:rPr>
                <w:rFonts w:eastAsia="Times New Roman"/>
                <w:color w:val="000000"/>
                <w:sz w:val="18"/>
                <w:szCs w:val="18"/>
              </w:rPr>
              <w:t>We request the CDFI Fund allow the conditional requirement for the new Jobs related fields be expanded to include real estate purposes. Many of the new Jobs related fields are only required for projects with a Purpose = Business, however, the definition of Business and the options under “Type of Business Loan” might mean that the CDFI Fund will not capture quality or accessible job information about real estate projects, even if those projects were funding SPE’s that were leasing back to an operating business.</w:t>
            </w:r>
          </w:p>
        </w:tc>
        <w:tc>
          <w:tcPr>
            <w:tcW w:w="819" w:type="pct"/>
            <w:shd w:val="clear" w:color="auto" w:fill="auto"/>
          </w:tcPr>
          <w:p w:rsidR="00B60984" w:rsidRPr="00B60984" w:rsidP="00B60984" w14:paraId="41335B16" w14:textId="77777777">
            <w:pPr>
              <w:spacing w:after="0" w:line="240" w:lineRule="auto"/>
              <w:rPr>
                <w:rFonts w:eastAsia="Times New Roman"/>
                <w:color w:val="000000"/>
                <w:sz w:val="18"/>
                <w:szCs w:val="18"/>
              </w:rPr>
            </w:pPr>
            <w:r w:rsidRPr="00B60984">
              <w:rPr>
                <w:rFonts w:eastAsia="Times New Roman"/>
                <w:color w:val="000000"/>
                <w:sz w:val="18"/>
                <w:szCs w:val="18"/>
              </w:rPr>
              <w:t>The CDFI Fund will provide additional TLR guidance.</w:t>
            </w:r>
          </w:p>
          <w:p w:rsidR="00B60984" w:rsidRPr="00B60984" w:rsidP="00B60984" w14:paraId="6A3A43D1" w14:textId="77777777">
            <w:pPr>
              <w:spacing w:after="0" w:line="240" w:lineRule="auto"/>
              <w:rPr>
                <w:rFonts w:eastAsia="Times New Roman"/>
                <w:color w:val="000000"/>
                <w:sz w:val="18"/>
                <w:szCs w:val="18"/>
              </w:rPr>
            </w:pPr>
          </w:p>
        </w:tc>
      </w:tr>
      <w:tr w14:paraId="7DB6C535" w14:textId="77777777" w:rsidTr="00B86BBF">
        <w:tblPrEx>
          <w:tblW w:w="5000" w:type="pct"/>
          <w:tblLook w:val="04A0"/>
        </w:tblPrEx>
        <w:tc>
          <w:tcPr>
            <w:tcW w:w="468" w:type="pct"/>
            <w:shd w:val="clear" w:color="auto" w:fill="auto"/>
          </w:tcPr>
          <w:p w:rsidR="00B60984" w:rsidRPr="00B60984" w:rsidP="00B60984" w14:paraId="7177033E" w14:textId="77777777">
            <w:pPr>
              <w:spacing w:after="0" w:line="240" w:lineRule="auto"/>
              <w:rPr>
                <w:rFonts w:eastAsia="Times New Roman"/>
                <w:color w:val="000000"/>
                <w:sz w:val="18"/>
                <w:szCs w:val="18"/>
              </w:rPr>
            </w:pPr>
            <w:r w:rsidRPr="00B60984">
              <w:rPr>
                <w:rFonts w:eastAsia="Times New Roman"/>
                <w:color w:val="000000"/>
                <w:sz w:val="18"/>
                <w:szCs w:val="18"/>
              </w:rPr>
              <w:t>21</w:t>
            </w:r>
          </w:p>
        </w:tc>
        <w:tc>
          <w:tcPr>
            <w:tcW w:w="594" w:type="pct"/>
            <w:shd w:val="clear" w:color="auto" w:fill="auto"/>
          </w:tcPr>
          <w:p w:rsidR="00B60984" w:rsidRPr="00B60984" w:rsidP="00B60984" w14:paraId="7DC4544F"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6FE36564"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01B58F90"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2D513FE3"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210CA044" w14:textId="77777777">
            <w:pPr>
              <w:spacing w:after="0" w:line="240" w:lineRule="auto"/>
              <w:rPr>
                <w:rFonts w:eastAsia="Times New Roman"/>
                <w:color w:val="000000"/>
                <w:sz w:val="18"/>
                <w:szCs w:val="18"/>
              </w:rPr>
            </w:pPr>
            <w:r w:rsidRPr="00B60984">
              <w:rPr>
                <w:rFonts w:eastAsia="Times New Roman"/>
                <w:color w:val="000000"/>
                <w:sz w:val="18"/>
                <w:szCs w:val="18"/>
              </w:rPr>
              <w:t>Project Outcomes</w:t>
            </w:r>
          </w:p>
        </w:tc>
        <w:tc>
          <w:tcPr>
            <w:tcW w:w="1053" w:type="pct"/>
            <w:shd w:val="clear" w:color="auto" w:fill="auto"/>
          </w:tcPr>
          <w:p w:rsidR="00B60984" w:rsidRPr="00B60984" w:rsidP="00B60984" w14:paraId="7C6D0F0A" w14:textId="77777777">
            <w:pPr>
              <w:spacing w:after="0" w:line="240" w:lineRule="auto"/>
              <w:rPr>
                <w:rFonts w:eastAsia="Times New Roman"/>
                <w:color w:val="000000"/>
                <w:sz w:val="18"/>
                <w:szCs w:val="18"/>
              </w:rPr>
            </w:pPr>
            <w:r w:rsidRPr="00B60984">
              <w:rPr>
                <w:rFonts w:eastAsia="Times New Roman"/>
                <w:color w:val="000000"/>
                <w:sz w:val="18"/>
                <w:szCs w:val="18"/>
              </w:rPr>
              <w:t xml:space="preserve">We request that CDEs that do not specifically focus on a particular impact be able to mark the item “N/A” as they may not be able to effectively track the information. That could be true with quality and accessibility of jobs for CDEs not focused on job creation, for example, or for CDEs not focused on environmentally sustainable outcomes but whose projects </w:t>
            </w:r>
            <w:r w:rsidRPr="00B60984">
              <w:rPr>
                <w:rFonts w:eastAsia="Times New Roman"/>
                <w:color w:val="000000"/>
                <w:sz w:val="18"/>
                <w:szCs w:val="18"/>
              </w:rPr>
              <w:t>may have some ancillary environmental sustainability outcomes that are difficult for the qualified active community business (“QALICB”) to monitor or track.</w:t>
            </w:r>
            <w:r w:rsidRPr="00B60984">
              <w:rPr>
                <w:rFonts w:eastAsia="Times New Roman"/>
                <w:color w:val="000000"/>
                <w:sz w:val="18"/>
                <w:szCs w:val="18"/>
              </w:rPr>
              <w:br/>
              <w:t>o If the recommendation above to allow CDEs not specifically focused on a particular outcome to select “N/A” for that outcome is not accepted, then with regard to CDEs whose QALICBs focus on developing affordable for-sale housing, the definition should include homes built to Energy Star Standards or LEED certification standards, or built with solar panels or other design features that result in energy savings.</w:t>
            </w:r>
          </w:p>
        </w:tc>
        <w:tc>
          <w:tcPr>
            <w:tcW w:w="819" w:type="pct"/>
            <w:shd w:val="clear" w:color="auto" w:fill="auto"/>
          </w:tcPr>
          <w:p w:rsidR="00B60984" w:rsidRPr="00B60984" w:rsidP="00B60984" w14:paraId="7EE6F7A1" w14:textId="77777777">
            <w:pPr>
              <w:spacing w:after="0" w:line="240" w:lineRule="auto"/>
              <w:rPr>
                <w:rFonts w:eastAsia="Times New Roman"/>
                <w:color w:val="000000"/>
                <w:sz w:val="18"/>
                <w:szCs w:val="18"/>
              </w:rPr>
            </w:pPr>
            <w:r w:rsidRPr="00B60984">
              <w:rPr>
                <w:rFonts w:eastAsia="Times New Roman"/>
                <w:color w:val="000000"/>
                <w:sz w:val="18"/>
                <w:szCs w:val="18"/>
              </w:rPr>
              <w:t>The CDFI Fund is seeking consistency in Community Outcome data. There is no requirement for “N/A” value and users can select 0 (numeric) and N/A (text) options. Energy savings example could be included in the existing data point.</w:t>
            </w:r>
          </w:p>
        </w:tc>
      </w:tr>
      <w:tr w14:paraId="0D531018" w14:textId="77777777" w:rsidTr="00B86BBF">
        <w:tblPrEx>
          <w:tblW w:w="5000" w:type="pct"/>
          <w:tblLook w:val="04A0"/>
        </w:tblPrEx>
        <w:tc>
          <w:tcPr>
            <w:tcW w:w="468" w:type="pct"/>
            <w:shd w:val="clear" w:color="auto" w:fill="auto"/>
          </w:tcPr>
          <w:p w:rsidR="00B60984" w:rsidRPr="00B60984" w:rsidP="00B60984" w14:paraId="67B88DD8" w14:textId="77777777">
            <w:pPr>
              <w:spacing w:after="0" w:line="240" w:lineRule="auto"/>
              <w:rPr>
                <w:rFonts w:eastAsia="Times New Roman"/>
                <w:color w:val="000000"/>
                <w:sz w:val="18"/>
                <w:szCs w:val="18"/>
              </w:rPr>
            </w:pPr>
            <w:r w:rsidRPr="00B60984">
              <w:rPr>
                <w:rFonts w:eastAsia="Times New Roman"/>
                <w:color w:val="000000"/>
                <w:sz w:val="18"/>
                <w:szCs w:val="18"/>
              </w:rPr>
              <w:t>22</w:t>
            </w:r>
          </w:p>
        </w:tc>
        <w:tc>
          <w:tcPr>
            <w:tcW w:w="594" w:type="pct"/>
            <w:shd w:val="clear" w:color="auto" w:fill="auto"/>
          </w:tcPr>
          <w:p w:rsidR="00B60984" w:rsidRPr="00B60984" w:rsidP="00B60984" w14:paraId="2E268098"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16201AFE"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68B83898"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7E601381"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46D93878" w14:textId="77777777">
            <w:pPr>
              <w:spacing w:after="0" w:line="240" w:lineRule="auto"/>
              <w:rPr>
                <w:rFonts w:eastAsia="Times New Roman"/>
                <w:color w:val="000000"/>
                <w:sz w:val="18"/>
                <w:szCs w:val="18"/>
              </w:rPr>
            </w:pPr>
            <w:r w:rsidRPr="00B60984">
              <w:rPr>
                <w:rFonts w:eastAsia="Times New Roman"/>
                <w:color w:val="000000"/>
                <w:sz w:val="18"/>
                <w:szCs w:val="18"/>
              </w:rPr>
              <w:t>Fees and Transaction Costs</w:t>
            </w:r>
          </w:p>
        </w:tc>
        <w:tc>
          <w:tcPr>
            <w:tcW w:w="1053" w:type="pct"/>
            <w:shd w:val="clear" w:color="auto" w:fill="auto"/>
          </w:tcPr>
          <w:p w:rsidR="00B60984" w:rsidRPr="00B60984" w:rsidP="00B60984" w14:paraId="16583022" w14:textId="77777777">
            <w:pPr>
              <w:spacing w:after="0" w:line="240" w:lineRule="auto"/>
              <w:rPr>
                <w:rFonts w:eastAsia="Times New Roman"/>
                <w:color w:val="000000"/>
                <w:sz w:val="18"/>
                <w:szCs w:val="18"/>
              </w:rPr>
            </w:pPr>
            <w:r w:rsidRPr="00B60984">
              <w:rPr>
                <w:rFonts w:eastAsia="Times New Roman"/>
                <w:color w:val="000000"/>
                <w:sz w:val="18"/>
                <w:szCs w:val="18"/>
              </w:rPr>
              <w:t>We request that if the CDFI Fund is going to add new data points, it makes every effort to mirror Table D2 from the NMTC application. Also, we request that the CDFI Fund clarify which new data points will be added to the Annual Update fields.</w:t>
            </w:r>
            <w:r w:rsidRPr="00B60984">
              <w:rPr>
                <w:rFonts w:eastAsia="Times New Roman"/>
                <w:color w:val="000000"/>
                <w:sz w:val="18"/>
                <w:szCs w:val="18"/>
              </w:rPr>
              <w:br/>
              <w:t xml:space="preserve">o </w:t>
            </w:r>
            <w:r w:rsidRPr="00B60984">
              <w:rPr>
                <w:rFonts w:eastAsia="Times New Roman"/>
                <w:color w:val="000000"/>
                <w:sz w:val="18"/>
                <w:szCs w:val="18"/>
              </w:rPr>
              <w:t>To</w:t>
            </w:r>
            <w:r w:rsidRPr="00B60984">
              <w:rPr>
                <w:rFonts w:eastAsia="Times New Roman"/>
                <w:color w:val="000000"/>
                <w:sz w:val="18"/>
                <w:szCs w:val="18"/>
              </w:rPr>
              <w:t xml:space="preserve"> align with Table D2, which allows for selection of payor, please clarify who the payor of the various fees is. Without clarity on identification of the payor, there is risk for double counting fees and misalignment. For example, a CDE may engage a third party to support transaction closing. The third party is then paid from the “Upfront Fee to the CDE.” The amounts paid to the third party would then be </w:t>
            </w:r>
            <w:r w:rsidRPr="00B60984">
              <w:rPr>
                <w:rFonts w:eastAsia="Times New Roman"/>
                <w:color w:val="000000"/>
                <w:sz w:val="18"/>
                <w:szCs w:val="18"/>
              </w:rPr>
              <w:t>included under “Upfront Fees to Unaffiliate Third Parties" and “Upfront Fee to the CDE” because the payor of such fee was not identified.</w:t>
            </w:r>
          </w:p>
        </w:tc>
        <w:tc>
          <w:tcPr>
            <w:tcW w:w="819" w:type="pct"/>
            <w:shd w:val="clear" w:color="auto" w:fill="auto"/>
          </w:tcPr>
          <w:p w:rsidR="00B60984" w:rsidRPr="00B60984" w:rsidP="00B60984" w14:paraId="503B4857" w14:textId="3414BD1B">
            <w:pPr>
              <w:spacing w:after="0" w:line="240" w:lineRule="auto"/>
              <w:rPr>
                <w:rFonts w:eastAsia="Times New Roman"/>
                <w:color w:val="000000"/>
                <w:sz w:val="18"/>
                <w:szCs w:val="18"/>
              </w:rPr>
            </w:pPr>
            <w:r w:rsidRPr="00B60984">
              <w:rPr>
                <w:rFonts w:eastAsia="Times New Roman"/>
                <w:color w:val="000000"/>
                <w:sz w:val="18"/>
                <w:szCs w:val="18"/>
              </w:rPr>
              <w:t>The CDFI Fund will include additional guidance. Fees remain at origination</w:t>
            </w:r>
            <w:r w:rsidR="00F345AF">
              <w:rPr>
                <w:rFonts w:eastAsia="Times New Roman"/>
                <w:color w:val="000000"/>
                <w:sz w:val="18"/>
                <w:szCs w:val="18"/>
              </w:rPr>
              <w:t>,</w:t>
            </w:r>
            <w:r w:rsidRPr="00B60984">
              <w:rPr>
                <w:rFonts w:eastAsia="Times New Roman"/>
                <w:color w:val="000000"/>
                <w:sz w:val="18"/>
                <w:szCs w:val="18"/>
              </w:rPr>
              <w:t xml:space="preserve"> not in annual updates.</w:t>
            </w:r>
          </w:p>
        </w:tc>
      </w:tr>
      <w:tr w14:paraId="115E8AB6" w14:textId="77777777" w:rsidTr="00B86BBF">
        <w:tblPrEx>
          <w:tblW w:w="5000" w:type="pct"/>
          <w:tblLook w:val="04A0"/>
        </w:tblPrEx>
        <w:tc>
          <w:tcPr>
            <w:tcW w:w="468" w:type="pct"/>
            <w:shd w:val="clear" w:color="auto" w:fill="auto"/>
          </w:tcPr>
          <w:p w:rsidR="00B60984" w:rsidRPr="00B60984" w:rsidP="00B60984" w14:paraId="469D1E11" w14:textId="77777777">
            <w:pPr>
              <w:spacing w:after="0" w:line="240" w:lineRule="auto"/>
              <w:rPr>
                <w:rFonts w:eastAsia="Times New Roman"/>
                <w:color w:val="000000"/>
                <w:sz w:val="18"/>
                <w:szCs w:val="18"/>
              </w:rPr>
            </w:pPr>
            <w:r w:rsidRPr="00B60984">
              <w:rPr>
                <w:rFonts w:eastAsia="Times New Roman"/>
                <w:color w:val="000000"/>
                <w:sz w:val="18"/>
                <w:szCs w:val="18"/>
              </w:rPr>
              <w:t>23</w:t>
            </w:r>
          </w:p>
        </w:tc>
        <w:tc>
          <w:tcPr>
            <w:tcW w:w="594" w:type="pct"/>
            <w:shd w:val="clear" w:color="auto" w:fill="auto"/>
          </w:tcPr>
          <w:p w:rsidR="00B60984" w:rsidRPr="00B60984" w:rsidP="00B60984" w14:paraId="1497589B"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0D2EF167"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5CEFADA5"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71E579BE"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0B7C4FF5" w14:textId="77777777">
            <w:pPr>
              <w:spacing w:after="0" w:line="240" w:lineRule="auto"/>
              <w:rPr>
                <w:rFonts w:eastAsia="Times New Roman"/>
                <w:color w:val="000000"/>
                <w:sz w:val="18"/>
                <w:szCs w:val="18"/>
              </w:rPr>
            </w:pPr>
            <w:r w:rsidRPr="00B60984">
              <w:rPr>
                <w:rFonts w:eastAsia="Times New Roman"/>
                <w:color w:val="000000"/>
                <w:sz w:val="18"/>
                <w:szCs w:val="18"/>
              </w:rPr>
              <w:t>Reporting Period Activity</w:t>
            </w:r>
          </w:p>
        </w:tc>
        <w:tc>
          <w:tcPr>
            <w:tcW w:w="1053" w:type="pct"/>
            <w:shd w:val="clear" w:color="auto" w:fill="auto"/>
          </w:tcPr>
          <w:p w:rsidR="00B60984" w:rsidRPr="00B60984" w:rsidP="00B60984" w14:paraId="3B142D11" w14:textId="77777777">
            <w:pPr>
              <w:spacing w:after="0" w:line="240" w:lineRule="auto"/>
              <w:rPr>
                <w:rFonts w:eastAsia="Times New Roman"/>
                <w:color w:val="000000"/>
                <w:sz w:val="18"/>
                <w:szCs w:val="18"/>
              </w:rPr>
            </w:pPr>
            <w:r w:rsidRPr="00B60984">
              <w:rPr>
                <w:rFonts w:eastAsia="Times New Roman"/>
                <w:color w:val="000000"/>
                <w:sz w:val="18"/>
                <w:szCs w:val="18"/>
              </w:rPr>
              <w:t>Page 54 – “Dollar Amount Used to Finance Non-Real Estate Activities” – We request the CDFI Fund provide guidance on whether expenditures by an operating business QALICB to fit-out premises that the QALICB is leasing from a separate real estate business (whether affiliated or not with the QALICB) qualify as “Non-Real Estate Activities."</w:t>
            </w:r>
          </w:p>
        </w:tc>
        <w:tc>
          <w:tcPr>
            <w:tcW w:w="819" w:type="pct"/>
            <w:shd w:val="clear" w:color="auto" w:fill="auto"/>
          </w:tcPr>
          <w:p w:rsidR="00B60984" w:rsidRPr="00B60984" w:rsidP="00B60984" w14:paraId="1011AE75" w14:textId="6E5BC021">
            <w:pPr>
              <w:spacing w:after="0" w:line="240" w:lineRule="auto"/>
              <w:rPr>
                <w:rFonts w:eastAsia="Times New Roman"/>
                <w:color w:val="000000"/>
                <w:sz w:val="18"/>
                <w:szCs w:val="18"/>
              </w:rPr>
            </w:pPr>
            <w:r w:rsidRPr="00B60984">
              <w:rPr>
                <w:rFonts w:eastAsia="Times New Roman"/>
                <w:color w:val="000000"/>
                <w:sz w:val="18"/>
                <w:szCs w:val="18"/>
              </w:rPr>
              <w:t xml:space="preserve">The CDFI Fund will make no revision to guidance at this time on this </w:t>
            </w:r>
            <w:r w:rsidRPr="00B60984">
              <w:rPr>
                <w:rFonts w:eastAsia="Times New Roman"/>
                <w:color w:val="000000"/>
                <w:sz w:val="18"/>
                <w:szCs w:val="18"/>
              </w:rPr>
              <w:t xml:space="preserve">topic </w:t>
            </w:r>
            <w:r w:rsidR="00FB6B3C">
              <w:rPr>
                <w:rFonts w:eastAsia="Times New Roman"/>
                <w:color w:val="000000"/>
                <w:sz w:val="18"/>
                <w:szCs w:val="18"/>
              </w:rPr>
              <w:t>.</w:t>
            </w:r>
          </w:p>
        </w:tc>
      </w:tr>
      <w:tr w14:paraId="439E1F04" w14:textId="77777777" w:rsidTr="00B86BBF">
        <w:tblPrEx>
          <w:tblW w:w="5000" w:type="pct"/>
          <w:tblLook w:val="04A0"/>
        </w:tblPrEx>
        <w:tc>
          <w:tcPr>
            <w:tcW w:w="468" w:type="pct"/>
            <w:shd w:val="clear" w:color="auto" w:fill="auto"/>
          </w:tcPr>
          <w:p w:rsidR="00B60984" w:rsidRPr="00B60984" w:rsidP="00B60984" w14:paraId="72FC112D" w14:textId="77777777">
            <w:pPr>
              <w:spacing w:after="0" w:line="240" w:lineRule="auto"/>
              <w:rPr>
                <w:rFonts w:eastAsia="Times New Roman"/>
                <w:color w:val="000000"/>
                <w:sz w:val="18"/>
                <w:szCs w:val="18"/>
              </w:rPr>
            </w:pPr>
            <w:r w:rsidRPr="00B60984">
              <w:rPr>
                <w:rFonts w:eastAsia="Times New Roman"/>
                <w:color w:val="000000"/>
                <w:sz w:val="18"/>
                <w:szCs w:val="18"/>
              </w:rPr>
              <w:t>24</w:t>
            </w:r>
          </w:p>
        </w:tc>
        <w:tc>
          <w:tcPr>
            <w:tcW w:w="594" w:type="pct"/>
            <w:shd w:val="clear" w:color="auto" w:fill="auto"/>
          </w:tcPr>
          <w:p w:rsidR="00B60984" w:rsidRPr="00B60984" w:rsidP="00B60984" w14:paraId="4B2BD9DE"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6C51F07D"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1E83D942"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4332778B"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0220DCAD" w14:textId="77777777">
            <w:pPr>
              <w:spacing w:after="0" w:line="240" w:lineRule="auto"/>
              <w:rPr>
                <w:rFonts w:eastAsia="Times New Roman"/>
                <w:color w:val="000000"/>
                <w:sz w:val="18"/>
                <w:szCs w:val="18"/>
              </w:rPr>
            </w:pPr>
            <w:r w:rsidRPr="00B60984">
              <w:rPr>
                <w:rFonts w:eastAsia="Times New Roman"/>
                <w:color w:val="000000"/>
                <w:sz w:val="18"/>
                <w:szCs w:val="18"/>
              </w:rPr>
              <w:t>Reporting Period Activity</w:t>
            </w:r>
          </w:p>
        </w:tc>
        <w:tc>
          <w:tcPr>
            <w:tcW w:w="1053" w:type="pct"/>
            <w:shd w:val="clear" w:color="auto" w:fill="auto"/>
          </w:tcPr>
          <w:p w:rsidR="00B60984" w:rsidRPr="00B60984" w:rsidP="00B60984" w14:paraId="41BE8FC5" w14:textId="77777777">
            <w:pPr>
              <w:spacing w:after="0" w:line="240" w:lineRule="auto"/>
              <w:rPr>
                <w:rFonts w:eastAsia="Times New Roman"/>
                <w:color w:val="000000"/>
                <w:sz w:val="18"/>
                <w:szCs w:val="18"/>
              </w:rPr>
            </w:pPr>
            <w:r w:rsidRPr="00B60984">
              <w:rPr>
                <w:rFonts w:eastAsia="Times New Roman"/>
                <w:color w:val="000000"/>
                <w:sz w:val="18"/>
                <w:szCs w:val="18"/>
              </w:rPr>
              <w:t xml:space="preserve">Page 57 – “Projected Residual Value of QLICI that May be Obtained by the QALICB” – We request the CDFI Fund provide clarification on whether the residual value of the qualified low-income community investment (“QLICI”) is to be obtained by the QALICB and/or QALICB Affiliate. This could greatly change the residual value projected from that of the B-Note (typically aligned with the NMTC equity) that could be forgiven after exercise of the put option and resulting in value at the QALICB versus a QALICB Affiliate that typically acquires the investment fund </w:t>
            </w:r>
            <w:r w:rsidRPr="00B60984">
              <w:rPr>
                <w:rFonts w:eastAsia="Times New Roman"/>
                <w:color w:val="000000"/>
                <w:sz w:val="18"/>
                <w:szCs w:val="18"/>
              </w:rPr>
              <w:t>as a result of</w:t>
            </w:r>
            <w:r w:rsidRPr="00B60984">
              <w:rPr>
                <w:rFonts w:eastAsia="Times New Roman"/>
                <w:color w:val="000000"/>
                <w:sz w:val="18"/>
                <w:szCs w:val="18"/>
              </w:rPr>
              <w:t xml:space="preserve"> the put, which would be the entire QLICI, less the put fee.</w:t>
            </w:r>
          </w:p>
        </w:tc>
        <w:tc>
          <w:tcPr>
            <w:tcW w:w="819" w:type="pct"/>
            <w:shd w:val="clear" w:color="auto" w:fill="auto"/>
          </w:tcPr>
          <w:p w:rsidR="00B60984" w:rsidRPr="00B60984" w:rsidP="00B60984" w14:paraId="469E57E1" w14:textId="77777777">
            <w:pPr>
              <w:spacing w:after="0" w:line="240" w:lineRule="auto"/>
              <w:rPr>
                <w:rFonts w:eastAsia="Times New Roman"/>
                <w:color w:val="000000"/>
                <w:sz w:val="18"/>
                <w:szCs w:val="18"/>
              </w:rPr>
            </w:pPr>
            <w:r w:rsidRPr="00B60984">
              <w:rPr>
                <w:rFonts w:eastAsia="Times New Roman"/>
                <w:color w:val="000000"/>
                <w:sz w:val="18"/>
                <w:szCs w:val="18"/>
              </w:rPr>
              <w:t>The CDFI Fund will add “QALICB and/or QALICB Affiliate” to the data field label and guidance and will update Closeout Reports to reflect new language for consistency.</w:t>
            </w:r>
          </w:p>
        </w:tc>
      </w:tr>
      <w:tr w14:paraId="0FC666E5" w14:textId="77777777" w:rsidTr="00B86BBF">
        <w:tblPrEx>
          <w:tblW w:w="5000" w:type="pct"/>
          <w:tblLook w:val="04A0"/>
        </w:tblPrEx>
        <w:tc>
          <w:tcPr>
            <w:tcW w:w="468" w:type="pct"/>
            <w:shd w:val="clear" w:color="auto" w:fill="auto"/>
          </w:tcPr>
          <w:p w:rsidR="00B60984" w:rsidRPr="00B60984" w:rsidP="00B60984" w14:paraId="2418B2D9" w14:textId="77777777">
            <w:pPr>
              <w:spacing w:after="0" w:line="240" w:lineRule="auto"/>
              <w:rPr>
                <w:rFonts w:eastAsia="Times New Roman"/>
                <w:color w:val="000000"/>
                <w:sz w:val="18"/>
                <w:szCs w:val="18"/>
              </w:rPr>
            </w:pPr>
            <w:r w:rsidRPr="00B60984">
              <w:rPr>
                <w:rFonts w:eastAsia="Times New Roman"/>
                <w:color w:val="000000"/>
                <w:sz w:val="18"/>
                <w:szCs w:val="18"/>
              </w:rPr>
              <w:t>25</w:t>
            </w:r>
          </w:p>
        </w:tc>
        <w:tc>
          <w:tcPr>
            <w:tcW w:w="594" w:type="pct"/>
            <w:shd w:val="clear" w:color="auto" w:fill="auto"/>
          </w:tcPr>
          <w:p w:rsidR="00B60984" w:rsidRPr="00B60984" w:rsidP="00B60984" w14:paraId="6291F2DD"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141F05CB"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052DF9BE"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4FD29BF4"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5DB5C6BE" w14:textId="77777777">
            <w:pPr>
              <w:spacing w:after="0" w:line="240" w:lineRule="auto"/>
              <w:rPr>
                <w:rFonts w:eastAsia="Times New Roman"/>
                <w:color w:val="000000"/>
                <w:sz w:val="18"/>
                <w:szCs w:val="18"/>
              </w:rPr>
            </w:pPr>
            <w:r w:rsidRPr="00B60984">
              <w:rPr>
                <w:rFonts w:eastAsia="Times New Roman"/>
                <w:color w:val="000000"/>
                <w:sz w:val="18"/>
                <w:szCs w:val="18"/>
              </w:rPr>
              <w:t>Transaction Mandatory Info</w:t>
            </w:r>
          </w:p>
        </w:tc>
        <w:tc>
          <w:tcPr>
            <w:tcW w:w="1053" w:type="pct"/>
            <w:shd w:val="clear" w:color="auto" w:fill="auto"/>
          </w:tcPr>
          <w:p w:rsidR="00B60984" w:rsidRPr="00B60984" w:rsidP="00B60984" w14:paraId="21963E78" w14:textId="5852E143">
            <w:pPr>
              <w:spacing w:after="0" w:line="240" w:lineRule="auto"/>
              <w:rPr>
                <w:rFonts w:eastAsia="Times New Roman"/>
                <w:color w:val="000000"/>
                <w:sz w:val="18"/>
                <w:szCs w:val="18"/>
              </w:rPr>
            </w:pPr>
            <w:r w:rsidRPr="00B60984">
              <w:rPr>
                <w:rFonts w:eastAsia="Times New Roman"/>
                <w:color w:val="000000"/>
                <w:sz w:val="18"/>
                <w:szCs w:val="18"/>
              </w:rPr>
              <w:t xml:space="preserve">Page 61 – “Associated Project” – We request the CDFI Fund clarify </w:t>
            </w:r>
            <w:r w:rsidRPr="00B60984">
              <w:rPr>
                <w:rFonts w:eastAsia="Times New Roman"/>
                <w:color w:val="000000"/>
                <w:sz w:val="18"/>
                <w:szCs w:val="18"/>
              </w:rPr>
              <w:t>whether the Conditional Requirement field is asking if the reporting CDE used funds from another CDE to make the QLICI? If yes, then should the QLICI Type = QALICB?</w:t>
            </w:r>
          </w:p>
        </w:tc>
        <w:tc>
          <w:tcPr>
            <w:tcW w:w="819" w:type="pct"/>
            <w:shd w:val="clear" w:color="auto" w:fill="auto"/>
          </w:tcPr>
          <w:p w:rsidR="00B60984" w:rsidRPr="00B60984" w:rsidP="00B60984" w14:paraId="1BE73419" w14:textId="77777777">
            <w:pPr>
              <w:spacing w:after="0" w:line="240" w:lineRule="auto"/>
              <w:rPr>
                <w:rFonts w:eastAsia="Times New Roman"/>
                <w:color w:val="000000"/>
                <w:sz w:val="18"/>
                <w:szCs w:val="18"/>
              </w:rPr>
            </w:pPr>
            <w:r w:rsidRPr="00B60984">
              <w:rPr>
                <w:rFonts w:eastAsia="Times New Roman"/>
                <w:color w:val="000000"/>
                <w:sz w:val="18"/>
                <w:szCs w:val="18"/>
              </w:rPr>
              <w:t>The CDFI Fund will update guidance.</w:t>
            </w:r>
          </w:p>
        </w:tc>
      </w:tr>
      <w:tr w14:paraId="3BCC46AA" w14:textId="77777777" w:rsidTr="00B86BBF">
        <w:tblPrEx>
          <w:tblW w:w="5000" w:type="pct"/>
          <w:tblLook w:val="04A0"/>
        </w:tblPrEx>
        <w:tc>
          <w:tcPr>
            <w:tcW w:w="468" w:type="pct"/>
            <w:shd w:val="clear" w:color="auto" w:fill="auto"/>
          </w:tcPr>
          <w:p w:rsidR="00B60984" w:rsidRPr="00B60984" w:rsidP="00B60984" w14:paraId="4966216E" w14:textId="77777777">
            <w:pPr>
              <w:spacing w:after="0" w:line="240" w:lineRule="auto"/>
              <w:rPr>
                <w:rFonts w:eastAsia="Times New Roman"/>
                <w:color w:val="000000"/>
                <w:sz w:val="18"/>
                <w:szCs w:val="18"/>
              </w:rPr>
            </w:pPr>
            <w:r w:rsidRPr="00B60984">
              <w:rPr>
                <w:rFonts w:eastAsia="Times New Roman"/>
                <w:color w:val="000000"/>
                <w:sz w:val="18"/>
                <w:szCs w:val="18"/>
              </w:rPr>
              <w:t>26</w:t>
            </w:r>
          </w:p>
        </w:tc>
        <w:tc>
          <w:tcPr>
            <w:tcW w:w="594" w:type="pct"/>
            <w:shd w:val="clear" w:color="auto" w:fill="auto"/>
          </w:tcPr>
          <w:p w:rsidR="00B60984" w:rsidRPr="00B60984" w:rsidP="00B60984" w14:paraId="6E1D4250"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7385F098"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746BE908"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6AD7D4CF"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750C019B" w14:textId="77777777">
            <w:pPr>
              <w:spacing w:after="0" w:line="240" w:lineRule="auto"/>
              <w:rPr>
                <w:rFonts w:eastAsia="Times New Roman"/>
                <w:color w:val="000000"/>
                <w:sz w:val="18"/>
                <w:szCs w:val="18"/>
              </w:rPr>
            </w:pPr>
            <w:r w:rsidRPr="00B60984">
              <w:rPr>
                <w:rFonts w:eastAsia="Times New Roman"/>
                <w:color w:val="000000"/>
                <w:sz w:val="18"/>
                <w:szCs w:val="18"/>
              </w:rPr>
              <w:t>Total Project Cost &amp; Underwriting Criteria</w:t>
            </w:r>
          </w:p>
        </w:tc>
        <w:tc>
          <w:tcPr>
            <w:tcW w:w="1053" w:type="pct"/>
            <w:shd w:val="clear" w:color="auto" w:fill="auto"/>
          </w:tcPr>
          <w:p w:rsidR="00B60984" w:rsidRPr="00B60984" w:rsidP="00B60984" w14:paraId="68A6939D" w14:textId="77777777">
            <w:pPr>
              <w:spacing w:after="0" w:line="240" w:lineRule="auto"/>
              <w:rPr>
                <w:rFonts w:eastAsia="Times New Roman"/>
                <w:color w:val="000000"/>
                <w:sz w:val="18"/>
                <w:szCs w:val="18"/>
              </w:rPr>
            </w:pPr>
            <w:r w:rsidRPr="00B60984">
              <w:rPr>
                <w:rFonts w:eastAsia="Times New Roman"/>
                <w:color w:val="000000"/>
                <w:sz w:val="18"/>
                <w:szCs w:val="18"/>
              </w:rPr>
              <w:t>Page 62 – “Total Project Cost Public Sources” – We request the CDFI Fund clarify that the intent of the new guidance is to provide the projected cost sources at “project completion” and not the actual sources in place at “closing”. For instance, the Historic Tax Credit (“HTC”) equity for a project is typically bridged by a direct bank loan at financial closing. While strict underwriting and risk mitigants are put in place, the HTC equity is not a guaranteed source until construction completion and a subsequent approval by the National Park Service. As a result, the sources at financial closing for a twinned NMTC/HTC investment are different from those at project completion.</w:t>
            </w:r>
          </w:p>
        </w:tc>
        <w:tc>
          <w:tcPr>
            <w:tcW w:w="819" w:type="pct"/>
            <w:shd w:val="clear" w:color="auto" w:fill="auto"/>
          </w:tcPr>
          <w:p w:rsidR="00B60984" w:rsidRPr="00B60984" w:rsidP="00B60984" w14:paraId="5979D50F" w14:textId="77777777">
            <w:pPr>
              <w:spacing w:after="0" w:line="240" w:lineRule="auto"/>
              <w:rPr>
                <w:rFonts w:eastAsia="Times New Roman"/>
                <w:color w:val="000000"/>
                <w:sz w:val="18"/>
                <w:szCs w:val="18"/>
              </w:rPr>
            </w:pPr>
            <w:r w:rsidRPr="00B60984">
              <w:rPr>
                <w:rFonts w:eastAsia="Times New Roman"/>
                <w:color w:val="000000"/>
                <w:sz w:val="18"/>
                <w:szCs w:val="18"/>
              </w:rPr>
              <w:t xml:space="preserve">The CDFI Fund seeks to capture public sources regardless of timing and to provide additional guidance on the topic. </w:t>
            </w:r>
          </w:p>
          <w:p w:rsidR="00B60984" w:rsidRPr="00B60984" w:rsidP="00B60984" w14:paraId="31EF9749" w14:textId="77777777">
            <w:pPr>
              <w:spacing w:after="0" w:line="240" w:lineRule="auto"/>
              <w:rPr>
                <w:rFonts w:eastAsia="Times New Roman"/>
                <w:color w:val="000000"/>
                <w:sz w:val="18"/>
                <w:szCs w:val="18"/>
              </w:rPr>
            </w:pPr>
          </w:p>
          <w:p w:rsidR="00B60984" w:rsidRPr="00B60984" w:rsidP="00B60984" w14:paraId="4F8BA881" w14:textId="77777777">
            <w:pPr>
              <w:spacing w:after="0" w:line="240" w:lineRule="auto"/>
              <w:rPr>
                <w:rFonts w:eastAsia="Times New Roman"/>
                <w:color w:val="000000"/>
                <w:sz w:val="18"/>
                <w:szCs w:val="18"/>
              </w:rPr>
            </w:pPr>
          </w:p>
        </w:tc>
      </w:tr>
      <w:tr w14:paraId="6BED0BD4" w14:textId="77777777" w:rsidTr="00B86BBF">
        <w:tblPrEx>
          <w:tblW w:w="5000" w:type="pct"/>
          <w:tblLook w:val="04A0"/>
        </w:tblPrEx>
        <w:tc>
          <w:tcPr>
            <w:tcW w:w="468" w:type="pct"/>
            <w:shd w:val="clear" w:color="auto" w:fill="auto"/>
          </w:tcPr>
          <w:p w:rsidR="00B60984" w:rsidRPr="00B60984" w:rsidP="00B60984" w14:paraId="26BFAD85" w14:textId="77777777">
            <w:pPr>
              <w:spacing w:after="0" w:line="240" w:lineRule="auto"/>
              <w:rPr>
                <w:rFonts w:eastAsia="Times New Roman"/>
                <w:color w:val="000000"/>
                <w:sz w:val="18"/>
                <w:szCs w:val="18"/>
              </w:rPr>
            </w:pPr>
            <w:r w:rsidRPr="00B60984">
              <w:rPr>
                <w:rFonts w:eastAsia="Times New Roman"/>
                <w:color w:val="000000"/>
                <w:sz w:val="18"/>
                <w:szCs w:val="18"/>
              </w:rPr>
              <w:t>27</w:t>
            </w:r>
          </w:p>
        </w:tc>
        <w:tc>
          <w:tcPr>
            <w:tcW w:w="594" w:type="pct"/>
            <w:shd w:val="clear" w:color="auto" w:fill="auto"/>
          </w:tcPr>
          <w:p w:rsidR="00B60984" w:rsidRPr="00B60984" w:rsidP="00B60984" w14:paraId="22707EEA"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50C1A84E"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30629540"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510474B7"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32FE80B9" w14:textId="77777777">
            <w:pPr>
              <w:spacing w:after="0" w:line="240" w:lineRule="auto"/>
              <w:rPr>
                <w:rFonts w:eastAsia="Times New Roman"/>
                <w:color w:val="000000"/>
                <w:sz w:val="18"/>
                <w:szCs w:val="18"/>
              </w:rPr>
            </w:pPr>
            <w:r w:rsidRPr="00B60984">
              <w:rPr>
                <w:rFonts w:eastAsia="Times New Roman"/>
                <w:color w:val="000000"/>
                <w:sz w:val="18"/>
                <w:szCs w:val="18"/>
              </w:rPr>
              <w:t>Depth of Public Subsidy Data Points</w:t>
            </w:r>
          </w:p>
        </w:tc>
        <w:tc>
          <w:tcPr>
            <w:tcW w:w="1053" w:type="pct"/>
            <w:shd w:val="clear" w:color="auto" w:fill="auto"/>
          </w:tcPr>
          <w:p w:rsidR="00B60984" w:rsidRPr="00B60984" w:rsidP="00B60984" w14:paraId="689D16CA" w14:textId="77777777">
            <w:pPr>
              <w:spacing w:after="0" w:line="240" w:lineRule="auto"/>
              <w:rPr>
                <w:rFonts w:eastAsia="Times New Roman"/>
                <w:color w:val="000000"/>
                <w:sz w:val="18"/>
                <w:szCs w:val="18"/>
              </w:rPr>
            </w:pPr>
            <w:r w:rsidRPr="00B60984">
              <w:rPr>
                <w:rFonts w:eastAsia="Times New Roman"/>
                <w:color w:val="000000"/>
                <w:sz w:val="18"/>
                <w:szCs w:val="18"/>
              </w:rPr>
              <w:t>Page 63 – “Estimated Annual Net Operating Income” – We request the CDFI Fund provide clarification on whether this field is requesting that the reporting entity estimate the NOI of the Sponsor organization if the NMTC borrower is a real estate special purpose entity. Also:</w:t>
            </w:r>
            <w:r w:rsidRPr="00B60984">
              <w:rPr>
                <w:rFonts w:eastAsia="Times New Roman"/>
                <w:color w:val="000000"/>
                <w:sz w:val="18"/>
                <w:szCs w:val="18"/>
              </w:rPr>
              <w:br/>
              <w:t xml:space="preserve">o What is the desired reporting </w:t>
            </w:r>
            <w:r w:rsidRPr="00B60984">
              <w:rPr>
                <w:rFonts w:eastAsia="Times New Roman"/>
                <w:color w:val="000000"/>
                <w:sz w:val="18"/>
                <w:szCs w:val="18"/>
              </w:rPr>
              <w:t>time period</w:t>
            </w:r>
            <w:r w:rsidRPr="00B60984">
              <w:rPr>
                <w:rFonts w:eastAsia="Times New Roman"/>
                <w:color w:val="000000"/>
                <w:sz w:val="18"/>
                <w:szCs w:val="18"/>
              </w:rPr>
              <w:t xml:space="preserve"> for said estimate (e.g. – at project stabilization)? We </w:t>
            </w:r>
            <w:r w:rsidRPr="00B60984">
              <w:rPr>
                <w:rFonts w:eastAsia="Times New Roman"/>
                <w:color w:val="000000"/>
                <w:sz w:val="18"/>
                <w:szCs w:val="18"/>
              </w:rPr>
              <w:t xml:space="preserve">believe this would be logical because </w:t>
            </w:r>
            <w:r w:rsidRPr="00B60984">
              <w:rPr>
                <w:rFonts w:eastAsia="Times New Roman"/>
                <w:color w:val="000000"/>
                <w:sz w:val="18"/>
                <w:szCs w:val="18"/>
              </w:rPr>
              <w:t>because</w:t>
            </w:r>
            <w:r w:rsidRPr="00B60984">
              <w:rPr>
                <w:rFonts w:eastAsia="Times New Roman"/>
                <w:color w:val="000000"/>
                <w:sz w:val="18"/>
                <w:szCs w:val="18"/>
              </w:rPr>
              <w:t xml:space="preserve"> the facility is being constructed the first year or two of a real estate Special Purpose Entity’s (“SPE”) operations and not generating income during that period.</w:t>
            </w:r>
            <w:r w:rsidRPr="00B60984">
              <w:rPr>
                <w:rFonts w:eastAsia="Times New Roman"/>
                <w:color w:val="000000"/>
                <w:sz w:val="18"/>
                <w:szCs w:val="18"/>
              </w:rPr>
              <w:br/>
              <w:t>o Does this field need to be reported as an estimate at the time of project close, or is it meant to be reported on within a certain number of months following close? Should it use the average annual NOI?</w:t>
            </w:r>
          </w:p>
        </w:tc>
        <w:tc>
          <w:tcPr>
            <w:tcW w:w="819" w:type="pct"/>
            <w:shd w:val="clear" w:color="auto" w:fill="auto"/>
          </w:tcPr>
          <w:p w:rsidR="00B60984" w:rsidRPr="00B60984" w:rsidP="00B60984" w14:paraId="6D803E90" w14:textId="77777777">
            <w:pPr>
              <w:spacing w:after="0" w:line="240" w:lineRule="auto"/>
              <w:rPr>
                <w:rFonts w:eastAsia="Times New Roman"/>
                <w:color w:val="000000"/>
                <w:sz w:val="18"/>
                <w:szCs w:val="18"/>
              </w:rPr>
            </w:pPr>
            <w:r w:rsidRPr="00B60984">
              <w:rPr>
                <w:rFonts w:eastAsia="Times New Roman"/>
                <w:color w:val="000000"/>
                <w:sz w:val="18"/>
                <w:szCs w:val="18"/>
              </w:rPr>
              <w:t>The CDFI Fund will provide additional guidance on Community Outcomes, project stabilization guidelines after project closing.</w:t>
            </w:r>
          </w:p>
        </w:tc>
      </w:tr>
      <w:tr w14:paraId="6F1A26EA" w14:textId="77777777" w:rsidTr="00B86BBF">
        <w:tblPrEx>
          <w:tblW w:w="5000" w:type="pct"/>
          <w:tblLook w:val="04A0"/>
        </w:tblPrEx>
        <w:tc>
          <w:tcPr>
            <w:tcW w:w="468" w:type="pct"/>
            <w:shd w:val="clear" w:color="auto" w:fill="auto"/>
          </w:tcPr>
          <w:p w:rsidR="00B60984" w:rsidRPr="00B60984" w:rsidP="00B60984" w14:paraId="7FEBA50B" w14:textId="77777777">
            <w:pPr>
              <w:spacing w:after="0" w:line="240" w:lineRule="auto"/>
              <w:rPr>
                <w:rFonts w:eastAsia="Times New Roman"/>
                <w:color w:val="000000"/>
                <w:sz w:val="18"/>
                <w:szCs w:val="18"/>
              </w:rPr>
            </w:pPr>
            <w:r w:rsidRPr="00B60984">
              <w:rPr>
                <w:rFonts w:eastAsia="Times New Roman"/>
                <w:color w:val="000000"/>
                <w:sz w:val="18"/>
                <w:szCs w:val="18"/>
              </w:rPr>
              <w:t>28</w:t>
            </w:r>
          </w:p>
        </w:tc>
        <w:tc>
          <w:tcPr>
            <w:tcW w:w="594" w:type="pct"/>
            <w:shd w:val="clear" w:color="auto" w:fill="auto"/>
          </w:tcPr>
          <w:p w:rsidR="00B60984" w:rsidRPr="00B60984" w:rsidP="00B60984" w14:paraId="0E279FE5"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212DC246"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7382C61A"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7AF6C901"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688A2B6A" w14:textId="77777777">
            <w:pPr>
              <w:spacing w:after="0" w:line="240" w:lineRule="auto"/>
              <w:rPr>
                <w:rFonts w:eastAsia="Times New Roman"/>
                <w:color w:val="000000"/>
                <w:sz w:val="18"/>
                <w:szCs w:val="18"/>
              </w:rPr>
            </w:pPr>
            <w:r w:rsidRPr="00B60984">
              <w:rPr>
                <w:rFonts w:eastAsia="Times New Roman"/>
                <w:color w:val="000000"/>
                <w:sz w:val="18"/>
                <w:szCs w:val="18"/>
              </w:rPr>
              <w:t>Total Project Cost &amp; Underwriting Criteria</w:t>
            </w:r>
          </w:p>
        </w:tc>
        <w:tc>
          <w:tcPr>
            <w:tcW w:w="1053" w:type="pct"/>
            <w:shd w:val="clear" w:color="auto" w:fill="auto"/>
          </w:tcPr>
          <w:p w:rsidR="00B60984" w:rsidRPr="00B60984" w:rsidP="00B60984" w14:paraId="17B06BAF" w14:textId="77777777">
            <w:pPr>
              <w:spacing w:after="0" w:line="240" w:lineRule="auto"/>
              <w:rPr>
                <w:rFonts w:eastAsia="Times New Roman"/>
                <w:color w:val="000000"/>
                <w:sz w:val="18"/>
                <w:szCs w:val="18"/>
              </w:rPr>
            </w:pPr>
            <w:r w:rsidRPr="00B60984">
              <w:rPr>
                <w:rFonts w:eastAsia="Times New Roman"/>
                <w:color w:val="000000"/>
                <w:sz w:val="18"/>
                <w:szCs w:val="18"/>
              </w:rPr>
              <w:t>Page 64 – “Loan Loss Reserve Requirement” – We request this field be removed from the TLR entirely as this is no longer one of the indicia of flexible or non-traditional rates and terms under an awardee’s allocation agreement and many CDEs are no longer measuring this variable.</w:t>
            </w:r>
          </w:p>
        </w:tc>
        <w:tc>
          <w:tcPr>
            <w:tcW w:w="819" w:type="pct"/>
            <w:shd w:val="clear" w:color="auto" w:fill="auto"/>
          </w:tcPr>
          <w:p w:rsidR="00B60984" w:rsidRPr="00B60984" w:rsidP="00B60984" w14:paraId="661FDACF" w14:textId="77777777">
            <w:pPr>
              <w:spacing w:after="0" w:line="240" w:lineRule="auto"/>
              <w:rPr>
                <w:rFonts w:eastAsia="Times New Roman"/>
                <w:color w:val="000000"/>
                <w:sz w:val="18"/>
                <w:szCs w:val="18"/>
              </w:rPr>
            </w:pPr>
            <w:r w:rsidRPr="00B60984">
              <w:rPr>
                <w:rFonts w:eastAsia="Times New Roman"/>
                <w:color w:val="000000"/>
                <w:sz w:val="18"/>
                <w:szCs w:val="18"/>
              </w:rPr>
              <w:t>The CDFI Fund requires the loan loss reserve requirement for compliance purposes.</w:t>
            </w:r>
          </w:p>
        </w:tc>
      </w:tr>
      <w:tr w14:paraId="59870635" w14:textId="77777777" w:rsidTr="00B86BBF">
        <w:tblPrEx>
          <w:tblW w:w="5000" w:type="pct"/>
          <w:tblLook w:val="04A0"/>
        </w:tblPrEx>
        <w:tc>
          <w:tcPr>
            <w:tcW w:w="468" w:type="pct"/>
            <w:shd w:val="clear" w:color="auto" w:fill="auto"/>
          </w:tcPr>
          <w:p w:rsidR="00B60984" w:rsidRPr="00B60984" w:rsidP="00B60984" w14:paraId="5953D88A" w14:textId="77777777">
            <w:pPr>
              <w:spacing w:after="0" w:line="240" w:lineRule="auto"/>
              <w:rPr>
                <w:rFonts w:eastAsia="Times New Roman"/>
                <w:color w:val="000000"/>
                <w:sz w:val="18"/>
                <w:szCs w:val="18"/>
              </w:rPr>
            </w:pPr>
            <w:r w:rsidRPr="00B60984">
              <w:rPr>
                <w:rFonts w:eastAsia="Times New Roman"/>
                <w:color w:val="000000"/>
                <w:sz w:val="18"/>
                <w:szCs w:val="18"/>
              </w:rPr>
              <w:t>29</w:t>
            </w:r>
          </w:p>
        </w:tc>
        <w:tc>
          <w:tcPr>
            <w:tcW w:w="594" w:type="pct"/>
            <w:shd w:val="clear" w:color="auto" w:fill="auto"/>
          </w:tcPr>
          <w:p w:rsidR="00B60984" w:rsidRPr="00B60984" w:rsidP="00B60984" w14:paraId="00A717F4"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254E9BBF"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53B9B964"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170A0FDA"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780EEA2B" w14:textId="77777777">
            <w:pPr>
              <w:spacing w:after="0" w:line="240" w:lineRule="auto"/>
              <w:rPr>
                <w:rFonts w:eastAsia="Times New Roman"/>
                <w:color w:val="000000"/>
                <w:sz w:val="18"/>
                <w:szCs w:val="18"/>
              </w:rPr>
            </w:pPr>
            <w:r w:rsidRPr="00B60984">
              <w:rPr>
                <w:rFonts w:eastAsia="Times New Roman"/>
                <w:color w:val="000000"/>
                <w:sz w:val="18"/>
                <w:szCs w:val="18"/>
              </w:rPr>
              <w:t>Project Outcomes</w:t>
            </w:r>
          </w:p>
        </w:tc>
        <w:tc>
          <w:tcPr>
            <w:tcW w:w="1053" w:type="pct"/>
            <w:shd w:val="clear" w:color="auto" w:fill="auto"/>
          </w:tcPr>
          <w:p w:rsidR="00B60984" w:rsidRPr="00B60984" w:rsidP="00B60984" w14:paraId="6F3A7ADD" w14:textId="77777777">
            <w:pPr>
              <w:spacing w:after="0" w:line="240" w:lineRule="auto"/>
              <w:rPr>
                <w:rFonts w:eastAsia="Times New Roman"/>
                <w:color w:val="000000"/>
                <w:sz w:val="18"/>
                <w:szCs w:val="18"/>
              </w:rPr>
            </w:pPr>
            <w:r w:rsidRPr="00B60984">
              <w:rPr>
                <w:rFonts w:eastAsia="Times New Roman"/>
                <w:color w:val="000000"/>
                <w:sz w:val="18"/>
                <w:szCs w:val="18"/>
              </w:rPr>
              <w:t>Page 66 – “Minority Owned or Controlled Business” – We request the language in this field is updated to read “…greater than 50%...” rather than “… at least 51%...”</w:t>
            </w:r>
          </w:p>
        </w:tc>
        <w:tc>
          <w:tcPr>
            <w:tcW w:w="819" w:type="pct"/>
            <w:shd w:val="clear" w:color="auto" w:fill="auto"/>
          </w:tcPr>
          <w:p w:rsidR="00B60984" w:rsidRPr="00B60984" w:rsidP="00B60984" w14:paraId="31886B3E" w14:textId="77777777">
            <w:pPr>
              <w:spacing w:after="0" w:line="240" w:lineRule="auto"/>
              <w:rPr>
                <w:rFonts w:eastAsia="Times New Roman"/>
                <w:color w:val="000000"/>
                <w:sz w:val="18"/>
                <w:szCs w:val="18"/>
              </w:rPr>
            </w:pPr>
            <w:r w:rsidRPr="00B60984">
              <w:rPr>
                <w:rFonts w:eastAsia="Times New Roman"/>
                <w:color w:val="000000"/>
                <w:sz w:val="18"/>
                <w:szCs w:val="18"/>
              </w:rPr>
              <w:t>The CDFI Fund has defined minority owned or controlled in the Allocation Agreement and Application.</w:t>
            </w:r>
          </w:p>
        </w:tc>
      </w:tr>
      <w:tr w14:paraId="3A0B1200" w14:textId="77777777" w:rsidTr="00B86BBF">
        <w:tblPrEx>
          <w:tblW w:w="5000" w:type="pct"/>
          <w:tblLook w:val="04A0"/>
        </w:tblPrEx>
        <w:tc>
          <w:tcPr>
            <w:tcW w:w="468" w:type="pct"/>
            <w:shd w:val="clear" w:color="auto" w:fill="auto"/>
          </w:tcPr>
          <w:p w:rsidR="00B60984" w:rsidRPr="00B60984" w:rsidP="00B60984" w14:paraId="2C06138B" w14:textId="77777777">
            <w:pPr>
              <w:spacing w:after="0" w:line="240" w:lineRule="auto"/>
              <w:rPr>
                <w:rFonts w:eastAsia="Times New Roman"/>
                <w:color w:val="000000"/>
                <w:sz w:val="18"/>
                <w:szCs w:val="18"/>
              </w:rPr>
            </w:pPr>
            <w:r w:rsidRPr="00B60984">
              <w:rPr>
                <w:rFonts w:eastAsia="Times New Roman"/>
                <w:color w:val="000000"/>
                <w:sz w:val="18"/>
                <w:szCs w:val="18"/>
              </w:rPr>
              <w:t>30</w:t>
            </w:r>
          </w:p>
        </w:tc>
        <w:tc>
          <w:tcPr>
            <w:tcW w:w="594" w:type="pct"/>
            <w:shd w:val="clear" w:color="auto" w:fill="auto"/>
          </w:tcPr>
          <w:p w:rsidR="00B60984" w:rsidRPr="00B60984" w:rsidP="00B60984" w14:paraId="002891BE"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2F6BDC1F"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57E870A5"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0B365AF0"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3F4B595E" w14:textId="77777777">
            <w:pPr>
              <w:spacing w:after="0" w:line="240" w:lineRule="auto"/>
              <w:rPr>
                <w:rFonts w:eastAsia="Times New Roman"/>
                <w:color w:val="000000"/>
                <w:sz w:val="18"/>
                <w:szCs w:val="18"/>
              </w:rPr>
            </w:pPr>
            <w:r w:rsidRPr="00B60984">
              <w:rPr>
                <w:rFonts w:eastAsia="Times New Roman"/>
                <w:color w:val="000000"/>
                <w:sz w:val="18"/>
                <w:szCs w:val="18"/>
              </w:rPr>
              <w:t xml:space="preserve">Project Outcomes </w:t>
            </w:r>
          </w:p>
        </w:tc>
        <w:tc>
          <w:tcPr>
            <w:tcW w:w="1053" w:type="pct"/>
            <w:shd w:val="clear" w:color="auto" w:fill="auto"/>
          </w:tcPr>
          <w:p w:rsidR="00B60984" w:rsidRPr="00B60984" w:rsidP="00B60984" w14:paraId="48B03D1F" w14:textId="77777777">
            <w:pPr>
              <w:spacing w:after="0" w:line="240" w:lineRule="auto"/>
              <w:rPr>
                <w:rFonts w:eastAsia="Times New Roman"/>
                <w:color w:val="000000"/>
                <w:sz w:val="18"/>
                <w:szCs w:val="18"/>
              </w:rPr>
            </w:pPr>
            <w:r w:rsidRPr="00B60984">
              <w:rPr>
                <w:rFonts w:eastAsia="Times New Roman"/>
                <w:color w:val="000000"/>
                <w:sz w:val="18"/>
                <w:szCs w:val="18"/>
              </w:rPr>
              <w:t>Page 66 – “Minority Owned or Controlled Business” – We suggest that this field be revised to require the reporting entity to report on the minority-controlled status of the parent entity if the borrower/investee is a real estate SPE.</w:t>
            </w:r>
          </w:p>
        </w:tc>
        <w:tc>
          <w:tcPr>
            <w:tcW w:w="819" w:type="pct"/>
            <w:shd w:val="clear" w:color="auto" w:fill="auto"/>
          </w:tcPr>
          <w:p w:rsidR="00B60984" w:rsidRPr="00B60984" w:rsidP="00B60984" w14:paraId="2C259D2A" w14:textId="77777777">
            <w:pPr>
              <w:spacing w:after="0" w:line="240" w:lineRule="auto"/>
              <w:rPr>
                <w:rFonts w:eastAsia="Times New Roman"/>
                <w:color w:val="000000"/>
                <w:sz w:val="18"/>
                <w:szCs w:val="18"/>
              </w:rPr>
            </w:pPr>
            <w:r w:rsidRPr="00B60984">
              <w:rPr>
                <w:rFonts w:eastAsia="Times New Roman"/>
                <w:color w:val="000000"/>
                <w:sz w:val="18"/>
                <w:szCs w:val="18"/>
              </w:rPr>
              <w:t xml:space="preserve">The CDFI Fund will add the following language: “If the QALICB is a single-purpose entity (SPE) created by an operating business to lease back property to that parent business, report minority-controlled status for the parent business” to the data field instruction and </w:t>
            </w:r>
            <w:r w:rsidRPr="00B60984">
              <w:rPr>
                <w:rFonts w:eastAsia="Times New Roman"/>
                <w:color w:val="000000"/>
                <w:sz w:val="18"/>
                <w:szCs w:val="18"/>
              </w:rPr>
              <w:t>will make this change in the Native-Owned data field.</w:t>
            </w:r>
          </w:p>
        </w:tc>
      </w:tr>
      <w:tr w14:paraId="663BC57A" w14:textId="77777777" w:rsidTr="00B86BBF">
        <w:tblPrEx>
          <w:tblW w:w="5000" w:type="pct"/>
          <w:tblLook w:val="04A0"/>
        </w:tblPrEx>
        <w:tc>
          <w:tcPr>
            <w:tcW w:w="468" w:type="pct"/>
            <w:shd w:val="clear" w:color="auto" w:fill="auto"/>
          </w:tcPr>
          <w:p w:rsidR="00B60984" w:rsidRPr="00B60984" w:rsidP="00B60984" w14:paraId="55BE5740" w14:textId="77777777">
            <w:pPr>
              <w:spacing w:after="0" w:line="240" w:lineRule="auto"/>
              <w:rPr>
                <w:rFonts w:eastAsia="Times New Roman"/>
                <w:color w:val="000000"/>
                <w:sz w:val="18"/>
                <w:szCs w:val="18"/>
              </w:rPr>
            </w:pPr>
            <w:r w:rsidRPr="00B60984">
              <w:rPr>
                <w:rFonts w:eastAsia="Times New Roman"/>
                <w:color w:val="000000"/>
                <w:sz w:val="18"/>
                <w:szCs w:val="18"/>
              </w:rPr>
              <w:t>31</w:t>
            </w:r>
          </w:p>
        </w:tc>
        <w:tc>
          <w:tcPr>
            <w:tcW w:w="594" w:type="pct"/>
            <w:shd w:val="clear" w:color="auto" w:fill="auto"/>
          </w:tcPr>
          <w:p w:rsidR="00B60984" w:rsidRPr="00B60984" w:rsidP="00B60984" w14:paraId="02261682"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0A3A2E0E"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750584BC"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6FC2133A"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03687B34" w14:textId="77777777">
            <w:pPr>
              <w:spacing w:after="0" w:line="240" w:lineRule="auto"/>
              <w:rPr>
                <w:rFonts w:eastAsia="Times New Roman"/>
                <w:color w:val="000000"/>
                <w:sz w:val="18"/>
                <w:szCs w:val="18"/>
              </w:rPr>
            </w:pPr>
            <w:r w:rsidRPr="00B60984">
              <w:rPr>
                <w:rFonts w:eastAsia="Times New Roman"/>
                <w:color w:val="000000"/>
                <w:sz w:val="18"/>
                <w:szCs w:val="18"/>
              </w:rPr>
              <w:t xml:space="preserve">Project Outcomes </w:t>
            </w:r>
          </w:p>
        </w:tc>
        <w:tc>
          <w:tcPr>
            <w:tcW w:w="1053" w:type="pct"/>
            <w:shd w:val="clear" w:color="auto" w:fill="auto"/>
          </w:tcPr>
          <w:p w:rsidR="00B60984" w:rsidRPr="00B60984" w:rsidP="00B60984" w14:paraId="5A4B395B" w14:textId="77777777">
            <w:pPr>
              <w:spacing w:after="0" w:line="240" w:lineRule="auto"/>
              <w:rPr>
                <w:rFonts w:eastAsia="Times New Roman"/>
                <w:color w:val="000000"/>
                <w:sz w:val="18"/>
                <w:szCs w:val="18"/>
              </w:rPr>
            </w:pPr>
            <w:r w:rsidRPr="00B60984">
              <w:rPr>
                <w:rFonts w:eastAsia="Times New Roman"/>
                <w:color w:val="000000"/>
                <w:sz w:val="18"/>
                <w:szCs w:val="18"/>
              </w:rPr>
              <w:t xml:space="preserve">Page 66 – “Minority Owned or Controlled Business” – We believe that the separation of Native American-Owned and Minority Owned businesses creates potential for unintended negative outcomes. For example, if a business is owned equally by three partners—one Black, one Native American, and one Caucasian, our understanding is that the business would not qualify as either a Minority Owned Business or a Native American-Owned Business, </w:t>
            </w:r>
            <w:r w:rsidRPr="00B60984">
              <w:rPr>
                <w:rFonts w:eastAsia="Times New Roman"/>
                <w:color w:val="000000"/>
                <w:sz w:val="18"/>
                <w:szCs w:val="18"/>
              </w:rPr>
              <w:t>despite the fact that</w:t>
            </w:r>
            <w:r w:rsidRPr="00B60984">
              <w:rPr>
                <w:rFonts w:eastAsia="Times New Roman"/>
                <w:color w:val="000000"/>
                <w:sz w:val="18"/>
                <w:szCs w:val="18"/>
              </w:rPr>
              <w:t xml:space="preserve"> this business’s ownership composition clearly furthers the goals of the NMTC program in providing capital to historically underserved populations. We would request that the CDFI Fund consider amending its definitions to account for such situations or allowing CDEs to select more than one option. In addition to the example discussed above, a similar scenario could arise if a business is both minority </w:t>
            </w:r>
            <w:r w:rsidRPr="00B60984">
              <w:rPr>
                <w:rFonts w:eastAsia="Times New Roman"/>
                <w:color w:val="000000"/>
                <w:sz w:val="18"/>
                <w:szCs w:val="18"/>
              </w:rPr>
              <w:t>owned</w:t>
            </w:r>
            <w:r w:rsidRPr="00B60984">
              <w:rPr>
                <w:rFonts w:eastAsia="Times New Roman"/>
                <w:color w:val="000000"/>
                <w:sz w:val="18"/>
                <w:szCs w:val="18"/>
              </w:rPr>
              <w:t xml:space="preserve"> and women controlled which would benefit from the option of selecting multiple options.</w:t>
            </w:r>
          </w:p>
        </w:tc>
        <w:tc>
          <w:tcPr>
            <w:tcW w:w="819" w:type="pct"/>
            <w:shd w:val="clear" w:color="auto" w:fill="auto"/>
          </w:tcPr>
          <w:p w:rsidR="00B60984" w:rsidRPr="00B60984" w:rsidP="00B60984" w14:paraId="12E42C22" w14:textId="77777777">
            <w:pPr>
              <w:spacing w:after="0" w:line="240" w:lineRule="auto"/>
              <w:rPr>
                <w:rFonts w:eastAsia="Times New Roman"/>
                <w:color w:val="000000"/>
                <w:sz w:val="18"/>
                <w:szCs w:val="18"/>
              </w:rPr>
            </w:pPr>
            <w:r w:rsidRPr="00B60984">
              <w:rPr>
                <w:rFonts w:eastAsia="Times New Roman"/>
                <w:color w:val="000000"/>
                <w:sz w:val="18"/>
                <w:szCs w:val="18"/>
              </w:rPr>
              <w:t>The CDFI Fund agrees with this comment and will make changes in guidance and data points.</w:t>
            </w:r>
          </w:p>
          <w:p w:rsidR="00B60984" w:rsidRPr="00B60984" w:rsidP="00B60984" w14:paraId="567DC02F" w14:textId="77777777">
            <w:pPr>
              <w:spacing w:after="0" w:line="240" w:lineRule="auto"/>
              <w:rPr>
                <w:rFonts w:eastAsia="Times New Roman"/>
                <w:color w:val="000000"/>
                <w:sz w:val="18"/>
                <w:szCs w:val="18"/>
              </w:rPr>
            </w:pPr>
          </w:p>
          <w:p w:rsidR="00B60984" w:rsidRPr="00B60984" w:rsidP="00B60984" w14:paraId="3142AEE1" w14:textId="77777777">
            <w:pPr>
              <w:spacing w:after="0" w:line="240" w:lineRule="auto"/>
              <w:rPr>
                <w:rFonts w:eastAsia="Times New Roman"/>
                <w:color w:val="000000"/>
                <w:sz w:val="18"/>
                <w:szCs w:val="18"/>
              </w:rPr>
            </w:pPr>
          </w:p>
        </w:tc>
      </w:tr>
      <w:tr w14:paraId="62204AB4" w14:textId="77777777" w:rsidTr="00B86BBF">
        <w:tblPrEx>
          <w:tblW w:w="5000" w:type="pct"/>
          <w:tblLook w:val="04A0"/>
        </w:tblPrEx>
        <w:tc>
          <w:tcPr>
            <w:tcW w:w="468" w:type="pct"/>
            <w:shd w:val="clear" w:color="auto" w:fill="auto"/>
          </w:tcPr>
          <w:p w:rsidR="00B60984" w:rsidRPr="00B60984" w:rsidP="00B60984" w14:paraId="1E13CE10" w14:textId="77777777">
            <w:pPr>
              <w:spacing w:after="0" w:line="240" w:lineRule="auto"/>
              <w:rPr>
                <w:rFonts w:eastAsia="Times New Roman"/>
                <w:color w:val="000000"/>
                <w:sz w:val="18"/>
                <w:szCs w:val="18"/>
              </w:rPr>
            </w:pPr>
            <w:r w:rsidRPr="00B60984">
              <w:rPr>
                <w:rFonts w:eastAsia="Times New Roman"/>
                <w:color w:val="000000"/>
                <w:sz w:val="18"/>
                <w:szCs w:val="18"/>
              </w:rPr>
              <w:t>32</w:t>
            </w:r>
          </w:p>
        </w:tc>
        <w:tc>
          <w:tcPr>
            <w:tcW w:w="594" w:type="pct"/>
            <w:shd w:val="clear" w:color="auto" w:fill="auto"/>
          </w:tcPr>
          <w:p w:rsidR="00B60984" w:rsidRPr="00B60984" w:rsidP="00B60984" w14:paraId="78D4EF23"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1BE6FBD1"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07573C33"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38AD17A4"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6370C15F" w14:textId="77777777">
            <w:pPr>
              <w:spacing w:after="0" w:line="240" w:lineRule="auto"/>
              <w:rPr>
                <w:rFonts w:eastAsia="Times New Roman"/>
                <w:color w:val="000000"/>
                <w:sz w:val="18"/>
                <w:szCs w:val="18"/>
              </w:rPr>
            </w:pPr>
            <w:r w:rsidRPr="00B60984">
              <w:rPr>
                <w:rFonts w:eastAsia="Times New Roman"/>
                <w:color w:val="000000"/>
                <w:sz w:val="18"/>
                <w:szCs w:val="18"/>
              </w:rPr>
              <w:t>Investee Profile</w:t>
            </w:r>
          </w:p>
        </w:tc>
        <w:tc>
          <w:tcPr>
            <w:tcW w:w="1053" w:type="pct"/>
            <w:shd w:val="clear" w:color="auto" w:fill="auto"/>
          </w:tcPr>
          <w:p w:rsidR="00B60984" w:rsidRPr="00B60984" w:rsidP="00B60984" w14:paraId="77B74EB2" w14:textId="77777777">
            <w:pPr>
              <w:spacing w:after="0" w:line="240" w:lineRule="auto"/>
              <w:rPr>
                <w:rFonts w:eastAsia="Times New Roman"/>
                <w:color w:val="000000"/>
                <w:sz w:val="18"/>
                <w:szCs w:val="18"/>
              </w:rPr>
            </w:pPr>
            <w:r w:rsidRPr="00B60984">
              <w:rPr>
                <w:rFonts w:eastAsia="Times New Roman"/>
                <w:color w:val="000000"/>
                <w:sz w:val="18"/>
                <w:szCs w:val="18"/>
              </w:rPr>
              <w:t xml:space="preserve">Page 69 – “Business Description – Primary” – We request the CDFI Fund revise the definition of the “FOOD” business description to encompass only retail food </w:t>
            </w:r>
            <w:r w:rsidRPr="00B60984">
              <w:rPr>
                <w:rFonts w:eastAsia="Times New Roman"/>
                <w:color w:val="000000"/>
                <w:sz w:val="18"/>
                <w:szCs w:val="18"/>
              </w:rPr>
              <w:t>operations. The inclusion of food wholesaling and bakeries, which can in some cases be industrial/manufacturing facilities, creates ambiguity and overlap.</w:t>
            </w:r>
          </w:p>
        </w:tc>
        <w:tc>
          <w:tcPr>
            <w:tcW w:w="819" w:type="pct"/>
            <w:shd w:val="clear" w:color="auto" w:fill="auto"/>
          </w:tcPr>
          <w:p w:rsidR="00B60984" w:rsidRPr="00B60984" w:rsidP="00B60984" w14:paraId="4E53062A" w14:textId="535C8ADC">
            <w:pPr>
              <w:spacing w:after="0" w:line="240" w:lineRule="auto"/>
              <w:rPr>
                <w:rFonts w:eastAsia="Times New Roman"/>
                <w:color w:val="000000"/>
                <w:sz w:val="18"/>
                <w:szCs w:val="18"/>
              </w:rPr>
            </w:pPr>
            <w:r w:rsidRPr="00B60984">
              <w:rPr>
                <w:rFonts w:eastAsia="Times New Roman"/>
                <w:color w:val="000000"/>
                <w:sz w:val="18"/>
                <w:szCs w:val="18"/>
              </w:rPr>
              <w:t>This comment is not pertinent to this Information Collection Request (ICR</w:t>
            </w:r>
            <w:r>
              <w:rPr>
                <w:rFonts w:eastAsia="Times New Roman"/>
                <w:color w:val="000000"/>
                <w:sz w:val="18"/>
                <w:szCs w:val="18"/>
              </w:rPr>
              <w:t>).</w:t>
            </w:r>
          </w:p>
        </w:tc>
      </w:tr>
      <w:tr w14:paraId="0EE74AA4" w14:textId="77777777" w:rsidTr="00B86BBF">
        <w:tblPrEx>
          <w:tblW w:w="5000" w:type="pct"/>
          <w:tblLook w:val="04A0"/>
        </w:tblPrEx>
        <w:tc>
          <w:tcPr>
            <w:tcW w:w="468" w:type="pct"/>
            <w:shd w:val="clear" w:color="auto" w:fill="auto"/>
          </w:tcPr>
          <w:p w:rsidR="00B60984" w:rsidRPr="00B60984" w:rsidP="00B60984" w14:paraId="0BDEC63E" w14:textId="77777777">
            <w:pPr>
              <w:spacing w:after="0" w:line="240" w:lineRule="auto"/>
              <w:rPr>
                <w:rFonts w:eastAsia="Times New Roman"/>
                <w:color w:val="000000"/>
                <w:sz w:val="18"/>
                <w:szCs w:val="18"/>
              </w:rPr>
            </w:pPr>
            <w:r w:rsidRPr="00B60984">
              <w:rPr>
                <w:rFonts w:eastAsia="Times New Roman"/>
                <w:color w:val="000000"/>
                <w:sz w:val="18"/>
                <w:szCs w:val="18"/>
              </w:rPr>
              <w:t>33</w:t>
            </w:r>
          </w:p>
        </w:tc>
        <w:tc>
          <w:tcPr>
            <w:tcW w:w="594" w:type="pct"/>
            <w:shd w:val="clear" w:color="auto" w:fill="auto"/>
          </w:tcPr>
          <w:p w:rsidR="00B60984" w:rsidRPr="00B60984" w:rsidP="00B60984" w14:paraId="7C67ECBF"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39F24C61"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1F68FBC8"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198FF9A1"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43686463" w14:textId="77777777">
            <w:pPr>
              <w:spacing w:after="0" w:line="240" w:lineRule="auto"/>
              <w:rPr>
                <w:rFonts w:eastAsia="Times New Roman"/>
                <w:color w:val="000000"/>
                <w:sz w:val="18"/>
                <w:szCs w:val="18"/>
              </w:rPr>
            </w:pPr>
            <w:r w:rsidRPr="00B60984">
              <w:rPr>
                <w:rFonts w:eastAsia="Times New Roman"/>
                <w:color w:val="000000"/>
                <w:sz w:val="18"/>
                <w:szCs w:val="18"/>
              </w:rPr>
              <w:t>Investee Profile</w:t>
            </w:r>
          </w:p>
        </w:tc>
        <w:tc>
          <w:tcPr>
            <w:tcW w:w="1053" w:type="pct"/>
            <w:shd w:val="clear" w:color="auto" w:fill="auto"/>
          </w:tcPr>
          <w:p w:rsidR="00B60984" w:rsidRPr="00B60984" w:rsidP="00B60984" w14:paraId="16E00E12" w14:textId="77777777">
            <w:pPr>
              <w:spacing w:after="0" w:line="240" w:lineRule="auto"/>
              <w:rPr>
                <w:rFonts w:eastAsia="Times New Roman"/>
                <w:color w:val="000000"/>
                <w:sz w:val="18"/>
                <w:szCs w:val="18"/>
              </w:rPr>
            </w:pPr>
            <w:r w:rsidRPr="00B60984">
              <w:rPr>
                <w:rFonts w:eastAsia="Times New Roman"/>
                <w:color w:val="000000"/>
                <w:sz w:val="18"/>
                <w:szCs w:val="18"/>
              </w:rPr>
              <w:t>Page 70 – “NAICS” – We request the CDFI Fund provide clarification on how to avoid using the NAICS codes for Lessors of Real Estate if a primary Business Description is Mixed. Since the NAICS guidance was released in response to the request to avoid using the NAICS codes for Lessors of Real Estate there has been movement to determine a predominate business description (by square footage) in a multi-use project and select that business description and applicable NAICS code. However, there are still projects where this cannot be easily done and Mixed is the correct business description and the resulting NAICS code is Lessors of Real Estate.</w:t>
            </w:r>
          </w:p>
        </w:tc>
        <w:tc>
          <w:tcPr>
            <w:tcW w:w="819" w:type="pct"/>
            <w:shd w:val="clear" w:color="auto" w:fill="auto"/>
          </w:tcPr>
          <w:p w:rsidR="00B60984" w:rsidRPr="00B60984" w:rsidP="00B60984" w14:paraId="2C8895CB" w14:textId="05C955B6">
            <w:pPr>
              <w:spacing w:after="0" w:line="240" w:lineRule="auto"/>
              <w:rPr>
                <w:rFonts w:eastAsia="Times New Roman"/>
                <w:color w:val="000000"/>
                <w:sz w:val="18"/>
                <w:szCs w:val="18"/>
              </w:rPr>
            </w:pPr>
            <w:r w:rsidRPr="00B60984">
              <w:rPr>
                <w:rFonts w:eastAsia="Times New Roman"/>
                <w:color w:val="000000"/>
                <w:sz w:val="18"/>
                <w:szCs w:val="18"/>
              </w:rPr>
              <w:t xml:space="preserve"> This comment is not pertinent to this Information Collection Request (ICR</w:t>
            </w:r>
            <w:r>
              <w:rPr>
                <w:rFonts w:eastAsia="Times New Roman"/>
                <w:color w:val="000000"/>
                <w:sz w:val="18"/>
                <w:szCs w:val="18"/>
              </w:rPr>
              <w:t>).</w:t>
            </w:r>
          </w:p>
        </w:tc>
      </w:tr>
      <w:tr w14:paraId="4B4848AF" w14:textId="77777777" w:rsidTr="00B86BBF">
        <w:tblPrEx>
          <w:tblW w:w="5000" w:type="pct"/>
          <w:tblLook w:val="04A0"/>
        </w:tblPrEx>
        <w:tc>
          <w:tcPr>
            <w:tcW w:w="468" w:type="pct"/>
            <w:shd w:val="clear" w:color="auto" w:fill="auto"/>
          </w:tcPr>
          <w:p w:rsidR="00B60984" w:rsidRPr="00B60984" w:rsidP="00B60984" w14:paraId="5A272A67" w14:textId="77777777">
            <w:pPr>
              <w:spacing w:after="0" w:line="240" w:lineRule="auto"/>
              <w:rPr>
                <w:rFonts w:eastAsia="Times New Roman"/>
                <w:color w:val="000000"/>
                <w:sz w:val="18"/>
                <w:szCs w:val="18"/>
              </w:rPr>
            </w:pPr>
            <w:r w:rsidRPr="00B60984">
              <w:rPr>
                <w:rFonts w:eastAsia="Times New Roman"/>
                <w:color w:val="000000"/>
                <w:sz w:val="18"/>
                <w:szCs w:val="18"/>
              </w:rPr>
              <w:t>34</w:t>
            </w:r>
          </w:p>
        </w:tc>
        <w:tc>
          <w:tcPr>
            <w:tcW w:w="594" w:type="pct"/>
            <w:shd w:val="clear" w:color="auto" w:fill="auto"/>
          </w:tcPr>
          <w:p w:rsidR="00B60984" w:rsidRPr="00B60984" w:rsidP="00B60984" w14:paraId="2B928D6E"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304890E6"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6AEB9C85"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6BE099C4"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2277F35C"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6EBFCD56" w14:textId="77777777">
            <w:pPr>
              <w:spacing w:after="0" w:line="240" w:lineRule="auto"/>
              <w:rPr>
                <w:rFonts w:eastAsia="Times New Roman"/>
                <w:color w:val="000000"/>
                <w:sz w:val="18"/>
                <w:szCs w:val="18"/>
              </w:rPr>
            </w:pPr>
            <w:r w:rsidRPr="00B60984">
              <w:rPr>
                <w:rFonts w:eastAsia="Times New Roman"/>
                <w:color w:val="000000"/>
                <w:sz w:val="18"/>
                <w:szCs w:val="18"/>
              </w:rPr>
              <w:t>Page 72 – “Type of Jobs Reported” Section – We request Indirect Jobs be removed from this section and the TLR altogether since the NMTC Allocation Application explicitly prohibits CDEs from discussing these types of jobs.</w:t>
            </w:r>
          </w:p>
        </w:tc>
        <w:tc>
          <w:tcPr>
            <w:tcW w:w="819" w:type="pct"/>
            <w:shd w:val="clear" w:color="auto" w:fill="auto"/>
          </w:tcPr>
          <w:p w:rsidR="00B60984" w:rsidRPr="00B60984" w:rsidP="00B60984" w14:paraId="4F354FEE" w14:textId="0892B158">
            <w:pPr>
              <w:spacing w:after="0" w:line="240" w:lineRule="auto"/>
              <w:rPr>
                <w:rFonts w:eastAsia="Times New Roman"/>
                <w:color w:val="000000"/>
                <w:sz w:val="18"/>
                <w:szCs w:val="18"/>
              </w:rPr>
            </w:pPr>
            <w:r w:rsidRPr="00B60984">
              <w:rPr>
                <w:rFonts w:eastAsia="Times New Roman"/>
                <w:color w:val="000000"/>
                <w:sz w:val="18"/>
                <w:szCs w:val="18"/>
              </w:rPr>
              <w:t>The CDFI Fund agrees and will eliminate the “Direct/Indirect” answer choice</w:t>
            </w:r>
            <w:r w:rsidR="000302B8">
              <w:rPr>
                <w:rFonts w:eastAsia="Times New Roman"/>
                <w:color w:val="000000"/>
                <w:sz w:val="18"/>
                <w:szCs w:val="18"/>
              </w:rPr>
              <w:t>,</w:t>
            </w:r>
            <w:r w:rsidRPr="00B60984">
              <w:rPr>
                <w:rFonts w:eastAsia="Times New Roman"/>
                <w:color w:val="000000"/>
                <w:sz w:val="18"/>
                <w:szCs w:val="18"/>
              </w:rPr>
              <w:t xml:space="preserve"> as well as this data field from the TLR.</w:t>
            </w:r>
          </w:p>
        </w:tc>
      </w:tr>
      <w:tr w14:paraId="560FFBF9" w14:textId="77777777" w:rsidTr="00B86BBF">
        <w:tblPrEx>
          <w:tblW w:w="5000" w:type="pct"/>
          <w:tblLook w:val="04A0"/>
        </w:tblPrEx>
        <w:tc>
          <w:tcPr>
            <w:tcW w:w="468" w:type="pct"/>
            <w:shd w:val="clear" w:color="auto" w:fill="auto"/>
          </w:tcPr>
          <w:p w:rsidR="00B60984" w:rsidRPr="00B60984" w:rsidP="00B60984" w14:paraId="2F1938A4" w14:textId="77777777">
            <w:pPr>
              <w:spacing w:after="0" w:line="240" w:lineRule="auto"/>
              <w:rPr>
                <w:rFonts w:eastAsia="Times New Roman"/>
                <w:color w:val="000000"/>
                <w:sz w:val="18"/>
                <w:szCs w:val="18"/>
              </w:rPr>
            </w:pPr>
            <w:r w:rsidRPr="00B60984">
              <w:rPr>
                <w:rFonts w:eastAsia="Times New Roman"/>
                <w:color w:val="000000"/>
                <w:sz w:val="18"/>
                <w:szCs w:val="18"/>
              </w:rPr>
              <w:t>35</w:t>
            </w:r>
          </w:p>
        </w:tc>
        <w:tc>
          <w:tcPr>
            <w:tcW w:w="594" w:type="pct"/>
            <w:shd w:val="clear" w:color="auto" w:fill="auto"/>
          </w:tcPr>
          <w:p w:rsidR="00B60984" w:rsidRPr="00B60984" w:rsidP="00B60984" w14:paraId="759EC7F6"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676A2725"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6E6C9D2A"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57D65595"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549E22C0"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51A7EF9F" w14:textId="77777777">
            <w:pPr>
              <w:spacing w:after="0" w:line="240" w:lineRule="auto"/>
              <w:rPr>
                <w:rFonts w:eastAsia="Times New Roman"/>
                <w:color w:val="000000"/>
                <w:sz w:val="18"/>
                <w:szCs w:val="18"/>
              </w:rPr>
            </w:pPr>
            <w:r w:rsidRPr="00B60984">
              <w:rPr>
                <w:rFonts w:eastAsia="Times New Roman"/>
                <w:color w:val="000000"/>
                <w:sz w:val="18"/>
                <w:szCs w:val="18"/>
              </w:rPr>
              <w:t xml:space="preserve">Page 73 – “Projected Jobs to Be Created – Construction” Section – We request the reporting methodology for both projected and actual construction jobs be </w:t>
            </w:r>
            <w:r w:rsidRPr="00B60984">
              <w:rPr>
                <w:rFonts w:eastAsia="Times New Roman"/>
                <w:color w:val="000000"/>
                <w:sz w:val="18"/>
                <w:szCs w:val="18"/>
              </w:rPr>
              <w:t>clearly specified as Full-Time Equivalents (“</w:t>
            </w:r>
            <w:r w:rsidRPr="00B60984">
              <w:rPr>
                <w:rFonts w:eastAsia="Times New Roman"/>
                <w:color w:val="000000"/>
                <w:sz w:val="18"/>
                <w:szCs w:val="18"/>
              </w:rPr>
              <w:t>FTE”s</w:t>
            </w:r>
            <w:r w:rsidRPr="00B60984">
              <w:rPr>
                <w:rFonts w:eastAsia="Times New Roman"/>
                <w:color w:val="000000"/>
                <w:sz w:val="18"/>
                <w:szCs w:val="18"/>
              </w:rPr>
              <w:t>). Construction sites routinely have many individuals involved for short durations of time, and this creates substantial ambiguity in how construction jobs are quantified. It also creates challenges in multi-CDE transactions when individual CDEs disagree on FTEs versus “headcount” methodology. We also request that construction jobs counted include those that are allowed in the NMTC Application like construction jobs related to an expansion that includes equipment, for example.</w:t>
            </w:r>
          </w:p>
        </w:tc>
        <w:tc>
          <w:tcPr>
            <w:tcW w:w="819" w:type="pct"/>
            <w:shd w:val="clear" w:color="auto" w:fill="auto"/>
          </w:tcPr>
          <w:p w:rsidR="00B60984" w:rsidRPr="00B60984" w:rsidP="00B60984" w14:paraId="32A098BB" w14:textId="77777777">
            <w:pPr>
              <w:spacing w:after="0" w:line="240" w:lineRule="auto"/>
              <w:rPr>
                <w:rFonts w:eastAsia="Times New Roman"/>
                <w:color w:val="000000"/>
                <w:sz w:val="18"/>
                <w:szCs w:val="18"/>
              </w:rPr>
            </w:pPr>
            <w:r w:rsidRPr="00B60984">
              <w:rPr>
                <w:rFonts w:eastAsia="Times New Roman"/>
                <w:color w:val="000000"/>
                <w:sz w:val="18"/>
                <w:szCs w:val="18"/>
              </w:rPr>
              <w:t>The CDFI Fund will make the switch to Full-Time Equivalent (FTE) for consistency across job categories.</w:t>
            </w:r>
          </w:p>
        </w:tc>
      </w:tr>
      <w:tr w14:paraId="47F3FFC5" w14:textId="77777777" w:rsidTr="00B86BBF">
        <w:tblPrEx>
          <w:tblW w:w="5000" w:type="pct"/>
          <w:tblLook w:val="04A0"/>
        </w:tblPrEx>
        <w:tc>
          <w:tcPr>
            <w:tcW w:w="468" w:type="pct"/>
            <w:shd w:val="clear" w:color="auto" w:fill="auto"/>
          </w:tcPr>
          <w:p w:rsidR="00B60984" w:rsidRPr="00B60984" w:rsidP="00B60984" w14:paraId="3E426895" w14:textId="77777777">
            <w:pPr>
              <w:spacing w:after="0" w:line="240" w:lineRule="auto"/>
              <w:rPr>
                <w:rFonts w:eastAsia="Times New Roman"/>
                <w:color w:val="000000"/>
                <w:sz w:val="18"/>
                <w:szCs w:val="18"/>
              </w:rPr>
            </w:pPr>
            <w:r w:rsidRPr="00B60984">
              <w:rPr>
                <w:rFonts w:eastAsia="Times New Roman"/>
                <w:color w:val="000000"/>
                <w:sz w:val="18"/>
                <w:szCs w:val="18"/>
              </w:rPr>
              <w:t>36</w:t>
            </w:r>
          </w:p>
        </w:tc>
        <w:tc>
          <w:tcPr>
            <w:tcW w:w="594" w:type="pct"/>
            <w:shd w:val="clear" w:color="auto" w:fill="auto"/>
          </w:tcPr>
          <w:p w:rsidR="00B60984" w:rsidRPr="00B60984" w:rsidP="00B60984" w14:paraId="14B2EFE7"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2FAA273E"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2DB04373"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5E186905"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6981C147"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31E0A02E" w14:textId="77777777">
            <w:pPr>
              <w:spacing w:after="0" w:line="240" w:lineRule="auto"/>
              <w:rPr>
                <w:rFonts w:eastAsia="Times New Roman"/>
                <w:color w:val="000000"/>
                <w:sz w:val="18"/>
                <w:szCs w:val="18"/>
              </w:rPr>
            </w:pPr>
            <w:r w:rsidRPr="00B60984">
              <w:rPr>
                <w:rFonts w:eastAsia="Times New Roman"/>
                <w:color w:val="000000"/>
                <w:sz w:val="18"/>
                <w:szCs w:val="18"/>
              </w:rPr>
              <w:t>Page 74 – “Projected Permanent Jobs to Be Created at Tenant Businesses” Section – We request this section be revised to “Projected Permanent Jobs to Be Created or Retained at Tenant Businesses” to mirror the language in the previous section and provide clarity for CDEs reporting retained jobs at Tenant Businesses. In many cases, real estate projects facilitate relocation of existing businesses, which is a job retention impact.</w:t>
            </w:r>
          </w:p>
        </w:tc>
        <w:tc>
          <w:tcPr>
            <w:tcW w:w="819" w:type="pct"/>
            <w:shd w:val="clear" w:color="auto" w:fill="auto"/>
          </w:tcPr>
          <w:p w:rsidR="00B60984" w:rsidRPr="00B60984" w:rsidP="00B60984" w14:paraId="116DC0F5" w14:textId="77777777">
            <w:pPr>
              <w:spacing w:after="0" w:line="240" w:lineRule="auto"/>
              <w:rPr>
                <w:rFonts w:eastAsia="Times New Roman"/>
                <w:color w:val="000000"/>
                <w:sz w:val="18"/>
                <w:szCs w:val="18"/>
              </w:rPr>
            </w:pPr>
            <w:r w:rsidRPr="00B60984">
              <w:rPr>
                <w:rFonts w:eastAsia="Times New Roman"/>
                <w:color w:val="000000"/>
                <w:sz w:val="18"/>
                <w:szCs w:val="18"/>
              </w:rPr>
              <w:t xml:space="preserve">The CDFI Fund will make the change to include retained jobs. </w:t>
            </w:r>
          </w:p>
          <w:p w:rsidR="00B60984" w:rsidRPr="00B60984" w:rsidP="00B60984" w14:paraId="3A902BFB" w14:textId="77777777">
            <w:pPr>
              <w:spacing w:after="0" w:line="240" w:lineRule="auto"/>
              <w:rPr>
                <w:rFonts w:eastAsia="Times New Roman"/>
                <w:color w:val="000000"/>
                <w:sz w:val="18"/>
                <w:szCs w:val="18"/>
              </w:rPr>
            </w:pPr>
          </w:p>
        </w:tc>
      </w:tr>
      <w:tr w14:paraId="2AB5373C" w14:textId="77777777" w:rsidTr="00B86BBF">
        <w:tblPrEx>
          <w:tblW w:w="5000" w:type="pct"/>
          <w:tblLook w:val="04A0"/>
        </w:tblPrEx>
        <w:tc>
          <w:tcPr>
            <w:tcW w:w="468" w:type="pct"/>
            <w:shd w:val="clear" w:color="auto" w:fill="auto"/>
          </w:tcPr>
          <w:p w:rsidR="00B60984" w:rsidRPr="00B60984" w:rsidP="00B60984" w14:paraId="76A7FC42" w14:textId="77777777">
            <w:pPr>
              <w:spacing w:after="0" w:line="240" w:lineRule="auto"/>
              <w:rPr>
                <w:rFonts w:eastAsia="Times New Roman"/>
                <w:color w:val="000000"/>
                <w:sz w:val="18"/>
                <w:szCs w:val="18"/>
              </w:rPr>
            </w:pPr>
            <w:r w:rsidRPr="00B60984">
              <w:rPr>
                <w:rFonts w:eastAsia="Times New Roman"/>
                <w:color w:val="000000"/>
                <w:sz w:val="18"/>
                <w:szCs w:val="18"/>
              </w:rPr>
              <w:t>37</w:t>
            </w:r>
          </w:p>
        </w:tc>
        <w:tc>
          <w:tcPr>
            <w:tcW w:w="594" w:type="pct"/>
            <w:shd w:val="clear" w:color="auto" w:fill="auto"/>
          </w:tcPr>
          <w:p w:rsidR="00B60984" w:rsidRPr="00B60984" w:rsidP="00B60984" w14:paraId="25856C0F"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0A8F4D80"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369CD701"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39F12159"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729920F4"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779237BC" w14:textId="77777777">
            <w:pPr>
              <w:spacing w:after="0" w:line="240" w:lineRule="auto"/>
              <w:rPr>
                <w:rFonts w:eastAsia="Times New Roman"/>
                <w:color w:val="000000"/>
                <w:sz w:val="18"/>
                <w:szCs w:val="18"/>
              </w:rPr>
            </w:pPr>
            <w:r w:rsidRPr="00B60984">
              <w:rPr>
                <w:rFonts w:eastAsia="Times New Roman"/>
                <w:color w:val="000000"/>
                <w:sz w:val="18"/>
                <w:szCs w:val="18"/>
              </w:rPr>
              <w:t xml:space="preserve">Page 74 – “Actual Full-time Equivalent (FTE) Jobs Created or Retained at Businesses Financed” Section – Regarding the new requirement that “This field must be reported within 36 months of origination,” we request 1) that this language be removed entirely to prevent complexity by creating </w:t>
            </w:r>
            <w:r w:rsidRPr="00B60984">
              <w:rPr>
                <w:rFonts w:eastAsia="Times New Roman"/>
                <w:color w:val="000000"/>
                <w:sz w:val="18"/>
                <w:szCs w:val="18"/>
              </w:rPr>
              <w:t xml:space="preserve">different reporting deadlines for specific jobs fields or 2) increasing the reporting deadline to 48 months and making the requirement consistent with all Actual Jobs reporting fields. The additional 12 months for reporting would be helpful for projects with longer construction periods and/or longer ramp-up periods. For example, health centers often take 3-4 years after construction completion to reach full capacity. We also request that the guidance specifically allows the CDE to update this field one time after the jobs </w:t>
            </w:r>
            <w:r w:rsidRPr="00B60984">
              <w:rPr>
                <w:rFonts w:eastAsia="Times New Roman"/>
                <w:color w:val="000000"/>
                <w:sz w:val="18"/>
                <w:szCs w:val="18"/>
              </w:rPr>
              <w:t>are</w:t>
            </w:r>
            <w:r w:rsidRPr="00B60984">
              <w:rPr>
                <w:rFonts w:eastAsia="Times New Roman"/>
                <w:color w:val="000000"/>
                <w:sz w:val="18"/>
                <w:szCs w:val="18"/>
              </w:rPr>
              <w:t xml:space="preserve"> first reported if job create lags beyond the 48 months. This is currently available through a service request after actual jobs are created.</w:t>
            </w:r>
          </w:p>
        </w:tc>
        <w:tc>
          <w:tcPr>
            <w:tcW w:w="819" w:type="pct"/>
            <w:shd w:val="clear" w:color="auto" w:fill="auto"/>
          </w:tcPr>
          <w:p w:rsidR="00B60984" w:rsidRPr="00B60984" w:rsidP="00B60984" w14:paraId="3F711451" w14:textId="274087A7">
            <w:pPr>
              <w:spacing w:after="0" w:line="240" w:lineRule="auto"/>
              <w:rPr>
                <w:rFonts w:eastAsia="Times New Roman"/>
                <w:color w:val="000000"/>
                <w:sz w:val="18"/>
                <w:szCs w:val="18"/>
              </w:rPr>
            </w:pPr>
            <w:r w:rsidRPr="00B60984">
              <w:rPr>
                <w:rFonts w:eastAsia="Times New Roman"/>
                <w:color w:val="000000"/>
                <w:sz w:val="18"/>
                <w:szCs w:val="18"/>
              </w:rPr>
              <w:t xml:space="preserve">The CDFI Fund will </w:t>
            </w:r>
            <w:r w:rsidRPr="00B60984">
              <w:rPr>
                <w:rFonts w:eastAsia="Times New Roman"/>
                <w:color w:val="000000"/>
                <w:sz w:val="18"/>
                <w:szCs w:val="18"/>
              </w:rPr>
              <w:t>keep  36</w:t>
            </w:r>
            <w:r w:rsidRPr="00B60984">
              <w:rPr>
                <w:rFonts w:eastAsia="Times New Roman"/>
                <w:color w:val="000000"/>
                <w:sz w:val="18"/>
                <w:szCs w:val="18"/>
              </w:rPr>
              <w:t xml:space="preserve"> months and not 48 months </w:t>
            </w:r>
            <w:r w:rsidR="00BB479D">
              <w:rPr>
                <w:rFonts w:eastAsia="Times New Roman"/>
                <w:color w:val="000000"/>
                <w:sz w:val="18"/>
                <w:szCs w:val="18"/>
              </w:rPr>
              <w:t>to ensure timely reporting of outcomes at the point most projects stabilize</w:t>
            </w:r>
            <w:r w:rsidRPr="00B60984">
              <w:rPr>
                <w:rFonts w:eastAsia="Times New Roman"/>
                <w:color w:val="000000"/>
                <w:sz w:val="18"/>
                <w:szCs w:val="18"/>
              </w:rPr>
              <w:t xml:space="preserve">. </w:t>
            </w:r>
          </w:p>
          <w:p w:rsidR="00B60984" w:rsidRPr="00B60984" w:rsidP="00B60984" w14:paraId="70254C5A" w14:textId="77777777">
            <w:pPr>
              <w:spacing w:after="0" w:line="240" w:lineRule="auto"/>
              <w:rPr>
                <w:rFonts w:eastAsia="Times New Roman"/>
                <w:color w:val="000000"/>
                <w:sz w:val="18"/>
                <w:szCs w:val="18"/>
              </w:rPr>
            </w:pPr>
          </w:p>
          <w:p w:rsidR="00B60984" w:rsidRPr="00B60984" w:rsidP="00B60984" w14:paraId="61EF0C3C" w14:textId="77777777">
            <w:pPr>
              <w:spacing w:after="0" w:line="240" w:lineRule="auto"/>
              <w:rPr>
                <w:rFonts w:eastAsia="Times New Roman"/>
                <w:color w:val="000000"/>
                <w:sz w:val="18"/>
                <w:szCs w:val="18"/>
              </w:rPr>
            </w:pPr>
            <w:r w:rsidRPr="00B60984">
              <w:rPr>
                <w:rFonts w:eastAsia="Times New Roman"/>
                <w:color w:val="000000"/>
                <w:sz w:val="18"/>
                <w:szCs w:val="18"/>
              </w:rPr>
              <w:t xml:space="preserve">  </w:t>
            </w:r>
          </w:p>
        </w:tc>
      </w:tr>
      <w:tr w14:paraId="15B8AA17" w14:textId="77777777" w:rsidTr="00B86BBF">
        <w:tblPrEx>
          <w:tblW w:w="5000" w:type="pct"/>
          <w:tblLook w:val="04A0"/>
        </w:tblPrEx>
        <w:tc>
          <w:tcPr>
            <w:tcW w:w="468" w:type="pct"/>
            <w:shd w:val="clear" w:color="auto" w:fill="auto"/>
          </w:tcPr>
          <w:p w:rsidR="00B60984" w:rsidRPr="00B60984" w:rsidP="00B60984" w14:paraId="0514BFAF" w14:textId="77777777">
            <w:pPr>
              <w:spacing w:after="0" w:line="240" w:lineRule="auto"/>
              <w:rPr>
                <w:rFonts w:eastAsia="Times New Roman"/>
                <w:color w:val="000000"/>
                <w:sz w:val="18"/>
                <w:szCs w:val="18"/>
              </w:rPr>
            </w:pPr>
            <w:r w:rsidRPr="00B60984">
              <w:rPr>
                <w:rFonts w:eastAsia="Times New Roman"/>
                <w:color w:val="000000"/>
                <w:sz w:val="18"/>
                <w:szCs w:val="18"/>
              </w:rPr>
              <w:t>38</w:t>
            </w:r>
          </w:p>
        </w:tc>
        <w:tc>
          <w:tcPr>
            <w:tcW w:w="594" w:type="pct"/>
            <w:shd w:val="clear" w:color="auto" w:fill="auto"/>
          </w:tcPr>
          <w:p w:rsidR="00B60984" w:rsidRPr="00B60984" w:rsidP="00B60984" w14:paraId="080A499C"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0DB69F85"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32126D7C"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07FF026B"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5D0C8A93"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452D2316" w14:textId="77777777">
            <w:pPr>
              <w:spacing w:after="0" w:line="240" w:lineRule="auto"/>
              <w:rPr>
                <w:rFonts w:eastAsia="Times New Roman"/>
                <w:color w:val="000000"/>
                <w:sz w:val="18"/>
                <w:szCs w:val="18"/>
              </w:rPr>
            </w:pPr>
            <w:r w:rsidRPr="00B60984">
              <w:rPr>
                <w:rFonts w:eastAsia="Times New Roman"/>
                <w:color w:val="000000"/>
                <w:sz w:val="18"/>
                <w:szCs w:val="18"/>
              </w:rPr>
              <w:t>Page 75 – “Actual Jobs Created (Construction)” Section - We request the reporting methodology for both projected and actual construction jobs be the FTE methodology for consistency in reporting and for the reasons discussed above.</w:t>
            </w:r>
          </w:p>
        </w:tc>
        <w:tc>
          <w:tcPr>
            <w:tcW w:w="819" w:type="pct"/>
            <w:shd w:val="clear" w:color="auto" w:fill="auto"/>
          </w:tcPr>
          <w:p w:rsidR="00B60984" w:rsidRPr="00B60984" w:rsidP="00B60984" w14:paraId="6FA7DC3B" w14:textId="77777777">
            <w:pPr>
              <w:spacing w:after="0" w:line="240" w:lineRule="auto"/>
              <w:rPr>
                <w:rFonts w:eastAsia="Times New Roman"/>
                <w:color w:val="FF0000"/>
                <w:sz w:val="18"/>
                <w:szCs w:val="18"/>
              </w:rPr>
            </w:pPr>
            <w:r w:rsidRPr="00B60984">
              <w:rPr>
                <w:rFonts w:eastAsia="Times New Roman"/>
                <w:color w:val="000000"/>
                <w:sz w:val="18"/>
                <w:szCs w:val="18"/>
              </w:rPr>
              <w:t>The CDFI Fund will make the switch to Full-Time Equivalent (FTE) for consistency across job categories.</w:t>
            </w:r>
          </w:p>
        </w:tc>
      </w:tr>
      <w:tr w14:paraId="5AFE60F3" w14:textId="77777777" w:rsidTr="00B86BBF">
        <w:tblPrEx>
          <w:tblW w:w="5000" w:type="pct"/>
          <w:tblLook w:val="04A0"/>
        </w:tblPrEx>
        <w:tc>
          <w:tcPr>
            <w:tcW w:w="468" w:type="pct"/>
            <w:shd w:val="clear" w:color="auto" w:fill="auto"/>
          </w:tcPr>
          <w:p w:rsidR="00B60984" w:rsidRPr="00B60984" w:rsidP="00B60984" w14:paraId="6861E222" w14:textId="77777777">
            <w:pPr>
              <w:spacing w:after="0" w:line="240" w:lineRule="auto"/>
              <w:rPr>
                <w:rFonts w:eastAsia="Times New Roman"/>
                <w:color w:val="000000"/>
                <w:sz w:val="18"/>
                <w:szCs w:val="18"/>
              </w:rPr>
            </w:pPr>
            <w:r w:rsidRPr="00B60984">
              <w:rPr>
                <w:rFonts w:eastAsia="Times New Roman"/>
                <w:color w:val="000000"/>
                <w:sz w:val="18"/>
                <w:szCs w:val="18"/>
              </w:rPr>
              <w:t>39</w:t>
            </w:r>
          </w:p>
        </w:tc>
        <w:tc>
          <w:tcPr>
            <w:tcW w:w="594" w:type="pct"/>
            <w:shd w:val="clear" w:color="auto" w:fill="auto"/>
          </w:tcPr>
          <w:p w:rsidR="00B60984" w:rsidRPr="00B60984" w:rsidP="00B60984" w14:paraId="0E2D31E2"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76DF646B"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731C5B59"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21E9568D"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0FAA2462"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0D42902F" w14:textId="77777777">
            <w:pPr>
              <w:spacing w:after="0" w:line="240" w:lineRule="auto"/>
              <w:rPr>
                <w:rFonts w:eastAsia="Times New Roman"/>
                <w:color w:val="000000"/>
                <w:sz w:val="18"/>
                <w:szCs w:val="18"/>
              </w:rPr>
            </w:pPr>
            <w:r w:rsidRPr="00B60984">
              <w:rPr>
                <w:rFonts w:eastAsia="Times New Roman"/>
                <w:color w:val="000000"/>
                <w:sz w:val="18"/>
                <w:szCs w:val="18"/>
              </w:rPr>
              <w:t>Page 75 – “Actual Jobs to Be Created at Tenant Businesses” Section - We request this section be revised to “Actual Jobs to Be Created or Retained at Tenant Businesses” to mirror the language in the previous section and provide clarity for CDEs reporting retained jobs at Tenant Businesses.</w:t>
            </w:r>
          </w:p>
        </w:tc>
        <w:tc>
          <w:tcPr>
            <w:tcW w:w="819" w:type="pct"/>
            <w:shd w:val="clear" w:color="auto" w:fill="auto"/>
          </w:tcPr>
          <w:p w:rsidR="00B60984" w:rsidRPr="00B60984" w:rsidP="00B60984" w14:paraId="4DA2009D" w14:textId="77777777">
            <w:pPr>
              <w:spacing w:after="0" w:line="240" w:lineRule="auto"/>
              <w:rPr>
                <w:rFonts w:eastAsia="Times New Roman"/>
                <w:color w:val="000000"/>
                <w:sz w:val="18"/>
                <w:szCs w:val="18"/>
              </w:rPr>
            </w:pPr>
            <w:r w:rsidRPr="00B60984">
              <w:rPr>
                <w:rFonts w:eastAsia="Times New Roman"/>
                <w:color w:val="000000"/>
                <w:sz w:val="18"/>
                <w:szCs w:val="18"/>
              </w:rPr>
              <w:t>The CDFI Fund will make the change for consistency</w:t>
            </w:r>
          </w:p>
        </w:tc>
      </w:tr>
      <w:tr w14:paraId="717DEEFB" w14:textId="77777777" w:rsidTr="00B86BBF">
        <w:tblPrEx>
          <w:tblW w:w="5000" w:type="pct"/>
          <w:tblLook w:val="04A0"/>
        </w:tblPrEx>
        <w:tc>
          <w:tcPr>
            <w:tcW w:w="468" w:type="pct"/>
            <w:shd w:val="clear" w:color="auto" w:fill="auto"/>
          </w:tcPr>
          <w:p w:rsidR="00B60984" w:rsidRPr="00B60984" w:rsidP="00B60984" w14:paraId="6BDA22EA" w14:textId="77777777">
            <w:pPr>
              <w:spacing w:after="0" w:line="240" w:lineRule="auto"/>
              <w:rPr>
                <w:rFonts w:eastAsia="Times New Roman"/>
                <w:color w:val="000000"/>
                <w:sz w:val="18"/>
                <w:szCs w:val="18"/>
              </w:rPr>
            </w:pPr>
            <w:r w:rsidRPr="00B60984">
              <w:rPr>
                <w:rFonts w:eastAsia="Times New Roman"/>
                <w:color w:val="000000"/>
                <w:sz w:val="18"/>
                <w:szCs w:val="18"/>
              </w:rPr>
              <w:t>40</w:t>
            </w:r>
          </w:p>
        </w:tc>
        <w:tc>
          <w:tcPr>
            <w:tcW w:w="594" w:type="pct"/>
            <w:shd w:val="clear" w:color="auto" w:fill="auto"/>
          </w:tcPr>
          <w:p w:rsidR="00B60984" w:rsidRPr="00B60984" w:rsidP="00B60984" w14:paraId="2A7A66A4"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34C07054"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55A21CAF"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47333B11"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136DDEAF"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79049B70" w14:textId="77777777">
            <w:pPr>
              <w:spacing w:after="0" w:line="240" w:lineRule="auto"/>
              <w:rPr>
                <w:rFonts w:eastAsia="Times New Roman"/>
                <w:color w:val="000000"/>
                <w:sz w:val="18"/>
                <w:szCs w:val="18"/>
              </w:rPr>
            </w:pPr>
            <w:r w:rsidRPr="00B60984">
              <w:rPr>
                <w:rFonts w:eastAsia="Times New Roman"/>
                <w:color w:val="000000"/>
                <w:sz w:val="18"/>
                <w:szCs w:val="18"/>
              </w:rPr>
              <w:t xml:space="preserve">Page 77 – “Job Quality Measures” Section – We request that the CDFI Fund add a data point for “Number of Quality Jobs”, </w:t>
            </w:r>
            <w:r w:rsidRPr="00B60984">
              <w:rPr>
                <w:rFonts w:eastAsia="Times New Roman"/>
                <w:color w:val="000000"/>
                <w:sz w:val="18"/>
                <w:szCs w:val="18"/>
              </w:rPr>
              <w:t>similar to</w:t>
            </w:r>
            <w:r w:rsidRPr="00B60984">
              <w:rPr>
                <w:rFonts w:eastAsia="Times New Roman"/>
                <w:color w:val="000000"/>
                <w:sz w:val="18"/>
                <w:szCs w:val="18"/>
              </w:rPr>
              <w:t xml:space="preserve"> “Number of Accessible Jobs” on page 79. We also request that allocatees be able to simply report the number of created and retained quality FTEs rather than using the specific categories listed as the latter creates reporting complexity. We also suggest that this field be EXCLUDED as a Multi-CDE field for the reasons discussed above.</w:t>
            </w:r>
          </w:p>
        </w:tc>
        <w:tc>
          <w:tcPr>
            <w:tcW w:w="819" w:type="pct"/>
            <w:shd w:val="clear" w:color="auto" w:fill="auto"/>
          </w:tcPr>
          <w:p w:rsidR="00B60984" w:rsidRPr="00B60984" w:rsidP="00B60984" w14:paraId="40CC1CE9" w14:textId="77777777">
            <w:pPr>
              <w:spacing w:after="0" w:line="240" w:lineRule="auto"/>
              <w:rPr>
                <w:rFonts w:eastAsia="Times New Roman"/>
                <w:color w:val="000000"/>
                <w:sz w:val="18"/>
                <w:szCs w:val="18"/>
              </w:rPr>
            </w:pPr>
            <w:r w:rsidRPr="00B60984">
              <w:rPr>
                <w:rFonts w:eastAsia="Times New Roman"/>
                <w:color w:val="000000"/>
                <w:sz w:val="18"/>
                <w:szCs w:val="18"/>
              </w:rPr>
              <w:t xml:space="preserve">The CDFI Fund will add the Number of Quality Jobs Measure data field after user selects the features of Quality Jobs. This field will NOT be excluded from </w:t>
            </w:r>
            <w:r w:rsidRPr="00B60984">
              <w:rPr>
                <w:rFonts w:eastAsia="Times New Roman"/>
                <w:color w:val="000000"/>
                <w:sz w:val="18"/>
                <w:szCs w:val="18"/>
              </w:rPr>
              <w:t>Multi-CDE</w:t>
            </w:r>
            <w:r w:rsidRPr="00B60984">
              <w:rPr>
                <w:rFonts w:eastAsia="Times New Roman"/>
                <w:color w:val="000000"/>
                <w:sz w:val="18"/>
                <w:szCs w:val="18"/>
              </w:rPr>
              <w:t xml:space="preserve"> field.</w:t>
            </w:r>
          </w:p>
        </w:tc>
      </w:tr>
      <w:tr w14:paraId="76ADC18F" w14:textId="77777777" w:rsidTr="00B86BBF">
        <w:tblPrEx>
          <w:tblW w:w="5000" w:type="pct"/>
          <w:tblLook w:val="04A0"/>
        </w:tblPrEx>
        <w:tc>
          <w:tcPr>
            <w:tcW w:w="468" w:type="pct"/>
            <w:shd w:val="clear" w:color="auto" w:fill="auto"/>
          </w:tcPr>
          <w:p w:rsidR="00B60984" w:rsidRPr="00B60984" w:rsidP="00B60984" w14:paraId="0746194F" w14:textId="77777777">
            <w:pPr>
              <w:spacing w:after="0" w:line="240" w:lineRule="auto"/>
              <w:rPr>
                <w:rFonts w:eastAsia="Times New Roman"/>
                <w:color w:val="000000"/>
                <w:sz w:val="18"/>
                <w:szCs w:val="18"/>
              </w:rPr>
            </w:pPr>
            <w:r w:rsidRPr="00B60984">
              <w:rPr>
                <w:rFonts w:eastAsia="Times New Roman"/>
                <w:color w:val="000000"/>
                <w:sz w:val="18"/>
                <w:szCs w:val="18"/>
              </w:rPr>
              <w:t>41</w:t>
            </w:r>
          </w:p>
        </w:tc>
        <w:tc>
          <w:tcPr>
            <w:tcW w:w="594" w:type="pct"/>
            <w:shd w:val="clear" w:color="auto" w:fill="auto"/>
          </w:tcPr>
          <w:p w:rsidR="00B60984" w:rsidRPr="00B60984" w:rsidP="00B60984" w14:paraId="2745A492"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35C749B5"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39638856"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3A720E14"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4492F001"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540E2EED" w14:textId="77777777">
            <w:pPr>
              <w:spacing w:after="0" w:line="240" w:lineRule="auto"/>
              <w:rPr>
                <w:rFonts w:eastAsia="Times New Roman"/>
                <w:color w:val="000000"/>
                <w:sz w:val="18"/>
                <w:szCs w:val="18"/>
              </w:rPr>
            </w:pPr>
            <w:r w:rsidRPr="00B60984">
              <w:rPr>
                <w:rFonts w:eastAsia="Times New Roman"/>
                <w:color w:val="000000"/>
                <w:sz w:val="18"/>
                <w:szCs w:val="18"/>
              </w:rPr>
              <w:t>Page 77 – “Job Quality Measures” Section – This comment is only applicable if the above request is rejected. Under the “Livable Wage” portion, we request the language is updated to the following: “Classification based on third party method to analyze employee earnings necessary to meet a household’s basic needs and maintain self-sufficiency based on regional data.” This will align with the MIT Living Wage Calculator broadly used in the industry.</w:t>
            </w:r>
          </w:p>
        </w:tc>
        <w:tc>
          <w:tcPr>
            <w:tcW w:w="819" w:type="pct"/>
            <w:shd w:val="clear" w:color="auto" w:fill="auto"/>
          </w:tcPr>
          <w:p w:rsidR="00B60984" w:rsidRPr="00B60984" w:rsidP="00B60984" w14:paraId="3F2B2EC3" w14:textId="77777777">
            <w:pPr>
              <w:spacing w:after="0" w:line="240" w:lineRule="auto"/>
              <w:rPr>
                <w:rFonts w:eastAsia="Times New Roman"/>
                <w:color w:val="000000"/>
                <w:sz w:val="18"/>
                <w:szCs w:val="18"/>
              </w:rPr>
            </w:pPr>
            <w:r w:rsidRPr="00B60984">
              <w:rPr>
                <w:rFonts w:eastAsia="Times New Roman"/>
                <w:color w:val="000000"/>
                <w:sz w:val="18"/>
                <w:szCs w:val="18"/>
              </w:rPr>
              <w:t>The CDFI Fund agrees with this comment and will use “household” instead of “family” in the current guidance.</w:t>
            </w:r>
          </w:p>
        </w:tc>
      </w:tr>
      <w:tr w14:paraId="33B5706B" w14:textId="77777777" w:rsidTr="00B86BBF">
        <w:tblPrEx>
          <w:tblW w:w="5000" w:type="pct"/>
          <w:tblLook w:val="04A0"/>
        </w:tblPrEx>
        <w:tc>
          <w:tcPr>
            <w:tcW w:w="468" w:type="pct"/>
            <w:shd w:val="clear" w:color="auto" w:fill="auto"/>
          </w:tcPr>
          <w:p w:rsidR="00B60984" w:rsidRPr="00B60984" w:rsidP="00B60984" w14:paraId="02E7792C" w14:textId="77777777">
            <w:pPr>
              <w:spacing w:after="0" w:line="240" w:lineRule="auto"/>
              <w:rPr>
                <w:rFonts w:eastAsia="Times New Roman"/>
                <w:color w:val="000000"/>
                <w:sz w:val="18"/>
                <w:szCs w:val="18"/>
              </w:rPr>
            </w:pPr>
            <w:r w:rsidRPr="00B60984">
              <w:rPr>
                <w:rFonts w:eastAsia="Times New Roman"/>
                <w:color w:val="000000"/>
                <w:sz w:val="18"/>
                <w:szCs w:val="18"/>
              </w:rPr>
              <w:t>42</w:t>
            </w:r>
          </w:p>
        </w:tc>
        <w:tc>
          <w:tcPr>
            <w:tcW w:w="594" w:type="pct"/>
            <w:shd w:val="clear" w:color="auto" w:fill="auto"/>
          </w:tcPr>
          <w:p w:rsidR="00B60984" w:rsidRPr="00B60984" w:rsidP="00B60984" w14:paraId="052047F5"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4275339C"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2549BB96"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18AE1E78"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6AD3A52D"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5474A968" w14:textId="77777777">
            <w:pPr>
              <w:spacing w:after="0" w:line="240" w:lineRule="auto"/>
              <w:rPr>
                <w:rFonts w:eastAsia="Times New Roman"/>
                <w:color w:val="000000"/>
                <w:sz w:val="18"/>
                <w:szCs w:val="18"/>
              </w:rPr>
            </w:pPr>
            <w:r w:rsidRPr="00B60984">
              <w:rPr>
                <w:rFonts w:eastAsia="Times New Roman"/>
                <w:color w:val="000000"/>
                <w:sz w:val="18"/>
                <w:szCs w:val="18"/>
              </w:rPr>
              <w:t xml:space="preserve">Page 78 – “Identify Accessible Jobs Measure” Section – We request this section be removed entirely and CDEs only report on the number of created and retained accessible jobs at the project. If not removed, we request that a CDE should be allowed to select all measures that apply since they may be </w:t>
            </w:r>
            <w:r w:rsidRPr="00B60984">
              <w:rPr>
                <w:rFonts w:eastAsia="Times New Roman"/>
                <w:color w:val="000000"/>
                <w:sz w:val="18"/>
                <w:szCs w:val="18"/>
              </w:rPr>
              <w:t>counting jobs from multiple categories.</w:t>
            </w:r>
          </w:p>
        </w:tc>
        <w:tc>
          <w:tcPr>
            <w:tcW w:w="819" w:type="pct"/>
            <w:shd w:val="clear" w:color="auto" w:fill="auto"/>
          </w:tcPr>
          <w:p w:rsidR="00B60984" w:rsidRPr="00B60984" w:rsidP="00B60984" w14:paraId="1A93D094" w14:textId="6B2560B6">
            <w:pPr>
              <w:spacing w:after="0" w:line="240" w:lineRule="auto"/>
              <w:rPr>
                <w:rFonts w:eastAsia="Times New Roman"/>
                <w:color w:val="000000"/>
                <w:sz w:val="18"/>
                <w:szCs w:val="18"/>
              </w:rPr>
            </w:pPr>
            <w:r w:rsidRPr="00B60984">
              <w:rPr>
                <w:rFonts w:eastAsia="Times New Roman"/>
                <w:color w:val="000000"/>
                <w:sz w:val="18"/>
                <w:szCs w:val="18"/>
              </w:rPr>
              <w:t xml:space="preserve">The CDFI Fund will change the Accessible Jobs Measure to allow users to select all that </w:t>
            </w:r>
            <w:r w:rsidRPr="00B60984">
              <w:rPr>
                <w:rFonts w:eastAsia="Times New Roman"/>
                <w:color w:val="000000"/>
                <w:sz w:val="18"/>
                <w:szCs w:val="18"/>
              </w:rPr>
              <w:t>apply, and</w:t>
            </w:r>
            <w:r w:rsidRPr="00B60984">
              <w:rPr>
                <w:rFonts w:eastAsia="Times New Roman"/>
                <w:color w:val="000000"/>
                <w:sz w:val="18"/>
                <w:szCs w:val="18"/>
              </w:rPr>
              <w:t xml:space="preserve"> will provide additional guidance on the number data field language</w:t>
            </w:r>
            <w:r w:rsidR="008026E7">
              <w:rPr>
                <w:rFonts w:eastAsia="Times New Roman"/>
                <w:color w:val="000000"/>
                <w:sz w:val="18"/>
                <w:szCs w:val="18"/>
              </w:rPr>
              <w:t>.</w:t>
            </w:r>
          </w:p>
        </w:tc>
      </w:tr>
      <w:tr w14:paraId="38ABA6B8" w14:textId="77777777" w:rsidTr="00B86BBF">
        <w:tblPrEx>
          <w:tblW w:w="5000" w:type="pct"/>
          <w:tblLook w:val="04A0"/>
        </w:tblPrEx>
        <w:tc>
          <w:tcPr>
            <w:tcW w:w="468" w:type="pct"/>
            <w:shd w:val="clear" w:color="auto" w:fill="auto"/>
          </w:tcPr>
          <w:p w:rsidR="00B60984" w:rsidRPr="00B60984" w:rsidP="00B60984" w14:paraId="52A68A9E" w14:textId="77777777">
            <w:pPr>
              <w:spacing w:after="0" w:line="240" w:lineRule="auto"/>
              <w:rPr>
                <w:rFonts w:eastAsia="Times New Roman"/>
                <w:color w:val="000000"/>
                <w:sz w:val="18"/>
                <w:szCs w:val="18"/>
              </w:rPr>
            </w:pPr>
            <w:r w:rsidRPr="00B60984">
              <w:rPr>
                <w:rFonts w:eastAsia="Times New Roman"/>
                <w:color w:val="000000"/>
                <w:sz w:val="18"/>
                <w:szCs w:val="18"/>
              </w:rPr>
              <w:t>43</w:t>
            </w:r>
          </w:p>
        </w:tc>
        <w:tc>
          <w:tcPr>
            <w:tcW w:w="594" w:type="pct"/>
            <w:shd w:val="clear" w:color="auto" w:fill="auto"/>
          </w:tcPr>
          <w:p w:rsidR="00B60984" w:rsidRPr="00B60984" w:rsidP="00B60984" w14:paraId="5A20AFC1"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33036F95"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25DC7342"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153E736F"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17DF359B" w14:textId="77777777">
            <w:pPr>
              <w:spacing w:after="0" w:line="240" w:lineRule="auto"/>
              <w:rPr>
                <w:rFonts w:eastAsia="Times New Roman"/>
                <w:color w:val="000000"/>
                <w:sz w:val="18"/>
                <w:szCs w:val="18"/>
              </w:rPr>
            </w:pPr>
            <w:r w:rsidRPr="00B60984">
              <w:rPr>
                <w:rFonts w:eastAsia="Times New Roman"/>
                <w:color w:val="000000"/>
                <w:sz w:val="18"/>
                <w:szCs w:val="18"/>
              </w:rPr>
              <w:t>Project Outcomes - Jobs</w:t>
            </w:r>
          </w:p>
        </w:tc>
        <w:tc>
          <w:tcPr>
            <w:tcW w:w="1053" w:type="pct"/>
            <w:shd w:val="clear" w:color="auto" w:fill="auto"/>
          </w:tcPr>
          <w:p w:rsidR="00B60984" w:rsidRPr="00B60984" w:rsidP="00B60984" w14:paraId="69182B56" w14:textId="77777777">
            <w:pPr>
              <w:spacing w:after="0" w:line="240" w:lineRule="auto"/>
              <w:rPr>
                <w:rFonts w:eastAsia="Times New Roman"/>
                <w:color w:val="000000"/>
                <w:sz w:val="18"/>
                <w:szCs w:val="18"/>
              </w:rPr>
            </w:pPr>
            <w:r w:rsidRPr="00B60984">
              <w:rPr>
                <w:rFonts w:eastAsia="Times New Roman"/>
                <w:color w:val="000000"/>
                <w:sz w:val="18"/>
                <w:szCs w:val="18"/>
              </w:rPr>
              <w:t xml:space="preserve">Page 79 – “Number of Accessible Jobs” Section – We request the reporting methodology use the FTE methodology and the reporting deadline (i.e., 36-48 months after origination) be applied for consistency in reporting. We also request that the guidance specifically allows the CDE to update this field one time after the jobs </w:t>
            </w:r>
            <w:r w:rsidRPr="00B60984">
              <w:rPr>
                <w:rFonts w:eastAsia="Times New Roman"/>
                <w:color w:val="000000"/>
                <w:sz w:val="18"/>
                <w:szCs w:val="18"/>
              </w:rPr>
              <w:t>are</w:t>
            </w:r>
            <w:r w:rsidRPr="00B60984">
              <w:rPr>
                <w:rFonts w:eastAsia="Times New Roman"/>
                <w:color w:val="000000"/>
                <w:sz w:val="18"/>
                <w:szCs w:val="18"/>
              </w:rPr>
              <w:t xml:space="preserve"> first reported if job create lags beyond the 48 months. This is currently available through a service request after actual jobs are created.</w:t>
            </w:r>
          </w:p>
        </w:tc>
        <w:tc>
          <w:tcPr>
            <w:tcW w:w="819" w:type="pct"/>
            <w:shd w:val="clear" w:color="auto" w:fill="auto"/>
          </w:tcPr>
          <w:p w:rsidR="00B60984" w:rsidRPr="00B60984" w:rsidP="00B60984" w14:paraId="5F436CA4" w14:textId="77777777">
            <w:pPr>
              <w:spacing w:after="0" w:line="240" w:lineRule="auto"/>
              <w:rPr>
                <w:rFonts w:eastAsia="Times New Roman"/>
                <w:color w:val="FF0000"/>
                <w:sz w:val="18"/>
                <w:szCs w:val="18"/>
              </w:rPr>
            </w:pPr>
            <w:r w:rsidRPr="00B60984">
              <w:rPr>
                <w:rFonts w:eastAsia="Times New Roman"/>
                <w:color w:val="000000"/>
                <w:sz w:val="18"/>
                <w:szCs w:val="18"/>
              </w:rPr>
              <w:t>The CDFI Fund will make the switch to Full-Time Equivalent (FTE) for consistency across job categories.</w:t>
            </w:r>
          </w:p>
        </w:tc>
      </w:tr>
      <w:tr w14:paraId="6D107536" w14:textId="77777777" w:rsidTr="00B86BBF">
        <w:tblPrEx>
          <w:tblW w:w="5000" w:type="pct"/>
          <w:tblLook w:val="04A0"/>
        </w:tblPrEx>
        <w:tc>
          <w:tcPr>
            <w:tcW w:w="468" w:type="pct"/>
            <w:shd w:val="clear" w:color="auto" w:fill="auto"/>
          </w:tcPr>
          <w:p w:rsidR="00B60984" w:rsidRPr="00B60984" w:rsidP="00B60984" w14:paraId="2C27C433" w14:textId="77777777">
            <w:pPr>
              <w:spacing w:after="0" w:line="240" w:lineRule="auto"/>
              <w:rPr>
                <w:rFonts w:eastAsia="Times New Roman"/>
                <w:color w:val="000000"/>
                <w:sz w:val="18"/>
                <w:szCs w:val="18"/>
              </w:rPr>
            </w:pPr>
            <w:r w:rsidRPr="00B60984">
              <w:rPr>
                <w:rFonts w:eastAsia="Times New Roman"/>
                <w:color w:val="000000"/>
                <w:sz w:val="18"/>
                <w:szCs w:val="18"/>
              </w:rPr>
              <w:t>44</w:t>
            </w:r>
          </w:p>
        </w:tc>
        <w:tc>
          <w:tcPr>
            <w:tcW w:w="594" w:type="pct"/>
            <w:shd w:val="clear" w:color="auto" w:fill="auto"/>
          </w:tcPr>
          <w:p w:rsidR="00B60984" w:rsidRPr="00B60984" w:rsidP="00B60984" w14:paraId="0C9EACD3"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3E58DB64"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71E562C4"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080AF86F"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27E97E49" w14:textId="77777777">
            <w:pPr>
              <w:spacing w:after="0" w:line="240" w:lineRule="auto"/>
              <w:rPr>
                <w:rFonts w:eastAsia="Times New Roman"/>
                <w:color w:val="000000"/>
                <w:sz w:val="18"/>
                <w:szCs w:val="18"/>
              </w:rPr>
            </w:pPr>
            <w:r w:rsidRPr="00B60984">
              <w:rPr>
                <w:rFonts w:eastAsia="Times New Roman"/>
                <w:color w:val="000000"/>
                <w:sz w:val="18"/>
                <w:szCs w:val="18"/>
              </w:rPr>
              <w:t>Project Outcomes</w:t>
            </w:r>
          </w:p>
        </w:tc>
        <w:tc>
          <w:tcPr>
            <w:tcW w:w="1053" w:type="pct"/>
            <w:shd w:val="clear" w:color="auto" w:fill="auto"/>
          </w:tcPr>
          <w:p w:rsidR="00B60984" w:rsidRPr="00B60984" w:rsidP="00B60984" w14:paraId="439E86B1" w14:textId="77777777">
            <w:pPr>
              <w:spacing w:after="0" w:line="240" w:lineRule="auto"/>
              <w:rPr>
                <w:rFonts w:eastAsia="Times New Roman"/>
                <w:color w:val="000000"/>
                <w:sz w:val="18"/>
                <w:szCs w:val="18"/>
              </w:rPr>
            </w:pPr>
            <w:r w:rsidRPr="00B60984">
              <w:rPr>
                <w:rFonts w:eastAsia="Times New Roman"/>
                <w:color w:val="000000"/>
                <w:sz w:val="18"/>
                <w:szCs w:val="18"/>
              </w:rPr>
              <w:t>Page 79 – “Square Feet of Real Estate – Manufacturing” Section – We request this section be revised to “Square Feet of Real Estate – Industrial/Manufacturing” to match language in NMTC application.</w:t>
            </w:r>
          </w:p>
        </w:tc>
        <w:tc>
          <w:tcPr>
            <w:tcW w:w="819" w:type="pct"/>
            <w:shd w:val="clear" w:color="auto" w:fill="auto"/>
          </w:tcPr>
          <w:p w:rsidR="00B60984" w:rsidRPr="00B60984" w:rsidP="00B60984" w14:paraId="33A21BC7" w14:textId="77777777">
            <w:pPr>
              <w:spacing w:after="0" w:line="240" w:lineRule="auto"/>
              <w:rPr>
                <w:rFonts w:eastAsia="Times New Roman"/>
                <w:color w:val="000000"/>
                <w:sz w:val="18"/>
                <w:szCs w:val="18"/>
              </w:rPr>
            </w:pPr>
            <w:r w:rsidRPr="00B60984">
              <w:rPr>
                <w:rFonts w:eastAsia="Times New Roman"/>
                <w:color w:val="000000"/>
                <w:sz w:val="18"/>
                <w:szCs w:val="18"/>
              </w:rPr>
              <w:t>The CDFI Fund will provide additional guidance to reflect the inclusion of “industrial” to match the language in the NMTC application.</w:t>
            </w:r>
          </w:p>
        </w:tc>
      </w:tr>
      <w:tr w14:paraId="200ED10C" w14:textId="77777777" w:rsidTr="00B86BBF">
        <w:tblPrEx>
          <w:tblW w:w="5000" w:type="pct"/>
          <w:tblLook w:val="04A0"/>
        </w:tblPrEx>
        <w:tc>
          <w:tcPr>
            <w:tcW w:w="468" w:type="pct"/>
            <w:shd w:val="clear" w:color="auto" w:fill="auto"/>
          </w:tcPr>
          <w:p w:rsidR="00B60984" w:rsidRPr="00B60984" w:rsidP="00B60984" w14:paraId="2B6D833E" w14:textId="77777777">
            <w:pPr>
              <w:spacing w:after="0" w:line="240" w:lineRule="auto"/>
              <w:rPr>
                <w:rFonts w:eastAsia="Times New Roman"/>
                <w:color w:val="000000"/>
                <w:sz w:val="18"/>
                <w:szCs w:val="18"/>
              </w:rPr>
            </w:pPr>
            <w:r w:rsidRPr="00B60984">
              <w:rPr>
                <w:rFonts w:eastAsia="Times New Roman"/>
                <w:color w:val="000000"/>
                <w:sz w:val="18"/>
                <w:szCs w:val="18"/>
              </w:rPr>
              <w:t>45</w:t>
            </w:r>
          </w:p>
        </w:tc>
        <w:tc>
          <w:tcPr>
            <w:tcW w:w="594" w:type="pct"/>
            <w:shd w:val="clear" w:color="auto" w:fill="auto"/>
          </w:tcPr>
          <w:p w:rsidR="00B60984" w:rsidRPr="00B60984" w:rsidP="00B60984" w14:paraId="2350A749"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682E531D"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54377732"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6EE49613"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525E39BB" w14:textId="77777777">
            <w:pPr>
              <w:spacing w:after="0" w:line="240" w:lineRule="auto"/>
              <w:rPr>
                <w:rFonts w:eastAsia="Times New Roman"/>
                <w:color w:val="000000"/>
                <w:sz w:val="18"/>
                <w:szCs w:val="18"/>
              </w:rPr>
            </w:pPr>
            <w:r w:rsidRPr="00B60984">
              <w:rPr>
                <w:rFonts w:eastAsia="Times New Roman"/>
                <w:color w:val="000000"/>
                <w:sz w:val="18"/>
                <w:szCs w:val="18"/>
              </w:rPr>
              <w:t>Project Outcomes</w:t>
            </w:r>
          </w:p>
        </w:tc>
        <w:tc>
          <w:tcPr>
            <w:tcW w:w="1053" w:type="pct"/>
            <w:shd w:val="clear" w:color="auto" w:fill="auto"/>
          </w:tcPr>
          <w:p w:rsidR="00B60984" w:rsidRPr="00B60984" w:rsidP="00B60984" w14:paraId="03D9AB41" w14:textId="77777777">
            <w:pPr>
              <w:spacing w:after="0" w:line="240" w:lineRule="auto"/>
              <w:rPr>
                <w:rFonts w:eastAsia="Times New Roman"/>
                <w:color w:val="000000"/>
                <w:sz w:val="18"/>
                <w:szCs w:val="18"/>
              </w:rPr>
            </w:pPr>
            <w:r w:rsidRPr="00B60984">
              <w:rPr>
                <w:rFonts w:eastAsia="Times New Roman"/>
                <w:color w:val="000000"/>
                <w:sz w:val="18"/>
                <w:szCs w:val="18"/>
              </w:rPr>
              <w:t xml:space="preserve">Page 82 – “Number of People Served by Commercial Goods or Services” Section – We request 1) this section be removed entirely due to reporting complexity and lack of available reliable Borrower data (for example, many commercial businesses do not have data available about the number of individual patrons they serve). 2) If not removed, please extend the reporting deadline to 48 months, and specify how to count the number of people </w:t>
            </w:r>
            <w:r w:rsidRPr="00B60984">
              <w:rPr>
                <w:rFonts w:eastAsia="Times New Roman"/>
                <w:color w:val="000000"/>
                <w:sz w:val="18"/>
                <w:szCs w:val="18"/>
              </w:rPr>
              <w:t>served. Also, we request that a CDE can report zero if the project does not include these services. We also suggest that this field be EXCLUDED as a Multi-CDE field.</w:t>
            </w:r>
          </w:p>
        </w:tc>
        <w:tc>
          <w:tcPr>
            <w:tcW w:w="819" w:type="pct"/>
            <w:shd w:val="clear" w:color="auto" w:fill="auto"/>
          </w:tcPr>
          <w:p w:rsidR="00B60984" w:rsidRPr="00B60984" w:rsidP="00B60984" w14:paraId="16BEA189" w14:textId="74705104">
            <w:pPr>
              <w:spacing w:after="0" w:line="240" w:lineRule="auto"/>
              <w:rPr>
                <w:rFonts w:eastAsia="Times New Roman"/>
                <w:color w:val="000000"/>
                <w:sz w:val="18"/>
                <w:szCs w:val="18"/>
              </w:rPr>
            </w:pPr>
            <w:r w:rsidRPr="00B60984">
              <w:rPr>
                <w:rFonts w:eastAsia="Times New Roman"/>
                <w:color w:val="000000"/>
                <w:sz w:val="18"/>
                <w:szCs w:val="18"/>
              </w:rPr>
              <w:t xml:space="preserve">The CDFI Fund </w:t>
            </w:r>
            <w:r w:rsidR="002F572D">
              <w:rPr>
                <w:rFonts w:eastAsia="Times New Roman"/>
                <w:color w:val="000000"/>
                <w:sz w:val="18"/>
                <w:szCs w:val="18"/>
              </w:rPr>
              <w:t xml:space="preserve">will provide </w:t>
            </w:r>
            <w:r w:rsidRPr="00B60984">
              <w:rPr>
                <w:rFonts w:eastAsia="Times New Roman"/>
                <w:color w:val="000000"/>
                <w:sz w:val="18"/>
                <w:szCs w:val="18"/>
              </w:rPr>
              <w:t xml:space="preserve">additional guidance on </w:t>
            </w:r>
            <w:r w:rsidRPr="00B60984">
              <w:rPr>
                <w:rFonts w:eastAsia="Times New Roman"/>
                <w:color w:val="000000"/>
                <w:sz w:val="18"/>
                <w:szCs w:val="18"/>
              </w:rPr>
              <w:t>Multi-CDE</w:t>
            </w:r>
            <w:r w:rsidRPr="00B60984">
              <w:rPr>
                <w:rFonts w:eastAsia="Times New Roman"/>
                <w:color w:val="000000"/>
                <w:sz w:val="18"/>
                <w:szCs w:val="18"/>
              </w:rPr>
              <w:t xml:space="preserve"> reporting. </w:t>
            </w:r>
          </w:p>
          <w:p w:rsidR="00B60984" w:rsidRPr="00B60984" w:rsidP="00B60984" w14:paraId="2A47D04D" w14:textId="77777777">
            <w:pPr>
              <w:spacing w:after="0" w:line="240" w:lineRule="auto"/>
              <w:rPr>
                <w:rFonts w:eastAsia="Times New Roman"/>
                <w:color w:val="000000"/>
                <w:sz w:val="18"/>
                <w:szCs w:val="18"/>
              </w:rPr>
            </w:pPr>
          </w:p>
        </w:tc>
      </w:tr>
      <w:tr w14:paraId="7BE502FF" w14:textId="77777777" w:rsidTr="00B86BBF">
        <w:tblPrEx>
          <w:tblW w:w="5000" w:type="pct"/>
          <w:tblLook w:val="04A0"/>
        </w:tblPrEx>
        <w:tc>
          <w:tcPr>
            <w:tcW w:w="468" w:type="pct"/>
            <w:shd w:val="clear" w:color="auto" w:fill="auto"/>
          </w:tcPr>
          <w:p w:rsidR="00B60984" w:rsidRPr="00B60984" w:rsidP="00B60984" w14:paraId="7376803D" w14:textId="77777777">
            <w:pPr>
              <w:spacing w:after="0" w:line="240" w:lineRule="auto"/>
              <w:rPr>
                <w:rFonts w:eastAsia="Times New Roman"/>
                <w:color w:val="000000"/>
                <w:sz w:val="18"/>
                <w:szCs w:val="18"/>
              </w:rPr>
            </w:pPr>
            <w:r w:rsidRPr="00B60984">
              <w:rPr>
                <w:rFonts w:eastAsia="Times New Roman"/>
                <w:color w:val="000000"/>
                <w:sz w:val="18"/>
                <w:szCs w:val="18"/>
              </w:rPr>
              <w:t>46</w:t>
            </w:r>
          </w:p>
        </w:tc>
        <w:tc>
          <w:tcPr>
            <w:tcW w:w="594" w:type="pct"/>
            <w:shd w:val="clear" w:color="auto" w:fill="auto"/>
          </w:tcPr>
          <w:p w:rsidR="00B60984" w:rsidRPr="00B60984" w:rsidP="00B60984" w14:paraId="24229DEC"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5F1120A7"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2F1E902B"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428D91DF"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4C21E018" w14:textId="77777777">
            <w:pPr>
              <w:spacing w:after="0" w:line="240" w:lineRule="auto"/>
              <w:rPr>
                <w:rFonts w:eastAsia="Times New Roman"/>
                <w:color w:val="000000"/>
                <w:sz w:val="18"/>
                <w:szCs w:val="18"/>
              </w:rPr>
            </w:pPr>
            <w:r w:rsidRPr="00B60984">
              <w:rPr>
                <w:rFonts w:eastAsia="Times New Roman"/>
                <w:color w:val="000000"/>
                <w:sz w:val="18"/>
                <w:szCs w:val="18"/>
              </w:rPr>
              <w:t>Project Outcomes</w:t>
            </w:r>
          </w:p>
        </w:tc>
        <w:tc>
          <w:tcPr>
            <w:tcW w:w="1053" w:type="pct"/>
            <w:shd w:val="clear" w:color="auto" w:fill="auto"/>
          </w:tcPr>
          <w:p w:rsidR="00B60984" w:rsidRPr="00B60984" w:rsidP="00B60984" w14:paraId="4A9EC884" w14:textId="77777777">
            <w:pPr>
              <w:spacing w:after="0" w:line="240" w:lineRule="auto"/>
              <w:rPr>
                <w:rFonts w:eastAsia="Times New Roman"/>
                <w:color w:val="000000"/>
                <w:sz w:val="18"/>
                <w:szCs w:val="18"/>
              </w:rPr>
            </w:pPr>
            <w:r w:rsidRPr="00B60984">
              <w:rPr>
                <w:rFonts w:eastAsia="Times New Roman"/>
                <w:color w:val="000000"/>
                <w:sz w:val="18"/>
                <w:szCs w:val="18"/>
              </w:rPr>
              <w:t xml:space="preserve">Page 83 – “Number of People Served by Community Goods or Services” Section - We request 1) this section be removed entirely due to reporting complexity and differences in CDE methodologies (for example, individual visits/encounters versus unique individuals served). 2) If not removed, please extend the reporting deadline to 48 months given the </w:t>
            </w:r>
            <w:r w:rsidRPr="00B60984">
              <w:rPr>
                <w:rFonts w:eastAsia="Times New Roman"/>
                <w:color w:val="000000"/>
                <w:sz w:val="18"/>
                <w:szCs w:val="18"/>
              </w:rPr>
              <w:t>time period</w:t>
            </w:r>
            <w:r w:rsidRPr="00B60984">
              <w:rPr>
                <w:rFonts w:eastAsia="Times New Roman"/>
                <w:color w:val="000000"/>
                <w:sz w:val="18"/>
                <w:szCs w:val="18"/>
              </w:rPr>
              <w:t xml:space="preserve"> required for ramp-up to full stabilization often observed at community facility projects. Also, please specify how to count the number of people served. For example, if the service is medical related, do you count the number of visits or the number of individual patients that use the service? One patient may visit multiple times a year. Also, we request that a CDE can report zero if the project does not include these services. We also suggest that this field be EXCLUDED as a Multi-CDE field.</w:t>
            </w:r>
          </w:p>
        </w:tc>
        <w:tc>
          <w:tcPr>
            <w:tcW w:w="819" w:type="pct"/>
            <w:shd w:val="clear" w:color="auto" w:fill="auto"/>
          </w:tcPr>
          <w:p w:rsidR="00B60984" w:rsidRPr="00B60984" w:rsidP="00B60984" w14:paraId="58D104CD" w14:textId="368D501C">
            <w:pPr>
              <w:spacing w:after="0" w:line="240" w:lineRule="auto"/>
              <w:rPr>
                <w:rFonts w:eastAsia="Times New Roman"/>
                <w:color w:val="000000"/>
                <w:sz w:val="18"/>
                <w:szCs w:val="18"/>
              </w:rPr>
            </w:pPr>
            <w:r w:rsidRPr="00B60984">
              <w:rPr>
                <w:rFonts w:eastAsia="Times New Roman"/>
                <w:color w:val="000000"/>
                <w:sz w:val="18"/>
                <w:szCs w:val="18"/>
              </w:rPr>
              <w:t xml:space="preserve">The CDFI Fund </w:t>
            </w:r>
            <w:r w:rsidR="002F572D">
              <w:rPr>
                <w:rFonts w:eastAsia="Times New Roman"/>
                <w:color w:val="000000"/>
                <w:sz w:val="18"/>
                <w:szCs w:val="18"/>
              </w:rPr>
              <w:t xml:space="preserve">will provide </w:t>
            </w:r>
            <w:r w:rsidRPr="00B60984">
              <w:rPr>
                <w:rFonts w:eastAsia="Times New Roman"/>
                <w:color w:val="000000"/>
                <w:sz w:val="18"/>
                <w:szCs w:val="18"/>
              </w:rPr>
              <w:t xml:space="preserve">additional guidance on </w:t>
            </w:r>
            <w:r w:rsidRPr="00B60984">
              <w:rPr>
                <w:rFonts w:eastAsia="Times New Roman"/>
                <w:color w:val="000000"/>
                <w:sz w:val="18"/>
                <w:szCs w:val="18"/>
              </w:rPr>
              <w:t>Multi-CDE</w:t>
            </w:r>
            <w:r w:rsidRPr="00B60984">
              <w:rPr>
                <w:rFonts w:eastAsia="Times New Roman"/>
                <w:color w:val="000000"/>
                <w:sz w:val="18"/>
                <w:szCs w:val="18"/>
              </w:rPr>
              <w:t xml:space="preserve"> reporting. </w:t>
            </w:r>
          </w:p>
          <w:p w:rsidR="00B60984" w:rsidRPr="00B60984" w:rsidP="00B60984" w14:paraId="65B21538" w14:textId="77777777">
            <w:pPr>
              <w:spacing w:after="0" w:line="240" w:lineRule="auto"/>
              <w:rPr>
                <w:rFonts w:eastAsia="Times New Roman"/>
                <w:color w:val="FF0000"/>
                <w:sz w:val="18"/>
                <w:szCs w:val="18"/>
              </w:rPr>
            </w:pPr>
          </w:p>
        </w:tc>
      </w:tr>
      <w:tr w14:paraId="7622F192" w14:textId="77777777" w:rsidTr="00B86BBF">
        <w:tblPrEx>
          <w:tblW w:w="5000" w:type="pct"/>
          <w:tblLook w:val="04A0"/>
        </w:tblPrEx>
        <w:tc>
          <w:tcPr>
            <w:tcW w:w="468" w:type="pct"/>
            <w:shd w:val="clear" w:color="auto" w:fill="auto"/>
          </w:tcPr>
          <w:p w:rsidR="00B60984" w:rsidRPr="00B60984" w:rsidP="00B60984" w14:paraId="1BB0E1EE" w14:textId="77777777">
            <w:pPr>
              <w:spacing w:after="0" w:line="240" w:lineRule="auto"/>
              <w:rPr>
                <w:rFonts w:eastAsia="Times New Roman"/>
                <w:color w:val="000000"/>
                <w:sz w:val="18"/>
                <w:szCs w:val="18"/>
              </w:rPr>
            </w:pPr>
            <w:r w:rsidRPr="00B60984">
              <w:rPr>
                <w:rFonts w:eastAsia="Times New Roman"/>
                <w:color w:val="000000"/>
                <w:sz w:val="18"/>
                <w:szCs w:val="18"/>
              </w:rPr>
              <w:t>47</w:t>
            </w:r>
          </w:p>
        </w:tc>
        <w:tc>
          <w:tcPr>
            <w:tcW w:w="594" w:type="pct"/>
            <w:shd w:val="clear" w:color="auto" w:fill="auto"/>
          </w:tcPr>
          <w:p w:rsidR="00B60984" w:rsidRPr="00B60984" w:rsidP="00B60984" w14:paraId="6BD83383"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603D1070"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21AC8F9A"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740DC489"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4F39A172" w14:textId="77777777">
            <w:pPr>
              <w:spacing w:after="0" w:line="240" w:lineRule="auto"/>
              <w:rPr>
                <w:rFonts w:eastAsia="Times New Roman"/>
                <w:color w:val="000000"/>
                <w:sz w:val="18"/>
                <w:szCs w:val="18"/>
              </w:rPr>
            </w:pPr>
            <w:r w:rsidRPr="00B60984">
              <w:rPr>
                <w:rFonts w:eastAsia="Times New Roman"/>
                <w:color w:val="000000"/>
                <w:sz w:val="18"/>
                <w:szCs w:val="18"/>
              </w:rPr>
              <w:t xml:space="preserve">Project Outcomes </w:t>
            </w:r>
          </w:p>
        </w:tc>
        <w:tc>
          <w:tcPr>
            <w:tcW w:w="1053" w:type="pct"/>
            <w:shd w:val="clear" w:color="auto" w:fill="auto"/>
          </w:tcPr>
          <w:p w:rsidR="00B60984" w:rsidRPr="00B60984" w:rsidP="00B60984" w14:paraId="70F37EFC" w14:textId="77777777">
            <w:pPr>
              <w:spacing w:after="0" w:line="240" w:lineRule="auto"/>
              <w:rPr>
                <w:rFonts w:eastAsia="Times New Roman"/>
                <w:color w:val="000000"/>
                <w:sz w:val="18"/>
                <w:szCs w:val="18"/>
              </w:rPr>
            </w:pPr>
            <w:r w:rsidRPr="00B60984">
              <w:rPr>
                <w:rFonts w:eastAsia="Times New Roman"/>
                <w:color w:val="000000"/>
                <w:sz w:val="18"/>
                <w:szCs w:val="18"/>
              </w:rPr>
              <w:t xml:space="preserve">Page 83 – “Number of Households Served by Infrastructure Services” Section – If the QLICI funds are used to develop a real estate project and some of the funds are used for the cost to develop infrastructure for the project, the number of </w:t>
            </w:r>
            <w:r w:rsidRPr="00B60984">
              <w:rPr>
                <w:rFonts w:eastAsia="Times New Roman"/>
                <w:color w:val="000000"/>
                <w:sz w:val="18"/>
                <w:szCs w:val="18"/>
              </w:rPr>
              <w:t>households served should be the number of households using/benefitting from the infrastructure. If the funds support development of infrastructure that is used by a particular facility and its users, or by a group of homes/households, that would be the correct response (i.e., number of users/people served or number of homes served). Since this is the only new question about infrastructure services, “N/A” should be an eligible response if a response will be required under all circumstances.</w:t>
            </w:r>
          </w:p>
        </w:tc>
        <w:tc>
          <w:tcPr>
            <w:tcW w:w="819" w:type="pct"/>
            <w:shd w:val="clear" w:color="auto" w:fill="auto"/>
          </w:tcPr>
          <w:p w:rsidR="00B60984" w:rsidRPr="00B60984" w:rsidP="00B60984" w14:paraId="485B6AF4" w14:textId="77777777">
            <w:pPr>
              <w:spacing w:after="0" w:line="240" w:lineRule="auto"/>
              <w:rPr>
                <w:rFonts w:eastAsia="Times New Roman"/>
                <w:color w:val="000000"/>
                <w:sz w:val="18"/>
                <w:szCs w:val="18"/>
              </w:rPr>
            </w:pPr>
            <w:r w:rsidRPr="00B60984">
              <w:rPr>
                <w:rFonts w:eastAsia="Times New Roman"/>
                <w:color w:val="000000"/>
                <w:sz w:val="18"/>
                <w:szCs w:val="18"/>
              </w:rPr>
              <w:t>The CDFI Fund will provide additional guidance that clarifies users should enter a numeric value of zero for this data field if it is not applicable to them.</w:t>
            </w:r>
          </w:p>
        </w:tc>
      </w:tr>
      <w:tr w14:paraId="2201E51B" w14:textId="77777777" w:rsidTr="00B86BBF">
        <w:tblPrEx>
          <w:tblW w:w="5000" w:type="pct"/>
          <w:tblLook w:val="04A0"/>
        </w:tblPrEx>
        <w:tc>
          <w:tcPr>
            <w:tcW w:w="468" w:type="pct"/>
            <w:shd w:val="clear" w:color="auto" w:fill="auto"/>
          </w:tcPr>
          <w:p w:rsidR="00B60984" w:rsidRPr="00B60984" w:rsidP="00B60984" w14:paraId="359A7390" w14:textId="77777777">
            <w:pPr>
              <w:spacing w:after="0" w:line="240" w:lineRule="auto"/>
              <w:rPr>
                <w:rFonts w:eastAsia="Times New Roman"/>
                <w:color w:val="000000"/>
                <w:sz w:val="18"/>
                <w:szCs w:val="18"/>
              </w:rPr>
            </w:pPr>
            <w:r w:rsidRPr="00B60984">
              <w:rPr>
                <w:rFonts w:eastAsia="Times New Roman"/>
                <w:color w:val="000000"/>
                <w:sz w:val="18"/>
                <w:szCs w:val="18"/>
              </w:rPr>
              <w:t>48</w:t>
            </w:r>
          </w:p>
        </w:tc>
        <w:tc>
          <w:tcPr>
            <w:tcW w:w="594" w:type="pct"/>
            <w:shd w:val="clear" w:color="auto" w:fill="auto"/>
          </w:tcPr>
          <w:p w:rsidR="00B60984" w:rsidRPr="00B60984" w:rsidP="00B60984" w14:paraId="0150292B"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7B47FF87"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1422E4FE"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19B7A889"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35C95574" w14:textId="77777777">
            <w:pPr>
              <w:spacing w:after="0" w:line="240" w:lineRule="auto"/>
              <w:rPr>
                <w:rFonts w:eastAsia="Times New Roman"/>
                <w:color w:val="000000"/>
                <w:sz w:val="18"/>
                <w:szCs w:val="18"/>
              </w:rPr>
            </w:pPr>
            <w:r w:rsidRPr="00B60984">
              <w:rPr>
                <w:rFonts w:eastAsia="Times New Roman"/>
                <w:color w:val="000000"/>
                <w:sz w:val="18"/>
                <w:szCs w:val="18"/>
              </w:rPr>
              <w:t>Project Outcomes</w:t>
            </w:r>
          </w:p>
        </w:tc>
        <w:tc>
          <w:tcPr>
            <w:tcW w:w="1053" w:type="pct"/>
            <w:shd w:val="clear" w:color="auto" w:fill="auto"/>
          </w:tcPr>
          <w:p w:rsidR="00B60984" w:rsidRPr="00B60984" w:rsidP="00B60984" w14:paraId="07E01A23" w14:textId="77777777">
            <w:pPr>
              <w:spacing w:after="0" w:line="240" w:lineRule="auto"/>
              <w:rPr>
                <w:rFonts w:eastAsia="Times New Roman"/>
                <w:color w:val="000000"/>
                <w:sz w:val="18"/>
                <w:szCs w:val="18"/>
              </w:rPr>
            </w:pPr>
            <w:r w:rsidRPr="00B60984">
              <w:rPr>
                <w:rFonts w:eastAsia="Times New Roman"/>
                <w:color w:val="000000"/>
                <w:sz w:val="18"/>
                <w:szCs w:val="18"/>
              </w:rPr>
              <w:t>Page 84 - Two new datapoints about Environmental Sustainability are being added, (1) to identify the measure and (2) to quantify it. We request the CDFI Fund allow “N/A” as an eligible response to the first datapoint and the second datapoint should be conditionally required based on the response to the first datapoint.</w:t>
            </w:r>
          </w:p>
        </w:tc>
        <w:tc>
          <w:tcPr>
            <w:tcW w:w="819" w:type="pct"/>
            <w:shd w:val="clear" w:color="auto" w:fill="auto"/>
          </w:tcPr>
          <w:p w:rsidR="00B60984" w:rsidRPr="00B60984" w:rsidP="00B60984" w14:paraId="3B575FC5" w14:textId="77777777">
            <w:pPr>
              <w:spacing w:after="0" w:line="240" w:lineRule="auto"/>
              <w:rPr>
                <w:rFonts w:eastAsia="Times New Roman"/>
                <w:color w:val="000000"/>
                <w:sz w:val="18"/>
                <w:szCs w:val="18"/>
              </w:rPr>
            </w:pPr>
            <w:r w:rsidRPr="00B60984">
              <w:rPr>
                <w:rFonts w:eastAsia="Times New Roman"/>
                <w:color w:val="000000"/>
                <w:sz w:val="18"/>
                <w:szCs w:val="18"/>
              </w:rPr>
              <w:t>The CDFI Fund will provide additional guidance that clarifies users may enter “N/A” as an answer option to the first question.</w:t>
            </w:r>
          </w:p>
        </w:tc>
      </w:tr>
      <w:tr w14:paraId="2AB0A69F" w14:textId="77777777" w:rsidTr="00B86BBF">
        <w:tblPrEx>
          <w:tblW w:w="5000" w:type="pct"/>
          <w:tblLook w:val="04A0"/>
        </w:tblPrEx>
        <w:tc>
          <w:tcPr>
            <w:tcW w:w="468" w:type="pct"/>
            <w:shd w:val="clear" w:color="auto" w:fill="auto"/>
          </w:tcPr>
          <w:p w:rsidR="00B60984" w:rsidRPr="00B60984" w:rsidP="00B60984" w14:paraId="3DBEFCCC" w14:textId="77777777">
            <w:pPr>
              <w:spacing w:after="0" w:line="240" w:lineRule="auto"/>
              <w:rPr>
                <w:rFonts w:eastAsia="Times New Roman"/>
                <w:color w:val="000000"/>
                <w:sz w:val="18"/>
                <w:szCs w:val="18"/>
              </w:rPr>
            </w:pPr>
            <w:r w:rsidRPr="00B60984">
              <w:rPr>
                <w:rFonts w:eastAsia="Times New Roman"/>
                <w:color w:val="000000"/>
                <w:sz w:val="18"/>
                <w:szCs w:val="18"/>
              </w:rPr>
              <w:t>49</w:t>
            </w:r>
          </w:p>
        </w:tc>
        <w:tc>
          <w:tcPr>
            <w:tcW w:w="594" w:type="pct"/>
            <w:shd w:val="clear" w:color="auto" w:fill="auto"/>
          </w:tcPr>
          <w:p w:rsidR="00B60984" w:rsidRPr="00B60984" w:rsidP="00B60984" w14:paraId="62F4FC98" w14:textId="77777777">
            <w:pPr>
              <w:spacing w:after="0" w:line="240" w:lineRule="auto"/>
              <w:rPr>
                <w:rFonts w:eastAsia="Times New Roman"/>
                <w:color w:val="000000"/>
                <w:sz w:val="18"/>
                <w:szCs w:val="18"/>
              </w:rPr>
            </w:pPr>
            <w:r w:rsidRPr="00B60984">
              <w:rPr>
                <w:rFonts w:eastAsia="Times New Roman"/>
                <w:color w:val="000000"/>
                <w:sz w:val="18"/>
                <w:szCs w:val="18"/>
              </w:rPr>
              <w:t>NMTC Working Group</w:t>
            </w:r>
          </w:p>
        </w:tc>
        <w:tc>
          <w:tcPr>
            <w:tcW w:w="527" w:type="pct"/>
            <w:shd w:val="clear" w:color="auto" w:fill="auto"/>
          </w:tcPr>
          <w:p w:rsidR="00B60984" w:rsidRPr="00B60984" w:rsidP="00B60984" w14:paraId="6B8B2EEE" w14:textId="77777777">
            <w:pPr>
              <w:spacing w:after="0" w:line="240" w:lineRule="auto"/>
              <w:rPr>
                <w:rFonts w:eastAsia="Times New Roman"/>
                <w:color w:val="000000"/>
                <w:sz w:val="18"/>
                <w:szCs w:val="18"/>
              </w:rPr>
            </w:pPr>
            <w:r w:rsidRPr="00B60984">
              <w:rPr>
                <w:rFonts w:eastAsia="Times New Roman"/>
                <w:color w:val="000000"/>
                <w:sz w:val="18"/>
                <w:szCs w:val="18"/>
              </w:rPr>
              <w:t>Brad Elphick</w:t>
            </w:r>
          </w:p>
        </w:tc>
        <w:tc>
          <w:tcPr>
            <w:tcW w:w="464" w:type="pct"/>
            <w:shd w:val="clear" w:color="auto" w:fill="auto"/>
          </w:tcPr>
          <w:p w:rsidR="00B60984" w:rsidRPr="00B60984" w:rsidP="00B60984" w14:paraId="559446E3" w14:textId="77777777">
            <w:pPr>
              <w:spacing w:after="0" w:line="240" w:lineRule="auto"/>
              <w:rPr>
                <w:rFonts w:eastAsia="Times New Roman"/>
                <w:color w:val="000000"/>
                <w:sz w:val="18"/>
                <w:szCs w:val="18"/>
              </w:rPr>
            </w:pPr>
          </w:p>
        </w:tc>
        <w:tc>
          <w:tcPr>
            <w:tcW w:w="490" w:type="pct"/>
            <w:shd w:val="clear" w:color="auto" w:fill="auto"/>
          </w:tcPr>
          <w:p w:rsidR="00B60984" w:rsidRPr="00B60984" w:rsidP="00B60984" w14:paraId="347057FE"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54EC89D5" w14:textId="77777777">
            <w:pPr>
              <w:spacing w:after="0" w:line="240" w:lineRule="auto"/>
              <w:rPr>
                <w:rFonts w:eastAsia="Times New Roman"/>
                <w:color w:val="000000"/>
                <w:sz w:val="18"/>
                <w:szCs w:val="18"/>
              </w:rPr>
            </w:pPr>
            <w:r w:rsidRPr="00B60984">
              <w:rPr>
                <w:rFonts w:eastAsia="Times New Roman"/>
                <w:color w:val="000000"/>
                <w:sz w:val="18"/>
                <w:szCs w:val="18"/>
              </w:rPr>
              <w:t>Fees and Transaction Costs</w:t>
            </w:r>
          </w:p>
        </w:tc>
        <w:tc>
          <w:tcPr>
            <w:tcW w:w="1053" w:type="pct"/>
            <w:shd w:val="clear" w:color="auto" w:fill="auto"/>
          </w:tcPr>
          <w:p w:rsidR="00B60984" w:rsidRPr="00B60984" w:rsidP="00B60984" w14:paraId="11709310" w14:textId="77777777">
            <w:pPr>
              <w:spacing w:after="0" w:line="240" w:lineRule="auto"/>
              <w:rPr>
                <w:rFonts w:eastAsia="Times New Roman"/>
                <w:color w:val="000000"/>
                <w:sz w:val="18"/>
                <w:szCs w:val="18"/>
              </w:rPr>
            </w:pPr>
            <w:r w:rsidRPr="00B60984">
              <w:rPr>
                <w:rFonts w:eastAsia="Times New Roman"/>
                <w:color w:val="000000"/>
                <w:sz w:val="18"/>
                <w:szCs w:val="18"/>
              </w:rPr>
              <w:t xml:space="preserve">With respect to the proposed revisions to fields related to fees and transaction costs (starting on page 88), the revisions change the information reported from fees collected by the Allocatee or affiliates and charged to investors, borrowers and third parties to fees and transaction costs paid to investors, Allocatees, and unaffiliated third parties, presumably only those </w:t>
            </w:r>
            <w:r w:rsidRPr="00B60984">
              <w:rPr>
                <w:rFonts w:eastAsia="Times New Roman"/>
                <w:color w:val="000000"/>
                <w:sz w:val="18"/>
                <w:szCs w:val="18"/>
              </w:rPr>
              <w:t>paid by the QALICB or a QALICB affiliate. We request clarification on:</w:t>
            </w:r>
            <w:r w:rsidRPr="00B60984">
              <w:rPr>
                <w:rFonts w:eastAsia="Times New Roman"/>
                <w:color w:val="000000"/>
                <w:sz w:val="18"/>
                <w:szCs w:val="18"/>
              </w:rPr>
              <w:br/>
              <w:t>o which fees and transaction costs paid to investors or third-parties should be reported by the Allocatee (e.g., only those fees incurred on behalf of the Allocatee or all fees paid by the borrower to effectuate the transaction);</w:t>
            </w:r>
            <w:r w:rsidRPr="00B60984">
              <w:rPr>
                <w:rFonts w:eastAsia="Times New Roman"/>
                <w:color w:val="000000"/>
                <w:sz w:val="18"/>
                <w:szCs w:val="18"/>
              </w:rPr>
              <w:br/>
              <w:t>o how fees and transaction costs should be reported in multi-CDE transactions (e.g., how to report the borrower’s audit and tax expenses);</w:t>
            </w:r>
            <w:r w:rsidRPr="00B60984">
              <w:rPr>
                <w:rFonts w:eastAsia="Times New Roman"/>
                <w:color w:val="000000"/>
                <w:sz w:val="18"/>
                <w:szCs w:val="18"/>
              </w:rPr>
              <w:br/>
              <w:t>o whether these revisions should be applied retroactively to all active investments or only those that are originated after 12/31/2022, or how to revise information reported in previously certified TLRs if the response no longer aligns with the revised data point;</w:t>
            </w:r>
            <w:r w:rsidRPr="00B60984">
              <w:rPr>
                <w:rFonts w:eastAsia="Times New Roman"/>
                <w:color w:val="000000"/>
                <w:sz w:val="18"/>
                <w:szCs w:val="18"/>
              </w:rPr>
              <w:br/>
              <w:t>o for Upfront Transaction Costs, what is considered a transaction cost (for example, whether due diligence items, like economic studies and/or site visit costs, should be included);</w:t>
            </w:r>
            <w:r w:rsidRPr="00B60984">
              <w:rPr>
                <w:rFonts w:eastAsia="Times New Roman"/>
                <w:color w:val="000000"/>
                <w:sz w:val="18"/>
                <w:szCs w:val="18"/>
              </w:rPr>
              <w:br/>
              <w:t>o the definition of what is considered “transaction costs” for Back-end Transaction Costs and whether the data point could be included in the QEI Closeout Report in lieu of the TLR;</w:t>
            </w:r>
            <w:r w:rsidRPr="00B60984">
              <w:rPr>
                <w:rFonts w:eastAsia="Times New Roman"/>
                <w:color w:val="000000"/>
                <w:sz w:val="18"/>
                <w:szCs w:val="18"/>
              </w:rPr>
              <w:br/>
              <w:t xml:space="preserve">o whether the QEI Proceeds Retained field should include amounts withheld for Loan Loss </w:t>
            </w:r>
            <w:r w:rsidRPr="00B60984">
              <w:rPr>
                <w:rFonts w:eastAsia="Times New Roman"/>
                <w:color w:val="000000"/>
                <w:sz w:val="18"/>
                <w:szCs w:val="18"/>
              </w:rPr>
              <w:t>Reserves of future QLICIs that count towards the substantially all percentage;</w:t>
            </w:r>
            <w:r w:rsidRPr="00B60984">
              <w:rPr>
                <w:rFonts w:eastAsia="Times New Roman"/>
                <w:color w:val="000000"/>
                <w:sz w:val="18"/>
                <w:szCs w:val="18"/>
              </w:rPr>
              <w:br/>
              <w:t>o how to report fees for Upfront/Ongoing Fees that are reserved in full from QLICI proceeds but then are paid over time; and</w:t>
            </w:r>
            <w:r w:rsidRPr="00B60984">
              <w:rPr>
                <w:rFonts w:eastAsia="Times New Roman"/>
                <w:color w:val="000000"/>
                <w:sz w:val="18"/>
                <w:szCs w:val="18"/>
              </w:rPr>
              <w:br/>
              <w:t>o whether fees and expenses paid from QLICI interest are included in “Ongoing Transaction Costs (e.g., interest received that is used to pay audit and tax expenses of the sub-CDE.)</w:t>
            </w:r>
          </w:p>
        </w:tc>
        <w:tc>
          <w:tcPr>
            <w:tcW w:w="819" w:type="pct"/>
            <w:shd w:val="clear" w:color="auto" w:fill="auto"/>
          </w:tcPr>
          <w:p w:rsidR="00B60984" w:rsidRPr="00B60984" w:rsidP="00B60984" w14:paraId="26C688C2" w14:textId="71A0CDD5">
            <w:pPr>
              <w:spacing w:after="0" w:line="240" w:lineRule="auto"/>
              <w:rPr>
                <w:rFonts w:eastAsia="Times New Roman"/>
                <w:color w:val="FF0000"/>
                <w:sz w:val="18"/>
                <w:szCs w:val="18"/>
              </w:rPr>
            </w:pPr>
            <w:r w:rsidRPr="00B60984">
              <w:rPr>
                <w:rFonts w:eastAsia="Times New Roman"/>
                <w:sz w:val="18"/>
                <w:szCs w:val="18"/>
              </w:rPr>
              <w:t>The CDFI Fund will provide additional guidance in the TLR to address these comments</w:t>
            </w:r>
            <w:r w:rsidR="008667E1">
              <w:rPr>
                <w:rFonts w:eastAsia="Times New Roman"/>
                <w:sz w:val="18"/>
                <w:szCs w:val="18"/>
              </w:rPr>
              <w:t>.</w:t>
            </w:r>
          </w:p>
          <w:p w:rsidR="00B60984" w:rsidRPr="00B60984" w:rsidP="00B60984" w14:paraId="297939F1" w14:textId="77777777">
            <w:pPr>
              <w:spacing w:after="0" w:line="240" w:lineRule="auto"/>
              <w:rPr>
                <w:rFonts w:eastAsia="Times New Roman"/>
                <w:color w:val="FF0000"/>
                <w:sz w:val="18"/>
                <w:szCs w:val="18"/>
              </w:rPr>
            </w:pPr>
          </w:p>
        </w:tc>
      </w:tr>
      <w:tr w14:paraId="282F0FA3" w14:textId="77777777" w:rsidTr="00B86BBF">
        <w:tblPrEx>
          <w:tblW w:w="5000" w:type="pct"/>
          <w:tblLook w:val="04A0"/>
        </w:tblPrEx>
        <w:tc>
          <w:tcPr>
            <w:tcW w:w="468" w:type="pct"/>
            <w:shd w:val="clear" w:color="auto" w:fill="auto"/>
          </w:tcPr>
          <w:p w:rsidR="00B60984" w:rsidRPr="00B60984" w:rsidP="00B60984" w14:paraId="55F4F3F5" w14:textId="77777777">
            <w:pPr>
              <w:spacing w:after="0" w:line="240" w:lineRule="auto"/>
              <w:rPr>
                <w:rFonts w:eastAsia="Times New Roman"/>
                <w:color w:val="000000"/>
                <w:sz w:val="18"/>
                <w:szCs w:val="18"/>
              </w:rPr>
            </w:pPr>
            <w:r w:rsidRPr="00B60984">
              <w:rPr>
                <w:rFonts w:eastAsia="Times New Roman"/>
                <w:color w:val="000000"/>
                <w:sz w:val="18"/>
                <w:szCs w:val="18"/>
              </w:rPr>
              <w:t>50</w:t>
            </w:r>
          </w:p>
        </w:tc>
        <w:tc>
          <w:tcPr>
            <w:tcW w:w="594" w:type="pct"/>
            <w:shd w:val="clear" w:color="auto" w:fill="auto"/>
          </w:tcPr>
          <w:p w:rsidR="00B60984" w:rsidRPr="00B60984" w:rsidP="00B60984" w14:paraId="313FE1CF" w14:textId="77777777">
            <w:pPr>
              <w:spacing w:after="0" w:line="240" w:lineRule="auto"/>
              <w:rPr>
                <w:rFonts w:eastAsia="Times New Roman"/>
                <w:color w:val="000000"/>
                <w:sz w:val="18"/>
                <w:szCs w:val="18"/>
              </w:rPr>
            </w:pPr>
            <w:r w:rsidRPr="00B60984">
              <w:rPr>
                <w:rFonts w:eastAsia="Times New Roman"/>
                <w:color w:val="000000"/>
                <w:sz w:val="18"/>
                <w:szCs w:val="18"/>
              </w:rPr>
              <w:t>SDS Capital Group</w:t>
            </w:r>
          </w:p>
        </w:tc>
        <w:tc>
          <w:tcPr>
            <w:tcW w:w="527" w:type="pct"/>
            <w:shd w:val="clear" w:color="auto" w:fill="auto"/>
          </w:tcPr>
          <w:p w:rsidR="00B60984" w:rsidRPr="00B60984" w:rsidP="00B60984" w14:paraId="7AC699F0" w14:textId="77777777">
            <w:pPr>
              <w:spacing w:after="0" w:line="240" w:lineRule="auto"/>
              <w:rPr>
                <w:rFonts w:eastAsia="Times New Roman"/>
                <w:color w:val="000000"/>
                <w:sz w:val="18"/>
                <w:szCs w:val="18"/>
              </w:rPr>
            </w:pPr>
            <w:r w:rsidRPr="00B60984">
              <w:rPr>
                <w:rFonts w:eastAsia="Times New Roman"/>
                <w:color w:val="000000"/>
                <w:sz w:val="18"/>
                <w:szCs w:val="18"/>
              </w:rPr>
              <w:t>Asteria L. Steinberger</w:t>
            </w:r>
          </w:p>
        </w:tc>
        <w:tc>
          <w:tcPr>
            <w:tcW w:w="464" w:type="pct"/>
            <w:shd w:val="clear" w:color="auto" w:fill="auto"/>
          </w:tcPr>
          <w:p w:rsidR="00B60984" w:rsidRPr="00B60984" w:rsidP="00B60984" w14:paraId="300C80ED" w14:textId="77777777">
            <w:pPr>
              <w:spacing w:after="0" w:line="240" w:lineRule="auto"/>
              <w:rPr>
                <w:rFonts w:eastAsia="Times New Roman"/>
                <w:color w:val="000000"/>
                <w:sz w:val="18"/>
                <w:szCs w:val="18"/>
              </w:rPr>
            </w:pPr>
            <w:r w:rsidRPr="00B60984">
              <w:rPr>
                <w:rFonts w:eastAsia="Times New Roman"/>
                <w:color w:val="000000"/>
                <w:sz w:val="18"/>
                <w:szCs w:val="18"/>
              </w:rPr>
              <w:t>Managing Director</w:t>
            </w:r>
          </w:p>
        </w:tc>
        <w:tc>
          <w:tcPr>
            <w:tcW w:w="490" w:type="pct"/>
            <w:shd w:val="clear" w:color="auto" w:fill="auto"/>
          </w:tcPr>
          <w:p w:rsidR="00B60984" w:rsidRPr="00B60984" w:rsidP="00B60984" w14:paraId="6ABADDEF"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1DE111DD" w14:textId="77777777">
            <w:pPr>
              <w:spacing w:after="0" w:line="240" w:lineRule="auto"/>
              <w:rPr>
                <w:rFonts w:eastAsia="Times New Roman"/>
                <w:color w:val="000000"/>
                <w:sz w:val="18"/>
                <w:szCs w:val="18"/>
              </w:rPr>
            </w:pPr>
            <w:r w:rsidRPr="00B60984">
              <w:rPr>
                <w:rFonts w:eastAsia="Times New Roman"/>
                <w:color w:val="000000"/>
                <w:sz w:val="18"/>
                <w:szCs w:val="18"/>
              </w:rPr>
              <w:t>Fees and Transaction Costs</w:t>
            </w:r>
          </w:p>
        </w:tc>
        <w:tc>
          <w:tcPr>
            <w:tcW w:w="1053" w:type="pct"/>
            <w:shd w:val="clear" w:color="auto" w:fill="auto"/>
          </w:tcPr>
          <w:p w:rsidR="00B60984" w:rsidRPr="00B60984" w:rsidP="00B60984" w14:paraId="5E76FE4F" w14:textId="77777777">
            <w:pPr>
              <w:spacing w:after="0" w:line="240" w:lineRule="auto"/>
              <w:rPr>
                <w:rFonts w:eastAsia="Times New Roman"/>
                <w:color w:val="000000"/>
                <w:sz w:val="18"/>
                <w:szCs w:val="18"/>
              </w:rPr>
            </w:pPr>
            <w:r w:rsidRPr="00B60984">
              <w:rPr>
                <w:rFonts w:eastAsia="Times New Roman"/>
                <w:color w:val="000000"/>
                <w:sz w:val="18"/>
                <w:szCs w:val="18"/>
              </w:rPr>
              <w:t>The main issue we’ve observed related to fees and payments reporting is the inconsistent interpretation of what should be reported by CDEs, both in the TLR and in the QALICB Fee Disclosure</w:t>
            </w:r>
            <w:r w:rsidRPr="00B60984">
              <w:rPr>
                <w:rFonts w:eastAsia="Times New Roman"/>
                <w:color w:val="000000"/>
                <w:sz w:val="18"/>
                <w:szCs w:val="18"/>
              </w:rPr>
              <w:br/>
              <w:t>Form.</w:t>
            </w:r>
          </w:p>
        </w:tc>
        <w:tc>
          <w:tcPr>
            <w:tcW w:w="819" w:type="pct"/>
            <w:shd w:val="clear" w:color="auto" w:fill="auto"/>
          </w:tcPr>
          <w:p w:rsidR="00B60984" w:rsidRPr="00B60984" w:rsidP="00B60984" w14:paraId="1607114A" w14:textId="1147CB0A">
            <w:pPr>
              <w:spacing w:after="0" w:line="240" w:lineRule="auto"/>
              <w:rPr>
                <w:rFonts w:eastAsia="Times New Roman"/>
                <w:color w:val="FF0000"/>
                <w:sz w:val="18"/>
                <w:szCs w:val="18"/>
              </w:rPr>
            </w:pPr>
            <w:r w:rsidRPr="00B60984">
              <w:rPr>
                <w:rFonts w:eastAsia="Times New Roman"/>
                <w:color w:val="000000"/>
                <w:sz w:val="18"/>
                <w:szCs w:val="18"/>
              </w:rPr>
              <w:t xml:space="preserve">The CDFI Fund </w:t>
            </w:r>
            <w:r w:rsidR="002F572D">
              <w:rPr>
                <w:rFonts w:eastAsia="Times New Roman"/>
                <w:color w:val="000000"/>
                <w:sz w:val="18"/>
                <w:szCs w:val="18"/>
              </w:rPr>
              <w:t xml:space="preserve">will take this into consideration for future changes to the </w:t>
            </w:r>
            <w:r w:rsidR="008667E1">
              <w:rPr>
                <w:rFonts w:eastAsia="Times New Roman"/>
                <w:color w:val="000000"/>
                <w:sz w:val="18"/>
                <w:szCs w:val="18"/>
              </w:rPr>
              <w:t xml:space="preserve">NMTC </w:t>
            </w:r>
            <w:r w:rsidR="002F572D">
              <w:rPr>
                <w:rFonts w:eastAsia="Times New Roman"/>
                <w:color w:val="000000"/>
                <w:sz w:val="18"/>
                <w:szCs w:val="18"/>
              </w:rPr>
              <w:t xml:space="preserve">Allocation Agreement and </w:t>
            </w:r>
            <w:r w:rsidR="008667E1">
              <w:rPr>
                <w:rFonts w:eastAsia="Times New Roman"/>
                <w:color w:val="000000"/>
                <w:sz w:val="18"/>
                <w:szCs w:val="18"/>
              </w:rPr>
              <w:t xml:space="preserve">NMTC </w:t>
            </w:r>
            <w:r w:rsidR="002F572D">
              <w:rPr>
                <w:rFonts w:eastAsia="Times New Roman"/>
                <w:color w:val="000000"/>
                <w:sz w:val="18"/>
                <w:szCs w:val="18"/>
              </w:rPr>
              <w:t xml:space="preserve">Compliance FAQ. </w:t>
            </w:r>
          </w:p>
        </w:tc>
      </w:tr>
      <w:tr w14:paraId="3AA72709" w14:textId="77777777" w:rsidTr="00B86BBF">
        <w:tblPrEx>
          <w:tblW w:w="5000" w:type="pct"/>
          <w:tblLook w:val="04A0"/>
        </w:tblPrEx>
        <w:tc>
          <w:tcPr>
            <w:tcW w:w="468" w:type="pct"/>
            <w:shd w:val="clear" w:color="auto" w:fill="auto"/>
          </w:tcPr>
          <w:p w:rsidR="00B60984" w:rsidRPr="00B60984" w:rsidP="00B60984" w14:paraId="3077AC32" w14:textId="77777777">
            <w:pPr>
              <w:spacing w:after="0" w:line="240" w:lineRule="auto"/>
              <w:rPr>
                <w:rFonts w:eastAsia="Times New Roman"/>
                <w:color w:val="000000"/>
                <w:sz w:val="18"/>
                <w:szCs w:val="18"/>
              </w:rPr>
            </w:pPr>
            <w:r w:rsidRPr="00B60984">
              <w:rPr>
                <w:rFonts w:eastAsia="Times New Roman"/>
                <w:color w:val="000000"/>
                <w:sz w:val="18"/>
                <w:szCs w:val="18"/>
              </w:rPr>
              <w:t>51</w:t>
            </w:r>
          </w:p>
        </w:tc>
        <w:tc>
          <w:tcPr>
            <w:tcW w:w="594" w:type="pct"/>
            <w:shd w:val="clear" w:color="auto" w:fill="auto"/>
          </w:tcPr>
          <w:p w:rsidR="00B60984" w:rsidRPr="00B60984" w:rsidP="00B60984" w14:paraId="7A15B4AE" w14:textId="77777777">
            <w:pPr>
              <w:spacing w:after="0" w:line="240" w:lineRule="auto"/>
              <w:rPr>
                <w:rFonts w:eastAsia="Times New Roman"/>
                <w:color w:val="000000"/>
                <w:sz w:val="18"/>
                <w:szCs w:val="18"/>
              </w:rPr>
            </w:pPr>
            <w:r w:rsidRPr="00B60984">
              <w:rPr>
                <w:rFonts w:eastAsia="Times New Roman"/>
                <w:color w:val="000000"/>
                <w:sz w:val="18"/>
                <w:szCs w:val="18"/>
              </w:rPr>
              <w:t>SDS Capital Group</w:t>
            </w:r>
          </w:p>
        </w:tc>
        <w:tc>
          <w:tcPr>
            <w:tcW w:w="527" w:type="pct"/>
            <w:shd w:val="clear" w:color="auto" w:fill="auto"/>
          </w:tcPr>
          <w:p w:rsidR="00B60984" w:rsidRPr="00B60984" w:rsidP="00B60984" w14:paraId="2DC17218" w14:textId="77777777">
            <w:pPr>
              <w:spacing w:after="0" w:line="240" w:lineRule="auto"/>
              <w:rPr>
                <w:rFonts w:eastAsia="Times New Roman"/>
                <w:color w:val="000000"/>
                <w:sz w:val="18"/>
                <w:szCs w:val="18"/>
              </w:rPr>
            </w:pPr>
            <w:r w:rsidRPr="00B60984">
              <w:rPr>
                <w:rFonts w:eastAsia="Times New Roman"/>
                <w:color w:val="000000"/>
                <w:sz w:val="18"/>
                <w:szCs w:val="18"/>
              </w:rPr>
              <w:t>Asteria L. Steinberger</w:t>
            </w:r>
          </w:p>
        </w:tc>
        <w:tc>
          <w:tcPr>
            <w:tcW w:w="464" w:type="pct"/>
            <w:shd w:val="clear" w:color="auto" w:fill="auto"/>
          </w:tcPr>
          <w:p w:rsidR="00B60984" w:rsidRPr="00B60984" w:rsidP="00B60984" w14:paraId="7142D85C" w14:textId="77777777">
            <w:pPr>
              <w:spacing w:after="0" w:line="240" w:lineRule="auto"/>
              <w:rPr>
                <w:rFonts w:eastAsia="Times New Roman"/>
                <w:color w:val="000000"/>
                <w:sz w:val="18"/>
                <w:szCs w:val="18"/>
              </w:rPr>
            </w:pPr>
            <w:r w:rsidRPr="00B60984">
              <w:rPr>
                <w:rFonts w:eastAsia="Times New Roman"/>
                <w:color w:val="000000"/>
                <w:sz w:val="18"/>
                <w:szCs w:val="18"/>
              </w:rPr>
              <w:t>Managing Director</w:t>
            </w:r>
          </w:p>
        </w:tc>
        <w:tc>
          <w:tcPr>
            <w:tcW w:w="490" w:type="pct"/>
            <w:shd w:val="clear" w:color="auto" w:fill="auto"/>
          </w:tcPr>
          <w:p w:rsidR="00B60984" w:rsidRPr="00B60984" w:rsidP="00B60984" w14:paraId="2C7332DD"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5A73226C" w14:textId="77777777">
            <w:pPr>
              <w:spacing w:after="0" w:line="240" w:lineRule="auto"/>
              <w:rPr>
                <w:rFonts w:eastAsia="Times New Roman"/>
                <w:color w:val="000000"/>
                <w:sz w:val="18"/>
                <w:szCs w:val="18"/>
              </w:rPr>
            </w:pPr>
            <w:r w:rsidRPr="00B60984">
              <w:rPr>
                <w:rFonts w:eastAsia="Times New Roman"/>
                <w:color w:val="000000"/>
                <w:sz w:val="18"/>
                <w:szCs w:val="18"/>
              </w:rPr>
              <w:t>Fees and Transaction Costs</w:t>
            </w:r>
          </w:p>
        </w:tc>
        <w:tc>
          <w:tcPr>
            <w:tcW w:w="1053" w:type="pct"/>
            <w:shd w:val="clear" w:color="auto" w:fill="auto"/>
          </w:tcPr>
          <w:p w:rsidR="00B60984" w:rsidRPr="00B60984" w:rsidP="00B60984" w14:paraId="0DFC76C8" w14:textId="77777777">
            <w:pPr>
              <w:spacing w:after="0" w:line="240" w:lineRule="auto"/>
              <w:rPr>
                <w:rFonts w:eastAsia="Times New Roman"/>
                <w:color w:val="000000"/>
                <w:sz w:val="18"/>
                <w:szCs w:val="18"/>
              </w:rPr>
            </w:pPr>
            <w:r w:rsidRPr="00B60984">
              <w:rPr>
                <w:rFonts w:eastAsia="Times New Roman"/>
                <w:color w:val="000000"/>
                <w:sz w:val="18"/>
                <w:szCs w:val="18"/>
              </w:rPr>
              <w:t xml:space="preserve">In addition, to provide better transparency to the CDFI Fund relative to the fees and payments going to the relevant parties, a standardized QALICB Fee Disclosure template could be created to be used for all </w:t>
            </w:r>
            <w:r w:rsidRPr="00B60984">
              <w:rPr>
                <w:rFonts w:eastAsia="Times New Roman"/>
                <w:color w:val="000000"/>
                <w:sz w:val="18"/>
                <w:szCs w:val="18"/>
              </w:rPr>
              <w:t>closings.The</w:t>
            </w:r>
            <w:r w:rsidRPr="00B60984">
              <w:rPr>
                <w:rFonts w:eastAsia="Times New Roman"/>
                <w:color w:val="000000"/>
                <w:sz w:val="18"/>
                <w:szCs w:val="18"/>
              </w:rPr>
              <w:t xml:space="preserve"> data will flow directly from the financial model prepared by the accountant, with each CDE and QALICB</w:t>
            </w:r>
            <w:r w:rsidRPr="00B60984">
              <w:rPr>
                <w:rFonts w:eastAsia="Times New Roman"/>
                <w:color w:val="000000"/>
                <w:sz w:val="18"/>
                <w:szCs w:val="18"/>
              </w:rPr>
              <w:br/>
              <w:t>signing off on the QALICB Fee Disclosure Form that would now include all CDEs in the transaction within the form. This would then be uploaded to AMIS.</w:t>
            </w:r>
          </w:p>
        </w:tc>
        <w:tc>
          <w:tcPr>
            <w:tcW w:w="819" w:type="pct"/>
            <w:shd w:val="clear" w:color="auto" w:fill="auto"/>
          </w:tcPr>
          <w:p w:rsidR="00B60984" w:rsidRPr="00B60984" w:rsidP="00B60984" w14:paraId="29659F90" w14:textId="74575549">
            <w:pPr>
              <w:spacing w:after="0" w:line="240" w:lineRule="auto"/>
              <w:rPr>
                <w:rFonts w:eastAsia="Times New Roman"/>
                <w:color w:val="FF0000"/>
                <w:sz w:val="18"/>
                <w:szCs w:val="18"/>
              </w:rPr>
            </w:pPr>
            <w:r w:rsidRPr="00B60984">
              <w:rPr>
                <w:rFonts w:eastAsia="Times New Roman"/>
                <w:color w:val="000000"/>
                <w:sz w:val="18"/>
                <w:szCs w:val="18"/>
              </w:rPr>
              <w:t xml:space="preserve">The CDFI Fund </w:t>
            </w:r>
            <w:r w:rsidR="002F572D">
              <w:rPr>
                <w:rFonts w:eastAsia="Times New Roman"/>
                <w:color w:val="000000"/>
                <w:sz w:val="18"/>
                <w:szCs w:val="18"/>
              </w:rPr>
              <w:t xml:space="preserve">will take this into consideration for future changes to the </w:t>
            </w:r>
            <w:r w:rsidR="008667E1">
              <w:rPr>
                <w:rFonts w:eastAsia="Times New Roman"/>
                <w:color w:val="000000"/>
                <w:sz w:val="18"/>
                <w:szCs w:val="18"/>
              </w:rPr>
              <w:t xml:space="preserve">NMTC </w:t>
            </w:r>
            <w:r w:rsidR="002F572D">
              <w:rPr>
                <w:rFonts w:eastAsia="Times New Roman"/>
                <w:color w:val="000000"/>
                <w:sz w:val="18"/>
                <w:szCs w:val="18"/>
              </w:rPr>
              <w:t>Allocaation</w:t>
            </w:r>
            <w:r w:rsidR="002F572D">
              <w:rPr>
                <w:rFonts w:eastAsia="Times New Roman"/>
                <w:color w:val="000000"/>
                <w:sz w:val="18"/>
                <w:szCs w:val="18"/>
              </w:rPr>
              <w:t xml:space="preserve"> Agreement and </w:t>
            </w:r>
            <w:r w:rsidR="008667E1">
              <w:rPr>
                <w:rFonts w:eastAsia="Times New Roman"/>
                <w:color w:val="000000"/>
                <w:sz w:val="18"/>
                <w:szCs w:val="18"/>
              </w:rPr>
              <w:t xml:space="preserve">NMTC </w:t>
            </w:r>
            <w:r w:rsidR="002F572D">
              <w:rPr>
                <w:rFonts w:eastAsia="Times New Roman"/>
                <w:color w:val="000000"/>
                <w:sz w:val="18"/>
                <w:szCs w:val="18"/>
              </w:rPr>
              <w:t xml:space="preserve">Compliance FAQ. </w:t>
            </w:r>
            <w:r w:rsidRPr="00B60984">
              <w:rPr>
                <w:rFonts w:eastAsia="Times New Roman"/>
                <w:sz w:val="18"/>
                <w:szCs w:val="18"/>
              </w:rPr>
              <w:t>At this time</w:t>
            </w:r>
            <w:r w:rsidRPr="00B60984">
              <w:rPr>
                <w:rFonts w:eastAsia="Times New Roman"/>
                <w:sz w:val="18"/>
                <w:szCs w:val="18"/>
              </w:rPr>
              <w:t xml:space="preserve">, the CDFI Fund is not implementing any </w:t>
            </w:r>
            <w:r w:rsidR="002F572D">
              <w:rPr>
                <w:rFonts w:eastAsia="Times New Roman"/>
                <w:sz w:val="18"/>
                <w:szCs w:val="18"/>
              </w:rPr>
              <w:t>QALICB Disclosure</w:t>
            </w:r>
            <w:r w:rsidRPr="00B60984">
              <w:rPr>
                <w:rFonts w:eastAsia="Times New Roman"/>
                <w:sz w:val="18"/>
                <w:szCs w:val="18"/>
              </w:rPr>
              <w:t xml:space="preserve"> templates. </w:t>
            </w:r>
          </w:p>
        </w:tc>
      </w:tr>
      <w:tr w14:paraId="56F7887C" w14:textId="77777777" w:rsidTr="00B86BBF">
        <w:tblPrEx>
          <w:tblW w:w="5000" w:type="pct"/>
          <w:tblLook w:val="04A0"/>
        </w:tblPrEx>
        <w:tc>
          <w:tcPr>
            <w:tcW w:w="468" w:type="pct"/>
            <w:shd w:val="clear" w:color="auto" w:fill="auto"/>
          </w:tcPr>
          <w:p w:rsidR="00B60984" w:rsidRPr="00B60984" w:rsidP="00B60984" w14:paraId="3991684D" w14:textId="77777777">
            <w:pPr>
              <w:spacing w:after="0" w:line="240" w:lineRule="auto"/>
              <w:rPr>
                <w:rFonts w:eastAsia="Times New Roman"/>
                <w:color w:val="000000"/>
                <w:sz w:val="18"/>
                <w:szCs w:val="18"/>
              </w:rPr>
            </w:pPr>
            <w:r w:rsidRPr="00B60984">
              <w:rPr>
                <w:rFonts w:eastAsia="Times New Roman"/>
                <w:color w:val="000000"/>
                <w:sz w:val="18"/>
                <w:szCs w:val="18"/>
              </w:rPr>
              <w:t>52</w:t>
            </w:r>
          </w:p>
        </w:tc>
        <w:tc>
          <w:tcPr>
            <w:tcW w:w="594" w:type="pct"/>
            <w:shd w:val="clear" w:color="auto" w:fill="auto"/>
          </w:tcPr>
          <w:p w:rsidR="00B60984" w:rsidRPr="00B60984" w:rsidP="00B60984" w14:paraId="1A5B1842" w14:textId="77777777">
            <w:pPr>
              <w:spacing w:after="0" w:line="240" w:lineRule="auto"/>
              <w:rPr>
                <w:rFonts w:eastAsia="Times New Roman"/>
                <w:color w:val="000000"/>
                <w:sz w:val="18"/>
                <w:szCs w:val="18"/>
              </w:rPr>
            </w:pPr>
            <w:r w:rsidRPr="00B60984">
              <w:rPr>
                <w:rFonts w:eastAsia="Times New Roman"/>
                <w:color w:val="000000"/>
                <w:sz w:val="18"/>
                <w:szCs w:val="18"/>
              </w:rPr>
              <w:t>SDS Capital Group</w:t>
            </w:r>
          </w:p>
        </w:tc>
        <w:tc>
          <w:tcPr>
            <w:tcW w:w="527" w:type="pct"/>
            <w:shd w:val="clear" w:color="auto" w:fill="auto"/>
          </w:tcPr>
          <w:p w:rsidR="00B60984" w:rsidRPr="00B60984" w:rsidP="00B60984" w14:paraId="33BE5DFD" w14:textId="77777777">
            <w:pPr>
              <w:spacing w:after="0" w:line="240" w:lineRule="auto"/>
              <w:rPr>
                <w:rFonts w:eastAsia="Times New Roman"/>
                <w:color w:val="000000"/>
                <w:sz w:val="18"/>
                <w:szCs w:val="18"/>
              </w:rPr>
            </w:pPr>
            <w:r w:rsidRPr="00B60984">
              <w:rPr>
                <w:rFonts w:eastAsia="Times New Roman"/>
                <w:color w:val="000000"/>
                <w:sz w:val="18"/>
                <w:szCs w:val="18"/>
              </w:rPr>
              <w:t>Asteria L. Steinberger</w:t>
            </w:r>
          </w:p>
        </w:tc>
        <w:tc>
          <w:tcPr>
            <w:tcW w:w="464" w:type="pct"/>
            <w:shd w:val="clear" w:color="auto" w:fill="auto"/>
          </w:tcPr>
          <w:p w:rsidR="00B60984" w:rsidRPr="00B60984" w:rsidP="00B60984" w14:paraId="29288DBA" w14:textId="77777777">
            <w:pPr>
              <w:spacing w:after="0" w:line="240" w:lineRule="auto"/>
              <w:rPr>
                <w:rFonts w:eastAsia="Times New Roman"/>
                <w:color w:val="000000"/>
                <w:sz w:val="18"/>
                <w:szCs w:val="18"/>
              </w:rPr>
            </w:pPr>
            <w:r w:rsidRPr="00B60984">
              <w:rPr>
                <w:rFonts w:eastAsia="Times New Roman"/>
                <w:color w:val="000000"/>
                <w:sz w:val="18"/>
                <w:szCs w:val="18"/>
              </w:rPr>
              <w:t>Managing Director</w:t>
            </w:r>
          </w:p>
        </w:tc>
        <w:tc>
          <w:tcPr>
            <w:tcW w:w="490" w:type="pct"/>
            <w:shd w:val="clear" w:color="auto" w:fill="auto"/>
          </w:tcPr>
          <w:p w:rsidR="00B60984" w:rsidRPr="00B60984" w:rsidP="00B60984" w14:paraId="13D1D1BE"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73683033" w14:textId="77777777">
            <w:pPr>
              <w:spacing w:after="0" w:line="240" w:lineRule="auto"/>
              <w:rPr>
                <w:rFonts w:eastAsia="Times New Roman"/>
                <w:color w:val="000000"/>
                <w:sz w:val="18"/>
                <w:szCs w:val="18"/>
              </w:rPr>
            </w:pPr>
            <w:r w:rsidRPr="00B60984">
              <w:rPr>
                <w:rFonts w:eastAsia="Times New Roman"/>
                <w:color w:val="000000"/>
                <w:sz w:val="18"/>
                <w:szCs w:val="18"/>
              </w:rPr>
              <w:t>Fees and Transaction Costs</w:t>
            </w:r>
          </w:p>
        </w:tc>
        <w:tc>
          <w:tcPr>
            <w:tcW w:w="1053" w:type="pct"/>
            <w:shd w:val="clear" w:color="auto" w:fill="auto"/>
          </w:tcPr>
          <w:p w:rsidR="00B60984" w:rsidRPr="00B60984" w:rsidP="00B60984" w14:paraId="7F0E0DFC" w14:textId="77777777">
            <w:pPr>
              <w:spacing w:after="0" w:line="240" w:lineRule="auto"/>
              <w:rPr>
                <w:rFonts w:eastAsia="Times New Roman"/>
                <w:color w:val="000000"/>
                <w:sz w:val="18"/>
                <w:szCs w:val="18"/>
              </w:rPr>
            </w:pPr>
            <w:r w:rsidRPr="00B60984">
              <w:rPr>
                <w:rFonts w:eastAsia="Times New Roman"/>
                <w:color w:val="000000"/>
                <w:sz w:val="18"/>
                <w:szCs w:val="18"/>
              </w:rPr>
              <w:t xml:space="preserve">Proposed to change wording of Upfront Fees to the CDE or CDE Affiliate </w:t>
            </w:r>
            <w:r w:rsidRPr="00B60984">
              <w:rPr>
                <w:rFonts w:eastAsia="Times New Roman"/>
                <w:color w:val="000000"/>
                <w:sz w:val="18"/>
                <w:szCs w:val="18"/>
              </w:rPr>
              <w:br/>
            </w:r>
            <w:r w:rsidRPr="00B60984">
              <w:rPr>
                <w:rFonts w:eastAsia="Times New Roman"/>
                <w:color w:val="000000"/>
                <w:sz w:val="18"/>
                <w:szCs w:val="18"/>
              </w:rPr>
              <w:br/>
              <w:t xml:space="preserve">from "Include any and all fees or revenue charged prior to or during the close </w:t>
            </w:r>
            <w:r w:rsidRPr="00B60984">
              <w:rPr>
                <w:rFonts w:eastAsia="Times New Roman"/>
                <w:color w:val="000000"/>
                <w:sz w:val="18"/>
                <w:szCs w:val="18"/>
              </w:rPr>
              <w:br/>
              <w:t>of the QLICI transaction (</w:t>
            </w:r>
            <w:r w:rsidRPr="00B60984">
              <w:rPr>
                <w:rFonts w:eastAsia="Times New Roman"/>
                <w:color w:val="000000"/>
                <w:sz w:val="18"/>
                <w:szCs w:val="18"/>
              </w:rPr>
              <w:t>e.g.</w:t>
            </w:r>
            <w:r w:rsidRPr="00B60984">
              <w:rPr>
                <w:rFonts w:eastAsia="Times New Roman"/>
                <w:color w:val="000000"/>
                <w:sz w:val="18"/>
                <w:szCs w:val="18"/>
              </w:rPr>
              <w:t xml:space="preserve"> placement fees, sub-allocation fees, syndication </w:t>
            </w:r>
            <w:r w:rsidRPr="00B60984">
              <w:rPr>
                <w:rFonts w:eastAsia="Times New Roman"/>
                <w:color w:val="000000"/>
                <w:sz w:val="18"/>
                <w:szCs w:val="18"/>
              </w:rPr>
              <w:br/>
              <w:t>fees, etc.). This includes any fees or revenue charged before the QEI is made."</w:t>
            </w:r>
            <w:r w:rsidRPr="00B60984">
              <w:rPr>
                <w:rFonts w:eastAsia="Times New Roman"/>
                <w:color w:val="000000"/>
                <w:sz w:val="18"/>
                <w:szCs w:val="18"/>
              </w:rPr>
              <w:br/>
            </w:r>
            <w:r w:rsidRPr="00B60984">
              <w:rPr>
                <w:rFonts w:eastAsia="Times New Roman"/>
                <w:color w:val="000000"/>
                <w:sz w:val="18"/>
                <w:szCs w:val="18"/>
              </w:rPr>
              <w:br/>
              <w:t>to "Include any and all fees or revenue or payments charged prior to or during the close</w:t>
            </w:r>
            <w:r w:rsidRPr="00B60984">
              <w:rPr>
                <w:rFonts w:eastAsia="Times New Roman"/>
                <w:color w:val="000000"/>
                <w:sz w:val="18"/>
                <w:szCs w:val="18"/>
              </w:rPr>
              <w:br/>
              <w:t>of the QLICI transaction, including any cash, loan or payment from the</w:t>
            </w:r>
            <w:r w:rsidRPr="00B60984">
              <w:rPr>
                <w:rFonts w:eastAsia="Times New Roman"/>
                <w:color w:val="000000"/>
                <w:sz w:val="18"/>
                <w:szCs w:val="18"/>
              </w:rPr>
              <w:br/>
              <w:t>QALICB/QALICB affiliate received by CDE/CDE affiliate (</w:t>
            </w:r>
            <w:r w:rsidRPr="00B60984">
              <w:rPr>
                <w:rFonts w:eastAsia="Times New Roman"/>
                <w:color w:val="000000"/>
                <w:sz w:val="18"/>
                <w:szCs w:val="18"/>
              </w:rPr>
              <w:t>e.g.</w:t>
            </w:r>
            <w:r w:rsidRPr="00B60984">
              <w:rPr>
                <w:rFonts w:eastAsia="Times New Roman"/>
                <w:color w:val="000000"/>
                <w:sz w:val="18"/>
                <w:szCs w:val="18"/>
              </w:rPr>
              <w:t xml:space="preserve"> placement fees, suballocation</w:t>
            </w:r>
            <w:r w:rsidRPr="00B60984">
              <w:rPr>
                <w:rFonts w:eastAsia="Times New Roman"/>
                <w:color w:val="000000"/>
                <w:sz w:val="18"/>
                <w:szCs w:val="18"/>
              </w:rPr>
              <w:br/>
              <w:t>fees, syndication fees, loan agreements, other outflow of cash, etc.). This</w:t>
            </w:r>
            <w:r w:rsidRPr="00B60984">
              <w:rPr>
                <w:rFonts w:eastAsia="Times New Roman"/>
                <w:color w:val="000000"/>
                <w:sz w:val="18"/>
                <w:szCs w:val="18"/>
              </w:rPr>
              <w:br/>
              <w:t xml:space="preserve">includes any fees, payments, </w:t>
            </w:r>
            <w:r w:rsidRPr="00B60984">
              <w:rPr>
                <w:rFonts w:eastAsia="Times New Roman"/>
                <w:color w:val="000000"/>
                <w:sz w:val="18"/>
                <w:szCs w:val="18"/>
              </w:rPr>
              <w:t>revenue</w:t>
            </w:r>
            <w:r w:rsidRPr="00B60984">
              <w:rPr>
                <w:rFonts w:eastAsia="Times New Roman"/>
                <w:color w:val="000000"/>
                <w:sz w:val="18"/>
                <w:szCs w:val="18"/>
              </w:rPr>
              <w:t xml:space="preserve"> or loans received by the CDE/CDE affiliate</w:t>
            </w:r>
            <w:r w:rsidRPr="00B60984">
              <w:rPr>
                <w:rFonts w:eastAsia="Times New Roman"/>
                <w:color w:val="000000"/>
                <w:sz w:val="18"/>
                <w:szCs w:val="18"/>
              </w:rPr>
              <w:br/>
              <w:t>before the QEI is made."</w:t>
            </w:r>
          </w:p>
        </w:tc>
        <w:tc>
          <w:tcPr>
            <w:tcW w:w="819" w:type="pct"/>
            <w:shd w:val="clear" w:color="auto" w:fill="auto"/>
          </w:tcPr>
          <w:p w:rsidR="00B60984" w:rsidRPr="00B60984" w:rsidP="00B60984" w14:paraId="593B6752" w14:textId="77777777">
            <w:pPr>
              <w:spacing w:after="0" w:line="240" w:lineRule="auto"/>
              <w:rPr>
                <w:rFonts w:eastAsia="Times New Roman"/>
                <w:color w:val="000000"/>
                <w:sz w:val="18"/>
                <w:szCs w:val="18"/>
              </w:rPr>
            </w:pPr>
            <w:r w:rsidRPr="00B60984">
              <w:rPr>
                <w:rFonts w:eastAsia="Times New Roman"/>
                <w:sz w:val="18"/>
                <w:szCs w:val="18"/>
              </w:rPr>
              <w:t xml:space="preserve">The CDFI Fund does not agree with all of the proposed changes and </w:t>
            </w:r>
            <w:r w:rsidRPr="00B60984">
              <w:rPr>
                <w:rFonts w:eastAsia="Times New Roman"/>
                <w:sz w:val="18"/>
                <w:szCs w:val="18"/>
              </w:rPr>
              <w:t>will instead change the wording to state, “Include any and all fees, revenue, or payments charged prior to or during the close of the QLICI transaction, including any cash, loan or payment received by CDE or CDE Affiliates (</w:t>
            </w:r>
            <w:r w:rsidRPr="00B60984">
              <w:rPr>
                <w:rFonts w:eastAsia="Times New Roman"/>
                <w:sz w:val="18"/>
                <w:szCs w:val="18"/>
              </w:rPr>
              <w:t>e.g.</w:t>
            </w:r>
            <w:r w:rsidRPr="00B60984">
              <w:rPr>
                <w:rFonts w:eastAsia="Times New Roman"/>
                <w:sz w:val="18"/>
                <w:szCs w:val="18"/>
              </w:rPr>
              <w:t xml:space="preserve"> placement fees, sub-allocation fees, syndication fees, etc.). This includes any fees, payments, </w:t>
            </w:r>
            <w:r w:rsidRPr="00B60984">
              <w:rPr>
                <w:rFonts w:eastAsia="Times New Roman"/>
                <w:sz w:val="18"/>
                <w:szCs w:val="18"/>
              </w:rPr>
              <w:t>revenue</w:t>
            </w:r>
            <w:r w:rsidRPr="00B60984">
              <w:rPr>
                <w:rFonts w:eastAsia="Times New Roman"/>
                <w:sz w:val="18"/>
                <w:szCs w:val="18"/>
              </w:rPr>
              <w:t xml:space="preserve"> or loans received by the CDE/CDE affiliate before the QEI is made.”</w:t>
            </w:r>
          </w:p>
        </w:tc>
      </w:tr>
      <w:tr w14:paraId="20488133" w14:textId="77777777" w:rsidTr="00B86BBF">
        <w:tblPrEx>
          <w:tblW w:w="5000" w:type="pct"/>
          <w:tblLook w:val="04A0"/>
        </w:tblPrEx>
        <w:tc>
          <w:tcPr>
            <w:tcW w:w="468" w:type="pct"/>
            <w:shd w:val="clear" w:color="auto" w:fill="auto"/>
          </w:tcPr>
          <w:p w:rsidR="00B60984" w:rsidRPr="00B60984" w:rsidP="00B60984" w14:paraId="713BD2C3" w14:textId="77777777">
            <w:pPr>
              <w:spacing w:after="0" w:line="240" w:lineRule="auto"/>
              <w:rPr>
                <w:rFonts w:eastAsia="Times New Roman"/>
                <w:color w:val="000000"/>
                <w:sz w:val="18"/>
                <w:szCs w:val="18"/>
              </w:rPr>
            </w:pPr>
            <w:r w:rsidRPr="00B60984">
              <w:rPr>
                <w:rFonts w:eastAsia="Times New Roman"/>
                <w:color w:val="000000"/>
                <w:sz w:val="18"/>
                <w:szCs w:val="18"/>
              </w:rPr>
              <w:t>53</w:t>
            </w:r>
          </w:p>
        </w:tc>
        <w:tc>
          <w:tcPr>
            <w:tcW w:w="594" w:type="pct"/>
            <w:shd w:val="clear" w:color="auto" w:fill="auto"/>
          </w:tcPr>
          <w:p w:rsidR="00B60984" w:rsidRPr="00B60984" w:rsidP="00B60984" w14:paraId="1F117B40" w14:textId="77777777">
            <w:pPr>
              <w:spacing w:after="0" w:line="240" w:lineRule="auto"/>
              <w:rPr>
                <w:rFonts w:eastAsia="Times New Roman"/>
                <w:color w:val="000000"/>
                <w:sz w:val="18"/>
                <w:szCs w:val="18"/>
              </w:rPr>
            </w:pPr>
            <w:r w:rsidRPr="00B60984">
              <w:rPr>
                <w:rFonts w:eastAsia="Times New Roman"/>
                <w:color w:val="000000"/>
                <w:sz w:val="18"/>
                <w:szCs w:val="18"/>
              </w:rPr>
              <w:t>SDS Capital Group</w:t>
            </w:r>
          </w:p>
        </w:tc>
        <w:tc>
          <w:tcPr>
            <w:tcW w:w="527" w:type="pct"/>
            <w:shd w:val="clear" w:color="auto" w:fill="auto"/>
          </w:tcPr>
          <w:p w:rsidR="00B60984" w:rsidRPr="00B60984" w:rsidP="00B60984" w14:paraId="7CB21C30" w14:textId="77777777">
            <w:pPr>
              <w:spacing w:after="0" w:line="240" w:lineRule="auto"/>
              <w:rPr>
                <w:rFonts w:eastAsia="Times New Roman"/>
                <w:color w:val="000000"/>
                <w:sz w:val="18"/>
                <w:szCs w:val="18"/>
              </w:rPr>
            </w:pPr>
            <w:r w:rsidRPr="00B60984">
              <w:rPr>
                <w:rFonts w:eastAsia="Times New Roman"/>
                <w:color w:val="000000"/>
                <w:sz w:val="18"/>
                <w:szCs w:val="18"/>
              </w:rPr>
              <w:t>Asteria L. Steinberger</w:t>
            </w:r>
          </w:p>
        </w:tc>
        <w:tc>
          <w:tcPr>
            <w:tcW w:w="464" w:type="pct"/>
            <w:shd w:val="clear" w:color="auto" w:fill="auto"/>
          </w:tcPr>
          <w:p w:rsidR="00B60984" w:rsidRPr="00B60984" w:rsidP="00B60984" w14:paraId="57F06AC0" w14:textId="77777777">
            <w:pPr>
              <w:spacing w:after="0" w:line="240" w:lineRule="auto"/>
              <w:rPr>
                <w:rFonts w:eastAsia="Times New Roman"/>
                <w:color w:val="000000"/>
                <w:sz w:val="18"/>
                <w:szCs w:val="18"/>
              </w:rPr>
            </w:pPr>
            <w:r w:rsidRPr="00B60984">
              <w:rPr>
                <w:rFonts w:eastAsia="Times New Roman"/>
                <w:color w:val="000000"/>
                <w:sz w:val="18"/>
                <w:szCs w:val="18"/>
              </w:rPr>
              <w:t>Managing Director</w:t>
            </w:r>
          </w:p>
        </w:tc>
        <w:tc>
          <w:tcPr>
            <w:tcW w:w="490" w:type="pct"/>
            <w:shd w:val="clear" w:color="auto" w:fill="auto"/>
          </w:tcPr>
          <w:p w:rsidR="00B60984" w:rsidRPr="00B60984" w:rsidP="00B60984" w14:paraId="3D3C37C5"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4A34493F" w14:textId="77777777">
            <w:pPr>
              <w:spacing w:after="0" w:line="240" w:lineRule="auto"/>
              <w:rPr>
                <w:rFonts w:eastAsia="Times New Roman"/>
                <w:color w:val="000000"/>
                <w:sz w:val="18"/>
                <w:szCs w:val="18"/>
              </w:rPr>
            </w:pPr>
            <w:r w:rsidRPr="00B60984">
              <w:rPr>
                <w:rFonts w:eastAsia="Times New Roman"/>
                <w:color w:val="000000"/>
                <w:sz w:val="18"/>
                <w:szCs w:val="18"/>
              </w:rPr>
              <w:t>Fees and Transaction Costs</w:t>
            </w:r>
          </w:p>
        </w:tc>
        <w:tc>
          <w:tcPr>
            <w:tcW w:w="1053" w:type="pct"/>
            <w:shd w:val="clear" w:color="auto" w:fill="auto"/>
          </w:tcPr>
          <w:p w:rsidR="00B60984" w:rsidRPr="00B60984" w:rsidP="00B60984" w14:paraId="52EAD711" w14:textId="77777777">
            <w:pPr>
              <w:spacing w:after="0" w:line="240" w:lineRule="auto"/>
              <w:rPr>
                <w:rFonts w:eastAsia="Times New Roman"/>
                <w:color w:val="000000"/>
                <w:sz w:val="18"/>
                <w:szCs w:val="18"/>
              </w:rPr>
            </w:pPr>
            <w:r w:rsidRPr="00B60984">
              <w:rPr>
                <w:rFonts w:eastAsia="Times New Roman"/>
                <w:color w:val="000000"/>
                <w:sz w:val="18"/>
                <w:szCs w:val="18"/>
              </w:rPr>
              <w:t xml:space="preserve">Proposed to change wording of Back-end to CDE or CDE Affiliates </w:t>
            </w:r>
            <w:r w:rsidRPr="00B60984">
              <w:rPr>
                <w:rFonts w:eastAsia="Times New Roman"/>
                <w:color w:val="000000"/>
                <w:sz w:val="18"/>
                <w:szCs w:val="18"/>
              </w:rPr>
              <w:br/>
            </w:r>
            <w:r w:rsidRPr="00B60984">
              <w:rPr>
                <w:rFonts w:eastAsia="Times New Roman"/>
                <w:color w:val="000000"/>
                <w:sz w:val="18"/>
                <w:szCs w:val="18"/>
              </w:rPr>
              <w:br/>
              <w:t xml:space="preserve">from "Include any and all revenue collected at the end of or after the </w:t>
            </w:r>
            <w:r w:rsidRPr="00B60984">
              <w:rPr>
                <w:rFonts w:eastAsia="Times New Roman"/>
                <w:color w:val="000000"/>
                <w:sz w:val="18"/>
                <w:szCs w:val="18"/>
              </w:rPr>
              <w:br/>
              <w:t xml:space="preserve">seven year compliance period (e.g. success, residuals, exit fees, carried </w:t>
            </w:r>
            <w:r w:rsidRPr="00B60984">
              <w:rPr>
                <w:rFonts w:eastAsia="Times New Roman"/>
                <w:color w:val="000000"/>
                <w:sz w:val="18"/>
                <w:szCs w:val="18"/>
              </w:rPr>
              <w:br/>
              <w:t>interest, Allocation Agreement compliance, etc.).</w:t>
            </w:r>
            <w:r w:rsidRPr="00B60984">
              <w:rPr>
                <w:rFonts w:eastAsia="Times New Roman"/>
                <w:color w:val="000000"/>
                <w:sz w:val="18"/>
                <w:szCs w:val="18"/>
              </w:rPr>
              <w:br/>
              <w:t xml:space="preserve">Exclude transaction costs (e.g. legal, audit, tax preparation, and </w:t>
            </w:r>
            <w:r w:rsidRPr="00B60984">
              <w:rPr>
                <w:rFonts w:eastAsia="Times New Roman"/>
                <w:color w:val="000000"/>
                <w:sz w:val="18"/>
                <w:szCs w:val="18"/>
              </w:rPr>
              <w:t xml:space="preserve">accounting </w:t>
            </w:r>
            <w:r w:rsidRPr="00B60984">
              <w:rPr>
                <w:rFonts w:eastAsia="Times New Roman"/>
                <w:color w:val="000000"/>
                <w:sz w:val="18"/>
                <w:szCs w:val="18"/>
              </w:rPr>
              <w:br/>
              <w:t>expenses associated with exiting an NMTC transaction)."</w:t>
            </w:r>
            <w:r w:rsidRPr="00B60984">
              <w:rPr>
                <w:rFonts w:eastAsia="Times New Roman"/>
                <w:color w:val="000000"/>
                <w:sz w:val="18"/>
                <w:szCs w:val="18"/>
              </w:rPr>
              <w:br/>
            </w:r>
            <w:r w:rsidRPr="00B60984">
              <w:rPr>
                <w:rFonts w:eastAsia="Times New Roman"/>
                <w:color w:val="000000"/>
                <w:sz w:val="18"/>
                <w:szCs w:val="18"/>
              </w:rPr>
              <w:br/>
              <w:t>to "Include any and all revenue, loan repayments or fees collected at the end of or after</w:t>
            </w:r>
            <w:r w:rsidRPr="00B60984">
              <w:rPr>
                <w:rFonts w:eastAsia="Times New Roman"/>
                <w:color w:val="000000"/>
                <w:sz w:val="18"/>
                <w:szCs w:val="18"/>
              </w:rPr>
              <w:br/>
              <w:t>the seven year compliance period retained by the CDE or any affiliates (e.g. success,</w:t>
            </w:r>
            <w:r w:rsidRPr="00B60984">
              <w:rPr>
                <w:rFonts w:eastAsia="Times New Roman"/>
                <w:color w:val="000000"/>
                <w:sz w:val="18"/>
                <w:szCs w:val="18"/>
              </w:rPr>
              <w:br/>
              <w:t>residuals, loan repayments, reserves, donations, exit fees, carried interest, Allocation</w:t>
            </w:r>
            <w:r w:rsidRPr="00B60984">
              <w:rPr>
                <w:rFonts w:eastAsia="Times New Roman"/>
                <w:color w:val="000000"/>
                <w:sz w:val="18"/>
                <w:szCs w:val="18"/>
              </w:rPr>
              <w:br/>
              <w:t>Agreement compliance, etc.).</w:t>
            </w:r>
            <w:r w:rsidRPr="00B60984">
              <w:rPr>
                <w:rFonts w:eastAsia="Times New Roman"/>
                <w:color w:val="000000"/>
                <w:sz w:val="18"/>
                <w:szCs w:val="18"/>
              </w:rPr>
              <w:br/>
              <w:t>Exclude third-party transaction costs paid to parties not affiliated to CDE (e.g. legal,</w:t>
            </w:r>
            <w:r w:rsidRPr="00B60984">
              <w:rPr>
                <w:rFonts w:eastAsia="Times New Roman"/>
                <w:color w:val="000000"/>
                <w:sz w:val="18"/>
                <w:szCs w:val="18"/>
              </w:rPr>
              <w:br/>
              <w:t>audit, tax preparation, and accounting expenses associated with exiting an NMTC</w:t>
            </w:r>
            <w:r w:rsidRPr="00B60984">
              <w:rPr>
                <w:rFonts w:eastAsia="Times New Roman"/>
                <w:color w:val="000000"/>
                <w:sz w:val="18"/>
                <w:szCs w:val="18"/>
              </w:rPr>
              <w:br/>
              <w:t>transaction)"</w:t>
            </w:r>
          </w:p>
        </w:tc>
        <w:tc>
          <w:tcPr>
            <w:tcW w:w="819" w:type="pct"/>
            <w:shd w:val="clear" w:color="auto" w:fill="auto"/>
          </w:tcPr>
          <w:p w:rsidR="00B60984" w:rsidRPr="00B60984" w:rsidP="00B60984" w14:paraId="16499792" w14:textId="49AB255F">
            <w:pPr>
              <w:spacing w:after="0" w:line="240" w:lineRule="auto"/>
              <w:rPr>
                <w:rFonts w:eastAsia="Times New Roman"/>
                <w:color w:val="FF0000"/>
                <w:sz w:val="18"/>
                <w:szCs w:val="18"/>
              </w:rPr>
            </w:pPr>
            <w:r w:rsidRPr="00B60984">
              <w:rPr>
                <w:rFonts w:eastAsia="Times New Roman"/>
                <w:sz w:val="18"/>
                <w:szCs w:val="18"/>
              </w:rPr>
              <w:t>The CDFI Fund does not agree with all of the proposed changes and will instead change the wording to state, “Include any and all fees, revenue, or repayments collected at the end of or after the seven-year compliance period retained by the CDE or CDE Affiliates (</w:t>
            </w:r>
            <w:r w:rsidRPr="00B60984">
              <w:rPr>
                <w:rFonts w:eastAsia="Times New Roman"/>
                <w:sz w:val="18"/>
                <w:szCs w:val="18"/>
              </w:rPr>
              <w:t>e.g.</w:t>
            </w:r>
            <w:r w:rsidRPr="00B60984">
              <w:rPr>
                <w:rFonts w:eastAsia="Times New Roman"/>
                <w:sz w:val="18"/>
                <w:szCs w:val="18"/>
              </w:rPr>
              <w:t xml:space="preserve"> success, residuals, loan repayments, reserves, </w:t>
            </w:r>
            <w:r w:rsidRPr="00B60984">
              <w:rPr>
                <w:rFonts w:eastAsia="Times New Roman"/>
                <w:sz w:val="18"/>
                <w:szCs w:val="18"/>
              </w:rPr>
              <w:t>donations, exit fees, carried interest, Allocation Agreement reporting and compliance, etc.). Exclude third-party transaction costs paid to parties not affiliated to CDE (</w:t>
            </w:r>
            <w:r w:rsidRPr="00B60984">
              <w:rPr>
                <w:rFonts w:eastAsia="Times New Roman"/>
                <w:sz w:val="18"/>
                <w:szCs w:val="18"/>
              </w:rPr>
              <w:t>e.g.</w:t>
            </w:r>
            <w:r w:rsidRPr="00B60984">
              <w:rPr>
                <w:rFonts w:eastAsia="Times New Roman"/>
                <w:sz w:val="18"/>
                <w:szCs w:val="18"/>
              </w:rPr>
              <w:t xml:space="preserve"> legal, audit, tax preparation, and accounting expenses associated with exiting an NMTC transaction).”</w:t>
            </w:r>
          </w:p>
        </w:tc>
      </w:tr>
      <w:tr w14:paraId="56278F92" w14:textId="77777777" w:rsidTr="00B86BBF">
        <w:tblPrEx>
          <w:tblW w:w="5000" w:type="pct"/>
          <w:tblLook w:val="04A0"/>
        </w:tblPrEx>
        <w:tc>
          <w:tcPr>
            <w:tcW w:w="468" w:type="pct"/>
            <w:shd w:val="clear" w:color="auto" w:fill="auto"/>
          </w:tcPr>
          <w:p w:rsidR="00B60984" w:rsidRPr="00B60984" w:rsidP="00B60984" w14:paraId="18914E1B" w14:textId="77777777">
            <w:pPr>
              <w:spacing w:after="0" w:line="240" w:lineRule="auto"/>
              <w:rPr>
                <w:rFonts w:eastAsia="Times New Roman"/>
                <w:color w:val="000000"/>
                <w:sz w:val="18"/>
                <w:szCs w:val="18"/>
              </w:rPr>
            </w:pPr>
            <w:r w:rsidRPr="00B60984">
              <w:rPr>
                <w:rFonts w:eastAsia="Times New Roman"/>
                <w:color w:val="000000"/>
                <w:sz w:val="18"/>
                <w:szCs w:val="18"/>
              </w:rPr>
              <w:t>54</w:t>
            </w:r>
          </w:p>
        </w:tc>
        <w:tc>
          <w:tcPr>
            <w:tcW w:w="594" w:type="pct"/>
            <w:shd w:val="clear" w:color="auto" w:fill="auto"/>
          </w:tcPr>
          <w:p w:rsidR="00B60984" w:rsidRPr="00B60984" w:rsidP="00B60984" w14:paraId="196E2DB7" w14:textId="77777777">
            <w:pPr>
              <w:spacing w:after="0" w:line="240" w:lineRule="auto"/>
              <w:rPr>
                <w:rFonts w:eastAsia="Times New Roman"/>
                <w:color w:val="000000"/>
                <w:sz w:val="18"/>
                <w:szCs w:val="18"/>
              </w:rPr>
            </w:pPr>
            <w:r w:rsidRPr="00B60984">
              <w:rPr>
                <w:rFonts w:eastAsia="Times New Roman"/>
                <w:color w:val="000000"/>
                <w:sz w:val="18"/>
                <w:szCs w:val="18"/>
              </w:rPr>
              <w:t>SDS Capital Group</w:t>
            </w:r>
          </w:p>
        </w:tc>
        <w:tc>
          <w:tcPr>
            <w:tcW w:w="527" w:type="pct"/>
            <w:shd w:val="clear" w:color="auto" w:fill="auto"/>
          </w:tcPr>
          <w:p w:rsidR="00B60984" w:rsidRPr="00B60984" w:rsidP="00B60984" w14:paraId="32DC7908" w14:textId="77777777">
            <w:pPr>
              <w:spacing w:after="0" w:line="240" w:lineRule="auto"/>
              <w:rPr>
                <w:rFonts w:eastAsia="Times New Roman"/>
                <w:color w:val="000000"/>
                <w:sz w:val="18"/>
                <w:szCs w:val="18"/>
              </w:rPr>
            </w:pPr>
            <w:r w:rsidRPr="00B60984">
              <w:rPr>
                <w:rFonts w:eastAsia="Times New Roman"/>
                <w:color w:val="000000"/>
                <w:sz w:val="18"/>
                <w:szCs w:val="18"/>
              </w:rPr>
              <w:t>Asteria L. Steinberger</w:t>
            </w:r>
          </w:p>
        </w:tc>
        <w:tc>
          <w:tcPr>
            <w:tcW w:w="464" w:type="pct"/>
            <w:shd w:val="clear" w:color="auto" w:fill="auto"/>
          </w:tcPr>
          <w:p w:rsidR="00B60984" w:rsidRPr="00B60984" w:rsidP="00B60984" w14:paraId="4F1C008C" w14:textId="77777777">
            <w:pPr>
              <w:spacing w:after="0" w:line="240" w:lineRule="auto"/>
              <w:rPr>
                <w:rFonts w:eastAsia="Times New Roman"/>
                <w:color w:val="000000"/>
                <w:sz w:val="18"/>
                <w:szCs w:val="18"/>
              </w:rPr>
            </w:pPr>
            <w:r w:rsidRPr="00B60984">
              <w:rPr>
                <w:rFonts w:eastAsia="Times New Roman"/>
                <w:color w:val="000000"/>
                <w:sz w:val="18"/>
                <w:szCs w:val="18"/>
              </w:rPr>
              <w:t>Managing Director</w:t>
            </w:r>
          </w:p>
        </w:tc>
        <w:tc>
          <w:tcPr>
            <w:tcW w:w="490" w:type="pct"/>
            <w:shd w:val="clear" w:color="auto" w:fill="auto"/>
          </w:tcPr>
          <w:p w:rsidR="00B60984" w:rsidRPr="00B60984" w:rsidP="00B60984" w14:paraId="004DD022" w14:textId="77777777">
            <w:pPr>
              <w:spacing w:after="0" w:line="240" w:lineRule="auto"/>
              <w:rPr>
                <w:rFonts w:eastAsia="Times New Roman"/>
                <w:color w:val="000000"/>
                <w:sz w:val="18"/>
                <w:szCs w:val="18"/>
              </w:rPr>
            </w:pPr>
            <w:r w:rsidRPr="00B60984">
              <w:rPr>
                <w:rFonts w:eastAsia="Times New Roman"/>
                <w:color w:val="000000"/>
                <w:sz w:val="18"/>
                <w:szCs w:val="18"/>
              </w:rPr>
              <w:t>4/10/2023</w:t>
            </w:r>
          </w:p>
        </w:tc>
        <w:tc>
          <w:tcPr>
            <w:tcW w:w="585" w:type="pct"/>
            <w:shd w:val="clear" w:color="auto" w:fill="auto"/>
          </w:tcPr>
          <w:p w:rsidR="00B60984" w:rsidRPr="00B60984" w:rsidP="00B60984" w14:paraId="44365097" w14:textId="77777777">
            <w:pPr>
              <w:spacing w:after="0" w:line="240" w:lineRule="auto"/>
              <w:rPr>
                <w:rFonts w:eastAsia="Times New Roman"/>
                <w:color w:val="000000"/>
                <w:sz w:val="18"/>
                <w:szCs w:val="18"/>
              </w:rPr>
            </w:pPr>
            <w:r w:rsidRPr="00B60984">
              <w:rPr>
                <w:rFonts w:eastAsia="Times New Roman"/>
                <w:color w:val="000000"/>
                <w:sz w:val="18"/>
                <w:szCs w:val="18"/>
              </w:rPr>
              <w:t>Fees and Transaction Costs</w:t>
            </w:r>
          </w:p>
        </w:tc>
        <w:tc>
          <w:tcPr>
            <w:tcW w:w="1053" w:type="pct"/>
            <w:shd w:val="clear" w:color="auto" w:fill="auto"/>
          </w:tcPr>
          <w:p w:rsidR="00B60984" w:rsidRPr="00B60984" w:rsidP="00B60984" w14:paraId="72BE7916" w14:textId="77777777">
            <w:pPr>
              <w:spacing w:after="0" w:line="240" w:lineRule="auto"/>
              <w:rPr>
                <w:rFonts w:eastAsia="Times New Roman"/>
                <w:color w:val="000000"/>
                <w:sz w:val="18"/>
                <w:szCs w:val="18"/>
              </w:rPr>
            </w:pPr>
            <w:r w:rsidRPr="00B60984">
              <w:rPr>
                <w:rFonts w:eastAsia="Times New Roman"/>
                <w:color w:val="000000"/>
                <w:sz w:val="18"/>
                <w:szCs w:val="18"/>
              </w:rPr>
              <w:t>Proposed to change wording of Upfront Transaction Costs</w:t>
            </w:r>
            <w:r w:rsidRPr="00B60984">
              <w:rPr>
                <w:rFonts w:eastAsia="Times New Roman"/>
                <w:color w:val="000000"/>
                <w:sz w:val="18"/>
                <w:szCs w:val="18"/>
              </w:rPr>
              <w:br/>
            </w:r>
            <w:r w:rsidRPr="00B60984">
              <w:rPr>
                <w:rFonts w:eastAsia="Times New Roman"/>
                <w:color w:val="000000"/>
                <w:sz w:val="18"/>
                <w:szCs w:val="18"/>
              </w:rPr>
              <w:br/>
              <w:t xml:space="preserve">from "Include any and all transaction costs collected prior to or during the </w:t>
            </w:r>
            <w:r w:rsidRPr="00B60984">
              <w:rPr>
                <w:rFonts w:eastAsia="Times New Roman"/>
                <w:color w:val="000000"/>
                <w:sz w:val="18"/>
                <w:szCs w:val="18"/>
              </w:rPr>
              <w:br/>
              <w:t xml:space="preserve">close of the QLICI transaction (e.g. legal, financial modeling/projections, </w:t>
            </w:r>
            <w:r w:rsidRPr="00B60984">
              <w:rPr>
                <w:rFonts w:eastAsia="Times New Roman"/>
                <w:color w:val="000000"/>
                <w:sz w:val="18"/>
                <w:szCs w:val="18"/>
              </w:rPr>
              <w:br/>
              <w:t xml:space="preserve">audit, tax preparation, and accounting expenses associated with closing an </w:t>
            </w:r>
            <w:r w:rsidRPr="00B60984">
              <w:rPr>
                <w:rFonts w:eastAsia="Times New Roman"/>
                <w:color w:val="000000"/>
                <w:sz w:val="18"/>
                <w:szCs w:val="18"/>
              </w:rPr>
              <w:br/>
              <w:t>NMTC transaction)."</w:t>
            </w:r>
            <w:r w:rsidRPr="00B60984">
              <w:rPr>
                <w:rFonts w:eastAsia="Times New Roman"/>
                <w:color w:val="000000"/>
                <w:sz w:val="18"/>
                <w:szCs w:val="18"/>
              </w:rPr>
              <w:br/>
            </w:r>
            <w:r w:rsidRPr="00B60984">
              <w:rPr>
                <w:rFonts w:eastAsia="Times New Roman"/>
                <w:color w:val="000000"/>
                <w:sz w:val="18"/>
                <w:szCs w:val="18"/>
              </w:rPr>
              <w:br/>
              <w:t>to "Include any and all transaction costs collected prior to or during the close of the QLICI</w:t>
            </w:r>
            <w:r w:rsidRPr="00B60984">
              <w:rPr>
                <w:rFonts w:eastAsia="Times New Roman"/>
                <w:color w:val="000000"/>
                <w:sz w:val="18"/>
                <w:szCs w:val="18"/>
              </w:rPr>
              <w:br/>
              <w:t xml:space="preserve">transaction paid to parties not affiliated to CDE (e.g. legal, </w:t>
            </w:r>
            <w:r w:rsidRPr="00B60984">
              <w:rPr>
                <w:rFonts w:eastAsia="Times New Roman"/>
                <w:color w:val="000000"/>
                <w:sz w:val="18"/>
                <w:szCs w:val="18"/>
              </w:rPr>
              <w:t>financial</w:t>
            </w:r>
            <w:r w:rsidRPr="00B60984">
              <w:rPr>
                <w:rFonts w:eastAsia="Times New Roman"/>
                <w:color w:val="000000"/>
                <w:sz w:val="18"/>
                <w:szCs w:val="18"/>
              </w:rPr>
              <w:br/>
              <w:t>modeling/projections, consulting fees, placement fees, syndication fees, audit, tax</w:t>
            </w:r>
            <w:r w:rsidRPr="00B60984">
              <w:rPr>
                <w:rFonts w:eastAsia="Times New Roman"/>
                <w:color w:val="000000"/>
                <w:sz w:val="18"/>
                <w:szCs w:val="18"/>
              </w:rPr>
              <w:br/>
              <w:t>preparation, and accounting expenses, and any expenses associated with closing an</w:t>
            </w:r>
            <w:r w:rsidRPr="00B60984">
              <w:rPr>
                <w:rFonts w:eastAsia="Times New Roman"/>
                <w:color w:val="000000"/>
                <w:sz w:val="18"/>
                <w:szCs w:val="18"/>
              </w:rPr>
              <w:br/>
              <w:t>NMTC transaction).</w:t>
            </w:r>
            <w:r w:rsidRPr="00B60984">
              <w:rPr>
                <w:rFonts w:eastAsia="Times New Roman"/>
                <w:color w:val="000000"/>
                <w:sz w:val="18"/>
                <w:szCs w:val="18"/>
              </w:rPr>
              <w:br/>
              <w:t>If the fees are paid to an affiliate of the CDE, it should be reported under the</w:t>
            </w:r>
            <w:r w:rsidRPr="00B60984">
              <w:rPr>
                <w:rFonts w:eastAsia="Times New Roman"/>
                <w:color w:val="000000"/>
                <w:sz w:val="18"/>
                <w:szCs w:val="18"/>
              </w:rPr>
              <w:br/>
              <w:t>Upfront Fees to the CDE or CDE Affiliate."</w:t>
            </w:r>
          </w:p>
        </w:tc>
        <w:tc>
          <w:tcPr>
            <w:tcW w:w="819" w:type="pct"/>
            <w:shd w:val="clear" w:color="auto" w:fill="auto"/>
          </w:tcPr>
          <w:p w:rsidR="00B60984" w:rsidRPr="00B60984" w:rsidP="00B60984" w14:paraId="10382D1E" w14:textId="77777777">
            <w:pPr>
              <w:spacing w:after="0" w:line="240" w:lineRule="auto"/>
              <w:rPr>
                <w:rFonts w:eastAsia="Times New Roman"/>
                <w:color w:val="FF0000"/>
                <w:sz w:val="18"/>
                <w:szCs w:val="18"/>
              </w:rPr>
            </w:pPr>
            <w:r w:rsidRPr="00B60984">
              <w:rPr>
                <w:rFonts w:eastAsia="Times New Roman"/>
                <w:sz w:val="18"/>
                <w:szCs w:val="18"/>
              </w:rPr>
              <w:t>The CDFI Fund does not agree with all of the proposed changes and will instead change the wording to state, “Include any and all transaction costs collected prior to or during the close of the QLICI transaction paid to parties not affiliated to CDE (</w:t>
            </w:r>
            <w:r w:rsidRPr="00B60984">
              <w:rPr>
                <w:rFonts w:eastAsia="Times New Roman"/>
                <w:sz w:val="18"/>
                <w:szCs w:val="18"/>
              </w:rPr>
              <w:t>e.g.</w:t>
            </w:r>
            <w:r w:rsidRPr="00B60984">
              <w:rPr>
                <w:rFonts w:eastAsia="Times New Roman"/>
                <w:sz w:val="18"/>
                <w:szCs w:val="18"/>
              </w:rPr>
              <w:t xml:space="preserve"> legal, financial modeling/projections, placement fees, syndication fees, audit, tax preparation, and accounting expenses associated with closing an NMTC transaction). If the fees are paid to an </w:t>
            </w:r>
            <w:r w:rsidRPr="00B60984">
              <w:rPr>
                <w:rFonts w:eastAsia="Times New Roman"/>
                <w:sz w:val="18"/>
                <w:szCs w:val="18"/>
              </w:rPr>
              <w:t>affiliate of the CDE, it should be reported under the Upfront Fees to the CDE or CDE Affiliate.”</w:t>
            </w:r>
          </w:p>
        </w:tc>
      </w:tr>
      <w:tr w14:paraId="4A521448" w14:textId="77777777" w:rsidTr="00B86BBF">
        <w:tblPrEx>
          <w:tblW w:w="5000" w:type="pct"/>
          <w:tblLook w:val="04A0"/>
        </w:tblPrEx>
        <w:tc>
          <w:tcPr>
            <w:tcW w:w="468" w:type="pct"/>
            <w:shd w:val="clear" w:color="auto" w:fill="auto"/>
          </w:tcPr>
          <w:p w:rsidR="00B60984" w:rsidRPr="00B60984" w:rsidP="00B60984" w14:paraId="46BBAC4E" w14:textId="77777777">
            <w:pPr>
              <w:spacing w:after="0" w:line="240" w:lineRule="auto"/>
              <w:rPr>
                <w:rFonts w:eastAsia="Times New Roman"/>
                <w:color w:val="000000"/>
                <w:sz w:val="18"/>
                <w:szCs w:val="18"/>
              </w:rPr>
            </w:pPr>
            <w:r w:rsidRPr="00B60984">
              <w:rPr>
                <w:rFonts w:eastAsia="Times New Roman"/>
                <w:color w:val="000000"/>
                <w:sz w:val="18"/>
                <w:szCs w:val="18"/>
              </w:rPr>
              <w:t>55</w:t>
            </w:r>
          </w:p>
        </w:tc>
        <w:tc>
          <w:tcPr>
            <w:tcW w:w="594" w:type="pct"/>
            <w:shd w:val="clear" w:color="auto" w:fill="auto"/>
          </w:tcPr>
          <w:p w:rsidR="00B60984" w:rsidRPr="00B60984" w:rsidP="00B60984" w14:paraId="28CE0521" w14:textId="77777777">
            <w:pPr>
              <w:spacing w:after="0" w:line="240" w:lineRule="auto"/>
              <w:rPr>
                <w:rFonts w:eastAsia="Times New Roman"/>
                <w:color w:val="000000"/>
                <w:sz w:val="18"/>
                <w:szCs w:val="18"/>
              </w:rPr>
            </w:pPr>
            <w:r w:rsidRPr="00B60984">
              <w:rPr>
                <w:rFonts w:eastAsia="Times New Roman"/>
                <w:color w:val="000000"/>
                <w:sz w:val="18"/>
                <w:szCs w:val="18"/>
              </w:rPr>
              <w:t>Private Citizen</w:t>
            </w:r>
          </w:p>
        </w:tc>
        <w:tc>
          <w:tcPr>
            <w:tcW w:w="527" w:type="pct"/>
            <w:shd w:val="clear" w:color="auto" w:fill="auto"/>
          </w:tcPr>
          <w:p w:rsidR="00B60984" w:rsidRPr="00B60984" w:rsidP="00B60984" w14:paraId="02A77FD6" w14:textId="77777777">
            <w:pPr>
              <w:spacing w:after="0" w:line="240" w:lineRule="auto"/>
              <w:rPr>
                <w:rFonts w:eastAsia="Times New Roman"/>
                <w:color w:val="000000"/>
                <w:sz w:val="18"/>
                <w:szCs w:val="18"/>
              </w:rPr>
            </w:pPr>
            <w:r w:rsidRPr="00B60984">
              <w:rPr>
                <w:rFonts w:eastAsia="Times New Roman"/>
                <w:color w:val="000000"/>
                <w:sz w:val="18"/>
                <w:szCs w:val="18"/>
              </w:rPr>
              <w:t>Pascale Vazquez</w:t>
            </w:r>
          </w:p>
        </w:tc>
        <w:tc>
          <w:tcPr>
            <w:tcW w:w="464" w:type="pct"/>
            <w:shd w:val="clear" w:color="auto" w:fill="auto"/>
          </w:tcPr>
          <w:p w:rsidR="00B60984" w:rsidRPr="00B60984" w:rsidP="00B60984" w14:paraId="6EDFD4BC" w14:textId="77777777">
            <w:pPr>
              <w:spacing w:after="0" w:line="240" w:lineRule="auto"/>
              <w:rPr>
                <w:rFonts w:eastAsia="Times New Roman"/>
                <w:color w:val="000000"/>
                <w:sz w:val="18"/>
                <w:szCs w:val="18"/>
              </w:rPr>
            </w:pPr>
            <w:r w:rsidRPr="00B60984">
              <w:rPr>
                <w:rFonts w:eastAsia="Times New Roman"/>
                <w:color w:val="000000"/>
                <w:sz w:val="18"/>
                <w:szCs w:val="18"/>
              </w:rPr>
              <w:t>Not Provided</w:t>
            </w:r>
          </w:p>
        </w:tc>
        <w:tc>
          <w:tcPr>
            <w:tcW w:w="490" w:type="pct"/>
            <w:shd w:val="clear" w:color="auto" w:fill="auto"/>
          </w:tcPr>
          <w:p w:rsidR="00B60984" w:rsidRPr="00B60984" w:rsidP="00B60984" w14:paraId="1BF11FA5" w14:textId="77777777">
            <w:pPr>
              <w:spacing w:after="0" w:line="240" w:lineRule="auto"/>
              <w:rPr>
                <w:rFonts w:eastAsia="Times New Roman"/>
                <w:color w:val="000000"/>
                <w:sz w:val="18"/>
                <w:szCs w:val="18"/>
              </w:rPr>
            </w:pPr>
            <w:r w:rsidRPr="00B60984">
              <w:rPr>
                <w:rFonts w:eastAsia="Times New Roman"/>
                <w:color w:val="000000"/>
                <w:sz w:val="18"/>
                <w:szCs w:val="18"/>
              </w:rPr>
              <w:t>03/02/2023</w:t>
            </w:r>
          </w:p>
        </w:tc>
        <w:tc>
          <w:tcPr>
            <w:tcW w:w="585" w:type="pct"/>
            <w:shd w:val="clear" w:color="auto" w:fill="auto"/>
          </w:tcPr>
          <w:p w:rsidR="00B60984" w:rsidRPr="00B60984" w:rsidP="00B60984" w14:paraId="0C57C45A" w14:textId="77777777">
            <w:pPr>
              <w:spacing w:after="0" w:line="240" w:lineRule="auto"/>
              <w:rPr>
                <w:rFonts w:eastAsia="Times New Roman"/>
                <w:color w:val="000000"/>
                <w:sz w:val="18"/>
                <w:szCs w:val="18"/>
              </w:rPr>
            </w:pPr>
            <w:r w:rsidRPr="00B60984">
              <w:rPr>
                <w:rFonts w:eastAsia="Times New Roman"/>
                <w:color w:val="000000"/>
                <w:sz w:val="18"/>
                <w:szCs w:val="18"/>
              </w:rPr>
              <w:t>General</w:t>
            </w:r>
          </w:p>
        </w:tc>
        <w:tc>
          <w:tcPr>
            <w:tcW w:w="1053" w:type="pct"/>
            <w:shd w:val="clear" w:color="auto" w:fill="auto"/>
          </w:tcPr>
          <w:p w:rsidR="00B60984" w:rsidRPr="00B60984" w:rsidP="00B60984" w14:paraId="1E146825" w14:textId="77777777">
            <w:pPr>
              <w:spacing w:after="0" w:line="240" w:lineRule="auto"/>
              <w:rPr>
                <w:sz w:val="18"/>
                <w:szCs w:val="18"/>
              </w:rPr>
            </w:pPr>
            <w:r w:rsidRPr="00B60984">
              <w:rPr>
                <w:sz w:val="18"/>
                <w:szCs w:val="18"/>
              </w:rPr>
              <w:t>LOTTERY STATE FUNDS</w:t>
            </w:r>
          </w:p>
          <w:p w:rsidR="00B60984" w:rsidRPr="00B60984" w:rsidP="00B60984" w14:paraId="0FEC16CE" w14:textId="77777777">
            <w:pPr>
              <w:spacing w:after="0" w:line="240" w:lineRule="auto"/>
              <w:rPr>
                <w:sz w:val="18"/>
                <w:szCs w:val="18"/>
              </w:rPr>
            </w:pPr>
          </w:p>
          <w:p w:rsidR="00B60984" w:rsidRPr="00B60984" w:rsidP="00B60984" w14:paraId="6F339BA0" w14:textId="4608EF39">
            <w:pPr>
              <w:spacing w:after="0" w:line="240" w:lineRule="auto"/>
              <w:rPr>
                <w:sz w:val="18"/>
                <w:szCs w:val="18"/>
              </w:rPr>
            </w:pPr>
            <w:r w:rsidRPr="00B60984">
              <w:rPr>
                <w:sz w:val="18"/>
                <w:szCs w:val="18"/>
              </w:rPr>
              <w:t xml:space="preserve">Most earrings from the State Lottery Funds are used to supplement the public education state annual budget. The lottery funds are not to replace state and local funding. Supplementing, </w:t>
            </w:r>
            <w:r w:rsidRPr="00B60984">
              <w:rPr>
                <w:sz w:val="18"/>
                <w:szCs w:val="18"/>
              </w:rPr>
              <w:t>in regards to</w:t>
            </w:r>
            <w:r w:rsidRPr="00B60984">
              <w:rPr>
                <w:sz w:val="18"/>
                <w:szCs w:val="18"/>
              </w:rPr>
              <w:t xml:space="preserve"> adding an extra element or amount to.</w:t>
            </w:r>
          </w:p>
          <w:p w:rsidR="00B60984" w:rsidRPr="00B60984" w:rsidP="00B60984" w14:paraId="29E62B35" w14:textId="77777777">
            <w:pPr>
              <w:spacing w:after="0" w:line="240" w:lineRule="auto"/>
              <w:rPr>
                <w:sz w:val="18"/>
                <w:szCs w:val="18"/>
              </w:rPr>
            </w:pPr>
          </w:p>
          <w:p w:rsidR="00B60984" w:rsidRPr="00B60984" w:rsidP="00B60984" w14:paraId="7E14613F" w14:textId="77777777">
            <w:pPr>
              <w:spacing w:after="0" w:line="240" w:lineRule="auto"/>
              <w:rPr>
                <w:sz w:val="18"/>
                <w:szCs w:val="18"/>
              </w:rPr>
            </w:pPr>
            <w:r w:rsidRPr="00B60984">
              <w:rPr>
                <w:sz w:val="18"/>
                <w:szCs w:val="18"/>
              </w:rPr>
              <w:t>Findings</w:t>
            </w:r>
          </w:p>
          <w:p w:rsidR="00B60984" w:rsidRPr="00B60984" w:rsidP="00B60984" w14:paraId="6EE3BBA6" w14:textId="77777777">
            <w:pPr>
              <w:spacing w:after="0" w:line="240" w:lineRule="auto"/>
              <w:rPr>
                <w:sz w:val="18"/>
                <w:szCs w:val="18"/>
              </w:rPr>
            </w:pPr>
          </w:p>
          <w:p w:rsidR="00B60984" w:rsidRPr="00B60984" w:rsidP="00B60984" w14:paraId="31A2C29F" w14:textId="77777777">
            <w:pPr>
              <w:spacing w:after="0" w:line="240" w:lineRule="auto"/>
              <w:rPr>
                <w:sz w:val="18"/>
                <w:szCs w:val="18"/>
              </w:rPr>
            </w:pPr>
            <w:r w:rsidRPr="00B60984">
              <w:rPr>
                <w:sz w:val="18"/>
                <w:szCs w:val="18"/>
              </w:rPr>
              <w:t>Though, the lottery funds are put into public education, the method in which every dollar is put in the front door, there is an equal amount dollar taken out the back door, putting the school educational budget, back at its lowest annual budget.</w:t>
            </w:r>
          </w:p>
          <w:p w:rsidR="00B60984" w:rsidRPr="00B60984" w:rsidP="00B60984" w14:paraId="4C111638" w14:textId="77777777">
            <w:pPr>
              <w:spacing w:after="0" w:line="240" w:lineRule="auto"/>
              <w:rPr>
                <w:sz w:val="18"/>
                <w:szCs w:val="18"/>
              </w:rPr>
            </w:pPr>
            <w:r w:rsidRPr="00B60984">
              <w:rPr>
                <w:sz w:val="18"/>
                <w:szCs w:val="18"/>
              </w:rPr>
              <w:t xml:space="preserve">Furthermore, where are the funds taken </w:t>
            </w:r>
            <w:r w:rsidRPr="00B60984">
              <w:rPr>
                <w:sz w:val="18"/>
                <w:szCs w:val="18"/>
              </w:rPr>
              <w:t>out going</w:t>
            </w:r>
            <w:r w:rsidRPr="00B60984">
              <w:rPr>
                <w:sz w:val="18"/>
                <w:szCs w:val="18"/>
              </w:rPr>
              <w:t xml:space="preserve">? There are a shortage of experienced educational </w:t>
            </w:r>
            <w:r w:rsidRPr="00B60984">
              <w:rPr>
                <w:sz w:val="18"/>
                <w:szCs w:val="18"/>
              </w:rPr>
              <w:t>professionals ,</w:t>
            </w:r>
            <w:r w:rsidRPr="00B60984">
              <w:rPr>
                <w:sz w:val="18"/>
                <w:szCs w:val="18"/>
              </w:rPr>
              <w:t xml:space="preserve"> who by the way, are underpaid, and overworked. Most teachers </w:t>
            </w:r>
            <w:r w:rsidRPr="00B60984">
              <w:rPr>
                <w:sz w:val="18"/>
                <w:szCs w:val="18"/>
              </w:rPr>
              <w:t xml:space="preserve">have </w:t>
            </w:r>
            <w:r w:rsidRPr="00B60984">
              <w:rPr>
                <w:sz w:val="18"/>
                <w:szCs w:val="18"/>
              </w:rPr>
              <w:t>to</w:t>
            </w:r>
            <w:r w:rsidRPr="00B60984">
              <w:rPr>
                <w:sz w:val="18"/>
                <w:szCs w:val="18"/>
              </w:rPr>
              <w:t xml:space="preserve"> manage their personal finances by including school tools, </w:t>
            </w:r>
            <w:r w:rsidRPr="00B60984">
              <w:rPr>
                <w:sz w:val="18"/>
                <w:szCs w:val="18"/>
              </w:rPr>
              <w:t>equipments</w:t>
            </w:r>
            <w:r w:rsidRPr="00B60984">
              <w:rPr>
                <w:sz w:val="18"/>
                <w:szCs w:val="18"/>
              </w:rPr>
              <w:t xml:space="preserve"> and supplies to their budget.</w:t>
            </w:r>
          </w:p>
          <w:p w:rsidR="00B60984" w:rsidRPr="00B60984" w:rsidP="00B60984" w14:paraId="468E2E9F" w14:textId="77777777">
            <w:pPr>
              <w:spacing w:after="0" w:line="240" w:lineRule="auto"/>
              <w:rPr>
                <w:sz w:val="18"/>
                <w:szCs w:val="18"/>
              </w:rPr>
            </w:pPr>
          </w:p>
          <w:p w:rsidR="00B60984" w:rsidRPr="00B60984" w:rsidP="00B60984" w14:paraId="579F6027" w14:textId="77777777">
            <w:pPr>
              <w:spacing w:after="0" w:line="240" w:lineRule="auto"/>
              <w:rPr>
                <w:sz w:val="18"/>
                <w:szCs w:val="18"/>
              </w:rPr>
            </w:pPr>
            <w:r w:rsidRPr="00B60984">
              <w:rPr>
                <w:sz w:val="18"/>
                <w:szCs w:val="18"/>
              </w:rPr>
              <w:t>Public Educational programs in these same underserved communities the CDFI department mission is to aid, are removed and permanently closed, due to funding and budget. Recreational parks, in school activity departments are canceled and programs essential to the growth of the youths that reside in underserved communities.</w:t>
            </w:r>
          </w:p>
          <w:p w:rsidR="00B60984" w:rsidRPr="00B60984" w:rsidP="00B60984" w14:paraId="1838A292" w14:textId="77777777">
            <w:pPr>
              <w:spacing w:after="0" w:line="240" w:lineRule="auto"/>
              <w:rPr>
                <w:rFonts w:eastAsia="Times New Roman"/>
                <w:color w:val="000000"/>
                <w:sz w:val="18"/>
                <w:szCs w:val="18"/>
              </w:rPr>
            </w:pPr>
          </w:p>
        </w:tc>
        <w:tc>
          <w:tcPr>
            <w:tcW w:w="819" w:type="pct"/>
            <w:shd w:val="clear" w:color="auto" w:fill="auto"/>
          </w:tcPr>
          <w:p w:rsidR="00B60984" w:rsidRPr="00B60984" w:rsidP="00B60984" w14:paraId="4FC16BD1" w14:textId="77777777">
            <w:pPr>
              <w:spacing w:after="0" w:line="240" w:lineRule="auto"/>
              <w:rPr>
                <w:rFonts w:eastAsia="Times New Roman"/>
                <w:sz w:val="18"/>
                <w:szCs w:val="18"/>
              </w:rPr>
            </w:pPr>
            <w:r w:rsidRPr="00B60984">
              <w:rPr>
                <w:rFonts w:eastAsia="Times New Roman"/>
                <w:color w:val="000000"/>
                <w:sz w:val="18"/>
                <w:szCs w:val="18"/>
              </w:rPr>
              <w:t>This comment is not pertinent to this Information Collection Request (ICR).</w:t>
            </w:r>
          </w:p>
        </w:tc>
      </w:tr>
      <w:tr w14:paraId="7131124C" w14:textId="77777777" w:rsidTr="00B86BBF">
        <w:tblPrEx>
          <w:tblW w:w="5000" w:type="pct"/>
          <w:tblLook w:val="04A0"/>
        </w:tblPrEx>
        <w:tc>
          <w:tcPr>
            <w:tcW w:w="468" w:type="pct"/>
            <w:shd w:val="clear" w:color="auto" w:fill="auto"/>
          </w:tcPr>
          <w:p w:rsidR="00B60984" w:rsidRPr="00B60984" w:rsidP="00B60984" w14:paraId="49E0E273" w14:textId="77777777">
            <w:pPr>
              <w:spacing w:after="0" w:line="240" w:lineRule="auto"/>
              <w:rPr>
                <w:rFonts w:eastAsia="Times New Roman"/>
                <w:color w:val="000000"/>
                <w:sz w:val="18"/>
                <w:szCs w:val="18"/>
              </w:rPr>
            </w:pPr>
            <w:r w:rsidRPr="00B60984">
              <w:rPr>
                <w:rFonts w:eastAsia="Times New Roman"/>
                <w:color w:val="000000"/>
                <w:sz w:val="18"/>
                <w:szCs w:val="18"/>
              </w:rPr>
              <w:t>56</w:t>
            </w:r>
          </w:p>
        </w:tc>
        <w:tc>
          <w:tcPr>
            <w:tcW w:w="594" w:type="pct"/>
            <w:shd w:val="clear" w:color="auto" w:fill="auto"/>
          </w:tcPr>
          <w:p w:rsidR="00B60984" w:rsidRPr="00B60984" w:rsidP="00B60984" w14:paraId="535C3CE1" w14:textId="77777777">
            <w:pPr>
              <w:spacing w:after="0" w:line="240" w:lineRule="auto"/>
              <w:rPr>
                <w:rFonts w:eastAsia="Times New Roman"/>
                <w:color w:val="000000"/>
                <w:sz w:val="18"/>
                <w:szCs w:val="18"/>
              </w:rPr>
            </w:pPr>
            <w:r w:rsidRPr="00B60984">
              <w:rPr>
                <w:rFonts w:eastAsia="Times New Roman"/>
                <w:color w:val="000000"/>
                <w:sz w:val="18"/>
                <w:szCs w:val="18"/>
              </w:rPr>
              <w:t>Private Citizen</w:t>
            </w:r>
          </w:p>
        </w:tc>
        <w:tc>
          <w:tcPr>
            <w:tcW w:w="527" w:type="pct"/>
            <w:shd w:val="clear" w:color="auto" w:fill="auto"/>
          </w:tcPr>
          <w:p w:rsidR="00B60984" w:rsidRPr="00B60984" w:rsidP="00B60984" w14:paraId="14985B2F" w14:textId="77777777">
            <w:pPr>
              <w:spacing w:after="0" w:line="240" w:lineRule="auto"/>
              <w:rPr>
                <w:rFonts w:eastAsia="Times New Roman"/>
                <w:color w:val="000000"/>
                <w:sz w:val="18"/>
                <w:szCs w:val="18"/>
              </w:rPr>
            </w:pPr>
            <w:r w:rsidRPr="00B60984">
              <w:rPr>
                <w:rFonts w:eastAsia="Times New Roman"/>
                <w:color w:val="000000"/>
                <w:sz w:val="18"/>
                <w:szCs w:val="18"/>
              </w:rPr>
              <w:t>Pascale Vazquez</w:t>
            </w:r>
          </w:p>
        </w:tc>
        <w:tc>
          <w:tcPr>
            <w:tcW w:w="464" w:type="pct"/>
            <w:shd w:val="clear" w:color="auto" w:fill="auto"/>
          </w:tcPr>
          <w:p w:rsidR="00B60984" w:rsidRPr="00B60984" w:rsidP="00B60984" w14:paraId="33EECC94" w14:textId="77777777">
            <w:pPr>
              <w:spacing w:after="0" w:line="240" w:lineRule="auto"/>
              <w:rPr>
                <w:rFonts w:eastAsia="Times New Roman"/>
                <w:color w:val="000000"/>
                <w:sz w:val="18"/>
                <w:szCs w:val="18"/>
              </w:rPr>
            </w:pPr>
            <w:r w:rsidRPr="00B60984">
              <w:rPr>
                <w:rFonts w:eastAsia="Times New Roman"/>
                <w:color w:val="000000"/>
                <w:sz w:val="18"/>
                <w:szCs w:val="18"/>
              </w:rPr>
              <w:t>Not Provided</w:t>
            </w:r>
          </w:p>
        </w:tc>
        <w:tc>
          <w:tcPr>
            <w:tcW w:w="490" w:type="pct"/>
            <w:shd w:val="clear" w:color="auto" w:fill="auto"/>
          </w:tcPr>
          <w:p w:rsidR="00B60984" w:rsidRPr="00B60984" w:rsidP="00B60984" w14:paraId="6B2B0D93" w14:textId="77777777">
            <w:pPr>
              <w:spacing w:after="0" w:line="240" w:lineRule="auto"/>
              <w:rPr>
                <w:rFonts w:eastAsia="Times New Roman"/>
                <w:color w:val="000000"/>
                <w:sz w:val="18"/>
                <w:szCs w:val="18"/>
              </w:rPr>
            </w:pPr>
            <w:r w:rsidRPr="00B60984">
              <w:rPr>
                <w:rFonts w:eastAsia="Times New Roman"/>
                <w:color w:val="000000"/>
                <w:sz w:val="18"/>
                <w:szCs w:val="18"/>
              </w:rPr>
              <w:t>03/02/2023</w:t>
            </w:r>
          </w:p>
        </w:tc>
        <w:tc>
          <w:tcPr>
            <w:tcW w:w="585" w:type="pct"/>
            <w:shd w:val="clear" w:color="auto" w:fill="auto"/>
          </w:tcPr>
          <w:p w:rsidR="00B60984" w:rsidRPr="00B60984" w:rsidP="00B60984" w14:paraId="6DB4A900" w14:textId="77777777">
            <w:pPr>
              <w:spacing w:after="0" w:line="240" w:lineRule="auto"/>
              <w:rPr>
                <w:rFonts w:eastAsia="Times New Roman"/>
                <w:color w:val="000000"/>
                <w:sz w:val="18"/>
                <w:szCs w:val="18"/>
              </w:rPr>
            </w:pPr>
            <w:r w:rsidRPr="00B60984">
              <w:rPr>
                <w:rFonts w:eastAsia="Times New Roman"/>
                <w:color w:val="000000"/>
                <w:sz w:val="18"/>
                <w:szCs w:val="18"/>
              </w:rPr>
              <w:t>General</w:t>
            </w:r>
          </w:p>
        </w:tc>
        <w:tc>
          <w:tcPr>
            <w:tcW w:w="1053" w:type="pct"/>
            <w:shd w:val="clear" w:color="auto" w:fill="auto"/>
          </w:tcPr>
          <w:p w:rsidR="00B60984" w:rsidRPr="00B60984" w:rsidP="00B60984" w14:paraId="46C454B8" w14:textId="77777777">
            <w:pPr>
              <w:spacing w:after="0" w:line="240" w:lineRule="auto"/>
              <w:rPr>
                <w:sz w:val="18"/>
                <w:szCs w:val="18"/>
              </w:rPr>
            </w:pPr>
            <w:r w:rsidRPr="00B60984">
              <w:rPr>
                <w:sz w:val="18"/>
                <w:szCs w:val="18"/>
              </w:rPr>
              <w:t>THE STAKEHOLDERS INVESTED IN THE CDFI</w:t>
            </w:r>
          </w:p>
          <w:p w:rsidR="00B60984" w:rsidRPr="00B60984" w:rsidP="00B60984" w14:paraId="74F2EA16" w14:textId="77777777">
            <w:pPr>
              <w:spacing w:after="0" w:line="240" w:lineRule="auto"/>
              <w:rPr>
                <w:sz w:val="18"/>
                <w:szCs w:val="18"/>
              </w:rPr>
            </w:pPr>
            <w:r w:rsidRPr="00B60984">
              <w:rPr>
                <w:sz w:val="18"/>
                <w:szCs w:val="18"/>
              </w:rPr>
              <w:t>PROGRAM</w:t>
            </w:r>
          </w:p>
          <w:p w:rsidR="00B60984" w:rsidRPr="00B60984" w:rsidP="00B60984" w14:paraId="260B46A1" w14:textId="77777777">
            <w:pPr>
              <w:spacing w:after="0" w:line="240" w:lineRule="auto"/>
              <w:rPr>
                <w:sz w:val="18"/>
                <w:szCs w:val="18"/>
              </w:rPr>
            </w:pPr>
          </w:p>
          <w:p w:rsidR="00B60984" w:rsidRPr="00B60984" w:rsidP="00B60984" w14:paraId="19A1530D" w14:textId="77777777">
            <w:pPr>
              <w:spacing w:after="0" w:line="240" w:lineRule="auto"/>
              <w:rPr>
                <w:sz w:val="18"/>
                <w:szCs w:val="18"/>
              </w:rPr>
            </w:pPr>
          </w:p>
          <w:p w:rsidR="00B60984" w:rsidRPr="00B60984" w:rsidP="00B60984" w14:paraId="5CFBD4EA" w14:textId="77777777">
            <w:pPr>
              <w:spacing w:after="0" w:line="240" w:lineRule="auto"/>
              <w:rPr>
                <w:sz w:val="18"/>
                <w:szCs w:val="18"/>
              </w:rPr>
            </w:pPr>
            <w:r w:rsidRPr="00B60984">
              <w:rPr>
                <w:sz w:val="18"/>
                <w:szCs w:val="18"/>
              </w:rPr>
              <w:t xml:space="preserve">The purpose of the CDFIs mission is to expand economic opportunity for underserved people and communities by supporting the growth and capacity of a national network of community development lenders, </w:t>
            </w:r>
            <w:r w:rsidRPr="00B60984">
              <w:rPr>
                <w:sz w:val="18"/>
                <w:szCs w:val="18"/>
              </w:rPr>
              <w:t>investors</w:t>
            </w:r>
            <w:r w:rsidRPr="00B60984">
              <w:rPr>
                <w:sz w:val="18"/>
                <w:szCs w:val="18"/>
              </w:rPr>
              <w:t xml:space="preserve"> and financial service providers.</w:t>
            </w:r>
          </w:p>
          <w:p w:rsidR="00B60984" w:rsidRPr="00B60984" w:rsidP="00B60984" w14:paraId="442401E1" w14:textId="77777777">
            <w:pPr>
              <w:spacing w:after="0" w:line="240" w:lineRule="auto"/>
              <w:rPr>
                <w:sz w:val="18"/>
                <w:szCs w:val="18"/>
              </w:rPr>
            </w:pPr>
            <w:r w:rsidRPr="00B60984">
              <w:rPr>
                <w:sz w:val="18"/>
                <w:szCs w:val="18"/>
              </w:rPr>
              <w:t>Bank of America is the largest private investor in CDFIs in the United States, currently more than $1.6 billion In loans and investments in over250 CDFIs.</w:t>
            </w:r>
          </w:p>
          <w:p w:rsidR="00B60984" w:rsidRPr="00B60984" w:rsidP="00B60984" w14:paraId="3468EBA8" w14:textId="77777777">
            <w:pPr>
              <w:spacing w:after="0" w:line="240" w:lineRule="auto"/>
              <w:rPr>
                <w:sz w:val="18"/>
                <w:szCs w:val="18"/>
              </w:rPr>
            </w:pPr>
          </w:p>
          <w:p w:rsidR="00B60984" w:rsidRPr="00B60984" w:rsidP="00B60984" w14:paraId="38255A7B" w14:textId="77777777">
            <w:pPr>
              <w:spacing w:after="0" w:line="240" w:lineRule="auto"/>
              <w:rPr>
                <w:sz w:val="18"/>
                <w:szCs w:val="18"/>
              </w:rPr>
            </w:pPr>
            <w:r w:rsidRPr="00B60984">
              <w:rPr>
                <w:sz w:val="18"/>
                <w:szCs w:val="18"/>
              </w:rPr>
              <w:t xml:space="preserve">The concerns that arise is that the national network community development leaders and </w:t>
            </w:r>
            <w:r w:rsidRPr="00B60984">
              <w:rPr>
                <w:sz w:val="18"/>
                <w:szCs w:val="18"/>
              </w:rPr>
              <w:t>investors are usually people from different backgrounds from the people that invest and live in the underserved communities.</w:t>
            </w:r>
          </w:p>
          <w:p w:rsidR="00B60984" w:rsidRPr="00B60984" w:rsidP="00B60984" w14:paraId="0C0D0158" w14:textId="77777777">
            <w:pPr>
              <w:spacing w:after="0" w:line="240" w:lineRule="auto"/>
              <w:rPr>
                <w:sz w:val="18"/>
                <w:szCs w:val="18"/>
              </w:rPr>
            </w:pPr>
            <w:r w:rsidRPr="00B60984">
              <w:rPr>
                <w:sz w:val="18"/>
                <w:szCs w:val="18"/>
              </w:rPr>
              <w:t xml:space="preserve">Minority business organizations, such as, The African American of Commerce, The NAACP, </w:t>
            </w:r>
            <w:r w:rsidRPr="00B60984">
              <w:rPr>
                <w:sz w:val="18"/>
                <w:szCs w:val="18"/>
              </w:rPr>
              <w:t>etc</w:t>
            </w:r>
            <w:r w:rsidRPr="00B60984">
              <w:rPr>
                <w:sz w:val="18"/>
                <w:szCs w:val="18"/>
              </w:rPr>
              <w:t>…..</w:t>
            </w:r>
            <w:r w:rsidRPr="00B60984">
              <w:rPr>
                <w:sz w:val="18"/>
                <w:szCs w:val="18"/>
              </w:rPr>
              <w:t>are not in positions to disburse funds for inventions or small business loans and grants.</w:t>
            </w:r>
          </w:p>
          <w:p w:rsidR="00B60984" w:rsidRPr="00B60984" w:rsidP="00B60984" w14:paraId="69F94C95" w14:textId="77777777">
            <w:pPr>
              <w:spacing w:after="0" w:line="240" w:lineRule="auto"/>
              <w:rPr>
                <w:sz w:val="18"/>
                <w:szCs w:val="18"/>
              </w:rPr>
            </w:pPr>
          </w:p>
          <w:p w:rsidR="00B60984" w:rsidRPr="00B60984" w:rsidP="00B60984" w14:paraId="1BFBD223" w14:textId="77777777">
            <w:pPr>
              <w:spacing w:after="0" w:line="240" w:lineRule="auto"/>
              <w:rPr>
                <w:sz w:val="18"/>
                <w:szCs w:val="18"/>
              </w:rPr>
            </w:pPr>
            <w:r w:rsidRPr="00B60984">
              <w:rPr>
                <w:sz w:val="18"/>
                <w:szCs w:val="18"/>
              </w:rPr>
              <w:t xml:space="preserve">Black Organizations that are in existence to specifically aid with the growth of Black businesses, to underserved people in underserved communities, is only given power to set up business management, finance, </w:t>
            </w:r>
            <w:r w:rsidRPr="00B60984">
              <w:rPr>
                <w:sz w:val="18"/>
                <w:szCs w:val="18"/>
              </w:rPr>
              <w:t>training</w:t>
            </w:r>
            <w:r w:rsidRPr="00B60984">
              <w:rPr>
                <w:sz w:val="18"/>
                <w:szCs w:val="18"/>
              </w:rPr>
              <w:t xml:space="preserve"> and classes. What good is a student surgeon straight out of college, if he is not given his first operation?</w:t>
            </w:r>
          </w:p>
          <w:p w:rsidR="00B60984" w:rsidRPr="00B60984" w:rsidP="00B60984" w14:paraId="26B952AC" w14:textId="77777777">
            <w:pPr>
              <w:spacing w:after="0" w:line="240" w:lineRule="auto"/>
              <w:rPr>
                <w:sz w:val="18"/>
                <w:szCs w:val="18"/>
              </w:rPr>
            </w:pPr>
            <w:r w:rsidRPr="00B60984">
              <w:rPr>
                <w:sz w:val="18"/>
                <w:szCs w:val="18"/>
              </w:rPr>
              <w:t xml:space="preserve">Underserved people are being trained to own and run their own </w:t>
            </w:r>
            <w:r w:rsidRPr="00B60984">
              <w:rPr>
                <w:sz w:val="18"/>
                <w:szCs w:val="18"/>
              </w:rPr>
              <w:t>businesses, but</w:t>
            </w:r>
            <w:r w:rsidRPr="00B60984">
              <w:rPr>
                <w:sz w:val="18"/>
                <w:szCs w:val="18"/>
              </w:rPr>
              <w:t xml:space="preserve"> </w:t>
            </w:r>
            <w:r w:rsidRPr="00B60984">
              <w:rPr>
                <w:sz w:val="18"/>
                <w:szCs w:val="18"/>
              </w:rPr>
              <w:t>can not</w:t>
            </w:r>
            <w:r w:rsidRPr="00B60984">
              <w:rPr>
                <w:sz w:val="18"/>
                <w:szCs w:val="18"/>
              </w:rPr>
              <w:t xml:space="preserve"> obtain the funds needed to execute what was learnt. These tactics also further the wealth gap between the underserved and over-served people and communities.</w:t>
            </w:r>
          </w:p>
          <w:p w:rsidR="00B60984" w:rsidRPr="00B60984" w:rsidP="00B60984" w14:paraId="2EA54EAD" w14:textId="77777777">
            <w:pPr>
              <w:spacing w:after="0" w:line="240" w:lineRule="auto"/>
              <w:rPr>
                <w:sz w:val="18"/>
                <w:szCs w:val="18"/>
              </w:rPr>
            </w:pPr>
          </w:p>
          <w:p w:rsidR="00B60984" w:rsidRPr="00B60984" w:rsidP="00B60984" w14:paraId="16C8138C" w14:textId="77777777">
            <w:pPr>
              <w:spacing w:after="0" w:line="240" w:lineRule="auto"/>
              <w:rPr>
                <w:sz w:val="18"/>
                <w:szCs w:val="18"/>
              </w:rPr>
            </w:pPr>
            <w:r w:rsidRPr="00B60984">
              <w:rPr>
                <w:sz w:val="18"/>
                <w:szCs w:val="18"/>
              </w:rPr>
              <w:t xml:space="preserve">Financial institutions are aiding corporate giants position themselves to benefits their </w:t>
            </w:r>
            <w:r w:rsidRPr="00B60984">
              <w:rPr>
                <w:sz w:val="18"/>
                <w:szCs w:val="18"/>
              </w:rPr>
              <w:t>interest ,</w:t>
            </w:r>
            <w:r w:rsidRPr="00B60984">
              <w:rPr>
                <w:sz w:val="18"/>
                <w:szCs w:val="18"/>
              </w:rPr>
              <w:t xml:space="preserve"> that in turn, are growing their business with the funds of these underserved people, in their underserved communities.</w:t>
            </w:r>
          </w:p>
          <w:p w:rsidR="00B60984" w:rsidRPr="00B60984" w:rsidP="00B60984" w14:paraId="14A2AD64" w14:textId="77777777">
            <w:pPr>
              <w:spacing w:after="0" w:line="240" w:lineRule="auto"/>
              <w:rPr>
                <w:sz w:val="18"/>
                <w:szCs w:val="18"/>
              </w:rPr>
            </w:pPr>
          </w:p>
        </w:tc>
        <w:tc>
          <w:tcPr>
            <w:tcW w:w="819" w:type="pct"/>
            <w:shd w:val="clear" w:color="auto" w:fill="auto"/>
          </w:tcPr>
          <w:p w:rsidR="00B60984" w:rsidRPr="00B60984" w:rsidP="00B60984" w14:paraId="3FE28C67" w14:textId="77777777">
            <w:pPr>
              <w:spacing w:after="0" w:line="240" w:lineRule="auto"/>
              <w:rPr>
                <w:rFonts w:eastAsia="Times New Roman"/>
                <w:sz w:val="18"/>
                <w:szCs w:val="18"/>
              </w:rPr>
            </w:pPr>
            <w:r w:rsidRPr="00B60984">
              <w:rPr>
                <w:rFonts w:eastAsia="Times New Roman"/>
                <w:color w:val="000000"/>
                <w:sz w:val="18"/>
                <w:szCs w:val="18"/>
              </w:rPr>
              <w:t>This comment is not pertinent to this Information Collection Request (ICR).</w:t>
            </w:r>
          </w:p>
        </w:tc>
      </w:tr>
      <w:tr w14:paraId="55331586" w14:textId="77777777" w:rsidTr="00B86BBF">
        <w:tblPrEx>
          <w:tblW w:w="5000" w:type="pct"/>
          <w:tblLook w:val="04A0"/>
        </w:tblPrEx>
        <w:tc>
          <w:tcPr>
            <w:tcW w:w="468" w:type="pct"/>
            <w:shd w:val="clear" w:color="auto" w:fill="auto"/>
          </w:tcPr>
          <w:p w:rsidR="00B60984" w:rsidRPr="00B60984" w:rsidP="00B60984" w14:paraId="0297E75F" w14:textId="77777777">
            <w:pPr>
              <w:spacing w:after="0" w:line="240" w:lineRule="auto"/>
              <w:rPr>
                <w:rFonts w:eastAsia="Times New Roman"/>
                <w:color w:val="000000"/>
                <w:sz w:val="18"/>
                <w:szCs w:val="18"/>
              </w:rPr>
            </w:pPr>
            <w:r w:rsidRPr="00B60984">
              <w:rPr>
                <w:rFonts w:eastAsia="Times New Roman"/>
                <w:color w:val="000000"/>
                <w:sz w:val="18"/>
                <w:szCs w:val="18"/>
              </w:rPr>
              <w:t>57</w:t>
            </w:r>
          </w:p>
        </w:tc>
        <w:tc>
          <w:tcPr>
            <w:tcW w:w="594" w:type="pct"/>
            <w:shd w:val="clear" w:color="auto" w:fill="auto"/>
          </w:tcPr>
          <w:p w:rsidR="00B60984" w:rsidRPr="00B60984" w:rsidP="00B60984" w14:paraId="1893E16F" w14:textId="77777777">
            <w:pPr>
              <w:spacing w:after="0" w:line="240" w:lineRule="auto"/>
              <w:rPr>
                <w:rFonts w:eastAsia="Times New Roman"/>
                <w:color w:val="000000"/>
                <w:sz w:val="18"/>
                <w:szCs w:val="18"/>
              </w:rPr>
            </w:pPr>
            <w:r w:rsidRPr="00B60984">
              <w:rPr>
                <w:rFonts w:eastAsia="Times New Roman"/>
                <w:color w:val="000000"/>
                <w:sz w:val="18"/>
                <w:szCs w:val="18"/>
              </w:rPr>
              <w:t>Private Citizen</w:t>
            </w:r>
          </w:p>
        </w:tc>
        <w:tc>
          <w:tcPr>
            <w:tcW w:w="527" w:type="pct"/>
            <w:shd w:val="clear" w:color="auto" w:fill="auto"/>
          </w:tcPr>
          <w:p w:rsidR="00B60984" w:rsidRPr="00B60984" w:rsidP="00B60984" w14:paraId="7C3C2275" w14:textId="77777777">
            <w:pPr>
              <w:spacing w:after="0" w:line="240" w:lineRule="auto"/>
              <w:rPr>
                <w:rFonts w:eastAsia="Times New Roman"/>
                <w:color w:val="000000"/>
                <w:sz w:val="18"/>
                <w:szCs w:val="18"/>
              </w:rPr>
            </w:pPr>
            <w:r w:rsidRPr="00B60984">
              <w:rPr>
                <w:rFonts w:eastAsia="Times New Roman"/>
                <w:color w:val="000000"/>
                <w:sz w:val="18"/>
                <w:szCs w:val="18"/>
              </w:rPr>
              <w:t>Pascale Vazquez</w:t>
            </w:r>
          </w:p>
        </w:tc>
        <w:tc>
          <w:tcPr>
            <w:tcW w:w="464" w:type="pct"/>
            <w:shd w:val="clear" w:color="auto" w:fill="auto"/>
          </w:tcPr>
          <w:p w:rsidR="00B60984" w:rsidRPr="00B60984" w:rsidP="00B60984" w14:paraId="2A02F01F" w14:textId="77777777">
            <w:pPr>
              <w:spacing w:after="0" w:line="240" w:lineRule="auto"/>
              <w:rPr>
                <w:rFonts w:eastAsia="Times New Roman"/>
                <w:color w:val="000000"/>
                <w:sz w:val="18"/>
                <w:szCs w:val="18"/>
              </w:rPr>
            </w:pPr>
            <w:r w:rsidRPr="00B60984">
              <w:rPr>
                <w:rFonts w:eastAsia="Times New Roman"/>
                <w:color w:val="000000"/>
                <w:sz w:val="18"/>
                <w:szCs w:val="18"/>
              </w:rPr>
              <w:t>Not Provided</w:t>
            </w:r>
          </w:p>
        </w:tc>
        <w:tc>
          <w:tcPr>
            <w:tcW w:w="490" w:type="pct"/>
            <w:shd w:val="clear" w:color="auto" w:fill="auto"/>
          </w:tcPr>
          <w:p w:rsidR="00B60984" w:rsidRPr="00B60984" w:rsidP="00B60984" w14:paraId="4DC2946D" w14:textId="77777777">
            <w:pPr>
              <w:spacing w:after="0" w:line="240" w:lineRule="auto"/>
              <w:rPr>
                <w:rFonts w:eastAsia="Times New Roman"/>
                <w:color w:val="000000"/>
                <w:sz w:val="18"/>
                <w:szCs w:val="18"/>
              </w:rPr>
            </w:pPr>
            <w:r w:rsidRPr="00B60984">
              <w:rPr>
                <w:rFonts w:eastAsia="Times New Roman"/>
                <w:color w:val="000000"/>
                <w:sz w:val="18"/>
                <w:szCs w:val="18"/>
              </w:rPr>
              <w:t>03/02/2023</w:t>
            </w:r>
          </w:p>
        </w:tc>
        <w:tc>
          <w:tcPr>
            <w:tcW w:w="585" w:type="pct"/>
            <w:shd w:val="clear" w:color="auto" w:fill="auto"/>
          </w:tcPr>
          <w:p w:rsidR="00B60984" w:rsidRPr="00B60984" w:rsidP="00B60984" w14:paraId="3CC4F828" w14:textId="77777777">
            <w:pPr>
              <w:spacing w:after="0" w:line="240" w:lineRule="auto"/>
              <w:rPr>
                <w:rFonts w:eastAsia="Times New Roman"/>
                <w:color w:val="000000"/>
                <w:sz w:val="18"/>
                <w:szCs w:val="18"/>
              </w:rPr>
            </w:pPr>
            <w:r w:rsidRPr="00B60984">
              <w:rPr>
                <w:rFonts w:eastAsia="Times New Roman"/>
                <w:color w:val="000000"/>
                <w:sz w:val="18"/>
                <w:szCs w:val="18"/>
              </w:rPr>
              <w:t>General</w:t>
            </w:r>
          </w:p>
        </w:tc>
        <w:tc>
          <w:tcPr>
            <w:tcW w:w="1053" w:type="pct"/>
            <w:shd w:val="clear" w:color="auto" w:fill="auto"/>
          </w:tcPr>
          <w:p w:rsidR="00B60984" w:rsidRPr="00B60984" w:rsidP="00B60984" w14:paraId="6B70F936" w14:textId="77777777">
            <w:pPr>
              <w:spacing w:after="0" w:line="240" w:lineRule="auto"/>
              <w:rPr>
                <w:rFonts w:eastAsia="Times New Roman"/>
                <w:sz w:val="18"/>
                <w:szCs w:val="18"/>
              </w:rPr>
            </w:pPr>
            <w:r w:rsidRPr="00B60984">
              <w:rPr>
                <w:rFonts w:eastAsia="Times New Roman"/>
                <w:sz w:val="18"/>
                <w:szCs w:val="18"/>
              </w:rPr>
              <w:t xml:space="preserve">BIOGRAPHY </w:t>
            </w:r>
          </w:p>
          <w:p w:rsidR="00B60984" w:rsidRPr="00B60984" w:rsidP="00B60984" w14:paraId="68156EEC" w14:textId="77777777">
            <w:pPr>
              <w:spacing w:after="0" w:line="240" w:lineRule="auto"/>
              <w:rPr>
                <w:rFonts w:eastAsia="Times New Roman"/>
                <w:sz w:val="18"/>
                <w:szCs w:val="18"/>
              </w:rPr>
            </w:pPr>
          </w:p>
          <w:p w:rsidR="00B60984" w:rsidRPr="00B60984" w:rsidP="00B60984" w14:paraId="194D3991" w14:textId="77777777">
            <w:pPr>
              <w:spacing w:after="0" w:line="240" w:lineRule="auto"/>
              <w:rPr>
                <w:rFonts w:eastAsia="Times New Roman"/>
                <w:sz w:val="18"/>
                <w:szCs w:val="18"/>
              </w:rPr>
            </w:pPr>
          </w:p>
          <w:p w:rsidR="00B60984" w:rsidRPr="00B60984" w:rsidP="00B60984" w14:paraId="42A61D62" w14:textId="77777777">
            <w:pPr>
              <w:spacing w:after="0" w:line="240" w:lineRule="auto"/>
              <w:rPr>
                <w:rFonts w:eastAsia="Times New Roman"/>
                <w:sz w:val="18"/>
                <w:szCs w:val="18"/>
              </w:rPr>
            </w:pPr>
            <w:r w:rsidRPr="00B60984">
              <w:rPr>
                <w:rFonts w:eastAsia="Times New Roman"/>
                <w:sz w:val="18"/>
                <w:szCs w:val="18"/>
              </w:rPr>
              <w:t xml:space="preserve">Many of years seen underserved people in underserved communities, support other businesses in their neighborhood and the underserved people have not seen growth in areas that will propel them to own and operate their own businesses in their communities. </w:t>
            </w:r>
          </w:p>
          <w:p w:rsidR="00B60984" w:rsidRPr="00B60984" w:rsidP="00B60984" w14:paraId="79C20ACB" w14:textId="77777777">
            <w:pPr>
              <w:spacing w:after="0" w:line="240" w:lineRule="auto"/>
              <w:rPr>
                <w:rFonts w:eastAsia="Times New Roman"/>
                <w:sz w:val="18"/>
                <w:szCs w:val="18"/>
              </w:rPr>
            </w:pPr>
            <w:r w:rsidRPr="00B60984">
              <w:rPr>
                <w:rFonts w:eastAsia="Times New Roman"/>
                <w:sz w:val="18"/>
                <w:szCs w:val="18"/>
              </w:rPr>
              <w:t xml:space="preserve">Having been born and raised in one of the many underserved communities in East New York, Brooklyn, going to my neighborhood now, I see the same and new liquor stores, Chinese restaurants, Bodegas (corner stores), private schools, </w:t>
            </w:r>
            <w:r w:rsidRPr="00B60984">
              <w:rPr>
                <w:rFonts w:eastAsia="Times New Roman"/>
                <w:sz w:val="18"/>
                <w:szCs w:val="18"/>
              </w:rPr>
              <w:t>laundromats,employees</w:t>
            </w:r>
            <w:r w:rsidRPr="00B60984">
              <w:rPr>
                <w:rFonts w:eastAsia="Times New Roman"/>
                <w:sz w:val="18"/>
                <w:szCs w:val="18"/>
              </w:rPr>
              <w:t xml:space="preserve">, </w:t>
            </w:r>
            <w:r w:rsidRPr="00B60984">
              <w:rPr>
                <w:rFonts w:eastAsia="Times New Roman"/>
                <w:sz w:val="18"/>
                <w:szCs w:val="18"/>
              </w:rPr>
              <w:t>etc</w:t>
            </w:r>
            <w:r w:rsidRPr="00B60984">
              <w:rPr>
                <w:rFonts w:eastAsia="Times New Roman"/>
                <w:sz w:val="18"/>
                <w:szCs w:val="18"/>
              </w:rPr>
              <w:t>… .</w:t>
            </w:r>
          </w:p>
          <w:p w:rsidR="00B60984" w:rsidRPr="00B60984" w:rsidP="00B60984" w14:paraId="242517EA" w14:textId="77777777">
            <w:pPr>
              <w:spacing w:after="0" w:line="240" w:lineRule="auto"/>
              <w:rPr>
                <w:rFonts w:eastAsia="Times New Roman"/>
                <w:sz w:val="18"/>
                <w:szCs w:val="18"/>
              </w:rPr>
            </w:pPr>
          </w:p>
          <w:p w:rsidR="00B60984" w:rsidRPr="00B60984" w:rsidP="00B60984" w14:paraId="3E1343C0" w14:textId="77777777">
            <w:pPr>
              <w:spacing w:after="0" w:line="240" w:lineRule="auto"/>
              <w:rPr>
                <w:rFonts w:eastAsia="Times New Roman"/>
                <w:sz w:val="18"/>
                <w:szCs w:val="18"/>
              </w:rPr>
            </w:pPr>
            <w:r w:rsidRPr="00B60984">
              <w:rPr>
                <w:rFonts w:eastAsia="Times New Roman"/>
                <w:sz w:val="18"/>
                <w:szCs w:val="18"/>
              </w:rPr>
              <w:t xml:space="preserve">Living in Edison New Jersey for 5 years, every other meat market, store owner, auto repair, Halal restaurants, 711, franchises owners, </w:t>
            </w:r>
            <w:r w:rsidRPr="00B60984">
              <w:rPr>
                <w:rFonts w:eastAsia="Times New Roman"/>
                <w:sz w:val="18"/>
                <w:szCs w:val="18"/>
              </w:rPr>
              <w:t>etc</w:t>
            </w:r>
            <w:r w:rsidRPr="00B60984">
              <w:rPr>
                <w:rFonts w:eastAsia="Times New Roman"/>
                <w:sz w:val="18"/>
                <w:szCs w:val="18"/>
              </w:rPr>
              <w:t xml:space="preserve">… In every state </w:t>
            </w:r>
            <w:r w:rsidRPr="00B60984">
              <w:rPr>
                <w:rFonts w:eastAsia="Times New Roman"/>
                <w:sz w:val="18"/>
                <w:szCs w:val="18"/>
              </w:rPr>
              <w:t>their</w:t>
            </w:r>
            <w:r w:rsidRPr="00B60984">
              <w:rPr>
                <w:rFonts w:eastAsia="Times New Roman"/>
                <w:sz w:val="18"/>
                <w:szCs w:val="18"/>
              </w:rPr>
              <w:t xml:space="preserve"> is a China Town, majority of the businesses, banks, employees, laundromats, beauty salon, nail salon, restaurants, </w:t>
            </w:r>
            <w:r w:rsidRPr="00B60984">
              <w:rPr>
                <w:rFonts w:eastAsia="Times New Roman"/>
                <w:sz w:val="18"/>
                <w:szCs w:val="18"/>
              </w:rPr>
              <w:t>etc</w:t>
            </w:r>
            <w:r w:rsidRPr="00B60984">
              <w:rPr>
                <w:rFonts w:eastAsia="Times New Roman"/>
                <w:sz w:val="18"/>
                <w:szCs w:val="18"/>
              </w:rPr>
              <w:t>…</w:t>
            </w:r>
            <w:r w:rsidRPr="00B60984">
              <w:rPr>
                <w:rFonts w:eastAsia="Times New Roman"/>
                <w:sz w:val="18"/>
                <w:szCs w:val="18"/>
              </w:rPr>
              <w:t>… .</w:t>
            </w:r>
          </w:p>
          <w:p w:rsidR="00B60984" w:rsidRPr="00B60984" w:rsidP="00B60984" w14:paraId="041AEB21" w14:textId="77777777">
            <w:pPr>
              <w:spacing w:after="0" w:line="240" w:lineRule="auto"/>
              <w:rPr>
                <w:rFonts w:eastAsia="Times New Roman"/>
                <w:sz w:val="18"/>
                <w:szCs w:val="18"/>
              </w:rPr>
            </w:pPr>
            <w:r w:rsidRPr="00B60984">
              <w:rPr>
                <w:rFonts w:eastAsia="Times New Roman"/>
                <w:sz w:val="18"/>
                <w:szCs w:val="18"/>
              </w:rPr>
              <w:t xml:space="preserve">In Glendale, California, I have eaten almost every cuisine from the Middle East and the pastries are to die for!! The lightly crusted pastry-w/custard on the inside, will have you floating. I will stop talking about foods, I have no access to, </w:t>
            </w:r>
            <w:r w:rsidRPr="00B60984">
              <w:rPr>
                <w:rFonts w:eastAsia="Times New Roman"/>
                <w:sz w:val="18"/>
                <w:szCs w:val="18"/>
              </w:rPr>
              <w:t>at the moment</w:t>
            </w:r>
            <w:r w:rsidRPr="00B60984">
              <w:rPr>
                <w:rFonts w:eastAsia="Times New Roman"/>
                <w:sz w:val="18"/>
                <w:szCs w:val="18"/>
              </w:rPr>
              <w:t xml:space="preserve">. Overall, we need diversity, otherwise we </w:t>
            </w:r>
            <w:r w:rsidRPr="00B60984">
              <w:rPr>
                <w:rFonts w:eastAsia="Times New Roman"/>
                <w:sz w:val="18"/>
                <w:szCs w:val="18"/>
              </w:rPr>
              <w:t xml:space="preserve">would not be United, but underserved people, need a fair chance, to get visas, loans w/low interest rates, grants, without jumping through a fire hoop to get one approved, like </w:t>
            </w:r>
            <w:r w:rsidRPr="00B60984">
              <w:rPr>
                <w:rFonts w:eastAsia="Times New Roman"/>
                <w:sz w:val="18"/>
                <w:szCs w:val="18"/>
              </w:rPr>
              <w:t>all of</w:t>
            </w:r>
            <w:r w:rsidRPr="00B60984">
              <w:rPr>
                <w:rFonts w:eastAsia="Times New Roman"/>
                <w:sz w:val="18"/>
                <w:szCs w:val="18"/>
              </w:rPr>
              <w:t xml:space="preserve"> the other people, that once came from underserved communities and countries. </w:t>
            </w:r>
          </w:p>
          <w:p w:rsidR="00B60984" w:rsidRPr="00B60984" w:rsidP="00B60984" w14:paraId="17BB0451" w14:textId="77777777">
            <w:pPr>
              <w:spacing w:after="0" w:line="240" w:lineRule="auto"/>
              <w:rPr>
                <w:sz w:val="18"/>
                <w:szCs w:val="18"/>
              </w:rPr>
            </w:pPr>
          </w:p>
        </w:tc>
        <w:tc>
          <w:tcPr>
            <w:tcW w:w="819" w:type="pct"/>
            <w:shd w:val="clear" w:color="auto" w:fill="auto"/>
          </w:tcPr>
          <w:p w:rsidR="00B60984" w:rsidRPr="00B60984" w:rsidP="00B60984" w14:paraId="7CA15B28" w14:textId="77777777">
            <w:pPr>
              <w:spacing w:after="0" w:line="240" w:lineRule="auto"/>
              <w:rPr>
                <w:rFonts w:eastAsia="Times New Roman"/>
                <w:sz w:val="18"/>
                <w:szCs w:val="18"/>
              </w:rPr>
            </w:pPr>
            <w:r w:rsidRPr="00B60984">
              <w:rPr>
                <w:rFonts w:eastAsia="Times New Roman"/>
                <w:color w:val="000000"/>
                <w:sz w:val="18"/>
                <w:szCs w:val="18"/>
              </w:rPr>
              <w:t>This comment is not pertinent to this Information Collection Request (ICR).</w:t>
            </w:r>
          </w:p>
        </w:tc>
      </w:tr>
      <w:tr w14:paraId="1A8AC1FD" w14:textId="77777777" w:rsidTr="00B86BBF">
        <w:tblPrEx>
          <w:tblW w:w="5000" w:type="pct"/>
          <w:tblLook w:val="04A0"/>
        </w:tblPrEx>
        <w:tc>
          <w:tcPr>
            <w:tcW w:w="468" w:type="pct"/>
            <w:shd w:val="clear" w:color="auto" w:fill="auto"/>
          </w:tcPr>
          <w:p w:rsidR="00B60984" w:rsidRPr="00B60984" w:rsidP="00B60984" w14:paraId="23CDA999" w14:textId="77777777">
            <w:pPr>
              <w:spacing w:after="0" w:line="240" w:lineRule="auto"/>
              <w:rPr>
                <w:rFonts w:eastAsia="Times New Roman"/>
                <w:color w:val="000000"/>
                <w:sz w:val="18"/>
                <w:szCs w:val="18"/>
              </w:rPr>
            </w:pPr>
            <w:r w:rsidRPr="00B60984">
              <w:rPr>
                <w:rFonts w:eastAsia="Times New Roman"/>
                <w:color w:val="000000"/>
                <w:sz w:val="18"/>
                <w:szCs w:val="18"/>
              </w:rPr>
              <w:t>58</w:t>
            </w:r>
          </w:p>
        </w:tc>
        <w:tc>
          <w:tcPr>
            <w:tcW w:w="594" w:type="pct"/>
            <w:shd w:val="clear" w:color="auto" w:fill="auto"/>
          </w:tcPr>
          <w:p w:rsidR="00B60984" w:rsidRPr="00B60984" w:rsidP="00B60984" w14:paraId="23F005FC" w14:textId="77777777">
            <w:pPr>
              <w:spacing w:after="0" w:line="240" w:lineRule="auto"/>
              <w:rPr>
                <w:rFonts w:eastAsia="Times New Roman"/>
                <w:color w:val="000000"/>
                <w:sz w:val="18"/>
                <w:szCs w:val="18"/>
              </w:rPr>
            </w:pPr>
            <w:r w:rsidRPr="00B60984">
              <w:rPr>
                <w:rFonts w:eastAsia="Times New Roman"/>
                <w:color w:val="000000"/>
                <w:sz w:val="18"/>
                <w:szCs w:val="18"/>
              </w:rPr>
              <w:t>Private Citizen</w:t>
            </w:r>
          </w:p>
        </w:tc>
        <w:tc>
          <w:tcPr>
            <w:tcW w:w="527" w:type="pct"/>
            <w:shd w:val="clear" w:color="auto" w:fill="auto"/>
          </w:tcPr>
          <w:p w:rsidR="00B60984" w:rsidRPr="00B60984" w:rsidP="00B60984" w14:paraId="4A225F40" w14:textId="77777777">
            <w:pPr>
              <w:spacing w:after="0" w:line="240" w:lineRule="auto"/>
              <w:rPr>
                <w:rFonts w:eastAsia="Times New Roman"/>
                <w:color w:val="000000"/>
                <w:sz w:val="18"/>
                <w:szCs w:val="18"/>
              </w:rPr>
            </w:pPr>
            <w:r w:rsidRPr="00B60984">
              <w:rPr>
                <w:rFonts w:eastAsia="Times New Roman"/>
                <w:color w:val="000000"/>
                <w:sz w:val="18"/>
                <w:szCs w:val="18"/>
              </w:rPr>
              <w:t>Pascale Vazquez</w:t>
            </w:r>
          </w:p>
        </w:tc>
        <w:tc>
          <w:tcPr>
            <w:tcW w:w="464" w:type="pct"/>
            <w:shd w:val="clear" w:color="auto" w:fill="auto"/>
          </w:tcPr>
          <w:p w:rsidR="00B60984" w:rsidRPr="00B60984" w:rsidP="00B60984" w14:paraId="23ACF7C3" w14:textId="77777777">
            <w:pPr>
              <w:spacing w:after="0" w:line="240" w:lineRule="auto"/>
              <w:rPr>
                <w:rFonts w:eastAsia="Times New Roman"/>
                <w:color w:val="000000"/>
                <w:sz w:val="18"/>
                <w:szCs w:val="18"/>
              </w:rPr>
            </w:pPr>
            <w:r w:rsidRPr="00B60984">
              <w:rPr>
                <w:rFonts w:eastAsia="Times New Roman"/>
                <w:color w:val="000000"/>
                <w:sz w:val="18"/>
                <w:szCs w:val="18"/>
              </w:rPr>
              <w:t>Not Provided</w:t>
            </w:r>
          </w:p>
        </w:tc>
        <w:tc>
          <w:tcPr>
            <w:tcW w:w="490" w:type="pct"/>
            <w:shd w:val="clear" w:color="auto" w:fill="auto"/>
          </w:tcPr>
          <w:p w:rsidR="00B60984" w:rsidRPr="00B60984" w:rsidP="00B60984" w14:paraId="3DA9C1B1" w14:textId="77777777">
            <w:pPr>
              <w:spacing w:after="0" w:line="240" w:lineRule="auto"/>
              <w:rPr>
                <w:rFonts w:eastAsia="Times New Roman"/>
                <w:color w:val="000000"/>
                <w:sz w:val="18"/>
                <w:szCs w:val="18"/>
              </w:rPr>
            </w:pPr>
            <w:r w:rsidRPr="00B60984">
              <w:rPr>
                <w:rFonts w:eastAsia="Times New Roman"/>
                <w:color w:val="000000"/>
                <w:sz w:val="18"/>
                <w:szCs w:val="18"/>
              </w:rPr>
              <w:t>03/02/2023</w:t>
            </w:r>
          </w:p>
        </w:tc>
        <w:tc>
          <w:tcPr>
            <w:tcW w:w="585" w:type="pct"/>
            <w:shd w:val="clear" w:color="auto" w:fill="auto"/>
          </w:tcPr>
          <w:p w:rsidR="00B60984" w:rsidRPr="00B60984" w:rsidP="00B60984" w14:paraId="34787293" w14:textId="77777777">
            <w:pPr>
              <w:spacing w:after="0" w:line="240" w:lineRule="auto"/>
              <w:rPr>
                <w:rFonts w:eastAsia="Times New Roman"/>
                <w:color w:val="000000"/>
                <w:sz w:val="18"/>
                <w:szCs w:val="18"/>
              </w:rPr>
            </w:pPr>
            <w:r w:rsidRPr="00B60984">
              <w:rPr>
                <w:rFonts w:eastAsia="Times New Roman"/>
                <w:color w:val="000000"/>
                <w:sz w:val="18"/>
                <w:szCs w:val="18"/>
              </w:rPr>
              <w:t>General</w:t>
            </w:r>
          </w:p>
        </w:tc>
        <w:tc>
          <w:tcPr>
            <w:tcW w:w="1053" w:type="pct"/>
            <w:shd w:val="clear" w:color="auto" w:fill="auto"/>
          </w:tcPr>
          <w:p w:rsidR="00B60984" w:rsidRPr="00B60984" w:rsidP="00B60984" w14:paraId="0BD051FD" w14:textId="77777777">
            <w:pPr>
              <w:spacing w:after="0" w:line="240" w:lineRule="auto"/>
              <w:rPr>
                <w:sz w:val="18"/>
                <w:szCs w:val="18"/>
              </w:rPr>
            </w:pPr>
            <w:r w:rsidRPr="00B60984">
              <w:rPr>
                <w:sz w:val="18"/>
                <w:szCs w:val="18"/>
              </w:rPr>
              <w:t>CONCLUSION</w:t>
            </w:r>
          </w:p>
          <w:p w:rsidR="00B60984" w:rsidRPr="00B60984" w:rsidP="00B60984" w14:paraId="51E60F8E" w14:textId="77777777">
            <w:pPr>
              <w:spacing w:after="0" w:line="240" w:lineRule="auto"/>
              <w:rPr>
                <w:sz w:val="18"/>
                <w:szCs w:val="18"/>
              </w:rPr>
            </w:pPr>
          </w:p>
          <w:p w:rsidR="00B60984" w:rsidRPr="00B60984" w:rsidP="00B60984" w14:paraId="01EFA0B8" w14:textId="77777777">
            <w:pPr>
              <w:spacing w:after="0" w:line="240" w:lineRule="auto"/>
              <w:rPr>
                <w:sz w:val="18"/>
                <w:szCs w:val="18"/>
              </w:rPr>
            </w:pPr>
          </w:p>
          <w:p w:rsidR="00B60984" w:rsidRPr="00B60984" w:rsidP="00B60984" w14:paraId="60F5560F" w14:textId="77777777">
            <w:pPr>
              <w:spacing w:after="0" w:line="240" w:lineRule="auto"/>
              <w:rPr>
                <w:sz w:val="18"/>
                <w:szCs w:val="18"/>
              </w:rPr>
            </w:pPr>
            <w:r w:rsidRPr="00B60984">
              <w:rPr>
                <w:sz w:val="18"/>
                <w:szCs w:val="18"/>
              </w:rPr>
              <w:t xml:space="preserve">The CDFI and the programs within them, have been in operation, but not curing the same problems underserved people in their communities have endured and will continue to </w:t>
            </w:r>
            <w:r w:rsidRPr="00B60984">
              <w:rPr>
                <w:sz w:val="18"/>
                <w:szCs w:val="18"/>
              </w:rPr>
              <w:t>endure, if</w:t>
            </w:r>
            <w:r w:rsidRPr="00B60984">
              <w:rPr>
                <w:sz w:val="18"/>
                <w:szCs w:val="18"/>
              </w:rPr>
              <w:t xml:space="preserve"> the New Market budget is not revised. Historically, businesses owned by underserved people in the U. S. are much more likely to serve a local market and prioritize their communities, regardless of profits. ****It is essentially important for Underserved people to own and operate businesses in the underserved communities they live in and serve.</w:t>
            </w:r>
          </w:p>
        </w:tc>
        <w:tc>
          <w:tcPr>
            <w:tcW w:w="819" w:type="pct"/>
            <w:shd w:val="clear" w:color="auto" w:fill="auto"/>
          </w:tcPr>
          <w:p w:rsidR="00B60984" w:rsidRPr="00B60984" w:rsidP="00B60984" w14:paraId="3EF36587" w14:textId="77777777">
            <w:pPr>
              <w:spacing w:after="0" w:line="240" w:lineRule="auto"/>
              <w:rPr>
                <w:rFonts w:eastAsia="Times New Roman"/>
                <w:sz w:val="18"/>
                <w:szCs w:val="18"/>
              </w:rPr>
            </w:pPr>
            <w:r w:rsidRPr="00B60984">
              <w:rPr>
                <w:rFonts w:eastAsia="Times New Roman"/>
                <w:color w:val="000000"/>
                <w:sz w:val="18"/>
                <w:szCs w:val="18"/>
              </w:rPr>
              <w:t>This comment is not pertinent to this Information Collection Request (ICR).</w:t>
            </w:r>
          </w:p>
        </w:tc>
      </w:tr>
    </w:tbl>
    <w:p w:rsidR="00B60984" w:rsidRPr="00B60984" w:rsidP="00B60984" w14:paraId="5840C77F" w14:textId="77777777">
      <w:pPr>
        <w:spacing w:after="0" w:line="240" w:lineRule="auto"/>
        <w:rPr>
          <w:rFonts w:eastAsia="Times New Roman"/>
          <w:color w:val="000000"/>
          <w:sz w:val="18"/>
          <w:szCs w:val="18"/>
        </w:rPr>
      </w:pPr>
    </w:p>
    <w:p w:rsidR="00E77818" w:rsidP="00E77818" w14:paraId="75411C31" w14:textId="61568EB7">
      <w:pPr>
        <w:spacing w:after="0" w:line="240" w:lineRule="auto"/>
        <w:rPr>
          <w:rFonts w:ascii="Times New Roman" w:eastAsia="Times New Roman" w:hAnsi="Times New Roman" w:cs="Times New Roman"/>
          <w:sz w:val="24"/>
          <w:szCs w:val="20"/>
        </w:rPr>
      </w:pPr>
    </w:p>
    <w:sectPr w:rsidSect="00D63987">
      <w:footerReference w:type="default" r:id="rId12"/>
      <w:pgSz w:w="15840" w:h="12240" w:orient="landscape"/>
      <w:pgMar w:top="1080" w:right="1440" w:bottom="108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61BF" w14:paraId="0000087E" w14:textId="50602D49">
    <w:pPr>
      <w:tabs>
        <w:tab w:val="center" w:pos="4550"/>
        <w:tab w:val="left" w:pos="5818"/>
      </w:tabs>
      <w:ind w:right="260"/>
      <w:jc w:val="right"/>
      <w:rPr>
        <w:color w:val="222A35"/>
        <w:sz w:val="24"/>
        <w:szCs w:val="24"/>
      </w:rPr>
    </w:pPr>
    <w:r w:rsidRPr="006710FD">
      <w:rPr>
        <w:noProof/>
        <w:sz w:val="24"/>
        <w:szCs w:val="24"/>
      </w:rPr>
      <w:fldChar w:fldCharType="begin"/>
    </w:r>
    <w:r>
      <w:rPr>
        <w:sz w:val="24"/>
        <w:szCs w:val="24"/>
      </w:rPr>
      <w:instrText>PAGE</w:instrText>
    </w:r>
    <w:r w:rsidRPr="006710FD">
      <w:rPr>
        <w:sz w:val="24"/>
        <w:szCs w:val="24"/>
      </w:rPr>
      <w:fldChar w:fldCharType="separate"/>
    </w:r>
    <w:r w:rsidR="00F239D8">
      <w:rPr>
        <w:noProof/>
        <w:sz w:val="24"/>
        <w:szCs w:val="24"/>
      </w:rPr>
      <w:t>72</w:t>
    </w:r>
    <w:r w:rsidRPr="006710FD">
      <w:rPr>
        <w:noProof/>
        <w:sz w:val="24"/>
        <w:szCs w:val="24"/>
      </w:rPr>
      <w:fldChar w:fldCharType="end"/>
    </w:r>
    <w:r w:rsidRPr="000B23FE">
      <w:rPr>
        <w:b/>
        <w:bCs/>
        <w:color w:val="8496B0"/>
        <w:sz w:val="24"/>
        <w:szCs w:val="24"/>
      </w:rPr>
      <w:t xml:space="preserve"> </w:t>
    </w:r>
    <w:r>
      <w:rPr>
        <w:sz w:val="24"/>
        <w:szCs w:val="24"/>
      </w:rPr>
      <w:t>|</w:t>
    </w:r>
    <w:r w:rsidRPr="000B23FE">
      <w:rPr>
        <w:b/>
        <w:bCs/>
        <w:color w:val="8496B0"/>
        <w:sz w:val="24"/>
        <w:szCs w:val="24"/>
      </w:rPr>
      <w:t xml:space="preserve"> </w:t>
    </w:r>
    <w:r>
      <w:rPr>
        <w:sz w:val="24"/>
        <w:szCs w:val="24"/>
      </w:rPr>
      <w:t>Page</w:t>
    </w:r>
  </w:p>
  <w:p w:rsidR="005761BF" w14:paraId="0000087F" w14:textId="77777777">
    <w:pPr>
      <w:pBdr>
        <w:top w:val="nil"/>
        <w:left w:val="nil"/>
        <w:bottom w:val="nil"/>
        <w:right w:val="nil"/>
        <w:between w:val="nil"/>
      </w:pBdr>
      <w:tabs>
        <w:tab w:val="center" w:pos="4680"/>
        <w:tab w:val="right" w:pos="9360"/>
      </w:tabs>
      <w:spacing w:after="0" w:line="240" w:lineRule="auto"/>
      <w:rPr>
        <w:i/>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18568E"/>
    <w:multiLevelType w:val="multilevel"/>
    <w:tmpl w:val="9B48C9FA"/>
    <w:lvl w:ilvl="0">
      <w:start w:val="1"/>
      <w:numFmt w:val="bullet"/>
      <w:lvlText w:val="●"/>
      <w:lvlJc w:val="left"/>
      <w:pPr>
        <w:ind w:left="2137" w:hanging="360"/>
      </w:pPr>
      <w:rPr>
        <w:rFonts w:ascii="Noto Sans Symbols" w:eastAsia="Noto Sans Symbols" w:hAnsi="Noto Sans Symbols" w:cs="Noto Sans Symbols"/>
      </w:rPr>
    </w:lvl>
    <w:lvl w:ilvl="1">
      <w:start w:val="1"/>
      <w:numFmt w:val="bullet"/>
      <w:lvlText w:val="o"/>
      <w:lvlJc w:val="left"/>
      <w:pPr>
        <w:ind w:left="2857" w:hanging="360"/>
      </w:pPr>
      <w:rPr>
        <w:rFonts w:ascii="Courier New" w:eastAsia="Courier New" w:hAnsi="Courier New" w:cs="Courier New"/>
      </w:rPr>
    </w:lvl>
    <w:lvl w:ilvl="2">
      <w:start w:val="1"/>
      <w:numFmt w:val="bullet"/>
      <w:lvlText w:val="▪"/>
      <w:lvlJc w:val="left"/>
      <w:pPr>
        <w:ind w:left="3577" w:hanging="360"/>
      </w:pPr>
      <w:rPr>
        <w:rFonts w:ascii="Noto Sans Symbols" w:eastAsia="Noto Sans Symbols" w:hAnsi="Noto Sans Symbols" w:cs="Noto Sans Symbols"/>
      </w:rPr>
    </w:lvl>
    <w:lvl w:ilvl="3">
      <w:start w:val="1"/>
      <w:numFmt w:val="bullet"/>
      <w:lvlText w:val="●"/>
      <w:lvlJc w:val="left"/>
      <w:pPr>
        <w:ind w:left="4297" w:hanging="360"/>
      </w:pPr>
      <w:rPr>
        <w:rFonts w:ascii="Noto Sans Symbols" w:eastAsia="Noto Sans Symbols" w:hAnsi="Noto Sans Symbols" w:cs="Noto Sans Symbols"/>
      </w:rPr>
    </w:lvl>
    <w:lvl w:ilvl="4">
      <w:start w:val="1"/>
      <w:numFmt w:val="bullet"/>
      <w:lvlText w:val="o"/>
      <w:lvlJc w:val="left"/>
      <w:pPr>
        <w:ind w:left="5017" w:hanging="360"/>
      </w:pPr>
      <w:rPr>
        <w:rFonts w:ascii="Courier New" w:eastAsia="Courier New" w:hAnsi="Courier New" w:cs="Courier New"/>
      </w:rPr>
    </w:lvl>
    <w:lvl w:ilvl="5">
      <w:start w:val="1"/>
      <w:numFmt w:val="bullet"/>
      <w:lvlText w:val="▪"/>
      <w:lvlJc w:val="left"/>
      <w:pPr>
        <w:ind w:left="5737" w:hanging="360"/>
      </w:pPr>
      <w:rPr>
        <w:rFonts w:ascii="Noto Sans Symbols" w:eastAsia="Noto Sans Symbols" w:hAnsi="Noto Sans Symbols" w:cs="Noto Sans Symbols"/>
      </w:rPr>
    </w:lvl>
    <w:lvl w:ilvl="6">
      <w:start w:val="1"/>
      <w:numFmt w:val="bullet"/>
      <w:lvlText w:val="●"/>
      <w:lvlJc w:val="left"/>
      <w:pPr>
        <w:ind w:left="6457" w:hanging="360"/>
      </w:pPr>
      <w:rPr>
        <w:rFonts w:ascii="Noto Sans Symbols" w:eastAsia="Noto Sans Symbols" w:hAnsi="Noto Sans Symbols" w:cs="Noto Sans Symbols"/>
      </w:rPr>
    </w:lvl>
    <w:lvl w:ilvl="7">
      <w:start w:val="1"/>
      <w:numFmt w:val="bullet"/>
      <w:lvlText w:val="o"/>
      <w:lvlJc w:val="left"/>
      <w:pPr>
        <w:ind w:left="7177" w:hanging="360"/>
      </w:pPr>
      <w:rPr>
        <w:rFonts w:ascii="Courier New" w:eastAsia="Courier New" w:hAnsi="Courier New" w:cs="Courier New"/>
      </w:rPr>
    </w:lvl>
    <w:lvl w:ilvl="8">
      <w:start w:val="1"/>
      <w:numFmt w:val="bullet"/>
      <w:lvlText w:val="▪"/>
      <w:lvlJc w:val="left"/>
      <w:pPr>
        <w:ind w:left="7897" w:hanging="360"/>
      </w:pPr>
      <w:rPr>
        <w:rFonts w:ascii="Noto Sans Symbols" w:eastAsia="Noto Sans Symbols" w:hAnsi="Noto Sans Symbols" w:cs="Noto Sans Symbols"/>
      </w:rPr>
    </w:lvl>
  </w:abstractNum>
  <w:abstractNum w:abstractNumId="1">
    <w:nsid w:val="001977E3"/>
    <w:multiLevelType w:val="multilevel"/>
    <w:tmpl w:val="323ED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F202D3"/>
    <w:multiLevelType w:val="hybridMultilevel"/>
    <w:tmpl w:val="FD869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3E3D7B"/>
    <w:multiLevelType w:val="hybridMultilevel"/>
    <w:tmpl w:val="9AF660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2FF1395"/>
    <w:multiLevelType w:val="multilevel"/>
    <w:tmpl w:val="DAAA3EA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3BD0998"/>
    <w:multiLevelType w:val="multilevel"/>
    <w:tmpl w:val="7C88D04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
    <w:nsid w:val="03C25D20"/>
    <w:multiLevelType w:val="multilevel"/>
    <w:tmpl w:val="B98A5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4C412CB"/>
    <w:multiLevelType w:val="multilevel"/>
    <w:tmpl w:val="6CEE6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5234E3A"/>
    <w:multiLevelType w:val="multilevel"/>
    <w:tmpl w:val="89702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5316229"/>
    <w:multiLevelType w:val="hybridMultilevel"/>
    <w:tmpl w:val="362E00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7B7A5F"/>
    <w:multiLevelType w:val="hybridMultilevel"/>
    <w:tmpl w:val="E3E8C9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5F70C5E"/>
    <w:multiLevelType w:val="multilevel"/>
    <w:tmpl w:val="48985E1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2">
    <w:nsid w:val="07AB6784"/>
    <w:multiLevelType w:val="hybridMultilevel"/>
    <w:tmpl w:val="D19E4F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7B724E6"/>
    <w:multiLevelType w:val="hybridMultilevel"/>
    <w:tmpl w:val="9510FF62"/>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8445B83"/>
    <w:multiLevelType w:val="multilevel"/>
    <w:tmpl w:val="0CEAC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0938509D"/>
    <w:multiLevelType w:val="multilevel"/>
    <w:tmpl w:val="BCD23A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09C04A49"/>
    <w:multiLevelType w:val="multilevel"/>
    <w:tmpl w:val="172683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0B340927"/>
    <w:multiLevelType w:val="multilevel"/>
    <w:tmpl w:val="9D265A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0C4D0F29"/>
    <w:multiLevelType w:val="multilevel"/>
    <w:tmpl w:val="A6BC25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0C827736"/>
    <w:multiLevelType w:val="multilevel"/>
    <w:tmpl w:val="61F8D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0CD15FD5"/>
    <w:multiLevelType w:val="multilevel"/>
    <w:tmpl w:val="5F12C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0CFB2ED2"/>
    <w:multiLevelType w:val="multilevel"/>
    <w:tmpl w:val="F3D6E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0D273AF8"/>
    <w:multiLevelType w:val="multilevel"/>
    <w:tmpl w:val="10D8843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0E046E18"/>
    <w:multiLevelType w:val="multilevel"/>
    <w:tmpl w:val="DD8CE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0FA31D1C"/>
    <w:multiLevelType w:val="hybridMultilevel"/>
    <w:tmpl w:val="06F8C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01079C7"/>
    <w:multiLevelType w:val="multilevel"/>
    <w:tmpl w:val="2B9EB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111577CF"/>
    <w:multiLevelType w:val="hybridMultilevel"/>
    <w:tmpl w:val="345E4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17A2C35"/>
    <w:multiLevelType w:val="multilevel"/>
    <w:tmpl w:val="47FE6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13C9291D"/>
    <w:multiLevelType w:val="multilevel"/>
    <w:tmpl w:val="FC6E8BF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9">
    <w:nsid w:val="14082C57"/>
    <w:multiLevelType w:val="hybridMultilevel"/>
    <w:tmpl w:val="882EB4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45707BB"/>
    <w:multiLevelType w:val="multilevel"/>
    <w:tmpl w:val="672A243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14C27A51"/>
    <w:multiLevelType w:val="multilevel"/>
    <w:tmpl w:val="6CFC6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155B048A"/>
    <w:multiLevelType w:val="multilevel"/>
    <w:tmpl w:val="A5E25D2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3">
    <w:nsid w:val="15D83C7D"/>
    <w:multiLevelType w:val="multilevel"/>
    <w:tmpl w:val="A4A6F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174B413F"/>
    <w:multiLevelType w:val="multilevel"/>
    <w:tmpl w:val="B84A73F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19532D39"/>
    <w:multiLevelType w:val="hybridMultilevel"/>
    <w:tmpl w:val="1EB2F8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B22291E"/>
    <w:multiLevelType w:val="hybridMultilevel"/>
    <w:tmpl w:val="D4901D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B7E74D3"/>
    <w:multiLevelType w:val="multilevel"/>
    <w:tmpl w:val="4158371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8">
    <w:nsid w:val="1BB65273"/>
    <w:multiLevelType w:val="multilevel"/>
    <w:tmpl w:val="9F842DB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9">
    <w:nsid w:val="1C0B1575"/>
    <w:multiLevelType w:val="multilevel"/>
    <w:tmpl w:val="DD0C9C3E"/>
    <w:lvl w:ilvl="0">
      <w:start w:val="1"/>
      <w:numFmt w:val="bullet"/>
      <w:lvlText w:val="●"/>
      <w:lvlJc w:val="left"/>
      <w:pPr>
        <w:ind w:left="1965" w:hanging="360"/>
      </w:pPr>
      <w:rPr>
        <w:rFonts w:ascii="Noto Sans Symbols" w:eastAsia="Noto Sans Symbols" w:hAnsi="Noto Sans Symbols" w:cs="Noto Sans Symbols"/>
      </w:rPr>
    </w:lvl>
    <w:lvl w:ilvl="1">
      <w:start w:val="1"/>
      <w:numFmt w:val="bullet"/>
      <w:lvlText w:val="o"/>
      <w:lvlJc w:val="left"/>
      <w:pPr>
        <w:ind w:left="2685" w:hanging="360"/>
      </w:pPr>
      <w:rPr>
        <w:rFonts w:ascii="Courier New" w:eastAsia="Courier New" w:hAnsi="Courier New" w:cs="Courier New"/>
      </w:rPr>
    </w:lvl>
    <w:lvl w:ilvl="2">
      <w:start w:val="1"/>
      <w:numFmt w:val="bullet"/>
      <w:lvlText w:val="▪"/>
      <w:lvlJc w:val="left"/>
      <w:pPr>
        <w:ind w:left="3405" w:hanging="360"/>
      </w:pPr>
      <w:rPr>
        <w:rFonts w:ascii="Noto Sans Symbols" w:eastAsia="Noto Sans Symbols" w:hAnsi="Noto Sans Symbols" w:cs="Noto Sans Symbols"/>
      </w:rPr>
    </w:lvl>
    <w:lvl w:ilvl="3">
      <w:start w:val="1"/>
      <w:numFmt w:val="bullet"/>
      <w:lvlText w:val="●"/>
      <w:lvlJc w:val="left"/>
      <w:pPr>
        <w:ind w:left="4125" w:hanging="360"/>
      </w:pPr>
      <w:rPr>
        <w:rFonts w:ascii="Noto Sans Symbols" w:eastAsia="Noto Sans Symbols" w:hAnsi="Noto Sans Symbols" w:cs="Noto Sans Symbols"/>
      </w:rPr>
    </w:lvl>
    <w:lvl w:ilvl="4">
      <w:start w:val="1"/>
      <w:numFmt w:val="bullet"/>
      <w:lvlText w:val="o"/>
      <w:lvlJc w:val="left"/>
      <w:pPr>
        <w:ind w:left="4845" w:hanging="360"/>
      </w:pPr>
      <w:rPr>
        <w:rFonts w:ascii="Courier New" w:eastAsia="Courier New" w:hAnsi="Courier New" w:cs="Courier New"/>
      </w:rPr>
    </w:lvl>
    <w:lvl w:ilvl="5">
      <w:start w:val="1"/>
      <w:numFmt w:val="bullet"/>
      <w:lvlText w:val="▪"/>
      <w:lvlJc w:val="left"/>
      <w:pPr>
        <w:ind w:left="5565" w:hanging="360"/>
      </w:pPr>
      <w:rPr>
        <w:rFonts w:ascii="Noto Sans Symbols" w:eastAsia="Noto Sans Symbols" w:hAnsi="Noto Sans Symbols" w:cs="Noto Sans Symbols"/>
      </w:rPr>
    </w:lvl>
    <w:lvl w:ilvl="6">
      <w:start w:val="1"/>
      <w:numFmt w:val="bullet"/>
      <w:lvlText w:val="●"/>
      <w:lvlJc w:val="left"/>
      <w:pPr>
        <w:ind w:left="6285" w:hanging="360"/>
      </w:pPr>
      <w:rPr>
        <w:rFonts w:ascii="Noto Sans Symbols" w:eastAsia="Noto Sans Symbols" w:hAnsi="Noto Sans Symbols" w:cs="Noto Sans Symbols"/>
      </w:rPr>
    </w:lvl>
    <w:lvl w:ilvl="7">
      <w:start w:val="1"/>
      <w:numFmt w:val="bullet"/>
      <w:lvlText w:val="o"/>
      <w:lvlJc w:val="left"/>
      <w:pPr>
        <w:ind w:left="7005" w:hanging="360"/>
      </w:pPr>
      <w:rPr>
        <w:rFonts w:ascii="Courier New" w:eastAsia="Courier New" w:hAnsi="Courier New" w:cs="Courier New"/>
      </w:rPr>
    </w:lvl>
    <w:lvl w:ilvl="8">
      <w:start w:val="1"/>
      <w:numFmt w:val="bullet"/>
      <w:lvlText w:val="▪"/>
      <w:lvlJc w:val="left"/>
      <w:pPr>
        <w:ind w:left="7725" w:hanging="360"/>
      </w:pPr>
      <w:rPr>
        <w:rFonts w:ascii="Noto Sans Symbols" w:eastAsia="Noto Sans Symbols" w:hAnsi="Noto Sans Symbols" w:cs="Noto Sans Symbols"/>
      </w:rPr>
    </w:lvl>
  </w:abstractNum>
  <w:abstractNum w:abstractNumId="40">
    <w:nsid w:val="1E9A3D62"/>
    <w:multiLevelType w:val="multilevel"/>
    <w:tmpl w:val="546E89D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1F7A4C4B"/>
    <w:multiLevelType w:val="multilevel"/>
    <w:tmpl w:val="343670F2"/>
    <w:lvl w:ilvl="0">
      <w:start w:val="1"/>
      <w:numFmt w:val="decimal"/>
      <w:lvlText w:val="%1."/>
      <w:lvlJc w:val="left"/>
      <w:pPr>
        <w:ind w:left="720" w:hanging="720"/>
      </w:pPr>
      <w:rPr>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22247BBE"/>
    <w:multiLevelType w:val="hybridMultilevel"/>
    <w:tmpl w:val="E97AAE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275F3280"/>
    <w:multiLevelType w:val="multilevel"/>
    <w:tmpl w:val="42E23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276F155F"/>
    <w:multiLevelType w:val="multilevel"/>
    <w:tmpl w:val="17D80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27C026A9"/>
    <w:multiLevelType w:val="multilevel"/>
    <w:tmpl w:val="C2F0FD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27DC692D"/>
    <w:multiLevelType w:val="multilevel"/>
    <w:tmpl w:val="83085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nsid w:val="28160D6F"/>
    <w:multiLevelType w:val="multilevel"/>
    <w:tmpl w:val="FCC6CE9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8">
    <w:nsid w:val="28E45D12"/>
    <w:multiLevelType w:val="multilevel"/>
    <w:tmpl w:val="706EA1A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9">
    <w:nsid w:val="2CB1380D"/>
    <w:multiLevelType w:val="multilevel"/>
    <w:tmpl w:val="364ED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nsid w:val="2FAD4DD9"/>
    <w:multiLevelType w:val="multilevel"/>
    <w:tmpl w:val="7800FED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1">
    <w:nsid w:val="302007CF"/>
    <w:multiLevelType w:val="multilevel"/>
    <w:tmpl w:val="5DC831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2">
    <w:nsid w:val="304201D4"/>
    <w:multiLevelType w:val="multilevel"/>
    <w:tmpl w:val="BE7C430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3">
    <w:nsid w:val="34DC224B"/>
    <w:multiLevelType w:val="multilevel"/>
    <w:tmpl w:val="904E8A2A"/>
    <w:lvl w:ilvl="0">
      <w:start w:val="1"/>
      <w:numFmt w:val="bullet"/>
      <w:lvlText w:val="●"/>
      <w:lvlJc w:val="left"/>
      <w:pPr>
        <w:ind w:left="2137" w:hanging="360"/>
      </w:pPr>
      <w:rPr>
        <w:rFonts w:ascii="Noto Sans Symbols" w:eastAsia="Noto Sans Symbols" w:hAnsi="Noto Sans Symbols" w:cs="Noto Sans Symbols"/>
      </w:rPr>
    </w:lvl>
    <w:lvl w:ilvl="1">
      <w:start w:val="1"/>
      <w:numFmt w:val="bullet"/>
      <w:lvlText w:val="o"/>
      <w:lvlJc w:val="left"/>
      <w:pPr>
        <w:ind w:left="2857" w:hanging="360"/>
      </w:pPr>
      <w:rPr>
        <w:rFonts w:ascii="Courier New" w:eastAsia="Courier New" w:hAnsi="Courier New" w:cs="Courier New"/>
      </w:rPr>
    </w:lvl>
    <w:lvl w:ilvl="2">
      <w:start w:val="1"/>
      <w:numFmt w:val="bullet"/>
      <w:lvlText w:val="▪"/>
      <w:lvlJc w:val="left"/>
      <w:pPr>
        <w:ind w:left="3577" w:hanging="360"/>
      </w:pPr>
      <w:rPr>
        <w:rFonts w:ascii="Noto Sans Symbols" w:eastAsia="Noto Sans Symbols" w:hAnsi="Noto Sans Symbols" w:cs="Noto Sans Symbols"/>
      </w:rPr>
    </w:lvl>
    <w:lvl w:ilvl="3">
      <w:start w:val="1"/>
      <w:numFmt w:val="bullet"/>
      <w:lvlText w:val="●"/>
      <w:lvlJc w:val="left"/>
      <w:pPr>
        <w:ind w:left="4297" w:hanging="360"/>
      </w:pPr>
      <w:rPr>
        <w:rFonts w:ascii="Noto Sans Symbols" w:eastAsia="Noto Sans Symbols" w:hAnsi="Noto Sans Symbols" w:cs="Noto Sans Symbols"/>
      </w:rPr>
    </w:lvl>
    <w:lvl w:ilvl="4">
      <w:start w:val="1"/>
      <w:numFmt w:val="bullet"/>
      <w:lvlText w:val="o"/>
      <w:lvlJc w:val="left"/>
      <w:pPr>
        <w:ind w:left="5017" w:hanging="360"/>
      </w:pPr>
      <w:rPr>
        <w:rFonts w:ascii="Courier New" w:eastAsia="Courier New" w:hAnsi="Courier New" w:cs="Courier New"/>
      </w:rPr>
    </w:lvl>
    <w:lvl w:ilvl="5">
      <w:start w:val="1"/>
      <w:numFmt w:val="bullet"/>
      <w:lvlText w:val="▪"/>
      <w:lvlJc w:val="left"/>
      <w:pPr>
        <w:ind w:left="5737" w:hanging="360"/>
      </w:pPr>
      <w:rPr>
        <w:rFonts w:ascii="Noto Sans Symbols" w:eastAsia="Noto Sans Symbols" w:hAnsi="Noto Sans Symbols" w:cs="Noto Sans Symbols"/>
      </w:rPr>
    </w:lvl>
    <w:lvl w:ilvl="6">
      <w:start w:val="1"/>
      <w:numFmt w:val="bullet"/>
      <w:lvlText w:val="●"/>
      <w:lvlJc w:val="left"/>
      <w:pPr>
        <w:ind w:left="6457" w:hanging="360"/>
      </w:pPr>
      <w:rPr>
        <w:rFonts w:ascii="Noto Sans Symbols" w:eastAsia="Noto Sans Symbols" w:hAnsi="Noto Sans Symbols" w:cs="Noto Sans Symbols"/>
      </w:rPr>
    </w:lvl>
    <w:lvl w:ilvl="7">
      <w:start w:val="1"/>
      <w:numFmt w:val="bullet"/>
      <w:lvlText w:val="o"/>
      <w:lvlJc w:val="left"/>
      <w:pPr>
        <w:ind w:left="7177" w:hanging="360"/>
      </w:pPr>
      <w:rPr>
        <w:rFonts w:ascii="Courier New" w:eastAsia="Courier New" w:hAnsi="Courier New" w:cs="Courier New"/>
      </w:rPr>
    </w:lvl>
    <w:lvl w:ilvl="8">
      <w:start w:val="1"/>
      <w:numFmt w:val="bullet"/>
      <w:lvlText w:val="▪"/>
      <w:lvlJc w:val="left"/>
      <w:pPr>
        <w:ind w:left="7897" w:hanging="360"/>
      </w:pPr>
      <w:rPr>
        <w:rFonts w:ascii="Noto Sans Symbols" w:eastAsia="Noto Sans Symbols" w:hAnsi="Noto Sans Symbols" w:cs="Noto Sans Symbols"/>
      </w:rPr>
    </w:lvl>
  </w:abstractNum>
  <w:abstractNum w:abstractNumId="54">
    <w:nsid w:val="354F4684"/>
    <w:multiLevelType w:val="multilevel"/>
    <w:tmpl w:val="F33867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nsid w:val="35FF3DA2"/>
    <w:multiLevelType w:val="multilevel"/>
    <w:tmpl w:val="71962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37EE7347"/>
    <w:multiLevelType w:val="multilevel"/>
    <w:tmpl w:val="9A5C5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nsid w:val="3898643D"/>
    <w:multiLevelType w:val="hybridMultilevel"/>
    <w:tmpl w:val="8EA0205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38CF0B05"/>
    <w:multiLevelType w:val="multilevel"/>
    <w:tmpl w:val="BC92D6B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nsid w:val="39610BC1"/>
    <w:multiLevelType w:val="multilevel"/>
    <w:tmpl w:val="3C202644"/>
    <w:lvl w:ilvl="0">
      <w:start w:val="1"/>
      <w:numFmt w:val="bullet"/>
      <w:lvlText w:val="●"/>
      <w:lvlJc w:val="left"/>
      <w:pPr>
        <w:ind w:left="1830" w:hanging="360"/>
      </w:pPr>
      <w:rPr>
        <w:rFonts w:ascii="Noto Sans Symbols" w:eastAsia="Noto Sans Symbols" w:hAnsi="Noto Sans Symbols" w:cs="Noto Sans Symbols"/>
      </w:rPr>
    </w:lvl>
    <w:lvl w:ilvl="1">
      <w:start w:val="1"/>
      <w:numFmt w:val="bullet"/>
      <w:lvlText w:val="o"/>
      <w:lvlJc w:val="left"/>
      <w:pPr>
        <w:ind w:left="2550" w:hanging="360"/>
      </w:pPr>
      <w:rPr>
        <w:rFonts w:ascii="Courier New" w:eastAsia="Courier New" w:hAnsi="Courier New" w:cs="Courier New"/>
      </w:rPr>
    </w:lvl>
    <w:lvl w:ilvl="2">
      <w:start w:val="1"/>
      <w:numFmt w:val="bullet"/>
      <w:lvlText w:val="▪"/>
      <w:lvlJc w:val="left"/>
      <w:pPr>
        <w:ind w:left="3270" w:hanging="360"/>
      </w:pPr>
      <w:rPr>
        <w:rFonts w:ascii="Noto Sans Symbols" w:eastAsia="Noto Sans Symbols" w:hAnsi="Noto Sans Symbols" w:cs="Noto Sans Symbols"/>
      </w:rPr>
    </w:lvl>
    <w:lvl w:ilvl="3">
      <w:start w:val="1"/>
      <w:numFmt w:val="bullet"/>
      <w:lvlText w:val="●"/>
      <w:lvlJc w:val="left"/>
      <w:pPr>
        <w:ind w:left="3990" w:hanging="360"/>
      </w:pPr>
      <w:rPr>
        <w:rFonts w:ascii="Noto Sans Symbols" w:eastAsia="Noto Sans Symbols" w:hAnsi="Noto Sans Symbols" w:cs="Noto Sans Symbols"/>
      </w:rPr>
    </w:lvl>
    <w:lvl w:ilvl="4">
      <w:start w:val="1"/>
      <w:numFmt w:val="bullet"/>
      <w:lvlText w:val="o"/>
      <w:lvlJc w:val="left"/>
      <w:pPr>
        <w:ind w:left="4710" w:hanging="360"/>
      </w:pPr>
      <w:rPr>
        <w:rFonts w:ascii="Courier New" w:eastAsia="Courier New" w:hAnsi="Courier New" w:cs="Courier New"/>
      </w:rPr>
    </w:lvl>
    <w:lvl w:ilvl="5">
      <w:start w:val="1"/>
      <w:numFmt w:val="bullet"/>
      <w:lvlText w:val="▪"/>
      <w:lvlJc w:val="left"/>
      <w:pPr>
        <w:ind w:left="5430" w:hanging="360"/>
      </w:pPr>
      <w:rPr>
        <w:rFonts w:ascii="Noto Sans Symbols" w:eastAsia="Noto Sans Symbols" w:hAnsi="Noto Sans Symbols" w:cs="Noto Sans Symbols"/>
      </w:rPr>
    </w:lvl>
    <w:lvl w:ilvl="6">
      <w:start w:val="1"/>
      <w:numFmt w:val="bullet"/>
      <w:lvlText w:val="●"/>
      <w:lvlJc w:val="left"/>
      <w:pPr>
        <w:ind w:left="6150" w:hanging="360"/>
      </w:pPr>
      <w:rPr>
        <w:rFonts w:ascii="Noto Sans Symbols" w:eastAsia="Noto Sans Symbols" w:hAnsi="Noto Sans Symbols" w:cs="Noto Sans Symbols"/>
      </w:rPr>
    </w:lvl>
    <w:lvl w:ilvl="7">
      <w:start w:val="1"/>
      <w:numFmt w:val="bullet"/>
      <w:lvlText w:val="o"/>
      <w:lvlJc w:val="left"/>
      <w:pPr>
        <w:ind w:left="6870" w:hanging="360"/>
      </w:pPr>
      <w:rPr>
        <w:rFonts w:ascii="Courier New" w:eastAsia="Courier New" w:hAnsi="Courier New" w:cs="Courier New"/>
      </w:rPr>
    </w:lvl>
    <w:lvl w:ilvl="8">
      <w:start w:val="1"/>
      <w:numFmt w:val="bullet"/>
      <w:lvlText w:val="▪"/>
      <w:lvlJc w:val="left"/>
      <w:pPr>
        <w:ind w:left="7590" w:hanging="360"/>
      </w:pPr>
      <w:rPr>
        <w:rFonts w:ascii="Noto Sans Symbols" w:eastAsia="Noto Sans Symbols" w:hAnsi="Noto Sans Symbols" w:cs="Noto Sans Symbols"/>
      </w:rPr>
    </w:lvl>
  </w:abstractNum>
  <w:abstractNum w:abstractNumId="60">
    <w:nsid w:val="39A52EA9"/>
    <w:multiLevelType w:val="multilevel"/>
    <w:tmpl w:val="7C96EEF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1">
    <w:nsid w:val="3B3F31DC"/>
    <w:multiLevelType w:val="multilevel"/>
    <w:tmpl w:val="F948018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2">
    <w:nsid w:val="3B7C48FE"/>
    <w:multiLevelType w:val="hybridMultilevel"/>
    <w:tmpl w:val="17F6B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3D1A5212"/>
    <w:multiLevelType w:val="multilevel"/>
    <w:tmpl w:val="957C277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4">
    <w:nsid w:val="3D6F0557"/>
    <w:multiLevelType w:val="multilevel"/>
    <w:tmpl w:val="2E909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3D90714C"/>
    <w:multiLevelType w:val="multilevel"/>
    <w:tmpl w:val="888E3546"/>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abstractNum w:abstractNumId="66">
    <w:nsid w:val="3F9E6392"/>
    <w:multiLevelType w:val="multilevel"/>
    <w:tmpl w:val="529C814C"/>
    <w:lvl w:ilvl="0">
      <w:start w:val="1"/>
      <w:numFmt w:val="bullet"/>
      <w:lvlText w:val="●"/>
      <w:lvlJc w:val="left"/>
      <w:pPr>
        <w:ind w:left="1815" w:hanging="360"/>
      </w:pPr>
      <w:rPr>
        <w:rFonts w:ascii="Noto Sans Symbols" w:eastAsia="Noto Sans Symbols" w:hAnsi="Noto Sans Symbols" w:cs="Noto Sans Symbols"/>
      </w:rPr>
    </w:lvl>
    <w:lvl w:ilvl="1">
      <w:start w:val="1"/>
      <w:numFmt w:val="bullet"/>
      <w:lvlText w:val="o"/>
      <w:lvlJc w:val="left"/>
      <w:pPr>
        <w:ind w:left="2535" w:hanging="360"/>
      </w:pPr>
      <w:rPr>
        <w:rFonts w:ascii="Courier New" w:eastAsia="Courier New" w:hAnsi="Courier New" w:cs="Courier New"/>
      </w:rPr>
    </w:lvl>
    <w:lvl w:ilvl="2">
      <w:start w:val="1"/>
      <w:numFmt w:val="bullet"/>
      <w:lvlText w:val="▪"/>
      <w:lvlJc w:val="left"/>
      <w:pPr>
        <w:ind w:left="3255" w:hanging="360"/>
      </w:pPr>
      <w:rPr>
        <w:rFonts w:ascii="Noto Sans Symbols" w:eastAsia="Noto Sans Symbols" w:hAnsi="Noto Sans Symbols" w:cs="Noto Sans Symbols"/>
      </w:rPr>
    </w:lvl>
    <w:lvl w:ilvl="3">
      <w:start w:val="1"/>
      <w:numFmt w:val="bullet"/>
      <w:lvlText w:val="●"/>
      <w:lvlJc w:val="left"/>
      <w:pPr>
        <w:ind w:left="3975" w:hanging="360"/>
      </w:pPr>
      <w:rPr>
        <w:rFonts w:ascii="Noto Sans Symbols" w:eastAsia="Noto Sans Symbols" w:hAnsi="Noto Sans Symbols" w:cs="Noto Sans Symbols"/>
      </w:rPr>
    </w:lvl>
    <w:lvl w:ilvl="4">
      <w:start w:val="1"/>
      <w:numFmt w:val="bullet"/>
      <w:lvlText w:val="o"/>
      <w:lvlJc w:val="left"/>
      <w:pPr>
        <w:ind w:left="4695" w:hanging="360"/>
      </w:pPr>
      <w:rPr>
        <w:rFonts w:ascii="Courier New" w:eastAsia="Courier New" w:hAnsi="Courier New" w:cs="Courier New"/>
      </w:rPr>
    </w:lvl>
    <w:lvl w:ilvl="5">
      <w:start w:val="1"/>
      <w:numFmt w:val="bullet"/>
      <w:lvlText w:val="▪"/>
      <w:lvlJc w:val="left"/>
      <w:pPr>
        <w:ind w:left="5415" w:hanging="360"/>
      </w:pPr>
      <w:rPr>
        <w:rFonts w:ascii="Noto Sans Symbols" w:eastAsia="Noto Sans Symbols" w:hAnsi="Noto Sans Symbols" w:cs="Noto Sans Symbols"/>
      </w:rPr>
    </w:lvl>
    <w:lvl w:ilvl="6">
      <w:start w:val="1"/>
      <w:numFmt w:val="bullet"/>
      <w:lvlText w:val="●"/>
      <w:lvlJc w:val="left"/>
      <w:pPr>
        <w:ind w:left="6135" w:hanging="360"/>
      </w:pPr>
      <w:rPr>
        <w:rFonts w:ascii="Noto Sans Symbols" w:eastAsia="Noto Sans Symbols" w:hAnsi="Noto Sans Symbols" w:cs="Noto Sans Symbols"/>
      </w:rPr>
    </w:lvl>
    <w:lvl w:ilvl="7">
      <w:start w:val="1"/>
      <w:numFmt w:val="bullet"/>
      <w:lvlText w:val="o"/>
      <w:lvlJc w:val="left"/>
      <w:pPr>
        <w:ind w:left="6855" w:hanging="360"/>
      </w:pPr>
      <w:rPr>
        <w:rFonts w:ascii="Courier New" w:eastAsia="Courier New" w:hAnsi="Courier New" w:cs="Courier New"/>
      </w:rPr>
    </w:lvl>
    <w:lvl w:ilvl="8">
      <w:start w:val="1"/>
      <w:numFmt w:val="bullet"/>
      <w:lvlText w:val="▪"/>
      <w:lvlJc w:val="left"/>
      <w:pPr>
        <w:ind w:left="7575" w:hanging="360"/>
      </w:pPr>
      <w:rPr>
        <w:rFonts w:ascii="Noto Sans Symbols" w:eastAsia="Noto Sans Symbols" w:hAnsi="Noto Sans Symbols" w:cs="Noto Sans Symbols"/>
      </w:rPr>
    </w:lvl>
  </w:abstractNum>
  <w:abstractNum w:abstractNumId="67">
    <w:nsid w:val="426F6D8C"/>
    <w:multiLevelType w:val="hybridMultilevel"/>
    <w:tmpl w:val="AE58EE6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4E556DE"/>
    <w:multiLevelType w:val="multilevel"/>
    <w:tmpl w:val="764E0E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nsid w:val="460D1F93"/>
    <w:multiLevelType w:val="multilevel"/>
    <w:tmpl w:val="F8402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nsid w:val="4612599B"/>
    <w:multiLevelType w:val="multilevel"/>
    <w:tmpl w:val="D5ACA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nsid w:val="46143397"/>
    <w:multiLevelType w:val="multilevel"/>
    <w:tmpl w:val="E4AAC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nsid w:val="462C5C53"/>
    <w:multiLevelType w:val="multilevel"/>
    <w:tmpl w:val="538A35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nsid w:val="46660981"/>
    <w:multiLevelType w:val="multilevel"/>
    <w:tmpl w:val="9E5CB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nsid w:val="47572127"/>
    <w:multiLevelType w:val="multilevel"/>
    <w:tmpl w:val="0A4AF57A"/>
    <w:lvl w:ilvl="0">
      <w:start w:val="1"/>
      <w:numFmt w:val="bullet"/>
      <w:lvlText w:val="●"/>
      <w:lvlJc w:val="left"/>
      <w:pPr>
        <w:ind w:left="2137" w:hanging="360"/>
      </w:pPr>
      <w:rPr>
        <w:rFonts w:ascii="Noto Sans Symbols" w:eastAsia="Noto Sans Symbols" w:hAnsi="Noto Sans Symbols" w:cs="Noto Sans Symbols"/>
      </w:rPr>
    </w:lvl>
    <w:lvl w:ilvl="1">
      <w:start w:val="1"/>
      <w:numFmt w:val="bullet"/>
      <w:lvlText w:val="o"/>
      <w:lvlJc w:val="left"/>
      <w:pPr>
        <w:ind w:left="2857" w:hanging="360"/>
      </w:pPr>
      <w:rPr>
        <w:rFonts w:ascii="Courier New" w:eastAsia="Courier New" w:hAnsi="Courier New" w:cs="Courier New"/>
      </w:rPr>
    </w:lvl>
    <w:lvl w:ilvl="2">
      <w:start w:val="1"/>
      <w:numFmt w:val="bullet"/>
      <w:lvlText w:val="▪"/>
      <w:lvlJc w:val="left"/>
      <w:pPr>
        <w:ind w:left="3577" w:hanging="360"/>
      </w:pPr>
      <w:rPr>
        <w:rFonts w:ascii="Noto Sans Symbols" w:eastAsia="Noto Sans Symbols" w:hAnsi="Noto Sans Symbols" w:cs="Noto Sans Symbols"/>
      </w:rPr>
    </w:lvl>
    <w:lvl w:ilvl="3">
      <w:start w:val="1"/>
      <w:numFmt w:val="bullet"/>
      <w:lvlText w:val="●"/>
      <w:lvlJc w:val="left"/>
      <w:pPr>
        <w:ind w:left="4297" w:hanging="360"/>
      </w:pPr>
      <w:rPr>
        <w:rFonts w:ascii="Noto Sans Symbols" w:eastAsia="Noto Sans Symbols" w:hAnsi="Noto Sans Symbols" w:cs="Noto Sans Symbols"/>
      </w:rPr>
    </w:lvl>
    <w:lvl w:ilvl="4">
      <w:start w:val="1"/>
      <w:numFmt w:val="bullet"/>
      <w:lvlText w:val="o"/>
      <w:lvlJc w:val="left"/>
      <w:pPr>
        <w:ind w:left="5017" w:hanging="360"/>
      </w:pPr>
      <w:rPr>
        <w:rFonts w:ascii="Courier New" w:eastAsia="Courier New" w:hAnsi="Courier New" w:cs="Courier New"/>
      </w:rPr>
    </w:lvl>
    <w:lvl w:ilvl="5">
      <w:start w:val="1"/>
      <w:numFmt w:val="bullet"/>
      <w:lvlText w:val="▪"/>
      <w:lvlJc w:val="left"/>
      <w:pPr>
        <w:ind w:left="5737" w:hanging="360"/>
      </w:pPr>
      <w:rPr>
        <w:rFonts w:ascii="Noto Sans Symbols" w:eastAsia="Noto Sans Symbols" w:hAnsi="Noto Sans Symbols" w:cs="Noto Sans Symbols"/>
      </w:rPr>
    </w:lvl>
    <w:lvl w:ilvl="6">
      <w:start w:val="1"/>
      <w:numFmt w:val="bullet"/>
      <w:lvlText w:val="●"/>
      <w:lvlJc w:val="left"/>
      <w:pPr>
        <w:ind w:left="6457" w:hanging="360"/>
      </w:pPr>
      <w:rPr>
        <w:rFonts w:ascii="Noto Sans Symbols" w:eastAsia="Noto Sans Symbols" w:hAnsi="Noto Sans Symbols" w:cs="Noto Sans Symbols"/>
      </w:rPr>
    </w:lvl>
    <w:lvl w:ilvl="7">
      <w:start w:val="1"/>
      <w:numFmt w:val="bullet"/>
      <w:lvlText w:val="o"/>
      <w:lvlJc w:val="left"/>
      <w:pPr>
        <w:ind w:left="7177" w:hanging="360"/>
      </w:pPr>
      <w:rPr>
        <w:rFonts w:ascii="Courier New" w:eastAsia="Courier New" w:hAnsi="Courier New" w:cs="Courier New"/>
      </w:rPr>
    </w:lvl>
    <w:lvl w:ilvl="8">
      <w:start w:val="1"/>
      <w:numFmt w:val="bullet"/>
      <w:lvlText w:val="▪"/>
      <w:lvlJc w:val="left"/>
      <w:pPr>
        <w:ind w:left="7897" w:hanging="360"/>
      </w:pPr>
      <w:rPr>
        <w:rFonts w:ascii="Noto Sans Symbols" w:eastAsia="Noto Sans Symbols" w:hAnsi="Noto Sans Symbols" w:cs="Noto Sans Symbols"/>
      </w:rPr>
    </w:lvl>
  </w:abstractNum>
  <w:abstractNum w:abstractNumId="75">
    <w:nsid w:val="49FF6E6B"/>
    <w:multiLevelType w:val="multilevel"/>
    <w:tmpl w:val="8C38AC6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4"/>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nsid w:val="4A1F4FBE"/>
    <w:multiLevelType w:val="multilevel"/>
    <w:tmpl w:val="FFA62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nsid w:val="4F4D7276"/>
    <w:multiLevelType w:val="multilevel"/>
    <w:tmpl w:val="D396B9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nsid w:val="50271F5C"/>
    <w:multiLevelType w:val="multilevel"/>
    <w:tmpl w:val="80A22722"/>
    <w:lvl w:ilvl="0">
      <w:start w:val="1"/>
      <w:numFmt w:val="bullet"/>
      <w:lvlText w:val="●"/>
      <w:lvlJc w:val="left"/>
      <w:pPr>
        <w:ind w:left="1830" w:hanging="360"/>
      </w:pPr>
      <w:rPr>
        <w:rFonts w:ascii="Noto Sans Symbols" w:eastAsia="Noto Sans Symbols" w:hAnsi="Noto Sans Symbols" w:cs="Noto Sans Symbols"/>
      </w:rPr>
    </w:lvl>
    <w:lvl w:ilvl="1">
      <w:start w:val="1"/>
      <w:numFmt w:val="bullet"/>
      <w:lvlText w:val="o"/>
      <w:lvlJc w:val="left"/>
      <w:pPr>
        <w:ind w:left="2550" w:hanging="360"/>
      </w:pPr>
      <w:rPr>
        <w:rFonts w:ascii="Courier New" w:eastAsia="Courier New" w:hAnsi="Courier New" w:cs="Courier New"/>
      </w:rPr>
    </w:lvl>
    <w:lvl w:ilvl="2">
      <w:start w:val="1"/>
      <w:numFmt w:val="bullet"/>
      <w:lvlText w:val="▪"/>
      <w:lvlJc w:val="left"/>
      <w:pPr>
        <w:ind w:left="3270" w:hanging="360"/>
      </w:pPr>
      <w:rPr>
        <w:rFonts w:ascii="Noto Sans Symbols" w:eastAsia="Noto Sans Symbols" w:hAnsi="Noto Sans Symbols" w:cs="Noto Sans Symbols"/>
      </w:rPr>
    </w:lvl>
    <w:lvl w:ilvl="3">
      <w:start w:val="1"/>
      <w:numFmt w:val="bullet"/>
      <w:lvlText w:val="●"/>
      <w:lvlJc w:val="left"/>
      <w:pPr>
        <w:ind w:left="3990" w:hanging="360"/>
      </w:pPr>
      <w:rPr>
        <w:rFonts w:ascii="Noto Sans Symbols" w:eastAsia="Noto Sans Symbols" w:hAnsi="Noto Sans Symbols" w:cs="Noto Sans Symbols"/>
      </w:rPr>
    </w:lvl>
    <w:lvl w:ilvl="4">
      <w:start w:val="1"/>
      <w:numFmt w:val="bullet"/>
      <w:lvlText w:val="o"/>
      <w:lvlJc w:val="left"/>
      <w:pPr>
        <w:ind w:left="4710" w:hanging="360"/>
      </w:pPr>
      <w:rPr>
        <w:rFonts w:ascii="Courier New" w:eastAsia="Courier New" w:hAnsi="Courier New" w:cs="Courier New"/>
      </w:rPr>
    </w:lvl>
    <w:lvl w:ilvl="5">
      <w:start w:val="1"/>
      <w:numFmt w:val="bullet"/>
      <w:lvlText w:val="▪"/>
      <w:lvlJc w:val="left"/>
      <w:pPr>
        <w:ind w:left="5430" w:hanging="360"/>
      </w:pPr>
      <w:rPr>
        <w:rFonts w:ascii="Noto Sans Symbols" w:eastAsia="Noto Sans Symbols" w:hAnsi="Noto Sans Symbols" w:cs="Noto Sans Symbols"/>
      </w:rPr>
    </w:lvl>
    <w:lvl w:ilvl="6">
      <w:start w:val="1"/>
      <w:numFmt w:val="bullet"/>
      <w:lvlText w:val="●"/>
      <w:lvlJc w:val="left"/>
      <w:pPr>
        <w:ind w:left="6150" w:hanging="360"/>
      </w:pPr>
      <w:rPr>
        <w:rFonts w:ascii="Noto Sans Symbols" w:eastAsia="Noto Sans Symbols" w:hAnsi="Noto Sans Symbols" w:cs="Noto Sans Symbols"/>
      </w:rPr>
    </w:lvl>
    <w:lvl w:ilvl="7">
      <w:start w:val="1"/>
      <w:numFmt w:val="bullet"/>
      <w:lvlText w:val="o"/>
      <w:lvlJc w:val="left"/>
      <w:pPr>
        <w:ind w:left="6870" w:hanging="360"/>
      </w:pPr>
      <w:rPr>
        <w:rFonts w:ascii="Courier New" w:eastAsia="Courier New" w:hAnsi="Courier New" w:cs="Courier New"/>
      </w:rPr>
    </w:lvl>
    <w:lvl w:ilvl="8">
      <w:start w:val="1"/>
      <w:numFmt w:val="bullet"/>
      <w:lvlText w:val="▪"/>
      <w:lvlJc w:val="left"/>
      <w:pPr>
        <w:ind w:left="7590" w:hanging="360"/>
      </w:pPr>
      <w:rPr>
        <w:rFonts w:ascii="Noto Sans Symbols" w:eastAsia="Noto Sans Symbols" w:hAnsi="Noto Sans Symbols" w:cs="Noto Sans Symbols"/>
      </w:rPr>
    </w:lvl>
  </w:abstractNum>
  <w:abstractNum w:abstractNumId="79">
    <w:nsid w:val="51933C6E"/>
    <w:multiLevelType w:val="multilevel"/>
    <w:tmpl w:val="1FA0BEF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80">
    <w:nsid w:val="52070C6C"/>
    <w:multiLevelType w:val="hybridMultilevel"/>
    <w:tmpl w:val="C0D8C8A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52717969"/>
    <w:multiLevelType w:val="multilevel"/>
    <w:tmpl w:val="1E62E7E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nsid w:val="531E60DA"/>
    <w:multiLevelType w:val="multilevel"/>
    <w:tmpl w:val="87BEEFE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83">
    <w:nsid w:val="539C61AF"/>
    <w:multiLevelType w:val="multilevel"/>
    <w:tmpl w:val="9EF00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nsid w:val="551D7E7C"/>
    <w:multiLevelType w:val="multilevel"/>
    <w:tmpl w:val="6186C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nsid w:val="556A7A8F"/>
    <w:multiLevelType w:val="hybridMultilevel"/>
    <w:tmpl w:val="F8D46D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5AE33B0"/>
    <w:multiLevelType w:val="multilevel"/>
    <w:tmpl w:val="2992515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87">
    <w:nsid w:val="55F14973"/>
    <w:multiLevelType w:val="hybridMultilevel"/>
    <w:tmpl w:val="066E198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56BE01D2"/>
    <w:multiLevelType w:val="multilevel"/>
    <w:tmpl w:val="18D40086"/>
    <w:lvl w:ilvl="0">
      <w:start w:val="1"/>
      <w:numFmt w:val="bullet"/>
      <w:lvlText w:val="●"/>
      <w:lvlJc w:val="left"/>
      <w:pPr>
        <w:ind w:left="1815" w:hanging="360"/>
      </w:pPr>
      <w:rPr>
        <w:rFonts w:ascii="Noto Sans Symbols" w:eastAsia="Noto Sans Symbols" w:hAnsi="Noto Sans Symbols" w:cs="Noto Sans Symbols"/>
      </w:rPr>
    </w:lvl>
    <w:lvl w:ilvl="1">
      <w:start w:val="1"/>
      <w:numFmt w:val="bullet"/>
      <w:lvlText w:val="o"/>
      <w:lvlJc w:val="left"/>
      <w:pPr>
        <w:ind w:left="2535" w:hanging="360"/>
      </w:pPr>
      <w:rPr>
        <w:rFonts w:ascii="Courier New" w:eastAsia="Courier New" w:hAnsi="Courier New" w:cs="Courier New"/>
      </w:rPr>
    </w:lvl>
    <w:lvl w:ilvl="2">
      <w:start w:val="1"/>
      <w:numFmt w:val="bullet"/>
      <w:lvlText w:val="▪"/>
      <w:lvlJc w:val="left"/>
      <w:pPr>
        <w:ind w:left="3255" w:hanging="360"/>
      </w:pPr>
      <w:rPr>
        <w:rFonts w:ascii="Noto Sans Symbols" w:eastAsia="Noto Sans Symbols" w:hAnsi="Noto Sans Symbols" w:cs="Noto Sans Symbols"/>
      </w:rPr>
    </w:lvl>
    <w:lvl w:ilvl="3">
      <w:start w:val="1"/>
      <w:numFmt w:val="bullet"/>
      <w:lvlText w:val="●"/>
      <w:lvlJc w:val="left"/>
      <w:pPr>
        <w:ind w:left="3975" w:hanging="360"/>
      </w:pPr>
      <w:rPr>
        <w:rFonts w:ascii="Noto Sans Symbols" w:eastAsia="Noto Sans Symbols" w:hAnsi="Noto Sans Symbols" w:cs="Noto Sans Symbols"/>
      </w:rPr>
    </w:lvl>
    <w:lvl w:ilvl="4">
      <w:start w:val="1"/>
      <w:numFmt w:val="bullet"/>
      <w:lvlText w:val="o"/>
      <w:lvlJc w:val="left"/>
      <w:pPr>
        <w:ind w:left="4695" w:hanging="360"/>
      </w:pPr>
      <w:rPr>
        <w:rFonts w:ascii="Courier New" w:eastAsia="Courier New" w:hAnsi="Courier New" w:cs="Courier New"/>
      </w:rPr>
    </w:lvl>
    <w:lvl w:ilvl="5">
      <w:start w:val="1"/>
      <w:numFmt w:val="bullet"/>
      <w:lvlText w:val="▪"/>
      <w:lvlJc w:val="left"/>
      <w:pPr>
        <w:ind w:left="5415" w:hanging="360"/>
      </w:pPr>
      <w:rPr>
        <w:rFonts w:ascii="Noto Sans Symbols" w:eastAsia="Noto Sans Symbols" w:hAnsi="Noto Sans Symbols" w:cs="Noto Sans Symbols"/>
      </w:rPr>
    </w:lvl>
    <w:lvl w:ilvl="6">
      <w:start w:val="1"/>
      <w:numFmt w:val="bullet"/>
      <w:lvlText w:val="●"/>
      <w:lvlJc w:val="left"/>
      <w:pPr>
        <w:ind w:left="6135" w:hanging="360"/>
      </w:pPr>
      <w:rPr>
        <w:rFonts w:ascii="Noto Sans Symbols" w:eastAsia="Noto Sans Symbols" w:hAnsi="Noto Sans Symbols" w:cs="Noto Sans Symbols"/>
      </w:rPr>
    </w:lvl>
    <w:lvl w:ilvl="7">
      <w:start w:val="1"/>
      <w:numFmt w:val="bullet"/>
      <w:lvlText w:val="o"/>
      <w:lvlJc w:val="left"/>
      <w:pPr>
        <w:ind w:left="6855" w:hanging="360"/>
      </w:pPr>
      <w:rPr>
        <w:rFonts w:ascii="Courier New" w:eastAsia="Courier New" w:hAnsi="Courier New" w:cs="Courier New"/>
      </w:rPr>
    </w:lvl>
    <w:lvl w:ilvl="8">
      <w:start w:val="1"/>
      <w:numFmt w:val="bullet"/>
      <w:lvlText w:val="▪"/>
      <w:lvlJc w:val="left"/>
      <w:pPr>
        <w:ind w:left="7575" w:hanging="360"/>
      </w:pPr>
      <w:rPr>
        <w:rFonts w:ascii="Noto Sans Symbols" w:eastAsia="Noto Sans Symbols" w:hAnsi="Noto Sans Symbols" w:cs="Noto Sans Symbols"/>
      </w:rPr>
    </w:lvl>
  </w:abstractNum>
  <w:abstractNum w:abstractNumId="89">
    <w:nsid w:val="57355D3C"/>
    <w:multiLevelType w:val="multilevel"/>
    <w:tmpl w:val="39DE4B9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0">
    <w:nsid w:val="57DF3FF6"/>
    <w:multiLevelType w:val="multilevel"/>
    <w:tmpl w:val="026C3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nsid w:val="58614718"/>
    <w:multiLevelType w:val="multilevel"/>
    <w:tmpl w:val="6B7CDE8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2">
    <w:nsid w:val="59D20F82"/>
    <w:multiLevelType w:val="multilevel"/>
    <w:tmpl w:val="22403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nsid w:val="5CBB366E"/>
    <w:multiLevelType w:val="multilevel"/>
    <w:tmpl w:val="BF0E2FF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nsid w:val="5E3E35B1"/>
    <w:multiLevelType w:val="multilevel"/>
    <w:tmpl w:val="21E477A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nsid w:val="5E441156"/>
    <w:multiLevelType w:val="multilevel"/>
    <w:tmpl w:val="826A7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nsid w:val="5EB91743"/>
    <w:multiLevelType w:val="hybridMultilevel"/>
    <w:tmpl w:val="1D7A46D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7">
    <w:nsid w:val="5EE26178"/>
    <w:multiLevelType w:val="multilevel"/>
    <w:tmpl w:val="FC447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nsid w:val="5F91117D"/>
    <w:multiLevelType w:val="multilevel"/>
    <w:tmpl w:val="312E28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nsid w:val="5FF86A11"/>
    <w:multiLevelType w:val="hybridMultilevel"/>
    <w:tmpl w:val="C9A453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0">
    <w:nsid w:val="60EE5E80"/>
    <w:multiLevelType w:val="multilevel"/>
    <w:tmpl w:val="6330C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nsid w:val="616123B4"/>
    <w:multiLevelType w:val="multilevel"/>
    <w:tmpl w:val="C66EE6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nsid w:val="62897951"/>
    <w:multiLevelType w:val="multilevel"/>
    <w:tmpl w:val="E0547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nsid w:val="628D06B0"/>
    <w:multiLevelType w:val="multilevel"/>
    <w:tmpl w:val="65D88352"/>
    <w:lvl w:ilvl="0">
      <w:start w:val="1"/>
      <w:numFmt w:val="bullet"/>
      <w:lvlText w:val="●"/>
      <w:lvlJc w:val="left"/>
      <w:pPr>
        <w:ind w:left="2137" w:hanging="360"/>
      </w:pPr>
      <w:rPr>
        <w:rFonts w:ascii="Noto Sans Symbols" w:eastAsia="Noto Sans Symbols" w:hAnsi="Noto Sans Symbols" w:cs="Noto Sans Symbols"/>
      </w:rPr>
    </w:lvl>
    <w:lvl w:ilvl="1">
      <w:start w:val="1"/>
      <w:numFmt w:val="bullet"/>
      <w:lvlText w:val="o"/>
      <w:lvlJc w:val="left"/>
      <w:pPr>
        <w:ind w:left="2857" w:hanging="360"/>
      </w:pPr>
      <w:rPr>
        <w:rFonts w:ascii="Courier New" w:eastAsia="Courier New" w:hAnsi="Courier New" w:cs="Courier New"/>
      </w:rPr>
    </w:lvl>
    <w:lvl w:ilvl="2">
      <w:start w:val="1"/>
      <w:numFmt w:val="bullet"/>
      <w:lvlText w:val="▪"/>
      <w:lvlJc w:val="left"/>
      <w:pPr>
        <w:ind w:left="3577" w:hanging="360"/>
      </w:pPr>
      <w:rPr>
        <w:rFonts w:ascii="Noto Sans Symbols" w:eastAsia="Noto Sans Symbols" w:hAnsi="Noto Sans Symbols" w:cs="Noto Sans Symbols"/>
      </w:rPr>
    </w:lvl>
    <w:lvl w:ilvl="3">
      <w:start w:val="1"/>
      <w:numFmt w:val="bullet"/>
      <w:lvlText w:val="●"/>
      <w:lvlJc w:val="left"/>
      <w:pPr>
        <w:ind w:left="4297" w:hanging="360"/>
      </w:pPr>
      <w:rPr>
        <w:rFonts w:ascii="Noto Sans Symbols" w:eastAsia="Noto Sans Symbols" w:hAnsi="Noto Sans Symbols" w:cs="Noto Sans Symbols"/>
      </w:rPr>
    </w:lvl>
    <w:lvl w:ilvl="4">
      <w:start w:val="1"/>
      <w:numFmt w:val="bullet"/>
      <w:lvlText w:val="o"/>
      <w:lvlJc w:val="left"/>
      <w:pPr>
        <w:ind w:left="5017" w:hanging="360"/>
      </w:pPr>
      <w:rPr>
        <w:rFonts w:ascii="Courier New" w:eastAsia="Courier New" w:hAnsi="Courier New" w:cs="Courier New"/>
      </w:rPr>
    </w:lvl>
    <w:lvl w:ilvl="5">
      <w:start w:val="1"/>
      <w:numFmt w:val="bullet"/>
      <w:lvlText w:val="▪"/>
      <w:lvlJc w:val="left"/>
      <w:pPr>
        <w:ind w:left="5737" w:hanging="360"/>
      </w:pPr>
      <w:rPr>
        <w:rFonts w:ascii="Noto Sans Symbols" w:eastAsia="Noto Sans Symbols" w:hAnsi="Noto Sans Symbols" w:cs="Noto Sans Symbols"/>
      </w:rPr>
    </w:lvl>
    <w:lvl w:ilvl="6">
      <w:start w:val="1"/>
      <w:numFmt w:val="bullet"/>
      <w:lvlText w:val="●"/>
      <w:lvlJc w:val="left"/>
      <w:pPr>
        <w:ind w:left="6457" w:hanging="360"/>
      </w:pPr>
      <w:rPr>
        <w:rFonts w:ascii="Noto Sans Symbols" w:eastAsia="Noto Sans Symbols" w:hAnsi="Noto Sans Symbols" w:cs="Noto Sans Symbols"/>
      </w:rPr>
    </w:lvl>
    <w:lvl w:ilvl="7">
      <w:start w:val="1"/>
      <w:numFmt w:val="bullet"/>
      <w:lvlText w:val="o"/>
      <w:lvlJc w:val="left"/>
      <w:pPr>
        <w:ind w:left="7177" w:hanging="360"/>
      </w:pPr>
      <w:rPr>
        <w:rFonts w:ascii="Courier New" w:eastAsia="Courier New" w:hAnsi="Courier New" w:cs="Courier New"/>
      </w:rPr>
    </w:lvl>
    <w:lvl w:ilvl="8">
      <w:start w:val="1"/>
      <w:numFmt w:val="bullet"/>
      <w:lvlText w:val="▪"/>
      <w:lvlJc w:val="left"/>
      <w:pPr>
        <w:ind w:left="7897" w:hanging="360"/>
      </w:pPr>
      <w:rPr>
        <w:rFonts w:ascii="Noto Sans Symbols" w:eastAsia="Noto Sans Symbols" w:hAnsi="Noto Sans Symbols" w:cs="Noto Sans Symbols"/>
      </w:rPr>
    </w:lvl>
  </w:abstractNum>
  <w:abstractNum w:abstractNumId="104">
    <w:nsid w:val="629823E1"/>
    <w:multiLevelType w:val="multilevel"/>
    <w:tmpl w:val="6C36D87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05">
    <w:nsid w:val="62EF283B"/>
    <w:multiLevelType w:val="multilevel"/>
    <w:tmpl w:val="23FAB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nsid w:val="635C1405"/>
    <w:multiLevelType w:val="hybridMultilevel"/>
    <w:tmpl w:val="56E27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659C6A00"/>
    <w:multiLevelType w:val="multilevel"/>
    <w:tmpl w:val="8182D6AA"/>
    <w:lvl w:ilvl="0">
      <w:start w:val="1"/>
      <w:numFmt w:val="bullet"/>
      <w:lvlText w:val="●"/>
      <w:lvlJc w:val="left"/>
      <w:pPr>
        <w:ind w:left="2137" w:hanging="360"/>
      </w:pPr>
      <w:rPr>
        <w:rFonts w:ascii="Noto Sans Symbols" w:eastAsia="Noto Sans Symbols" w:hAnsi="Noto Sans Symbols" w:cs="Noto Sans Symbols"/>
      </w:rPr>
    </w:lvl>
    <w:lvl w:ilvl="1">
      <w:start w:val="1"/>
      <w:numFmt w:val="bullet"/>
      <w:lvlText w:val="o"/>
      <w:lvlJc w:val="left"/>
      <w:pPr>
        <w:ind w:left="2857" w:hanging="360"/>
      </w:pPr>
      <w:rPr>
        <w:rFonts w:ascii="Courier New" w:eastAsia="Courier New" w:hAnsi="Courier New" w:cs="Courier New"/>
      </w:rPr>
    </w:lvl>
    <w:lvl w:ilvl="2">
      <w:start w:val="1"/>
      <w:numFmt w:val="bullet"/>
      <w:lvlText w:val="▪"/>
      <w:lvlJc w:val="left"/>
      <w:pPr>
        <w:ind w:left="3577" w:hanging="360"/>
      </w:pPr>
      <w:rPr>
        <w:rFonts w:ascii="Noto Sans Symbols" w:eastAsia="Noto Sans Symbols" w:hAnsi="Noto Sans Symbols" w:cs="Noto Sans Symbols"/>
      </w:rPr>
    </w:lvl>
    <w:lvl w:ilvl="3">
      <w:start w:val="1"/>
      <w:numFmt w:val="bullet"/>
      <w:lvlText w:val="●"/>
      <w:lvlJc w:val="left"/>
      <w:pPr>
        <w:ind w:left="4297" w:hanging="360"/>
      </w:pPr>
      <w:rPr>
        <w:rFonts w:ascii="Noto Sans Symbols" w:eastAsia="Noto Sans Symbols" w:hAnsi="Noto Sans Symbols" w:cs="Noto Sans Symbols"/>
      </w:rPr>
    </w:lvl>
    <w:lvl w:ilvl="4">
      <w:start w:val="1"/>
      <w:numFmt w:val="bullet"/>
      <w:lvlText w:val="o"/>
      <w:lvlJc w:val="left"/>
      <w:pPr>
        <w:ind w:left="5017" w:hanging="360"/>
      </w:pPr>
      <w:rPr>
        <w:rFonts w:ascii="Courier New" w:eastAsia="Courier New" w:hAnsi="Courier New" w:cs="Courier New"/>
      </w:rPr>
    </w:lvl>
    <w:lvl w:ilvl="5">
      <w:start w:val="1"/>
      <w:numFmt w:val="bullet"/>
      <w:lvlText w:val="▪"/>
      <w:lvlJc w:val="left"/>
      <w:pPr>
        <w:ind w:left="5737" w:hanging="360"/>
      </w:pPr>
      <w:rPr>
        <w:rFonts w:ascii="Noto Sans Symbols" w:eastAsia="Noto Sans Symbols" w:hAnsi="Noto Sans Symbols" w:cs="Noto Sans Symbols"/>
      </w:rPr>
    </w:lvl>
    <w:lvl w:ilvl="6">
      <w:start w:val="1"/>
      <w:numFmt w:val="bullet"/>
      <w:lvlText w:val="●"/>
      <w:lvlJc w:val="left"/>
      <w:pPr>
        <w:ind w:left="6457" w:hanging="360"/>
      </w:pPr>
      <w:rPr>
        <w:rFonts w:ascii="Noto Sans Symbols" w:eastAsia="Noto Sans Symbols" w:hAnsi="Noto Sans Symbols" w:cs="Noto Sans Symbols"/>
      </w:rPr>
    </w:lvl>
    <w:lvl w:ilvl="7">
      <w:start w:val="1"/>
      <w:numFmt w:val="bullet"/>
      <w:lvlText w:val="o"/>
      <w:lvlJc w:val="left"/>
      <w:pPr>
        <w:ind w:left="7177" w:hanging="360"/>
      </w:pPr>
      <w:rPr>
        <w:rFonts w:ascii="Courier New" w:eastAsia="Courier New" w:hAnsi="Courier New" w:cs="Courier New"/>
      </w:rPr>
    </w:lvl>
    <w:lvl w:ilvl="8">
      <w:start w:val="1"/>
      <w:numFmt w:val="bullet"/>
      <w:lvlText w:val="▪"/>
      <w:lvlJc w:val="left"/>
      <w:pPr>
        <w:ind w:left="7897" w:hanging="360"/>
      </w:pPr>
      <w:rPr>
        <w:rFonts w:ascii="Noto Sans Symbols" w:eastAsia="Noto Sans Symbols" w:hAnsi="Noto Sans Symbols" w:cs="Noto Sans Symbols"/>
      </w:rPr>
    </w:lvl>
  </w:abstractNum>
  <w:abstractNum w:abstractNumId="108">
    <w:nsid w:val="6671449E"/>
    <w:multiLevelType w:val="multilevel"/>
    <w:tmpl w:val="5D086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nsid w:val="66D24718"/>
    <w:multiLevelType w:val="multilevel"/>
    <w:tmpl w:val="707E3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nsid w:val="67347DB4"/>
    <w:multiLevelType w:val="multilevel"/>
    <w:tmpl w:val="731204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nsid w:val="67A91E35"/>
    <w:multiLevelType w:val="multilevel"/>
    <w:tmpl w:val="0C265938"/>
    <w:lvl w:ilvl="0">
      <w:start w:val="1"/>
      <w:numFmt w:val="bullet"/>
      <w:lvlText w:val="●"/>
      <w:lvlJc w:val="left"/>
      <w:pPr>
        <w:ind w:left="1860" w:hanging="360"/>
      </w:pPr>
      <w:rPr>
        <w:rFonts w:ascii="Noto Sans Symbols" w:eastAsia="Noto Sans Symbols" w:hAnsi="Noto Sans Symbols" w:cs="Noto Sans Symbols"/>
      </w:rPr>
    </w:lvl>
    <w:lvl w:ilvl="1">
      <w:start w:val="1"/>
      <w:numFmt w:val="bullet"/>
      <w:lvlText w:val="o"/>
      <w:lvlJc w:val="left"/>
      <w:pPr>
        <w:ind w:left="2580" w:hanging="360"/>
      </w:pPr>
      <w:rPr>
        <w:rFonts w:ascii="Courier New" w:eastAsia="Courier New" w:hAnsi="Courier New" w:cs="Courier New"/>
      </w:rPr>
    </w:lvl>
    <w:lvl w:ilvl="2">
      <w:start w:val="1"/>
      <w:numFmt w:val="bullet"/>
      <w:lvlText w:val="▪"/>
      <w:lvlJc w:val="left"/>
      <w:pPr>
        <w:ind w:left="3300" w:hanging="360"/>
      </w:pPr>
      <w:rPr>
        <w:rFonts w:ascii="Noto Sans Symbols" w:eastAsia="Noto Sans Symbols" w:hAnsi="Noto Sans Symbols" w:cs="Noto Sans Symbols"/>
      </w:rPr>
    </w:lvl>
    <w:lvl w:ilvl="3">
      <w:start w:val="1"/>
      <w:numFmt w:val="bullet"/>
      <w:lvlText w:val="●"/>
      <w:lvlJc w:val="left"/>
      <w:pPr>
        <w:ind w:left="4020" w:hanging="360"/>
      </w:pPr>
      <w:rPr>
        <w:rFonts w:ascii="Noto Sans Symbols" w:eastAsia="Noto Sans Symbols" w:hAnsi="Noto Sans Symbols" w:cs="Noto Sans Symbols"/>
      </w:rPr>
    </w:lvl>
    <w:lvl w:ilvl="4">
      <w:start w:val="1"/>
      <w:numFmt w:val="bullet"/>
      <w:lvlText w:val="o"/>
      <w:lvlJc w:val="left"/>
      <w:pPr>
        <w:ind w:left="4740" w:hanging="360"/>
      </w:pPr>
      <w:rPr>
        <w:rFonts w:ascii="Courier New" w:eastAsia="Courier New" w:hAnsi="Courier New" w:cs="Courier New"/>
      </w:rPr>
    </w:lvl>
    <w:lvl w:ilvl="5">
      <w:start w:val="1"/>
      <w:numFmt w:val="bullet"/>
      <w:lvlText w:val="▪"/>
      <w:lvlJc w:val="left"/>
      <w:pPr>
        <w:ind w:left="5460" w:hanging="360"/>
      </w:pPr>
      <w:rPr>
        <w:rFonts w:ascii="Noto Sans Symbols" w:eastAsia="Noto Sans Symbols" w:hAnsi="Noto Sans Symbols" w:cs="Noto Sans Symbols"/>
      </w:rPr>
    </w:lvl>
    <w:lvl w:ilvl="6">
      <w:start w:val="1"/>
      <w:numFmt w:val="bullet"/>
      <w:lvlText w:val="●"/>
      <w:lvlJc w:val="left"/>
      <w:pPr>
        <w:ind w:left="6180" w:hanging="360"/>
      </w:pPr>
      <w:rPr>
        <w:rFonts w:ascii="Noto Sans Symbols" w:eastAsia="Noto Sans Symbols" w:hAnsi="Noto Sans Symbols" w:cs="Noto Sans Symbols"/>
      </w:rPr>
    </w:lvl>
    <w:lvl w:ilvl="7">
      <w:start w:val="1"/>
      <w:numFmt w:val="bullet"/>
      <w:lvlText w:val="o"/>
      <w:lvlJc w:val="left"/>
      <w:pPr>
        <w:ind w:left="6900" w:hanging="360"/>
      </w:pPr>
      <w:rPr>
        <w:rFonts w:ascii="Courier New" w:eastAsia="Courier New" w:hAnsi="Courier New" w:cs="Courier New"/>
      </w:rPr>
    </w:lvl>
    <w:lvl w:ilvl="8">
      <w:start w:val="1"/>
      <w:numFmt w:val="bullet"/>
      <w:lvlText w:val="▪"/>
      <w:lvlJc w:val="left"/>
      <w:pPr>
        <w:ind w:left="7620" w:hanging="360"/>
      </w:pPr>
      <w:rPr>
        <w:rFonts w:ascii="Noto Sans Symbols" w:eastAsia="Noto Sans Symbols" w:hAnsi="Noto Sans Symbols" w:cs="Noto Sans Symbols"/>
      </w:rPr>
    </w:lvl>
  </w:abstractNum>
  <w:abstractNum w:abstractNumId="112">
    <w:nsid w:val="6BE9210C"/>
    <w:multiLevelType w:val="multilevel"/>
    <w:tmpl w:val="FBC66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nsid w:val="6EAC10F6"/>
    <w:multiLevelType w:val="multilevel"/>
    <w:tmpl w:val="A7200CF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nsid w:val="6EBD0EF4"/>
    <w:multiLevelType w:val="multilevel"/>
    <w:tmpl w:val="A4E69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nsid w:val="6F3807FC"/>
    <w:multiLevelType w:val="hybridMultilevel"/>
    <w:tmpl w:val="1BFAB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7044270C"/>
    <w:multiLevelType w:val="multilevel"/>
    <w:tmpl w:val="4A120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nsid w:val="70E71D83"/>
    <w:multiLevelType w:val="multilevel"/>
    <w:tmpl w:val="D0F048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nsid w:val="71312A77"/>
    <w:multiLevelType w:val="multilevel"/>
    <w:tmpl w:val="B71E7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nsid w:val="717C71AE"/>
    <w:multiLevelType w:val="multilevel"/>
    <w:tmpl w:val="F2427D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nsid w:val="73A71703"/>
    <w:multiLevelType w:val="multilevel"/>
    <w:tmpl w:val="0F28D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nsid w:val="74496600"/>
    <w:multiLevelType w:val="multilevel"/>
    <w:tmpl w:val="B5A28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76A450E0"/>
    <w:multiLevelType w:val="multilevel"/>
    <w:tmpl w:val="DA5A3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nsid w:val="76BF420A"/>
    <w:multiLevelType w:val="multilevel"/>
    <w:tmpl w:val="7B4EDBF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24">
    <w:nsid w:val="76C41235"/>
    <w:multiLevelType w:val="multilevel"/>
    <w:tmpl w:val="7AE8A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nsid w:val="784D643F"/>
    <w:multiLevelType w:val="multilevel"/>
    <w:tmpl w:val="15EA280A"/>
    <w:lvl w:ilvl="0">
      <w:start w:val="1"/>
      <w:numFmt w:val="bullet"/>
      <w:lvlText w:val="●"/>
      <w:lvlJc w:val="left"/>
      <w:pPr>
        <w:ind w:left="1830" w:hanging="360"/>
      </w:pPr>
      <w:rPr>
        <w:rFonts w:ascii="Noto Sans Symbols" w:eastAsia="Noto Sans Symbols" w:hAnsi="Noto Sans Symbols" w:cs="Noto Sans Symbols"/>
      </w:rPr>
    </w:lvl>
    <w:lvl w:ilvl="1">
      <w:start w:val="1"/>
      <w:numFmt w:val="bullet"/>
      <w:lvlText w:val="o"/>
      <w:lvlJc w:val="left"/>
      <w:pPr>
        <w:ind w:left="2550" w:hanging="360"/>
      </w:pPr>
      <w:rPr>
        <w:rFonts w:ascii="Courier New" w:eastAsia="Courier New" w:hAnsi="Courier New" w:cs="Courier New"/>
      </w:rPr>
    </w:lvl>
    <w:lvl w:ilvl="2">
      <w:start w:val="1"/>
      <w:numFmt w:val="bullet"/>
      <w:lvlText w:val="▪"/>
      <w:lvlJc w:val="left"/>
      <w:pPr>
        <w:ind w:left="3270" w:hanging="360"/>
      </w:pPr>
      <w:rPr>
        <w:rFonts w:ascii="Noto Sans Symbols" w:eastAsia="Noto Sans Symbols" w:hAnsi="Noto Sans Symbols" w:cs="Noto Sans Symbols"/>
      </w:rPr>
    </w:lvl>
    <w:lvl w:ilvl="3">
      <w:start w:val="1"/>
      <w:numFmt w:val="bullet"/>
      <w:lvlText w:val="●"/>
      <w:lvlJc w:val="left"/>
      <w:pPr>
        <w:ind w:left="3990" w:hanging="360"/>
      </w:pPr>
      <w:rPr>
        <w:rFonts w:ascii="Noto Sans Symbols" w:eastAsia="Noto Sans Symbols" w:hAnsi="Noto Sans Symbols" w:cs="Noto Sans Symbols"/>
      </w:rPr>
    </w:lvl>
    <w:lvl w:ilvl="4">
      <w:start w:val="1"/>
      <w:numFmt w:val="bullet"/>
      <w:lvlText w:val="o"/>
      <w:lvlJc w:val="left"/>
      <w:pPr>
        <w:ind w:left="4710" w:hanging="360"/>
      </w:pPr>
      <w:rPr>
        <w:rFonts w:ascii="Courier New" w:eastAsia="Courier New" w:hAnsi="Courier New" w:cs="Courier New"/>
      </w:rPr>
    </w:lvl>
    <w:lvl w:ilvl="5">
      <w:start w:val="1"/>
      <w:numFmt w:val="bullet"/>
      <w:lvlText w:val="▪"/>
      <w:lvlJc w:val="left"/>
      <w:pPr>
        <w:ind w:left="5430" w:hanging="360"/>
      </w:pPr>
      <w:rPr>
        <w:rFonts w:ascii="Noto Sans Symbols" w:eastAsia="Noto Sans Symbols" w:hAnsi="Noto Sans Symbols" w:cs="Noto Sans Symbols"/>
      </w:rPr>
    </w:lvl>
    <w:lvl w:ilvl="6">
      <w:start w:val="1"/>
      <w:numFmt w:val="bullet"/>
      <w:lvlText w:val="●"/>
      <w:lvlJc w:val="left"/>
      <w:pPr>
        <w:ind w:left="6150" w:hanging="360"/>
      </w:pPr>
      <w:rPr>
        <w:rFonts w:ascii="Noto Sans Symbols" w:eastAsia="Noto Sans Symbols" w:hAnsi="Noto Sans Symbols" w:cs="Noto Sans Symbols"/>
      </w:rPr>
    </w:lvl>
    <w:lvl w:ilvl="7">
      <w:start w:val="1"/>
      <w:numFmt w:val="bullet"/>
      <w:lvlText w:val="o"/>
      <w:lvlJc w:val="left"/>
      <w:pPr>
        <w:ind w:left="6870" w:hanging="360"/>
      </w:pPr>
      <w:rPr>
        <w:rFonts w:ascii="Courier New" w:eastAsia="Courier New" w:hAnsi="Courier New" w:cs="Courier New"/>
      </w:rPr>
    </w:lvl>
    <w:lvl w:ilvl="8">
      <w:start w:val="1"/>
      <w:numFmt w:val="bullet"/>
      <w:lvlText w:val="▪"/>
      <w:lvlJc w:val="left"/>
      <w:pPr>
        <w:ind w:left="7590" w:hanging="360"/>
      </w:pPr>
      <w:rPr>
        <w:rFonts w:ascii="Noto Sans Symbols" w:eastAsia="Noto Sans Symbols" w:hAnsi="Noto Sans Symbols" w:cs="Noto Sans Symbols"/>
      </w:rPr>
    </w:lvl>
  </w:abstractNum>
  <w:abstractNum w:abstractNumId="126">
    <w:nsid w:val="795C0D9C"/>
    <w:multiLevelType w:val="multilevel"/>
    <w:tmpl w:val="8EE45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nsid w:val="7961515D"/>
    <w:multiLevelType w:val="multilevel"/>
    <w:tmpl w:val="37ECE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nsid w:val="7D271FEE"/>
    <w:multiLevelType w:val="multilevel"/>
    <w:tmpl w:val="3288E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nsid w:val="7DB14FEB"/>
    <w:multiLevelType w:val="multilevel"/>
    <w:tmpl w:val="450C5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nsid w:val="7DE34305"/>
    <w:multiLevelType w:val="multilevel"/>
    <w:tmpl w:val="96604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1">
    <w:nsid w:val="7E3176ED"/>
    <w:multiLevelType w:val="multilevel"/>
    <w:tmpl w:val="5888D882"/>
    <w:lvl w:ilvl="0">
      <w:start w:val="1"/>
      <w:numFmt w:val="bullet"/>
      <w:lvlText w:val="●"/>
      <w:lvlJc w:val="left"/>
      <w:pPr>
        <w:ind w:left="2137" w:hanging="360"/>
      </w:pPr>
      <w:rPr>
        <w:rFonts w:ascii="Noto Sans Symbols" w:eastAsia="Noto Sans Symbols" w:hAnsi="Noto Sans Symbols" w:cs="Noto Sans Symbols"/>
      </w:rPr>
    </w:lvl>
    <w:lvl w:ilvl="1">
      <w:start w:val="1"/>
      <w:numFmt w:val="bullet"/>
      <w:lvlText w:val="o"/>
      <w:lvlJc w:val="left"/>
      <w:pPr>
        <w:ind w:left="2857" w:hanging="360"/>
      </w:pPr>
      <w:rPr>
        <w:rFonts w:ascii="Courier New" w:eastAsia="Courier New" w:hAnsi="Courier New" w:cs="Courier New"/>
      </w:rPr>
    </w:lvl>
    <w:lvl w:ilvl="2">
      <w:start w:val="1"/>
      <w:numFmt w:val="bullet"/>
      <w:lvlText w:val="▪"/>
      <w:lvlJc w:val="left"/>
      <w:pPr>
        <w:ind w:left="3577" w:hanging="360"/>
      </w:pPr>
      <w:rPr>
        <w:rFonts w:ascii="Noto Sans Symbols" w:eastAsia="Noto Sans Symbols" w:hAnsi="Noto Sans Symbols" w:cs="Noto Sans Symbols"/>
      </w:rPr>
    </w:lvl>
    <w:lvl w:ilvl="3">
      <w:start w:val="1"/>
      <w:numFmt w:val="bullet"/>
      <w:lvlText w:val="●"/>
      <w:lvlJc w:val="left"/>
      <w:pPr>
        <w:ind w:left="4297" w:hanging="360"/>
      </w:pPr>
      <w:rPr>
        <w:rFonts w:ascii="Noto Sans Symbols" w:eastAsia="Noto Sans Symbols" w:hAnsi="Noto Sans Symbols" w:cs="Noto Sans Symbols"/>
      </w:rPr>
    </w:lvl>
    <w:lvl w:ilvl="4">
      <w:start w:val="1"/>
      <w:numFmt w:val="bullet"/>
      <w:lvlText w:val="o"/>
      <w:lvlJc w:val="left"/>
      <w:pPr>
        <w:ind w:left="5017" w:hanging="360"/>
      </w:pPr>
      <w:rPr>
        <w:rFonts w:ascii="Courier New" w:eastAsia="Courier New" w:hAnsi="Courier New" w:cs="Courier New"/>
      </w:rPr>
    </w:lvl>
    <w:lvl w:ilvl="5">
      <w:start w:val="1"/>
      <w:numFmt w:val="bullet"/>
      <w:lvlText w:val="▪"/>
      <w:lvlJc w:val="left"/>
      <w:pPr>
        <w:ind w:left="5737" w:hanging="360"/>
      </w:pPr>
      <w:rPr>
        <w:rFonts w:ascii="Noto Sans Symbols" w:eastAsia="Noto Sans Symbols" w:hAnsi="Noto Sans Symbols" w:cs="Noto Sans Symbols"/>
      </w:rPr>
    </w:lvl>
    <w:lvl w:ilvl="6">
      <w:start w:val="1"/>
      <w:numFmt w:val="bullet"/>
      <w:lvlText w:val="●"/>
      <w:lvlJc w:val="left"/>
      <w:pPr>
        <w:ind w:left="6457" w:hanging="360"/>
      </w:pPr>
      <w:rPr>
        <w:rFonts w:ascii="Noto Sans Symbols" w:eastAsia="Noto Sans Symbols" w:hAnsi="Noto Sans Symbols" w:cs="Noto Sans Symbols"/>
      </w:rPr>
    </w:lvl>
    <w:lvl w:ilvl="7">
      <w:start w:val="1"/>
      <w:numFmt w:val="bullet"/>
      <w:lvlText w:val="o"/>
      <w:lvlJc w:val="left"/>
      <w:pPr>
        <w:ind w:left="7177" w:hanging="360"/>
      </w:pPr>
      <w:rPr>
        <w:rFonts w:ascii="Courier New" w:eastAsia="Courier New" w:hAnsi="Courier New" w:cs="Courier New"/>
      </w:rPr>
    </w:lvl>
    <w:lvl w:ilvl="8">
      <w:start w:val="1"/>
      <w:numFmt w:val="bullet"/>
      <w:lvlText w:val="▪"/>
      <w:lvlJc w:val="left"/>
      <w:pPr>
        <w:ind w:left="7897" w:hanging="360"/>
      </w:pPr>
      <w:rPr>
        <w:rFonts w:ascii="Noto Sans Symbols" w:eastAsia="Noto Sans Symbols" w:hAnsi="Noto Sans Symbols" w:cs="Noto Sans Symbols"/>
      </w:rPr>
    </w:lvl>
  </w:abstractNum>
  <w:abstractNum w:abstractNumId="132">
    <w:nsid w:val="7EF714FF"/>
    <w:multiLevelType w:val="multilevel"/>
    <w:tmpl w:val="7A00E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7FA250D1"/>
    <w:multiLevelType w:val="multilevel"/>
    <w:tmpl w:val="3EB4C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65427056">
    <w:abstractNumId w:val="95"/>
  </w:num>
  <w:num w:numId="2" w16cid:durableId="1046102732">
    <w:abstractNumId w:val="109"/>
  </w:num>
  <w:num w:numId="3" w16cid:durableId="793865984">
    <w:abstractNumId w:val="73"/>
  </w:num>
  <w:num w:numId="4" w16cid:durableId="1078478151">
    <w:abstractNumId w:val="46"/>
  </w:num>
  <w:num w:numId="5" w16cid:durableId="1418359462">
    <w:abstractNumId w:val="77"/>
  </w:num>
  <w:num w:numId="6" w16cid:durableId="1647128795">
    <w:abstractNumId w:val="114"/>
  </w:num>
  <w:num w:numId="7" w16cid:durableId="854460006">
    <w:abstractNumId w:val="8"/>
  </w:num>
  <w:num w:numId="8" w16cid:durableId="675226456">
    <w:abstractNumId w:val="16"/>
  </w:num>
  <w:num w:numId="9" w16cid:durableId="577180512">
    <w:abstractNumId w:val="33"/>
  </w:num>
  <w:num w:numId="10" w16cid:durableId="1156262703">
    <w:abstractNumId w:val="83"/>
  </w:num>
  <w:num w:numId="11" w16cid:durableId="1381636962">
    <w:abstractNumId w:val="108"/>
  </w:num>
  <w:num w:numId="12" w16cid:durableId="912161468">
    <w:abstractNumId w:val="44"/>
  </w:num>
  <w:num w:numId="13" w16cid:durableId="1969822817">
    <w:abstractNumId w:val="129"/>
  </w:num>
  <w:num w:numId="14" w16cid:durableId="1333338765">
    <w:abstractNumId w:val="119"/>
  </w:num>
  <w:num w:numId="15" w16cid:durableId="930355277">
    <w:abstractNumId w:val="124"/>
  </w:num>
  <w:num w:numId="16" w16cid:durableId="1537886894">
    <w:abstractNumId w:val="23"/>
  </w:num>
  <w:num w:numId="17" w16cid:durableId="381516161">
    <w:abstractNumId w:val="90"/>
  </w:num>
  <w:num w:numId="18" w16cid:durableId="1373573619">
    <w:abstractNumId w:val="84"/>
  </w:num>
  <w:num w:numId="19" w16cid:durableId="206184534">
    <w:abstractNumId w:val="31"/>
  </w:num>
  <w:num w:numId="20" w16cid:durableId="713848681">
    <w:abstractNumId w:val="101"/>
  </w:num>
  <w:num w:numId="21" w16cid:durableId="2035420947">
    <w:abstractNumId w:val="7"/>
  </w:num>
  <w:num w:numId="22" w16cid:durableId="1234707307">
    <w:abstractNumId w:val="43"/>
  </w:num>
  <w:num w:numId="23" w16cid:durableId="838546282">
    <w:abstractNumId w:val="20"/>
  </w:num>
  <w:num w:numId="24" w16cid:durableId="434790059">
    <w:abstractNumId w:val="79"/>
  </w:num>
  <w:num w:numId="25" w16cid:durableId="1317804284">
    <w:abstractNumId w:val="128"/>
  </w:num>
  <w:num w:numId="26" w16cid:durableId="977033599">
    <w:abstractNumId w:val="76"/>
  </w:num>
  <w:num w:numId="27" w16cid:durableId="670565634">
    <w:abstractNumId w:val="105"/>
  </w:num>
  <w:num w:numId="28" w16cid:durableId="2014603907">
    <w:abstractNumId w:val="60"/>
  </w:num>
  <w:num w:numId="29" w16cid:durableId="975600955">
    <w:abstractNumId w:val="89"/>
  </w:num>
  <w:num w:numId="30" w16cid:durableId="271018099">
    <w:abstractNumId w:val="11"/>
  </w:num>
  <w:num w:numId="31" w16cid:durableId="1246302184">
    <w:abstractNumId w:val="92"/>
  </w:num>
  <w:num w:numId="32" w16cid:durableId="429813357">
    <w:abstractNumId w:val="71"/>
  </w:num>
  <w:num w:numId="33" w16cid:durableId="891699040">
    <w:abstractNumId w:val="56"/>
  </w:num>
  <w:num w:numId="34" w16cid:durableId="479423155">
    <w:abstractNumId w:val="112"/>
  </w:num>
  <w:num w:numId="35" w16cid:durableId="126357284">
    <w:abstractNumId w:val="64"/>
  </w:num>
  <w:num w:numId="36" w16cid:durableId="1927373873">
    <w:abstractNumId w:val="52"/>
  </w:num>
  <w:num w:numId="37" w16cid:durableId="349263821">
    <w:abstractNumId w:val="86"/>
  </w:num>
  <w:num w:numId="38" w16cid:durableId="730268434">
    <w:abstractNumId w:val="59"/>
  </w:num>
  <w:num w:numId="39" w16cid:durableId="912199664">
    <w:abstractNumId w:val="47"/>
  </w:num>
  <w:num w:numId="40" w16cid:durableId="221675166">
    <w:abstractNumId w:val="37"/>
  </w:num>
  <w:num w:numId="41" w16cid:durableId="1270431161">
    <w:abstractNumId w:val="74"/>
  </w:num>
  <w:num w:numId="42" w16cid:durableId="2071415152">
    <w:abstractNumId w:val="123"/>
  </w:num>
  <w:num w:numId="43" w16cid:durableId="1947038977">
    <w:abstractNumId w:val="39"/>
  </w:num>
  <w:num w:numId="44" w16cid:durableId="789477492">
    <w:abstractNumId w:val="66"/>
  </w:num>
  <w:num w:numId="45" w16cid:durableId="428278002">
    <w:abstractNumId w:val="78"/>
  </w:num>
  <w:num w:numId="46" w16cid:durableId="1668708802">
    <w:abstractNumId w:val="82"/>
  </w:num>
  <w:num w:numId="47" w16cid:durableId="1017075674">
    <w:abstractNumId w:val="61"/>
  </w:num>
  <w:num w:numId="48" w16cid:durableId="1176463752">
    <w:abstractNumId w:val="28"/>
  </w:num>
  <w:num w:numId="49" w16cid:durableId="2082748078">
    <w:abstractNumId w:val="103"/>
  </w:num>
  <w:num w:numId="50" w16cid:durableId="757411209">
    <w:abstractNumId w:val="48"/>
  </w:num>
  <w:num w:numId="51" w16cid:durableId="1993830657">
    <w:abstractNumId w:val="107"/>
  </w:num>
  <w:num w:numId="52" w16cid:durableId="1088038922">
    <w:abstractNumId w:val="104"/>
  </w:num>
  <w:num w:numId="53" w16cid:durableId="444734608">
    <w:abstractNumId w:val="88"/>
  </w:num>
  <w:num w:numId="54" w16cid:durableId="2084985638">
    <w:abstractNumId w:val="50"/>
  </w:num>
  <w:num w:numId="55" w16cid:durableId="1246723484">
    <w:abstractNumId w:val="65"/>
  </w:num>
  <w:num w:numId="56" w16cid:durableId="1053890684">
    <w:abstractNumId w:val="38"/>
  </w:num>
  <w:num w:numId="57" w16cid:durableId="1406415128">
    <w:abstractNumId w:val="53"/>
  </w:num>
  <w:num w:numId="58" w16cid:durableId="1238247716">
    <w:abstractNumId w:val="131"/>
  </w:num>
  <w:num w:numId="59" w16cid:durableId="1387484377">
    <w:abstractNumId w:val="91"/>
  </w:num>
  <w:num w:numId="60" w16cid:durableId="890774578">
    <w:abstractNumId w:val="75"/>
  </w:num>
  <w:num w:numId="61" w16cid:durableId="1301035141">
    <w:abstractNumId w:val="1"/>
  </w:num>
  <w:num w:numId="62" w16cid:durableId="1401559181">
    <w:abstractNumId w:val="32"/>
  </w:num>
  <w:num w:numId="63" w16cid:durableId="535242204">
    <w:abstractNumId w:val="5"/>
  </w:num>
  <w:num w:numId="64" w16cid:durableId="1087648847">
    <w:abstractNumId w:val="0"/>
  </w:num>
  <w:num w:numId="65" w16cid:durableId="1147287051">
    <w:abstractNumId w:val="18"/>
  </w:num>
  <w:num w:numId="66" w16cid:durableId="1973052590">
    <w:abstractNumId w:val="111"/>
  </w:num>
  <w:num w:numId="67" w16cid:durableId="2034071161">
    <w:abstractNumId w:val="30"/>
  </w:num>
  <w:num w:numId="68" w16cid:durableId="757484628">
    <w:abstractNumId w:val="34"/>
  </w:num>
  <w:num w:numId="69" w16cid:durableId="1105423231">
    <w:abstractNumId w:val="81"/>
  </w:num>
  <w:num w:numId="70" w16cid:durableId="1492327370">
    <w:abstractNumId w:val="40"/>
  </w:num>
  <w:num w:numId="71" w16cid:durableId="1210847964">
    <w:abstractNumId w:val="58"/>
  </w:num>
  <w:num w:numId="72" w16cid:durableId="487943180">
    <w:abstractNumId w:val="68"/>
  </w:num>
  <w:num w:numId="73" w16cid:durableId="1074009426">
    <w:abstractNumId w:val="94"/>
  </w:num>
  <w:num w:numId="74" w16cid:durableId="243496322">
    <w:abstractNumId w:val="113"/>
  </w:num>
  <w:num w:numId="75" w16cid:durableId="1267735949">
    <w:abstractNumId w:val="125"/>
  </w:num>
  <w:num w:numId="76" w16cid:durableId="1618875306">
    <w:abstractNumId w:val="63"/>
  </w:num>
  <w:num w:numId="77" w16cid:durableId="1829054280">
    <w:abstractNumId w:val="4"/>
  </w:num>
  <w:num w:numId="78" w16cid:durableId="1824276853">
    <w:abstractNumId w:val="22"/>
  </w:num>
  <w:num w:numId="79" w16cid:durableId="867838665">
    <w:abstractNumId w:val="70"/>
  </w:num>
  <w:num w:numId="80" w16cid:durableId="248588457">
    <w:abstractNumId w:val="45"/>
  </w:num>
  <w:num w:numId="81" w16cid:durableId="1197888757">
    <w:abstractNumId w:val="102"/>
  </w:num>
  <w:num w:numId="82" w16cid:durableId="516964955">
    <w:abstractNumId w:val="19"/>
  </w:num>
  <w:num w:numId="83" w16cid:durableId="73596966">
    <w:abstractNumId w:val="130"/>
  </w:num>
  <w:num w:numId="84" w16cid:durableId="293340569">
    <w:abstractNumId w:val="110"/>
  </w:num>
  <w:num w:numId="85" w16cid:durableId="68887098">
    <w:abstractNumId w:val="21"/>
  </w:num>
  <w:num w:numId="86" w16cid:durableId="727269691">
    <w:abstractNumId w:val="17"/>
  </w:num>
  <w:num w:numId="87" w16cid:durableId="1944875801">
    <w:abstractNumId w:val="133"/>
  </w:num>
  <w:num w:numId="88" w16cid:durableId="473371634">
    <w:abstractNumId w:val="49"/>
  </w:num>
  <w:num w:numId="89" w16cid:durableId="1001661779">
    <w:abstractNumId w:val="122"/>
  </w:num>
  <w:num w:numId="90" w16cid:durableId="1989940935">
    <w:abstractNumId w:val="69"/>
  </w:num>
  <w:num w:numId="91" w16cid:durableId="771779817">
    <w:abstractNumId w:val="121"/>
  </w:num>
  <w:num w:numId="92" w16cid:durableId="328799134">
    <w:abstractNumId w:val="41"/>
  </w:num>
  <w:num w:numId="93" w16cid:durableId="1854108231">
    <w:abstractNumId w:val="72"/>
  </w:num>
  <w:num w:numId="94" w16cid:durableId="1321273353">
    <w:abstractNumId w:val="51"/>
  </w:num>
  <w:num w:numId="95" w16cid:durableId="5333102">
    <w:abstractNumId w:val="132"/>
  </w:num>
  <w:num w:numId="96" w16cid:durableId="571083641">
    <w:abstractNumId w:val="93"/>
  </w:num>
  <w:num w:numId="97" w16cid:durableId="2036929063">
    <w:abstractNumId w:val="116"/>
  </w:num>
  <w:num w:numId="98" w16cid:durableId="1688096675">
    <w:abstractNumId w:val="118"/>
  </w:num>
  <w:num w:numId="99" w16cid:durableId="2143502044">
    <w:abstractNumId w:val="25"/>
  </w:num>
  <w:num w:numId="100" w16cid:durableId="739136699">
    <w:abstractNumId w:val="14"/>
  </w:num>
  <w:num w:numId="101" w16cid:durableId="1795052586">
    <w:abstractNumId w:val="27"/>
  </w:num>
  <w:num w:numId="102" w16cid:durableId="2044749579">
    <w:abstractNumId w:val="6"/>
  </w:num>
  <w:num w:numId="103" w16cid:durableId="2027827784">
    <w:abstractNumId w:val="97"/>
  </w:num>
  <w:num w:numId="104" w16cid:durableId="1404572403">
    <w:abstractNumId w:val="117"/>
  </w:num>
  <w:num w:numId="105" w16cid:durableId="245001655">
    <w:abstractNumId w:val="55"/>
  </w:num>
  <w:num w:numId="106" w16cid:durableId="1929733952">
    <w:abstractNumId w:val="127"/>
  </w:num>
  <w:num w:numId="107" w16cid:durableId="504053805">
    <w:abstractNumId w:val="126"/>
  </w:num>
  <w:num w:numId="108" w16cid:durableId="548109052">
    <w:abstractNumId w:val="15"/>
  </w:num>
  <w:num w:numId="109" w16cid:durableId="1461876294">
    <w:abstractNumId w:val="98"/>
  </w:num>
  <w:num w:numId="110" w16cid:durableId="1495493069">
    <w:abstractNumId w:val="120"/>
  </w:num>
  <w:num w:numId="111" w16cid:durableId="418406661">
    <w:abstractNumId w:val="100"/>
  </w:num>
  <w:num w:numId="112" w16cid:durableId="376661885">
    <w:abstractNumId w:val="29"/>
  </w:num>
  <w:num w:numId="113" w16cid:durableId="736513761">
    <w:abstractNumId w:val="12"/>
  </w:num>
  <w:num w:numId="114" w16cid:durableId="1187862221">
    <w:abstractNumId w:val="85"/>
  </w:num>
  <w:num w:numId="115" w16cid:durableId="854685343">
    <w:abstractNumId w:val="36"/>
  </w:num>
  <w:num w:numId="116" w16cid:durableId="1591767337">
    <w:abstractNumId w:val="80"/>
  </w:num>
  <w:num w:numId="117" w16cid:durableId="419831230">
    <w:abstractNumId w:val="13"/>
  </w:num>
  <w:num w:numId="118" w16cid:durableId="1713068431">
    <w:abstractNumId w:val="67"/>
  </w:num>
  <w:num w:numId="119" w16cid:durableId="281688479">
    <w:abstractNumId w:val="62"/>
  </w:num>
  <w:num w:numId="120" w16cid:durableId="530142849">
    <w:abstractNumId w:val="57"/>
  </w:num>
  <w:num w:numId="121" w16cid:durableId="1519388251">
    <w:abstractNumId w:val="106"/>
  </w:num>
  <w:num w:numId="122" w16cid:durableId="177427737">
    <w:abstractNumId w:val="115"/>
  </w:num>
  <w:num w:numId="123" w16cid:durableId="666979766">
    <w:abstractNumId w:val="54"/>
  </w:num>
  <w:num w:numId="124" w16cid:durableId="125115670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7531810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4909423">
    <w:abstractNumId w:val="3"/>
  </w:num>
  <w:num w:numId="127" w16cid:durableId="19016465">
    <w:abstractNumId w:val="99"/>
  </w:num>
  <w:num w:numId="128" w16cid:durableId="1437947654">
    <w:abstractNumId w:val="9"/>
  </w:num>
  <w:num w:numId="129" w16cid:durableId="1537236764">
    <w:abstractNumId w:val="96"/>
  </w:num>
  <w:num w:numId="130" w16cid:durableId="279386066">
    <w:abstractNumId w:val="87"/>
  </w:num>
  <w:num w:numId="131" w16cid:durableId="1134955006">
    <w:abstractNumId w:val="10"/>
  </w:num>
  <w:num w:numId="132" w16cid:durableId="1623031690">
    <w:abstractNumId w:val="42"/>
  </w:num>
  <w:num w:numId="133" w16cid:durableId="2025553622">
    <w:abstractNumId w:val="26"/>
  </w:num>
  <w:num w:numId="134" w16cid:durableId="438070493">
    <w:abstractNumId w:val="35"/>
  </w:num>
  <w:num w:numId="135" w16cid:durableId="1240867078">
    <w:abstractNumId w:val="24"/>
  </w:num>
  <w:num w:numId="136" w16cid:durableId="1107500941">
    <w:abstractNumId w:val="2"/>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iello, Daniel">
    <w15:presenceInfo w15:providerId="AD" w15:userId="S::aiellod@cdfi.treas.gov::82250004-870e-45fb-a5fc-e4f0ea8ac2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59"/>
    <w:rsid w:val="0000065B"/>
    <w:rsid w:val="000006C1"/>
    <w:rsid w:val="00005A21"/>
    <w:rsid w:val="00005D33"/>
    <w:rsid w:val="0001330A"/>
    <w:rsid w:val="00013B87"/>
    <w:rsid w:val="00016989"/>
    <w:rsid w:val="000172CE"/>
    <w:rsid w:val="00023D4B"/>
    <w:rsid w:val="00025365"/>
    <w:rsid w:val="00026370"/>
    <w:rsid w:val="000302B8"/>
    <w:rsid w:val="0003202E"/>
    <w:rsid w:val="00036772"/>
    <w:rsid w:val="00037ABC"/>
    <w:rsid w:val="00041BAA"/>
    <w:rsid w:val="00053A80"/>
    <w:rsid w:val="0005656B"/>
    <w:rsid w:val="000705F2"/>
    <w:rsid w:val="00074285"/>
    <w:rsid w:val="000817EE"/>
    <w:rsid w:val="000825AA"/>
    <w:rsid w:val="000869A2"/>
    <w:rsid w:val="00087D3A"/>
    <w:rsid w:val="00095352"/>
    <w:rsid w:val="000961FB"/>
    <w:rsid w:val="000A12A5"/>
    <w:rsid w:val="000A1940"/>
    <w:rsid w:val="000A5564"/>
    <w:rsid w:val="000A6641"/>
    <w:rsid w:val="000B23FE"/>
    <w:rsid w:val="000B5813"/>
    <w:rsid w:val="000B60F3"/>
    <w:rsid w:val="000B73BB"/>
    <w:rsid w:val="000B7D36"/>
    <w:rsid w:val="000C4AFA"/>
    <w:rsid w:val="000C4B01"/>
    <w:rsid w:val="000C7272"/>
    <w:rsid w:val="000D5AA6"/>
    <w:rsid w:val="000E0B65"/>
    <w:rsid w:val="000E2B12"/>
    <w:rsid w:val="000E4349"/>
    <w:rsid w:val="000F12F8"/>
    <w:rsid w:val="001005E0"/>
    <w:rsid w:val="0010402E"/>
    <w:rsid w:val="00106494"/>
    <w:rsid w:val="00107E41"/>
    <w:rsid w:val="001135C7"/>
    <w:rsid w:val="00116370"/>
    <w:rsid w:val="00121C91"/>
    <w:rsid w:val="0012652F"/>
    <w:rsid w:val="00126D1A"/>
    <w:rsid w:val="00132ED7"/>
    <w:rsid w:val="001403D2"/>
    <w:rsid w:val="0014240C"/>
    <w:rsid w:val="00143BCD"/>
    <w:rsid w:val="00150FBC"/>
    <w:rsid w:val="00154C07"/>
    <w:rsid w:val="00156D71"/>
    <w:rsid w:val="00161FB2"/>
    <w:rsid w:val="00162246"/>
    <w:rsid w:val="001637D1"/>
    <w:rsid w:val="00175652"/>
    <w:rsid w:val="0017693E"/>
    <w:rsid w:val="00193A6C"/>
    <w:rsid w:val="00194F76"/>
    <w:rsid w:val="0019525E"/>
    <w:rsid w:val="001A2E4F"/>
    <w:rsid w:val="001A443F"/>
    <w:rsid w:val="001A4B85"/>
    <w:rsid w:val="001A5007"/>
    <w:rsid w:val="001B09EE"/>
    <w:rsid w:val="001B3EF0"/>
    <w:rsid w:val="001B5327"/>
    <w:rsid w:val="001C0D17"/>
    <w:rsid w:val="001C12D6"/>
    <w:rsid w:val="001C3337"/>
    <w:rsid w:val="001D065D"/>
    <w:rsid w:val="001D2293"/>
    <w:rsid w:val="001D267B"/>
    <w:rsid w:val="001E3523"/>
    <w:rsid w:val="001F34AB"/>
    <w:rsid w:val="00200059"/>
    <w:rsid w:val="00210C15"/>
    <w:rsid w:val="002122CB"/>
    <w:rsid w:val="002151F8"/>
    <w:rsid w:val="00224038"/>
    <w:rsid w:val="0023461F"/>
    <w:rsid w:val="00235A0F"/>
    <w:rsid w:val="0024324B"/>
    <w:rsid w:val="00255D97"/>
    <w:rsid w:val="00256275"/>
    <w:rsid w:val="002620A7"/>
    <w:rsid w:val="00265AEC"/>
    <w:rsid w:val="00273325"/>
    <w:rsid w:val="0027334C"/>
    <w:rsid w:val="00280606"/>
    <w:rsid w:val="00280D72"/>
    <w:rsid w:val="002826D2"/>
    <w:rsid w:val="00292450"/>
    <w:rsid w:val="00292C16"/>
    <w:rsid w:val="00297E78"/>
    <w:rsid w:val="002A1EA4"/>
    <w:rsid w:val="002A7609"/>
    <w:rsid w:val="002C0873"/>
    <w:rsid w:val="002C1F64"/>
    <w:rsid w:val="002C23D5"/>
    <w:rsid w:val="002C6399"/>
    <w:rsid w:val="002D3C3F"/>
    <w:rsid w:val="002D5230"/>
    <w:rsid w:val="002D570B"/>
    <w:rsid w:val="002E0877"/>
    <w:rsid w:val="002F36E1"/>
    <w:rsid w:val="002F46E9"/>
    <w:rsid w:val="002F572D"/>
    <w:rsid w:val="00302DA9"/>
    <w:rsid w:val="0031099A"/>
    <w:rsid w:val="00315974"/>
    <w:rsid w:val="0031757B"/>
    <w:rsid w:val="0032112A"/>
    <w:rsid w:val="00322CF4"/>
    <w:rsid w:val="0032329F"/>
    <w:rsid w:val="00327CB2"/>
    <w:rsid w:val="00332C26"/>
    <w:rsid w:val="00337E37"/>
    <w:rsid w:val="0035046D"/>
    <w:rsid w:val="0035458D"/>
    <w:rsid w:val="003559CE"/>
    <w:rsid w:val="00355CFF"/>
    <w:rsid w:val="00363EC9"/>
    <w:rsid w:val="00364794"/>
    <w:rsid w:val="00372C69"/>
    <w:rsid w:val="003749A8"/>
    <w:rsid w:val="00377BBA"/>
    <w:rsid w:val="00383272"/>
    <w:rsid w:val="00384A32"/>
    <w:rsid w:val="00385BE6"/>
    <w:rsid w:val="00387064"/>
    <w:rsid w:val="003A0A2D"/>
    <w:rsid w:val="003A369B"/>
    <w:rsid w:val="003A5E87"/>
    <w:rsid w:val="003A6195"/>
    <w:rsid w:val="003A61A8"/>
    <w:rsid w:val="003A72CA"/>
    <w:rsid w:val="003A7A86"/>
    <w:rsid w:val="003B244A"/>
    <w:rsid w:val="003C7C9E"/>
    <w:rsid w:val="003D1E54"/>
    <w:rsid w:val="003D6961"/>
    <w:rsid w:val="003E06BA"/>
    <w:rsid w:val="003E1DA1"/>
    <w:rsid w:val="003E44D6"/>
    <w:rsid w:val="003E55B1"/>
    <w:rsid w:val="003F0E3F"/>
    <w:rsid w:val="003F320E"/>
    <w:rsid w:val="003F4B9D"/>
    <w:rsid w:val="003F67DD"/>
    <w:rsid w:val="004058A3"/>
    <w:rsid w:val="0040656C"/>
    <w:rsid w:val="00407CD5"/>
    <w:rsid w:val="00410B44"/>
    <w:rsid w:val="00417474"/>
    <w:rsid w:val="004209AD"/>
    <w:rsid w:val="0042295E"/>
    <w:rsid w:val="00435C7D"/>
    <w:rsid w:val="0043764F"/>
    <w:rsid w:val="00441DE7"/>
    <w:rsid w:val="00441F7A"/>
    <w:rsid w:val="00443CB4"/>
    <w:rsid w:val="0044437A"/>
    <w:rsid w:val="00444C38"/>
    <w:rsid w:val="00444E27"/>
    <w:rsid w:val="0044516C"/>
    <w:rsid w:val="00450EBC"/>
    <w:rsid w:val="00457A03"/>
    <w:rsid w:val="00460A80"/>
    <w:rsid w:val="00463EC8"/>
    <w:rsid w:val="004748C4"/>
    <w:rsid w:val="00481536"/>
    <w:rsid w:val="00483CB7"/>
    <w:rsid w:val="004871D4"/>
    <w:rsid w:val="0049098F"/>
    <w:rsid w:val="004917A0"/>
    <w:rsid w:val="004920C3"/>
    <w:rsid w:val="00496855"/>
    <w:rsid w:val="004A27A5"/>
    <w:rsid w:val="004B6CF7"/>
    <w:rsid w:val="004C1C31"/>
    <w:rsid w:val="004C572A"/>
    <w:rsid w:val="004D1A2C"/>
    <w:rsid w:val="004D1D81"/>
    <w:rsid w:val="004D2F16"/>
    <w:rsid w:val="004D32BA"/>
    <w:rsid w:val="004E1AFA"/>
    <w:rsid w:val="004E42AB"/>
    <w:rsid w:val="004E586E"/>
    <w:rsid w:val="004E5AF6"/>
    <w:rsid w:val="00502689"/>
    <w:rsid w:val="005049D3"/>
    <w:rsid w:val="005062E0"/>
    <w:rsid w:val="00525730"/>
    <w:rsid w:val="00525E91"/>
    <w:rsid w:val="00526A3A"/>
    <w:rsid w:val="00535468"/>
    <w:rsid w:val="00542EF1"/>
    <w:rsid w:val="00550449"/>
    <w:rsid w:val="00555445"/>
    <w:rsid w:val="00556393"/>
    <w:rsid w:val="00560ACA"/>
    <w:rsid w:val="005738F0"/>
    <w:rsid w:val="005761BF"/>
    <w:rsid w:val="005829D9"/>
    <w:rsid w:val="00590312"/>
    <w:rsid w:val="00595111"/>
    <w:rsid w:val="00595509"/>
    <w:rsid w:val="00595B75"/>
    <w:rsid w:val="00595E12"/>
    <w:rsid w:val="005A7CDC"/>
    <w:rsid w:val="005B6EE5"/>
    <w:rsid w:val="005B788B"/>
    <w:rsid w:val="005C0EDB"/>
    <w:rsid w:val="005D3D1C"/>
    <w:rsid w:val="005D53C3"/>
    <w:rsid w:val="005E0FD2"/>
    <w:rsid w:val="005E10F6"/>
    <w:rsid w:val="005E61AA"/>
    <w:rsid w:val="005E6230"/>
    <w:rsid w:val="005E6560"/>
    <w:rsid w:val="005F04C2"/>
    <w:rsid w:val="006030FF"/>
    <w:rsid w:val="00606CC4"/>
    <w:rsid w:val="00621116"/>
    <w:rsid w:val="00623FEA"/>
    <w:rsid w:val="00627B37"/>
    <w:rsid w:val="0063164C"/>
    <w:rsid w:val="0063293E"/>
    <w:rsid w:val="00637E57"/>
    <w:rsid w:val="006426A7"/>
    <w:rsid w:val="00645A2A"/>
    <w:rsid w:val="00650D51"/>
    <w:rsid w:val="00651548"/>
    <w:rsid w:val="00652E06"/>
    <w:rsid w:val="006569F1"/>
    <w:rsid w:val="00667B4D"/>
    <w:rsid w:val="006710FD"/>
    <w:rsid w:val="006823C0"/>
    <w:rsid w:val="00682BC0"/>
    <w:rsid w:val="006835B4"/>
    <w:rsid w:val="00683998"/>
    <w:rsid w:val="00683C90"/>
    <w:rsid w:val="006866E2"/>
    <w:rsid w:val="006A44D1"/>
    <w:rsid w:val="006B3BD9"/>
    <w:rsid w:val="006B3D83"/>
    <w:rsid w:val="006B4515"/>
    <w:rsid w:val="006B4A41"/>
    <w:rsid w:val="006B51AF"/>
    <w:rsid w:val="006B5702"/>
    <w:rsid w:val="006C3851"/>
    <w:rsid w:val="006C416C"/>
    <w:rsid w:val="006C49E8"/>
    <w:rsid w:val="006C55ED"/>
    <w:rsid w:val="006D25B2"/>
    <w:rsid w:val="006D44F7"/>
    <w:rsid w:val="006D7697"/>
    <w:rsid w:val="006E2B78"/>
    <w:rsid w:val="006E3186"/>
    <w:rsid w:val="006F045B"/>
    <w:rsid w:val="006F4A5C"/>
    <w:rsid w:val="006F72C7"/>
    <w:rsid w:val="007011AE"/>
    <w:rsid w:val="007028BF"/>
    <w:rsid w:val="0070347F"/>
    <w:rsid w:val="00703B17"/>
    <w:rsid w:val="00706DFB"/>
    <w:rsid w:val="00710146"/>
    <w:rsid w:val="00711984"/>
    <w:rsid w:val="00712451"/>
    <w:rsid w:val="00714B05"/>
    <w:rsid w:val="00720BB7"/>
    <w:rsid w:val="00721D98"/>
    <w:rsid w:val="00722D93"/>
    <w:rsid w:val="0072390A"/>
    <w:rsid w:val="00725E82"/>
    <w:rsid w:val="00726322"/>
    <w:rsid w:val="00732F4C"/>
    <w:rsid w:val="00740597"/>
    <w:rsid w:val="00741048"/>
    <w:rsid w:val="00743CE2"/>
    <w:rsid w:val="00744883"/>
    <w:rsid w:val="00744A37"/>
    <w:rsid w:val="007520E2"/>
    <w:rsid w:val="0075444D"/>
    <w:rsid w:val="00755821"/>
    <w:rsid w:val="00766DEA"/>
    <w:rsid w:val="00770CC7"/>
    <w:rsid w:val="0077216E"/>
    <w:rsid w:val="00781F07"/>
    <w:rsid w:val="00782D9D"/>
    <w:rsid w:val="00784E1D"/>
    <w:rsid w:val="007873AF"/>
    <w:rsid w:val="00791EB5"/>
    <w:rsid w:val="007958E1"/>
    <w:rsid w:val="007A3EFC"/>
    <w:rsid w:val="007A7956"/>
    <w:rsid w:val="007B036D"/>
    <w:rsid w:val="007B3E7F"/>
    <w:rsid w:val="007B5240"/>
    <w:rsid w:val="007B5B45"/>
    <w:rsid w:val="007C56FE"/>
    <w:rsid w:val="007C6746"/>
    <w:rsid w:val="007C7503"/>
    <w:rsid w:val="007D24E0"/>
    <w:rsid w:val="007D5899"/>
    <w:rsid w:val="007D7177"/>
    <w:rsid w:val="007E27C0"/>
    <w:rsid w:val="007E34F9"/>
    <w:rsid w:val="007E418D"/>
    <w:rsid w:val="007E691C"/>
    <w:rsid w:val="007F0EF5"/>
    <w:rsid w:val="007F4EF9"/>
    <w:rsid w:val="007F5FB8"/>
    <w:rsid w:val="00800746"/>
    <w:rsid w:val="00801CD2"/>
    <w:rsid w:val="008026E7"/>
    <w:rsid w:val="0080776E"/>
    <w:rsid w:val="00810A29"/>
    <w:rsid w:val="00811A03"/>
    <w:rsid w:val="00813E10"/>
    <w:rsid w:val="00817002"/>
    <w:rsid w:val="00820E4F"/>
    <w:rsid w:val="00821DFA"/>
    <w:rsid w:val="008263D5"/>
    <w:rsid w:val="00827A66"/>
    <w:rsid w:val="00831D20"/>
    <w:rsid w:val="008402F6"/>
    <w:rsid w:val="00842C37"/>
    <w:rsid w:val="0084788E"/>
    <w:rsid w:val="00851E57"/>
    <w:rsid w:val="00851F2F"/>
    <w:rsid w:val="0085484E"/>
    <w:rsid w:val="00860935"/>
    <w:rsid w:val="008617A2"/>
    <w:rsid w:val="00865EF3"/>
    <w:rsid w:val="008667E1"/>
    <w:rsid w:val="00875775"/>
    <w:rsid w:val="00875FB7"/>
    <w:rsid w:val="00876C6B"/>
    <w:rsid w:val="00876D06"/>
    <w:rsid w:val="00883533"/>
    <w:rsid w:val="008912B7"/>
    <w:rsid w:val="00891B35"/>
    <w:rsid w:val="00892C4C"/>
    <w:rsid w:val="008933D7"/>
    <w:rsid w:val="00897CB2"/>
    <w:rsid w:val="008A0DC6"/>
    <w:rsid w:val="008A3D7F"/>
    <w:rsid w:val="008A5993"/>
    <w:rsid w:val="008A7A28"/>
    <w:rsid w:val="008B01EA"/>
    <w:rsid w:val="008B11A3"/>
    <w:rsid w:val="008B36D9"/>
    <w:rsid w:val="008B4578"/>
    <w:rsid w:val="008B6AD0"/>
    <w:rsid w:val="008C1871"/>
    <w:rsid w:val="008C532C"/>
    <w:rsid w:val="008D1F2C"/>
    <w:rsid w:val="008D208F"/>
    <w:rsid w:val="008D5B7D"/>
    <w:rsid w:val="008E4A0B"/>
    <w:rsid w:val="008E4D9F"/>
    <w:rsid w:val="008F2148"/>
    <w:rsid w:val="008F5BBA"/>
    <w:rsid w:val="008F7168"/>
    <w:rsid w:val="00905310"/>
    <w:rsid w:val="00907069"/>
    <w:rsid w:val="00911F8E"/>
    <w:rsid w:val="00914F72"/>
    <w:rsid w:val="009207DB"/>
    <w:rsid w:val="00922538"/>
    <w:rsid w:val="009244D8"/>
    <w:rsid w:val="00926F70"/>
    <w:rsid w:val="009344C9"/>
    <w:rsid w:val="009373CA"/>
    <w:rsid w:val="009403D1"/>
    <w:rsid w:val="009404A1"/>
    <w:rsid w:val="009464A4"/>
    <w:rsid w:val="009519CB"/>
    <w:rsid w:val="009658F8"/>
    <w:rsid w:val="00976734"/>
    <w:rsid w:val="009845E0"/>
    <w:rsid w:val="00990C5F"/>
    <w:rsid w:val="00994B47"/>
    <w:rsid w:val="009A44F6"/>
    <w:rsid w:val="009A79AD"/>
    <w:rsid w:val="009A7EB7"/>
    <w:rsid w:val="009B28DE"/>
    <w:rsid w:val="009B3496"/>
    <w:rsid w:val="009B5510"/>
    <w:rsid w:val="009C1300"/>
    <w:rsid w:val="009C1329"/>
    <w:rsid w:val="009C235D"/>
    <w:rsid w:val="009C33E9"/>
    <w:rsid w:val="009C44B8"/>
    <w:rsid w:val="009C6893"/>
    <w:rsid w:val="009D03B5"/>
    <w:rsid w:val="009D1BDB"/>
    <w:rsid w:val="009D2532"/>
    <w:rsid w:val="009D6303"/>
    <w:rsid w:val="009D6A6C"/>
    <w:rsid w:val="009E299F"/>
    <w:rsid w:val="009E4402"/>
    <w:rsid w:val="009F35F0"/>
    <w:rsid w:val="00A017FF"/>
    <w:rsid w:val="00A02C57"/>
    <w:rsid w:val="00A04793"/>
    <w:rsid w:val="00A07A5A"/>
    <w:rsid w:val="00A11969"/>
    <w:rsid w:val="00A20BA7"/>
    <w:rsid w:val="00A21056"/>
    <w:rsid w:val="00A23346"/>
    <w:rsid w:val="00A268E9"/>
    <w:rsid w:val="00A26973"/>
    <w:rsid w:val="00A3054B"/>
    <w:rsid w:val="00A333E8"/>
    <w:rsid w:val="00A36D7F"/>
    <w:rsid w:val="00A3726D"/>
    <w:rsid w:val="00A4293B"/>
    <w:rsid w:val="00A42CFA"/>
    <w:rsid w:val="00A4419C"/>
    <w:rsid w:val="00A47394"/>
    <w:rsid w:val="00A55248"/>
    <w:rsid w:val="00A63B8A"/>
    <w:rsid w:val="00A741F7"/>
    <w:rsid w:val="00A74BB3"/>
    <w:rsid w:val="00A7791D"/>
    <w:rsid w:val="00A81E81"/>
    <w:rsid w:val="00A86089"/>
    <w:rsid w:val="00A86C87"/>
    <w:rsid w:val="00A87D95"/>
    <w:rsid w:val="00A91699"/>
    <w:rsid w:val="00A91BBD"/>
    <w:rsid w:val="00A958FD"/>
    <w:rsid w:val="00AA0F15"/>
    <w:rsid w:val="00AA1413"/>
    <w:rsid w:val="00AA321C"/>
    <w:rsid w:val="00AA3FE7"/>
    <w:rsid w:val="00AA4E46"/>
    <w:rsid w:val="00AA6CCA"/>
    <w:rsid w:val="00AB2216"/>
    <w:rsid w:val="00AB7A1D"/>
    <w:rsid w:val="00AB7E4D"/>
    <w:rsid w:val="00AC02D7"/>
    <w:rsid w:val="00AC04FC"/>
    <w:rsid w:val="00AC7BC5"/>
    <w:rsid w:val="00AD35E4"/>
    <w:rsid w:val="00AD536A"/>
    <w:rsid w:val="00AE5478"/>
    <w:rsid w:val="00AF483B"/>
    <w:rsid w:val="00AF5452"/>
    <w:rsid w:val="00B038B0"/>
    <w:rsid w:val="00B07435"/>
    <w:rsid w:val="00B11684"/>
    <w:rsid w:val="00B123C7"/>
    <w:rsid w:val="00B124B8"/>
    <w:rsid w:val="00B136E6"/>
    <w:rsid w:val="00B14D3D"/>
    <w:rsid w:val="00B16490"/>
    <w:rsid w:val="00B17022"/>
    <w:rsid w:val="00B202E7"/>
    <w:rsid w:val="00B206C0"/>
    <w:rsid w:val="00B23F14"/>
    <w:rsid w:val="00B23F51"/>
    <w:rsid w:val="00B24D71"/>
    <w:rsid w:val="00B32CCE"/>
    <w:rsid w:val="00B36517"/>
    <w:rsid w:val="00B3691A"/>
    <w:rsid w:val="00B36ECF"/>
    <w:rsid w:val="00B4610E"/>
    <w:rsid w:val="00B47627"/>
    <w:rsid w:val="00B47A53"/>
    <w:rsid w:val="00B57D67"/>
    <w:rsid w:val="00B60984"/>
    <w:rsid w:val="00B63074"/>
    <w:rsid w:val="00B64B0A"/>
    <w:rsid w:val="00B6682C"/>
    <w:rsid w:val="00B7062A"/>
    <w:rsid w:val="00B720C5"/>
    <w:rsid w:val="00B72CD9"/>
    <w:rsid w:val="00B81A57"/>
    <w:rsid w:val="00B90FD7"/>
    <w:rsid w:val="00B927CD"/>
    <w:rsid w:val="00B95221"/>
    <w:rsid w:val="00B95FFA"/>
    <w:rsid w:val="00B96331"/>
    <w:rsid w:val="00B9728E"/>
    <w:rsid w:val="00BA4492"/>
    <w:rsid w:val="00BA4B96"/>
    <w:rsid w:val="00BA7C83"/>
    <w:rsid w:val="00BB479D"/>
    <w:rsid w:val="00BC0A58"/>
    <w:rsid w:val="00BC18FB"/>
    <w:rsid w:val="00BC7851"/>
    <w:rsid w:val="00BD0157"/>
    <w:rsid w:val="00BE0BCE"/>
    <w:rsid w:val="00BE5837"/>
    <w:rsid w:val="00BF3110"/>
    <w:rsid w:val="00BF400D"/>
    <w:rsid w:val="00BF45D8"/>
    <w:rsid w:val="00C003CF"/>
    <w:rsid w:val="00C00DE8"/>
    <w:rsid w:val="00C02B7F"/>
    <w:rsid w:val="00C05077"/>
    <w:rsid w:val="00C142B7"/>
    <w:rsid w:val="00C169E4"/>
    <w:rsid w:val="00C222FD"/>
    <w:rsid w:val="00C233D7"/>
    <w:rsid w:val="00C34B44"/>
    <w:rsid w:val="00C34F1E"/>
    <w:rsid w:val="00C3551A"/>
    <w:rsid w:val="00C37F00"/>
    <w:rsid w:val="00C423EC"/>
    <w:rsid w:val="00C5096E"/>
    <w:rsid w:val="00C51207"/>
    <w:rsid w:val="00C52CFB"/>
    <w:rsid w:val="00C540E4"/>
    <w:rsid w:val="00C545E2"/>
    <w:rsid w:val="00C60D0B"/>
    <w:rsid w:val="00C62368"/>
    <w:rsid w:val="00C635D0"/>
    <w:rsid w:val="00C67AE2"/>
    <w:rsid w:val="00C712C1"/>
    <w:rsid w:val="00C71E87"/>
    <w:rsid w:val="00C720D7"/>
    <w:rsid w:val="00C75201"/>
    <w:rsid w:val="00C75B18"/>
    <w:rsid w:val="00C76FA9"/>
    <w:rsid w:val="00C770DF"/>
    <w:rsid w:val="00C77DE6"/>
    <w:rsid w:val="00C806B8"/>
    <w:rsid w:val="00C83396"/>
    <w:rsid w:val="00C83F58"/>
    <w:rsid w:val="00C85049"/>
    <w:rsid w:val="00C908EA"/>
    <w:rsid w:val="00C96C0D"/>
    <w:rsid w:val="00CA38E6"/>
    <w:rsid w:val="00CA45D0"/>
    <w:rsid w:val="00CA47B7"/>
    <w:rsid w:val="00CA6011"/>
    <w:rsid w:val="00CA79E1"/>
    <w:rsid w:val="00CB083B"/>
    <w:rsid w:val="00CB209A"/>
    <w:rsid w:val="00CB226A"/>
    <w:rsid w:val="00CB6CFE"/>
    <w:rsid w:val="00CC1C19"/>
    <w:rsid w:val="00CD15B7"/>
    <w:rsid w:val="00CD16B6"/>
    <w:rsid w:val="00CD172E"/>
    <w:rsid w:val="00CD52EB"/>
    <w:rsid w:val="00CE16FE"/>
    <w:rsid w:val="00CE1F82"/>
    <w:rsid w:val="00CE2E8B"/>
    <w:rsid w:val="00CF0BFF"/>
    <w:rsid w:val="00CF0DCB"/>
    <w:rsid w:val="00CF1B8A"/>
    <w:rsid w:val="00CF6C23"/>
    <w:rsid w:val="00D0209A"/>
    <w:rsid w:val="00D02836"/>
    <w:rsid w:val="00D04BF5"/>
    <w:rsid w:val="00D04DA4"/>
    <w:rsid w:val="00D05502"/>
    <w:rsid w:val="00D057D1"/>
    <w:rsid w:val="00D071A9"/>
    <w:rsid w:val="00D0785C"/>
    <w:rsid w:val="00D10136"/>
    <w:rsid w:val="00D10390"/>
    <w:rsid w:val="00D15729"/>
    <w:rsid w:val="00D1632A"/>
    <w:rsid w:val="00D17B49"/>
    <w:rsid w:val="00D2285A"/>
    <w:rsid w:val="00D36560"/>
    <w:rsid w:val="00D373DB"/>
    <w:rsid w:val="00D40A04"/>
    <w:rsid w:val="00D42DA0"/>
    <w:rsid w:val="00D457F6"/>
    <w:rsid w:val="00D53A17"/>
    <w:rsid w:val="00D54DE9"/>
    <w:rsid w:val="00D60630"/>
    <w:rsid w:val="00D60C80"/>
    <w:rsid w:val="00D6255C"/>
    <w:rsid w:val="00D63841"/>
    <w:rsid w:val="00D63987"/>
    <w:rsid w:val="00D75A5D"/>
    <w:rsid w:val="00D75D7A"/>
    <w:rsid w:val="00D8169B"/>
    <w:rsid w:val="00D81C71"/>
    <w:rsid w:val="00D829F0"/>
    <w:rsid w:val="00D90751"/>
    <w:rsid w:val="00DA0CB9"/>
    <w:rsid w:val="00DA37B2"/>
    <w:rsid w:val="00DA5BFA"/>
    <w:rsid w:val="00DA646D"/>
    <w:rsid w:val="00DB1633"/>
    <w:rsid w:val="00DB703D"/>
    <w:rsid w:val="00DD35DD"/>
    <w:rsid w:val="00DE43E0"/>
    <w:rsid w:val="00DE4A8C"/>
    <w:rsid w:val="00DE503E"/>
    <w:rsid w:val="00DE55D0"/>
    <w:rsid w:val="00DE62D0"/>
    <w:rsid w:val="00DE6C3C"/>
    <w:rsid w:val="00E03632"/>
    <w:rsid w:val="00E04EFE"/>
    <w:rsid w:val="00E06975"/>
    <w:rsid w:val="00E06AB8"/>
    <w:rsid w:val="00E1790D"/>
    <w:rsid w:val="00E20EC7"/>
    <w:rsid w:val="00E26214"/>
    <w:rsid w:val="00E26C56"/>
    <w:rsid w:val="00E27BD3"/>
    <w:rsid w:val="00E30B8E"/>
    <w:rsid w:val="00E31DFB"/>
    <w:rsid w:val="00E31E1C"/>
    <w:rsid w:val="00E33A65"/>
    <w:rsid w:val="00E36FDB"/>
    <w:rsid w:val="00E40851"/>
    <w:rsid w:val="00E41266"/>
    <w:rsid w:val="00E4694E"/>
    <w:rsid w:val="00E508F0"/>
    <w:rsid w:val="00E53700"/>
    <w:rsid w:val="00E6159D"/>
    <w:rsid w:val="00E666CB"/>
    <w:rsid w:val="00E749C4"/>
    <w:rsid w:val="00E74D59"/>
    <w:rsid w:val="00E77594"/>
    <w:rsid w:val="00E77818"/>
    <w:rsid w:val="00E849BF"/>
    <w:rsid w:val="00E90408"/>
    <w:rsid w:val="00E913F5"/>
    <w:rsid w:val="00E916A8"/>
    <w:rsid w:val="00E963A0"/>
    <w:rsid w:val="00E97AA9"/>
    <w:rsid w:val="00EA0FC1"/>
    <w:rsid w:val="00EA5A5A"/>
    <w:rsid w:val="00EB1479"/>
    <w:rsid w:val="00EB27D6"/>
    <w:rsid w:val="00EB353C"/>
    <w:rsid w:val="00EC08A5"/>
    <w:rsid w:val="00EC2A00"/>
    <w:rsid w:val="00EC678F"/>
    <w:rsid w:val="00ED1F96"/>
    <w:rsid w:val="00ED2A74"/>
    <w:rsid w:val="00ED2C92"/>
    <w:rsid w:val="00ED41ED"/>
    <w:rsid w:val="00ED61AC"/>
    <w:rsid w:val="00EE0D83"/>
    <w:rsid w:val="00EE2041"/>
    <w:rsid w:val="00EE26D8"/>
    <w:rsid w:val="00EE600D"/>
    <w:rsid w:val="00EF348E"/>
    <w:rsid w:val="00EF38E6"/>
    <w:rsid w:val="00EF50B7"/>
    <w:rsid w:val="00EF74F8"/>
    <w:rsid w:val="00EF7E0B"/>
    <w:rsid w:val="00F007D8"/>
    <w:rsid w:val="00F010D8"/>
    <w:rsid w:val="00F02C77"/>
    <w:rsid w:val="00F072A3"/>
    <w:rsid w:val="00F1067F"/>
    <w:rsid w:val="00F131A5"/>
    <w:rsid w:val="00F17B27"/>
    <w:rsid w:val="00F17F95"/>
    <w:rsid w:val="00F2354C"/>
    <w:rsid w:val="00F239D8"/>
    <w:rsid w:val="00F26FE6"/>
    <w:rsid w:val="00F345AF"/>
    <w:rsid w:val="00F4119D"/>
    <w:rsid w:val="00F425AF"/>
    <w:rsid w:val="00F44CE0"/>
    <w:rsid w:val="00F4711A"/>
    <w:rsid w:val="00F55B94"/>
    <w:rsid w:val="00F644EA"/>
    <w:rsid w:val="00F74DF1"/>
    <w:rsid w:val="00F75100"/>
    <w:rsid w:val="00F76925"/>
    <w:rsid w:val="00F809CB"/>
    <w:rsid w:val="00F82C29"/>
    <w:rsid w:val="00F8791E"/>
    <w:rsid w:val="00F915F4"/>
    <w:rsid w:val="00F95831"/>
    <w:rsid w:val="00F96B40"/>
    <w:rsid w:val="00F97DCB"/>
    <w:rsid w:val="00FA1EC4"/>
    <w:rsid w:val="00FA4A65"/>
    <w:rsid w:val="00FA5141"/>
    <w:rsid w:val="00FB1B6E"/>
    <w:rsid w:val="00FB53FC"/>
    <w:rsid w:val="00FB5C18"/>
    <w:rsid w:val="00FB6B3C"/>
    <w:rsid w:val="00FC3CB8"/>
    <w:rsid w:val="00FD4EC7"/>
    <w:rsid w:val="00FE0F1A"/>
    <w:rsid w:val="00FE4F11"/>
    <w:rsid w:val="00FE5A47"/>
    <w:rsid w:val="137989E7"/>
    <w:rsid w:val="19D9BBA3"/>
    <w:rsid w:val="57236E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DBA4C5"/>
  <w15:docId w15:val="{ED5195C8-ABAC-4E88-8488-3F2517AF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3D5"/>
  </w:style>
  <w:style w:type="paragraph" w:styleId="Heading1">
    <w:name w:val="heading 1"/>
    <w:basedOn w:val="Normal"/>
    <w:next w:val="Normal"/>
    <w:link w:val="Heading1Char"/>
    <w:uiPriority w:val="9"/>
    <w:qFormat/>
    <w:pPr>
      <w:keepNext/>
      <w:keepLines/>
      <w:spacing w:before="240" w:after="0"/>
      <w:outlineLvl w:val="0"/>
    </w:pPr>
    <w:rPr>
      <w:color w:val="2E75B5"/>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Tahoma" w:eastAsia="Tahoma" w:hAnsi="Tahoma" w:cs="Tahoma"/>
      <w:b/>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91">
    <w:name w:val="391"/>
    <w:basedOn w:val="TableNormal"/>
    <w:pPr>
      <w:spacing w:after="0" w:line="240" w:lineRule="auto"/>
    </w:pPr>
    <w:tblPr>
      <w:tblStyleRowBandSize w:val="1"/>
      <w:tblStyleColBandSize w:val="1"/>
    </w:tblPr>
  </w:style>
  <w:style w:type="table" w:customStyle="1" w:styleId="390">
    <w:name w:val="390"/>
    <w:basedOn w:val="TableNormal"/>
    <w:pPr>
      <w:spacing w:after="0" w:line="240" w:lineRule="auto"/>
    </w:pPr>
    <w:tblPr>
      <w:tblStyleRowBandSize w:val="1"/>
      <w:tblStyleColBandSize w:val="1"/>
    </w:tblPr>
  </w:style>
  <w:style w:type="table" w:customStyle="1" w:styleId="389">
    <w:name w:val="389"/>
    <w:basedOn w:val="TableNormal"/>
    <w:pPr>
      <w:spacing w:after="0" w:line="240" w:lineRule="auto"/>
    </w:pPr>
    <w:tblPr>
      <w:tblStyleRowBandSize w:val="1"/>
      <w:tblStyleColBandSize w:val="1"/>
    </w:tblPr>
  </w:style>
  <w:style w:type="table" w:customStyle="1" w:styleId="388">
    <w:name w:val="388"/>
    <w:basedOn w:val="TableNormal"/>
    <w:pPr>
      <w:spacing w:after="0" w:line="240" w:lineRule="auto"/>
    </w:pPr>
    <w:tblPr>
      <w:tblStyleRowBandSize w:val="1"/>
      <w:tblStyleColBandSize w:val="1"/>
    </w:tblPr>
  </w:style>
  <w:style w:type="table" w:customStyle="1" w:styleId="387">
    <w:name w:val="387"/>
    <w:basedOn w:val="TableNormal"/>
    <w:pPr>
      <w:spacing w:after="0" w:line="240" w:lineRule="auto"/>
    </w:pPr>
    <w:tblPr>
      <w:tblStyleRowBandSize w:val="1"/>
      <w:tblStyleColBandSize w:val="1"/>
    </w:tblPr>
  </w:style>
  <w:style w:type="table" w:customStyle="1" w:styleId="386">
    <w:name w:val="386"/>
    <w:basedOn w:val="TableNormal"/>
    <w:pPr>
      <w:spacing w:after="0" w:line="240" w:lineRule="auto"/>
    </w:pPr>
    <w:tblPr>
      <w:tblStyleRowBandSize w:val="1"/>
      <w:tblStyleColBandSize w:val="1"/>
    </w:tblPr>
  </w:style>
  <w:style w:type="table" w:customStyle="1" w:styleId="385">
    <w:name w:val="385"/>
    <w:basedOn w:val="TableNormal"/>
    <w:pPr>
      <w:spacing w:after="0" w:line="240" w:lineRule="auto"/>
    </w:pPr>
    <w:tblPr>
      <w:tblStyleRowBandSize w:val="1"/>
      <w:tblStyleColBandSize w:val="1"/>
    </w:tblPr>
  </w:style>
  <w:style w:type="table" w:customStyle="1" w:styleId="384">
    <w:name w:val="384"/>
    <w:basedOn w:val="TableNormal"/>
    <w:pPr>
      <w:spacing w:after="0" w:line="240" w:lineRule="auto"/>
    </w:pPr>
    <w:tblPr>
      <w:tblStyleRowBandSize w:val="1"/>
      <w:tblStyleColBandSize w:val="1"/>
    </w:tblPr>
  </w:style>
  <w:style w:type="table" w:customStyle="1" w:styleId="383">
    <w:name w:val="383"/>
    <w:basedOn w:val="TableNormal"/>
    <w:pPr>
      <w:spacing w:after="0" w:line="240" w:lineRule="auto"/>
    </w:pPr>
    <w:tblPr>
      <w:tblStyleRowBandSize w:val="1"/>
      <w:tblStyleColBandSize w:val="1"/>
    </w:tblPr>
  </w:style>
  <w:style w:type="table" w:customStyle="1" w:styleId="382">
    <w:name w:val="382"/>
    <w:basedOn w:val="TableNormal"/>
    <w:pPr>
      <w:spacing w:after="0" w:line="240" w:lineRule="auto"/>
    </w:pPr>
    <w:tblPr>
      <w:tblStyleRowBandSize w:val="1"/>
      <w:tblStyleColBandSize w:val="1"/>
    </w:tblPr>
  </w:style>
  <w:style w:type="table" w:customStyle="1" w:styleId="381">
    <w:name w:val="381"/>
    <w:basedOn w:val="TableNormal"/>
    <w:pPr>
      <w:spacing w:after="0" w:line="240" w:lineRule="auto"/>
    </w:pPr>
    <w:tblPr>
      <w:tblStyleRowBandSize w:val="1"/>
      <w:tblStyleColBandSize w:val="1"/>
    </w:tblPr>
  </w:style>
  <w:style w:type="table" w:customStyle="1" w:styleId="380">
    <w:name w:val="380"/>
    <w:basedOn w:val="TableNormal"/>
    <w:pPr>
      <w:spacing w:after="0" w:line="240" w:lineRule="auto"/>
    </w:pPr>
    <w:tblPr>
      <w:tblStyleRowBandSize w:val="1"/>
      <w:tblStyleColBandSize w:val="1"/>
    </w:tblPr>
  </w:style>
  <w:style w:type="table" w:customStyle="1" w:styleId="379">
    <w:name w:val="379"/>
    <w:basedOn w:val="TableNormal"/>
    <w:pPr>
      <w:spacing w:after="0" w:line="240" w:lineRule="auto"/>
    </w:pPr>
    <w:tblPr>
      <w:tblStyleRowBandSize w:val="1"/>
      <w:tblStyleColBandSize w:val="1"/>
    </w:tblPr>
  </w:style>
  <w:style w:type="table" w:customStyle="1" w:styleId="378">
    <w:name w:val="378"/>
    <w:basedOn w:val="TableNormal"/>
    <w:pPr>
      <w:spacing w:after="0" w:line="240" w:lineRule="auto"/>
    </w:pPr>
    <w:tblPr>
      <w:tblStyleRowBandSize w:val="1"/>
      <w:tblStyleColBandSize w:val="1"/>
    </w:tblPr>
  </w:style>
  <w:style w:type="table" w:customStyle="1" w:styleId="377">
    <w:name w:val="377"/>
    <w:basedOn w:val="TableNormal"/>
    <w:pPr>
      <w:spacing w:after="0" w:line="240" w:lineRule="auto"/>
    </w:pPr>
    <w:tblPr>
      <w:tblStyleRowBandSize w:val="1"/>
      <w:tblStyleColBandSize w:val="1"/>
    </w:tblPr>
  </w:style>
  <w:style w:type="table" w:customStyle="1" w:styleId="376">
    <w:name w:val="376"/>
    <w:basedOn w:val="TableNormal"/>
    <w:pPr>
      <w:spacing w:after="0" w:line="240" w:lineRule="auto"/>
    </w:pPr>
    <w:tblPr>
      <w:tblStyleRowBandSize w:val="1"/>
      <w:tblStyleColBandSize w:val="1"/>
    </w:tblPr>
  </w:style>
  <w:style w:type="table" w:customStyle="1" w:styleId="375">
    <w:name w:val="375"/>
    <w:basedOn w:val="TableNormal"/>
    <w:pPr>
      <w:spacing w:after="0" w:line="240" w:lineRule="auto"/>
    </w:pPr>
    <w:tblPr>
      <w:tblStyleRowBandSize w:val="1"/>
      <w:tblStyleColBandSize w:val="1"/>
    </w:tblPr>
  </w:style>
  <w:style w:type="table" w:customStyle="1" w:styleId="374">
    <w:name w:val="374"/>
    <w:basedOn w:val="TableNormal"/>
    <w:pPr>
      <w:spacing w:after="0" w:line="240" w:lineRule="auto"/>
    </w:pPr>
    <w:tblPr>
      <w:tblStyleRowBandSize w:val="1"/>
      <w:tblStyleColBandSize w:val="1"/>
    </w:tblPr>
  </w:style>
  <w:style w:type="table" w:customStyle="1" w:styleId="373">
    <w:name w:val="373"/>
    <w:basedOn w:val="TableNormal"/>
    <w:pPr>
      <w:spacing w:after="0" w:line="240" w:lineRule="auto"/>
    </w:pPr>
    <w:tblPr>
      <w:tblStyleRowBandSize w:val="1"/>
      <w:tblStyleColBandSize w:val="1"/>
    </w:tblPr>
  </w:style>
  <w:style w:type="table" w:customStyle="1" w:styleId="372">
    <w:name w:val="372"/>
    <w:basedOn w:val="TableNormal"/>
    <w:pPr>
      <w:spacing w:after="0" w:line="240" w:lineRule="auto"/>
    </w:pPr>
    <w:tblPr>
      <w:tblStyleRowBandSize w:val="1"/>
      <w:tblStyleColBandSize w:val="1"/>
    </w:tblPr>
  </w:style>
  <w:style w:type="table" w:customStyle="1" w:styleId="371">
    <w:name w:val="371"/>
    <w:basedOn w:val="TableNormal"/>
    <w:pPr>
      <w:spacing w:after="0" w:line="240" w:lineRule="auto"/>
    </w:pPr>
    <w:tblPr>
      <w:tblStyleRowBandSize w:val="1"/>
      <w:tblStyleColBandSize w:val="1"/>
    </w:tblPr>
  </w:style>
  <w:style w:type="table" w:customStyle="1" w:styleId="370">
    <w:name w:val="370"/>
    <w:basedOn w:val="TableNormal"/>
    <w:pPr>
      <w:spacing w:after="0" w:line="240" w:lineRule="auto"/>
    </w:pPr>
    <w:tblPr>
      <w:tblStyleRowBandSize w:val="1"/>
      <w:tblStyleColBandSize w:val="1"/>
    </w:tblPr>
  </w:style>
  <w:style w:type="table" w:customStyle="1" w:styleId="369">
    <w:name w:val="369"/>
    <w:basedOn w:val="TableNormal"/>
    <w:pPr>
      <w:spacing w:after="0" w:line="240" w:lineRule="auto"/>
    </w:pPr>
    <w:tblPr>
      <w:tblStyleRowBandSize w:val="1"/>
      <w:tblStyleColBandSize w:val="1"/>
    </w:tblPr>
  </w:style>
  <w:style w:type="table" w:customStyle="1" w:styleId="368">
    <w:name w:val="368"/>
    <w:basedOn w:val="TableNormal"/>
    <w:pPr>
      <w:spacing w:after="0" w:line="240" w:lineRule="auto"/>
    </w:pPr>
    <w:tblPr>
      <w:tblStyleRowBandSize w:val="1"/>
      <w:tblStyleColBandSize w:val="1"/>
    </w:tblPr>
  </w:style>
  <w:style w:type="table" w:customStyle="1" w:styleId="367">
    <w:name w:val="367"/>
    <w:basedOn w:val="TableNormal"/>
    <w:pPr>
      <w:spacing w:after="0" w:line="240" w:lineRule="auto"/>
    </w:pPr>
    <w:tblPr>
      <w:tblStyleRowBandSize w:val="1"/>
      <w:tblStyleColBandSize w:val="1"/>
    </w:tblPr>
  </w:style>
  <w:style w:type="table" w:customStyle="1" w:styleId="366">
    <w:name w:val="366"/>
    <w:basedOn w:val="TableNormal"/>
    <w:pPr>
      <w:spacing w:after="0" w:line="240" w:lineRule="auto"/>
    </w:pPr>
    <w:tblPr>
      <w:tblStyleRowBandSize w:val="1"/>
      <w:tblStyleColBandSize w:val="1"/>
    </w:tblPr>
  </w:style>
  <w:style w:type="table" w:customStyle="1" w:styleId="365">
    <w:name w:val="365"/>
    <w:basedOn w:val="TableNormal"/>
    <w:pPr>
      <w:spacing w:after="0" w:line="240" w:lineRule="auto"/>
    </w:pPr>
    <w:tblPr>
      <w:tblStyleRowBandSize w:val="1"/>
      <w:tblStyleColBandSize w:val="1"/>
    </w:tblPr>
  </w:style>
  <w:style w:type="table" w:customStyle="1" w:styleId="364">
    <w:name w:val="364"/>
    <w:basedOn w:val="TableNormal"/>
    <w:pPr>
      <w:spacing w:after="0" w:line="240" w:lineRule="auto"/>
    </w:pPr>
    <w:tblPr>
      <w:tblStyleRowBandSize w:val="1"/>
      <w:tblStyleColBandSize w:val="1"/>
    </w:tblPr>
  </w:style>
  <w:style w:type="table" w:customStyle="1" w:styleId="363">
    <w:name w:val="363"/>
    <w:basedOn w:val="TableNormal"/>
    <w:pPr>
      <w:spacing w:after="0" w:line="240" w:lineRule="auto"/>
    </w:pPr>
    <w:tblPr>
      <w:tblStyleRowBandSize w:val="1"/>
      <w:tblStyleColBandSize w:val="1"/>
    </w:tblPr>
  </w:style>
  <w:style w:type="table" w:customStyle="1" w:styleId="362">
    <w:name w:val="362"/>
    <w:basedOn w:val="TableNormal"/>
    <w:pPr>
      <w:spacing w:after="0" w:line="240" w:lineRule="auto"/>
    </w:pPr>
    <w:tblPr>
      <w:tblStyleRowBandSize w:val="1"/>
      <w:tblStyleColBandSize w:val="1"/>
    </w:tblPr>
  </w:style>
  <w:style w:type="table" w:customStyle="1" w:styleId="361">
    <w:name w:val="361"/>
    <w:basedOn w:val="TableNormal"/>
    <w:pPr>
      <w:spacing w:after="0" w:line="240" w:lineRule="auto"/>
    </w:pPr>
    <w:tblPr>
      <w:tblStyleRowBandSize w:val="1"/>
      <w:tblStyleColBandSize w:val="1"/>
    </w:tblPr>
  </w:style>
  <w:style w:type="table" w:customStyle="1" w:styleId="360">
    <w:name w:val="360"/>
    <w:basedOn w:val="TableNormal"/>
    <w:pPr>
      <w:spacing w:after="0" w:line="240" w:lineRule="auto"/>
    </w:pPr>
    <w:tblPr>
      <w:tblStyleRowBandSize w:val="1"/>
      <w:tblStyleColBandSize w:val="1"/>
    </w:tblPr>
  </w:style>
  <w:style w:type="table" w:customStyle="1" w:styleId="359">
    <w:name w:val="359"/>
    <w:basedOn w:val="TableNormal"/>
    <w:pPr>
      <w:spacing w:after="0" w:line="240" w:lineRule="auto"/>
    </w:pPr>
    <w:tblPr>
      <w:tblStyleRowBandSize w:val="1"/>
      <w:tblStyleColBandSize w:val="1"/>
    </w:tblPr>
  </w:style>
  <w:style w:type="table" w:customStyle="1" w:styleId="358">
    <w:name w:val="358"/>
    <w:basedOn w:val="TableNormal"/>
    <w:pPr>
      <w:spacing w:after="0" w:line="240" w:lineRule="auto"/>
    </w:pPr>
    <w:tblPr>
      <w:tblStyleRowBandSize w:val="1"/>
      <w:tblStyleColBandSize w:val="1"/>
    </w:tblPr>
  </w:style>
  <w:style w:type="table" w:customStyle="1" w:styleId="357">
    <w:name w:val="357"/>
    <w:basedOn w:val="TableNormal"/>
    <w:pPr>
      <w:spacing w:after="0" w:line="240" w:lineRule="auto"/>
    </w:pPr>
    <w:tblPr>
      <w:tblStyleRowBandSize w:val="1"/>
      <w:tblStyleColBandSize w:val="1"/>
    </w:tblPr>
  </w:style>
  <w:style w:type="table" w:customStyle="1" w:styleId="356">
    <w:name w:val="356"/>
    <w:basedOn w:val="TableNormal"/>
    <w:pPr>
      <w:spacing w:after="0" w:line="240" w:lineRule="auto"/>
    </w:pPr>
    <w:tblPr>
      <w:tblStyleRowBandSize w:val="1"/>
      <w:tblStyleColBandSize w:val="1"/>
    </w:tblPr>
  </w:style>
  <w:style w:type="table" w:customStyle="1" w:styleId="355">
    <w:name w:val="355"/>
    <w:basedOn w:val="TableNormal"/>
    <w:pPr>
      <w:spacing w:after="0" w:line="240" w:lineRule="auto"/>
    </w:pPr>
    <w:tblPr>
      <w:tblStyleRowBandSize w:val="1"/>
      <w:tblStyleColBandSize w:val="1"/>
    </w:tblPr>
  </w:style>
  <w:style w:type="table" w:customStyle="1" w:styleId="354">
    <w:name w:val="354"/>
    <w:basedOn w:val="TableNormal"/>
    <w:pPr>
      <w:spacing w:after="0" w:line="240" w:lineRule="auto"/>
    </w:pPr>
    <w:tblPr>
      <w:tblStyleRowBandSize w:val="1"/>
      <w:tblStyleColBandSize w:val="1"/>
    </w:tblPr>
  </w:style>
  <w:style w:type="table" w:customStyle="1" w:styleId="353">
    <w:name w:val="353"/>
    <w:basedOn w:val="TableNormal"/>
    <w:pPr>
      <w:spacing w:after="0" w:line="240" w:lineRule="auto"/>
    </w:pPr>
    <w:tblPr>
      <w:tblStyleRowBandSize w:val="1"/>
      <w:tblStyleColBandSize w:val="1"/>
    </w:tblPr>
  </w:style>
  <w:style w:type="table" w:customStyle="1" w:styleId="352">
    <w:name w:val="352"/>
    <w:basedOn w:val="TableNormal"/>
    <w:pPr>
      <w:spacing w:after="0" w:line="240" w:lineRule="auto"/>
    </w:pPr>
    <w:tblPr>
      <w:tblStyleRowBandSize w:val="1"/>
      <w:tblStyleColBandSize w:val="1"/>
    </w:tblPr>
  </w:style>
  <w:style w:type="table" w:customStyle="1" w:styleId="351">
    <w:name w:val="351"/>
    <w:basedOn w:val="TableNormal"/>
    <w:pPr>
      <w:spacing w:after="0" w:line="240" w:lineRule="auto"/>
    </w:pPr>
    <w:tblPr>
      <w:tblStyleRowBandSize w:val="1"/>
      <w:tblStyleColBandSize w:val="1"/>
    </w:tblPr>
  </w:style>
  <w:style w:type="table" w:customStyle="1" w:styleId="350">
    <w:name w:val="350"/>
    <w:basedOn w:val="TableNormal"/>
    <w:pPr>
      <w:spacing w:after="0" w:line="240" w:lineRule="auto"/>
    </w:pPr>
    <w:tblPr>
      <w:tblStyleRowBandSize w:val="1"/>
      <w:tblStyleColBandSize w:val="1"/>
    </w:tblPr>
  </w:style>
  <w:style w:type="table" w:customStyle="1" w:styleId="349">
    <w:name w:val="349"/>
    <w:basedOn w:val="TableNormal"/>
    <w:pPr>
      <w:spacing w:after="0" w:line="240" w:lineRule="auto"/>
    </w:pPr>
    <w:tblPr>
      <w:tblStyleRowBandSize w:val="1"/>
      <w:tblStyleColBandSize w:val="1"/>
    </w:tblPr>
  </w:style>
  <w:style w:type="table" w:customStyle="1" w:styleId="348">
    <w:name w:val="348"/>
    <w:basedOn w:val="TableNormal"/>
    <w:pPr>
      <w:spacing w:after="0" w:line="240" w:lineRule="auto"/>
    </w:pPr>
    <w:tblPr>
      <w:tblStyleRowBandSize w:val="1"/>
      <w:tblStyleColBandSize w:val="1"/>
    </w:tblPr>
  </w:style>
  <w:style w:type="table" w:customStyle="1" w:styleId="347">
    <w:name w:val="347"/>
    <w:basedOn w:val="TableNormal"/>
    <w:pPr>
      <w:spacing w:after="0" w:line="240" w:lineRule="auto"/>
    </w:pPr>
    <w:tblPr>
      <w:tblStyleRowBandSize w:val="1"/>
      <w:tblStyleColBandSize w:val="1"/>
    </w:tblPr>
  </w:style>
  <w:style w:type="table" w:customStyle="1" w:styleId="346">
    <w:name w:val="346"/>
    <w:basedOn w:val="TableNormal"/>
    <w:pPr>
      <w:spacing w:after="0" w:line="240" w:lineRule="auto"/>
    </w:pPr>
    <w:tblPr>
      <w:tblStyleRowBandSize w:val="1"/>
      <w:tblStyleColBandSize w:val="1"/>
    </w:tblPr>
  </w:style>
  <w:style w:type="table" w:customStyle="1" w:styleId="345">
    <w:name w:val="345"/>
    <w:basedOn w:val="TableNormal"/>
    <w:pPr>
      <w:spacing w:after="0" w:line="240" w:lineRule="auto"/>
    </w:pPr>
    <w:tblPr>
      <w:tblStyleRowBandSize w:val="1"/>
      <w:tblStyleColBandSize w:val="1"/>
    </w:tblPr>
  </w:style>
  <w:style w:type="table" w:customStyle="1" w:styleId="344">
    <w:name w:val="344"/>
    <w:basedOn w:val="TableNormal"/>
    <w:pPr>
      <w:spacing w:after="0" w:line="240" w:lineRule="auto"/>
    </w:pPr>
    <w:tblPr>
      <w:tblStyleRowBandSize w:val="1"/>
      <w:tblStyleColBandSize w:val="1"/>
    </w:tblPr>
  </w:style>
  <w:style w:type="table" w:customStyle="1" w:styleId="343">
    <w:name w:val="343"/>
    <w:basedOn w:val="TableNormal"/>
    <w:pPr>
      <w:spacing w:after="0" w:line="240" w:lineRule="auto"/>
    </w:pPr>
    <w:tblPr>
      <w:tblStyleRowBandSize w:val="1"/>
      <w:tblStyleColBandSize w:val="1"/>
    </w:tblPr>
  </w:style>
  <w:style w:type="table" w:customStyle="1" w:styleId="342">
    <w:name w:val="342"/>
    <w:basedOn w:val="TableNormal"/>
    <w:pPr>
      <w:spacing w:after="0" w:line="240" w:lineRule="auto"/>
    </w:pPr>
    <w:tblPr>
      <w:tblStyleRowBandSize w:val="1"/>
      <w:tblStyleColBandSize w:val="1"/>
    </w:tblPr>
  </w:style>
  <w:style w:type="table" w:customStyle="1" w:styleId="341">
    <w:name w:val="341"/>
    <w:basedOn w:val="TableNormal"/>
    <w:pPr>
      <w:spacing w:after="0" w:line="240" w:lineRule="auto"/>
    </w:pPr>
    <w:tblPr>
      <w:tblStyleRowBandSize w:val="1"/>
      <w:tblStyleColBandSize w:val="1"/>
    </w:tblPr>
  </w:style>
  <w:style w:type="table" w:customStyle="1" w:styleId="340">
    <w:name w:val="340"/>
    <w:basedOn w:val="TableNormal"/>
    <w:pPr>
      <w:spacing w:after="0" w:line="240" w:lineRule="auto"/>
    </w:pPr>
    <w:tblPr>
      <w:tblStyleRowBandSize w:val="1"/>
      <w:tblStyleColBandSize w:val="1"/>
    </w:tblPr>
  </w:style>
  <w:style w:type="table" w:customStyle="1" w:styleId="339">
    <w:name w:val="339"/>
    <w:basedOn w:val="TableNormal"/>
    <w:pPr>
      <w:spacing w:after="0" w:line="240" w:lineRule="auto"/>
    </w:pPr>
    <w:tblPr>
      <w:tblStyleRowBandSize w:val="1"/>
      <w:tblStyleColBandSize w:val="1"/>
    </w:tblPr>
  </w:style>
  <w:style w:type="table" w:customStyle="1" w:styleId="338">
    <w:name w:val="338"/>
    <w:basedOn w:val="TableNormal"/>
    <w:pPr>
      <w:spacing w:after="0" w:line="240" w:lineRule="auto"/>
    </w:pPr>
    <w:tblPr>
      <w:tblStyleRowBandSize w:val="1"/>
      <w:tblStyleColBandSize w:val="1"/>
    </w:tblPr>
  </w:style>
  <w:style w:type="table" w:customStyle="1" w:styleId="337">
    <w:name w:val="337"/>
    <w:basedOn w:val="TableNormal"/>
    <w:pPr>
      <w:spacing w:after="0" w:line="240" w:lineRule="auto"/>
    </w:pPr>
    <w:tblPr>
      <w:tblStyleRowBandSize w:val="1"/>
      <w:tblStyleColBandSize w:val="1"/>
    </w:tblPr>
  </w:style>
  <w:style w:type="table" w:customStyle="1" w:styleId="336">
    <w:name w:val="336"/>
    <w:basedOn w:val="TableNormal"/>
    <w:pPr>
      <w:spacing w:after="0" w:line="240" w:lineRule="auto"/>
    </w:pPr>
    <w:tblPr>
      <w:tblStyleRowBandSize w:val="1"/>
      <w:tblStyleColBandSize w:val="1"/>
    </w:tblPr>
  </w:style>
  <w:style w:type="table" w:customStyle="1" w:styleId="335">
    <w:name w:val="335"/>
    <w:basedOn w:val="TableNormal"/>
    <w:pPr>
      <w:spacing w:after="0" w:line="240" w:lineRule="auto"/>
    </w:pPr>
    <w:tblPr>
      <w:tblStyleRowBandSize w:val="1"/>
      <w:tblStyleColBandSize w:val="1"/>
    </w:tblPr>
  </w:style>
  <w:style w:type="table" w:customStyle="1" w:styleId="334">
    <w:name w:val="334"/>
    <w:basedOn w:val="TableNormal"/>
    <w:pPr>
      <w:spacing w:after="0" w:line="240" w:lineRule="auto"/>
    </w:pPr>
    <w:tblPr>
      <w:tblStyleRowBandSize w:val="1"/>
      <w:tblStyleColBandSize w:val="1"/>
    </w:tblPr>
  </w:style>
  <w:style w:type="table" w:customStyle="1" w:styleId="333">
    <w:name w:val="333"/>
    <w:basedOn w:val="TableNormal"/>
    <w:pPr>
      <w:spacing w:after="0" w:line="240" w:lineRule="auto"/>
    </w:pPr>
    <w:tblPr>
      <w:tblStyleRowBandSize w:val="1"/>
      <w:tblStyleColBandSize w:val="1"/>
    </w:tblPr>
  </w:style>
  <w:style w:type="table" w:customStyle="1" w:styleId="332">
    <w:name w:val="332"/>
    <w:basedOn w:val="TableNormal"/>
    <w:pPr>
      <w:spacing w:after="0" w:line="240" w:lineRule="auto"/>
    </w:pPr>
    <w:tblPr>
      <w:tblStyleRowBandSize w:val="1"/>
      <w:tblStyleColBandSize w:val="1"/>
    </w:tblPr>
  </w:style>
  <w:style w:type="table" w:customStyle="1" w:styleId="331">
    <w:name w:val="331"/>
    <w:basedOn w:val="TableNormal"/>
    <w:pPr>
      <w:spacing w:after="0" w:line="240" w:lineRule="auto"/>
    </w:pPr>
    <w:tblPr>
      <w:tblStyleRowBandSize w:val="1"/>
      <w:tblStyleColBandSize w:val="1"/>
    </w:tblPr>
  </w:style>
  <w:style w:type="table" w:customStyle="1" w:styleId="330">
    <w:name w:val="330"/>
    <w:basedOn w:val="TableNormal"/>
    <w:pPr>
      <w:spacing w:after="0" w:line="240" w:lineRule="auto"/>
    </w:pPr>
    <w:tblPr>
      <w:tblStyleRowBandSize w:val="1"/>
      <w:tblStyleColBandSize w:val="1"/>
    </w:tblPr>
  </w:style>
  <w:style w:type="table" w:customStyle="1" w:styleId="329">
    <w:name w:val="329"/>
    <w:basedOn w:val="TableNormal"/>
    <w:pPr>
      <w:spacing w:after="0" w:line="240" w:lineRule="auto"/>
    </w:pPr>
    <w:tblPr>
      <w:tblStyleRowBandSize w:val="1"/>
      <w:tblStyleColBandSize w:val="1"/>
    </w:tblPr>
  </w:style>
  <w:style w:type="table" w:customStyle="1" w:styleId="328">
    <w:name w:val="328"/>
    <w:basedOn w:val="TableNormal"/>
    <w:pPr>
      <w:spacing w:after="0" w:line="240" w:lineRule="auto"/>
    </w:pPr>
    <w:tblPr>
      <w:tblStyleRowBandSize w:val="1"/>
      <w:tblStyleColBandSize w:val="1"/>
    </w:tblPr>
  </w:style>
  <w:style w:type="table" w:customStyle="1" w:styleId="327">
    <w:name w:val="327"/>
    <w:basedOn w:val="TableNormal"/>
    <w:pPr>
      <w:spacing w:after="0" w:line="240" w:lineRule="auto"/>
    </w:pPr>
    <w:tblPr>
      <w:tblStyleRowBandSize w:val="1"/>
      <w:tblStyleColBandSize w:val="1"/>
    </w:tblPr>
  </w:style>
  <w:style w:type="table" w:customStyle="1" w:styleId="326">
    <w:name w:val="326"/>
    <w:basedOn w:val="TableNormal"/>
    <w:pPr>
      <w:spacing w:after="0" w:line="240" w:lineRule="auto"/>
    </w:pPr>
    <w:tblPr>
      <w:tblStyleRowBandSize w:val="1"/>
      <w:tblStyleColBandSize w:val="1"/>
    </w:tblPr>
  </w:style>
  <w:style w:type="table" w:customStyle="1" w:styleId="325">
    <w:name w:val="325"/>
    <w:basedOn w:val="TableNormal"/>
    <w:pPr>
      <w:spacing w:after="0" w:line="240" w:lineRule="auto"/>
    </w:pPr>
    <w:tblPr>
      <w:tblStyleRowBandSize w:val="1"/>
      <w:tblStyleColBandSize w:val="1"/>
    </w:tblPr>
  </w:style>
  <w:style w:type="table" w:customStyle="1" w:styleId="324">
    <w:name w:val="324"/>
    <w:basedOn w:val="TableNormal"/>
    <w:pPr>
      <w:spacing w:after="0" w:line="240" w:lineRule="auto"/>
    </w:pPr>
    <w:tblPr>
      <w:tblStyleRowBandSize w:val="1"/>
      <w:tblStyleColBandSize w:val="1"/>
    </w:tblPr>
  </w:style>
  <w:style w:type="table" w:customStyle="1" w:styleId="323">
    <w:name w:val="323"/>
    <w:basedOn w:val="TableNormal"/>
    <w:pPr>
      <w:spacing w:after="0" w:line="240" w:lineRule="auto"/>
    </w:pPr>
    <w:tblPr>
      <w:tblStyleRowBandSize w:val="1"/>
      <w:tblStyleColBandSize w:val="1"/>
    </w:tblPr>
  </w:style>
  <w:style w:type="table" w:customStyle="1" w:styleId="322">
    <w:name w:val="322"/>
    <w:basedOn w:val="TableNormal"/>
    <w:pPr>
      <w:spacing w:after="0" w:line="240" w:lineRule="auto"/>
    </w:pPr>
    <w:tblPr>
      <w:tblStyleRowBandSize w:val="1"/>
      <w:tblStyleColBandSize w:val="1"/>
    </w:tblPr>
  </w:style>
  <w:style w:type="table" w:customStyle="1" w:styleId="321">
    <w:name w:val="321"/>
    <w:basedOn w:val="TableNormal"/>
    <w:pPr>
      <w:spacing w:after="0" w:line="240" w:lineRule="auto"/>
    </w:pPr>
    <w:tblPr>
      <w:tblStyleRowBandSize w:val="1"/>
      <w:tblStyleColBandSize w:val="1"/>
    </w:tblPr>
  </w:style>
  <w:style w:type="table" w:customStyle="1" w:styleId="320">
    <w:name w:val="320"/>
    <w:basedOn w:val="TableNormal"/>
    <w:pPr>
      <w:spacing w:after="0" w:line="240" w:lineRule="auto"/>
    </w:pPr>
    <w:tblPr>
      <w:tblStyleRowBandSize w:val="1"/>
      <w:tblStyleColBandSize w:val="1"/>
    </w:tblPr>
  </w:style>
  <w:style w:type="table" w:customStyle="1" w:styleId="319">
    <w:name w:val="319"/>
    <w:basedOn w:val="TableNormal"/>
    <w:pPr>
      <w:spacing w:after="0" w:line="240" w:lineRule="auto"/>
    </w:pPr>
    <w:tblPr>
      <w:tblStyleRowBandSize w:val="1"/>
      <w:tblStyleColBandSize w:val="1"/>
    </w:tblPr>
  </w:style>
  <w:style w:type="table" w:customStyle="1" w:styleId="318">
    <w:name w:val="318"/>
    <w:basedOn w:val="TableNormal"/>
    <w:pPr>
      <w:spacing w:after="0" w:line="240" w:lineRule="auto"/>
    </w:pPr>
    <w:tblPr>
      <w:tblStyleRowBandSize w:val="1"/>
      <w:tblStyleColBandSize w:val="1"/>
    </w:tblPr>
  </w:style>
  <w:style w:type="table" w:customStyle="1" w:styleId="317">
    <w:name w:val="317"/>
    <w:basedOn w:val="TableNormal"/>
    <w:pPr>
      <w:spacing w:after="0" w:line="240" w:lineRule="auto"/>
    </w:pPr>
    <w:tblPr>
      <w:tblStyleRowBandSize w:val="1"/>
      <w:tblStyleColBandSize w:val="1"/>
    </w:tblPr>
  </w:style>
  <w:style w:type="table" w:customStyle="1" w:styleId="316">
    <w:name w:val="316"/>
    <w:basedOn w:val="TableNormal"/>
    <w:pPr>
      <w:spacing w:after="0" w:line="240" w:lineRule="auto"/>
    </w:pPr>
    <w:tblPr>
      <w:tblStyleRowBandSize w:val="1"/>
      <w:tblStyleColBandSize w:val="1"/>
    </w:tblPr>
  </w:style>
  <w:style w:type="table" w:customStyle="1" w:styleId="315">
    <w:name w:val="315"/>
    <w:basedOn w:val="TableNormal"/>
    <w:pPr>
      <w:spacing w:after="0" w:line="240" w:lineRule="auto"/>
    </w:pPr>
    <w:tblPr>
      <w:tblStyleRowBandSize w:val="1"/>
      <w:tblStyleColBandSize w:val="1"/>
    </w:tblPr>
  </w:style>
  <w:style w:type="table" w:customStyle="1" w:styleId="314">
    <w:name w:val="314"/>
    <w:basedOn w:val="TableNormal"/>
    <w:pPr>
      <w:spacing w:after="0" w:line="240" w:lineRule="auto"/>
    </w:pPr>
    <w:tblPr>
      <w:tblStyleRowBandSize w:val="1"/>
      <w:tblStyleColBandSize w:val="1"/>
    </w:tblPr>
  </w:style>
  <w:style w:type="table" w:customStyle="1" w:styleId="313">
    <w:name w:val="313"/>
    <w:basedOn w:val="TableNormal"/>
    <w:pPr>
      <w:spacing w:after="0" w:line="240" w:lineRule="auto"/>
    </w:pPr>
    <w:tblPr>
      <w:tblStyleRowBandSize w:val="1"/>
      <w:tblStyleColBandSize w:val="1"/>
    </w:tblPr>
  </w:style>
  <w:style w:type="table" w:customStyle="1" w:styleId="312">
    <w:name w:val="312"/>
    <w:basedOn w:val="TableNormal"/>
    <w:pPr>
      <w:spacing w:after="0" w:line="240" w:lineRule="auto"/>
    </w:pPr>
    <w:tblPr>
      <w:tblStyleRowBandSize w:val="1"/>
      <w:tblStyleColBandSize w:val="1"/>
    </w:tblPr>
  </w:style>
  <w:style w:type="table" w:customStyle="1" w:styleId="311">
    <w:name w:val="311"/>
    <w:basedOn w:val="TableNormal"/>
    <w:pPr>
      <w:spacing w:after="0" w:line="240" w:lineRule="auto"/>
    </w:pPr>
    <w:tblPr>
      <w:tblStyleRowBandSize w:val="1"/>
      <w:tblStyleColBandSize w:val="1"/>
    </w:tblPr>
  </w:style>
  <w:style w:type="table" w:customStyle="1" w:styleId="310">
    <w:name w:val="310"/>
    <w:basedOn w:val="TableNormal"/>
    <w:pPr>
      <w:spacing w:after="0" w:line="240" w:lineRule="auto"/>
    </w:pPr>
    <w:tblPr>
      <w:tblStyleRowBandSize w:val="1"/>
      <w:tblStyleColBandSize w:val="1"/>
    </w:tblPr>
  </w:style>
  <w:style w:type="table" w:customStyle="1" w:styleId="309">
    <w:name w:val="309"/>
    <w:basedOn w:val="TableNormal"/>
    <w:pPr>
      <w:spacing w:after="0" w:line="240" w:lineRule="auto"/>
    </w:pPr>
    <w:tblPr>
      <w:tblStyleRowBandSize w:val="1"/>
      <w:tblStyleColBandSize w:val="1"/>
    </w:tblPr>
  </w:style>
  <w:style w:type="table" w:customStyle="1" w:styleId="308">
    <w:name w:val="308"/>
    <w:basedOn w:val="TableNormal"/>
    <w:pPr>
      <w:spacing w:after="0" w:line="240" w:lineRule="auto"/>
    </w:pPr>
    <w:tblPr>
      <w:tblStyleRowBandSize w:val="1"/>
      <w:tblStyleColBandSize w:val="1"/>
    </w:tblPr>
  </w:style>
  <w:style w:type="table" w:customStyle="1" w:styleId="307">
    <w:name w:val="307"/>
    <w:basedOn w:val="TableNormal"/>
    <w:pPr>
      <w:spacing w:after="0" w:line="240" w:lineRule="auto"/>
    </w:pPr>
    <w:tblPr>
      <w:tblStyleRowBandSize w:val="1"/>
      <w:tblStyleColBandSize w:val="1"/>
    </w:tblPr>
  </w:style>
  <w:style w:type="table" w:customStyle="1" w:styleId="306">
    <w:name w:val="306"/>
    <w:basedOn w:val="TableNormal"/>
    <w:pPr>
      <w:spacing w:after="0" w:line="240" w:lineRule="auto"/>
    </w:pPr>
    <w:tblPr>
      <w:tblStyleRowBandSize w:val="1"/>
      <w:tblStyleColBandSize w:val="1"/>
    </w:tblPr>
  </w:style>
  <w:style w:type="table" w:customStyle="1" w:styleId="305">
    <w:name w:val="305"/>
    <w:basedOn w:val="TableNormal"/>
    <w:pPr>
      <w:spacing w:after="0" w:line="240" w:lineRule="auto"/>
    </w:pPr>
    <w:tblPr>
      <w:tblStyleRowBandSize w:val="1"/>
      <w:tblStyleColBandSize w:val="1"/>
    </w:tblPr>
  </w:style>
  <w:style w:type="table" w:customStyle="1" w:styleId="304">
    <w:name w:val="304"/>
    <w:basedOn w:val="TableNormal"/>
    <w:pPr>
      <w:spacing w:after="0" w:line="240" w:lineRule="auto"/>
    </w:pPr>
    <w:tblPr>
      <w:tblStyleRowBandSize w:val="1"/>
      <w:tblStyleColBandSize w:val="1"/>
    </w:tblPr>
  </w:style>
  <w:style w:type="table" w:customStyle="1" w:styleId="303">
    <w:name w:val="303"/>
    <w:basedOn w:val="TableNormal"/>
    <w:pPr>
      <w:spacing w:after="0" w:line="240" w:lineRule="auto"/>
    </w:pPr>
    <w:tblPr>
      <w:tblStyleRowBandSize w:val="1"/>
      <w:tblStyleColBandSize w:val="1"/>
    </w:tblPr>
  </w:style>
  <w:style w:type="table" w:customStyle="1" w:styleId="302">
    <w:name w:val="302"/>
    <w:basedOn w:val="TableNormal"/>
    <w:pPr>
      <w:spacing w:after="0" w:line="240" w:lineRule="auto"/>
    </w:pPr>
    <w:tblPr>
      <w:tblStyleRowBandSize w:val="1"/>
      <w:tblStyleColBandSize w:val="1"/>
    </w:tblPr>
  </w:style>
  <w:style w:type="table" w:customStyle="1" w:styleId="301">
    <w:name w:val="301"/>
    <w:basedOn w:val="TableNormal"/>
    <w:pPr>
      <w:spacing w:after="0" w:line="240" w:lineRule="auto"/>
    </w:pPr>
    <w:tblPr>
      <w:tblStyleRowBandSize w:val="1"/>
      <w:tblStyleColBandSize w:val="1"/>
    </w:tblPr>
  </w:style>
  <w:style w:type="table" w:customStyle="1" w:styleId="300">
    <w:name w:val="300"/>
    <w:basedOn w:val="TableNormal"/>
    <w:pPr>
      <w:spacing w:after="0" w:line="240" w:lineRule="auto"/>
    </w:pPr>
    <w:tblPr>
      <w:tblStyleRowBandSize w:val="1"/>
      <w:tblStyleColBandSize w:val="1"/>
    </w:tblPr>
  </w:style>
  <w:style w:type="table" w:customStyle="1" w:styleId="299">
    <w:name w:val="299"/>
    <w:basedOn w:val="TableNormal"/>
    <w:pPr>
      <w:spacing w:after="0" w:line="240" w:lineRule="auto"/>
    </w:pPr>
    <w:tblPr>
      <w:tblStyleRowBandSize w:val="1"/>
      <w:tblStyleColBandSize w:val="1"/>
    </w:tblPr>
  </w:style>
  <w:style w:type="table" w:customStyle="1" w:styleId="298">
    <w:name w:val="298"/>
    <w:basedOn w:val="TableNormal"/>
    <w:pPr>
      <w:spacing w:after="0" w:line="240" w:lineRule="auto"/>
    </w:pPr>
    <w:tblPr>
      <w:tblStyleRowBandSize w:val="1"/>
      <w:tblStyleColBandSize w:val="1"/>
    </w:tblPr>
  </w:style>
  <w:style w:type="table" w:customStyle="1" w:styleId="297">
    <w:name w:val="297"/>
    <w:basedOn w:val="TableNormal"/>
    <w:pPr>
      <w:spacing w:after="0" w:line="240" w:lineRule="auto"/>
    </w:pPr>
    <w:tblPr>
      <w:tblStyleRowBandSize w:val="1"/>
      <w:tblStyleColBandSize w:val="1"/>
    </w:tblPr>
  </w:style>
  <w:style w:type="table" w:customStyle="1" w:styleId="296">
    <w:name w:val="296"/>
    <w:basedOn w:val="TableNormal"/>
    <w:pPr>
      <w:spacing w:after="0" w:line="240" w:lineRule="auto"/>
    </w:pPr>
    <w:tblPr>
      <w:tblStyleRowBandSize w:val="1"/>
      <w:tblStyleColBandSize w:val="1"/>
    </w:tblPr>
  </w:style>
  <w:style w:type="table" w:customStyle="1" w:styleId="295">
    <w:name w:val="295"/>
    <w:basedOn w:val="TableNormal"/>
    <w:pPr>
      <w:spacing w:after="0" w:line="240" w:lineRule="auto"/>
    </w:pPr>
    <w:tblPr>
      <w:tblStyleRowBandSize w:val="1"/>
      <w:tblStyleColBandSize w:val="1"/>
    </w:tblPr>
  </w:style>
  <w:style w:type="table" w:customStyle="1" w:styleId="294">
    <w:name w:val="294"/>
    <w:basedOn w:val="TableNormal"/>
    <w:pPr>
      <w:spacing w:after="0" w:line="240" w:lineRule="auto"/>
    </w:pPr>
    <w:tblPr>
      <w:tblStyleRowBandSize w:val="1"/>
      <w:tblStyleColBandSize w:val="1"/>
    </w:tblPr>
  </w:style>
  <w:style w:type="table" w:customStyle="1" w:styleId="293">
    <w:name w:val="293"/>
    <w:basedOn w:val="TableNormal"/>
    <w:pPr>
      <w:spacing w:after="0" w:line="240" w:lineRule="auto"/>
    </w:pPr>
    <w:tblPr>
      <w:tblStyleRowBandSize w:val="1"/>
      <w:tblStyleColBandSize w:val="1"/>
    </w:tblPr>
  </w:style>
  <w:style w:type="table" w:customStyle="1" w:styleId="292">
    <w:name w:val="292"/>
    <w:basedOn w:val="TableNormal"/>
    <w:pPr>
      <w:spacing w:after="0" w:line="240" w:lineRule="auto"/>
    </w:pPr>
    <w:tblPr>
      <w:tblStyleRowBandSize w:val="1"/>
      <w:tblStyleColBandSize w:val="1"/>
    </w:tblPr>
  </w:style>
  <w:style w:type="table" w:customStyle="1" w:styleId="291">
    <w:name w:val="291"/>
    <w:basedOn w:val="TableNormal"/>
    <w:pPr>
      <w:spacing w:after="0" w:line="240" w:lineRule="auto"/>
    </w:pPr>
    <w:tblPr>
      <w:tblStyleRowBandSize w:val="1"/>
      <w:tblStyleColBandSize w:val="1"/>
    </w:tblPr>
  </w:style>
  <w:style w:type="table" w:customStyle="1" w:styleId="290">
    <w:name w:val="290"/>
    <w:basedOn w:val="TableNormal"/>
    <w:pPr>
      <w:spacing w:after="0" w:line="240" w:lineRule="auto"/>
    </w:pPr>
    <w:tblPr>
      <w:tblStyleRowBandSize w:val="1"/>
      <w:tblStyleColBandSize w:val="1"/>
    </w:tblPr>
  </w:style>
  <w:style w:type="table" w:customStyle="1" w:styleId="289">
    <w:name w:val="289"/>
    <w:basedOn w:val="TableNormal"/>
    <w:pPr>
      <w:spacing w:after="0" w:line="240" w:lineRule="auto"/>
    </w:pPr>
    <w:tblPr>
      <w:tblStyleRowBandSize w:val="1"/>
      <w:tblStyleColBandSize w:val="1"/>
    </w:tblPr>
  </w:style>
  <w:style w:type="table" w:customStyle="1" w:styleId="288">
    <w:name w:val="288"/>
    <w:basedOn w:val="TableNormal"/>
    <w:pPr>
      <w:spacing w:after="0" w:line="240" w:lineRule="auto"/>
    </w:pPr>
    <w:tblPr>
      <w:tblStyleRowBandSize w:val="1"/>
      <w:tblStyleColBandSize w:val="1"/>
    </w:tblPr>
  </w:style>
  <w:style w:type="table" w:customStyle="1" w:styleId="287">
    <w:name w:val="287"/>
    <w:basedOn w:val="TableNormal"/>
    <w:pPr>
      <w:spacing w:after="0" w:line="240" w:lineRule="auto"/>
    </w:pPr>
    <w:tblPr>
      <w:tblStyleRowBandSize w:val="1"/>
      <w:tblStyleColBandSize w:val="1"/>
    </w:tblPr>
  </w:style>
  <w:style w:type="table" w:customStyle="1" w:styleId="286">
    <w:name w:val="286"/>
    <w:basedOn w:val="TableNormal"/>
    <w:pPr>
      <w:spacing w:after="0" w:line="240" w:lineRule="auto"/>
    </w:pPr>
    <w:tblPr>
      <w:tblStyleRowBandSize w:val="1"/>
      <w:tblStyleColBandSize w:val="1"/>
    </w:tblPr>
  </w:style>
  <w:style w:type="table" w:customStyle="1" w:styleId="285">
    <w:name w:val="285"/>
    <w:basedOn w:val="TableNormal"/>
    <w:pPr>
      <w:spacing w:after="0" w:line="240" w:lineRule="auto"/>
    </w:pPr>
    <w:tblPr>
      <w:tblStyleRowBandSize w:val="1"/>
      <w:tblStyleColBandSize w:val="1"/>
    </w:tblPr>
  </w:style>
  <w:style w:type="table" w:customStyle="1" w:styleId="284">
    <w:name w:val="284"/>
    <w:basedOn w:val="TableNormal"/>
    <w:pPr>
      <w:spacing w:after="0" w:line="240" w:lineRule="auto"/>
    </w:pPr>
    <w:tblPr>
      <w:tblStyleRowBandSize w:val="1"/>
      <w:tblStyleColBandSize w:val="1"/>
    </w:tblPr>
  </w:style>
  <w:style w:type="table" w:customStyle="1" w:styleId="283">
    <w:name w:val="283"/>
    <w:basedOn w:val="TableNormal"/>
    <w:pPr>
      <w:spacing w:after="0" w:line="240" w:lineRule="auto"/>
    </w:pPr>
    <w:tblPr>
      <w:tblStyleRowBandSize w:val="1"/>
      <w:tblStyleColBandSize w:val="1"/>
    </w:tblPr>
  </w:style>
  <w:style w:type="table" w:customStyle="1" w:styleId="282">
    <w:name w:val="282"/>
    <w:basedOn w:val="TableNormal"/>
    <w:pPr>
      <w:spacing w:after="0" w:line="240" w:lineRule="auto"/>
    </w:pPr>
    <w:tblPr>
      <w:tblStyleRowBandSize w:val="1"/>
      <w:tblStyleColBandSize w:val="1"/>
    </w:tblPr>
  </w:style>
  <w:style w:type="table" w:customStyle="1" w:styleId="281">
    <w:name w:val="281"/>
    <w:basedOn w:val="TableNormal"/>
    <w:pPr>
      <w:spacing w:after="0" w:line="240" w:lineRule="auto"/>
    </w:pPr>
    <w:tblPr>
      <w:tblStyleRowBandSize w:val="1"/>
      <w:tblStyleColBandSize w:val="1"/>
    </w:tblPr>
  </w:style>
  <w:style w:type="table" w:customStyle="1" w:styleId="280">
    <w:name w:val="280"/>
    <w:basedOn w:val="TableNormal"/>
    <w:pPr>
      <w:spacing w:after="0" w:line="240" w:lineRule="auto"/>
    </w:pPr>
    <w:tblPr>
      <w:tblStyleRowBandSize w:val="1"/>
      <w:tblStyleColBandSize w:val="1"/>
    </w:tblPr>
  </w:style>
  <w:style w:type="table" w:customStyle="1" w:styleId="279">
    <w:name w:val="279"/>
    <w:basedOn w:val="TableNormal"/>
    <w:pPr>
      <w:spacing w:after="0" w:line="240" w:lineRule="auto"/>
    </w:pPr>
    <w:tblPr>
      <w:tblStyleRowBandSize w:val="1"/>
      <w:tblStyleColBandSize w:val="1"/>
    </w:tblPr>
  </w:style>
  <w:style w:type="table" w:customStyle="1" w:styleId="278">
    <w:name w:val="278"/>
    <w:basedOn w:val="TableNormal"/>
    <w:pPr>
      <w:spacing w:after="0" w:line="240" w:lineRule="auto"/>
    </w:pPr>
    <w:tblPr>
      <w:tblStyleRowBandSize w:val="1"/>
      <w:tblStyleColBandSize w:val="1"/>
    </w:tblPr>
  </w:style>
  <w:style w:type="table" w:customStyle="1" w:styleId="277">
    <w:name w:val="277"/>
    <w:basedOn w:val="TableNormal"/>
    <w:pPr>
      <w:spacing w:after="0" w:line="240" w:lineRule="auto"/>
    </w:pPr>
    <w:tblPr>
      <w:tblStyleRowBandSize w:val="1"/>
      <w:tblStyleColBandSize w:val="1"/>
    </w:tblPr>
  </w:style>
  <w:style w:type="table" w:customStyle="1" w:styleId="276">
    <w:name w:val="276"/>
    <w:basedOn w:val="TableNormal"/>
    <w:pPr>
      <w:spacing w:after="0" w:line="240" w:lineRule="auto"/>
    </w:pPr>
    <w:tblPr>
      <w:tblStyleRowBandSize w:val="1"/>
      <w:tblStyleColBandSize w:val="1"/>
    </w:tblPr>
  </w:style>
  <w:style w:type="table" w:customStyle="1" w:styleId="275">
    <w:name w:val="275"/>
    <w:basedOn w:val="TableNormal"/>
    <w:pPr>
      <w:spacing w:after="0" w:line="240" w:lineRule="auto"/>
    </w:pPr>
    <w:tblPr>
      <w:tblStyleRowBandSize w:val="1"/>
      <w:tblStyleColBandSize w:val="1"/>
    </w:tblPr>
  </w:style>
  <w:style w:type="table" w:customStyle="1" w:styleId="274">
    <w:name w:val="274"/>
    <w:basedOn w:val="TableNormal"/>
    <w:pPr>
      <w:spacing w:after="0" w:line="240" w:lineRule="auto"/>
    </w:pPr>
    <w:tblPr>
      <w:tblStyleRowBandSize w:val="1"/>
      <w:tblStyleColBandSize w:val="1"/>
    </w:tblPr>
  </w:style>
  <w:style w:type="table" w:customStyle="1" w:styleId="273">
    <w:name w:val="273"/>
    <w:basedOn w:val="TableNormal"/>
    <w:pPr>
      <w:spacing w:after="0" w:line="240" w:lineRule="auto"/>
    </w:pPr>
    <w:tblPr>
      <w:tblStyleRowBandSize w:val="1"/>
      <w:tblStyleColBandSize w:val="1"/>
    </w:tblPr>
  </w:style>
  <w:style w:type="table" w:customStyle="1" w:styleId="272">
    <w:name w:val="272"/>
    <w:basedOn w:val="TableNormal"/>
    <w:pPr>
      <w:spacing w:after="0" w:line="240" w:lineRule="auto"/>
    </w:pPr>
    <w:tblPr>
      <w:tblStyleRowBandSize w:val="1"/>
      <w:tblStyleColBandSize w:val="1"/>
    </w:tblPr>
  </w:style>
  <w:style w:type="table" w:customStyle="1" w:styleId="271">
    <w:name w:val="271"/>
    <w:basedOn w:val="TableNormal"/>
    <w:pPr>
      <w:spacing w:after="0" w:line="240" w:lineRule="auto"/>
    </w:pPr>
    <w:tblPr>
      <w:tblStyleRowBandSize w:val="1"/>
      <w:tblStyleColBandSize w:val="1"/>
    </w:tblPr>
  </w:style>
  <w:style w:type="table" w:customStyle="1" w:styleId="270">
    <w:name w:val="270"/>
    <w:basedOn w:val="TableNormal"/>
    <w:pPr>
      <w:spacing w:after="0" w:line="240" w:lineRule="auto"/>
    </w:pPr>
    <w:tblPr>
      <w:tblStyleRowBandSize w:val="1"/>
      <w:tblStyleColBandSize w:val="1"/>
    </w:tblPr>
  </w:style>
  <w:style w:type="table" w:customStyle="1" w:styleId="269">
    <w:name w:val="269"/>
    <w:basedOn w:val="TableNormal"/>
    <w:pPr>
      <w:spacing w:after="0" w:line="240" w:lineRule="auto"/>
    </w:pPr>
    <w:tblPr>
      <w:tblStyleRowBandSize w:val="1"/>
      <w:tblStyleColBandSize w:val="1"/>
    </w:tblPr>
  </w:style>
  <w:style w:type="table" w:customStyle="1" w:styleId="268">
    <w:name w:val="268"/>
    <w:basedOn w:val="TableNormal"/>
    <w:pPr>
      <w:spacing w:after="0" w:line="240" w:lineRule="auto"/>
    </w:pPr>
    <w:tblPr>
      <w:tblStyleRowBandSize w:val="1"/>
      <w:tblStyleColBandSize w:val="1"/>
    </w:tblPr>
  </w:style>
  <w:style w:type="table" w:customStyle="1" w:styleId="267">
    <w:name w:val="267"/>
    <w:basedOn w:val="TableNormal"/>
    <w:pPr>
      <w:spacing w:after="0" w:line="240" w:lineRule="auto"/>
    </w:pPr>
    <w:tblPr>
      <w:tblStyleRowBandSize w:val="1"/>
      <w:tblStyleColBandSize w:val="1"/>
    </w:tblPr>
  </w:style>
  <w:style w:type="table" w:customStyle="1" w:styleId="266">
    <w:name w:val="266"/>
    <w:basedOn w:val="TableNormal"/>
    <w:pPr>
      <w:spacing w:after="0" w:line="240" w:lineRule="auto"/>
    </w:pPr>
    <w:tblPr>
      <w:tblStyleRowBandSize w:val="1"/>
      <w:tblStyleColBandSize w:val="1"/>
    </w:tblPr>
  </w:style>
  <w:style w:type="table" w:customStyle="1" w:styleId="265">
    <w:name w:val="265"/>
    <w:basedOn w:val="TableNormal"/>
    <w:pPr>
      <w:spacing w:after="0" w:line="240" w:lineRule="auto"/>
    </w:pPr>
    <w:tblPr>
      <w:tblStyleRowBandSize w:val="1"/>
      <w:tblStyleColBandSize w:val="1"/>
    </w:tblPr>
  </w:style>
  <w:style w:type="table" w:customStyle="1" w:styleId="264">
    <w:name w:val="264"/>
    <w:basedOn w:val="TableNormal"/>
    <w:pPr>
      <w:spacing w:after="0" w:line="240" w:lineRule="auto"/>
    </w:pPr>
    <w:tblPr>
      <w:tblStyleRowBandSize w:val="1"/>
      <w:tblStyleColBandSize w:val="1"/>
    </w:tblPr>
  </w:style>
  <w:style w:type="table" w:customStyle="1" w:styleId="263">
    <w:name w:val="263"/>
    <w:basedOn w:val="TableNormal"/>
    <w:pPr>
      <w:spacing w:after="0" w:line="240" w:lineRule="auto"/>
    </w:pPr>
    <w:tblPr>
      <w:tblStyleRowBandSize w:val="1"/>
      <w:tblStyleColBandSize w:val="1"/>
    </w:tblPr>
  </w:style>
  <w:style w:type="table" w:customStyle="1" w:styleId="262">
    <w:name w:val="262"/>
    <w:basedOn w:val="TableNormal"/>
    <w:pPr>
      <w:spacing w:after="0" w:line="240" w:lineRule="auto"/>
    </w:pPr>
    <w:tblPr>
      <w:tblStyleRowBandSize w:val="1"/>
      <w:tblStyleColBandSize w:val="1"/>
    </w:tblPr>
  </w:style>
  <w:style w:type="table" w:customStyle="1" w:styleId="261">
    <w:name w:val="261"/>
    <w:basedOn w:val="TableNormal"/>
    <w:pPr>
      <w:spacing w:after="0" w:line="240" w:lineRule="auto"/>
    </w:pPr>
    <w:tblPr>
      <w:tblStyleRowBandSize w:val="1"/>
      <w:tblStyleColBandSize w:val="1"/>
    </w:tblPr>
  </w:style>
  <w:style w:type="table" w:customStyle="1" w:styleId="260">
    <w:name w:val="260"/>
    <w:basedOn w:val="TableNormal"/>
    <w:pPr>
      <w:spacing w:after="0" w:line="240" w:lineRule="auto"/>
    </w:pPr>
    <w:tblPr>
      <w:tblStyleRowBandSize w:val="1"/>
      <w:tblStyleColBandSize w:val="1"/>
    </w:tblPr>
  </w:style>
  <w:style w:type="table" w:customStyle="1" w:styleId="259">
    <w:name w:val="259"/>
    <w:basedOn w:val="TableNormal"/>
    <w:pPr>
      <w:spacing w:after="0" w:line="240" w:lineRule="auto"/>
    </w:pPr>
    <w:tblPr>
      <w:tblStyleRowBandSize w:val="1"/>
      <w:tblStyleColBandSize w:val="1"/>
    </w:tblPr>
  </w:style>
  <w:style w:type="table" w:customStyle="1" w:styleId="258">
    <w:name w:val="258"/>
    <w:basedOn w:val="TableNormal"/>
    <w:pPr>
      <w:spacing w:after="0" w:line="240" w:lineRule="auto"/>
    </w:pPr>
    <w:tblPr>
      <w:tblStyleRowBandSize w:val="1"/>
      <w:tblStyleColBandSize w:val="1"/>
    </w:tblPr>
  </w:style>
  <w:style w:type="table" w:customStyle="1" w:styleId="257">
    <w:name w:val="257"/>
    <w:basedOn w:val="TableNormal"/>
    <w:pPr>
      <w:spacing w:after="0" w:line="240" w:lineRule="auto"/>
    </w:pPr>
    <w:tblPr>
      <w:tblStyleRowBandSize w:val="1"/>
      <w:tblStyleColBandSize w:val="1"/>
    </w:tblPr>
  </w:style>
  <w:style w:type="table" w:customStyle="1" w:styleId="256">
    <w:name w:val="256"/>
    <w:basedOn w:val="TableNormal"/>
    <w:pPr>
      <w:spacing w:after="0" w:line="240" w:lineRule="auto"/>
    </w:pPr>
    <w:tblPr>
      <w:tblStyleRowBandSize w:val="1"/>
      <w:tblStyleColBandSize w:val="1"/>
    </w:tblPr>
  </w:style>
  <w:style w:type="table" w:customStyle="1" w:styleId="255">
    <w:name w:val="255"/>
    <w:basedOn w:val="TableNormal"/>
    <w:pPr>
      <w:spacing w:after="0" w:line="240" w:lineRule="auto"/>
    </w:pPr>
    <w:tblPr>
      <w:tblStyleRowBandSize w:val="1"/>
      <w:tblStyleColBandSize w:val="1"/>
    </w:tblPr>
  </w:style>
  <w:style w:type="table" w:customStyle="1" w:styleId="254">
    <w:name w:val="254"/>
    <w:basedOn w:val="TableNormal"/>
    <w:pPr>
      <w:spacing w:after="0" w:line="240" w:lineRule="auto"/>
    </w:pPr>
    <w:tblPr>
      <w:tblStyleRowBandSize w:val="1"/>
      <w:tblStyleColBandSize w:val="1"/>
    </w:tblPr>
  </w:style>
  <w:style w:type="table" w:customStyle="1" w:styleId="253">
    <w:name w:val="253"/>
    <w:basedOn w:val="TableNormal"/>
    <w:pPr>
      <w:spacing w:after="0" w:line="240" w:lineRule="auto"/>
    </w:pPr>
    <w:tblPr>
      <w:tblStyleRowBandSize w:val="1"/>
      <w:tblStyleColBandSize w:val="1"/>
    </w:tblPr>
  </w:style>
  <w:style w:type="table" w:customStyle="1" w:styleId="252">
    <w:name w:val="252"/>
    <w:basedOn w:val="TableNormal"/>
    <w:pPr>
      <w:spacing w:after="0" w:line="240" w:lineRule="auto"/>
    </w:pPr>
    <w:tblPr>
      <w:tblStyleRowBandSize w:val="1"/>
      <w:tblStyleColBandSize w:val="1"/>
    </w:tblPr>
  </w:style>
  <w:style w:type="table" w:customStyle="1" w:styleId="251">
    <w:name w:val="251"/>
    <w:basedOn w:val="TableNormal"/>
    <w:pPr>
      <w:spacing w:after="0" w:line="240" w:lineRule="auto"/>
    </w:pPr>
    <w:tblPr>
      <w:tblStyleRowBandSize w:val="1"/>
      <w:tblStyleColBandSize w:val="1"/>
    </w:tblPr>
  </w:style>
  <w:style w:type="table" w:customStyle="1" w:styleId="250">
    <w:name w:val="250"/>
    <w:basedOn w:val="TableNormal"/>
    <w:pPr>
      <w:spacing w:after="0" w:line="240" w:lineRule="auto"/>
    </w:pPr>
    <w:tblPr>
      <w:tblStyleRowBandSize w:val="1"/>
      <w:tblStyleColBandSize w:val="1"/>
    </w:tblPr>
  </w:style>
  <w:style w:type="table" w:customStyle="1" w:styleId="249">
    <w:name w:val="249"/>
    <w:basedOn w:val="TableNormal"/>
    <w:pPr>
      <w:spacing w:after="0" w:line="240" w:lineRule="auto"/>
    </w:pPr>
    <w:tblPr>
      <w:tblStyleRowBandSize w:val="1"/>
      <w:tblStyleColBandSize w:val="1"/>
    </w:tblPr>
  </w:style>
  <w:style w:type="table" w:customStyle="1" w:styleId="248">
    <w:name w:val="248"/>
    <w:basedOn w:val="TableNormal"/>
    <w:pPr>
      <w:spacing w:after="0" w:line="240" w:lineRule="auto"/>
    </w:pPr>
    <w:tblPr>
      <w:tblStyleRowBandSize w:val="1"/>
      <w:tblStyleColBandSize w:val="1"/>
    </w:tblPr>
  </w:style>
  <w:style w:type="table" w:customStyle="1" w:styleId="247">
    <w:name w:val="247"/>
    <w:basedOn w:val="TableNormal"/>
    <w:pPr>
      <w:spacing w:after="0" w:line="240" w:lineRule="auto"/>
    </w:pPr>
    <w:tblPr>
      <w:tblStyleRowBandSize w:val="1"/>
      <w:tblStyleColBandSize w:val="1"/>
    </w:tblPr>
  </w:style>
  <w:style w:type="table" w:customStyle="1" w:styleId="246">
    <w:name w:val="246"/>
    <w:basedOn w:val="TableNormal"/>
    <w:pPr>
      <w:spacing w:after="0" w:line="240" w:lineRule="auto"/>
    </w:pPr>
    <w:tblPr>
      <w:tblStyleRowBandSize w:val="1"/>
      <w:tblStyleColBandSize w:val="1"/>
    </w:tblPr>
  </w:style>
  <w:style w:type="table" w:customStyle="1" w:styleId="245">
    <w:name w:val="245"/>
    <w:basedOn w:val="TableNormal"/>
    <w:pPr>
      <w:spacing w:after="0" w:line="240" w:lineRule="auto"/>
    </w:pPr>
    <w:tblPr>
      <w:tblStyleRowBandSize w:val="1"/>
      <w:tblStyleColBandSize w:val="1"/>
    </w:tblPr>
  </w:style>
  <w:style w:type="table" w:customStyle="1" w:styleId="244">
    <w:name w:val="244"/>
    <w:basedOn w:val="TableNormal"/>
    <w:pPr>
      <w:spacing w:after="0" w:line="240" w:lineRule="auto"/>
    </w:pPr>
    <w:tblPr>
      <w:tblStyleRowBandSize w:val="1"/>
      <w:tblStyleColBandSize w:val="1"/>
    </w:tblPr>
  </w:style>
  <w:style w:type="table" w:customStyle="1" w:styleId="243">
    <w:name w:val="243"/>
    <w:basedOn w:val="TableNormal"/>
    <w:pPr>
      <w:spacing w:after="0" w:line="240" w:lineRule="auto"/>
    </w:pPr>
    <w:tblPr>
      <w:tblStyleRowBandSize w:val="1"/>
      <w:tblStyleColBandSize w:val="1"/>
    </w:tblPr>
  </w:style>
  <w:style w:type="table" w:customStyle="1" w:styleId="242">
    <w:name w:val="242"/>
    <w:basedOn w:val="TableNormal"/>
    <w:pPr>
      <w:spacing w:after="0" w:line="240" w:lineRule="auto"/>
    </w:pPr>
    <w:tblPr>
      <w:tblStyleRowBandSize w:val="1"/>
      <w:tblStyleColBandSize w:val="1"/>
    </w:tblPr>
  </w:style>
  <w:style w:type="table" w:customStyle="1" w:styleId="241">
    <w:name w:val="241"/>
    <w:basedOn w:val="TableNormal"/>
    <w:pPr>
      <w:spacing w:after="0" w:line="240" w:lineRule="auto"/>
    </w:pPr>
    <w:tblPr>
      <w:tblStyleRowBandSize w:val="1"/>
      <w:tblStyleColBandSize w:val="1"/>
    </w:tblPr>
  </w:style>
  <w:style w:type="table" w:customStyle="1" w:styleId="240">
    <w:name w:val="240"/>
    <w:basedOn w:val="TableNormal"/>
    <w:pPr>
      <w:spacing w:after="0" w:line="240" w:lineRule="auto"/>
    </w:pPr>
    <w:tblPr>
      <w:tblStyleRowBandSize w:val="1"/>
      <w:tblStyleColBandSize w:val="1"/>
    </w:tblPr>
  </w:style>
  <w:style w:type="table" w:customStyle="1" w:styleId="239">
    <w:name w:val="239"/>
    <w:basedOn w:val="TableNormal"/>
    <w:pPr>
      <w:spacing w:after="0" w:line="240" w:lineRule="auto"/>
    </w:pPr>
    <w:tblPr>
      <w:tblStyleRowBandSize w:val="1"/>
      <w:tblStyleColBandSize w:val="1"/>
    </w:tblPr>
  </w:style>
  <w:style w:type="table" w:customStyle="1" w:styleId="238">
    <w:name w:val="238"/>
    <w:basedOn w:val="TableNormal"/>
    <w:pPr>
      <w:spacing w:after="0" w:line="240" w:lineRule="auto"/>
    </w:pPr>
    <w:tblPr>
      <w:tblStyleRowBandSize w:val="1"/>
      <w:tblStyleColBandSize w:val="1"/>
    </w:tblPr>
  </w:style>
  <w:style w:type="table" w:customStyle="1" w:styleId="237">
    <w:name w:val="237"/>
    <w:basedOn w:val="TableNormal"/>
    <w:pPr>
      <w:spacing w:after="0" w:line="240" w:lineRule="auto"/>
    </w:pPr>
    <w:tblPr>
      <w:tblStyleRowBandSize w:val="1"/>
      <w:tblStyleColBandSize w:val="1"/>
    </w:tblPr>
  </w:style>
  <w:style w:type="table" w:customStyle="1" w:styleId="236">
    <w:name w:val="236"/>
    <w:basedOn w:val="TableNormal"/>
    <w:pPr>
      <w:spacing w:after="0" w:line="240" w:lineRule="auto"/>
    </w:pPr>
    <w:tblPr>
      <w:tblStyleRowBandSize w:val="1"/>
      <w:tblStyleColBandSize w:val="1"/>
    </w:tblPr>
  </w:style>
  <w:style w:type="table" w:customStyle="1" w:styleId="235">
    <w:name w:val="235"/>
    <w:basedOn w:val="TableNormal"/>
    <w:pPr>
      <w:spacing w:after="0" w:line="240" w:lineRule="auto"/>
    </w:pPr>
    <w:tblPr>
      <w:tblStyleRowBandSize w:val="1"/>
      <w:tblStyleColBandSize w:val="1"/>
    </w:tblPr>
  </w:style>
  <w:style w:type="table" w:customStyle="1" w:styleId="234">
    <w:name w:val="234"/>
    <w:basedOn w:val="TableNormal"/>
    <w:pPr>
      <w:spacing w:after="0" w:line="240" w:lineRule="auto"/>
    </w:pPr>
    <w:tblPr>
      <w:tblStyleRowBandSize w:val="1"/>
      <w:tblStyleColBandSize w:val="1"/>
    </w:tblPr>
  </w:style>
  <w:style w:type="table" w:customStyle="1" w:styleId="233">
    <w:name w:val="233"/>
    <w:basedOn w:val="TableNormal"/>
    <w:pPr>
      <w:spacing w:after="0" w:line="240" w:lineRule="auto"/>
    </w:pPr>
    <w:tblPr>
      <w:tblStyleRowBandSize w:val="1"/>
      <w:tblStyleColBandSize w:val="1"/>
    </w:tblPr>
  </w:style>
  <w:style w:type="table" w:customStyle="1" w:styleId="232">
    <w:name w:val="232"/>
    <w:basedOn w:val="TableNormal"/>
    <w:pPr>
      <w:spacing w:after="0" w:line="240" w:lineRule="auto"/>
    </w:pPr>
    <w:tblPr>
      <w:tblStyleRowBandSize w:val="1"/>
      <w:tblStyleColBandSize w:val="1"/>
    </w:tblPr>
  </w:style>
  <w:style w:type="table" w:customStyle="1" w:styleId="231">
    <w:name w:val="231"/>
    <w:basedOn w:val="TableNormal"/>
    <w:pPr>
      <w:spacing w:after="0" w:line="240" w:lineRule="auto"/>
    </w:pPr>
    <w:tblPr>
      <w:tblStyleRowBandSize w:val="1"/>
      <w:tblStyleColBandSize w:val="1"/>
    </w:tblPr>
  </w:style>
  <w:style w:type="table" w:customStyle="1" w:styleId="230">
    <w:name w:val="230"/>
    <w:basedOn w:val="TableNormal"/>
    <w:pPr>
      <w:spacing w:after="0" w:line="240" w:lineRule="auto"/>
    </w:pPr>
    <w:tblPr>
      <w:tblStyleRowBandSize w:val="1"/>
      <w:tblStyleColBandSize w:val="1"/>
    </w:tblPr>
  </w:style>
  <w:style w:type="table" w:customStyle="1" w:styleId="229">
    <w:name w:val="229"/>
    <w:basedOn w:val="TableNormal"/>
    <w:pPr>
      <w:spacing w:after="0" w:line="240" w:lineRule="auto"/>
    </w:pPr>
    <w:tblPr>
      <w:tblStyleRowBandSize w:val="1"/>
      <w:tblStyleColBandSize w:val="1"/>
    </w:tblPr>
  </w:style>
  <w:style w:type="table" w:customStyle="1" w:styleId="228">
    <w:name w:val="228"/>
    <w:basedOn w:val="TableNormal"/>
    <w:pPr>
      <w:spacing w:after="0" w:line="240" w:lineRule="auto"/>
    </w:pPr>
    <w:tblPr>
      <w:tblStyleRowBandSize w:val="1"/>
      <w:tblStyleColBandSize w:val="1"/>
    </w:tblPr>
  </w:style>
  <w:style w:type="table" w:customStyle="1" w:styleId="227">
    <w:name w:val="227"/>
    <w:basedOn w:val="TableNormal"/>
    <w:pPr>
      <w:spacing w:after="0" w:line="240" w:lineRule="auto"/>
    </w:pPr>
    <w:tblPr>
      <w:tblStyleRowBandSize w:val="1"/>
      <w:tblStyleColBandSize w:val="1"/>
    </w:tblPr>
  </w:style>
  <w:style w:type="table" w:customStyle="1" w:styleId="226">
    <w:name w:val="226"/>
    <w:basedOn w:val="TableNormal"/>
    <w:pPr>
      <w:spacing w:after="0" w:line="240" w:lineRule="auto"/>
    </w:pPr>
    <w:tblPr>
      <w:tblStyleRowBandSize w:val="1"/>
      <w:tblStyleColBandSize w:val="1"/>
    </w:tblPr>
  </w:style>
  <w:style w:type="table" w:customStyle="1" w:styleId="225">
    <w:name w:val="225"/>
    <w:basedOn w:val="TableNormal"/>
    <w:pPr>
      <w:spacing w:after="0" w:line="240" w:lineRule="auto"/>
    </w:pPr>
    <w:tblPr>
      <w:tblStyleRowBandSize w:val="1"/>
      <w:tblStyleColBandSize w:val="1"/>
    </w:tblPr>
  </w:style>
  <w:style w:type="table" w:customStyle="1" w:styleId="224">
    <w:name w:val="224"/>
    <w:basedOn w:val="TableNormal"/>
    <w:pPr>
      <w:spacing w:after="0" w:line="240" w:lineRule="auto"/>
    </w:pPr>
    <w:tblPr>
      <w:tblStyleRowBandSize w:val="1"/>
      <w:tblStyleColBandSize w:val="1"/>
    </w:tblPr>
  </w:style>
  <w:style w:type="table" w:customStyle="1" w:styleId="223">
    <w:name w:val="223"/>
    <w:basedOn w:val="TableNormal"/>
    <w:pPr>
      <w:spacing w:after="0" w:line="240" w:lineRule="auto"/>
    </w:pPr>
    <w:tblPr>
      <w:tblStyleRowBandSize w:val="1"/>
      <w:tblStyleColBandSize w:val="1"/>
    </w:tblPr>
  </w:style>
  <w:style w:type="table" w:customStyle="1" w:styleId="222">
    <w:name w:val="222"/>
    <w:basedOn w:val="TableNormal"/>
    <w:pPr>
      <w:spacing w:after="0" w:line="240" w:lineRule="auto"/>
    </w:pPr>
    <w:tblPr>
      <w:tblStyleRowBandSize w:val="1"/>
      <w:tblStyleColBandSize w:val="1"/>
    </w:tblPr>
  </w:style>
  <w:style w:type="table" w:customStyle="1" w:styleId="221">
    <w:name w:val="221"/>
    <w:basedOn w:val="TableNormal"/>
    <w:pPr>
      <w:spacing w:after="0" w:line="240" w:lineRule="auto"/>
    </w:pPr>
    <w:tblPr>
      <w:tblStyleRowBandSize w:val="1"/>
      <w:tblStyleColBandSize w:val="1"/>
    </w:tblPr>
  </w:style>
  <w:style w:type="table" w:customStyle="1" w:styleId="220">
    <w:name w:val="220"/>
    <w:basedOn w:val="TableNormal"/>
    <w:pPr>
      <w:spacing w:after="0" w:line="240" w:lineRule="auto"/>
    </w:pPr>
    <w:tblPr>
      <w:tblStyleRowBandSize w:val="1"/>
      <w:tblStyleColBandSize w:val="1"/>
    </w:tblPr>
  </w:style>
  <w:style w:type="table" w:customStyle="1" w:styleId="219">
    <w:name w:val="219"/>
    <w:basedOn w:val="TableNormal"/>
    <w:pPr>
      <w:spacing w:after="0" w:line="240" w:lineRule="auto"/>
    </w:pPr>
    <w:tblPr>
      <w:tblStyleRowBandSize w:val="1"/>
      <w:tblStyleColBandSize w:val="1"/>
    </w:tblPr>
  </w:style>
  <w:style w:type="table" w:customStyle="1" w:styleId="218">
    <w:name w:val="218"/>
    <w:basedOn w:val="TableNormal"/>
    <w:pPr>
      <w:spacing w:after="0" w:line="240" w:lineRule="auto"/>
    </w:pPr>
    <w:tblPr>
      <w:tblStyleRowBandSize w:val="1"/>
      <w:tblStyleColBandSize w:val="1"/>
    </w:tblPr>
  </w:style>
  <w:style w:type="table" w:customStyle="1" w:styleId="217">
    <w:name w:val="217"/>
    <w:basedOn w:val="TableNormal"/>
    <w:pPr>
      <w:spacing w:after="0" w:line="240" w:lineRule="auto"/>
    </w:pPr>
    <w:tblPr>
      <w:tblStyleRowBandSize w:val="1"/>
      <w:tblStyleColBandSize w:val="1"/>
    </w:tblPr>
  </w:style>
  <w:style w:type="table" w:customStyle="1" w:styleId="216">
    <w:name w:val="216"/>
    <w:basedOn w:val="TableNormal"/>
    <w:pPr>
      <w:spacing w:after="0" w:line="240" w:lineRule="auto"/>
    </w:pPr>
    <w:tblPr>
      <w:tblStyleRowBandSize w:val="1"/>
      <w:tblStyleColBandSize w:val="1"/>
    </w:tblPr>
  </w:style>
  <w:style w:type="table" w:customStyle="1" w:styleId="215">
    <w:name w:val="215"/>
    <w:basedOn w:val="TableNormal"/>
    <w:pPr>
      <w:spacing w:after="0" w:line="240" w:lineRule="auto"/>
    </w:pPr>
    <w:tblPr>
      <w:tblStyleRowBandSize w:val="1"/>
      <w:tblStyleColBandSize w:val="1"/>
    </w:tblPr>
  </w:style>
  <w:style w:type="table" w:customStyle="1" w:styleId="214">
    <w:name w:val="214"/>
    <w:basedOn w:val="TableNormal"/>
    <w:pPr>
      <w:spacing w:after="0" w:line="240" w:lineRule="auto"/>
    </w:pPr>
    <w:tblPr>
      <w:tblStyleRowBandSize w:val="1"/>
      <w:tblStyleColBandSize w:val="1"/>
    </w:tblPr>
  </w:style>
  <w:style w:type="table" w:customStyle="1" w:styleId="213">
    <w:name w:val="213"/>
    <w:basedOn w:val="TableNormal"/>
    <w:pPr>
      <w:spacing w:after="0" w:line="240" w:lineRule="auto"/>
    </w:pPr>
    <w:tblPr>
      <w:tblStyleRowBandSize w:val="1"/>
      <w:tblStyleColBandSize w:val="1"/>
    </w:tblPr>
  </w:style>
  <w:style w:type="table" w:customStyle="1" w:styleId="212">
    <w:name w:val="212"/>
    <w:basedOn w:val="TableNormal"/>
    <w:pPr>
      <w:spacing w:after="0" w:line="240" w:lineRule="auto"/>
    </w:pPr>
    <w:tblPr>
      <w:tblStyleRowBandSize w:val="1"/>
      <w:tblStyleColBandSize w:val="1"/>
    </w:tblPr>
  </w:style>
  <w:style w:type="table" w:customStyle="1" w:styleId="211">
    <w:name w:val="211"/>
    <w:basedOn w:val="TableNormal"/>
    <w:pPr>
      <w:spacing w:after="0" w:line="240" w:lineRule="auto"/>
    </w:pPr>
    <w:tblPr>
      <w:tblStyleRowBandSize w:val="1"/>
      <w:tblStyleColBandSize w:val="1"/>
    </w:tblPr>
  </w:style>
  <w:style w:type="table" w:customStyle="1" w:styleId="210">
    <w:name w:val="210"/>
    <w:basedOn w:val="TableNormal"/>
    <w:pPr>
      <w:spacing w:after="0" w:line="240" w:lineRule="auto"/>
    </w:pPr>
    <w:tblPr>
      <w:tblStyleRowBandSize w:val="1"/>
      <w:tblStyleColBandSize w:val="1"/>
    </w:tblPr>
  </w:style>
  <w:style w:type="table" w:customStyle="1" w:styleId="209">
    <w:name w:val="209"/>
    <w:basedOn w:val="TableNormal"/>
    <w:pPr>
      <w:spacing w:after="0" w:line="240" w:lineRule="auto"/>
    </w:pPr>
    <w:tblPr>
      <w:tblStyleRowBandSize w:val="1"/>
      <w:tblStyleColBandSize w:val="1"/>
    </w:tblPr>
  </w:style>
  <w:style w:type="table" w:customStyle="1" w:styleId="208">
    <w:name w:val="208"/>
    <w:basedOn w:val="TableNormal"/>
    <w:pPr>
      <w:spacing w:after="0" w:line="240" w:lineRule="auto"/>
    </w:pPr>
    <w:tblPr>
      <w:tblStyleRowBandSize w:val="1"/>
      <w:tblStyleColBandSize w:val="1"/>
    </w:tblPr>
  </w:style>
  <w:style w:type="table" w:customStyle="1" w:styleId="207">
    <w:name w:val="207"/>
    <w:basedOn w:val="TableNormal"/>
    <w:pPr>
      <w:spacing w:after="0" w:line="240" w:lineRule="auto"/>
    </w:pPr>
    <w:tblPr>
      <w:tblStyleRowBandSize w:val="1"/>
      <w:tblStyleColBandSize w:val="1"/>
    </w:tblPr>
  </w:style>
  <w:style w:type="table" w:customStyle="1" w:styleId="206">
    <w:name w:val="206"/>
    <w:basedOn w:val="TableNormal"/>
    <w:pPr>
      <w:spacing w:after="0" w:line="240" w:lineRule="auto"/>
    </w:pPr>
    <w:tblPr>
      <w:tblStyleRowBandSize w:val="1"/>
      <w:tblStyleColBandSize w:val="1"/>
    </w:tblPr>
  </w:style>
  <w:style w:type="table" w:customStyle="1" w:styleId="205">
    <w:name w:val="205"/>
    <w:basedOn w:val="TableNormal"/>
    <w:pPr>
      <w:spacing w:after="0" w:line="240" w:lineRule="auto"/>
    </w:pPr>
    <w:tblPr>
      <w:tblStyleRowBandSize w:val="1"/>
      <w:tblStyleColBandSize w:val="1"/>
    </w:tblPr>
  </w:style>
  <w:style w:type="table" w:customStyle="1" w:styleId="204">
    <w:name w:val="204"/>
    <w:basedOn w:val="TableNormal"/>
    <w:pPr>
      <w:spacing w:after="0" w:line="240" w:lineRule="auto"/>
    </w:pPr>
    <w:tblPr>
      <w:tblStyleRowBandSize w:val="1"/>
      <w:tblStyleColBandSize w:val="1"/>
    </w:tblPr>
  </w:style>
  <w:style w:type="table" w:customStyle="1" w:styleId="203">
    <w:name w:val="203"/>
    <w:basedOn w:val="TableNormal"/>
    <w:pPr>
      <w:spacing w:after="0" w:line="240" w:lineRule="auto"/>
    </w:pPr>
    <w:tblPr>
      <w:tblStyleRowBandSize w:val="1"/>
      <w:tblStyleColBandSize w:val="1"/>
    </w:tblPr>
  </w:style>
  <w:style w:type="table" w:customStyle="1" w:styleId="202">
    <w:name w:val="202"/>
    <w:basedOn w:val="TableNormal"/>
    <w:pPr>
      <w:spacing w:after="0" w:line="240" w:lineRule="auto"/>
    </w:pPr>
    <w:tblPr>
      <w:tblStyleRowBandSize w:val="1"/>
      <w:tblStyleColBandSize w:val="1"/>
    </w:tblPr>
  </w:style>
  <w:style w:type="table" w:customStyle="1" w:styleId="201">
    <w:name w:val="201"/>
    <w:basedOn w:val="TableNormal"/>
    <w:pPr>
      <w:spacing w:after="0" w:line="240" w:lineRule="auto"/>
    </w:pPr>
    <w:tblPr>
      <w:tblStyleRowBandSize w:val="1"/>
      <w:tblStyleColBandSize w:val="1"/>
    </w:tblPr>
  </w:style>
  <w:style w:type="table" w:customStyle="1" w:styleId="200">
    <w:name w:val="200"/>
    <w:basedOn w:val="TableNormal"/>
    <w:pPr>
      <w:spacing w:after="0" w:line="240" w:lineRule="auto"/>
    </w:pPr>
    <w:tblPr>
      <w:tblStyleRowBandSize w:val="1"/>
      <w:tblStyleColBandSize w:val="1"/>
    </w:tblPr>
  </w:style>
  <w:style w:type="table" w:customStyle="1" w:styleId="199">
    <w:name w:val="199"/>
    <w:basedOn w:val="TableNormal"/>
    <w:pPr>
      <w:spacing w:after="0" w:line="240" w:lineRule="auto"/>
    </w:pPr>
    <w:tblPr>
      <w:tblStyleRowBandSize w:val="1"/>
      <w:tblStyleColBandSize w:val="1"/>
    </w:tblPr>
  </w:style>
  <w:style w:type="table" w:customStyle="1" w:styleId="198">
    <w:name w:val="198"/>
    <w:basedOn w:val="TableNormal"/>
    <w:pPr>
      <w:spacing w:after="0" w:line="240" w:lineRule="auto"/>
    </w:pPr>
    <w:tblPr>
      <w:tblStyleRowBandSize w:val="1"/>
      <w:tblStyleColBandSize w:val="1"/>
    </w:tblPr>
  </w:style>
  <w:style w:type="table" w:customStyle="1" w:styleId="197">
    <w:name w:val="197"/>
    <w:basedOn w:val="TableNormal"/>
    <w:pPr>
      <w:spacing w:after="0" w:line="240" w:lineRule="auto"/>
    </w:pPr>
    <w:tblPr>
      <w:tblStyleRowBandSize w:val="1"/>
      <w:tblStyleColBandSize w:val="1"/>
    </w:tblPr>
  </w:style>
  <w:style w:type="table" w:customStyle="1" w:styleId="196">
    <w:name w:val="196"/>
    <w:basedOn w:val="TableNormal"/>
    <w:pPr>
      <w:spacing w:after="0" w:line="240" w:lineRule="auto"/>
    </w:pPr>
    <w:tblPr>
      <w:tblStyleRowBandSize w:val="1"/>
      <w:tblStyleColBandSize w:val="1"/>
    </w:tblPr>
  </w:style>
  <w:style w:type="table" w:customStyle="1" w:styleId="195">
    <w:name w:val="195"/>
    <w:basedOn w:val="TableNormal"/>
    <w:pPr>
      <w:spacing w:after="0" w:line="240" w:lineRule="auto"/>
    </w:pPr>
    <w:tblPr>
      <w:tblStyleRowBandSize w:val="1"/>
      <w:tblStyleColBandSize w:val="1"/>
    </w:tblPr>
  </w:style>
  <w:style w:type="table" w:customStyle="1" w:styleId="194">
    <w:name w:val="194"/>
    <w:basedOn w:val="TableNormal"/>
    <w:pPr>
      <w:spacing w:after="0" w:line="240" w:lineRule="auto"/>
    </w:pPr>
    <w:tblPr>
      <w:tblStyleRowBandSize w:val="1"/>
      <w:tblStyleColBandSize w:val="1"/>
    </w:tblPr>
  </w:style>
  <w:style w:type="table" w:customStyle="1" w:styleId="193">
    <w:name w:val="193"/>
    <w:basedOn w:val="TableNormal"/>
    <w:pPr>
      <w:spacing w:after="0" w:line="240" w:lineRule="auto"/>
    </w:pPr>
    <w:tblPr>
      <w:tblStyleRowBandSize w:val="1"/>
      <w:tblStyleColBandSize w:val="1"/>
    </w:tblPr>
  </w:style>
  <w:style w:type="table" w:customStyle="1" w:styleId="192">
    <w:name w:val="192"/>
    <w:basedOn w:val="TableNormal"/>
    <w:pPr>
      <w:spacing w:after="0" w:line="240" w:lineRule="auto"/>
    </w:pPr>
    <w:tblPr>
      <w:tblStyleRowBandSize w:val="1"/>
      <w:tblStyleColBandSize w:val="1"/>
    </w:tblPr>
  </w:style>
  <w:style w:type="table" w:customStyle="1" w:styleId="191">
    <w:name w:val="191"/>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CF0306"/>
    <w:rPr>
      <w:sz w:val="16"/>
      <w:szCs w:val="16"/>
    </w:rPr>
  </w:style>
  <w:style w:type="paragraph" w:styleId="CommentText">
    <w:name w:val="annotation text"/>
    <w:basedOn w:val="Normal"/>
    <w:link w:val="CommentTextChar"/>
    <w:uiPriority w:val="99"/>
    <w:unhideWhenUsed/>
    <w:rsid w:val="00CF0306"/>
    <w:pPr>
      <w:spacing w:line="240" w:lineRule="auto"/>
    </w:pPr>
    <w:rPr>
      <w:sz w:val="20"/>
      <w:szCs w:val="20"/>
    </w:rPr>
  </w:style>
  <w:style w:type="character" w:customStyle="1" w:styleId="CommentTextChar">
    <w:name w:val="Comment Text Char"/>
    <w:basedOn w:val="DefaultParagraphFont"/>
    <w:link w:val="CommentText"/>
    <w:uiPriority w:val="99"/>
    <w:rsid w:val="00CF0306"/>
    <w:rPr>
      <w:sz w:val="20"/>
      <w:szCs w:val="20"/>
    </w:rPr>
  </w:style>
  <w:style w:type="paragraph" w:styleId="CommentSubject">
    <w:name w:val="annotation subject"/>
    <w:basedOn w:val="CommentText"/>
    <w:next w:val="CommentText"/>
    <w:link w:val="CommentSubjectChar"/>
    <w:uiPriority w:val="99"/>
    <w:semiHidden/>
    <w:unhideWhenUsed/>
    <w:rsid w:val="00CF0306"/>
    <w:rPr>
      <w:b/>
      <w:bCs/>
    </w:rPr>
  </w:style>
  <w:style w:type="character" w:customStyle="1" w:styleId="CommentSubjectChar">
    <w:name w:val="Comment Subject Char"/>
    <w:basedOn w:val="CommentTextChar"/>
    <w:link w:val="CommentSubject"/>
    <w:uiPriority w:val="99"/>
    <w:semiHidden/>
    <w:rsid w:val="00CF0306"/>
    <w:rPr>
      <w:b/>
      <w:bCs/>
      <w:sz w:val="20"/>
      <w:szCs w:val="20"/>
    </w:rPr>
  </w:style>
  <w:style w:type="paragraph" w:styleId="BalloonText">
    <w:name w:val="Balloon Text"/>
    <w:basedOn w:val="Normal"/>
    <w:link w:val="BalloonTextChar"/>
    <w:uiPriority w:val="99"/>
    <w:semiHidden/>
    <w:unhideWhenUsed/>
    <w:rsid w:val="00CF0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306"/>
    <w:rPr>
      <w:rFonts w:ascii="Segoe UI" w:hAnsi="Segoe UI" w:cs="Segoe UI"/>
      <w:sz w:val="18"/>
      <w:szCs w:val="18"/>
    </w:rPr>
  </w:style>
  <w:style w:type="paragraph" w:styleId="Revision">
    <w:name w:val="Revision"/>
    <w:hidden/>
    <w:uiPriority w:val="99"/>
    <w:semiHidden/>
    <w:rsid w:val="00CF0306"/>
    <w:pPr>
      <w:spacing w:after="0" w:line="240" w:lineRule="auto"/>
    </w:pPr>
  </w:style>
  <w:style w:type="paragraph" w:styleId="Header">
    <w:name w:val="header"/>
    <w:basedOn w:val="Normal"/>
    <w:link w:val="HeaderChar"/>
    <w:uiPriority w:val="99"/>
    <w:unhideWhenUsed/>
    <w:rsid w:val="00E53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094"/>
  </w:style>
  <w:style w:type="paragraph" w:styleId="Footer">
    <w:name w:val="footer"/>
    <w:basedOn w:val="Normal"/>
    <w:link w:val="FooterChar"/>
    <w:uiPriority w:val="99"/>
    <w:unhideWhenUsed/>
    <w:rsid w:val="00E53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094"/>
  </w:style>
  <w:style w:type="character" w:styleId="Emphasis">
    <w:name w:val="Emphasis"/>
    <w:basedOn w:val="DefaultParagraphFont"/>
    <w:uiPriority w:val="20"/>
    <w:qFormat/>
    <w:rsid w:val="007375D9"/>
    <w:rPr>
      <w:i/>
      <w:iCs/>
    </w:rPr>
  </w:style>
  <w:style w:type="table" w:styleId="TableGrid">
    <w:name w:val="Table Grid"/>
    <w:basedOn w:val="TableNormal"/>
    <w:uiPriority w:val="59"/>
    <w:rsid w:val="007375D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w:basedOn w:val="Normal"/>
    <w:link w:val="ListParagraphChar"/>
    <w:uiPriority w:val="34"/>
    <w:qFormat/>
    <w:rsid w:val="007375D9"/>
    <w:pPr>
      <w:ind w:left="720"/>
      <w:contextualSpacing/>
    </w:pPr>
    <w:rPr>
      <w:rFonts w:asciiTheme="minorHAnsi" w:eastAsiaTheme="minorHAnsi" w:hAnsiTheme="minorHAnsi" w:cstheme="minorBidi"/>
    </w:rPr>
  </w:style>
  <w:style w:type="paragraph" w:customStyle="1" w:styleId="Default">
    <w:name w:val="Default"/>
    <w:rsid w:val="008C34BA"/>
    <w:pPr>
      <w:autoSpaceDE w:val="0"/>
      <w:autoSpaceDN w:val="0"/>
      <w:adjustRightInd w:val="0"/>
      <w:spacing w:after="0" w:line="240" w:lineRule="auto"/>
    </w:pPr>
    <w:rPr>
      <w:rFonts w:ascii="Arial" w:hAnsi="Arial" w:cs="Arial"/>
      <w:color w:val="000000"/>
      <w:sz w:val="24"/>
      <w:szCs w:val="24"/>
    </w:rPr>
  </w:style>
  <w:style w:type="paragraph" w:customStyle="1" w:styleId="Style1">
    <w:name w:val="Style1"/>
    <w:basedOn w:val="Normal"/>
    <w:link w:val="Style1Char"/>
    <w:qFormat/>
    <w:rsid w:val="0052265F"/>
    <w:pPr>
      <w:spacing w:after="0" w:line="240" w:lineRule="auto"/>
    </w:pPr>
    <w:rPr>
      <w:i/>
      <w:sz w:val="40"/>
      <w:szCs w:val="40"/>
    </w:rPr>
  </w:style>
  <w:style w:type="character" w:customStyle="1" w:styleId="Style1Char">
    <w:name w:val="Style1 Char"/>
    <w:basedOn w:val="DefaultParagraphFont"/>
    <w:link w:val="Style1"/>
    <w:rsid w:val="0052265F"/>
    <w:rPr>
      <w:i/>
      <w:sz w:val="40"/>
      <w:szCs w:val="40"/>
    </w:rPr>
  </w:style>
  <w:style w:type="paragraph" w:styleId="TOC1">
    <w:name w:val="toc 1"/>
    <w:basedOn w:val="Normal"/>
    <w:next w:val="Normal"/>
    <w:autoRedefine/>
    <w:uiPriority w:val="39"/>
    <w:unhideWhenUsed/>
    <w:rsid w:val="00345095"/>
    <w:pPr>
      <w:spacing w:after="100"/>
    </w:pPr>
  </w:style>
  <w:style w:type="paragraph" w:styleId="TOC2">
    <w:name w:val="toc 2"/>
    <w:basedOn w:val="Normal"/>
    <w:next w:val="Normal"/>
    <w:autoRedefine/>
    <w:uiPriority w:val="39"/>
    <w:unhideWhenUsed/>
    <w:rsid w:val="00345095"/>
    <w:pPr>
      <w:spacing w:after="100"/>
      <w:ind w:left="220"/>
    </w:pPr>
  </w:style>
  <w:style w:type="character" w:styleId="Hyperlink">
    <w:name w:val="Hyperlink"/>
    <w:basedOn w:val="DefaultParagraphFont"/>
    <w:uiPriority w:val="99"/>
    <w:unhideWhenUsed/>
    <w:rsid w:val="00345095"/>
    <w:rPr>
      <w:color w:val="0000FF" w:themeColor="hyperlink"/>
      <w:u w:val="single"/>
    </w:rPr>
  </w:style>
  <w:style w:type="paragraph" w:styleId="TOCHeading">
    <w:name w:val="TOC Heading"/>
    <w:basedOn w:val="Heading1"/>
    <w:next w:val="Normal"/>
    <w:uiPriority w:val="39"/>
    <w:unhideWhenUsed/>
    <w:qFormat/>
    <w:rsid w:val="00AD51F2"/>
    <w:pPr>
      <w:outlineLvl w:val="9"/>
    </w:pPr>
    <w:rPr>
      <w:rFonts w:asciiTheme="majorHAnsi" w:eastAsiaTheme="majorEastAsia" w:hAnsiTheme="majorHAnsi" w:cstheme="majorBidi"/>
      <w:color w:val="365F91" w:themeColor="accent1" w:themeShade="BF"/>
    </w:rPr>
  </w:style>
  <w:style w:type="paragraph" w:customStyle="1" w:styleId="Normal1">
    <w:name w:val="Normal1"/>
    <w:rsid w:val="009076CF"/>
    <w:pPr>
      <w:spacing w:after="0" w:line="240" w:lineRule="auto"/>
    </w:pPr>
    <w:rPr>
      <w:rFonts w:ascii="Arial" w:eastAsia="Arial" w:hAnsi="Arial" w:cs="Arial"/>
      <w:sz w:val="24"/>
      <w:szCs w:val="24"/>
    </w:rPr>
  </w:style>
  <w:style w:type="character" w:customStyle="1" w:styleId="UnresolvedMention1">
    <w:name w:val="Unresolved Mention1"/>
    <w:basedOn w:val="DefaultParagraphFont"/>
    <w:uiPriority w:val="99"/>
    <w:semiHidden/>
    <w:unhideWhenUsed/>
    <w:rsid w:val="009076CF"/>
    <w:rPr>
      <w:color w:val="605E5C"/>
      <w:shd w:val="clear" w:color="auto" w:fill="E1DFDD"/>
    </w:rPr>
  </w:style>
  <w:style w:type="paragraph" w:styleId="NormalWeb">
    <w:name w:val="Normal (Web)"/>
    <w:basedOn w:val="Normal"/>
    <w:uiPriority w:val="99"/>
    <w:unhideWhenUsed/>
    <w:rsid w:val="00AA6CB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44D39"/>
    <w:rPr>
      <w:color w:val="800080" w:themeColor="followedHyperlink"/>
      <w:u w:val="single"/>
    </w:rPr>
  </w:style>
  <w:style w:type="paragraph" w:customStyle="1" w:styleId="Style2">
    <w:name w:val="Style2"/>
    <w:basedOn w:val="Normal"/>
    <w:link w:val="Style2Char"/>
    <w:qFormat/>
    <w:rsid w:val="00355C6D"/>
    <w:pPr>
      <w:tabs>
        <w:tab w:val="left" w:pos="8430"/>
      </w:tabs>
    </w:pPr>
    <w:rPr>
      <w:i/>
      <w:sz w:val="32"/>
      <w:szCs w:val="32"/>
    </w:rPr>
  </w:style>
  <w:style w:type="paragraph" w:customStyle="1" w:styleId="Style3">
    <w:name w:val="Style3"/>
    <w:basedOn w:val="Normal"/>
    <w:link w:val="Style3Char"/>
    <w:qFormat/>
    <w:rsid w:val="00355C6D"/>
    <w:pPr>
      <w:tabs>
        <w:tab w:val="left" w:pos="9300"/>
      </w:tabs>
    </w:pPr>
    <w:rPr>
      <w:sz w:val="40"/>
      <w:szCs w:val="40"/>
    </w:rPr>
  </w:style>
  <w:style w:type="character" w:customStyle="1" w:styleId="Style2Char">
    <w:name w:val="Style2 Char"/>
    <w:basedOn w:val="DefaultParagraphFont"/>
    <w:link w:val="Style2"/>
    <w:rsid w:val="00355C6D"/>
    <w:rPr>
      <w:i/>
      <w:sz w:val="32"/>
      <w:szCs w:val="32"/>
    </w:rPr>
  </w:style>
  <w:style w:type="character" w:customStyle="1" w:styleId="Style3Char">
    <w:name w:val="Style3 Char"/>
    <w:basedOn w:val="DefaultParagraphFont"/>
    <w:link w:val="Style3"/>
    <w:rsid w:val="00355C6D"/>
    <w:rPr>
      <w:sz w:val="40"/>
      <w:szCs w:val="40"/>
    </w:rPr>
  </w:style>
  <w:style w:type="character" w:customStyle="1" w:styleId="UnresolvedMention2">
    <w:name w:val="Unresolved Mention2"/>
    <w:basedOn w:val="DefaultParagraphFont"/>
    <w:uiPriority w:val="99"/>
    <w:semiHidden/>
    <w:unhideWhenUsed/>
    <w:rsid w:val="00FF2F42"/>
    <w:rPr>
      <w:color w:val="605E5C"/>
      <w:shd w:val="clear" w:color="auto" w:fill="E1DFDD"/>
    </w:rPr>
  </w:style>
  <w:style w:type="character" w:customStyle="1" w:styleId="Heading1Char">
    <w:name w:val="Heading 1 Char"/>
    <w:basedOn w:val="DefaultParagraphFont"/>
    <w:link w:val="Heading1"/>
    <w:rsid w:val="00E31D72"/>
    <w:rPr>
      <w:color w:val="2E75B5"/>
      <w:sz w:val="32"/>
      <w:szCs w:val="32"/>
    </w:rPr>
  </w:style>
  <w:style w:type="paragraph" w:customStyle="1" w:styleId="Style4">
    <w:name w:val="Style4"/>
    <w:basedOn w:val="Heading1"/>
    <w:link w:val="Style4Char"/>
    <w:qFormat/>
    <w:rsid w:val="007B0529"/>
    <w:pPr>
      <w:shd w:val="clear" w:color="auto" w:fill="1F3864"/>
      <w:tabs>
        <w:tab w:val="left" w:pos="1215"/>
        <w:tab w:val="center" w:pos="5400"/>
      </w:tabs>
      <w:spacing w:after="240"/>
    </w:pPr>
    <w:rPr>
      <w:rFonts w:ascii="Times New Roman" w:hAnsi="Times New Roman" w:cs="Times New Roman"/>
      <w:b/>
      <w:color w:val="FFFFFF"/>
      <w:sz w:val="44"/>
      <w:szCs w:val="44"/>
    </w:rPr>
  </w:style>
  <w:style w:type="paragraph" w:customStyle="1" w:styleId="Style5">
    <w:name w:val="Style5"/>
    <w:basedOn w:val="Normal"/>
    <w:link w:val="Style5Char"/>
    <w:qFormat/>
    <w:rsid w:val="00B13E78"/>
    <w:rPr>
      <w:rFonts w:ascii="Times New Roman" w:hAnsi="Times New Roman" w:cs="Times New Roman"/>
      <w:b/>
      <w:sz w:val="24"/>
      <w:szCs w:val="24"/>
      <w:u w:val="single"/>
    </w:rPr>
  </w:style>
  <w:style w:type="character" w:customStyle="1" w:styleId="Style4Char">
    <w:name w:val="Style4 Char"/>
    <w:basedOn w:val="Heading1Char"/>
    <w:link w:val="Style4"/>
    <w:rsid w:val="007B0529"/>
    <w:rPr>
      <w:rFonts w:ascii="Times New Roman" w:hAnsi="Times New Roman" w:cs="Times New Roman"/>
      <w:b/>
      <w:color w:val="FFFFFF"/>
      <w:sz w:val="44"/>
      <w:szCs w:val="44"/>
      <w:shd w:val="clear" w:color="auto" w:fill="1F3864"/>
    </w:rPr>
  </w:style>
  <w:style w:type="paragraph" w:customStyle="1" w:styleId="Style6">
    <w:name w:val="Style6"/>
    <w:basedOn w:val="Heading1"/>
    <w:link w:val="Style6Char"/>
    <w:qFormat/>
    <w:rsid w:val="00C74F81"/>
    <w:pPr>
      <w:shd w:val="clear" w:color="auto" w:fill="1F3864"/>
      <w:spacing w:after="240"/>
      <w:jc w:val="center"/>
    </w:pPr>
    <w:rPr>
      <w:rFonts w:ascii="Times New Roman" w:hAnsi="Times New Roman" w:cs="Times New Roman"/>
      <w:b/>
      <w:color w:val="FFFFFF"/>
      <w:sz w:val="44"/>
      <w:szCs w:val="44"/>
    </w:rPr>
  </w:style>
  <w:style w:type="character" w:customStyle="1" w:styleId="Style5Char">
    <w:name w:val="Style5 Char"/>
    <w:basedOn w:val="DefaultParagraphFont"/>
    <w:link w:val="Style5"/>
    <w:rsid w:val="00B13E78"/>
    <w:rPr>
      <w:rFonts w:ascii="Times New Roman" w:hAnsi="Times New Roman" w:cs="Times New Roman"/>
      <w:b/>
      <w:sz w:val="24"/>
      <w:szCs w:val="24"/>
      <w:u w:val="single"/>
    </w:rPr>
  </w:style>
  <w:style w:type="character" w:customStyle="1" w:styleId="Style6Char">
    <w:name w:val="Style6 Char"/>
    <w:basedOn w:val="Heading1Char"/>
    <w:link w:val="Style6"/>
    <w:rsid w:val="00C74F81"/>
    <w:rPr>
      <w:rFonts w:ascii="Times New Roman" w:hAnsi="Times New Roman" w:cs="Times New Roman"/>
      <w:b/>
      <w:color w:val="FFFFFF"/>
      <w:sz w:val="44"/>
      <w:szCs w:val="44"/>
      <w:shd w:val="clear" w:color="auto" w:fill="1F3864"/>
    </w:rPr>
  </w:style>
  <w:style w:type="paragraph" w:customStyle="1" w:styleId="Style7">
    <w:name w:val="Style7"/>
    <w:basedOn w:val="Normal"/>
    <w:link w:val="Style7Char"/>
    <w:qFormat/>
    <w:rsid w:val="002D3CB1"/>
    <w:pPr>
      <w:jc w:val="center"/>
    </w:pPr>
    <w:rPr>
      <w:rFonts w:ascii="Times New Roman" w:eastAsia="Arial" w:hAnsi="Times New Roman" w:cs="Times New Roman"/>
      <w:color w:val="1F497D" w:themeColor="text2"/>
      <w:sz w:val="72"/>
      <w:szCs w:val="72"/>
    </w:rPr>
  </w:style>
  <w:style w:type="character" w:customStyle="1" w:styleId="Style7Char">
    <w:name w:val="Style7 Char"/>
    <w:basedOn w:val="DefaultParagraphFont"/>
    <w:link w:val="Style7"/>
    <w:rsid w:val="002D3CB1"/>
    <w:rPr>
      <w:rFonts w:ascii="Times New Roman" w:eastAsia="Arial" w:hAnsi="Times New Roman" w:cs="Times New Roman"/>
      <w:color w:val="1F497D" w:themeColor="text2"/>
      <w:sz w:val="72"/>
      <w:szCs w:val="72"/>
    </w:rPr>
  </w:style>
  <w:style w:type="table" w:customStyle="1" w:styleId="190">
    <w:name w:val="190"/>
    <w:basedOn w:val="TableNormal"/>
    <w:pPr>
      <w:spacing w:after="0" w:line="240" w:lineRule="auto"/>
    </w:pPr>
    <w:rPr>
      <w:rFonts w:ascii="Cambria" w:eastAsia="Cambria" w:hAnsi="Cambria" w:cs="Cambria"/>
    </w:rPr>
    <w:tblPr>
      <w:tblStyleRowBandSize w:val="1"/>
      <w:tblStyleColBandSize w:val="1"/>
    </w:tblPr>
  </w:style>
  <w:style w:type="table" w:customStyle="1" w:styleId="189">
    <w:name w:val="189"/>
    <w:basedOn w:val="TableNormal"/>
    <w:tblPr>
      <w:tblStyleRowBandSize w:val="1"/>
      <w:tblStyleColBandSize w:val="1"/>
      <w:tblCellMar>
        <w:left w:w="115" w:type="dxa"/>
        <w:right w:w="115" w:type="dxa"/>
      </w:tblCellMar>
    </w:tblPr>
  </w:style>
  <w:style w:type="table" w:customStyle="1" w:styleId="188">
    <w:name w:val="188"/>
    <w:basedOn w:val="TableNormal"/>
    <w:tblPr>
      <w:tblStyleRowBandSize w:val="1"/>
      <w:tblStyleColBandSize w:val="1"/>
      <w:tblCellMar>
        <w:left w:w="115" w:type="dxa"/>
        <w:right w:w="115" w:type="dxa"/>
      </w:tblCellMar>
    </w:tblPr>
  </w:style>
  <w:style w:type="table" w:customStyle="1" w:styleId="187">
    <w:name w:val="187"/>
    <w:basedOn w:val="TableNormal"/>
    <w:tblPr>
      <w:tblStyleRowBandSize w:val="1"/>
      <w:tblStyleColBandSize w:val="1"/>
      <w:tblCellMar>
        <w:left w:w="115" w:type="dxa"/>
        <w:right w:w="115" w:type="dxa"/>
      </w:tblCellMar>
    </w:tblPr>
  </w:style>
  <w:style w:type="table" w:customStyle="1" w:styleId="186">
    <w:name w:val="186"/>
    <w:basedOn w:val="TableNormal"/>
    <w:tblPr>
      <w:tblStyleRowBandSize w:val="1"/>
      <w:tblStyleColBandSize w:val="1"/>
      <w:tblCellMar>
        <w:left w:w="115" w:type="dxa"/>
        <w:right w:w="115" w:type="dxa"/>
      </w:tblCellMar>
    </w:tblPr>
  </w:style>
  <w:style w:type="table" w:customStyle="1" w:styleId="185">
    <w:name w:val="185"/>
    <w:basedOn w:val="TableNormal"/>
    <w:tblPr>
      <w:tblStyleRowBandSize w:val="1"/>
      <w:tblStyleColBandSize w:val="1"/>
      <w:tblCellMar>
        <w:left w:w="115" w:type="dxa"/>
        <w:right w:w="115" w:type="dxa"/>
      </w:tblCellMar>
    </w:tblPr>
  </w:style>
  <w:style w:type="table" w:customStyle="1" w:styleId="184">
    <w:name w:val="184"/>
    <w:basedOn w:val="TableNormal"/>
    <w:tblPr>
      <w:tblStyleRowBandSize w:val="1"/>
      <w:tblStyleColBandSize w:val="1"/>
      <w:tblCellMar>
        <w:left w:w="115" w:type="dxa"/>
        <w:right w:w="115" w:type="dxa"/>
      </w:tblCellMar>
    </w:tblPr>
  </w:style>
  <w:style w:type="table" w:customStyle="1" w:styleId="183">
    <w:name w:val="183"/>
    <w:basedOn w:val="TableNormal"/>
    <w:tblPr>
      <w:tblStyleRowBandSize w:val="1"/>
      <w:tblStyleColBandSize w:val="1"/>
      <w:tblCellMar>
        <w:left w:w="115" w:type="dxa"/>
        <w:right w:w="115" w:type="dxa"/>
      </w:tblCellMar>
    </w:tblPr>
  </w:style>
  <w:style w:type="table" w:customStyle="1" w:styleId="182">
    <w:name w:val="182"/>
    <w:basedOn w:val="TableNormal"/>
    <w:tblPr>
      <w:tblStyleRowBandSize w:val="1"/>
      <w:tblStyleColBandSize w:val="1"/>
      <w:tblCellMar>
        <w:left w:w="115" w:type="dxa"/>
        <w:right w:w="115" w:type="dxa"/>
      </w:tblCellMar>
    </w:tblPr>
  </w:style>
  <w:style w:type="table" w:customStyle="1" w:styleId="181">
    <w:name w:val="181"/>
    <w:basedOn w:val="TableNormal"/>
    <w:tblPr>
      <w:tblStyleRowBandSize w:val="1"/>
      <w:tblStyleColBandSize w:val="1"/>
      <w:tblCellMar>
        <w:left w:w="115" w:type="dxa"/>
        <w:right w:w="115" w:type="dxa"/>
      </w:tblCellMar>
    </w:tblPr>
  </w:style>
  <w:style w:type="table" w:customStyle="1" w:styleId="180">
    <w:name w:val="180"/>
    <w:basedOn w:val="TableNormal"/>
    <w:tblPr>
      <w:tblStyleRowBandSize w:val="1"/>
      <w:tblStyleColBandSize w:val="1"/>
      <w:tblCellMar>
        <w:left w:w="115" w:type="dxa"/>
        <w:right w:w="115" w:type="dxa"/>
      </w:tblCellMar>
    </w:tblPr>
  </w:style>
  <w:style w:type="table" w:customStyle="1" w:styleId="179">
    <w:name w:val="179"/>
    <w:basedOn w:val="TableNormal"/>
    <w:tblPr>
      <w:tblStyleRowBandSize w:val="1"/>
      <w:tblStyleColBandSize w:val="1"/>
      <w:tblCellMar>
        <w:left w:w="115" w:type="dxa"/>
        <w:right w:w="115" w:type="dxa"/>
      </w:tblCellMar>
    </w:tblPr>
  </w:style>
  <w:style w:type="table" w:customStyle="1" w:styleId="178">
    <w:name w:val="178"/>
    <w:basedOn w:val="TableNormal"/>
    <w:tblPr>
      <w:tblStyleRowBandSize w:val="1"/>
      <w:tblStyleColBandSize w:val="1"/>
      <w:tblCellMar>
        <w:left w:w="115" w:type="dxa"/>
        <w:right w:w="115" w:type="dxa"/>
      </w:tblCellMar>
    </w:tblPr>
  </w:style>
  <w:style w:type="table" w:customStyle="1" w:styleId="177">
    <w:name w:val="177"/>
    <w:basedOn w:val="TableNormal"/>
    <w:tblPr>
      <w:tblStyleRowBandSize w:val="1"/>
      <w:tblStyleColBandSize w:val="1"/>
      <w:tblCellMar>
        <w:left w:w="115" w:type="dxa"/>
        <w:right w:w="115" w:type="dxa"/>
      </w:tblCellMar>
    </w:tblPr>
  </w:style>
  <w:style w:type="table" w:customStyle="1" w:styleId="176">
    <w:name w:val="176"/>
    <w:basedOn w:val="TableNormal"/>
    <w:tblPr>
      <w:tblStyleRowBandSize w:val="1"/>
      <w:tblStyleColBandSize w:val="1"/>
      <w:tblCellMar>
        <w:left w:w="115" w:type="dxa"/>
        <w:right w:w="115" w:type="dxa"/>
      </w:tblCellMar>
    </w:tblPr>
  </w:style>
  <w:style w:type="table" w:customStyle="1" w:styleId="175">
    <w:name w:val="175"/>
    <w:basedOn w:val="TableNormal"/>
    <w:tblPr>
      <w:tblStyleRowBandSize w:val="1"/>
      <w:tblStyleColBandSize w:val="1"/>
      <w:tblCellMar>
        <w:left w:w="115" w:type="dxa"/>
        <w:right w:w="115" w:type="dxa"/>
      </w:tblCellMar>
    </w:tblPr>
  </w:style>
  <w:style w:type="table" w:customStyle="1" w:styleId="174">
    <w:name w:val="174"/>
    <w:basedOn w:val="TableNormal"/>
    <w:tblPr>
      <w:tblStyleRowBandSize w:val="1"/>
      <w:tblStyleColBandSize w:val="1"/>
      <w:tblCellMar>
        <w:left w:w="115" w:type="dxa"/>
        <w:right w:w="115" w:type="dxa"/>
      </w:tblCellMar>
    </w:tblPr>
  </w:style>
  <w:style w:type="table" w:customStyle="1" w:styleId="173">
    <w:name w:val="173"/>
    <w:basedOn w:val="TableNormal"/>
    <w:tblPr>
      <w:tblStyleRowBandSize w:val="1"/>
      <w:tblStyleColBandSize w:val="1"/>
      <w:tblCellMar>
        <w:left w:w="115" w:type="dxa"/>
        <w:right w:w="115" w:type="dxa"/>
      </w:tblCellMar>
    </w:tblPr>
  </w:style>
  <w:style w:type="table" w:customStyle="1" w:styleId="172">
    <w:name w:val="172"/>
    <w:basedOn w:val="TableNormal"/>
    <w:tblPr>
      <w:tblStyleRowBandSize w:val="1"/>
      <w:tblStyleColBandSize w:val="1"/>
      <w:tblCellMar>
        <w:left w:w="115" w:type="dxa"/>
        <w:right w:w="115" w:type="dxa"/>
      </w:tblCellMar>
    </w:tblPr>
  </w:style>
  <w:style w:type="table" w:customStyle="1" w:styleId="171">
    <w:name w:val="171"/>
    <w:basedOn w:val="TableNormal"/>
    <w:tblPr>
      <w:tblStyleRowBandSize w:val="1"/>
      <w:tblStyleColBandSize w:val="1"/>
      <w:tblCellMar>
        <w:left w:w="115" w:type="dxa"/>
        <w:right w:w="115" w:type="dxa"/>
      </w:tblCellMar>
    </w:tblPr>
  </w:style>
  <w:style w:type="table" w:customStyle="1" w:styleId="170">
    <w:name w:val="170"/>
    <w:basedOn w:val="TableNormal"/>
    <w:tblPr>
      <w:tblStyleRowBandSize w:val="1"/>
      <w:tblStyleColBandSize w:val="1"/>
      <w:tblCellMar>
        <w:left w:w="115" w:type="dxa"/>
        <w:right w:w="115" w:type="dxa"/>
      </w:tblCellMar>
    </w:tblPr>
  </w:style>
  <w:style w:type="table" w:customStyle="1" w:styleId="169">
    <w:name w:val="169"/>
    <w:basedOn w:val="TableNormal"/>
    <w:tblPr>
      <w:tblStyleRowBandSize w:val="1"/>
      <w:tblStyleColBandSize w:val="1"/>
      <w:tblCellMar>
        <w:left w:w="115" w:type="dxa"/>
        <w:right w:w="115" w:type="dxa"/>
      </w:tblCellMar>
    </w:tblPr>
  </w:style>
  <w:style w:type="table" w:customStyle="1" w:styleId="168">
    <w:name w:val="168"/>
    <w:basedOn w:val="TableNormal"/>
    <w:tblPr>
      <w:tblStyleRowBandSize w:val="1"/>
      <w:tblStyleColBandSize w:val="1"/>
      <w:tblCellMar>
        <w:left w:w="115" w:type="dxa"/>
        <w:right w:w="115" w:type="dxa"/>
      </w:tblCellMar>
    </w:tblPr>
  </w:style>
  <w:style w:type="table" w:customStyle="1" w:styleId="167">
    <w:name w:val="167"/>
    <w:basedOn w:val="TableNormal"/>
    <w:tblPr>
      <w:tblStyleRowBandSize w:val="1"/>
      <w:tblStyleColBandSize w:val="1"/>
      <w:tblCellMar>
        <w:left w:w="115" w:type="dxa"/>
        <w:right w:w="115" w:type="dxa"/>
      </w:tblCellMar>
    </w:tblPr>
  </w:style>
  <w:style w:type="table" w:customStyle="1" w:styleId="166">
    <w:name w:val="166"/>
    <w:basedOn w:val="TableNormal"/>
    <w:tblPr>
      <w:tblStyleRowBandSize w:val="1"/>
      <w:tblStyleColBandSize w:val="1"/>
      <w:tblCellMar>
        <w:left w:w="115" w:type="dxa"/>
        <w:right w:w="115" w:type="dxa"/>
      </w:tblCellMar>
    </w:tblPr>
  </w:style>
  <w:style w:type="table" w:customStyle="1" w:styleId="165">
    <w:name w:val="165"/>
    <w:basedOn w:val="TableNormal"/>
    <w:tblPr>
      <w:tblStyleRowBandSize w:val="1"/>
      <w:tblStyleColBandSize w:val="1"/>
      <w:tblCellMar>
        <w:left w:w="115" w:type="dxa"/>
        <w:right w:w="115" w:type="dxa"/>
      </w:tblCellMar>
    </w:tblPr>
  </w:style>
  <w:style w:type="table" w:customStyle="1" w:styleId="164">
    <w:name w:val="164"/>
    <w:basedOn w:val="TableNormal"/>
    <w:tblPr>
      <w:tblStyleRowBandSize w:val="1"/>
      <w:tblStyleColBandSize w:val="1"/>
      <w:tblCellMar>
        <w:left w:w="115" w:type="dxa"/>
        <w:right w:w="115" w:type="dxa"/>
      </w:tblCellMar>
    </w:tblPr>
  </w:style>
  <w:style w:type="table" w:customStyle="1" w:styleId="163">
    <w:name w:val="163"/>
    <w:basedOn w:val="TableNormal"/>
    <w:tblPr>
      <w:tblStyleRowBandSize w:val="1"/>
      <w:tblStyleColBandSize w:val="1"/>
      <w:tblCellMar>
        <w:left w:w="115" w:type="dxa"/>
        <w:right w:w="115" w:type="dxa"/>
      </w:tblCellMar>
    </w:tblPr>
  </w:style>
  <w:style w:type="table" w:customStyle="1" w:styleId="162">
    <w:name w:val="162"/>
    <w:basedOn w:val="TableNormal"/>
    <w:tblPr>
      <w:tblStyleRowBandSize w:val="1"/>
      <w:tblStyleColBandSize w:val="1"/>
      <w:tblCellMar>
        <w:left w:w="115" w:type="dxa"/>
        <w:right w:w="115" w:type="dxa"/>
      </w:tblCellMar>
    </w:tblPr>
  </w:style>
  <w:style w:type="table" w:customStyle="1" w:styleId="161">
    <w:name w:val="161"/>
    <w:basedOn w:val="TableNormal"/>
    <w:tblPr>
      <w:tblStyleRowBandSize w:val="1"/>
      <w:tblStyleColBandSize w:val="1"/>
      <w:tblCellMar>
        <w:left w:w="115" w:type="dxa"/>
        <w:right w:w="115" w:type="dxa"/>
      </w:tblCellMar>
    </w:tblPr>
  </w:style>
  <w:style w:type="table" w:customStyle="1" w:styleId="160">
    <w:name w:val="160"/>
    <w:basedOn w:val="TableNormal"/>
    <w:tblPr>
      <w:tblStyleRowBandSize w:val="1"/>
      <w:tblStyleColBandSize w:val="1"/>
      <w:tblCellMar>
        <w:left w:w="115" w:type="dxa"/>
        <w:right w:w="115" w:type="dxa"/>
      </w:tblCellMar>
    </w:tblPr>
  </w:style>
  <w:style w:type="table" w:customStyle="1" w:styleId="159">
    <w:name w:val="159"/>
    <w:basedOn w:val="TableNormal"/>
    <w:tblPr>
      <w:tblStyleRowBandSize w:val="1"/>
      <w:tblStyleColBandSize w:val="1"/>
      <w:tblCellMar>
        <w:left w:w="115" w:type="dxa"/>
        <w:right w:w="115" w:type="dxa"/>
      </w:tblCellMar>
    </w:tblPr>
  </w:style>
  <w:style w:type="table" w:customStyle="1" w:styleId="158">
    <w:name w:val="158"/>
    <w:basedOn w:val="TableNormal"/>
    <w:tblPr>
      <w:tblStyleRowBandSize w:val="1"/>
      <w:tblStyleColBandSize w:val="1"/>
      <w:tblCellMar>
        <w:left w:w="115" w:type="dxa"/>
        <w:right w:w="115" w:type="dxa"/>
      </w:tblCellMar>
    </w:tblPr>
  </w:style>
  <w:style w:type="table" w:customStyle="1" w:styleId="157">
    <w:name w:val="157"/>
    <w:basedOn w:val="TableNormal"/>
    <w:tblPr>
      <w:tblStyleRowBandSize w:val="1"/>
      <w:tblStyleColBandSize w:val="1"/>
      <w:tblCellMar>
        <w:left w:w="115" w:type="dxa"/>
        <w:right w:w="115" w:type="dxa"/>
      </w:tblCellMar>
    </w:tblPr>
  </w:style>
  <w:style w:type="table" w:customStyle="1" w:styleId="156">
    <w:name w:val="156"/>
    <w:basedOn w:val="TableNormal"/>
    <w:tblPr>
      <w:tblStyleRowBandSize w:val="1"/>
      <w:tblStyleColBandSize w:val="1"/>
      <w:tblCellMar>
        <w:left w:w="115" w:type="dxa"/>
        <w:right w:w="115" w:type="dxa"/>
      </w:tblCellMar>
    </w:tblPr>
  </w:style>
  <w:style w:type="table" w:customStyle="1" w:styleId="155">
    <w:name w:val="155"/>
    <w:basedOn w:val="TableNormal"/>
    <w:tblPr>
      <w:tblStyleRowBandSize w:val="1"/>
      <w:tblStyleColBandSize w:val="1"/>
      <w:tblCellMar>
        <w:left w:w="115" w:type="dxa"/>
        <w:right w:w="115" w:type="dxa"/>
      </w:tblCellMar>
    </w:tblPr>
  </w:style>
  <w:style w:type="table" w:customStyle="1" w:styleId="154">
    <w:name w:val="154"/>
    <w:basedOn w:val="TableNormal"/>
    <w:tblPr>
      <w:tblStyleRowBandSize w:val="1"/>
      <w:tblStyleColBandSize w:val="1"/>
      <w:tblCellMar>
        <w:left w:w="115" w:type="dxa"/>
        <w:right w:w="115" w:type="dxa"/>
      </w:tblCellMar>
    </w:tblPr>
  </w:style>
  <w:style w:type="table" w:customStyle="1" w:styleId="153">
    <w:name w:val="153"/>
    <w:basedOn w:val="TableNormal"/>
    <w:tblPr>
      <w:tblStyleRowBandSize w:val="1"/>
      <w:tblStyleColBandSize w:val="1"/>
      <w:tblCellMar>
        <w:left w:w="115" w:type="dxa"/>
        <w:right w:w="115" w:type="dxa"/>
      </w:tblCellMar>
    </w:tblPr>
  </w:style>
  <w:style w:type="table" w:customStyle="1" w:styleId="152">
    <w:name w:val="152"/>
    <w:basedOn w:val="TableNormal"/>
    <w:tblPr>
      <w:tblStyleRowBandSize w:val="1"/>
      <w:tblStyleColBandSize w:val="1"/>
      <w:tblCellMar>
        <w:left w:w="115" w:type="dxa"/>
        <w:right w:w="115" w:type="dxa"/>
      </w:tblCellMar>
    </w:tblPr>
  </w:style>
  <w:style w:type="table" w:customStyle="1" w:styleId="151">
    <w:name w:val="151"/>
    <w:basedOn w:val="TableNormal"/>
    <w:tblPr>
      <w:tblStyleRowBandSize w:val="1"/>
      <w:tblStyleColBandSize w:val="1"/>
      <w:tblCellMar>
        <w:left w:w="115" w:type="dxa"/>
        <w:right w:w="115" w:type="dxa"/>
      </w:tblCellMar>
    </w:tblPr>
  </w:style>
  <w:style w:type="table" w:customStyle="1" w:styleId="150">
    <w:name w:val="150"/>
    <w:basedOn w:val="TableNormal"/>
    <w:tblPr>
      <w:tblStyleRowBandSize w:val="1"/>
      <w:tblStyleColBandSize w:val="1"/>
      <w:tblCellMar>
        <w:left w:w="115" w:type="dxa"/>
        <w:right w:w="115" w:type="dxa"/>
      </w:tblCellMar>
    </w:tblPr>
  </w:style>
  <w:style w:type="table" w:customStyle="1" w:styleId="149">
    <w:name w:val="149"/>
    <w:basedOn w:val="TableNormal"/>
    <w:tblPr>
      <w:tblStyleRowBandSize w:val="1"/>
      <w:tblStyleColBandSize w:val="1"/>
      <w:tblCellMar>
        <w:left w:w="115" w:type="dxa"/>
        <w:right w:w="115" w:type="dxa"/>
      </w:tblCellMar>
    </w:tblPr>
  </w:style>
  <w:style w:type="table" w:customStyle="1" w:styleId="148">
    <w:name w:val="148"/>
    <w:basedOn w:val="TableNormal"/>
    <w:tblPr>
      <w:tblStyleRowBandSize w:val="1"/>
      <w:tblStyleColBandSize w:val="1"/>
      <w:tblCellMar>
        <w:left w:w="115" w:type="dxa"/>
        <w:right w:w="115" w:type="dxa"/>
      </w:tblCellMar>
    </w:tblPr>
  </w:style>
  <w:style w:type="table" w:customStyle="1" w:styleId="147">
    <w:name w:val="147"/>
    <w:basedOn w:val="TableNormal"/>
    <w:tblPr>
      <w:tblStyleRowBandSize w:val="1"/>
      <w:tblStyleColBandSize w:val="1"/>
      <w:tblCellMar>
        <w:left w:w="115" w:type="dxa"/>
        <w:right w:w="115" w:type="dxa"/>
      </w:tblCellMar>
    </w:tblPr>
  </w:style>
  <w:style w:type="table" w:customStyle="1" w:styleId="146">
    <w:name w:val="146"/>
    <w:basedOn w:val="TableNormal"/>
    <w:tblPr>
      <w:tblStyleRowBandSize w:val="1"/>
      <w:tblStyleColBandSize w:val="1"/>
      <w:tblCellMar>
        <w:left w:w="115" w:type="dxa"/>
        <w:right w:w="115" w:type="dxa"/>
      </w:tblCellMar>
    </w:tblPr>
  </w:style>
  <w:style w:type="table" w:customStyle="1" w:styleId="145">
    <w:name w:val="145"/>
    <w:basedOn w:val="TableNormal"/>
    <w:tblPr>
      <w:tblStyleRowBandSize w:val="1"/>
      <w:tblStyleColBandSize w:val="1"/>
      <w:tblCellMar>
        <w:left w:w="115" w:type="dxa"/>
        <w:right w:w="115" w:type="dxa"/>
      </w:tblCellMar>
    </w:tblPr>
  </w:style>
  <w:style w:type="table" w:customStyle="1" w:styleId="144">
    <w:name w:val="144"/>
    <w:basedOn w:val="TableNormal"/>
    <w:tblPr>
      <w:tblStyleRowBandSize w:val="1"/>
      <w:tblStyleColBandSize w:val="1"/>
      <w:tblCellMar>
        <w:left w:w="115" w:type="dxa"/>
        <w:right w:w="115" w:type="dxa"/>
      </w:tblCellMar>
    </w:tblPr>
  </w:style>
  <w:style w:type="table" w:customStyle="1" w:styleId="143">
    <w:name w:val="143"/>
    <w:basedOn w:val="TableNormal"/>
    <w:tblPr>
      <w:tblStyleRowBandSize w:val="1"/>
      <w:tblStyleColBandSize w:val="1"/>
      <w:tblCellMar>
        <w:left w:w="115" w:type="dxa"/>
        <w:right w:w="115" w:type="dxa"/>
      </w:tblCellMar>
    </w:tblPr>
  </w:style>
  <w:style w:type="table" w:customStyle="1" w:styleId="142">
    <w:name w:val="142"/>
    <w:basedOn w:val="TableNormal"/>
    <w:tblPr>
      <w:tblStyleRowBandSize w:val="1"/>
      <w:tblStyleColBandSize w:val="1"/>
      <w:tblCellMar>
        <w:left w:w="115" w:type="dxa"/>
        <w:right w:w="115" w:type="dxa"/>
      </w:tblCellMar>
    </w:tblPr>
  </w:style>
  <w:style w:type="table" w:customStyle="1" w:styleId="141">
    <w:name w:val="141"/>
    <w:basedOn w:val="TableNormal"/>
    <w:tblPr>
      <w:tblStyleRowBandSize w:val="1"/>
      <w:tblStyleColBandSize w:val="1"/>
      <w:tblCellMar>
        <w:left w:w="115" w:type="dxa"/>
        <w:right w:w="115" w:type="dxa"/>
      </w:tblCellMar>
    </w:tblPr>
  </w:style>
  <w:style w:type="table" w:customStyle="1" w:styleId="140">
    <w:name w:val="140"/>
    <w:basedOn w:val="TableNormal"/>
    <w:tblPr>
      <w:tblStyleRowBandSize w:val="1"/>
      <w:tblStyleColBandSize w:val="1"/>
      <w:tblCellMar>
        <w:left w:w="115" w:type="dxa"/>
        <w:right w:w="115" w:type="dxa"/>
      </w:tblCellMar>
    </w:tblPr>
  </w:style>
  <w:style w:type="table" w:customStyle="1" w:styleId="139">
    <w:name w:val="139"/>
    <w:basedOn w:val="TableNormal"/>
    <w:tblPr>
      <w:tblStyleRowBandSize w:val="1"/>
      <w:tblStyleColBandSize w:val="1"/>
      <w:tblCellMar>
        <w:left w:w="115" w:type="dxa"/>
        <w:right w:w="115" w:type="dxa"/>
      </w:tblCellMar>
    </w:tblPr>
  </w:style>
  <w:style w:type="table" w:customStyle="1" w:styleId="138">
    <w:name w:val="138"/>
    <w:basedOn w:val="TableNormal"/>
    <w:tblPr>
      <w:tblStyleRowBandSize w:val="1"/>
      <w:tblStyleColBandSize w:val="1"/>
      <w:tblCellMar>
        <w:left w:w="115" w:type="dxa"/>
        <w:right w:w="115" w:type="dxa"/>
      </w:tblCellMar>
    </w:tblPr>
  </w:style>
  <w:style w:type="table" w:customStyle="1" w:styleId="137">
    <w:name w:val="137"/>
    <w:basedOn w:val="TableNormal"/>
    <w:tblPr>
      <w:tblStyleRowBandSize w:val="1"/>
      <w:tblStyleColBandSize w:val="1"/>
      <w:tblCellMar>
        <w:left w:w="115" w:type="dxa"/>
        <w:right w:w="115" w:type="dxa"/>
      </w:tblCellMar>
    </w:tblPr>
  </w:style>
  <w:style w:type="table" w:customStyle="1" w:styleId="136">
    <w:name w:val="136"/>
    <w:basedOn w:val="TableNormal"/>
    <w:tblPr>
      <w:tblStyleRowBandSize w:val="1"/>
      <w:tblStyleColBandSize w:val="1"/>
      <w:tblCellMar>
        <w:left w:w="115" w:type="dxa"/>
        <w:right w:w="115" w:type="dxa"/>
      </w:tblCellMar>
    </w:tblPr>
  </w:style>
  <w:style w:type="table" w:customStyle="1" w:styleId="135">
    <w:name w:val="135"/>
    <w:basedOn w:val="TableNormal"/>
    <w:tblPr>
      <w:tblStyleRowBandSize w:val="1"/>
      <w:tblStyleColBandSize w:val="1"/>
      <w:tblCellMar>
        <w:left w:w="115" w:type="dxa"/>
        <w:right w:w="115" w:type="dxa"/>
      </w:tblCellMar>
    </w:tblPr>
  </w:style>
  <w:style w:type="table" w:customStyle="1" w:styleId="134">
    <w:name w:val="134"/>
    <w:basedOn w:val="TableNormal"/>
    <w:tblPr>
      <w:tblStyleRowBandSize w:val="1"/>
      <w:tblStyleColBandSize w:val="1"/>
      <w:tblCellMar>
        <w:left w:w="115" w:type="dxa"/>
        <w:right w:w="115" w:type="dxa"/>
      </w:tblCellMar>
    </w:tblPr>
  </w:style>
  <w:style w:type="table" w:customStyle="1" w:styleId="133">
    <w:name w:val="133"/>
    <w:basedOn w:val="TableNormal"/>
    <w:tblPr>
      <w:tblStyleRowBandSize w:val="1"/>
      <w:tblStyleColBandSize w:val="1"/>
      <w:tblCellMar>
        <w:left w:w="115" w:type="dxa"/>
        <w:right w:w="115" w:type="dxa"/>
      </w:tblCellMar>
    </w:tblPr>
  </w:style>
  <w:style w:type="table" w:customStyle="1" w:styleId="132">
    <w:name w:val="132"/>
    <w:basedOn w:val="TableNormal"/>
    <w:tblPr>
      <w:tblStyleRowBandSize w:val="1"/>
      <w:tblStyleColBandSize w:val="1"/>
      <w:tblCellMar>
        <w:left w:w="115" w:type="dxa"/>
        <w:right w:w="115" w:type="dxa"/>
      </w:tblCellMar>
    </w:tblPr>
  </w:style>
  <w:style w:type="table" w:customStyle="1" w:styleId="131">
    <w:name w:val="131"/>
    <w:basedOn w:val="TableNormal"/>
    <w:tblPr>
      <w:tblStyleRowBandSize w:val="1"/>
      <w:tblStyleColBandSize w:val="1"/>
      <w:tblCellMar>
        <w:left w:w="115" w:type="dxa"/>
        <w:right w:w="115" w:type="dxa"/>
      </w:tblCellMar>
    </w:tblPr>
  </w:style>
  <w:style w:type="table" w:customStyle="1" w:styleId="130">
    <w:name w:val="130"/>
    <w:basedOn w:val="TableNormal"/>
    <w:tblPr>
      <w:tblStyleRowBandSize w:val="1"/>
      <w:tblStyleColBandSize w:val="1"/>
      <w:tblCellMar>
        <w:left w:w="115" w:type="dxa"/>
        <w:right w:w="115" w:type="dxa"/>
      </w:tblCellMar>
    </w:tblPr>
  </w:style>
  <w:style w:type="table" w:customStyle="1" w:styleId="129">
    <w:name w:val="129"/>
    <w:basedOn w:val="TableNormal"/>
    <w:tblPr>
      <w:tblStyleRowBandSize w:val="1"/>
      <w:tblStyleColBandSize w:val="1"/>
      <w:tblCellMar>
        <w:left w:w="115" w:type="dxa"/>
        <w:right w:w="115" w:type="dxa"/>
      </w:tblCellMar>
    </w:tblPr>
  </w:style>
  <w:style w:type="table" w:customStyle="1" w:styleId="128">
    <w:name w:val="128"/>
    <w:basedOn w:val="TableNormal"/>
    <w:tblPr>
      <w:tblStyleRowBandSize w:val="1"/>
      <w:tblStyleColBandSize w:val="1"/>
      <w:tblCellMar>
        <w:left w:w="115" w:type="dxa"/>
        <w:right w:w="115" w:type="dxa"/>
      </w:tblCellMar>
    </w:tblPr>
  </w:style>
  <w:style w:type="table" w:customStyle="1" w:styleId="127">
    <w:name w:val="127"/>
    <w:basedOn w:val="TableNormal"/>
    <w:tblPr>
      <w:tblStyleRowBandSize w:val="1"/>
      <w:tblStyleColBandSize w:val="1"/>
      <w:tblCellMar>
        <w:left w:w="115" w:type="dxa"/>
        <w:right w:w="115" w:type="dxa"/>
      </w:tblCellMar>
    </w:tblPr>
  </w:style>
  <w:style w:type="table" w:customStyle="1" w:styleId="126">
    <w:name w:val="126"/>
    <w:basedOn w:val="TableNormal"/>
    <w:tblPr>
      <w:tblStyleRowBandSize w:val="1"/>
      <w:tblStyleColBandSize w:val="1"/>
      <w:tblCellMar>
        <w:left w:w="115" w:type="dxa"/>
        <w:right w:w="115" w:type="dxa"/>
      </w:tblCellMar>
    </w:tblPr>
  </w:style>
  <w:style w:type="table" w:customStyle="1" w:styleId="125">
    <w:name w:val="125"/>
    <w:basedOn w:val="TableNormal"/>
    <w:tblPr>
      <w:tblStyleRowBandSize w:val="1"/>
      <w:tblStyleColBandSize w:val="1"/>
      <w:tblCellMar>
        <w:left w:w="115" w:type="dxa"/>
        <w:right w:w="115" w:type="dxa"/>
      </w:tblCellMar>
    </w:tblPr>
  </w:style>
  <w:style w:type="table" w:customStyle="1" w:styleId="124">
    <w:name w:val="124"/>
    <w:basedOn w:val="TableNormal"/>
    <w:tblPr>
      <w:tblStyleRowBandSize w:val="1"/>
      <w:tblStyleColBandSize w:val="1"/>
      <w:tblCellMar>
        <w:left w:w="115" w:type="dxa"/>
        <w:right w:w="115" w:type="dxa"/>
      </w:tblCellMar>
    </w:tblPr>
  </w:style>
  <w:style w:type="table" w:customStyle="1" w:styleId="123">
    <w:name w:val="123"/>
    <w:basedOn w:val="TableNormal"/>
    <w:tblPr>
      <w:tblStyleRowBandSize w:val="1"/>
      <w:tblStyleColBandSize w:val="1"/>
      <w:tblCellMar>
        <w:left w:w="115" w:type="dxa"/>
        <w:right w:w="115" w:type="dxa"/>
      </w:tblCellMar>
    </w:tblPr>
  </w:style>
  <w:style w:type="table" w:customStyle="1" w:styleId="122">
    <w:name w:val="122"/>
    <w:basedOn w:val="TableNormal"/>
    <w:tblPr>
      <w:tblStyleRowBandSize w:val="1"/>
      <w:tblStyleColBandSize w:val="1"/>
      <w:tblCellMar>
        <w:left w:w="115" w:type="dxa"/>
        <w:right w:w="115" w:type="dxa"/>
      </w:tblCellMar>
    </w:tblPr>
  </w:style>
  <w:style w:type="table" w:customStyle="1" w:styleId="121">
    <w:name w:val="121"/>
    <w:basedOn w:val="TableNormal"/>
    <w:pPr>
      <w:spacing w:after="0" w:line="240" w:lineRule="auto"/>
    </w:pPr>
    <w:rPr>
      <w:rFonts w:ascii="Cambria" w:eastAsia="Cambria" w:hAnsi="Cambria" w:cs="Cambria"/>
    </w:rPr>
    <w:tblPr>
      <w:tblStyleRowBandSize w:val="1"/>
      <w:tblStyleColBandSize w:val="1"/>
    </w:tblPr>
  </w:style>
  <w:style w:type="table" w:customStyle="1" w:styleId="120">
    <w:name w:val="120"/>
    <w:basedOn w:val="TableNormal"/>
    <w:tblPr>
      <w:tblStyleRowBandSize w:val="1"/>
      <w:tblStyleColBandSize w:val="1"/>
      <w:tblCellMar>
        <w:left w:w="115" w:type="dxa"/>
        <w:right w:w="115" w:type="dxa"/>
      </w:tblCellMar>
    </w:tblPr>
  </w:style>
  <w:style w:type="table" w:customStyle="1" w:styleId="119">
    <w:name w:val="119"/>
    <w:basedOn w:val="TableNormal"/>
    <w:tblPr>
      <w:tblStyleRowBandSize w:val="1"/>
      <w:tblStyleColBandSize w:val="1"/>
      <w:tblCellMar>
        <w:left w:w="115" w:type="dxa"/>
        <w:right w:w="115" w:type="dxa"/>
      </w:tblCellMar>
    </w:tblPr>
  </w:style>
  <w:style w:type="table" w:customStyle="1" w:styleId="118">
    <w:name w:val="118"/>
    <w:basedOn w:val="TableNormal"/>
    <w:tblPr>
      <w:tblStyleRowBandSize w:val="1"/>
      <w:tblStyleColBandSize w:val="1"/>
      <w:tblCellMar>
        <w:left w:w="115" w:type="dxa"/>
        <w:right w:w="115" w:type="dxa"/>
      </w:tblCellMar>
    </w:tblPr>
  </w:style>
  <w:style w:type="table" w:customStyle="1" w:styleId="117">
    <w:name w:val="117"/>
    <w:basedOn w:val="TableNormal"/>
    <w:tblPr>
      <w:tblStyleRowBandSize w:val="1"/>
      <w:tblStyleColBandSize w:val="1"/>
      <w:tblCellMar>
        <w:left w:w="115" w:type="dxa"/>
        <w:right w:w="115" w:type="dxa"/>
      </w:tblCellMar>
    </w:tblPr>
  </w:style>
  <w:style w:type="table" w:customStyle="1" w:styleId="116">
    <w:name w:val="116"/>
    <w:basedOn w:val="TableNormal"/>
    <w:tblPr>
      <w:tblStyleRowBandSize w:val="1"/>
      <w:tblStyleColBandSize w:val="1"/>
      <w:tblCellMar>
        <w:left w:w="115" w:type="dxa"/>
        <w:right w:w="115" w:type="dxa"/>
      </w:tblCellMar>
    </w:tblPr>
  </w:style>
  <w:style w:type="table" w:customStyle="1" w:styleId="115">
    <w:name w:val="115"/>
    <w:basedOn w:val="TableNormal"/>
    <w:tblPr>
      <w:tblStyleRowBandSize w:val="1"/>
      <w:tblStyleColBandSize w:val="1"/>
      <w:tblCellMar>
        <w:left w:w="115" w:type="dxa"/>
        <w:right w:w="115" w:type="dxa"/>
      </w:tblCellMar>
    </w:tblPr>
  </w:style>
  <w:style w:type="table" w:customStyle="1" w:styleId="114">
    <w:name w:val="114"/>
    <w:basedOn w:val="TableNormal"/>
    <w:tblPr>
      <w:tblStyleRowBandSize w:val="1"/>
      <w:tblStyleColBandSize w:val="1"/>
      <w:tblCellMar>
        <w:left w:w="115" w:type="dxa"/>
        <w:right w:w="115" w:type="dxa"/>
      </w:tblCellMar>
    </w:tblPr>
  </w:style>
  <w:style w:type="table" w:customStyle="1" w:styleId="113">
    <w:name w:val="113"/>
    <w:basedOn w:val="TableNormal"/>
    <w:tblPr>
      <w:tblStyleRowBandSize w:val="1"/>
      <w:tblStyleColBandSize w:val="1"/>
      <w:tblCellMar>
        <w:left w:w="115" w:type="dxa"/>
        <w:right w:w="115" w:type="dxa"/>
      </w:tblCellMar>
    </w:tblPr>
  </w:style>
  <w:style w:type="table" w:customStyle="1" w:styleId="112">
    <w:name w:val="112"/>
    <w:basedOn w:val="TableNormal"/>
    <w:tblPr>
      <w:tblStyleRowBandSize w:val="1"/>
      <w:tblStyleColBandSize w:val="1"/>
      <w:tblCellMar>
        <w:left w:w="115" w:type="dxa"/>
        <w:right w:w="115" w:type="dxa"/>
      </w:tblCellMar>
    </w:tblPr>
  </w:style>
  <w:style w:type="table" w:customStyle="1" w:styleId="111">
    <w:name w:val="111"/>
    <w:basedOn w:val="TableNormal"/>
    <w:tblPr>
      <w:tblStyleRowBandSize w:val="1"/>
      <w:tblStyleColBandSize w:val="1"/>
      <w:tblCellMar>
        <w:left w:w="115" w:type="dxa"/>
        <w:right w:w="115" w:type="dxa"/>
      </w:tblCellMar>
    </w:tblPr>
  </w:style>
  <w:style w:type="table" w:customStyle="1" w:styleId="110">
    <w:name w:val="110"/>
    <w:basedOn w:val="TableNormal"/>
    <w:tblPr>
      <w:tblStyleRowBandSize w:val="1"/>
      <w:tblStyleColBandSize w:val="1"/>
      <w:tblCellMar>
        <w:left w:w="115" w:type="dxa"/>
        <w:right w:w="115" w:type="dxa"/>
      </w:tblCellMar>
    </w:tblPr>
  </w:style>
  <w:style w:type="table" w:customStyle="1" w:styleId="109">
    <w:name w:val="109"/>
    <w:basedOn w:val="TableNormal"/>
    <w:tblPr>
      <w:tblStyleRowBandSize w:val="1"/>
      <w:tblStyleColBandSize w:val="1"/>
      <w:tblCellMar>
        <w:left w:w="115" w:type="dxa"/>
        <w:right w:w="115" w:type="dxa"/>
      </w:tblCellMar>
    </w:tblPr>
  </w:style>
  <w:style w:type="table" w:customStyle="1" w:styleId="108">
    <w:name w:val="108"/>
    <w:basedOn w:val="TableNormal"/>
    <w:tblPr>
      <w:tblStyleRowBandSize w:val="1"/>
      <w:tblStyleColBandSize w:val="1"/>
      <w:tblCellMar>
        <w:left w:w="115" w:type="dxa"/>
        <w:right w:w="115" w:type="dxa"/>
      </w:tblCellMar>
    </w:tblPr>
  </w:style>
  <w:style w:type="table" w:customStyle="1" w:styleId="107">
    <w:name w:val="107"/>
    <w:basedOn w:val="TableNormal"/>
    <w:tblPr>
      <w:tblStyleRowBandSize w:val="1"/>
      <w:tblStyleColBandSize w:val="1"/>
      <w:tblCellMar>
        <w:left w:w="115" w:type="dxa"/>
        <w:right w:w="115" w:type="dxa"/>
      </w:tblCellMar>
    </w:tblPr>
  </w:style>
  <w:style w:type="table" w:customStyle="1" w:styleId="106">
    <w:name w:val="106"/>
    <w:basedOn w:val="TableNormal"/>
    <w:tblPr>
      <w:tblStyleRowBandSize w:val="1"/>
      <w:tblStyleColBandSize w:val="1"/>
      <w:tblCellMar>
        <w:left w:w="115" w:type="dxa"/>
        <w:right w:w="115" w:type="dxa"/>
      </w:tblCellMar>
    </w:tblPr>
  </w:style>
  <w:style w:type="table" w:customStyle="1" w:styleId="105">
    <w:name w:val="105"/>
    <w:basedOn w:val="TableNormal"/>
    <w:tblPr>
      <w:tblStyleRowBandSize w:val="1"/>
      <w:tblStyleColBandSize w:val="1"/>
      <w:tblCellMar>
        <w:left w:w="115" w:type="dxa"/>
        <w:right w:w="115" w:type="dxa"/>
      </w:tblCellMar>
    </w:tblPr>
  </w:style>
  <w:style w:type="table" w:customStyle="1" w:styleId="104">
    <w:name w:val="104"/>
    <w:basedOn w:val="TableNormal"/>
    <w:tblPr>
      <w:tblStyleRowBandSize w:val="1"/>
      <w:tblStyleColBandSize w:val="1"/>
      <w:tblCellMar>
        <w:left w:w="115" w:type="dxa"/>
        <w:right w:w="115" w:type="dxa"/>
      </w:tblCellMar>
    </w:tblPr>
  </w:style>
  <w:style w:type="table" w:customStyle="1" w:styleId="103">
    <w:name w:val="103"/>
    <w:basedOn w:val="TableNormal"/>
    <w:tblPr>
      <w:tblStyleRowBandSize w:val="1"/>
      <w:tblStyleColBandSize w:val="1"/>
      <w:tblCellMar>
        <w:left w:w="115" w:type="dxa"/>
        <w:right w:w="115" w:type="dxa"/>
      </w:tblCellMar>
    </w:tblPr>
  </w:style>
  <w:style w:type="table" w:customStyle="1" w:styleId="102">
    <w:name w:val="102"/>
    <w:basedOn w:val="TableNormal"/>
    <w:tblPr>
      <w:tblStyleRowBandSize w:val="1"/>
      <w:tblStyleColBandSize w:val="1"/>
      <w:tblCellMar>
        <w:left w:w="115" w:type="dxa"/>
        <w:right w:w="115" w:type="dxa"/>
      </w:tblCellMar>
    </w:tblPr>
  </w:style>
  <w:style w:type="table" w:customStyle="1" w:styleId="101">
    <w:name w:val="101"/>
    <w:basedOn w:val="TableNormal"/>
    <w:tblPr>
      <w:tblStyleRowBandSize w:val="1"/>
      <w:tblStyleColBandSize w:val="1"/>
      <w:tblCellMar>
        <w:left w:w="115" w:type="dxa"/>
        <w:right w:w="115" w:type="dxa"/>
      </w:tblCellMar>
    </w:tblPr>
  </w:style>
  <w:style w:type="table" w:customStyle="1" w:styleId="100">
    <w:name w:val="100"/>
    <w:basedOn w:val="TableNormal"/>
    <w:tblPr>
      <w:tblStyleRowBandSize w:val="1"/>
      <w:tblStyleColBandSize w:val="1"/>
      <w:tblCellMar>
        <w:left w:w="115" w:type="dxa"/>
        <w:right w:w="115" w:type="dxa"/>
      </w:tblCellMar>
    </w:tblPr>
  </w:style>
  <w:style w:type="table" w:customStyle="1" w:styleId="99">
    <w:name w:val="99"/>
    <w:basedOn w:val="TableNormal"/>
    <w:tblPr>
      <w:tblStyleRowBandSize w:val="1"/>
      <w:tblStyleColBandSize w:val="1"/>
      <w:tblCellMar>
        <w:left w:w="115" w:type="dxa"/>
        <w:right w:w="115" w:type="dxa"/>
      </w:tblCellMar>
    </w:tblPr>
  </w:style>
  <w:style w:type="table" w:customStyle="1" w:styleId="98">
    <w:name w:val="98"/>
    <w:basedOn w:val="TableNormal"/>
    <w:tblPr>
      <w:tblStyleRowBandSize w:val="1"/>
      <w:tblStyleColBandSize w:val="1"/>
      <w:tblCellMar>
        <w:left w:w="115" w:type="dxa"/>
        <w:right w:w="115" w:type="dxa"/>
      </w:tblCellMar>
    </w:tblPr>
  </w:style>
  <w:style w:type="table" w:customStyle="1" w:styleId="97">
    <w:name w:val="97"/>
    <w:basedOn w:val="TableNormal"/>
    <w:tblPr>
      <w:tblStyleRowBandSize w:val="1"/>
      <w:tblStyleColBandSize w:val="1"/>
      <w:tblCellMar>
        <w:left w:w="115" w:type="dxa"/>
        <w:right w:w="115" w:type="dxa"/>
      </w:tblCellMar>
    </w:tblPr>
  </w:style>
  <w:style w:type="table" w:customStyle="1" w:styleId="96">
    <w:name w:val="96"/>
    <w:basedOn w:val="TableNormal"/>
    <w:tblPr>
      <w:tblStyleRowBandSize w:val="1"/>
      <w:tblStyleColBandSize w:val="1"/>
      <w:tblCellMar>
        <w:left w:w="115" w:type="dxa"/>
        <w:right w:w="115" w:type="dxa"/>
      </w:tblCellMar>
    </w:tblPr>
  </w:style>
  <w:style w:type="table" w:customStyle="1" w:styleId="95">
    <w:name w:val="95"/>
    <w:basedOn w:val="TableNormal"/>
    <w:tblPr>
      <w:tblStyleRowBandSize w:val="1"/>
      <w:tblStyleColBandSize w:val="1"/>
      <w:tblCellMar>
        <w:left w:w="115" w:type="dxa"/>
        <w:right w:w="115" w:type="dxa"/>
      </w:tblCellMar>
    </w:tblPr>
  </w:style>
  <w:style w:type="table" w:customStyle="1" w:styleId="94">
    <w:name w:val="94"/>
    <w:basedOn w:val="TableNormal"/>
    <w:tblPr>
      <w:tblStyleRowBandSize w:val="1"/>
      <w:tblStyleColBandSize w:val="1"/>
      <w:tblCellMar>
        <w:left w:w="115" w:type="dxa"/>
        <w:right w:w="115" w:type="dxa"/>
      </w:tblCellMar>
    </w:tblPr>
  </w:style>
  <w:style w:type="table" w:customStyle="1" w:styleId="93">
    <w:name w:val="93"/>
    <w:basedOn w:val="TableNormal"/>
    <w:tblPr>
      <w:tblStyleRowBandSize w:val="1"/>
      <w:tblStyleColBandSize w:val="1"/>
      <w:tblCellMar>
        <w:left w:w="115" w:type="dxa"/>
        <w:right w:w="115" w:type="dxa"/>
      </w:tblCellMar>
    </w:tblPr>
  </w:style>
  <w:style w:type="table" w:customStyle="1" w:styleId="92">
    <w:name w:val="92"/>
    <w:basedOn w:val="TableNormal"/>
    <w:tblPr>
      <w:tblStyleRowBandSize w:val="1"/>
      <w:tblStyleColBandSize w:val="1"/>
      <w:tblCellMar>
        <w:left w:w="115" w:type="dxa"/>
        <w:right w:w="115" w:type="dxa"/>
      </w:tblCellMar>
    </w:tblPr>
  </w:style>
  <w:style w:type="table" w:customStyle="1" w:styleId="91">
    <w:name w:val="91"/>
    <w:basedOn w:val="TableNormal"/>
    <w:tblPr>
      <w:tblStyleRowBandSize w:val="1"/>
      <w:tblStyleColBandSize w:val="1"/>
      <w:tblCellMar>
        <w:left w:w="115" w:type="dxa"/>
        <w:right w:w="115" w:type="dxa"/>
      </w:tblCellMar>
    </w:tblPr>
  </w:style>
  <w:style w:type="table" w:customStyle="1" w:styleId="90">
    <w:name w:val="90"/>
    <w:basedOn w:val="TableNormal"/>
    <w:tblPr>
      <w:tblStyleRowBandSize w:val="1"/>
      <w:tblStyleColBandSize w:val="1"/>
      <w:tblCellMar>
        <w:left w:w="115" w:type="dxa"/>
        <w:right w:w="115" w:type="dxa"/>
      </w:tblCellMar>
    </w:tblPr>
  </w:style>
  <w:style w:type="table" w:customStyle="1" w:styleId="89">
    <w:name w:val="89"/>
    <w:basedOn w:val="TableNormal"/>
    <w:tblPr>
      <w:tblStyleRowBandSize w:val="1"/>
      <w:tblStyleColBandSize w:val="1"/>
      <w:tblCellMar>
        <w:left w:w="115" w:type="dxa"/>
        <w:right w:w="115" w:type="dxa"/>
      </w:tblCellMar>
    </w:tblPr>
  </w:style>
  <w:style w:type="table" w:customStyle="1" w:styleId="88">
    <w:name w:val="88"/>
    <w:basedOn w:val="TableNormal"/>
    <w:tblPr>
      <w:tblStyleRowBandSize w:val="1"/>
      <w:tblStyleColBandSize w:val="1"/>
      <w:tblCellMar>
        <w:left w:w="115" w:type="dxa"/>
        <w:right w:w="115" w:type="dxa"/>
      </w:tblCellMar>
    </w:tblPr>
  </w:style>
  <w:style w:type="table" w:customStyle="1" w:styleId="87">
    <w:name w:val="87"/>
    <w:basedOn w:val="TableNormal"/>
    <w:tblPr>
      <w:tblStyleRowBandSize w:val="1"/>
      <w:tblStyleColBandSize w:val="1"/>
      <w:tblCellMar>
        <w:left w:w="115" w:type="dxa"/>
        <w:right w:w="115" w:type="dxa"/>
      </w:tblCellMar>
    </w:tblPr>
  </w:style>
  <w:style w:type="table" w:customStyle="1" w:styleId="86">
    <w:name w:val="86"/>
    <w:basedOn w:val="TableNormal"/>
    <w:tblPr>
      <w:tblStyleRowBandSize w:val="1"/>
      <w:tblStyleColBandSize w:val="1"/>
      <w:tblCellMar>
        <w:left w:w="115" w:type="dxa"/>
        <w:right w:w="115" w:type="dxa"/>
      </w:tblCellMar>
    </w:tblPr>
  </w:style>
  <w:style w:type="table" w:customStyle="1" w:styleId="85">
    <w:name w:val="85"/>
    <w:basedOn w:val="TableNormal"/>
    <w:tblPr>
      <w:tblStyleRowBandSize w:val="1"/>
      <w:tblStyleColBandSize w:val="1"/>
      <w:tblCellMar>
        <w:left w:w="115" w:type="dxa"/>
        <w:right w:w="115" w:type="dxa"/>
      </w:tblCellMar>
    </w:tblPr>
  </w:style>
  <w:style w:type="table" w:customStyle="1" w:styleId="84">
    <w:name w:val="84"/>
    <w:basedOn w:val="TableNormal"/>
    <w:tblPr>
      <w:tblStyleRowBandSize w:val="1"/>
      <w:tblStyleColBandSize w:val="1"/>
      <w:tblCellMar>
        <w:left w:w="115" w:type="dxa"/>
        <w:right w:w="115" w:type="dxa"/>
      </w:tblCellMar>
    </w:tblPr>
  </w:style>
  <w:style w:type="table" w:customStyle="1" w:styleId="83">
    <w:name w:val="83"/>
    <w:basedOn w:val="TableNormal"/>
    <w:tblPr>
      <w:tblStyleRowBandSize w:val="1"/>
      <w:tblStyleColBandSize w:val="1"/>
      <w:tblCellMar>
        <w:left w:w="115" w:type="dxa"/>
        <w:right w:w="115" w:type="dxa"/>
      </w:tblCellMar>
    </w:tblPr>
  </w:style>
  <w:style w:type="table" w:customStyle="1" w:styleId="82">
    <w:name w:val="82"/>
    <w:basedOn w:val="TableNormal"/>
    <w:tblPr>
      <w:tblStyleRowBandSize w:val="1"/>
      <w:tblStyleColBandSize w:val="1"/>
      <w:tblCellMar>
        <w:left w:w="115" w:type="dxa"/>
        <w:right w:w="115" w:type="dxa"/>
      </w:tblCellMar>
    </w:tblPr>
  </w:style>
  <w:style w:type="table" w:customStyle="1" w:styleId="81">
    <w:name w:val="81"/>
    <w:basedOn w:val="TableNormal"/>
    <w:tblPr>
      <w:tblStyleRowBandSize w:val="1"/>
      <w:tblStyleColBandSize w:val="1"/>
      <w:tblCellMar>
        <w:left w:w="115" w:type="dxa"/>
        <w:right w:w="115" w:type="dxa"/>
      </w:tblCellMar>
    </w:tblPr>
  </w:style>
  <w:style w:type="table" w:customStyle="1" w:styleId="80">
    <w:name w:val="80"/>
    <w:basedOn w:val="TableNormal"/>
    <w:tblPr>
      <w:tblStyleRowBandSize w:val="1"/>
      <w:tblStyleColBandSize w:val="1"/>
      <w:tblCellMar>
        <w:left w:w="115" w:type="dxa"/>
        <w:right w:w="115" w:type="dxa"/>
      </w:tblCellMar>
    </w:tblPr>
  </w:style>
  <w:style w:type="table" w:customStyle="1" w:styleId="79">
    <w:name w:val="79"/>
    <w:basedOn w:val="TableNormal"/>
    <w:tblPr>
      <w:tblStyleRowBandSize w:val="1"/>
      <w:tblStyleColBandSize w:val="1"/>
      <w:tblCellMar>
        <w:left w:w="115" w:type="dxa"/>
        <w:right w:w="115" w:type="dxa"/>
      </w:tblCellMar>
    </w:tblPr>
  </w:style>
  <w:style w:type="table" w:customStyle="1" w:styleId="78">
    <w:name w:val="78"/>
    <w:basedOn w:val="TableNormal"/>
    <w:tblPr>
      <w:tblStyleRowBandSize w:val="1"/>
      <w:tblStyleColBandSize w:val="1"/>
      <w:tblCellMar>
        <w:left w:w="115" w:type="dxa"/>
        <w:right w:w="115" w:type="dxa"/>
      </w:tblCellMar>
    </w:tblPr>
  </w:style>
  <w:style w:type="table" w:customStyle="1" w:styleId="77">
    <w:name w:val="77"/>
    <w:basedOn w:val="TableNormal"/>
    <w:tblPr>
      <w:tblStyleRowBandSize w:val="1"/>
      <w:tblStyleColBandSize w:val="1"/>
      <w:tblCellMar>
        <w:left w:w="115" w:type="dxa"/>
        <w:right w:w="115" w:type="dxa"/>
      </w:tblCellMar>
    </w:tblPr>
  </w:style>
  <w:style w:type="table" w:customStyle="1" w:styleId="76">
    <w:name w:val="76"/>
    <w:basedOn w:val="TableNormal"/>
    <w:tblPr>
      <w:tblStyleRowBandSize w:val="1"/>
      <w:tblStyleColBandSize w:val="1"/>
      <w:tblCellMar>
        <w:left w:w="115" w:type="dxa"/>
        <w:right w:w="115" w:type="dxa"/>
      </w:tblCellMar>
    </w:tblPr>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tblPr>
      <w:tblStyleRowBandSize w:val="1"/>
      <w:tblStyleColBandSize w:val="1"/>
      <w:tblCellMar>
        <w:left w:w="115" w:type="dxa"/>
        <w:right w:w="115" w:type="dxa"/>
      </w:tblCellMar>
    </w:tblPr>
  </w:style>
  <w:style w:type="table" w:customStyle="1" w:styleId="72">
    <w:name w:val="72"/>
    <w:basedOn w:val="TableNormal"/>
    <w:tblPr>
      <w:tblStyleRowBandSize w:val="1"/>
      <w:tblStyleColBandSize w:val="1"/>
      <w:tblCellMar>
        <w:left w:w="115" w:type="dxa"/>
        <w:right w:w="115" w:type="dxa"/>
      </w:tblCellMar>
    </w:tblPr>
  </w:style>
  <w:style w:type="table" w:customStyle="1" w:styleId="71">
    <w:name w:val="71"/>
    <w:basedOn w:val="TableNormal"/>
    <w:tblPr>
      <w:tblStyleRowBandSize w:val="1"/>
      <w:tblStyleColBandSize w:val="1"/>
      <w:tblCellMar>
        <w:left w:w="115" w:type="dxa"/>
        <w:right w:w="115" w:type="dxa"/>
      </w:tblCellMar>
    </w:tblPr>
  </w:style>
  <w:style w:type="table" w:customStyle="1" w:styleId="70">
    <w:name w:val="70"/>
    <w:basedOn w:val="TableNormal"/>
    <w:tblPr>
      <w:tblStyleRowBandSize w:val="1"/>
      <w:tblStyleColBandSize w:val="1"/>
      <w:tblCellMar>
        <w:left w:w="115" w:type="dxa"/>
        <w:right w:w="115" w:type="dxa"/>
      </w:tblCellMar>
    </w:tblPr>
  </w:style>
  <w:style w:type="table" w:customStyle="1" w:styleId="69">
    <w:name w:val="69"/>
    <w:basedOn w:val="TableNormal"/>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left w:w="115" w:type="dxa"/>
        <w:right w:w="115"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left w:w="115" w:type="dxa"/>
        <w:right w:w="115" w:type="dxa"/>
      </w:tblCellMar>
    </w:tblPr>
  </w:style>
  <w:style w:type="table" w:customStyle="1" w:styleId="64">
    <w:name w:val="64"/>
    <w:basedOn w:val="TableNormal"/>
    <w:tblPr>
      <w:tblStyleRowBandSize w:val="1"/>
      <w:tblStyleColBandSize w:val="1"/>
      <w:tblCellMar>
        <w:left w:w="115" w:type="dxa"/>
        <w:right w:w="115" w:type="dxa"/>
      </w:tblCellMar>
    </w:tblPr>
  </w:style>
  <w:style w:type="table" w:customStyle="1" w:styleId="63">
    <w:name w:val="63"/>
    <w:basedOn w:val="TableNormal"/>
    <w:tblPr>
      <w:tblStyleRowBandSize w:val="1"/>
      <w:tblStyleColBandSize w:val="1"/>
      <w:tblCellMar>
        <w:left w:w="115" w:type="dxa"/>
        <w:right w:w="115" w:type="dxa"/>
      </w:tblCellMar>
    </w:tblPr>
  </w:style>
  <w:style w:type="table" w:customStyle="1" w:styleId="62">
    <w:name w:val="62"/>
    <w:basedOn w:val="TableNormal"/>
    <w:tblPr>
      <w:tblStyleRowBandSize w:val="1"/>
      <w:tblStyleColBandSize w:val="1"/>
      <w:tblCellMar>
        <w:left w:w="115" w:type="dxa"/>
        <w:right w:w="115" w:type="dxa"/>
      </w:tblCellMar>
    </w:tblPr>
  </w:style>
  <w:style w:type="table" w:customStyle="1" w:styleId="61">
    <w:name w:val="61"/>
    <w:basedOn w:val="TableNormal"/>
    <w:tblPr>
      <w:tblStyleRowBandSize w:val="1"/>
      <w:tblStyleColBandSize w:val="1"/>
      <w:tblCellMar>
        <w:left w:w="115" w:type="dxa"/>
        <w:right w:w="115" w:type="dxa"/>
      </w:tblCellMar>
    </w:tblPr>
  </w:style>
  <w:style w:type="table" w:customStyle="1" w:styleId="60">
    <w:name w:val="60"/>
    <w:basedOn w:val="TableNormal"/>
    <w:tblPr>
      <w:tblStyleRowBandSize w:val="1"/>
      <w:tblStyleColBandSize w:val="1"/>
      <w:tblCellMar>
        <w:left w:w="115" w:type="dxa"/>
        <w:right w:w="115" w:type="dxa"/>
      </w:tblCellMar>
    </w:tblPr>
  </w:style>
  <w:style w:type="table" w:customStyle="1" w:styleId="59">
    <w:name w:val="59"/>
    <w:basedOn w:val="TableNormal"/>
    <w:tblPr>
      <w:tblStyleRowBandSize w:val="1"/>
      <w:tblStyleColBandSize w:val="1"/>
      <w:tblCellMar>
        <w:left w:w="115" w:type="dxa"/>
        <w:right w:w="115" w:type="dxa"/>
      </w:tblCellMar>
    </w:tblPr>
  </w:style>
  <w:style w:type="table" w:customStyle="1" w:styleId="58">
    <w:name w:val="58"/>
    <w:basedOn w:val="TableNormal"/>
    <w:tblPr>
      <w:tblStyleRowBandSize w:val="1"/>
      <w:tblStyleColBandSize w:val="1"/>
      <w:tblCellMar>
        <w:left w:w="115" w:type="dxa"/>
        <w:right w:w="115" w:type="dxa"/>
      </w:tblCellMar>
    </w:tblPr>
  </w:style>
  <w:style w:type="table" w:customStyle="1" w:styleId="57">
    <w:name w:val="57"/>
    <w:basedOn w:val="TableNormal"/>
    <w:tblPr>
      <w:tblStyleRowBandSize w:val="1"/>
      <w:tblStyleColBandSize w:val="1"/>
      <w:tblCellMar>
        <w:left w:w="115" w:type="dxa"/>
        <w:right w:w="115" w:type="dxa"/>
      </w:tblCellMar>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left w:w="115" w:type="dxa"/>
        <w:right w:w="115" w:type="dxa"/>
      </w:tblCellMar>
    </w:tblPr>
  </w:style>
  <w:style w:type="table" w:customStyle="1" w:styleId="54">
    <w:name w:val="54"/>
    <w:basedOn w:val="TableNormal"/>
    <w:tblPr>
      <w:tblStyleRowBandSize w:val="1"/>
      <w:tblStyleColBandSize w:val="1"/>
      <w:tblCellMar>
        <w:left w:w="115" w:type="dxa"/>
        <w:right w:w="115" w:type="dxa"/>
      </w:tblCellMar>
    </w:tblPr>
  </w:style>
  <w:style w:type="table" w:customStyle="1" w:styleId="53">
    <w:name w:val="53"/>
    <w:basedOn w:val="TableNormal"/>
    <w:tblPr>
      <w:tblStyleRowBandSize w:val="1"/>
      <w:tblStyleColBandSize w:val="1"/>
      <w:tblCellMar>
        <w:left w:w="115" w:type="dxa"/>
        <w:right w:w="115" w:type="dxa"/>
      </w:tblCellMar>
    </w:tblPr>
  </w:style>
  <w:style w:type="table" w:customStyle="1" w:styleId="52">
    <w:name w:val="52"/>
    <w:basedOn w:val="TableNormal"/>
    <w:tblPr>
      <w:tblStyleRowBandSize w:val="1"/>
      <w:tblStyleColBandSize w:val="1"/>
      <w:tblCellMar>
        <w:left w:w="115" w:type="dxa"/>
        <w:right w:w="115" w:type="dxa"/>
      </w:tblCellMar>
    </w:tblPr>
  </w:style>
  <w:style w:type="table" w:customStyle="1" w:styleId="51">
    <w:name w:val="51"/>
    <w:basedOn w:val="TableNormal"/>
    <w:tblPr>
      <w:tblStyleRowBandSize w:val="1"/>
      <w:tblStyleColBandSize w:val="1"/>
      <w:tblCellMar>
        <w:left w:w="115" w:type="dxa"/>
        <w:right w:w="115" w:type="dxa"/>
      </w:tblCellMar>
    </w:tblPr>
  </w:style>
  <w:style w:type="table" w:customStyle="1" w:styleId="50">
    <w:name w:val="50"/>
    <w:basedOn w:val="TableNormal"/>
    <w:tblPr>
      <w:tblStyleRowBandSize w:val="1"/>
      <w:tblStyleColBandSize w:val="1"/>
      <w:tblCellMar>
        <w:left w:w="115" w:type="dxa"/>
        <w:right w:w="115" w:type="dxa"/>
      </w:tblCellMar>
    </w:tblPr>
  </w:style>
  <w:style w:type="table" w:customStyle="1" w:styleId="49">
    <w:name w:val="49"/>
    <w:basedOn w:val="TableNormal"/>
    <w:tblPr>
      <w:tblStyleRowBandSize w:val="1"/>
      <w:tblStyleColBandSize w:val="1"/>
      <w:tblCellMar>
        <w:left w:w="115" w:type="dxa"/>
        <w:right w:w="115" w:type="dxa"/>
      </w:tblCellMar>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tblPr>
      <w:tblStyleRowBandSize w:val="1"/>
      <w:tblStyleColBandSize w:val="1"/>
      <w:tblCellMar>
        <w:left w:w="115" w:type="dxa"/>
        <w:right w:w="115" w:type="dxa"/>
      </w:tblCellMar>
    </w:tblPr>
  </w:style>
  <w:style w:type="table" w:customStyle="1" w:styleId="44">
    <w:name w:val="44"/>
    <w:basedOn w:val="TableNormal"/>
    <w:tblPr>
      <w:tblStyleRowBandSize w:val="1"/>
      <w:tblStyleColBandSize w:val="1"/>
      <w:tblCellMar>
        <w:left w:w="115" w:type="dxa"/>
        <w:right w:w="115" w:type="dxa"/>
      </w:tblCellMar>
    </w:tbl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NoSpacing">
    <w:name w:val="No Spacing"/>
    <w:uiPriority w:val="1"/>
    <w:qFormat/>
    <w:rsid w:val="00FE4F11"/>
    <w:pPr>
      <w:spacing w:after="0" w:line="240" w:lineRule="auto"/>
    </w:pPr>
  </w:style>
  <w:style w:type="character" w:customStyle="1" w:styleId="ListParagraphChar">
    <w:name w:val="List Paragraph Char"/>
    <w:aliases w:val="Bullets Char"/>
    <w:basedOn w:val="DefaultParagraphFont"/>
    <w:link w:val="ListParagraph"/>
    <w:uiPriority w:val="34"/>
    <w:rsid w:val="009E4402"/>
    <w:rPr>
      <w:rFonts w:asciiTheme="minorHAnsi" w:eastAsiaTheme="minorHAnsi" w:hAnsiTheme="minorHAnsi" w:cstheme="minorBidi"/>
    </w:rPr>
  </w:style>
  <w:style w:type="paragraph" w:styleId="FootnoteText">
    <w:name w:val="footnote text"/>
    <w:basedOn w:val="Normal"/>
    <w:link w:val="FootnoteTextChar"/>
    <w:uiPriority w:val="99"/>
    <w:rsid w:val="00D53A1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53A17"/>
    <w:rPr>
      <w:rFonts w:ascii="Times New Roman" w:eastAsia="Times New Roman" w:hAnsi="Times New Roman" w:cs="Times New Roman"/>
      <w:sz w:val="20"/>
      <w:szCs w:val="20"/>
    </w:rPr>
  </w:style>
  <w:style w:type="character" w:styleId="FootnoteReference">
    <w:name w:val="footnote reference"/>
    <w:uiPriority w:val="99"/>
    <w:rsid w:val="00D53A17"/>
    <w:rPr>
      <w:vertAlign w:val="superscript"/>
    </w:rPr>
  </w:style>
  <w:style w:type="paragraph" w:customStyle="1" w:styleId="CM13">
    <w:name w:val="CM13"/>
    <w:basedOn w:val="Default"/>
    <w:next w:val="Default"/>
    <w:uiPriority w:val="99"/>
    <w:rsid w:val="00D53A17"/>
    <w:rPr>
      <w:rFonts w:ascii="Times New Roman" w:hAnsi="Times New Roman" w:cs="Times New Roman"/>
      <w:color w:val="auto"/>
    </w:rPr>
  </w:style>
  <w:style w:type="character" w:customStyle="1" w:styleId="Heading2Char">
    <w:name w:val="Heading 2 Char"/>
    <w:basedOn w:val="DefaultParagraphFont"/>
    <w:link w:val="Heading2"/>
    <w:uiPriority w:val="9"/>
    <w:rsid w:val="007D24E0"/>
    <w:rPr>
      <w:color w:val="2E75B5"/>
      <w:sz w:val="26"/>
      <w:szCs w:val="26"/>
    </w:rPr>
  </w:style>
  <w:style w:type="table" w:customStyle="1" w:styleId="TableGrid1">
    <w:name w:val="Table Grid1"/>
    <w:basedOn w:val="TableNormal"/>
    <w:next w:val="TableGrid"/>
    <w:uiPriority w:val="39"/>
    <w:rsid w:val="00D0283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oleObject" Target="embeddings/oleObject1.bin"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eneral_x0020_Notes xmlns="1ebe05a5-f381-48af-bc27-8e5e2442db3e">30 Day Comment PRA Package - Supporting Statement, Comment Summary and Updated NMTC TLR Guidance</General_x0020_Notes>
    <Business_x0020_Unit xmlns="8f418ccd-e58d-4230-bf28-9ba4dc663030">Financial Strategies and Research</Business_x0020_Unit>
    <Business_x0020_Unit_x0020_Notes xmlns="1ebe05a5-f381-48af-bc27-8e5e2442db3e">Review Required by OCME, NMTC and OLC; Other Business Units Optional</Business_x0020_Unit_x0020_Notes>
    <Deadline xmlns="1ebe05a5-f381-48af-bc27-8e5e2442db3e">2023-07-07T04:00:00+00:00</Deadline>
    <Document_x0020_Type xmlns="1ebe05a5-f381-48af-bc27-8e5e2442db3e">FS&amp;R Documents - Internal</Document_x0020_Type>
    <Send_x0020_Email_x0020_to_x0020_Reviewers xmlns="1ebe05a5-f381-48af-bc27-8e5e2442db3e">false</Send_x0020_Email_x0020_to_x0020_Reviewers>
    <Document_x0020_Owner xmlns="1ebe05a5-f381-48af-bc27-8e5e2442db3e">
      <UserInfo>
        <DisplayName>McKay, Shannon</DisplayName>
        <AccountId>15263</AccountId>
        <AccountType/>
      </UserInfo>
    </Document_x0020_Owner>
    <_x0035_08_x0020_Compliant xmlns="1ebe05a5-f381-48af-bc27-8e5e2442db3e">false</_x0035_08_x0020_Compliant>
    <_dlc_DocId xmlns="52222ef0-b167-44f5-92f7-438fda0857cd">DOCDFI-176-1570</_dlc_DocId>
    <_dlc_DocIdUrl xmlns="52222ef0-b167-44f5-92f7-438fda0857cd">
      <Url>https://my.treasury.gov/collab/CDFI/clearance/_layouts/15/DocIdRedir.aspx?ID=DOCDFI-176-1570</Url>
      <Description>DOCDFI-176-1570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8" ma:contentTypeDescription="Create a new document." ma:contentTypeScope="" ma:versionID="1494be70e9258da11f1811b022600a3c">
  <xsd:schema xmlns:xsd="http://www.w3.org/2001/XMLSchema" xmlns:xs="http://www.w3.org/2001/XMLSchema" xmlns:p="http://schemas.microsoft.com/office/2006/metadata/properties" xmlns:ns1="http://schemas.microsoft.com/sharepoint/v3" xmlns:ns2="1ebe05a5-f381-48af-bc27-8e5e2442db3e" xmlns:ns3="8f418ccd-e58d-4230-bf28-9ba4dc663030" xmlns:ns4="52222ef0-b167-44f5-92f7-438fda0857cd" xmlns:ns5="http://schemas.microsoft.com/sharepoint/v4" xmlns:ns6="f5740cfc-b89d-4d23-a0f5-9255a28a5e32" targetNamespace="http://schemas.microsoft.com/office/2006/metadata/properties" ma:root="true" ma:fieldsID="e099e78de00eeed51ff596054a4e9fc5" ns1:_="" ns2:_="" ns3:_="" ns4:_="" ns5:_="" ns6:_="">
    <xsd:import namespace="http://schemas.microsoft.com/sharepoint/v3"/>
    <xsd:import namespace="1ebe05a5-f381-48af-bc27-8e5e2442db3e"/>
    <xsd:import namespace="8f418ccd-e58d-4230-bf28-9ba4dc663030"/>
    <xsd:import namespace="52222ef0-b167-44f5-92f7-438fda0857cd"/>
    <xsd:import namespace="http://schemas.microsoft.com/sharepoint/v4"/>
    <xsd:import namespace="f5740cfc-b89d-4d23-a0f5-9255a28a5e32"/>
    <xsd:element name="properties">
      <xsd:complexType>
        <xsd:sequence>
          <xsd:element name="documentManagement">
            <xsd:complexType>
              <xsd:all>
                <xsd:element ref="ns2:Document_x0020_Owner"/>
                <xsd:element ref="ns2:Deadline"/>
                <xsd:element ref="ns2:Document_x0020_Type"/>
                <xsd:element ref="ns3:Business_x0020_Unit"/>
                <xsd:element ref="ns2:Send_x0020_Email_x0020_to_x0020_Reviewers" minOccurs="0"/>
                <xsd:element ref="ns2:General_x0020_Notes"/>
                <xsd:element ref="ns2:Business_x0020_Unit_x0020_Notes"/>
                <xsd:element ref="ns2:_x0035_08_x0020_Compliant" minOccurs="0"/>
                <xsd:element ref="ns4:_dlc_DocId" minOccurs="0"/>
                <xsd:element ref="ns4:_dlc_DocIdUrl" minOccurs="0"/>
                <xsd:element ref="ns4:_dlc_DocIdPersistId" minOccurs="0"/>
                <xsd:element ref="ns5:IconOverlay" minOccurs="0"/>
                <xsd:element ref="ns1:_vti_ItemDeclaredRecord" minOccurs="0"/>
                <xsd:element ref="ns1:_vti_ItemHoldRecordStatus"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2" nillable="true" ma:displayName="Declared Record" ma:hidden="true" ma:internalName="_vti_ItemDeclaredRecord" ma:readOnly="true">
      <xsd:simpleType>
        <xsd:restriction base="dms:DateTime"/>
      </xsd:simpleType>
    </xsd:element>
    <xsd:element name="_vti_ItemHoldRecordStatus" ma:index="2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2"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3" ma:displayName="Deadline" ma:description="" ma:format="DateOnly" ma:internalName="Deadline">
      <xsd:simpleType>
        <xsd:restriction base="dms:DateTime"/>
      </xsd:simpleType>
    </xsd:element>
    <xsd:element name="Document_x0020_Type" ma:index="4" ma:displayName="Document Type" ma:default="Programs - External" ma:description="" ma:format="Dropdown" ma:internalName="Document_x0020_Type">
      <xsd:simpleType>
        <xsd:restriction base="dms:Choice">
          <xsd:enumeration value="Budget Documents"/>
          <xsd:enumeration value="CME Documents - External"/>
          <xsd:enumeration value="CME Documents - Internal"/>
          <xsd:enumeration value="Front Office"/>
          <xsd:enumeration value="FS&amp;R Documents - External"/>
          <xsd:enumeration value="FS&amp;R Documents - Internal"/>
          <xsd:enumeration value="LEA - Director Documents"/>
          <xsd:enumeration value="LEA - External"/>
          <xsd:enumeration value="LEA - Programs"/>
          <xsd:enumeration value="Legal - External"/>
          <xsd:enumeration value="OCPE Documents - External"/>
          <xsd:enumeration value="OCPE Documents - Internal"/>
          <xsd:enumeration value="Programs - External"/>
          <xsd:enumeration value="Programs - Internal"/>
        </xsd:restriction>
      </xsd:simpleType>
    </xsd:element>
    <xsd:element name="Send_x0020_Email_x0020_to_x0020_Reviewers" ma:index="6" nillable="true" ma:displayName="Send Email to Reviewers" ma:default="1" ma:description="" ma:internalName="Send_x0020_Email_x0020_to_x0020_Reviewers">
      <xsd:simpleType>
        <xsd:restriction base="dms:Boolean"/>
      </xsd:simpleType>
    </xsd:element>
    <xsd:element name="General_x0020_Notes" ma:index="7" ma:displayName="General Notes" ma:internalName="General_x0020_Notes">
      <xsd:simpleType>
        <xsd:restriction base="dms:Text">
          <xsd:maxLength value="255"/>
        </xsd:restriction>
      </xsd:simpleType>
    </xsd:element>
    <xsd:element name="Business_x0020_Unit_x0020_Notes" ma:index="8" ma:displayName="Business Unit Notes" ma:internalName="Business_x0020_Unit_x0020_Notes">
      <xsd:simpleType>
        <xsd:restriction base="dms:Text">
          <xsd:maxLength value="255"/>
        </xsd:restriction>
      </xsd:simpleType>
    </xsd:element>
    <xsd:element name="_x0035_08_x0020_Compliant" ma:index="10"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5" ma:displayName="Business Unit" ma:description="" ma:format="Dropdown" ma:internalName="Business_x0020_Unit">
      <xsd:simpleType>
        <xsd:restriction base="dms:Choice">
          <xsd:enumeration value="Office of the Director"/>
          <xsd:enumeration value="Office of the Deputy Director"/>
          <xsd:enumeration value="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ffice of Certification Policy and Evaluation"/>
          <xsd:enumeration value="Operations"/>
          <xsd:enumeration value="Program: BEA"/>
          <xsd:enumeration value="Program: BG"/>
          <xsd:enumeration value="Program: CDFI"/>
          <xsd:enumeration value="Program: CMF"/>
          <xsd:enumeration value="Program: ERP"/>
          <xsd:enumeration value="Program: NACA"/>
          <xsd:enumeration value="Program: NMTC"/>
          <xsd:enumeration value="Program: SDLP"/>
          <xsd:enumeration value="Training and Outreach"/>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40cfc-b89d-4d23-a0f5-9255a28a5e32"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KSgH+qh4yigH2tFp9wJu18T0slw==">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</go:docsCustomData>
</go:gDocsCustomXmlDataStorage>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E50D73-FD38-4919-AF12-616B4608A068}">
  <ds:schemaRefs>
    <ds:schemaRef ds:uri="1ebe05a5-f381-48af-bc27-8e5e2442db3e"/>
    <ds:schemaRef ds:uri="http://purl.org/dc/elements/1.1/"/>
    <ds:schemaRef ds:uri="http://schemas.microsoft.com/sharepoint/v4"/>
    <ds:schemaRef ds:uri="http://schemas.microsoft.com/office/infopath/2007/PartnerControls"/>
    <ds:schemaRef ds:uri="http://schemas.openxmlformats.org/package/2006/metadata/core-properties"/>
    <ds:schemaRef ds:uri="http://schemas.microsoft.com/office/2006/metadata/properties"/>
    <ds:schemaRef ds:uri="http://purl.org/dc/dcmitype/"/>
    <ds:schemaRef ds:uri="f5740cfc-b89d-4d23-a0f5-9255a28a5e32"/>
    <ds:schemaRef ds:uri="http://purl.org/dc/terms/"/>
    <ds:schemaRef ds:uri="http://schemas.microsoft.com/office/2006/documentManagement/types"/>
    <ds:schemaRef ds:uri="52222ef0-b167-44f5-92f7-438fda0857cd"/>
    <ds:schemaRef ds:uri="8f418ccd-e58d-4230-bf28-9ba4dc663030"/>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C55EDD5-6975-4DE9-94D8-4D17FF91D744}">
  <ds:schemaRefs>
    <ds:schemaRef ds:uri="http://schemas.microsoft.com/sharepoint/v3/contenttype/forms"/>
  </ds:schemaRefs>
</ds:datastoreItem>
</file>

<file path=customXml/itemProps3.xml><?xml version="1.0" encoding="utf-8"?>
<ds:datastoreItem xmlns:ds="http://schemas.openxmlformats.org/officeDocument/2006/customXml" ds:itemID="{55E04262-EFA2-4EF1-B94A-0E7ED3281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e05a5-f381-48af-bc27-8e5e2442db3e"/>
    <ds:schemaRef ds:uri="8f418ccd-e58d-4230-bf28-9ba4dc663030"/>
    <ds:schemaRef ds:uri="52222ef0-b167-44f5-92f7-438fda0857cd"/>
    <ds:schemaRef ds:uri="http://schemas.microsoft.com/sharepoint/v4"/>
    <ds:schemaRef ds:uri="f5740cfc-b89d-4d23-a0f5-9255a28a5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10F7F-6B47-40FA-98EB-87D89FB6629E}">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F190B555-5766-493C-9984-9CC92131D1C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6989</Words>
  <Characters>39842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CDFI/NACA Program Award Recipient and NMTC Allocatee Annual Report (OMB Approval Number 1559-0027</vt:lpstr>
    </vt:vector>
  </TitlesOfParts>
  <Company/>
  <LinksUpToDate>false</LinksUpToDate>
  <CharactersWithSpaces>46738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CDFI/NACA Program Award Recipient and NMTC Allocatee Annual Report (OMB Approval Number 1559-0027</dc:title>
  <dc:subject>Training</dc:subject>
  <dc:creator>Christy Maresca</dc:creator>
  <cp:lastModifiedBy>McKay, Shannon</cp:lastModifiedBy>
  <cp:revision>2</cp:revision>
  <dcterms:created xsi:type="dcterms:W3CDTF">2023-07-26T20:04:00Z</dcterms:created>
  <dcterms:modified xsi:type="dcterms:W3CDTF">2023-07-26T20:04:00Z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WorkflowChangePath">
    <vt:lpwstr>a0c3a665-2e75-4468-baea-7765d40b7f0f,4;a0c3a665-2e75-4468-baea-7765d40b7f0f,12;a0c3a665-2e75-4468-baea-7765d40b7f0f,18;</vt:lpwstr>
  </property>
  <property fmtid="{D5CDD505-2E9C-101B-9397-08002B2CF9AE}" pid="4" name="_dlc_DocIdItemGuid">
    <vt:lpwstr>32f4352d-7ec1-406e-ab00-b5ead4155b0b</vt:lpwstr>
  </property>
</Properties>
</file>