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AD381B" w14:paraId="0F1FA20B" w14:textId="4C5836BF">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Pr="007B651B" w:rsidR="007B651B">
        <w:rPr>
          <w:rFonts w:ascii="Times New Roman" w:hAnsi="Times New Roman"/>
          <w:szCs w:val="24"/>
        </w:rPr>
        <w:t>1820-0678</w:t>
      </w:r>
    </w:p>
    <w:p w:rsidR="00EA1767" w:rsidRPr="00AD381B" w:rsidP="006B4172" w14:paraId="4B9831D3" w14:textId="77777777">
      <w:pPr>
        <w:pStyle w:val="Header"/>
        <w:rPr>
          <w:rFonts w:ascii="Times New Roman" w:hAnsi="Times New Roman"/>
          <w:color w:val="FFFFFF" w:themeColor="background1"/>
          <w:szCs w:val="24"/>
        </w:rPr>
      </w:pPr>
      <w:r w:rsidRPr="00C875E8">
        <w:rPr>
          <w:rFonts w:ascii="Times New Roman" w:hAnsi="Times New Roman"/>
          <w:szCs w:val="24"/>
        </w:rPr>
        <w:t>Revised: XX/XX/XXXX</w:t>
      </w:r>
    </w:p>
    <w:p w:rsidR="00043C32" w:rsidRPr="00AD381B" w:rsidP="00AD381B" w14:paraId="28BC3D7A" w14:textId="77777777">
      <w:pPr>
        <w:pStyle w:val="Heading1"/>
        <w:rPr>
          <w:sz w:val="24"/>
          <w:szCs w:val="24"/>
        </w:rPr>
      </w:pPr>
      <w:r w:rsidRPr="00AD381B">
        <w:rPr>
          <w:sz w:val="24"/>
          <w:szCs w:val="24"/>
        </w:rPr>
        <w:t>SUPPORTING STATEMENT</w:t>
      </w:r>
    </w:p>
    <w:p w:rsidR="00043C32" w:rsidRPr="00AD381B" w:rsidP="00AD381B" w14:paraId="588F3248" w14:textId="77777777">
      <w:pPr>
        <w:pStyle w:val="Heading1"/>
        <w:rPr>
          <w:sz w:val="24"/>
          <w:szCs w:val="24"/>
        </w:rPr>
      </w:pPr>
      <w:r w:rsidRPr="00AD381B">
        <w:rPr>
          <w:sz w:val="24"/>
          <w:szCs w:val="24"/>
        </w:rPr>
        <w:t>FOR PAPERWORK REDUCTION ACT SUBMISSION</w:t>
      </w:r>
    </w:p>
    <w:p w:rsidR="00043C32" w:rsidRPr="00AD381B" w:rsidP="00AD381B" w14:paraId="0888E082" w14:textId="77777777">
      <w:pPr>
        <w:tabs>
          <w:tab w:val="left" w:pos="0"/>
        </w:tabs>
        <w:suppressAutoHyphens/>
        <w:rPr>
          <w:rFonts w:ascii="Times New Roman" w:hAnsi="Times New Roman"/>
          <w:szCs w:val="24"/>
        </w:rPr>
      </w:pPr>
    </w:p>
    <w:p w:rsidR="00EA1767" w:rsidRPr="00AD381B" w:rsidP="00AD381B" w14:paraId="0619815E"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1B84B816" w14:textId="77777777">
      <w:pPr>
        <w:pStyle w:val="ListParagraph"/>
        <w:suppressAutoHyphens/>
        <w:spacing w:line="240" w:lineRule="exact"/>
        <w:rPr>
          <w:rFonts w:ascii="Times New Roman" w:hAnsi="Times New Roman"/>
          <w:szCs w:val="24"/>
        </w:rPr>
      </w:pPr>
    </w:p>
    <w:p w:rsidR="007B651B" w:rsidRPr="00773409" w:rsidP="007B651B" w14:paraId="43B5DE2F" w14:textId="1F98B09E">
      <w:pPr>
        <w:widowControl w:val="0"/>
        <w:ind w:left="720"/>
        <w:rPr>
          <w:rFonts w:ascii="Times New Roman" w:hAnsi="Times New Roman"/>
          <w:snapToGrid w:val="0"/>
          <w:sz w:val="22"/>
          <w:szCs w:val="22"/>
        </w:rPr>
      </w:pPr>
      <w:bookmarkStart w:id="0" w:name="_Hlk41631263"/>
      <w:r>
        <w:rPr>
          <w:rFonts w:ascii="Times New Roman" w:hAnsi="Times New Roman"/>
          <w:sz w:val="22"/>
          <w:szCs w:val="22"/>
        </w:rPr>
        <w:t xml:space="preserve">This is a request for review and approval of an extension of the approved </w:t>
      </w:r>
      <w:r w:rsidRPr="00276B68">
        <w:rPr>
          <w:rFonts w:ascii="Times New Roman" w:hAnsi="Times New Roman"/>
          <w:sz w:val="22"/>
          <w:szCs w:val="22"/>
        </w:rPr>
        <w:t xml:space="preserve">Report of Dispute Resolution Under Part C of the Individuals with Disabilities Education Act </w:t>
      </w:r>
      <w:r>
        <w:rPr>
          <w:rFonts w:ascii="Times New Roman" w:hAnsi="Times New Roman"/>
          <w:sz w:val="22"/>
          <w:szCs w:val="22"/>
        </w:rPr>
        <w:t xml:space="preserve">[Information Collection 1820-0678/ Expiration Date: 11/30/23].  </w:t>
      </w:r>
      <w:r w:rsidRPr="00773409">
        <w:rPr>
          <w:rFonts w:ascii="Times New Roman" w:hAnsi="Times New Roman"/>
          <w:snapToGrid w:val="0"/>
          <w:sz w:val="22"/>
          <w:szCs w:val="22"/>
        </w:rPr>
        <w:t>The Individuals with Disabilities Education Act (IDEA; P. L. 108-446) directs the Secretary of Education to obtain data on the dispute resolution process described in Section 615 of the law.  Specific legislative authority in Section 618 of IDEA requires that:</w:t>
      </w:r>
    </w:p>
    <w:p w:rsidR="007B651B" w:rsidRPr="00773409" w:rsidP="007B651B" w14:paraId="33198D50" w14:textId="77777777">
      <w:pPr>
        <w:widowControl w:val="0"/>
        <w:rPr>
          <w:rFonts w:ascii="Times New Roman" w:hAnsi="Times New Roman"/>
          <w:snapToGrid w:val="0"/>
          <w:sz w:val="22"/>
          <w:szCs w:val="22"/>
        </w:rPr>
      </w:pPr>
    </w:p>
    <w:p w:rsidR="007B651B" w:rsidRPr="00773409" w:rsidP="007B651B" w14:paraId="764F008A" w14:textId="77777777">
      <w:pPr>
        <w:widowControl w:val="0"/>
        <w:ind w:left="720"/>
        <w:rPr>
          <w:rFonts w:ascii="Times New Roman" w:hAnsi="Times New Roman"/>
          <w:snapToGrid w:val="0"/>
          <w:sz w:val="22"/>
          <w:szCs w:val="22"/>
        </w:rPr>
      </w:pPr>
      <w:r w:rsidRPr="00773409">
        <w:rPr>
          <w:rFonts w:ascii="Times New Roman" w:hAnsi="Times New Roman"/>
          <w:snapToGrid w:val="0"/>
          <w:sz w:val="22"/>
          <w:szCs w:val="22"/>
        </w:rPr>
        <w:t>“(a) IN GENERAL- Each State that receives assistance under this part, and the Secretary of the Interior, shall provide data each year to the Secretary of Education and the public on the following:</w:t>
      </w:r>
    </w:p>
    <w:p w:rsidR="007B651B" w:rsidRPr="00773409" w:rsidP="007B651B" w14:paraId="4FD49D1A" w14:textId="77777777">
      <w:pPr>
        <w:widowControl w:val="0"/>
        <w:rPr>
          <w:rFonts w:ascii="Times New Roman" w:hAnsi="Times New Roman"/>
          <w:snapToGrid w:val="0"/>
          <w:sz w:val="22"/>
          <w:szCs w:val="22"/>
        </w:rPr>
      </w:pPr>
    </w:p>
    <w:p w:rsidR="007B651B" w:rsidRPr="00773409" w:rsidP="007B651B" w14:paraId="2A9BC8BC" w14:textId="77777777">
      <w:pPr>
        <w:widowControl w:val="0"/>
        <w:ind w:left="1440"/>
        <w:rPr>
          <w:rFonts w:ascii="Times New Roman" w:hAnsi="Times New Roman"/>
          <w:snapToGrid w:val="0"/>
          <w:sz w:val="22"/>
          <w:szCs w:val="22"/>
        </w:rPr>
      </w:pPr>
      <w:r w:rsidRPr="00773409">
        <w:rPr>
          <w:rFonts w:ascii="Times New Roman" w:hAnsi="Times New Roman"/>
          <w:snapToGrid w:val="0"/>
          <w:sz w:val="22"/>
          <w:szCs w:val="22"/>
        </w:rPr>
        <w:t>(1)(F) The number of due process complaints filed under section 615 and the number of hearings conducted.</w:t>
      </w:r>
    </w:p>
    <w:p w:rsidR="007B651B" w:rsidRPr="00773409" w:rsidP="007B651B" w14:paraId="3570A96B" w14:textId="77777777">
      <w:pPr>
        <w:widowControl w:val="0"/>
        <w:ind w:left="1440"/>
        <w:rPr>
          <w:rFonts w:ascii="Times New Roman" w:hAnsi="Times New Roman"/>
          <w:snapToGrid w:val="0"/>
          <w:sz w:val="22"/>
          <w:szCs w:val="22"/>
        </w:rPr>
      </w:pPr>
    </w:p>
    <w:p w:rsidR="007B651B" w:rsidRPr="00773409" w:rsidP="007B651B" w14:paraId="3E202E89" w14:textId="77777777">
      <w:pPr>
        <w:widowControl w:val="0"/>
        <w:ind w:left="1440"/>
        <w:rPr>
          <w:rFonts w:ascii="Times New Roman" w:hAnsi="Times New Roman"/>
          <w:snapToGrid w:val="0"/>
          <w:sz w:val="22"/>
          <w:szCs w:val="22"/>
        </w:rPr>
      </w:pPr>
      <w:r w:rsidRPr="00773409">
        <w:rPr>
          <w:rFonts w:ascii="Times New Roman" w:hAnsi="Times New Roman"/>
          <w:snapToGrid w:val="0"/>
          <w:sz w:val="22"/>
          <w:szCs w:val="22"/>
        </w:rPr>
        <w:t xml:space="preserve">(H) The number of mediations </w:t>
      </w:r>
      <w:r w:rsidRPr="00773409">
        <w:rPr>
          <w:rFonts w:ascii="Times New Roman" w:hAnsi="Times New Roman"/>
          <w:snapToGrid w:val="0"/>
          <w:sz w:val="22"/>
          <w:szCs w:val="22"/>
        </w:rPr>
        <w:t>held</w:t>
      </w:r>
      <w:r w:rsidRPr="00773409">
        <w:rPr>
          <w:rFonts w:ascii="Times New Roman" w:hAnsi="Times New Roman"/>
          <w:snapToGrid w:val="0"/>
          <w:sz w:val="22"/>
          <w:szCs w:val="22"/>
        </w:rPr>
        <w:t xml:space="preserve"> and the number of settlement agreements reached through such mediations”.</w:t>
      </w:r>
    </w:p>
    <w:p w:rsidR="007B651B" w:rsidRPr="00773409" w:rsidP="007B651B" w14:paraId="73A60E3D" w14:textId="77777777">
      <w:pPr>
        <w:widowControl w:val="0"/>
        <w:rPr>
          <w:rFonts w:ascii="Times New Roman" w:hAnsi="Times New Roman"/>
          <w:snapToGrid w:val="0"/>
          <w:sz w:val="22"/>
          <w:szCs w:val="22"/>
        </w:rPr>
      </w:pPr>
    </w:p>
    <w:p w:rsidR="007B651B" w:rsidRPr="00773409" w:rsidP="007B651B" w14:paraId="447D3D82" w14:textId="77777777">
      <w:pPr>
        <w:widowControl w:val="0"/>
        <w:ind w:left="720"/>
        <w:rPr>
          <w:rFonts w:ascii="Times New Roman" w:hAnsi="Times New Roman"/>
          <w:snapToGrid w:val="0"/>
          <w:sz w:val="22"/>
          <w:szCs w:val="22"/>
        </w:rPr>
      </w:pPr>
      <w:r w:rsidRPr="00773409">
        <w:rPr>
          <w:rFonts w:ascii="Times New Roman" w:hAnsi="Times New Roman"/>
          <w:snapToGrid w:val="0"/>
          <w:sz w:val="22"/>
          <w:szCs w:val="22"/>
        </w:rPr>
        <w:t>In addition to the specific data requirements described in Section 618, Section 616(a)(3)(B) of IDEA identifies the dispute resolution process as a monitoring priority.  The law states specifically that:</w:t>
      </w:r>
    </w:p>
    <w:p w:rsidR="007B651B" w:rsidRPr="00773409" w:rsidP="007B651B" w14:paraId="13AD8E1A" w14:textId="77777777">
      <w:pPr>
        <w:widowControl w:val="0"/>
        <w:ind w:left="720"/>
        <w:rPr>
          <w:rFonts w:ascii="Times New Roman" w:hAnsi="Times New Roman"/>
          <w:snapToGrid w:val="0"/>
          <w:sz w:val="22"/>
          <w:szCs w:val="22"/>
        </w:rPr>
      </w:pPr>
    </w:p>
    <w:p w:rsidR="007B651B" w:rsidRPr="00773409" w:rsidP="007B651B" w14:paraId="0431482D" w14:textId="77777777">
      <w:pPr>
        <w:widowControl w:val="0"/>
        <w:ind w:left="720"/>
        <w:rPr>
          <w:rFonts w:ascii="Times New Roman" w:hAnsi="Times New Roman"/>
          <w:snapToGrid w:val="0"/>
          <w:sz w:val="22"/>
          <w:szCs w:val="22"/>
        </w:rPr>
      </w:pPr>
      <w:r w:rsidRPr="00773409">
        <w:rPr>
          <w:rFonts w:ascii="Times New Roman" w:hAnsi="Times New Roman"/>
          <w:snapToGrid w:val="0"/>
          <w:sz w:val="22"/>
          <w:szCs w:val="22"/>
        </w:rPr>
        <w:t>“(3) MONITORING PRIORITIES- The Secretary shall monitor the States, and shall require each State to monitor the local educational agencies located in the State (except the State exercise of general supervisory responsibility), using quantifiable indicators in each of the following priority areas, and using such qualitative indicators as are needed to adequately measure performance in the following priority areas:</w:t>
      </w:r>
    </w:p>
    <w:p w:rsidR="007B651B" w:rsidRPr="00773409" w:rsidP="007B651B" w14:paraId="71AA99D2" w14:textId="77777777">
      <w:pPr>
        <w:widowControl w:val="0"/>
        <w:ind w:left="720"/>
        <w:rPr>
          <w:rFonts w:ascii="Times New Roman" w:hAnsi="Times New Roman"/>
          <w:snapToGrid w:val="0"/>
          <w:sz w:val="22"/>
          <w:szCs w:val="22"/>
        </w:rPr>
      </w:pPr>
    </w:p>
    <w:p w:rsidR="007B651B" w:rsidRPr="00773409" w:rsidP="007B651B" w14:paraId="38DC0553" w14:textId="77777777">
      <w:pPr>
        <w:widowControl w:val="0"/>
        <w:ind w:left="1440"/>
        <w:rPr>
          <w:rFonts w:ascii="Times New Roman" w:hAnsi="Times New Roman"/>
          <w:snapToGrid w:val="0"/>
          <w:sz w:val="22"/>
          <w:szCs w:val="22"/>
        </w:rPr>
      </w:pPr>
      <w:r w:rsidRPr="00773409">
        <w:rPr>
          <w:rFonts w:ascii="Times New Roman" w:hAnsi="Times New Roman"/>
          <w:snapToGrid w:val="0"/>
          <w:sz w:val="22"/>
          <w:szCs w:val="22"/>
        </w:rPr>
        <w:t>(B) State exercise of general supervisory authority, including child find, effective monitoring, the use of resolution sessions, mediation, voluntary binding arbitration, and a system of transition services as defined in sections 602(34) and 637(a)(9)”.</w:t>
      </w:r>
    </w:p>
    <w:p w:rsidR="007B651B" w:rsidRPr="00773409" w:rsidP="007B651B" w14:paraId="6BC51AB0" w14:textId="77777777">
      <w:pPr>
        <w:widowControl w:val="0"/>
        <w:rPr>
          <w:rFonts w:ascii="Times New Roman" w:hAnsi="Times New Roman"/>
          <w:snapToGrid w:val="0"/>
          <w:sz w:val="22"/>
          <w:szCs w:val="22"/>
        </w:rPr>
      </w:pPr>
    </w:p>
    <w:p w:rsidR="007B651B" w:rsidRPr="00773409" w:rsidP="007B651B" w14:paraId="039DD477" w14:textId="77777777">
      <w:pPr>
        <w:widowControl w:val="0"/>
        <w:ind w:left="720"/>
        <w:rPr>
          <w:rFonts w:ascii="Times" w:hAnsi="Times"/>
          <w:snapToGrid w:val="0"/>
          <w:sz w:val="22"/>
          <w:szCs w:val="22"/>
        </w:rPr>
      </w:pPr>
      <w:r w:rsidRPr="00773409">
        <w:rPr>
          <w:rFonts w:ascii="Times New Roman" w:hAnsi="Times New Roman"/>
          <w:snapToGrid w:val="0"/>
          <w:sz w:val="22"/>
          <w:szCs w:val="22"/>
        </w:rPr>
        <w:t xml:space="preserve">The data collection form provides instructions and information for States when submitting their dispute resolution data.  The form collects data on the number of written, signed complaints; mediation requests; and hearing requests and the status of these actions initiated during the reporting year with regards to children served under Part C of IDEA.  </w:t>
      </w:r>
      <w:r w:rsidRPr="00773409">
        <w:rPr>
          <w:rFonts w:ascii="Times" w:hAnsi="Times"/>
          <w:snapToGrid w:val="0"/>
          <w:sz w:val="22"/>
          <w:szCs w:val="22"/>
        </w:rPr>
        <w:t>The purposes of these data are to</w:t>
      </w:r>
      <w:r w:rsidRPr="00773409">
        <w:rPr>
          <w:rFonts w:ascii="Times" w:hAnsi="Times"/>
          <w:snapToGrid w:val="0"/>
          <w:sz w:val="22"/>
          <w:szCs w:val="22"/>
        </w:rPr>
        <w:t>:  (</w:t>
      </w:r>
      <w:r w:rsidRPr="00773409">
        <w:rPr>
          <w:rFonts w:ascii="Times" w:hAnsi="Times"/>
          <w:snapToGrid w:val="0"/>
          <w:sz w:val="22"/>
          <w:szCs w:val="22"/>
        </w:rPr>
        <w:t xml:space="preserve">1) assess the progress, impact, and effectiveness of State and local efforts to implement the legislation and (2) provide Congress, the public, and Federal, State, and local educational agencies with relevant information.  These data are used for monitoring activities, planning </w:t>
      </w:r>
      <w:r w:rsidRPr="00773409">
        <w:rPr>
          <w:rFonts w:ascii="Times" w:hAnsi="Times"/>
          <w:snapToGrid w:val="0"/>
          <w:sz w:val="22"/>
          <w:szCs w:val="22"/>
        </w:rPr>
        <w:t>purposes, congressional reporting requirements, and dissemination to individuals and groups.</w:t>
      </w:r>
    </w:p>
    <w:bookmarkEnd w:id="0"/>
    <w:p w:rsidR="00AD381B" w:rsidRPr="00AD381B" w:rsidP="00AD381B" w14:paraId="4D96DBAA" w14:textId="77777777">
      <w:pPr>
        <w:pStyle w:val="ListParagraph"/>
        <w:suppressAutoHyphens/>
        <w:spacing w:line="240" w:lineRule="exact"/>
        <w:contextualSpacing w:val="0"/>
        <w:rPr>
          <w:rFonts w:ascii="Times New Roman" w:hAnsi="Times New Roman"/>
          <w:szCs w:val="24"/>
        </w:rPr>
      </w:pPr>
    </w:p>
    <w:p w:rsidR="00AD381B" w:rsidP="00AD381B" w14:paraId="2F75E106"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14:paraId="58467BF8" w14:textId="77777777">
      <w:pPr>
        <w:suppressAutoHyphens/>
        <w:spacing w:line="240" w:lineRule="exact"/>
        <w:rPr>
          <w:rFonts w:ascii="Times New Roman" w:hAnsi="Times New Roman"/>
          <w:szCs w:val="24"/>
        </w:rPr>
      </w:pPr>
    </w:p>
    <w:p w:rsidR="007B651B" w:rsidRPr="00773409" w:rsidP="007B651B" w14:paraId="2A65AC5D" w14:textId="77777777">
      <w:pPr>
        <w:ind w:left="720"/>
        <w:rPr>
          <w:rFonts w:ascii="Times New Roman" w:hAnsi="Times New Roman"/>
          <w:snapToGrid w:val="0"/>
          <w:sz w:val="22"/>
          <w:szCs w:val="22"/>
        </w:rPr>
      </w:pPr>
      <w:r w:rsidRPr="00773409">
        <w:rPr>
          <w:rFonts w:ascii="Times New Roman" w:hAnsi="Times New Roman"/>
          <w:snapToGrid w:val="0"/>
          <w:sz w:val="22"/>
          <w:szCs w:val="22"/>
        </w:rPr>
        <w:t>The Office of Special Education Programs (OSEP) uses the information collected on this form to monitor States to ensure compliance with the Federal statute and regulations, including the State’s Annual Performance Report under each State’s Performance Plan required by Section 616 of the IDEA, to assist in establishing programmatic priorities, and to disseminate data to Congress and the public.</w:t>
      </w:r>
    </w:p>
    <w:p w:rsidR="007B651B" w:rsidRPr="00773409" w:rsidP="007B651B" w14:paraId="19923D3C" w14:textId="77777777">
      <w:pPr>
        <w:widowControl w:val="0"/>
        <w:ind w:left="720"/>
        <w:rPr>
          <w:rFonts w:ascii="Times New Roman" w:hAnsi="Times New Roman"/>
          <w:snapToGrid w:val="0"/>
          <w:sz w:val="22"/>
          <w:szCs w:val="22"/>
        </w:rPr>
      </w:pPr>
    </w:p>
    <w:p w:rsidR="007B651B" w:rsidRPr="00773409" w:rsidP="007B651B" w14:paraId="1A43EB49" w14:textId="77777777">
      <w:pPr>
        <w:keepNext/>
        <w:widowControl w:val="0"/>
        <w:tabs>
          <w:tab w:val="left" w:pos="720"/>
        </w:tabs>
        <w:ind w:left="720"/>
        <w:rPr>
          <w:rFonts w:ascii="Times New Roman" w:hAnsi="Times New Roman"/>
          <w:snapToGrid w:val="0"/>
          <w:sz w:val="22"/>
          <w:szCs w:val="22"/>
        </w:rPr>
      </w:pPr>
      <w:r w:rsidRPr="00773409">
        <w:rPr>
          <w:rFonts w:ascii="Times New Roman" w:hAnsi="Times New Roman"/>
          <w:snapToGrid w:val="0"/>
          <w:sz w:val="22"/>
          <w:szCs w:val="22"/>
        </w:rPr>
        <w:t xml:space="preserve">The Part C Dispute Resolution data are also used by OSEP, State agencies, university researchers, and advocates to examine patterns over time with regards to the provision of services for children with disabilities under IDEA.  </w:t>
      </w:r>
    </w:p>
    <w:p w:rsidR="00043C32" w:rsidRPr="00AD381B" w:rsidP="00AD381B" w14:paraId="230EBC4D" w14:textId="77777777">
      <w:pPr>
        <w:suppressAutoHyphens/>
        <w:spacing w:line="240" w:lineRule="exact"/>
        <w:rPr>
          <w:rFonts w:ascii="Times New Roman" w:hAnsi="Times New Roman"/>
          <w:szCs w:val="24"/>
        </w:rPr>
      </w:pPr>
    </w:p>
    <w:p w:rsidR="00043C32" w:rsidRPr="00AD381B" w:rsidP="00AD381B" w14:paraId="075A9C56"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AD381B">
        <w:rPr>
          <w:rFonts w:ascii="Times New Roman" w:hAnsi="Times New Roman"/>
          <w:b/>
          <w:szCs w:val="24"/>
        </w:rPr>
        <w:t>e.g.</w:t>
      </w:r>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r w:rsidR="00A23F26">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p>
    <w:p w:rsidR="00AD381B" w:rsidP="00AD381B" w14:paraId="3A2C31DC" w14:textId="77777777">
      <w:pPr>
        <w:pStyle w:val="ListParagraph"/>
        <w:tabs>
          <w:tab w:val="left" w:pos="-720"/>
        </w:tabs>
        <w:suppressAutoHyphens/>
        <w:contextualSpacing w:val="0"/>
        <w:rPr>
          <w:rFonts w:ascii="Times New Roman" w:hAnsi="Times New Roman"/>
          <w:szCs w:val="24"/>
        </w:rPr>
      </w:pPr>
    </w:p>
    <w:p w:rsidR="007B651B" w:rsidRPr="00F874B8" w:rsidP="007B651B" w14:paraId="204432ED" w14:textId="77777777">
      <w:pPr>
        <w:tabs>
          <w:tab w:val="left" w:pos="-1440"/>
        </w:tabs>
        <w:ind w:left="720"/>
        <w:rPr>
          <w:rFonts w:ascii="Times New Roman" w:hAnsi="Times New Roman"/>
          <w:snapToGrid w:val="0"/>
          <w:sz w:val="22"/>
          <w:szCs w:val="22"/>
        </w:rPr>
      </w:pPr>
      <w:r w:rsidRPr="00F874B8">
        <w:rPr>
          <w:rFonts w:ascii="Times New Roman" w:hAnsi="Times New Roman"/>
          <w:snapToGrid w:val="0"/>
          <w:sz w:val="22"/>
          <w:szCs w:val="22"/>
        </w:rPr>
        <w:t>OSEP will collect the Part C Dispute Resolution data electronically through the ED</w:t>
      </w:r>
      <w:r w:rsidRPr="00F874B8">
        <w:rPr>
          <w:rFonts w:ascii="Times New Roman" w:hAnsi="Times New Roman"/>
          <w:i/>
          <w:snapToGrid w:val="0"/>
          <w:sz w:val="22"/>
          <w:szCs w:val="22"/>
        </w:rPr>
        <w:t>Facts</w:t>
      </w:r>
      <w:r w:rsidRPr="00F874B8">
        <w:rPr>
          <w:rFonts w:ascii="Times New Roman" w:hAnsi="Times New Roman"/>
          <w:snapToGrid w:val="0"/>
          <w:sz w:val="22"/>
          <w:szCs w:val="22"/>
        </w:rPr>
        <w:t xml:space="preserve"> Metadata and Process System (EMAPS) from State agencies.  EMAPS is an established submission system that State agencies have been using to submit information to the Department for several years. EMAPS allows each State agency to provide the Part C Dispute Resolution</w:t>
      </w:r>
      <w:r w:rsidRPr="00F874B8">
        <w:rPr>
          <w:rFonts w:ascii="Times New Roman" w:hAnsi="Times New Roman"/>
          <w:i/>
          <w:iCs/>
          <w:snapToGrid w:val="0"/>
          <w:sz w:val="22"/>
          <w:szCs w:val="22"/>
        </w:rPr>
        <w:t xml:space="preserve"> </w:t>
      </w:r>
      <w:r w:rsidRPr="00F874B8">
        <w:rPr>
          <w:rFonts w:ascii="Times New Roman" w:hAnsi="Times New Roman"/>
          <w:snapToGrid w:val="0"/>
          <w:sz w:val="22"/>
          <w:szCs w:val="22"/>
        </w:rPr>
        <w:t xml:space="preserve">data in the non-proprietary, electronic formats that could be generated through automated processes within the State agency.  The EMAPS Part C Dispute Resolution form includes a number of data edits to improve data entry validity.  For example, as States enter their data, the edits flag relationships between the counts reported that are impossible (e.g., situations where 10 reports were issued with findings of noncompliance, as reported in Row 1.1(a), but only a total of 5 reports were issued, as reported in Row 1.1).  The use of the spreadsheet with built-in edits reduces the number of follow-up contacts with the States after the data are submitted.  Additionally, the EMAPS form auto-calculates totals and subtotals where appropriate to minimize reporting burden on the State. Finally, the form provides space for States to comment on their data, for example providing additional information about how the data were aggregated, what changes were made to these procedures since the last data report, how changes in state policy or legislation affect the data, or other issues the State believes are applicable to the data collection.  </w:t>
      </w:r>
    </w:p>
    <w:p w:rsidR="007B651B" w:rsidP="007B651B" w14:paraId="7362793F" w14:textId="77777777">
      <w:pPr>
        <w:pStyle w:val="ListParagraph"/>
        <w:tabs>
          <w:tab w:val="left" w:pos="-720"/>
        </w:tabs>
        <w:suppressAutoHyphens/>
        <w:contextualSpacing w:val="0"/>
        <w:rPr>
          <w:rFonts w:ascii="Times New Roman" w:hAnsi="Times New Roman"/>
          <w:szCs w:val="24"/>
        </w:rPr>
      </w:pPr>
    </w:p>
    <w:p w:rsidR="00AD381B" w:rsidP="00AD381B" w14:paraId="233BB5F2"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7B651B" w:rsidP="007B651B" w14:paraId="216EE14B" w14:textId="77777777">
      <w:pPr>
        <w:pStyle w:val="ListParagraph"/>
        <w:jc w:val="both"/>
        <w:rPr>
          <w:rFonts w:ascii="Times New Roman" w:hAnsi="Times New Roman"/>
          <w:sz w:val="22"/>
          <w:szCs w:val="22"/>
        </w:rPr>
      </w:pPr>
    </w:p>
    <w:p w:rsidR="007B651B" w:rsidRPr="007B651B" w:rsidP="007B651B" w14:paraId="326A05CF" w14:textId="2FF692EA">
      <w:pPr>
        <w:pStyle w:val="ListParagraph"/>
        <w:jc w:val="both"/>
        <w:rPr>
          <w:rFonts w:ascii="Times New Roman" w:hAnsi="Times New Roman"/>
          <w:sz w:val="22"/>
          <w:szCs w:val="22"/>
        </w:rPr>
      </w:pPr>
      <w:r w:rsidRPr="007B651B">
        <w:rPr>
          <w:rFonts w:ascii="Times New Roman" w:hAnsi="Times New Roman"/>
          <w:sz w:val="22"/>
          <w:szCs w:val="22"/>
        </w:rPr>
        <w:t>The information requested does not represent any duplication in content, reporting, or performance requirements.  This information is available only from State agencies.</w:t>
      </w:r>
    </w:p>
    <w:p w:rsidR="00246FE9" w:rsidRPr="00246FE9" w:rsidP="00246FE9" w14:paraId="44BFCB92" w14:textId="77777777">
      <w:pPr>
        <w:pStyle w:val="ListParagraph"/>
        <w:tabs>
          <w:tab w:val="left" w:pos="-720"/>
        </w:tabs>
        <w:suppressAutoHyphens/>
        <w:contextualSpacing w:val="0"/>
        <w:rPr>
          <w:rFonts w:ascii="Times New Roman" w:hAnsi="Times New Roman"/>
          <w:b/>
          <w:szCs w:val="24"/>
        </w:rPr>
      </w:pPr>
    </w:p>
    <w:p w:rsidR="00043C32" w:rsidP="00AD381B" w14:paraId="0CF184E5"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28840B67" w14:textId="77777777">
      <w:pPr>
        <w:pStyle w:val="ListParagraph"/>
        <w:contextualSpacing w:val="0"/>
        <w:rPr>
          <w:rFonts w:ascii="Times New Roman" w:hAnsi="Times New Roman"/>
          <w:szCs w:val="24"/>
        </w:rPr>
      </w:pPr>
    </w:p>
    <w:p w:rsidR="007B651B" w:rsidP="007B651B" w14:paraId="7DD40AC9" w14:textId="77777777">
      <w:pPr>
        <w:pStyle w:val="ListParagraph"/>
        <w:contextualSpacing w:val="0"/>
        <w:rPr>
          <w:rFonts w:ascii="Times New Roman" w:hAnsi="Times New Roman"/>
          <w:szCs w:val="24"/>
        </w:rPr>
      </w:pPr>
      <w:r w:rsidRPr="00F874B8">
        <w:rPr>
          <w:rFonts w:ascii="Times New Roman" w:hAnsi="Times New Roman"/>
          <w:szCs w:val="24"/>
        </w:rPr>
        <w:t>The information requested does not involve the collection of information from entities classified as small organizations.</w:t>
      </w:r>
    </w:p>
    <w:p w:rsidR="00AD381B" w:rsidP="00AD381B" w14:paraId="6CB62976" w14:textId="77777777">
      <w:pPr>
        <w:pStyle w:val="ListParagraph"/>
        <w:contextualSpacing w:val="0"/>
        <w:rPr>
          <w:rFonts w:ascii="Times New Roman" w:hAnsi="Times New Roman"/>
          <w:szCs w:val="24"/>
        </w:rPr>
      </w:pPr>
    </w:p>
    <w:p w:rsidR="00043C32" w:rsidP="00AD381B" w14:paraId="236172CE" w14:textId="50EA3C55">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7B651B" w:rsidP="007B651B" w14:paraId="451978E6" w14:textId="7D3FD83B">
      <w:pPr>
        <w:pStyle w:val="ListParagraph"/>
        <w:tabs>
          <w:tab w:val="left" w:pos="-720"/>
        </w:tabs>
        <w:suppressAutoHyphens/>
        <w:contextualSpacing w:val="0"/>
        <w:rPr>
          <w:rFonts w:ascii="Times New Roman" w:hAnsi="Times New Roman"/>
          <w:b/>
          <w:szCs w:val="24"/>
        </w:rPr>
      </w:pPr>
    </w:p>
    <w:p w:rsidR="007B651B" w:rsidRPr="00F874B8" w:rsidP="007B651B" w14:paraId="52B0A549" w14:textId="77777777">
      <w:pPr>
        <w:widowControl w:val="0"/>
        <w:ind w:left="720"/>
        <w:rPr>
          <w:rFonts w:ascii="Times New Roman" w:hAnsi="Times New Roman"/>
          <w:snapToGrid w:val="0"/>
          <w:sz w:val="22"/>
          <w:szCs w:val="22"/>
        </w:rPr>
      </w:pPr>
      <w:r w:rsidRPr="00F874B8">
        <w:rPr>
          <w:rFonts w:ascii="Times New Roman" w:hAnsi="Times New Roman"/>
          <w:snapToGrid w:val="0"/>
          <w:sz w:val="22"/>
          <w:szCs w:val="22"/>
        </w:rPr>
        <w:t xml:space="preserve">An annual data collection is necessary to comply with statutory requirements.  P.L. 108-446, Section 618(a) requires: "Each State that receives assistance under this part, and the Secretary of the Interior, shall provide data </w:t>
      </w:r>
      <w:r w:rsidRPr="00F874B8">
        <w:rPr>
          <w:rFonts w:ascii="Times New Roman" w:hAnsi="Times New Roman"/>
          <w:snapToGrid w:val="0"/>
          <w:sz w:val="22"/>
          <w:szCs w:val="22"/>
          <w:u w:val="single"/>
        </w:rPr>
        <w:t>each year</w:t>
      </w:r>
      <w:r w:rsidRPr="00F874B8">
        <w:rPr>
          <w:rFonts w:ascii="Times New Roman" w:hAnsi="Times New Roman"/>
          <w:snapToGrid w:val="0"/>
          <w:sz w:val="22"/>
          <w:szCs w:val="22"/>
        </w:rPr>
        <w:t xml:space="preserve"> to the Secretary..."</w:t>
      </w:r>
    </w:p>
    <w:p w:rsidR="007B651B" w:rsidRPr="00AD381B" w:rsidP="007B651B" w14:paraId="155756FB" w14:textId="77777777">
      <w:pPr>
        <w:pStyle w:val="ListParagraph"/>
        <w:tabs>
          <w:tab w:val="left" w:pos="-720"/>
        </w:tabs>
        <w:suppressAutoHyphens/>
        <w:contextualSpacing w:val="0"/>
        <w:rPr>
          <w:rFonts w:ascii="Times New Roman" w:hAnsi="Times New Roman"/>
          <w:b/>
          <w:szCs w:val="24"/>
        </w:rPr>
      </w:pPr>
    </w:p>
    <w:p w:rsidR="00043C32" w:rsidRPr="00AD381B" w:rsidP="00AD381B" w14:paraId="6C7E01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3914516C" w14:textId="77777777">
      <w:pPr>
        <w:tabs>
          <w:tab w:val="left" w:pos="-720"/>
        </w:tabs>
        <w:suppressAutoHyphens/>
        <w:rPr>
          <w:rFonts w:ascii="Times New Roman" w:hAnsi="Times New Roman"/>
          <w:b/>
          <w:szCs w:val="24"/>
        </w:rPr>
      </w:pPr>
    </w:p>
    <w:p w:rsidR="00043C32" w:rsidRPr="00AD381B" w:rsidP="00AD381B" w14:paraId="5B847FF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052DF782" w14:textId="77777777">
      <w:pPr>
        <w:numPr>
          <w:ilvl w:val="12"/>
          <w:numId w:val="0"/>
        </w:numPr>
        <w:tabs>
          <w:tab w:val="left" w:pos="-720"/>
        </w:tabs>
        <w:suppressAutoHyphens/>
        <w:ind w:left="340"/>
        <w:rPr>
          <w:rFonts w:ascii="Times New Roman" w:hAnsi="Times New Roman"/>
          <w:b/>
          <w:szCs w:val="24"/>
        </w:rPr>
      </w:pPr>
    </w:p>
    <w:p w:rsidR="00043C32" w:rsidRPr="00AD381B" w:rsidP="00AD381B" w14:paraId="4F7CE25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0504BCBE" w14:textId="77777777">
      <w:pPr>
        <w:numPr>
          <w:ilvl w:val="12"/>
          <w:numId w:val="0"/>
        </w:numPr>
        <w:tabs>
          <w:tab w:val="left" w:pos="-720"/>
        </w:tabs>
        <w:suppressAutoHyphens/>
        <w:rPr>
          <w:rFonts w:ascii="Times New Roman" w:hAnsi="Times New Roman"/>
          <w:b/>
          <w:szCs w:val="24"/>
        </w:rPr>
      </w:pPr>
    </w:p>
    <w:p w:rsidR="00043C32" w:rsidRPr="00AD381B" w:rsidP="00AD381B" w14:paraId="21C965E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4657B83F" w14:textId="77777777">
      <w:pPr>
        <w:numPr>
          <w:ilvl w:val="12"/>
          <w:numId w:val="0"/>
        </w:numPr>
        <w:tabs>
          <w:tab w:val="left" w:pos="-720"/>
        </w:tabs>
        <w:suppressAutoHyphens/>
        <w:rPr>
          <w:rFonts w:ascii="Times New Roman" w:hAnsi="Times New Roman"/>
          <w:b/>
          <w:szCs w:val="24"/>
        </w:rPr>
      </w:pPr>
    </w:p>
    <w:p w:rsidR="00043C32" w:rsidRPr="00AD381B" w:rsidP="00AD381B" w14:paraId="2E44147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04D2E3D1" w14:textId="77777777">
      <w:pPr>
        <w:numPr>
          <w:ilvl w:val="12"/>
          <w:numId w:val="0"/>
        </w:numPr>
        <w:tabs>
          <w:tab w:val="left" w:pos="-720"/>
        </w:tabs>
        <w:suppressAutoHyphens/>
        <w:rPr>
          <w:rFonts w:ascii="Times New Roman" w:hAnsi="Times New Roman"/>
          <w:b/>
          <w:szCs w:val="24"/>
        </w:rPr>
      </w:pPr>
    </w:p>
    <w:p w:rsidR="00043C32" w:rsidRPr="00AD381B" w:rsidP="00AD381B" w14:paraId="297A8BB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5D4DB2B5" w14:textId="77777777">
      <w:pPr>
        <w:numPr>
          <w:ilvl w:val="12"/>
          <w:numId w:val="0"/>
        </w:numPr>
        <w:tabs>
          <w:tab w:val="left" w:pos="-720"/>
        </w:tabs>
        <w:suppressAutoHyphens/>
        <w:rPr>
          <w:rFonts w:ascii="Times New Roman" w:hAnsi="Times New Roman"/>
          <w:b/>
          <w:szCs w:val="24"/>
        </w:rPr>
      </w:pPr>
    </w:p>
    <w:p w:rsidR="00043C32" w:rsidRPr="00AD381B" w:rsidP="00AD381B" w14:paraId="08CDA6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54770AFA" w14:textId="77777777">
      <w:pPr>
        <w:numPr>
          <w:ilvl w:val="12"/>
          <w:numId w:val="0"/>
        </w:numPr>
        <w:tabs>
          <w:tab w:val="left" w:pos="-720"/>
        </w:tabs>
        <w:suppressAutoHyphens/>
        <w:rPr>
          <w:rFonts w:ascii="Times New Roman" w:hAnsi="Times New Roman"/>
          <w:b/>
          <w:szCs w:val="24"/>
        </w:rPr>
      </w:pPr>
    </w:p>
    <w:p w:rsidR="00043C32" w:rsidRPr="00AD381B" w:rsidP="00AD381B" w14:paraId="75ECEF0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1D9C1547" w14:textId="77777777">
      <w:pPr>
        <w:numPr>
          <w:ilvl w:val="12"/>
          <w:numId w:val="0"/>
        </w:numPr>
        <w:tabs>
          <w:tab w:val="left" w:pos="-720"/>
        </w:tabs>
        <w:suppressAutoHyphens/>
        <w:rPr>
          <w:rFonts w:ascii="Times New Roman" w:hAnsi="Times New Roman"/>
          <w:b/>
          <w:szCs w:val="24"/>
        </w:rPr>
      </w:pPr>
    </w:p>
    <w:p w:rsidR="00043C32" w:rsidP="00AD381B" w14:paraId="07E8FDF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14:paraId="1063B6EA" w14:textId="77777777">
      <w:pPr>
        <w:pStyle w:val="ListParagraph"/>
        <w:rPr>
          <w:rFonts w:ascii="Times New Roman" w:hAnsi="Times New Roman"/>
          <w:b/>
          <w:szCs w:val="24"/>
        </w:rPr>
      </w:pPr>
    </w:p>
    <w:p w:rsidR="007B651B" w:rsidP="007B651B" w14:paraId="3D0EA338" w14:textId="77777777">
      <w:pPr>
        <w:tabs>
          <w:tab w:val="left" w:pos="-720"/>
        </w:tabs>
        <w:suppressAutoHyphens/>
        <w:ind w:left="720"/>
        <w:rPr>
          <w:rFonts w:ascii="Times New Roman" w:hAnsi="Times New Roman"/>
          <w:szCs w:val="24"/>
        </w:rPr>
      </w:pPr>
      <w:r w:rsidRPr="00F874B8">
        <w:rPr>
          <w:rFonts w:ascii="Times New Roman" w:hAnsi="Times New Roman"/>
          <w:szCs w:val="24"/>
        </w:rPr>
        <w:t>There are no special circumstances associated with this data collection.</w:t>
      </w:r>
    </w:p>
    <w:p w:rsidR="00AD381B" w:rsidRPr="00AD381B" w:rsidP="00AD381B" w14:paraId="5C6CDBBD" w14:textId="77777777">
      <w:pPr>
        <w:tabs>
          <w:tab w:val="left" w:pos="-720"/>
        </w:tabs>
        <w:suppressAutoHyphens/>
        <w:rPr>
          <w:rFonts w:ascii="Times New Roman" w:hAnsi="Times New Roman"/>
          <w:szCs w:val="24"/>
        </w:rPr>
      </w:pPr>
    </w:p>
    <w:p w:rsidR="00D75313" w:rsidP="00AD381B" w14:paraId="5736CC5B"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C4AB212"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089E55C7"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3D4D62DF"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CD6EBF6"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3C272C3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45D8DAE7" w14:textId="77777777">
      <w:pPr>
        <w:tabs>
          <w:tab w:val="left" w:pos="-720"/>
        </w:tabs>
        <w:suppressAutoHyphens/>
        <w:rPr>
          <w:rStyle w:val="a"/>
          <w:rFonts w:ascii="Times New Roman" w:hAnsi="Times New Roman"/>
          <w:b/>
          <w:szCs w:val="24"/>
        </w:rPr>
      </w:pPr>
    </w:p>
    <w:p w:rsidR="00043C32" w:rsidP="00AD381B" w14:paraId="2B52B958"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F66F3F" w:rsidP="00AD381B" w14:paraId="1F9D2E40" w14:textId="77777777">
      <w:pPr>
        <w:tabs>
          <w:tab w:val="left" w:pos="-720"/>
        </w:tabs>
        <w:suppressAutoHyphens/>
        <w:ind w:left="720"/>
        <w:rPr>
          <w:rFonts w:ascii="Times New Roman" w:hAnsi="Times New Roman"/>
          <w:b/>
          <w:sz w:val="22"/>
          <w:szCs w:val="22"/>
        </w:rPr>
      </w:pPr>
    </w:p>
    <w:p w:rsidR="00F66F3F" w:rsidRPr="00F66F3F" w:rsidP="00AD381B" w14:paraId="05B0F545" w14:textId="41CAA6CF">
      <w:pPr>
        <w:tabs>
          <w:tab w:val="left" w:pos="-720"/>
        </w:tabs>
        <w:suppressAutoHyphens/>
        <w:ind w:left="720"/>
        <w:rPr>
          <w:rFonts w:ascii="Times New Roman" w:hAnsi="Times New Roman"/>
          <w:sz w:val="22"/>
          <w:szCs w:val="22"/>
        </w:rPr>
      </w:pPr>
      <w:r w:rsidRPr="00F66F3F">
        <w:rPr>
          <w:rFonts w:ascii="Times New Roman" w:hAnsi="Times New Roman"/>
          <w:sz w:val="22"/>
          <w:szCs w:val="22"/>
        </w:rPr>
        <w:t xml:space="preserve">Interested persons were invited to comment on this proposed information collection request in a notice published in the Federal Register, Vol. 88, No. 139 on Friday, July 21, 2023.  ED requested public comment addressing five specific issues including: is this collection necessary to the proper functions of the Department; will this information be processed and used in a timely manner; is the estimate of burden accurate; how might the Department enhance the quality, utility, and clarity of the information to be collected; and how might the Department minimize the burden of this collection on the respondents, including through the use of information technology.  Comments were due on or before September 19, 2023.  Below is a summary of the public comments received in response to the </w:t>
      </w:r>
      <w:r w:rsidRPr="00F66F3F">
        <w:rPr>
          <w:rFonts w:ascii="Times New Roman" w:hAnsi="Times New Roman"/>
          <w:sz w:val="22"/>
          <w:szCs w:val="22"/>
        </w:rPr>
        <w:t>60 day</w:t>
      </w:r>
      <w:r w:rsidRPr="00F66F3F">
        <w:rPr>
          <w:rFonts w:ascii="Times New Roman" w:hAnsi="Times New Roman"/>
          <w:sz w:val="22"/>
          <w:szCs w:val="22"/>
        </w:rPr>
        <w:t xml:space="preserve"> notice.</w:t>
      </w:r>
    </w:p>
    <w:p w:rsidR="00F66F3F" w:rsidRPr="00F66F3F" w:rsidP="00AD381B" w14:paraId="4712768E" w14:textId="77777777">
      <w:pPr>
        <w:tabs>
          <w:tab w:val="left" w:pos="-720"/>
        </w:tabs>
        <w:suppressAutoHyphens/>
        <w:ind w:left="720"/>
        <w:rPr>
          <w:rFonts w:ascii="Times New Roman" w:hAnsi="Times New Roman"/>
          <w:sz w:val="22"/>
          <w:szCs w:val="22"/>
        </w:rPr>
      </w:pPr>
    </w:p>
    <w:p w:rsidR="00F66F3F" w:rsidRPr="00F66F3F" w:rsidP="00F66F3F" w14:paraId="5D8C780B" w14:textId="272370A5">
      <w:pPr>
        <w:tabs>
          <w:tab w:val="left" w:pos="-720"/>
        </w:tabs>
        <w:suppressAutoHyphens/>
        <w:ind w:left="1440"/>
        <w:rPr>
          <w:rFonts w:ascii="Times New Roman" w:hAnsi="Times New Roman"/>
          <w:sz w:val="22"/>
          <w:szCs w:val="22"/>
        </w:rPr>
      </w:pPr>
      <w:r w:rsidRPr="00F66F3F">
        <w:rPr>
          <w:rFonts w:ascii="Times New Roman" w:hAnsi="Times New Roman"/>
          <w:sz w:val="22"/>
          <w:szCs w:val="22"/>
        </w:rPr>
        <w:t>Comment:  Three commenters expressed overall support for this data collection and expressed how the collection provides feedback regarding the functions of the U.S. Department of Education.  All three commenters supported the proposal to extend the dispute resolution data collection under IDEA 618 without revisions.</w:t>
      </w:r>
    </w:p>
    <w:p w:rsidR="00F66F3F" w:rsidRPr="00F66F3F" w:rsidP="00F66F3F" w14:paraId="4450FE65" w14:textId="77777777">
      <w:pPr>
        <w:tabs>
          <w:tab w:val="left" w:pos="-720"/>
        </w:tabs>
        <w:suppressAutoHyphens/>
        <w:ind w:left="1440"/>
        <w:rPr>
          <w:rFonts w:ascii="Times New Roman" w:hAnsi="Times New Roman"/>
          <w:sz w:val="22"/>
          <w:szCs w:val="22"/>
        </w:rPr>
      </w:pPr>
    </w:p>
    <w:p w:rsidR="00F66F3F" w:rsidRPr="00F66F3F" w:rsidP="00F66F3F" w14:paraId="70E62DDD" w14:textId="723C350A">
      <w:pPr>
        <w:tabs>
          <w:tab w:val="left" w:pos="-720"/>
        </w:tabs>
        <w:suppressAutoHyphens/>
        <w:ind w:left="1440"/>
        <w:rPr>
          <w:rFonts w:ascii="Times New Roman" w:hAnsi="Times New Roman"/>
          <w:sz w:val="22"/>
          <w:szCs w:val="22"/>
        </w:rPr>
      </w:pPr>
      <w:r w:rsidRPr="00F66F3F">
        <w:rPr>
          <w:rFonts w:ascii="Times New Roman" w:hAnsi="Times New Roman"/>
          <w:sz w:val="22"/>
          <w:szCs w:val="22"/>
        </w:rPr>
        <w:t xml:space="preserve">Discussion:  The Department appreciates the commenters’ support for the Department to collect the Report of Dispute Resolution Under Part C of the Individuals with Disabilities </w:t>
      </w:r>
      <w:r w:rsidRPr="00F66F3F">
        <w:rPr>
          <w:rFonts w:ascii="Times New Roman" w:hAnsi="Times New Roman"/>
          <w:sz w:val="22"/>
          <w:szCs w:val="22"/>
        </w:rPr>
        <w:t>Education Act and agree that these collections are necessary to the proper functions of the Department.</w:t>
      </w:r>
    </w:p>
    <w:p w:rsidR="00F66F3F" w:rsidRPr="00F66F3F" w:rsidP="00F66F3F" w14:paraId="0ACBC45C" w14:textId="77777777">
      <w:pPr>
        <w:tabs>
          <w:tab w:val="left" w:pos="-720"/>
        </w:tabs>
        <w:suppressAutoHyphens/>
        <w:ind w:left="1440"/>
        <w:rPr>
          <w:rFonts w:ascii="Times New Roman" w:hAnsi="Times New Roman"/>
          <w:sz w:val="22"/>
          <w:szCs w:val="22"/>
        </w:rPr>
      </w:pPr>
    </w:p>
    <w:p w:rsidR="00F66F3F" w:rsidRPr="00F66F3F" w:rsidP="00F66F3F" w14:paraId="7F2B5418" w14:textId="497A5864">
      <w:pPr>
        <w:tabs>
          <w:tab w:val="left" w:pos="-720"/>
        </w:tabs>
        <w:suppressAutoHyphens/>
        <w:ind w:left="1440"/>
        <w:rPr>
          <w:rFonts w:ascii="Times New Roman" w:hAnsi="Times New Roman"/>
          <w:sz w:val="22"/>
          <w:szCs w:val="22"/>
        </w:rPr>
      </w:pPr>
      <w:r w:rsidRPr="00F66F3F">
        <w:rPr>
          <w:rFonts w:ascii="Times New Roman" w:hAnsi="Times New Roman"/>
          <w:sz w:val="22"/>
          <w:szCs w:val="22"/>
        </w:rPr>
        <w:t>Changes:  None.</w:t>
      </w:r>
    </w:p>
    <w:p w:rsidR="00F66F3F" w:rsidRPr="00F66F3F" w:rsidP="00AD381B" w14:paraId="69B09164" w14:textId="77777777">
      <w:pPr>
        <w:tabs>
          <w:tab w:val="left" w:pos="-720"/>
        </w:tabs>
        <w:suppressAutoHyphens/>
        <w:ind w:left="720"/>
        <w:rPr>
          <w:rFonts w:ascii="Times New Roman" w:hAnsi="Times New Roman"/>
          <w:sz w:val="22"/>
          <w:szCs w:val="22"/>
        </w:rPr>
      </w:pPr>
    </w:p>
    <w:p w:rsidR="00E66550" w:rsidRPr="00F66F3F" w:rsidP="00AD381B" w14:paraId="6C041973" w14:textId="3C4622C4">
      <w:pPr>
        <w:tabs>
          <w:tab w:val="left" w:pos="-720"/>
        </w:tabs>
        <w:suppressAutoHyphens/>
        <w:ind w:left="720"/>
        <w:rPr>
          <w:rFonts w:ascii="Times New Roman" w:hAnsi="Times New Roman"/>
          <w:sz w:val="22"/>
          <w:szCs w:val="22"/>
        </w:rPr>
      </w:pPr>
      <w:r w:rsidRPr="00F66F3F">
        <w:rPr>
          <w:rFonts w:ascii="Times New Roman" w:hAnsi="Times New Roman"/>
          <w:sz w:val="22"/>
          <w:szCs w:val="22"/>
        </w:rPr>
        <w:t xml:space="preserve">This is the request for the 30-day Federal Register notice inviting public comment.  </w:t>
      </w:r>
    </w:p>
    <w:p w:rsidR="00F66F3F" w:rsidRPr="00F66F3F" w:rsidP="00AD381B" w14:paraId="6CAC6B89" w14:textId="77777777">
      <w:pPr>
        <w:tabs>
          <w:tab w:val="left" w:pos="-720"/>
        </w:tabs>
        <w:suppressAutoHyphens/>
        <w:ind w:left="720"/>
        <w:rPr>
          <w:rFonts w:ascii="Times New Roman" w:hAnsi="Times New Roman"/>
          <w:sz w:val="22"/>
          <w:szCs w:val="22"/>
        </w:rPr>
      </w:pPr>
    </w:p>
    <w:p w:rsidR="00043C32" w:rsidRPr="00F66F3F" w:rsidP="00AD381B" w14:paraId="74514690" w14:textId="77777777">
      <w:pPr>
        <w:pStyle w:val="ListParagraph"/>
        <w:numPr>
          <w:ilvl w:val="0"/>
          <w:numId w:val="5"/>
        </w:numPr>
        <w:tabs>
          <w:tab w:val="left" w:pos="-720"/>
        </w:tabs>
        <w:suppressAutoHyphens/>
        <w:contextualSpacing w:val="0"/>
        <w:rPr>
          <w:rStyle w:val="a"/>
          <w:rFonts w:ascii="Times New Roman" w:hAnsi="Times New Roman"/>
          <w:b/>
          <w:sz w:val="22"/>
          <w:szCs w:val="22"/>
        </w:rPr>
      </w:pPr>
      <w:r w:rsidRPr="00F66F3F">
        <w:rPr>
          <w:rStyle w:val="a"/>
          <w:rFonts w:ascii="Times New Roman" w:hAnsi="Times New Roman"/>
          <w:b/>
          <w:sz w:val="22"/>
          <w:szCs w:val="22"/>
        </w:rPr>
        <w:t>Explain any decision to provide any payment or gift to respondents, other than remuneration of contractors or grantees with meaningful justification.</w:t>
      </w:r>
    </w:p>
    <w:p w:rsidR="00920F63" w:rsidRPr="00F66F3F" w:rsidP="00920F63" w14:paraId="6D0CF0D4" w14:textId="77777777">
      <w:pPr>
        <w:pStyle w:val="ListParagraph"/>
        <w:tabs>
          <w:tab w:val="left" w:pos="-720"/>
        </w:tabs>
        <w:suppressAutoHyphens/>
        <w:contextualSpacing w:val="0"/>
        <w:rPr>
          <w:rFonts w:ascii="Times New Roman" w:hAnsi="Times New Roman"/>
          <w:b/>
          <w:sz w:val="22"/>
          <w:szCs w:val="22"/>
        </w:rPr>
      </w:pPr>
    </w:p>
    <w:p w:rsidR="007B651B" w:rsidRPr="00F874B8" w:rsidP="007B651B" w14:paraId="2CAD2176" w14:textId="77777777">
      <w:pPr>
        <w:widowControl w:val="0"/>
        <w:ind w:left="720"/>
        <w:rPr>
          <w:rFonts w:ascii="Times New Roman" w:hAnsi="Times New Roman"/>
          <w:snapToGrid w:val="0"/>
          <w:sz w:val="22"/>
          <w:szCs w:val="22"/>
        </w:rPr>
      </w:pPr>
      <w:r w:rsidRPr="00F66F3F">
        <w:rPr>
          <w:rFonts w:ascii="Times New Roman" w:hAnsi="Times New Roman"/>
          <w:snapToGrid w:val="0"/>
          <w:sz w:val="22"/>
          <w:szCs w:val="22"/>
        </w:rPr>
        <w:t>No payments or gifts are provided to respondents for completing</w:t>
      </w:r>
      <w:r w:rsidRPr="00F874B8">
        <w:rPr>
          <w:rFonts w:ascii="Times New Roman" w:hAnsi="Times New Roman"/>
          <w:snapToGrid w:val="0"/>
          <w:sz w:val="22"/>
          <w:szCs w:val="22"/>
        </w:rPr>
        <w:t xml:space="preserve"> this information request.</w:t>
      </w:r>
    </w:p>
    <w:p w:rsidR="00920F63" w:rsidRPr="00920F63" w:rsidP="00920F63" w14:paraId="247FF239" w14:textId="77777777">
      <w:pPr>
        <w:pStyle w:val="ListParagraph"/>
        <w:tabs>
          <w:tab w:val="left" w:pos="-720"/>
        </w:tabs>
        <w:suppressAutoHyphens/>
        <w:contextualSpacing w:val="0"/>
        <w:rPr>
          <w:rFonts w:ascii="Times New Roman" w:hAnsi="Times New Roman"/>
          <w:b/>
          <w:szCs w:val="24"/>
        </w:rPr>
      </w:pPr>
    </w:p>
    <w:p w:rsidR="00043C32" w:rsidRPr="00D75313" w:rsidP="00AD381B" w14:paraId="5B7C3C4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D75313" w:rsidP="00920F63" w14:paraId="4820C216" w14:textId="77777777">
      <w:pPr>
        <w:tabs>
          <w:tab w:val="left" w:pos="-720"/>
        </w:tabs>
        <w:suppressAutoHyphens/>
        <w:rPr>
          <w:rFonts w:ascii="Times New Roman" w:hAnsi="Times New Roman"/>
          <w:b/>
          <w:szCs w:val="24"/>
        </w:rPr>
      </w:pPr>
    </w:p>
    <w:p w:rsidR="007B651B" w:rsidRPr="00D75313" w:rsidP="007B651B" w14:paraId="6B592057" w14:textId="77777777">
      <w:pPr>
        <w:ind w:left="720"/>
        <w:rPr>
          <w:rFonts w:ascii="Times New Roman" w:hAnsi="Times New Roman"/>
          <w:b/>
          <w:szCs w:val="24"/>
        </w:rPr>
      </w:pPr>
      <w:r>
        <w:rPr>
          <w:rFonts w:ascii="Times New Roman" w:hAnsi="Times New Roman"/>
          <w:sz w:val="22"/>
          <w:szCs w:val="22"/>
        </w:rPr>
        <w:t xml:space="preserve">No assurance of confidentiality is provided to respondents.  However, no individually identifiable information is requested. </w:t>
      </w:r>
    </w:p>
    <w:p w:rsidR="00920F63" w:rsidRPr="00920F63" w:rsidP="00E25EBC" w14:paraId="2BC2A77A" w14:textId="77777777">
      <w:pPr>
        <w:tabs>
          <w:tab w:val="left" w:pos="-720"/>
        </w:tabs>
        <w:suppressAutoHyphens/>
        <w:rPr>
          <w:rFonts w:ascii="Times New Roman" w:hAnsi="Times New Roman"/>
          <w:szCs w:val="24"/>
        </w:rPr>
      </w:pPr>
    </w:p>
    <w:p w:rsidR="00043C32" w:rsidP="00AD381B" w14:paraId="659FB2DC"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14:paraId="3A9D7CF6" w14:textId="77777777">
      <w:pPr>
        <w:tabs>
          <w:tab w:val="left" w:pos="-720"/>
        </w:tabs>
        <w:suppressAutoHyphens/>
        <w:rPr>
          <w:rFonts w:ascii="Times New Roman" w:hAnsi="Times New Roman"/>
          <w:b/>
          <w:szCs w:val="24"/>
        </w:rPr>
      </w:pPr>
    </w:p>
    <w:p w:rsidR="007B651B" w:rsidRPr="00F874B8" w:rsidP="007B651B" w14:paraId="3460B02A" w14:textId="77777777">
      <w:pPr>
        <w:widowControl w:val="0"/>
        <w:ind w:left="720"/>
        <w:rPr>
          <w:rFonts w:ascii="Times New Roman" w:hAnsi="Times New Roman"/>
          <w:snapToGrid w:val="0"/>
          <w:sz w:val="22"/>
          <w:szCs w:val="22"/>
        </w:rPr>
      </w:pPr>
      <w:r w:rsidRPr="00F874B8">
        <w:rPr>
          <w:rFonts w:ascii="Times New Roman" w:hAnsi="Times New Roman"/>
          <w:snapToGrid w:val="0"/>
          <w:sz w:val="22"/>
          <w:szCs w:val="22"/>
        </w:rPr>
        <w:t>There are no questions or requirements of a sensitive nature contained in the form.</w:t>
      </w:r>
    </w:p>
    <w:p w:rsidR="00920F63" w:rsidRPr="00920F63" w:rsidP="00920F63" w14:paraId="46CFB771" w14:textId="77777777">
      <w:pPr>
        <w:tabs>
          <w:tab w:val="left" w:pos="-720"/>
        </w:tabs>
        <w:suppressAutoHyphens/>
        <w:ind w:left="180"/>
        <w:rPr>
          <w:rFonts w:ascii="Times New Roman" w:hAnsi="Times New Roman"/>
          <w:szCs w:val="24"/>
        </w:rPr>
      </w:pPr>
    </w:p>
    <w:p w:rsidR="00043C32" w:rsidRPr="00920F63" w:rsidP="00AD381B" w14:paraId="29BD4E3B"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E6F01A7" w14:textId="77777777">
      <w:pPr>
        <w:tabs>
          <w:tab w:val="left" w:pos="-720"/>
        </w:tabs>
        <w:suppressAutoHyphens/>
        <w:rPr>
          <w:rStyle w:val="a"/>
          <w:rFonts w:ascii="Times New Roman" w:hAnsi="Times New Roman"/>
          <w:b/>
          <w:szCs w:val="24"/>
        </w:rPr>
      </w:pPr>
    </w:p>
    <w:p w:rsidR="00C224FD" w:rsidP="00C224FD" w14:paraId="639F43CD"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FF8EB08"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3B5D90C3"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0F875040"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551E5EB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1"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0923BC64" w14:textId="77777777">
      <w:pPr>
        <w:tabs>
          <w:tab w:val="left" w:pos="-720"/>
          <w:tab w:val="left" w:pos="1247"/>
        </w:tabs>
        <w:suppressAutoHyphens/>
        <w:rPr>
          <w:rStyle w:val="a"/>
          <w:rFonts w:ascii="Times New Roman" w:hAnsi="Times New Roman"/>
          <w:b/>
          <w:szCs w:val="24"/>
        </w:rPr>
      </w:pPr>
    </w:p>
    <w:p w:rsidR="00946126" w:rsidRPr="00756FD3" w:rsidP="00946126" w14:paraId="3AFF071E"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BB411B" w:rsidRPr="00F874B8" w:rsidP="00BB411B" w14:paraId="611DBAA3" w14:textId="77777777">
      <w:pPr>
        <w:widowControl w:val="0"/>
        <w:ind w:left="720"/>
        <w:rPr>
          <w:rFonts w:ascii="Times New Roman" w:hAnsi="Times New Roman"/>
          <w:snapToGrid w:val="0"/>
          <w:sz w:val="22"/>
          <w:szCs w:val="22"/>
        </w:rPr>
      </w:pPr>
      <w:r w:rsidRPr="00F874B8">
        <w:rPr>
          <w:rFonts w:ascii="Times New Roman" w:hAnsi="Times New Roman"/>
          <w:snapToGrid w:val="0"/>
          <w:sz w:val="22"/>
          <w:szCs w:val="22"/>
        </w:rPr>
        <w:t>Estimating burden is difficult for the Part C program because of variations in the availability and sophistication of computerized data collection systems and the difficulty of collecting information across participating agencies.  OSEP developed the burden estimates based on previous experience with each data collection, the information available about State data collection systems. The estimate of total respondent burden is based on 56 reporting entities</w:t>
      </w:r>
      <w:r>
        <w:rPr>
          <w:rFonts w:ascii="Times New Roman" w:hAnsi="Times New Roman"/>
          <w:snapToGrid w:val="0"/>
          <w:sz w:val="22"/>
          <w:szCs w:val="22"/>
          <w:vertAlign w:val="superscript"/>
        </w:rPr>
        <w:footnoteReference w:id="3"/>
      </w:r>
      <w:r w:rsidRPr="00F874B8">
        <w:rPr>
          <w:rFonts w:ascii="Times New Roman" w:hAnsi="Times New Roman"/>
          <w:snapToGrid w:val="0"/>
          <w:sz w:val="22"/>
          <w:szCs w:val="22"/>
        </w:rPr>
        <w:t xml:space="preserve">.  Note that it is not possible to estimate an exact burden amount for each State because States vary in their methods for collecting and aggregating these data, in the number of children they serve (and, consequently, the number of complaints received), and the sophistication of their data systems.  In making these estimates, we assumed that most States directly collect all dispute resolution data and already have systems in place for reporting these data.  </w:t>
      </w:r>
    </w:p>
    <w:p w:rsidR="00BB411B" w:rsidRPr="00F874B8" w:rsidP="00BB411B" w14:paraId="4C8DE4E4" w14:textId="77777777">
      <w:pPr>
        <w:widowControl w:val="0"/>
        <w:ind w:firstLine="720"/>
        <w:rPr>
          <w:rFonts w:ascii="Times New Roman" w:hAnsi="Times New Roman"/>
          <w:snapToGrid w:val="0"/>
          <w:sz w:val="22"/>
          <w:szCs w:val="22"/>
        </w:rPr>
      </w:pPr>
    </w:p>
    <w:p w:rsidR="00BB411B" w:rsidRPr="00F874B8" w:rsidP="00BB411B" w14:paraId="7A92EB52" w14:textId="77777777">
      <w:pPr>
        <w:widowControl w:val="0"/>
        <w:ind w:left="720"/>
        <w:rPr>
          <w:rFonts w:ascii="Times New Roman" w:hAnsi="Times New Roman"/>
          <w:snapToGrid w:val="0"/>
          <w:sz w:val="22"/>
          <w:szCs w:val="22"/>
        </w:rPr>
      </w:pPr>
      <w:r w:rsidRPr="00F874B8">
        <w:rPr>
          <w:rFonts w:ascii="Times New Roman" w:hAnsi="Times New Roman"/>
          <w:snapToGrid w:val="0"/>
          <w:sz w:val="22"/>
          <w:szCs w:val="22"/>
        </w:rPr>
        <w:t>In order to calculate burden, OSEP estimated the average number of hours required per State.  The total burden for all States was calculated by multiplying the average number of hours by 56</w:t>
      </w:r>
      <w:r w:rsidRPr="00F874B8">
        <w:rPr>
          <w:rFonts w:ascii="Times New Roman" w:hAnsi="Times New Roman"/>
          <w:snapToGrid w:val="0"/>
          <w:sz w:val="22"/>
          <w:szCs w:val="22"/>
          <w:vertAlign w:val="superscript"/>
        </w:rPr>
        <w:t>1</w:t>
      </w:r>
      <w:r w:rsidRPr="00F874B8">
        <w:rPr>
          <w:rFonts w:ascii="Times New Roman" w:hAnsi="Times New Roman"/>
          <w:snapToGrid w:val="0"/>
          <w:sz w:val="22"/>
          <w:szCs w:val="22"/>
        </w:rPr>
        <w:t xml:space="preserve"> (56 multiplied by average State burden).  For State agencies, the estimated average burden is 40 hours per State agency, representing a total burden estimate of 2,240 hours.  At the time that this collection was introduced, most States reported that they expected the required number of hours needed to produce these data to decline as systems were expanded to collect all required data </w:t>
      </w:r>
      <w:r w:rsidRPr="00F874B8">
        <w:rPr>
          <w:rFonts w:ascii="Times New Roman" w:hAnsi="Times New Roman"/>
          <w:snapToGrid w:val="0"/>
          <w:sz w:val="22"/>
          <w:szCs w:val="22"/>
        </w:rPr>
        <w:t xml:space="preserve">elements, personnel were trained on reporting these data, and edits were implemented to automate data cleaning.   </w:t>
      </w:r>
    </w:p>
    <w:p w:rsidR="00BB411B" w:rsidRPr="00F874B8" w:rsidP="00BB411B" w14:paraId="715AA997" w14:textId="77777777">
      <w:pPr>
        <w:widowControl w:val="0"/>
        <w:ind w:left="720"/>
        <w:rPr>
          <w:rFonts w:ascii="Times New Roman" w:hAnsi="Times New Roman"/>
          <w:snapToGrid w:val="0"/>
          <w:sz w:val="22"/>
          <w:szCs w:val="22"/>
        </w:rPr>
      </w:pPr>
    </w:p>
    <w:p w:rsidR="00BB411B" w:rsidRPr="00F874B8" w:rsidP="00BB411B" w14:paraId="3E28E8FC" w14:textId="09890784">
      <w:pPr>
        <w:widowControl w:val="0"/>
        <w:ind w:left="720"/>
        <w:rPr>
          <w:rFonts w:ascii="Times New Roman" w:hAnsi="Times New Roman"/>
          <w:snapToGrid w:val="0"/>
          <w:sz w:val="22"/>
          <w:szCs w:val="22"/>
        </w:rPr>
      </w:pPr>
      <w:r w:rsidRPr="00F874B8">
        <w:rPr>
          <w:rFonts w:ascii="Times New Roman" w:hAnsi="Times New Roman"/>
          <w:snapToGrid w:val="0"/>
          <w:sz w:val="22"/>
          <w:szCs w:val="22"/>
        </w:rPr>
        <w:t>OSEP estimated respondent costs as $</w:t>
      </w:r>
      <w:r>
        <w:rPr>
          <w:rFonts w:ascii="Times New Roman" w:hAnsi="Times New Roman"/>
          <w:snapToGrid w:val="0"/>
          <w:sz w:val="22"/>
          <w:szCs w:val="22"/>
        </w:rPr>
        <w:t>3</w:t>
      </w:r>
      <w:r w:rsidR="007B651B">
        <w:rPr>
          <w:rFonts w:ascii="Times New Roman" w:hAnsi="Times New Roman"/>
          <w:snapToGrid w:val="0"/>
          <w:sz w:val="22"/>
          <w:szCs w:val="22"/>
        </w:rPr>
        <w:t>8.44</w:t>
      </w:r>
      <w:r w:rsidRPr="00F874B8">
        <w:rPr>
          <w:rFonts w:ascii="Times New Roman" w:hAnsi="Times New Roman"/>
          <w:snapToGrid w:val="0"/>
          <w:sz w:val="22"/>
          <w:szCs w:val="22"/>
        </w:rPr>
        <w:t xml:space="preserve"> per hour.  As indicated above, the estimated total number of burden hours is 2,240.  Therefore, the total estimated cost to the respondents is $</w:t>
      </w:r>
      <w:r w:rsidR="007B651B">
        <w:rPr>
          <w:rFonts w:ascii="Times New Roman" w:hAnsi="Times New Roman"/>
          <w:snapToGrid w:val="0"/>
          <w:sz w:val="22"/>
          <w:szCs w:val="22"/>
        </w:rPr>
        <w:t>86,105</w:t>
      </w:r>
      <w:r w:rsidRPr="00F874B8">
        <w:rPr>
          <w:rFonts w:ascii="Times New Roman" w:hAnsi="Times New Roman"/>
          <w:snapToGrid w:val="0"/>
          <w:sz w:val="22"/>
          <w:szCs w:val="22"/>
        </w:rPr>
        <w:t>.</w:t>
      </w:r>
    </w:p>
    <w:p w:rsidR="00BB411B" w:rsidP="00BB411B" w14:paraId="427EF160" w14:textId="77777777">
      <w:pPr>
        <w:pStyle w:val="ListParagraph"/>
        <w:tabs>
          <w:tab w:val="left" w:pos="-720"/>
        </w:tabs>
        <w:suppressAutoHyphens/>
        <w:rPr>
          <w:rStyle w:val="a"/>
          <w:rFonts w:ascii="Times New Roman" w:hAnsi="Times New Roman"/>
          <w:szCs w:val="24"/>
        </w:rPr>
      </w:pPr>
    </w:p>
    <w:p w:rsidR="00BB411B" w:rsidRPr="00920F63" w:rsidP="00BB411B" w14:paraId="1AFEC3F2"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Pr>
          <w:rFonts w:ascii="Times New Roman" w:hAnsi="Times New Roman"/>
          <w:color w:val="000000" w:themeColor="text1"/>
          <w:sz w:val="24"/>
          <w:szCs w:val="24"/>
        </w:rPr>
        <w:t>Annual Burden and Respondent Costs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337B84F0" w14:textId="77777777" w:rsidTr="00791228">
        <w:tblPrEx>
          <w:tblW w:w="11335" w:type="dxa"/>
          <w:tblLayout w:type="fixed"/>
          <w:tblLook w:val="0020"/>
        </w:tblPrEx>
        <w:trPr>
          <w:tblHeader/>
        </w:trPr>
        <w:tc>
          <w:tcPr>
            <w:tcW w:w="1345" w:type="dxa"/>
          </w:tcPr>
          <w:p w:rsidR="00BB411B" w:rsidP="00791228" w14:paraId="3AAFED1C" w14:textId="77777777">
            <w:pPr>
              <w:jc w:val="center"/>
              <w:rPr>
                <w:rFonts w:ascii="Times New Roman" w:hAnsi="Times New Roman"/>
                <w:sz w:val="20"/>
              </w:rPr>
            </w:pPr>
          </w:p>
          <w:p w:rsidR="00BB411B" w:rsidP="00791228" w14:paraId="0A282EFB" w14:textId="77777777">
            <w:pPr>
              <w:jc w:val="center"/>
              <w:rPr>
                <w:rFonts w:ascii="Times New Roman" w:hAnsi="Times New Roman"/>
                <w:sz w:val="20"/>
              </w:rPr>
            </w:pPr>
          </w:p>
          <w:p w:rsidR="00BB411B" w:rsidRPr="007F6104" w:rsidP="00791228" w14:paraId="429F0490"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BB411B" w:rsidP="00791228" w14:paraId="697ED6AF" w14:textId="77777777">
            <w:pPr>
              <w:jc w:val="center"/>
              <w:rPr>
                <w:rFonts w:ascii="Times New Roman" w:hAnsi="Times New Roman"/>
                <w:sz w:val="20"/>
              </w:rPr>
            </w:pPr>
          </w:p>
          <w:p w:rsidR="00BB411B" w:rsidP="00791228" w14:paraId="41FEF7A0" w14:textId="77777777">
            <w:pPr>
              <w:jc w:val="center"/>
              <w:rPr>
                <w:rFonts w:ascii="Times New Roman" w:hAnsi="Times New Roman"/>
                <w:sz w:val="20"/>
              </w:rPr>
            </w:pPr>
          </w:p>
          <w:p w:rsidR="00BB411B" w:rsidRPr="007F6104" w:rsidP="00791228" w14:paraId="6D6E9F39"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BB411B" w:rsidP="00791228" w14:paraId="47DF2F57" w14:textId="77777777">
            <w:pPr>
              <w:jc w:val="center"/>
              <w:rPr>
                <w:rFonts w:ascii="Times New Roman" w:hAnsi="Times New Roman"/>
                <w:sz w:val="20"/>
              </w:rPr>
            </w:pPr>
          </w:p>
          <w:p w:rsidR="00BB411B" w:rsidP="00791228" w14:paraId="5827EA28" w14:textId="77777777">
            <w:pPr>
              <w:shd w:val="clear" w:color="auto" w:fill="F2F2F2" w:themeFill="background1" w:themeFillShade="F2"/>
              <w:jc w:val="center"/>
              <w:rPr>
                <w:rFonts w:ascii="Times New Roman" w:hAnsi="Times New Roman"/>
                <w:sz w:val="20"/>
              </w:rPr>
            </w:pPr>
          </w:p>
          <w:p w:rsidR="00BB411B" w:rsidRPr="007F6104" w:rsidP="00791228" w14:paraId="0E4EDA4C"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BB411B" w:rsidRPr="007F6104" w:rsidP="00791228" w14:paraId="02196051"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BB411B" w:rsidP="00791228" w14:paraId="2290BA93" w14:textId="77777777">
            <w:pPr>
              <w:jc w:val="center"/>
              <w:rPr>
                <w:rFonts w:ascii="Times New Roman" w:hAnsi="Times New Roman"/>
                <w:sz w:val="20"/>
              </w:rPr>
            </w:pPr>
          </w:p>
          <w:p w:rsidR="00BB411B" w:rsidP="00791228" w14:paraId="25526742" w14:textId="77777777">
            <w:pPr>
              <w:jc w:val="center"/>
              <w:rPr>
                <w:rFonts w:ascii="Times New Roman" w:hAnsi="Times New Roman"/>
                <w:sz w:val="20"/>
              </w:rPr>
            </w:pPr>
          </w:p>
          <w:p w:rsidR="00BB411B" w:rsidRPr="007F6104" w:rsidP="00791228" w14:paraId="65500EE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BB411B" w:rsidP="00791228" w14:paraId="4B581858" w14:textId="77777777">
            <w:pPr>
              <w:jc w:val="center"/>
              <w:rPr>
                <w:rFonts w:ascii="Times New Roman" w:hAnsi="Times New Roman"/>
                <w:sz w:val="20"/>
              </w:rPr>
            </w:pPr>
          </w:p>
          <w:p w:rsidR="00BB411B" w:rsidRPr="007F6104" w:rsidP="00791228" w14:paraId="0DAAC7CE"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BB411B" w:rsidP="00791228" w14:paraId="6BBFE986" w14:textId="77777777">
            <w:pPr>
              <w:jc w:val="center"/>
              <w:rPr>
                <w:rFonts w:ascii="Times New Roman" w:hAnsi="Times New Roman"/>
                <w:sz w:val="20"/>
              </w:rPr>
            </w:pPr>
          </w:p>
          <w:p w:rsidR="00BB411B" w:rsidRPr="007F6104" w:rsidP="00791228" w14:paraId="3C6EA2A8"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BB411B" w:rsidP="00791228" w14:paraId="7B62CCF0" w14:textId="77777777">
            <w:pPr>
              <w:jc w:val="center"/>
              <w:rPr>
                <w:rFonts w:ascii="Times New Roman" w:hAnsi="Times New Roman"/>
                <w:sz w:val="20"/>
              </w:rPr>
            </w:pPr>
          </w:p>
          <w:p w:rsidR="00BB411B" w:rsidP="00791228" w14:paraId="185CFF16" w14:textId="77777777">
            <w:pPr>
              <w:jc w:val="center"/>
              <w:rPr>
                <w:rFonts w:ascii="Times New Roman" w:hAnsi="Times New Roman"/>
                <w:sz w:val="20"/>
              </w:rPr>
            </w:pPr>
          </w:p>
          <w:p w:rsidR="00BB411B" w:rsidRPr="007F6104" w:rsidP="00791228" w14:paraId="42B2B80C"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BB411B" w:rsidP="00791228" w14:paraId="5D4B8205" w14:textId="77777777">
            <w:pPr>
              <w:jc w:val="center"/>
              <w:rPr>
                <w:rFonts w:ascii="Times New Roman" w:hAnsi="Times New Roman"/>
                <w:sz w:val="20"/>
              </w:rPr>
            </w:pPr>
          </w:p>
          <w:p w:rsidR="00BB411B" w:rsidP="00791228" w14:paraId="34C7D59B" w14:textId="77777777">
            <w:pPr>
              <w:jc w:val="center"/>
              <w:rPr>
                <w:rFonts w:ascii="Times New Roman" w:hAnsi="Times New Roman"/>
                <w:sz w:val="20"/>
              </w:rPr>
            </w:pPr>
          </w:p>
          <w:p w:rsidR="00BB411B" w:rsidRPr="007F6104" w:rsidP="00791228" w14:paraId="715A6257"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1FF785B0" w14:textId="77777777" w:rsidTr="00791228">
        <w:tblPrEx>
          <w:tblW w:w="11335" w:type="dxa"/>
          <w:tblLayout w:type="fixed"/>
          <w:tblLook w:val="0020"/>
        </w:tblPrEx>
        <w:tc>
          <w:tcPr>
            <w:tcW w:w="1345" w:type="dxa"/>
          </w:tcPr>
          <w:p w:rsidR="00BB411B" w:rsidRPr="0091710D" w:rsidP="00791228" w14:paraId="24A7C33B" w14:textId="77777777">
            <w:pPr>
              <w:rPr>
                <w:rFonts w:ascii="Times New Roman" w:hAnsi="Times New Roman"/>
                <w:sz w:val="20"/>
              </w:rPr>
            </w:pPr>
            <w:r w:rsidRPr="0091710D">
              <w:rPr>
                <w:rFonts w:ascii="Times New Roman" w:hAnsi="Times New Roman"/>
                <w:sz w:val="20"/>
              </w:rPr>
              <w:t>States with individual child record systems</w:t>
            </w:r>
          </w:p>
        </w:tc>
        <w:tc>
          <w:tcPr>
            <w:tcW w:w="1265" w:type="dxa"/>
          </w:tcPr>
          <w:p w:rsidR="00BB411B" w:rsidRPr="0091710D" w:rsidP="00791228" w14:paraId="52F97251" w14:textId="77777777">
            <w:pPr>
              <w:rPr>
                <w:rFonts w:ascii="Times New Roman" w:hAnsi="Times New Roman"/>
                <w:sz w:val="20"/>
              </w:rPr>
            </w:pPr>
          </w:p>
        </w:tc>
        <w:tc>
          <w:tcPr>
            <w:tcW w:w="1255" w:type="dxa"/>
          </w:tcPr>
          <w:p w:rsidR="00BB411B" w:rsidRPr="0091710D" w:rsidP="00791228" w14:paraId="46A37CFE" w14:textId="77777777">
            <w:pPr>
              <w:rPr>
                <w:rFonts w:ascii="Times New Roman" w:hAnsi="Times New Roman"/>
                <w:sz w:val="20"/>
              </w:rPr>
            </w:pPr>
          </w:p>
        </w:tc>
        <w:tc>
          <w:tcPr>
            <w:tcW w:w="1275" w:type="dxa"/>
          </w:tcPr>
          <w:p w:rsidR="00BB411B" w:rsidRPr="0091710D" w:rsidP="00791228" w14:paraId="08FF07E0" w14:textId="77777777">
            <w:pPr>
              <w:rPr>
                <w:rFonts w:ascii="Times New Roman" w:hAnsi="Times New Roman"/>
                <w:sz w:val="20"/>
              </w:rPr>
            </w:pPr>
            <w:r w:rsidRPr="0091710D">
              <w:rPr>
                <w:rFonts w:ascii="Times New Roman" w:hAnsi="Times New Roman"/>
                <w:sz w:val="20"/>
              </w:rPr>
              <w:t>51</w:t>
            </w:r>
          </w:p>
        </w:tc>
        <w:tc>
          <w:tcPr>
            <w:tcW w:w="1080" w:type="dxa"/>
          </w:tcPr>
          <w:p w:rsidR="00BB411B" w:rsidRPr="0091710D" w:rsidP="00791228" w14:paraId="3ADDC98F" w14:textId="77777777">
            <w:pPr>
              <w:jc w:val="center"/>
              <w:rPr>
                <w:rFonts w:ascii="Times New Roman" w:hAnsi="Times New Roman"/>
                <w:sz w:val="20"/>
              </w:rPr>
            </w:pPr>
            <w:r w:rsidRPr="0091710D">
              <w:rPr>
                <w:rFonts w:ascii="Times New Roman" w:hAnsi="Times New Roman"/>
                <w:sz w:val="20"/>
              </w:rPr>
              <w:t>51</w:t>
            </w:r>
          </w:p>
        </w:tc>
        <w:tc>
          <w:tcPr>
            <w:tcW w:w="1335" w:type="dxa"/>
          </w:tcPr>
          <w:p w:rsidR="00BB411B" w:rsidRPr="0091710D" w:rsidP="00791228" w14:paraId="698A3ABA" w14:textId="77777777">
            <w:pPr>
              <w:jc w:val="center"/>
              <w:rPr>
                <w:rFonts w:ascii="Times New Roman" w:hAnsi="Times New Roman"/>
                <w:sz w:val="20"/>
              </w:rPr>
            </w:pPr>
            <w:r w:rsidRPr="0091710D">
              <w:rPr>
                <w:rFonts w:ascii="Times New Roman" w:hAnsi="Times New Roman"/>
                <w:sz w:val="20"/>
              </w:rPr>
              <w:t>38</w:t>
            </w:r>
          </w:p>
        </w:tc>
        <w:tc>
          <w:tcPr>
            <w:tcW w:w="900" w:type="dxa"/>
          </w:tcPr>
          <w:p w:rsidR="00BB411B" w:rsidRPr="0091710D" w:rsidP="00791228" w14:paraId="76FBF238" w14:textId="77777777">
            <w:pPr>
              <w:rPr>
                <w:rFonts w:ascii="Times New Roman" w:hAnsi="Times New Roman"/>
                <w:sz w:val="20"/>
              </w:rPr>
            </w:pPr>
            <w:r w:rsidRPr="0091710D">
              <w:rPr>
                <w:rFonts w:ascii="Times New Roman" w:hAnsi="Times New Roman"/>
                <w:sz w:val="20"/>
              </w:rPr>
              <w:t>1938</w:t>
            </w:r>
          </w:p>
        </w:tc>
        <w:tc>
          <w:tcPr>
            <w:tcW w:w="1530" w:type="dxa"/>
          </w:tcPr>
          <w:p w:rsidR="00BB411B" w:rsidRPr="0091710D" w:rsidP="00791228" w14:paraId="3A8849D4" w14:textId="34F3C68A">
            <w:pPr>
              <w:rPr>
                <w:rFonts w:ascii="Times New Roman" w:hAnsi="Times New Roman"/>
                <w:sz w:val="20"/>
              </w:rPr>
            </w:pPr>
            <w:r w:rsidRPr="0091710D">
              <w:rPr>
                <w:rFonts w:ascii="Times New Roman" w:hAnsi="Times New Roman"/>
                <w:sz w:val="20"/>
              </w:rPr>
              <w:t>$3</w:t>
            </w:r>
            <w:r>
              <w:rPr>
                <w:rFonts w:ascii="Times New Roman" w:hAnsi="Times New Roman"/>
                <w:sz w:val="20"/>
              </w:rPr>
              <w:t>8.44</w:t>
            </w:r>
          </w:p>
        </w:tc>
        <w:tc>
          <w:tcPr>
            <w:tcW w:w="1350" w:type="dxa"/>
          </w:tcPr>
          <w:p w:rsidR="00BB411B" w:rsidRPr="0091710D" w:rsidP="00791228" w14:paraId="19850AAE" w14:textId="5BBB2963">
            <w:pPr>
              <w:rPr>
                <w:rFonts w:ascii="Times New Roman" w:hAnsi="Times New Roman"/>
                <w:sz w:val="20"/>
              </w:rPr>
            </w:pPr>
            <w:r>
              <w:rPr>
                <w:rFonts w:ascii="Times New Roman" w:hAnsi="Times New Roman"/>
                <w:sz w:val="20"/>
              </w:rPr>
              <w:t>$</w:t>
            </w:r>
            <w:r w:rsidRPr="00BB411B">
              <w:rPr>
                <w:rFonts w:ascii="Times New Roman" w:hAnsi="Times New Roman"/>
                <w:sz w:val="20"/>
              </w:rPr>
              <w:t>74,496.72</w:t>
            </w:r>
          </w:p>
        </w:tc>
      </w:tr>
      <w:tr w14:paraId="0C9BD868" w14:textId="77777777" w:rsidTr="00791228">
        <w:tblPrEx>
          <w:tblW w:w="11335" w:type="dxa"/>
          <w:tblLayout w:type="fixed"/>
          <w:tblLook w:val="0020"/>
        </w:tblPrEx>
        <w:tc>
          <w:tcPr>
            <w:tcW w:w="1345" w:type="dxa"/>
          </w:tcPr>
          <w:p w:rsidR="00BB411B" w:rsidRPr="0091710D" w:rsidP="00791228" w14:paraId="75D0678F" w14:textId="44EFFFC4">
            <w:pPr>
              <w:rPr>
                <w:rFonts w:ascii="Times New Roman" w:hAnsi="Times New Roman"/>
                <w:sz w:val="20"/>
              </w:rPr>
            </w:pPr>
            <w:r w:rsidRPr="0091710D">
              <w:rPr>
                <w:rFonts w:ascii="Times New Roman" w:hAnsi="Times New Roman"/>
                <w:sz w:val="20"/>
              </w:rPr>
              <w:t xml:space="preserve">States without individual child record </w:t>
            </w:r>
            <w:r>
              <w:rPr>
                <w:rFonts w:ascii="Times New Roman" w:hAnsi="Times New Roman"/>
                <w:sz w:val="20"/>
              </w:rPr>
              <w:t>systems</w:t>
            </w:r>
          </w:p>
        </w:tc>
        <w:tc>
          <w:tcPr>
            <w:tcW w:w="1265" w:type="dxa"/>
          </w:tcPr>
          <w:p w:rsidR="00BB411B" w:rsidRPr="0091710D" w:rsidP="00791228" w14:paraId="5721C2BF" w14:textId="77777777">
            <w:pPr>
              <w:rPr>
                <w:rFonts w:ascii="Times New Roman" w:hAnsi="Times New Roman"/>
                <w:sz w:val="20"/>
              </w:rPr>
            </w:pPr>
          </w:p>
        </w:tc>
        <w:tc>
          <w:tcPr>
            <w:tcW w:w="1255" w:type="dxa"/>
          </w:tcPr>
          <w:p w:rsidR="00BB411B" w:rsidRPr="0091710D" w:rsidP="00791228" w14:paraId="45390582" w14:textId="77777777">
            <w:pPr>
              <w:rPr>
                <w:rFonts w:ascii="Times New Roman" w:hAnsi="Times New Roman"/>
                <w:sz w:val="20"/>
              </w:rPr>
            </w:pPr>
          </w:p>
        </w:tc>
        <w:tc>
          <w:tcPr>
            <w:tcW w:w="1275" w:type="dxa"/>
          </w:tcPr>
          <w:p w:rsidR="00BB411B" w:rsidRPr="0091710D" w:rsidP="00791228" w14:paraId="37952A30" w14:textId="77777777">
            <w:pPr>
              <w:rPr>
                <w:rFonts w:ascii="Times New Roman" w:hAnsi="Times New Roman"/>
                <w:sz w:val="20"/>
              </w:rPr>
            </w:pPr>
            <w:r>
              <w:rPr>
                <w:rFonts w:ascii="Times New Roman" w:hAnsi="Times New Roman"/>
                <w:sz w:val="20"/>
              </w:rPr>
              <w:t>5</w:t>
            </w:r>
          </w:p>
        </w:tc>
        <w:tc>
          <w:tcPr>
            <w:tcW w:w="1080" w:type="dxa"/>
          </w:tcPr>
          <w:p w:rsidR="00BB411B" w:rsidRPr="0091710D" w:rsidP="00791228" w14:paraId="708044BB" w14:textId="77777777">
            <w:pPr>
              <w:jc w:val="center"/>
              <w:rPr>
                <w:rFonts w:ascii="Times New Roman" w:hAnsi="Times New Roman"/>
                <w:sz w:val="20"/>
              </w:rPr>
            </w:pPr>
            <w:r w:rsidRPr="0091710D">
              <w:rPr>
                <w:rFonts w:ascii="Times New Roman" w:hAnsi="Times New Roman"/>
                <w:sz w:val="20"/>
              </w:rPr>
              <w:t>5</w:t>
            </w:r>
          </w:p>
        </w:tc>
        <w:tc>
          <w:tcPr>
            <w:tcW w:w="1335" w:type="dxa"/>
          </w:tcPr>
          <w:p w:rsidR="00BB411B" w:rsidRPr="0091710D" w:rsidP="00791228" w14:paraId="03D9BD36" w14:textId="77777777">
            <w:pPr>
              <w:jc w:val="center"/>
              <w:rPr>
                <w:rFonts w:ascii="Times New Roman" w:hAnsi="Times New Roman"/>
                <w:sz w:val="20"/>
              </w:rPr>
            </w:pPr>
            <w:r w:rsidRPr="0091710D">
              <w:rPr>
                <w:rFonts w:ascii="Times New Roman" w:hAnsi="Times New Roman"/>
                <w:sz w:val="20"/>
              </w:rPr>
              <w:t>60</w:t>
            </w:r>
          </w:p>
        </w:tc>
        <w:tc>
          <w:tcPr>
            <w:tcW w:w="900" w:type="dxa"/>
          </w:tcPr>
          <w:p w:rsidR="00BB411B" w:rsidRPr="0091710D" w:rsidP="00791228" w14:paraId="533C7D15" w14:textId="77777777">
            <w:pPr>
              <w:pStyle w:val="EndnoteText"/>
              <w:tabs>
                <w:tab w:val="clear" w:pos="-720"/>
              </w:tabs>
              <w:suppressAutoHyphens w:val="0"/>
              <w:rPr>
                <w:rFonts w:ascii="Times New Roman" w:hAnsi="Times New Roman"/>
                <w:sz w:val="20"/>
              </w:rPr>
            </w:pPr>
            <w:r w:rsidRPr="0091710D">
              <w:rPr>
                <w:rFonts w:ascii="Times New Roman" w:hAnsi="Times New Roman"/>
                <w:sz w:val="20"/>
              </w:rPr>
              <w:t>300</w:t>
            </w:r>
          </w:p>
        </w:tc>
        <w:tc>
          <w:tcPr>
            <w:tcW w:w="1530" w:type="dxa"/>
          </w:tcPr>
          <w:p w:rsidR="00BB411B" w:rsidRPr="0091710D" w:rsidP="00791228" w14:paraId="52977EDF" w14:textId="018A63CE">
            <w:pPr>
              <w:rPr>
                <w:rFonts w:ascii="Times New Roman" w:hAnsi="Times New Roman"/>
                <w:sz w:val="20"/>
              </w:rPr>
            </w:pPr>
            <w:r w:rsidRPr="0091710D">
              <w:rPr>
                <w:rFonts w:ascii="Times New Roman" w:hAnsi="Times New Roman"/>
                <w:sz w:val="20"/>
              </w:rPr>
              <w:t>$3</w:t>
            </w:r>
            <w:r>
              <w:rPr>
                <w:rFonts w:ascii="Times New Roman" w:hAnsi="Times New Roman"/>
                <w:sz w:val="20"/>
              </w:rPr>
              <w:t>8.44</w:t>
            </w:r>
          </w:p>
        </w:tc>
        <w:tc>
          <w:tcPr>
            <w:tcW w:w="1350" w:type="dxa"/>
          </w:tcPr>
          <w:p w:rsidR="00BB411B" w:rsidRPr="0091710D" w:rsidP="00791228" w14:paraId="18EB0E9A" w14:textId="1991D138">
            <w:pPr>
              <w:rPr>
                <w:rFonts w:ascii="Times New Roman" w:hAnsi="Times New Roman"/>
                <w:sz w:val="20"/>
              </w:rPr>
            </w:pPr>
            <w:r>
              <w:rPr>
                <w:rFonts w:ascii="Times New Roman" w:hAnsi="Times New Roman"/>
                <w:sz w:val="20"/>
              </w:rPr>
              <w:t>$</w:t>
            </w:r>
            <w:r w:rsidRPr="00BB411B">
              <w:rPr>
                <w:rFonts w:ascii="Times New Roman" w:hAnsi="Times New Roman"/>
                <w:sz w:val="20"/>
              </w:rPr>
              <w:t>11,532</w:t>
            </w:r>
          </w:p>
        </w:tc>
      </w:tr>
      <w:tr w14:paraId="5A4D5F04" w14:textId="77777777" w:rsidTr="00791228">
        <w:tblPrEx>
          <w:tblW w:w="11335" w:type="dxa"/>
          <w:tblLayout w:type="fixed"/>
          <w:tblLook w:val="0020"/>
        </w:tblPrEx>
        <w:tc>
          <w:tcPr>
            <w:tcW w:w="1345" w:type="dxa"/>
          </w:tcPr>
          <w:p w:rsidR="00BB411B" w:rsidRPr="0091710D" w:rsidP="00791228" w14:paraId="51C9B292" w14:textId="77777777">
            <w:pPr>
              <w:rPr>
                <w:rFonts w:ascii="Times New Roman" w:hAnsi="Times New Roman"/>
                <w:sz w:val="20"/>
              </w:rPr>
            </w:pPr>
          </w:p>
        </w:tc>
        <w:tc>
          <w:tcPr>
            <w:tcW w:w="1265" w:type="dxa"/>
          </w:tcPr>
          <w:p w:rsidR="00BB411B" w:rsidRPr="0091710D" w:rsidP="00791228" w14:paraId="41D46BFF" w14:textId="77777777">
            <w:pPr>
              <w:rPr>
                <w:rFonts w:ascii="Times New Roman" w:hAnsi="Times New Roman"/>
                <w:sz w:val="20"/>
              </w:rPr>
            </w:pPr>
          </w:p>
        </w:tc>
        <w:tc>
          <w:tcPr>
            <w:tcW w:w="1255" w:type="dxa"/>
          </w:tcPr>
          <w:p w:rsidR="00BB411B" w:rsidRPr="0091710D" w:rsidP="00791228" w14:paraId="0D3FF121" w14:textId="77777777">
            <w:pPr>
              <w:rPr>
                <w:rFonts w:ascii="Times New Roman" w:hAnsi="Times New Roman"/>
                <w:sz w:val="20"/>
              </w:rPr>
            </w:pPr>
          </w:p>
        </w:tc>
        <w:tc>
          <w:tcPr>
            <w:tcW w:w="1275" w:type="dxa"/>
          </w:tcPr>
          <w:p w:rsidR="00BB411B" w:rsidRPr="0091710D" w:rsidP="00791228" w14:paraId="69122A25" w14:textId="77777777">
            <w:pPr>
              <w:rPr>
                <w:rFonts w:ascii="Times New Roman" w:hAnsi="Times New Roman"/>
                <w:sz w:val="20"/>
              </w:rPr>
            </w:pPr>
          </w:p>
        </w:tc>
        <w:tc>
          <w:tcPr>
            <w:tcW w:w="1080" w:type="dxa"/>
          </w:tcPr>
          <w:p w:rsidR="00BB411B" w:rsidRPr="0091710D" w:rsidP="00791228" w14:paraId="78E7BF41" w14:textId="77777777">
            <w:pPr>
              <w:jc w:val="center"/>
              <w:rPr>
                <w:rFonts w:ascii="Times New Roman" w:hAnsi="Times New Roman"/>
                <w:sz w:val="20"/>
              </w:rPr>
            </w:pPr>
          </w:p>
        </w:tc>
        <w:tc>
          <w:tcPr>
            <w:tcW w:w="1335" w:type="dxa"/>
          </w:tcPr>
          <w:p w:rsidR="00BB411B" w:rsidRPr="0091710D" w:rsidP="00791228" w14:paraId="6DA11D71" w14:textId="77777777">
            <w:pPr>
              <w:jc w:val="center"/>
              <w:rPr>
                <w:rFonts w:ascii="Times New Roman" w:hAnsi="Times New Roman"/>
                <w:sz w:val="20"/>
              </w:rPr>
            </w:pPr>
          </w:p>
        </w:tc>
        <w:tc>
          <w:tcPr>
            <w:tcW w:w="900" w:type="dxa"/>
          </w:tcPr>
          <w:p w:rsidR="00BB411B" w:rsidRPr="0091710D" w:rsidP="00791228" w14:paraId="58F36991" w14:textId="77777777">
            <w:pPr>
              <w:pStyle w:val="EndnoteText"/>
              <w:tabs>
                <w:tab w:val="clear" w:pos="-720"/>
              </w:tabs>
              <w:suppressAutoHyphens w:val="0"/>
              <w:rPr>
                <w:rFonts w:ascii="Times New Roman" w:hAnsi="Times New Roman"/>
                <w:sz w:val="20"/>
              </w:rPr>
            </w:pPr>
          </w:p>
        </w:tc>
        <w:tc>
          <w:tcPr>
            <w:tcW w:w="1530" w:type="dxa"/>
          </w:tcPr>
          <w:p w:rsidR="00BB411B" w:rsidRPr="0091710D" w:rsidP="00791228" w14:paraId="0D25C0B6" w14:textId="77777777">
            <w:pPr>
              <w:rPr>
                <w:rFonts w:ascii="Times New Roman" w:hAnsi="Times New Roman"/>
                <w:sz w:val="20"/>
              </w:rPr>
            </w:pPr>
          </w:p>
        </w:tc>
        <w:tc>
          <w:tcPr>
            <w:tcW w:w="1350" w:type="dxa"/>
          </w:tcPr>
          <w:p w:rsidR="00BB411B" w:rsidRPr="0091710D" w:rsidP="00791228" w14:paraId="7C5EC235" w14:textId="77777777">
            <w:pPr>
              <w:rPr>
                <w:rFonts w:ascii="Times New Roman" w:hAnsi="Times New Roman"/>
                <w:sz w:val="20"/>
              </w:rPr>
            </w:pPr>
          </w:p>
        </w:tc>
      </w:tr>
      <w:tr w14:paraId="0B7F71FD" w14:textId="77777777" w:rsidTr="00791228">
        <w:tblPrEx>
          <w:tblW w:w="11335" w:type="dxa"/>
          <w:tblLayout w:type="fixed"/>
          <w:tblLook w:val="0020"/>
        </w:tblPrEx>
        <w:tc>
          <w:tcPr>
            <w:tcW w:w="1345" w:type="dxa"/>
          </w:tcPr>
          <w:p w:rsidR="00BB411B" w:rsidRPr="0091710D" w:rsidP="00791228" w14:paraId="65430EB8" w14:textId="77777777">
            <w:pPr>
              <w:rPr>
                <w:rFonts w:ascii="Times New Roman" w:hAnsi="Times New Roman"/>
                <w:sz w:val="20"/>
              </w:rPr>
            </w:pPr>
          </w:p>
        </w:tc>
        <w:tc>
          <w:tcPr>
            <w:tcW w:w="1265" w:type="dxa"/>
          </w:tcPr>
          <w:p w:rsidR="00BB411B" w:rsidRPr="0091710D" w:rsidP="00791228" w14:paraId="589882C2" w14:textId="77777777">
            <w:pPr>
              <w:rPr>
                <w:rFonts w:ascii="Times New Roman" w:hAnsi="Times New Roman"/>
                <w:sz w:val="20"/>
              </w:rPr>
            </w:pPr>
          </w:p>
        </w:tc>
        <w:tc>
          <w:tcPr>
            <w:tcW w:w="1255" w:type="dxa"/>
          </w:tcPr>
          <w:p w:rsidR="00BB411B" w:rsidRPr="0091710D" w:rsidP="00791228" w14:paraId="6DDD251D" w14:textId="77777777">
            <w:pPr>
              <w:rPr>
                <w:rFonts w:ascii="Times New Roman" w:hAnsi="Times New Roman"/>
                <w:sz w:val="20"/>
              </w:rPr>
            </w:pPr>
          </w:p>
        </w:tc>
        <w:tc>
          <w:tcPr>
            <w:tcW w:w="1275" w:type="dxa"/>
          </w:tcPr>
          <w:p w:rsidR="00BB411B" w:rsidRPr="0091710D" w:rsidP="00791228" w14:paraId="57E5C52A" w14:textId="77777777">
            <w:pPr>
              <w:rPr>
                <w:rFonts w:ascii="Times New Roman" w:hAnsi="Times New Roman"/>
                <w:sz w:val="20"/>
              </w:rPr>
            </w:pPr>
          </w:p>
        </w:tc>
        <w:tc>
          <w:tcPr>
            <w:tcW w:w="1080" w:type="dxa"/>
          </w:tcPr>
          <w:p w:rsidR="00BB411B" w:rsidRPr="0091710D" w:rsidP="00791228" w14:paraId="24C9D15F" w14:textId="77777777">
            <w:pPr>
              <w:rPr>
                <w:rFonts w:ascii="Times New Roman" w:hAnsi="Times New Roman"/>
                <w:sz w:val="20"/>
              </w:rPr>
            </w:pPr>
          </w:p>
        </w:tc>
        <w:tc>
          <w:tcPr>
            <w:tcW w:w="1335" w:type="dxa"/>
          </w:tcPr>
          <w:p w:rsidR="00BB411B" w:rsidRPr="0091710D" w:rsidP="00791228" w14:paraId="6D71FFAD" w14:textId="77777777">
            <w:pPr>
              <w:rPr>
                <w:rFonts w:ascii="Times New Roman" w:hAnsi="Times New Roman"/>
                <w:sz w:val="20"/>
              </w:rPr>
            </w:pPr>
          </w:p>
        </w:tc>
        <w:tc>
          <w:tcPr>
            <w:tcW w:w="900" w:type="dxa"/>
          </w:tcPr>
          <w:p w:rsidR="00BB411B" w:rsidRPr="0091710D" w:rsidP="00791228" w14:paraId="496A8BB4" w14:textId="77777777">
            <w:pPr>
              <w:rPr>
                <w:rFonts w:ascii="Times New Roman" w:hAnsi="Times New Roman"/>
                <w:sz w:val="20"/>
              </w:rPr>
            </w:pPr>
          </w:p>
        </w:tc>
        <w:tc>
          <w:tcPr>
            <w:tcW w:w="1530" w:type="dxa"/>
          </w:tcPr>
          <w:p w:rsidR="00BB411B" w:rsidRPr="0091710D" w:rsidP="00791228" w14:paraId="177E5BF9" w14:textId="77777777">
            <w:pPr>
              <w:rPr>
                <w:rFonts w:ascii="Times New Roman" w:hAnsi="Times New Roman"/>
                <w:sz w:val="20"/>
              </w:rPr>
            </w:pPr>
          </w:p>
        </w:tc>
        <w:tc>
          <w:tcPr>
            <w:tcW w:w="1350" w:type="dxa"/>
          </w:tcPr>
          <w:p w:rsidR="00BB411B" w:rsidRPr="0091710D" w:rsidP="00791228" w14:paraId="659B224B" w14:textId="77777777">
            <w:pPr>
              <w:rPr>
                <w:rFonts w:ascii="Times New Roman" w:hAnsi="Times New Roman"/>
                <w:sz w:val="20"/>
              </w:rPr>
            </w:pPr>
          </w:p>
        </w:tc>
      </w:tr>
      <w:tr w14:paraId="45050B23" w14:textId="77777777" w:rsidTr="00791228">
        <w:tblPrEx>
          <w:tblW w:w="11335" w:type="dxa"/>
          <w:tblLayout w:type="fixed"/>
          <w:tblLook w:val="0020"/>
        </w:tblPrEx>
        <w:tc>
          <w:tcPr>
            <w:tcW w:w="1345" w:type="dxa"/>
          </w:tcPr>
          <w:p w:rsidR="00BB411B" w:rsidRPr="0091710D" w:rsidP="00791228" w14:paraId="3344A91D" w14:textId="77777777">
            <w:pPr>
              <w:rPr>
                <w:rFonts w:ascii="Times New Roman" w:hAnsi="Times New Roman"/>
                <w:sz w:val="20"/>
              </w:rPr>
            </w:pPr>
            <w:r w:rsidRPr="0091710D">
              <w:rPr>
                <w:rFonts w:ascii="Times New Roman" w:hAnsi="Times New Roman"/>
                <w:sz w:val="20"/>
              </w:rPr>
              <w:t>Annualized Totals</w:t>
            </w:r>
          </w:p>
        </w:tc>
        <w:tc>
          <w:tcPr>
            <w:tcW w:w="1265" w:type="dxa"/>
          </w:tcPr>
          <w:p w:rsidR="00BB411B" w:rsidRPr="0091710D" w:rsidP="00791228" w14:paraId="6C188BD5" w14:textId="77777777">
            <w:pPr>
              <w:rPr>
                <w:rFonts w:ascii="Times New Roman" w:hAnsi="Times New Roman"/>
                <w:sz w:val="20"/>
              </w:rPr>
            </w:pPr>
          </w:p>
        </w:tc>
        <w:tc>
          <w:tcPr>
            <w:tcW w:w="1255" w:type="dxa"/>
          </w:tcPr>
          <w:p w:rsidR="00BB411B" w:rsidRPr="0091710D" w:rsidP="00791228" w14:paraId="04B96378" w14:textId="77777777">
            <w:pPr>
              <w:rPr>
                <w:rFonts w:ascii="Times New Roman" w:hAnsi="Times New Roman"/>
                <w:sz w:val="20"/>
              </w:rPr>
            </w:pPr>
          </w:p>
        </w:tc>
        <w:tc>
          <w:tcPr>
            <w:tcW w:w="1275" w:type="dxa"/>
          </w:tcPr>
          <w:p w:rsidR="00BB411B" w:rsidRPr="0091710D" w:rsidP="00791228" w14:paraId="57299416" w14:textId="77777777">
            <w:pPr>
              <w:rPr>
                <w:rFonts w:ascii="Times New Roman" w:hAnsi="Times New Roman"/>
                <w:sz w:val="20"/>
              </w:rPr>
            </w:pPr>
            <w:r w:rsidRPr="0091710D">
              <w:rPr>
                <w:rFonts w:ascii="Times New Roman" w:hAnsi="Times New Roman"/>
                <w:sz w:val="20"/>
              </w:rPr>
              <w:t>56</w:t>
            </w:r>
          </w:p>
        </w:tc>
        <w:tc>
          <w:tcPr>
            <w:tcW w:w="1080" w:type="dxa"/>
          </w:tcPr>
          <w:p w:rsidR="00BB411B" w:rsidRPr="0091710D" w:rsidP="00791228" w14:paraId="7122F13F" w14:textId="77777777">
            <w:pPr>
              <w:rPr>
                <w:rFonts w:ascii="Times New Roman" w:hAnsi="Times New Roman"/>
                <w:sz w:val="20"/>
              </w:rPr>
            </w:pPr>
            <w:r w:rsidRPr="0091710D">
              <w:rPr>
                <w:rFonts w:ascii="Times New Roman" w:hAnsi="Times New Roman"/>
                <w:sz w:val="20"/>
              </w:rPr>
              <w:t>56</w:t>
            </w:r>
          </w:p>
        </w:tc>
        <w:tc>
          <w:tcPr>
            <w:tcW w:w="1335" w:type="dxa"/>
          </w:tcPr>
          <w:p w:rsidR="00BB411B" w:rsidRPr="0091710D" w:rsidP="00791228" w14:paraId="648DF53F" w14:textId="77777777">
            <w:pPr>
              <w:rPr>
                <w:rFonts w:ascii="Times New Roman" w:hAnsi="Times New Roman"/>
                <w:sz w:val="20"/>
              </w:rPr>
            </w:pPr>
            <w:r>
              <w:rPr>
                <w:rFonts w:ascii="Times New Roman" w:hAnsi="Times New Roman"/>
                <w:sz w:val="20"/>
              </w:rPr>
              <w:t>40</w:t>
            </w:r>
          </w:p>
        </w:tc>
        <w:tc>
          <w:tcPr>
            <w:tcW w:w="900" w:type="dxa"/>
          </w:tcPr>
          <w:p w:rsidR="00BB411B" w:rsidRPr="0091710D" w:rsidP="00791228" w14:paraId="3506595D" w14:textId="77777777">
            <w:pPr>
              <w:rPr>
                <w:rFonts w:ascii="Times New Roman" w:hAnsi="Times New Roman"/>
                <w:sz w:val="20"/>
              </w:rPr>
            </w:pPr>
            <w:r w:rsidRPr="0091710D">
              <w:rPr>
                <w:rFonts w:ascii="Times New Roman" w:hAnsi="Times New Roman"/>
                <w:sz w:val="20"/>
              </w:rPr>
              <w:t>2,240</w:t>
            </w:r>
          </w:p>
        </w:tc>
        <w:tc>
          <w:tcPr>
            <w:tcW w:w="1530" w:type="dxa"/>
          </w:tcPr>
          <w:p w:rsidR="00BB411B" w:rsidRPr="0091710D" w:rsidP="00791228" w14:paraId="4F9F18B4" w14:textId="09A46539">
            <w:pPr>
              <w:rPr>
                <w:rFonts w:ascii="Times New Roman" w:hAnsi="Times New Roman"/>
                <w:sz w:val="20"/>
              </w:rPr>
            </w:pPr>
            <w:r w:rsidRPr="0091710D">
              <w:rPr>
                <w:rFonts w:ascii="Times New Roman" w:hAnsi="Times New Roman"/>
                <w:sz w:val="20"/>
              </w:rPr>
              <w:t>$3</w:t>
            </w:r>
            <w:r>
              <w:rPr>
                <w:rFonts w:ascii="Times New Roman" w:hAnsi="Times New Roman"/>
                <w:sz w:val="20"/>
              </w:rPr>
              <w:t>8.44</w:t>
            </w:r>
          </w:p>
        </w:tc>
        <w:tc>
          <w:tcPr>
            <w:tcW w:w="1350" w:type="dxa"/>
          </w:tcPr>
          <w:p w:rsidR="00BB411B" w:rsidRPr="0091710D" w:rsidP="00791228" w14:paraId="25839C04" w14:textId="21C9AE14">
            <w:pPr>
              <w:rPr>
                <w:rFonts w:ascii="Times New Roman" w:hAnsi="Times New Roman"/>
                <w:sz w:val="20"/>
              </w:rPr>
            </w:pPr>
            <w:r w:rsidRPr="0091710D">
              <w:rPr>
                <w:rFonts w:ascii="Times New Roman" w:hAnsi="Times New Roman"/>
                <w:sz w:val="20"/>
              </w:rPr>
              <w:t>$</w:t>
            </w:r>
            <w:r w:rsidRPr="00BB411B">
              <w:rPr>
                <w:rFonts w:ascii="Times New Roman" w:hAnsi="Times New Roman"/>
                <w:sz w:val="20"/>
              </w:rPr>
              <w:t>86,105</w:t>
            </w:r>
            <w:r w:rsidR="007F199F">
              <w:rPr>
                <w:rFonts w:ascii="Times New Roman" w:hAnsi="Times New Roman"/>
                <w:sz w:val="20"/>
              </w:rPr>
              <w:t>*</w:t>
            </w:r>
          </w:p>
        </w:tc>
      </w:tr>
    </w:tbl>
    <w:p w:rsidR="007F199F" w:rsidP="005F3429" w14:paraId="3BAAF2B0" w14:textId="77777777">
      <w:pPr>
        <w:pStyle w:val="ListParagraph"/>
        <w:tabs>
          <w:tab w:val="left" w:pos="3488"/>
        </w:tabs>
        <w:suppressAutoHyphens/>
        <w:ind w:left="-864" w:right="-864"/>
        <w:rPr>
          <w:rStyle w:val="a"/>
          <w:rFonts w:ascii="Times New Roman" w:hAnsi="Times New Roman"/>
          <w:b/>
          <w:bCs/>
          <w:i/>
          <w:iCs/>
          <w:szCs w:val="24"/>
        </w:rPr>
      </w:pPr>
    </w:p>
    <w:p w:rsidR="007F199F" w:rsidRPr="007F199F" w:rsidP="005F3429" w14:paraId="67616D69" w14:textId="762765E4">
      <w:pPr>
        <w:pStyle w:val="ListParagraph"/>
        <w:tabs>
          <w:tab w:val="left" w:pos="3488"/>
        </w:tabs>
        <w:suppressAutoHyphens/>
        <w:ind w:left="-864" w:right="-864"/>
        <w:rPr>
          <w:rStyle w:val="a"/>
          <w:rFonts w:ascii="Times New Roman" w:hAnsi="Times New Roman"/>
          <w:i/>
          <w:iCs/>
          <w:sz w:val="22"/>
          <w:szCs w:val="22"/>
        </w:rPr>
      </w:pPr>
      <w:r w:rsidRPr="007F199F">
        <w:rPr>
          <w:rStyle w:val="a"/>
          <w:rFonts w:ascii="Times New Roman" w:hAnsi="Times New Roman"/>
          <w:i/>
          <w:iCs/>
          <w:sz w:val="22"/>
          <w:szCs w:val="22"/>
        </w:rPr>
        <w:t>*</w:t>
      </w:r>
      <w:r w:rsidRPr="007F199F">
        <w:rPr>
          <w:rStyle w:val="a"/>
          <w:rFonts w:ascii="Times New Roman" w:hAnsi="Times New Roman"/>
          <w:i/>
          <w:iCs/>
          <w:sz w:val="22"/>
          <w:szCs w:val="22"/>
        </w:rPr>
        <w:t>this</w:t>
      </w:r>
      <w:r w:rsidRPr="007F199F">
        <w:rPr>
          <w:rStyle w:val="a"/>
          <w:rFonts w:ascii="Times New Roman" w:hAnsi="Times New Roman"/>
          <w:i/>
          <w:iCs/>
          <w:sz w:val="22"/>
          <w:szCs w:val="22"/>
        </w:rPr>
        <w:t xml:space="preserve"> number slightly higher than the two amounts added together ($86,028.72</w:t>
      </w:r>
      <w:r>
        <w:rPr>
          <w:rStyle w:val="a"/>
          <w:rFonts w:ascii="Times New Roman" w:hAnsi="Times New Roman"/>
          <w:i/>
          <w:iCs/>
          <w:sz w:val="22"/>
          <w:szCs w:val="22"/>
        </w:rPr>
        <w:t xml:space="preserve">).  The number </w:t>
      </w:r>
      <w:r w:rsidRPr="007F199F">
        <w:rPr>
          <w:rStyle w:val="a"/>
          <w:rFonts w:ascii="Times New Roman" w:hAnsi="Times New Roman"/>
          <w:i/>
          <w:iCs/>
          <w:sz w:val="22"/>
          <w:szCs w:val="22"/>
        </w:rPr>
        <w:t>is rounded up</w:t>
      </w:r>
      <w:r>
        <w:rPr>
          <w:rStyle w:val="a"/>
          <w:rFonts w:ascii="Times New Roman" w:hAnsi="Times New Roman"/>
          <w:i/>
          <w:iCs/>
          <w:sz w:val="22"/>
          <w:szCs w:val="22"/>
        </w:rPr>
        <w:t xml:space="preserve"> so not </w:t>
      </w:r>
      <w:r w:rsidR="004164CE">
        <w:rPr>
          <w:rStyle w:val="a"/>
          <w:rFonts w:ascii="Times New Roman" w:hAnsi="Times New Roman"/>
          <w:i/>
          <w:iCs/>
          <w:sz w:val="22"/>
          <w:szCs w:val="22"/>
        </w:rPr>
        <w:t>to</w:t>
      </w:r>
      <w:r>
        <w:rPr>
          <w:rStyle w:val="a"/>
          <w:rFonts w:ascii="Times New Roman" w:hAnsi="Times New Roman"/>
          <w:i/>
          <w:iCs/>
          <w:sz w:val="22"/>
          <w:szCs w:val="22"/>
        </w:rPr>
        <w:t xml:space="preserve"> underestimate burden</w:t>
      </w:r>
      <w:r w:rsidR="00F37B71">
        <w:rPr>
          <w:rStyle w:val="a"/>
          <w:rFonts w:ascii="Times New Roman" w:hAnsi="Times New Roman"/>
          <w:i/>
          <w:iCs/>
          <w:sz w:val="22"/>
          <w:szCs w:val="22"/>
        </w:rPr>
        <w:t>.</w:t>
      </w:r>
    </w:p>
    <w:p w:rsidR="00BB411B" w:rsidP="005F3429" w14:paraId="6D8914B4" w14:textId="3F70D9D4">
      <w:pPr>
        <w:pStyle w:val="ListParagraph"/>
        <w:tabs>
          <w:tab w:val="left" w:pos="3488"/>
        </w:tabs>
        <w:suppressAutoHyphens/>
        <w:ind w:left="-864" w:right="-864"/>
        <w:rPr>
          <w:rStyle w:val="a"/>
          <w:rFonts w:ascii="Times New Roman" w:hAnsi="Times New Roman"/>
          <w:b/>
          <w:bCs/>
          <w:i/>
          <w:iCs/>
          <w:szCs w:val="24"/>
        </w:rPr>
      </w:pPr>
      <w:r>
        <w:rPr>
          <w:rStyle w:val="a"/>
          <w:rFonts w:ascii="Times New Roman" w:hAnsi="Times New Roman"/>
          <w:b/>
          <w:bCs/>
          <w:i/>
          <w:iCs/>
          <w:szCs w:val="24"/>
        </w:rPr>
        <w:tab/>
      </w:r>
    </w:p>
    <w:p w:rsidR="00F31BEC" w:rsidRPr="00AF5D1A" w:rsidP="000446F5" w14:paraId="1C38A8A7"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44AAC837" w14:textId="77777777">
      <w:pPr>
        <w:pStyle w:val="ListParagraph"/>
        <w:tabs>
          <w:tab w:val="left" w:pos="-720"/>
        </w:tabs>
        <w:suppressAutoHyphens/>
        <w:rPr>
          <w:rStyle w:val="a"/>
          <w:rFonts w:ascii="Times New Roman" w:hAnsi="Times New Roman"/>
          <w:szCs w:val="24"/>
        </w:rPr>
      </w:pPr>
    </w:p>
    <w:p w:rsidR="00043C32" w:rsidRPr="00ED7195" w:rsidP="00AD381B" w14:paraId="66CFACA3"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481ECE11" w14:textId="77777777">
      <w:pPr>
        <w:tabs>
          <w:tab w:val="left" w:pos="-720"/>
        </w:tabs>
        <w:suppressAutoHyphens/>
        <w:rPr>
          <w:rFonts w:ascii="Times New Roman" w:hAnsi="Times New Roman"/>
          <w:b/>
          <w:szCs w:val="24"/>
        </w:rPr>
      </w:pPr>
    </w:p>
    <w:p w:rsidR="00043C32" w:rsidRPr="00ED7195" w:rsidP="00AD381B" w14:paraId="60D44EBF"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AD381B" w:rsidP="00AD381B" w14:paraId="4BDDD6CB" w14:textId="77777777">
      <w:pPr>
        <w:numPr>
          <w:ilvl w:val="12"/>
          <w:numId w:val="0"/>
        </w:numPr>
        <w:tabs>
          <w:tab w:val="left" w:pos="-720"/>
        </w:tabs>
        <w:suppressAutoHyphens/>
        <w:ind w:left="340"/>
        <w:rPr>
          <w:rFonts w:ascii="Times New Roman" w:hAnsi="Times New Roman"/>
          <w:szCs w:val="24"/>
        </w:rPr>
      </w:pPr>
    </w:p>
    <w:p w:rsidR="00043C32" w:rsidRPr="00ED7195" w:rsidP="00AD381B" w14:paraId="188608AF"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043C32" w:rsidRPr="00ED7195" w:rsidP="00AD381B" w14:paraId="6907DA5E" w14:textId="77777777">
      <w:pPr>
        <w:tabs>
          <w:tab w:val="left" w:pos="-720"/>
          <w:tab w:val="left" w:pos="1247"/>
        </w:tabs>
        <w:suppressAutoHyphens/>
        <w:ind w:left="340"/>
        <w:rPr>
          <w:rFonts w:ascii="Times New Roman" w:hAnsi="Times New Roman"/>
          <w:b/>
          <w:szCs w:val="24"/>
        </w:rPr>
      </w:pPr>
    </w:p>
    <w:p w:rsidR="00043C32" w:rsidRPr="00ED7195" w:rsidP="00AD381B" w14:paraId="6D513C36"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07FCB51" w14:textId="77777777">
      <w:pPr>
        <w:tabs>
          <w:tab w:val="left" w:pos="-720"/>
        </w:tabs>
        <w:suppressAutoHyphens/>
        <w:rPr>
          <w:rFonts w:ascii="Times New Roman" w:hAnsi="Times New Roman"/>
          <w:b/>
          <w:szCs w:val="24"/>
        </w:rPr>
      </w:pPr>
    </w:p>
    <w:p w:rsidR="00043C32" w:rsidRPr="00ED7195" w:rsidP="00AD381B" w14:paraId="21A7CB41"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3D2D348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RPr="00ED7195" w:rsidP="00AD381B" w14:paraId="0A444C67"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7B651B" w:rsidP="007B651B" w14:paraId="5475ABCF" w14:textId="77777777">
      <w:pPr>
        <w:widowControl w:val="0"/>
        <w:ind w:left="900"/>
        <w:rPr>
          <w:rFonts w:ascii="Times New Roman" w:hAnsi="Times New Roman"/>
          <w:snapToGrid w:val="0"/>
          <w:sz w:val="22"/>
          <w:szCs w:val="22"/>
        </w:rPr>
      </w:pPr>
    </w:p>
    <w:p w:rsidR="007B651B" w:rsidRPr="00F874B8" w:rsidP="007B651B" w14:paraId="15CB3281" w14:textId="22168193">
      <w:pPr>
        <w:widowControl w:val="0"/>
        <w:ind w:left="900"/>
        <w:rPr>
          <w:rFonts w:ascii="Times New Roman" w:hAnsi="Times New Roman"/>
          <w:snapToGrid w:val="0"/>
          <w:sz w:val="22"/>
          <w:szCs w:val="22"/>
        </w:rPr>
      </w:pPr>
      <w:r w:rsidRPr="00F874B8">
        <w:rPr>
          <w:rFonts w:ascii="Times New Roman" w:hAnsi="Times New Roman"/>
          <w:snapToGrid w:val="0"/>
          <w:sz w:val="22"/>
          <w:szCs w:val="22"/>
        </w:rPr>
        <w:t xml:space="preserve">There are no additional costs other than the cost burden identified in 12. </w:t>
      </w:r>
    </w:p>
    <w:p w:rsidR="00043C32" w:rsidP="00AD381B" w14:paraId="7933B17A" w14:textId="77777777">
      <w:pPr>
        <w:tabs>
          <w:tab w:val="left" w:pos="-720"/>
        </w:tabs>
        <w:suppressAutoHyphens/>
        <w:rPr>
          <w:rFonts w:ascii="Times New Roman" w:hAnsi="Times New Roman"/>
          <w:szCs w:val="24"/>
        </w:rPr>
      </w:pPr>
    </w:p>
    <w:p w:rsidR="00043C32" w:rsidRPr="00534B4A" w:rsidP="00AD381B" w14:paraId="4F2CA003"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14:paraId="7E037551" w14:textId="77777777">
      <w:pPr>
        <w:tabs>
          <w:tab w:val="left" w:pos="-720"/>
        </w:tabs>
        <w:suppressAutoHyphens/>
        <w:rPr>
          <w:rFonts w:ascii="Times New Roman" w:hAnsi="Times New Roman"/>
          <w:szCs w:val="24"/>
        </w:rPr>
      </w:pPr>
    </w:p>
    <w:p w:rsidR="007B651B" w:rsidP="007B651B" w14:paraId="4252F073" w14:textId="6E237967">
      <w:pPr>
        <w:pStyle w:val="ListParagraph"/>
        <w:tabs>
          <w:tab w:val="left" w:pos="-720"/>
        </w:tabs>
        <w:suppressAutoHyphens/>
        <w:ind w:left="907"/>
        <w:contextualSpacing w:val="0"/>
        <w:rPr>
          <w:rFonts w:ascii="Times New Roman" w:hAnsi="Times New Roman"/>
          <w:snapToGrid w:val="0"/>
          <w:sz w:val="22"/>
          <w:szCs w:val="22"/>
        </w:rPr>
      </w:pPr>
      <w:bookmarkStart w:id="1" w:name="_Hlk42001252"/>
      <w:r w:rsidRPr="009A7FA7">
        <w:rPr>
          <w:rFonts w:ascii="Times New Roman" w:hAnsi="Times New Roman"/>
          <w:snapToGrid w:val="0"/>
          <w:sz w:val="22"/>
          <w:szCs w:val="22"/>
        </w:rPr>
        <w:t>OSEP estimates the cost of maintaining and updating the database for the Part C Dispute Resolution data collection to be $</w:t>
      </w:r>
      <w:r w:rsidR="00791135">
        <w:rPr>
          <w:rFonts w:ascii="Times New Roman" w:hAnsi="Times New Roman"/>
          <w:snapToGrid w:val="0"/>
          <w:sz w:val="22"/>
          <w:szCs w:val="22"/>
        </w:rPr>
        <w:t>29</w:t>
      </w:r>
      <w:r w:rsidR="00160216">
        <w:rPr>
          <w:rFonts w:ascii="Times New Roman" w:hAnsi="Times New Roman"/>
          <w:snapToGrid w:val="0"/>
          <w:sz w:val="22"/>
          <w:szCs w:val="22"/>
        </w:rPr>
        <w:t>,000</w:t>
      </w:r>
      <w:r w:rsidRPr="009A7FA7">
        <w:rPr>
          <w:rFonts w:ascii="Times New Roman" w:hAnsi="Times New Roman"/>
          <w:snapToGrid w:val="0"/>
          <w:sz w:val="22"/>
          <w:szCs w:val="22"/>
        </w:rPr>
        <w:t xml:space="preserve"> in contractor data services.  This figure was determined based on the parameters of an Independent Government Cost Estimate and included in the work scope of the EDMITS contract, </w:t>
      </w:r>
      <w:r>
        <w:rPr>
          <w:rFonts w:ascii="Times New Roman" w:hAnsi="Times New Roman"/>
          <w:snapToGrid w:val="0"/>
          <w:sz w:val="22"/>
          <w:szCs w:val="22"/>
        </w:rPr>
        <w:t>which started</w:t>
      </w:r>
      <w:r w:rsidRPr="009A7FA7">
        <w:rPr>
          <w:rFonts w:ascii="Times New Roman" w:hAnsi="Times New Roman"/>
          <w:snapToGrid w:val="0"/>
          <w:sz w:val="22"/>
          <w:szCs w:val="22"/>
        </w:rPr>
        <w:t xml:space="preserve"> in August of 2019.    </w:t>
      </w:r>
    </w:p>
    <w:bookmarkEnd w:id="1"/>
    <w:p w:rsidR="00534B4A" w:rsidP="00534B4A" w14:paraId="65B8A9A5" w14:textId="77777777">
      <w:pPr>
        <w:pStyle w:val="ListParagraph"/>
        <w:tabs>
          <w:tab w:val="left" w:pos="-720"/>
        </w:tabs>
        <w:suppressAutoHyphens/>
        <w:ind w:left="907"/>
        <w:contextualSpacing w:val="0"/>
        <w:rPr>
          <w:rFonts w:ascii="Times New Roman" w:hAnsi="Times New Roman"/>
          <w:szCs w:val="24"/>
        </w:rPr>
      </w:pPr>
    </w:p>
    <w:p w:rsidR="00800D30" w:rsidP="00800D30" w14:paraId="78511DA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w:t>
      </w:r>
      <w:r w:rsidRPr="00800D30">
        <w:rPr>
          <w:rFonts w:ascii="Times New Roman" w:hAnsi="Times New Roman"/>
          <w:b/>
          <w:szCs w:val="24"/>
        </w:rPr>
        <w:t xml:space="preserve"> </w:t>
      </w:r>
    </w:p>
    <w:p w:rsidR="00800D30" w:rsidP="00800D30" w14:paraId="5AEB22B3" w14:textId="77777777">
      <w:pPr>
        <w:pStyle w:val="ListParagraph"/>
        <w:tabs>
          <w:tab w:val="left" w:pos="-720"/>
        </w:tabs>
        <w:suppressAutoHyphens/>
        <w:contextualSpacing w:val="0"/>
        <w:rPr>
          <w:rFonts w:ascii="Times New Roman" w:hAnsi="Times New Roman"/>
          <w:b/>
          <w:szCs w:val="24"/>
        </w:rPr>
      </w:pPr>
    </w:p>
    <w:p w:rsidR="00800D30" w:rsidRPr="00756FD3" w:rsidP="00800D30" w14:paraId="099F0C4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7B651B" w:rsidP="007B651B" w14:paraId="22068028" w14:textId="77777777">
      <w:pPr>
        <w:pStyle w:val="ListParagraph"/>
        <w:tabs>
          <w:tab w:val="left" w:pos="-720"/>
        </w:tabs>
        <w:suppressAutoHyphens/>
        <w:contextualSpacing w:val="0"/>
        <w:rPr>
          <w:rFonts w:ascii="Times New Roman" w:hAnsi="Times New Roman"/>
          <w:bCs/>
          <w:noProof/>
          <w:snapToGrid w:val="0"/>
          <w:sz w:val="22"/>
          <w:szCs w:val="22"/>
        </w:rPr>
      </w:pPr>
      <w:bookmarkStart w:id="2" w:name="_Hlk41989325"/>
    </w:p>
    <w:p w:rsidR="007B651B" w:rsidRPr="00756FD3" w:rsidP="007B651B" w14:paraId="64FAABF2" w14:textId="10756704">
      <w:pPr>
        <w:pStyle w:val="ListParagraph"/>
        <w:tabs>
          <w:tab w:val="left" w:pos="-720"/>
        </w:tabs>
        <w:suppressAutoHyphens/>
        <w:contextualSpacing w:val="0"/>
        <w:rPr>
          <w:rFonts w:ascii="Times New Roman" w:hAnsi="Times New Roman"/>
          <w:b/>
          <w:sz w:val="26"/>
          <w:szCs w:val="26"/>
        </w:rPr>
      </w:pPr>
      <w:r w:rsidRPr="00D6222A">
        <w:rPr>
          <w:rFonts w:ascii="Times New Roman" w:hAnsi="Times New Roman"/>
          <w:bCs/>
          <w:noProof/>
          <w:snapToGrid w:val="0"/>
          <w:sz w:val="22"/>
          <w:szCs w:val="22"/>
        </w:rPr>
        <w:t>No adjustments were made to this data collection therefore we anticipate no change in the response burden associated with this data collection. OSEP estimated respondent costs as $3</w:t>
      </w:r>
      <w:r>
        <w:rPr>
          <w:rFonts w:ascii="Times New Roman" w:hAnsi="Times New Roman"/>
          <w:bCs/>
          <w:noProof/>
          <w:snapToGrid w:val="0"/>
          <w:sz w:val="22"/>
          <w:szCs w:val="22"/>
        </w:rPr>
        <w:t>8.44</w:t>
      </w:r>
      <w:r w:rsidRPr="00D6222A">
        <w:rPr>
          <w:rFonts w:ascii="Times New Roman" w:hAnsi="Times New Roman"/>
          <w:bCs/>
          <w:noProof/>
          <w:snapToGrid w:val="0"/>
          <w:sz w:val="22"/>
          <w:szCs w:val="22"/>
        </w:rPr>
        <w:t xml:space="preserve"> per hour</w:t>
      </w:r>
      <w:r w:rsidRPr="00FE09AE">
        <w:rPr>
          <w:rFonts w:ascii="Times New Roman" w:hAnsi="Times New Roman"/>
          <w:bCs/>
          <w:noProof/>
          <w:snapToGrid w:val="0"/>
          <w:sz w:val="22"/>
          <w:szCs w:val="22"/>
        </w:rPr>
        <w:t xml:space="preserve"> </w:t>
      </w:r>
      <w:r>
        <w:rPr>
          <w:rFonts w:ascii="Times New Roman" w:hAnsi="Times New Roman"/>
          <w:bCs/>
          <w:noProof/>
          <w:snapToGrid w:val="0"/>
          <w:sz w:val="22"/>
          <w:szCs w:val="22"/>
        </w:rPr>
        <w:t>based on updated wage rates from the</w:t>
      </w:r>
      <w:r w:rsidRPr="00D6222A">
        <w:rPr>
          <w:rFonts w:ascii="Times New Roman" w:hAnsi="Times New Roman"/>
          <w:bCs/>
          <w:noProof/>
          <w:snapToGrid w:val="0"/>
          <w:sz w:val="22"/>
          <w:szCs w:val="22"/>
        </w:rPr>
        <w:t xml:space="preserve"> </w:t>
      </w:r>
      <w:r w:rsidRPr="00FE09AE">
        <w:rPr>
          <w:rFonts w:ascii="Times New Roman" w:hAnsi="Times New Roman"/>
          <w:bCs/>
          <w:noProof/>
          <w:snapToGrid w:val="0"/>
          <w:sz w:val="22"/>
          <w:szCs w:val="22"/>
        </w:rPr>
        <w:t>appropriate wage rate</w:t>
      </w:r>
      <w:r>
        <w:rPr>
          <w:rFonts w:ascii="Times New Roman" w:hAnsi="Times New Roman"/>
          <w:bCs/>
          <w:noProof/>
          <w:snapToGrid w:val="0"/>
          <w:sz w:val="22"/>
          <w:szCs w:val="22"/>
        </w:rPr>
        <w:t xml:space="preserve"> website from question #12</w:t>
      </w:r>
      <w:r w:rsidRPr="00D6222A">
        <w:rPr>
          <w:rFonts w:ascii="Times New Roman" w:hAnsi="Times New Roman"/>
          <w:bCs/>
          <w:noProof/>
          <w:snapToGrid w:val="0"/>
          <w:sz w:val="22"/>
          <w:szCs w:val="22"/>
        </w:rPr>
        <w:t xml:space="preserve">.  </w:t>
      </w:r>
      <w:r>
        <w:rPr>
          <w:rFonts w:ascii="Times New Roman" w:hAnsi="Times New Roman"/>
          <w:bCs/>
          <w:noProof/>
          <w:snapToGrid w:val="0"/>
          <w:sz w:val="22"/>
          <w:szCs w:val="22"/>
        </w:rPr>
        <w:t>The previous wage rate was</w:t>
      </w:r>
      <w:r w:rsidRPr="00D6222A">
        <w:rPr>
          <w:rFonts w:ascii="Times New Roman" w:hAnsi="Times New Roman"/>
          <w:bCs/>
          <w:noProof/>
          <w:snapToGrid w:val="0"/>
          <w:sz w:val="22"/>
          <w:szCs w:val="22"/>
        </w:rPr>
        <w:t xml:space="preserve"> estimated at $</w:t>
      </w:r>
      <w:r>
        <w:rPr>
          <w:rFonts w:ascii="Times New Roman" w:hAnsi="Times New Roman"/>
          <w:bCs/>
          <w:noProof/>
          <w:snapToGrid w:val="0"/>
          <w:sz w:val="22"/>
          <w:szCs w:val="22"/>
        </w:rPr>
        <w:t>31</w:t>
      </w:r>
      <w:r w:rsidR="00364737">
        <w:rPr>
          <w:rFonts w:ascii="Times New Roman" w:hAnsi="Times New Roman"/>
          <w:bCs/>
          <w:noProof/>
          <w:snapToGrid w:val="0"/>
          <w:sz w:val="22"/>
          <w:szCs w:val="22"/>
        </w:rPr>
        <w:t>.00</w:t>
      </w:r>
      <w:r w:rsidRPr="00D6222A">
        <w:rPr>
          <w:rFonts w:ascii="Times New Roman" w:hAnsi="Times New Roman"/>
          <w:bCs/>
          <w:noProof/>
          <w:snapToGrid w:val="0"/>
          <w:sz w:val="22"/>
          <w:szCs w:val="22"/>
        </w:rPr>
        <w:t xml:space="preserve"> per hour.   </w:t>
      </w:r>
    </w:p>
    <w:bookmarkEnd w:id="2"/>
    <w:p w:rsidR="00534B4A" w:rsidP="00534B4A" w14:paraId="35A63B03"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91B1F32" w14:textId="77777777" w:rsidTr="0052073E">
        <w:tblPrEx>
          <w:tblW w:w="9445" w:type="dxa"/>
          <w:tblLook w:val="04A0"/>
        </w:tblPrEx>
        <w:tc>
          <w:tcPr>
            <w:tcW w:w="2048" w:type="dxa"/>
            <w:shd w:val="clear" w:color="auto" w:fill="D9D9D9" w:themeFill="background1" w:themeFillShade="D9"/>
          </w:tcPr>
          <w:p w:rsidR="0052073E" w:rsidP="00534B4A" w14:paraId="45329F4E" w14:textId="77777777">
            <w:pPr>
              <w:tabs>
                <w:tab w:val="left" w:pos="-720"/>
              </w:tabs>
              <w:suppressAutoHyphens/>
              <w:rPr>
                <w:rFonts w:ascii="Times New Roman" w:hAnsi="Times New Roman"/>
                <w:b/>
                <w:szCs w:val="24"/>
              </w:rPr>
            </w:pPr>
          </w:p>
        </w:tc>
        <w:tc>
          <w:tcPr>
            <w:tcW w:w="2048" w:type="dxa"/>
          </w:tcPr>
          <w:p w:rsidR="0052073E" w:rsidP="00534B4A" w14:paraId="42165C89"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EE8CE81"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744729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30A5A777" w14:textId="77777777" w:rsidTr="0052073E">
        <w:tblPrEx>
          <w:tblW w:w="9445" w:type="dxa"/>
          <w:tblLook w:val="04A0"/>
        </w:tblPrEx>
        <w:tc>
          <w:tcPr>
            <w:tcW w:w="2048" w:type="dxa"/>
          </w:tcPr>
          <w:p w:rsidR="0052073E" w:rsidP="00534B4A" w14:paraId="5088A1E5"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24B7BB24" w14:textId="77777777">
            <w:pPr>
              <w:tabs>
                <w:tab w:val="left" w:pos="-720"/>
              </w:tabs>
              <w:suppressAutoHyphens/>
              <w:rPr>
                <w:rFonts w:ascii="Times New Roman" w:hAnsi="Times New Roman"/>
                <w:b/>
                <w:szCs w:val="24"/>
              </w:rPr>
            </w:pPr>
          </w:p>
        </w:tc>
        <w:tc>
          <w:tcPr>
            <w:tcW w:w="2829" w:type="dxa"/>
          </w:tcPr>
          <w:p w:rsidR="0052073E" w:rsidP="00534B4A" w14:paraId="37930B9A" w14:textId="77777777">
            <w:pPr>
              <w:tabs>
                <w:tab w:val="left" w:pos="-720"/>
              </w:tabs>
              <w:suppressAutoHyphens/>
              <w:rPr>
                <w:rFonts w:ascii="Times New Roman" w:hAnsi="Times New Roman"/>
                <w:b/>
                <w:szCs w:val="24"/>
              </w:rPr>
            </w:pPr>
          </w:p>
        </w:tc>
        <w:tc>
          <w:tcPr>
            <w:tcW w:w="2520" w:type="dxa"/>
          </w:tcPr>
          <w:p w:rsidR="0052073E" w:rsidP="00534B4A" w14:paraId="1F30DD47" w14:textId="77777777">
            <w:pPr>
              <w:tabs>
                <w:tab w:val="left" w:pos="-720"/>
              </w:tabs>
              <w:suppressAutoHyphens/>
              <w:rPr>
                <w:rFonts w:ascii="Times New Roman" w:hAnsi="Times New Roman"/>
                <w:b/>
                <w:szCs w:val="24"/>
              </w:rPr>
            </w:pPr>
          </w:p>
        </w:tc>
      </w:tr>
      <w:tr w14:paraId="22A317E7" w14:textId="77777777" w:rsidTr="0052073E">
        <w:tblPrEx>
          <w:tblW w:w="9445" w:type="dxa"/>
          <w:tblLook w:val="04A0"/>
        </w:tblPrEx>
        <w:tc>
          <w:tcPr>
            <w:tcW w:w="2048" w:type="dxa"/>
          </w:tcPr>
          <w:p w:rsidR="0052073E" w:rsidP="00534B4A" w14:paraId="5E163C52"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1615098E" w14:textId="77777777">
            <w:pPr>
              <w:tabs>
                <w:tab w:val="left" w:pos="-720"/>
              </w:tabs>
              <w:suppressAutoHyphens/>
              <w:rPr>
                <w:rFonts w:ascii="Times New Roman" w:hAnsi="Times New Roman"/>
                <w:b/>
                <w:szCs w:val="24"/>
              </w:rPr>
            </w:pPr>
          </w:p>
        </w:tc>
        <w:tc>
          <w:tcPr>
            <w:tcW w:w="2829" w:type="dxa"/>
          </w:tcPr>
          <w:p w:rsidR="0052073E" w:rsidP="00534B4A" w14:paraId="401C586A" w14:textId="77777777">
            <w:pPr>
              <w:tabs>
                <w:tab w:val="left" w:pos="-720"/>
              </w:tabs>
              <w:suppressAutoHyphens/>
              <w:rPr>
                <w:rFonts w:ascii="Times New Roman" w:hAnsi="Times New Roman"/>
                <w:b/>
                <w:szCs w:val="24"/>
              </w:rPr>
            </w:pPr>
          </w:p>
        </w:tc>
        <w:tc>
          <w:tcPr>
            <w:tcW w:w="2520" w:type="dxa"/>
          </w:tcPr>
          <w:p w:rsidR="0052073E" w:rsidP="00534B4A" w14:paraId="1A78AD75" w14:textId="77777777">
            <w:pPr>
              <w:tabs>
                <w:tab w:val="left" w:pos="-720"/>
              </w:tabs>
              <w:suppressAutoHyphens/>
              <w:rPr>
                <w:rFonts w:ascii="Times New Roman" w:hAnsi="Times New Roman"/>
                <w:b/>
                <w:szCs w:val="24"/>
              </w:rPr>
            </w:pPr>
          </w:p>
        </w:tc>
      </w:tr>
      <w:tr w14:paraId="36ECE6E1" w14:textId="77777777" w:rsidTr="0052073E">
        <w:tblPrEx>
          <w:tblW w:w="9445" w:type="dxa"/>
          <w:tblLook w:val="04A0"/>
        </w:tblPrEx>
        <w:tc>
          <w:tcPr>
            <w:tcW w:w="2048" w:type="dxa"/>
          </w:tcPr>
          <w:p w:rsidR="0052073E" w:rsidP="00534B4A" w14:paraId="65D8CDCF"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495C76AF" w14:textId="77777777">
            <w:pPr>
              <w:tabs>
                <w:tab w:val="left" w:pos="-720"/>
              </w:tabs>
              <w:suppressAutoHyphens/>
              <w:rPr>
                <w:rFonts w:ascii="Times New Roman" w:hAnsi="Times New Roman"/>
                <w:b/>
                <w:szCs w:val="24"/>
              </w:rPr>
            </w:pPr>
          </w:p>
        </w:tc>
        <w:tc>
          <w:tcPr>
            <w:tcW w:w="2829" w:type="dxa"/>
          </w:tcPr>
          <w:p w:rsidR="0052073E" w:rsidP="00534B4A" w14:paraId="7B41F468" w14:textId="77777777">
            <w:pPr>
              <w:tabs>
                <w:tab w:val="left" w:pos="-720"/>
              </w:tabs>
              <w:suppressAutoHyphens/>
              <w:rPr>
                <w:rFonts w:ascii="Times New Roman" w:hAnsi="Times New Roman"/>
                <w:b/>
                <w:szCs w:val="24"/>
              </w:rPr>
            </w:pPr>
          </w:p>
        </w:tc>
        <w:tc>
          <w:tcPr>
            <w:tcW w:w="2520" w:type="dxa"/>
          </w:tcPr>
          <w:p w:rsidR="0052073E" w:rsidP="00534B4A" w14:paraId="2C4A3C02" w14:textId="15015B9B">
            <w:pPr>
              <w:tabs>
                <w:tab w:val="left" w:pos="-720"/>
              </w:tabs>
              <w:suppressAutoHyphens/>
              <w:rPr>
                <w:rFonts w:ascii="Times New Roman" w:hAnsi="Times New Roman"/>
                <w:b/>
                <w:szCs w:val="24"/>
              </w:rPr>
            </w:pPr>
          </w:p>
        </w:tc>
      </w:tr>
    </w:tbl>
    <w:p w:rsidR="00F27AAF" w:rsidP="00534B4A" w14:paraId="39620A86" w14:textId="77777777">
      <w:pPr>
        <w:tabs>
          <w:tab w:val="left" w:pos="-720"/>
        </w:tabs>
        <w:suppressAutoHyphens/>
        <w:rPr>
          <w:rFonts w:ascii="Times New Roman" w:hAnsi="Times New Roman"/>
          <w:b/>
          <w:szCs w:val="24"/>
        </w:rPr>
      </w:pPr>
    </w:p>
    <w:p w:rsidR="00534B4A" w:rsidRPr="00534B4A" w:rsidP="00534B4A" w14:paraId="013A86C8" w14:textId="77777777">
      <w:pPr>
        <w:tabs>
          <w:tab w:val="left" w:pos="-720"/>
        </w:tabs>
        <w:suppressAutoHyphens/>
        <w:rPr>
          <w:rFonts w:ascii="Times New Roman" w:hAnsi="Times New Roman"/>
          <w:szCs w:val="24"/>
        </w:rPr>
      </w:pPr>
    </w:p>
    <w:p w:rsidR="00043C32" w:rsidP="00AD381B" w14:paraId="3D5160C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14:paraId="75FB7083" w14:textId="77777777">
      <w:pPr>
        <w:tabs>
          <w:tab w:val="left" w:pos="-720"/>
        </w:tabs>
        <w:suppressAutoHyphens/>
        <w:rPr>
          <w:rFonts w:ascii="Times New Roman" w:hAnsi="Times New Roman"/>
          <w:szCs w:val="24"/>
        </w:rPr>
      </w:pPr>
    </w:p>
    <w:p w:rsidR="007B651B" w:rsidRPr="00F874B8" w:rsidP="007B651B" w14:paraId="513EC4E8" w14:textId="77777777">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decimal" w:pos="7200"/>
          <w:tab w:val="left" w:pos="7920"/>
          <w:tab w:val="left" w:pos="8640"/>
          <w:tab w:val="left" w:pos="9360"/>
        </w:tabs>
        <w:rPr>
          <w:rFonts w:ascii="Times New Roman" w:hAnsi="Times New Roman"/>
          <w:sz w:val="22"/>
          <w:szCs w:val="22"/>
        </w:rPr>
      </w:pPr>
      <w:r w:rsidRPr="00F874B8">
        <w:rPr>
          <w:rFonts w:ascii="Times New Roman" w:hAnsi="Times New Roman"/>
          <w:sz w:val="22"/>
          <w:szCs w:val="22"/>
        </w:rPr>
        <w:t>OSEP will tabulate and display the information submitted by States in a variety of ways.  The primary vehicles for distribution are the Secretary's Annual Report to Congress (P.L. 108-446, Section 664(d)(2)) and publication of these data on the Internet.  OSEP also plans to use these data for state monitoring.  Occasionally, the data may be summarized and presented at conferences, in ad hoc reports or articles submitted for publication, and in speeches by senior officials.  The data also will be used by the Center for Appropriate Dispute Resolution in Special Education (</w:t>
      </w:r>
      <w:r w:rsidRPr="00F874B8">
        <w:rPr>
          <w:rFonts w:ascii="Times New Roman" w:hAnsi="Times New Roman"/>
          <w:bCs/>
          <w:color w:val="000000"/>
          <w:sz w:val="22"/>
          <w:szCs w:val="22"/>
        </w:rPr>
        <w:t>CADRE), in their work under a cooperative agreement with OSEP to assess the need for and development of technical assistance materials and guidance on dispute resolution, as well as to contribute to a national dispute resolution database.</w:t>
      </w:r>
    </w:p>
    <w:p w:rsidR="00534B4A" w:rsidRPr="00534B4A" w:rsidP="00534B4A" w14:paraId="4A18474D" w14:textId="77777777">
      <w:pPr>
        <w:tabs>
          <w:tab w:val="left" w:pos="-720"/>
        </w:tabs>
        <w:suppressAutoHyphens/>
        <w:rPr>
          <w:rFonts w:ascii="Times New Roman" w:hAnsi="Times New Roman"/>
          <w:szCs w:val="24"/>
        </w:rPr>
      </w:pPr>
    </w:p>
    <w:p w:rsidR="00043C32" w:rsidRPr="00534B4A" w:rsidP="00AD381B" w14:paraId="20743C9A"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14:paraId="26459B71" w14:textId="77777777">
      <w:pPr>
        <w:tabs>
          <w:tab w:val="left" w:pos="-720"/>
        </w:tabs>
        <w:suppressAutoHyphens/>
        <w:ind w:left="360"/>
        <w:rPr>
          <w:rFonts w:ascii="Times New Roman" w:hAnsi="Times New Roman"/>
          <w:b/>
          <w:szCs w:val="24"/>
        </w:rPr>
      </w:pPr>
    </w:p>
    <w:p w:rsidR="007B651B" w:rsidP="007B651B" w14:paraId="3C3B7EC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decimal" w:pos="7200"/>
          <w:tab w:val="left" w:pos="7920"/>
          <w:tab w:val="left" w:pos="8640"/>
          <w:tab w:val="left" w:pos="9360"/>
        </w:tabs>
        <w:ind w:left="907"/>
        <w:rPr>
          <w:rFonts w:ascii="Times New Roman" w:hAnsi="Times New Roman"/>
          <w:sz w:val="22"/>
          <w:szCs w:val="22"/>
        </w:rPr>
      </w:pPr>
      <w:r>
        <w:rPr>
          <w:rFonts w:ascii="Times New Roman" w:hAnsi="Times New Roman"/>
          <w:sz w:val="22"/>
          <w:szCs w:val="22"/>
        </w:rPr>
        <w:t>The OMB expiration date will be displayed on the form.</w:t>
      </w:r>
    </w:p>
    <w:p w:rsidR="00534B4A" w:rsidRPr="00534B4A" w:rsidP="00534B4A" w14:paraId="5768FA11" w14:textId="77777777">
      <w:pPr>
        <w:tabs>
          <w:tab w:val="left" w:pos="-720"/>
        </w:tabs>
        <w:suppressAutoHyphens/>
        <w:ind w:left="360"/>
        <w:rPr>
          <w:rFonts w:ascii="Times New Roman" w:hAnsi="Times New Roman"/>
          <w:szCs w:val="24"/>
        </w:rPr>
      </w:pPr>
    </w:p>
    <w:p w:rsidR="001C73C0" w:rsidP="00AD381B" w14:paraId="714E4AF8" w14:textId="318F4C16">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7B651B" w:rsidP="007B651B" w14:paraId="22538FAD" w14:textId="77777777">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decimal" w:pos="7200"/>
          <w:tab w:val="left" w:pos="7920"/>
          <w:tab w:val="left" w:pos="8640"/>
          <w:tab w:val="left" w:pos="9360"/>
        </w:tabs>
        <w:rPr>
          <w:rFonts w:ascii="Times New Roman" w:hAnsi="Times New Roman"/>
          <w:sz w:val="22"/>
          <w:szCs w:val="22"/>
        </w:rPr>
      </w:pPr>
    </w:p>
    <w:p w:rsidR="007B651B" w:rsidRPr="007B651B" w:rsidP="007B651B" w14:paraId="3EA56B5D" w14:textId="68FBE380">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decimal" w:pos="7200"/>
          <w:tab w:val="left" w:pos="7920"/>
          <w:tab w:val="left" w:pos="8640"/>
          <w:tab w:val="left" w:pos="9360"/>
        </w:tabs>
        <w:rPr>
          <w:rFonts w:ascii="Times New Roman" w:hAnsi="Times New Roman"/>
          <w:sz w:val="22"/>
          <w:szCs w:val="22"/>
        </w:rPr>
      </w:pPr>
      <w:r w:rsidRPr="007B651B">
        <w:rPr>
          <w:rFonts w:ascii="Times New Roman" w:hAnsi="Times New Roman"/>
          <w:sz w:val="22"/>
          <w:szCs w:val="22"/>
        </w:rPr>
        <w:t>There are no exceptions to the certification statement.</w:t>
      </w:r>
    </w:p>
    <w:p w:rsidR="007B651B" w:rsidRPr="009767AF" w:rsidP="007B651B" w14:paraId="6166C521" w14:textId="77777777">
      <w:pPr>
        <w:pStyle w:val="ListParagraph"/>
        <w:tabs>
          <w:tab w:val="left" w:pos="-720"/>
        </w:tabs>
        <w:suppressAutoHyphens/>
        <w:ind w:left="900"/>
        <w:rPr>
          <w:rFonts w:ascii="Times New Roman" w:hAnsi="Times New Roman"/>
          <w:b/>
          <w:szCs w:val="24"/>
        </w:rPr>
      </w:pPr>
    </w:p>
    <w:sectPr w:rsidSect="007B651B">
      <w:footerReference w:type="default" r:id="rId12"/>
      <w:endnotePr>
        <w:numFmt w:val="decimal"/>
      </w:endnotePr>
      <w:pgSz w:w="12240" w:h="15840" w:code="1"/>
      <w:pgMar w:top="1440" w:right="135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7D06CFD4" w14:textId="77777777">
    <w:pPr>
      <w:spacing w:before="140" w:line="100" w:lineRule="exact"/>
      <w:rPr>
        <w:sz w:val="10"/>
      </w:rPr>
    </w:pPr>
  </w:p>
  <w:p w:rsidR="00386054" w14:paraId="095FECD5" w14:textId="77777777">
    <w:pPr>
      <w:tabs>
        <w:tab w:val="left" w:pos="0"/>
      </w:tabs>
      <w:suppressAutoHyphens/>
    </w:pPr>
  </w:p>
  <w:p w:rsidR="00386054" w14:paraId="400D61C0"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343A1B0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A3137" w:rsidP="00043C32" w14:paraId="3D5CD6B4" w14:textId="77777777">
      <w:r>
        <w:separator/>
      </w:r>
    </w:p>
  </w:footnote>
  <w:footnote w:type="continuationSeparator" w:id="1">
    <w:p w:rsidR="003A3137" w:rsidP="00043C32" w14:paraId="41FE0A69" w14:textId="77777777">
      <w:r>
        <w:continuationSeparator/>
      </w:r>
    </w:p>
  </w:footnote>
  <w:footnote w:id="2">
    <w:p w:rsidR="00043C32" w:rsidP="00043C32" w14:paraId="590BF124"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3">
    <w:p w:rsidR="00BB411B" w:rsidP="00BB411B" w14:paraId="3EEC392C" w14:textId="77777777">
      <w:pPr>
        <w:pStyle w:val="FootnoteText"/>
      </w:pPr>
      <w:r w:rsidRPr="00010A80">
        <w:rPr>
          <w:rStyle w:val="FootnoteReference"/>
        </w:rPr>
        <w:footnoteRef/>
      </w:r>
      <w:r w:rsidRPr="00010A80">
        <w:rPr>
          <w:vertAlign w:val="superscript"/>
        </w:rPr>
        <w:t xml:space="preserve"> </w:t>
      </w:r>
      <w:r>
        <w:rPr>
          <w:sz w:val="16"/>
          <w:szCs w:val="16"/>
        </w:rPr>
        <w:t xml:space="preserve">56 reporting entities refer to: 50 States, </w:t>
      </w:r>
      <w:smartTag w:uri="urn:schemas-microsoft-com:office:smarttags" w:element="State">
        <w:r>
          <w:rPr>
            <w:sz w:val="16"/>
            <w:szCs w:val="16"/>
          </w:rPr>
          <w:t>District of Columbia</w:t>
        </w:r>
      </w:smartTag>
      <w:r>
        <w:rPr>
          <w:sz w:val="16"/>
          <w:szCs w:val="16"/>
        </w:rPr>
        <w:t xml:space="preserve">, Puerto Rico, Virgin Islands, </w:t>
      </w:r>
      <w:smartTag w:uri="urn:schemas-microsoft-com:office:smarttags" w:element="State">
        <w:r>
          <w:rPr>
            <w:sz w:val="16"/>
            <w:szCs w:val="16"/>
          </w:rPr>
          <w:t>American Samoa</w:t>
        </w:r>
      </w:smartTag>
      <w:r>
        <w:rPr>
          <w:sz w:val="16"/>
          <w:szCs w:val="16"/>
        </w:rPr>
        <w:t xml:space="preserve">, Guam, and </w:t>
      </w:r>
      <w:smartTag w:uri="urn:schemas-microsoft-com:office:smarttags" w:element="City">
        <w:r>
          <w:rPr>
            <w:sz w:val="16"/>
            <w:szCs w:val="16"/>
          </w:rPr>
          <w:t>Northern Marianas</w:t>
        </w:r>
      </w:smartTag>
      <w:r>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27454045">
    <w:abstractNumId w:val="0"/>
  </w:num>
  <w:num w:numId="2" w16cid:durableId="1836874543">
    <w:abstractNumId w:val="2"/>
  </w:num>
  <w:num w:numId="3" w16cid:durableId="1778021271">
    <w:abstractNumId w:val="1"/>
  </w:num>
  <w:num w:numId="4" w16cid:durableId="160701686">
    <w:abstractNumId w:val="3"/>
  </w:num>
  <w:num w:numId="5" w16cid:durableId="183516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048"/>
    <w:rsid w:val="00010A80"/>
    <w:rsid w:val="00010D85"/>
    <w:rsid w:val="00035ED5"/>
    <w:rsid w:val="00043C32"/>
    <w:rsid w:val="000446F5"/>
    <w:rsid w:val="00093017"/>
    <w:rsid w:val="00160216"/>
    <w:rsid w:val="001824F3"/>
    <w:rsid w:val="001A6AE0"/>
    <w:rsid w:val="001C73C0"/>
    <w:rsid w:val="001E79BD"/>
    <w:rsid w:val="002225CC"/>
    <w:rsid w:val="00224A3B"/>
    <w:rsid w:val="00240A39"/>
    <w:rsid w:val="00246FE9"/>
    <w:rsid w:val="00250100"/>
    <w:rsid w:val="00262A69"/>
    <w:rsid w:val="00270AF7"/>
    <w:rsid w:val="00276B68"/>
    <w:rsid w:val="002A3221"/>
    <w:rsid w:val="002C2083"/>
    <w:rsid w:val="002C3520"/>
    <w:rsid w:val="002E14E0"/>
    <w:rsid w:val="002F55E5"/>
    <w:rsid w:val="0032078A"/>
    <w:rsid w:val="0032539E"/>
    <w:rsid w:val="00364737"/>
    <w:rsid w:val="00386054"/>
    <w:rsid w:val="003860E4"/>
    <w:rsid w:val="003A3137"/>
    <w:rsid w:val="003B1545"/>
    <w:rsid w:val="00412915"/>
    <w:rsid w:val="004164CE"/>
    <w:rsid w:val="00441262"/>
    <w:rsid w:val="00442E07"/>
    <w:rsid w:val="0052073E"/>
    <w:rsid w:val="00534B4A"/>
    <w:rsid w:val="005463E3"/>
    <w:rsid w:val="00581C11"/>
    <w:rsid w:val="005F3429"/>
    <w:rsid w:val="0068567A"/>
    <w:rsid w:val="006A292A"/>
    <w:rsid w:val="006A38F7"/>
    <w:rsid w:val="006A4EBB"/>
    <w:rsid w:val="006B4172"/>
    <w:rsid w:val="00755D99"/>
    <w:rsid w:val="00756FD3"/>
    <w:rsid w:val="00765392"/>
    <w:rsid w:val="00773409"/>
    <w:rsid w:val="00790E3E"/>
    <w:rsid w:val="00791135"/>
    <w:rsid w:val="00791228"/>
    <w:rsid w:val="007B651B"/>
    <w:rsid w:val="007C0A4C"/>
    <w:rsid w:val="007F199F"/>
    <w:rsid w:val="007F6104"/>
    <w:rsid w:val="00800D30"/>
    <w:rsid w:val="008013E2"/>
    <w:rsid w:val="00807D1A"/>
    <w:rsid w:val="00874EFE"/>
    <w:rsid w:val="00882126"/>
    <w:rsid w:val="008933F1"/>
    <w:rsid w:val="00896486"/>
    <w:rsid w:val="008D0601"/>
    <w:rsid w:val="008D1F11"/>
    <w:rsid w:val="008E5919"/>
    <w:rsid w:val="00905951"/>
    <w:rsid w:val="00912D2C"/>
    <w:rsid w:val="00916EE4"/>
    <w:rsid w:val="0091710D"/>
    <w:rsid w:val="00920F63"/>
    <w:rsid w:val="009243F3"/>
    <w:rsid w:val="0093366B"/>
    <w:rsid w:val="00934185"/>
    <w:rsid w:val="00946126"/>
    <w:rsid w:val="00952DF9"/>
    <w:rsid w:val="0095421D"/>
    <w:rsid w:val="00960C86"/>
    <w:rsid w:val="009767AF"/>
    <w:rsid w:val="00981F58"/>
    <w:rsid w:val="00986D0A"/>
    <w:rsid w:val="009A7FA7"/>
    <w:rsid w:val="009E3E86"/>
    <w:rsid w:val="00A118A2"/>
    <w:rsid w:val="00A23F26"/>
    <w:rsid w:val="00A4001C"/>
    <w:rsid w:val="00A40AAB"/>
    <w:rsid w:val="00A46D01"/>
    <w:rsid w:val="00A70816"/>
    <w:rsid w:val="00A7636D"/>
    <w:rsid w:val="00A9138E"/>
    <w:rsid w:val="00A96842"/>
    <w:rsid w:val="00AC1C89"/>
    <w:rsid w:val="00AD381B"/>
    <w:rsid w:val="00AF5B5B"/>
    <w:rsid w:val="00AF5D1A"/>
    <w:rsid w:val="00B017F9"/>
    <w:rsid w:val="00B07213"/>
    <w:rsid w:val="00B10A05"/>
    <w:rsid w:val="00B54167"/>
    <w:rsid w:val="00B62E06"/>
    <w:rsid w:val="00B64B1D"/>
    <w:rsid w:val="00B9671B"/>
    <w:rsid w:val="00BA1D31"/>
    <w:rsid w:val="00BB411B"/>
    <w:rsid w:val="00C164D3"/>
    <w:rsid w:val="00C20670"/>
    <w:rsid w:val="00C224FD"/>
    <w:rsid w:val="00C86713"/>
    <w:rsid w:val="00C875E8"/>
    <w:rsid w:val="00C92035"/>
    <w:rsid w:val="00CC2A72"/>
    <w:rsid w:val="00CC3FB5"/>
    <w:rsid w:val="00CD2067"/>
    <w:rsid w:val="00CD47BC"/>
    <w:rsid w:val="00D34984"/>
    <w:rsid w:val="00D36C35"/>
    <w:rsid w:val="00D6222A"/>
    <w:rsid w:val="00D75313"/>
    <w:rsid w:val="00E16ACD"/>
    <w:rsid w:val="00E17134"/>
    <w:rsid w:val="00E25EBC"/>
    <w:rsid w:val="00E279FD"/>
    <w:rsid w:val="00E66550"/>
    <w:rsid w:val="00E877BF"/>
    <w:rsid w:val="00EA1767"/>
    <w:rsid w:val="00EB0929"/>
    <w:rsid w:val="00EB0FA5"/>
    <w:rsid w:val="00EC01DD"/>
    <w:rsid w:val="00EC35E3"/>
    <w:rsid w:val="00ED7195"/>
    <w:rsid w:val="00F0414F"/>
    <w:rsid w:val="00F27AAF"/>
    <w:rsid w:val="00F31BEC"/>
    <w:rsid w:val="00F37B71"/>
    <w:rsid w:val="00F5782B"/>
    <w:rsid w:val="00F66F3F"/>
    <w:rsid w:val="00F73131"/>
    <w:rsid w:val="00F874B8"/>
    <w:rsid w:val="00FC669D"/>
    <w:rsid w:val="00FD4F0B"/>
    <w:rsid w:val="00FE02FC"/>
    <w:rsid w:val="00FE09AE"/>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82C4501"/>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364737"/>
    <w:rPr>
      <w:rFonts w:ascii="Courier" w:hAnsi="Courier"/>
      <w:sz w:val="24"/>
    </w:rPr>
  </w:style>
  <w:style w:type="character" w:styleId="FollowedHyperlink">
    <w:name w:val="FollowedHyperlink"/>
    <w:basedOn w:val="DefaultParagraphFont"/>
    <w:uiPriority w:val="99"/>
    <w:semiHidden/>
    <w:unhideWhenUsed/>
    <w:rsid w:val="007F19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bls.gov/oes/current/oes_nat.html"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p:Policy xmlns:p="office.server.policy" id="" local="true">
  <p:Name>connectED Document</p:Name>
  <p:Description/>
  <p:Statement/>
  <p:PolicyItems>
    <p:PolicyItem featureId="Microsoft.Office.RecordsManagement.PolicyFeatures.Expiration" staticId="0x0101001C22A2B9DBEDBB4DB130C1FAF5F2F008|-874002092" UniqueId="0fae6539-edc3-4ab3-8e8f-b5c6070e3d4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ContentReviewDate</property>
                  <propertyId>e73c04b4-25ca-454b-b674-82c4e4755cf8</propertyId>
                  <period>days</period>
                </formula>
                <action type="workflow" id="811c551f-2677-4615-9d60-3cd319e69d05"/>
              </data>
            </stages>
          </Schedule>
        </Schedules>
      </p:CustomData>
    </p:PolicyItem>
  </p:PolicyItems>
</p:Polic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267" ma:contentTypeDescription="" ma:contentTypeScope="" ma:versionID="71cdb7b924ef32fadf8eeddaa748df66">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9edd5b99c69d76fed8d4d05cd82210f5"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1:PublishingContact" minOccurs="0"/>
                <xsd:element ref="ns2:Content508Compliant"/>
                <xsd:element ref="ns2:Archive"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pireDateSaved" minOccurs="0"/>
                <xsd:element ref="ns1:_dlc_ExpireDate" minOccurs="0"/>
                <xsd:element ref="ns2:_dlc_DocId" minOccurs="0"/>
                <xsd:element ref="ns1:URL" minOccurs="0"/>
                <xsd:element ref="ns2:_dlc_DocIdUrl" minOccurs="0"/>
                <xsd:element ref="ns2:i9ab4d0357c04776b400b9805696f9b5" minOccurs="0"/>
                <xsd:element ref="ns2:l08bc5eda453452bb48ea35ca61d4e33" minOccurs="0"/>
                <xsd:element ref="ns2:ncaf0338309d44939a561ea6e1d3dda9" minOccurs="0"/>
                <xsd:element ref="ns2:ida0f8b217f94daa82dc4eea35819a07" minOccurs="0"/>
                <xsd:element ref="ns2:ContentIsFeatured" minOccurs="0"/>
                <xsd:element ref="ns2:naff5b59156a4da596b561dfa138abab"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dexed="tru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3" nillable="true" ma:displayName="Original Expiration Date" ma:hidden="true" ma:internalName="_dlc_ExpireDateSaved" ma:readOnly="true">
      <xsd:simpleType>
        <xsd:restriction base="dms:DateTime"/>
      </xsd:simpleType>
    </xsd:element>
    <xsd:element name="_dlc_ExpireDate" ma:index="24" nillable="true" ma:displayName="Expiration Date" ma:description="" ma:hidden="true" ma:indexed="true" ma:internalName="_dlc_ExpireDate" ma:readOnly="true">
      <xsd:simpleType>
        <xsd:restriction base="dms:DateTime"/>
      </xsd:simpleType>
    </xsd:element>
    <xsd:element name="URL" ma:index="27"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Exempt" ma:index="4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9" ma:displayName="Review Date" ma:description="Default review date is 6 months from today; can be set up to one year from today." ma:format="DateOnly" ma:internalName="ContentReviewDate">
      <xsd:simpleType>
        <xsd:restriction base="dms:DateTime"/>
      </xsd:simpleType>
    </xsd:element>
    <xsd:element name="Content508Compliant" ma:index="12" ma:displayName="508 Compliance Check" ma:description="508 Compliance Check" ma:format="RadioButtons" ma:internalName="Content508Compliant">
      <xsd:simpleType>
        <xsd:restriction base="dms:Choice">
          <xsd:enumeration value="I confirm that this content is accessible"/>
          <xsd:enumeration value="This content is not fully accessible, but an accessible alternative has been provided"/>
        </xsd:restriction>
      </xsd:simpleType>
    </xsd:element>
    <xsd:element name="Archive" ma:index="14" nillable="true" ma:displayName="Send To Archive" ma:default="0" ma:indexed="true"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hebfa55e97a440a4b0b631fde26adccc" ma:index="17" nillable="true" ma:taxonomy="true" ma:internalName="hebfa55e97a440a4b0b631fde26adccc" ma:taxonomyFieldName="ContentOffice" ma:displayName="Sponsoring Office" ma:readOnly="false" ma:default="" ma:fieldId="{1ebfa55e-97a4-40a4-b0b6-31fde26adccc}"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TaxCatchAll" ma:index="18"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0"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1"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i9ab4d0357c04776b400b9805696f9b5" ma:index="30"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l08bc5eda453452bb48ea35ca61d4e33" ma:index="37" nillable="true" ma:taxonomy="true" ma:internalName="l08bc5eda453452bb48ea35ca61d4e33" ma:taxonomyFieldName="Enterprise_x0020_Navigation_x0020_Section" ma:displayName="Navigation Section" ma:indexed="true"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ncaf0338309d44939a561ea6e1d3dda9" ma:index="39"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ida0f8b217f94daa82dc4eea35819a07" ma:index="41" ma:taxonomy="true" ma:internalName="ida0f8b217f94daa82dc4eea35819a07" ma:taxonomyFieldName="Navigation_x0020_Category" ma:displayName="Navigation Category" ma:default="" ma:fieldId="{2da0f8b2-17f9-4daa-82dc-4eea35819a07}" ma:taxonomyMulti="true" ma:sspId="fc04c30f-b6b4-43b6-b622-0304433ef98f" ma:termSetId="cf24b94d-30f9-4168-b0bf-a3b56e28d3b8" ma:anchorId="ee6692b8-a42f-4260-bccf-451384b77f1d" ma:open="false" ma:isKeyword="false">
      <xsd:complexType>
        <xsd:sequence>
          <xsd:element ref="pc:Terms" minOccurs="0" maxOccurs="1"/>
        </xsd:sequence>
      </xsd:complexType>
    </xsd:element>
    <xsd:element name="ContentIsFeatured" ma:index="42" nillable="true" ma:displayName="Featured item" ma:default="Yes" ma:description="Should this item be featured on the site home page?  (The 5 most recent featured items will be displayed.)" ma:format="RadioButtons" ma:hidden="true" ma:internalName="ContentIsFeatured" ma:readOnly="false">
      <xsd:simpleType>
        <xsd:restriction base="dms:Choice">
          <xsd:enumeration value="Yes"/>
          <xsd:enumeration value="No"/>
        </xsd:restriction>
      </xsd:simpleType>
    </xsd:element>
    <xsd:element name="naff5b59156a4da596b561dfa138abab" ma:index="43" nillable="true" ma:taxonomy="true" ma:internalName="naff5b59156a4da596b561dfa138abab" ma:taxonomyFieldName="Secondary_x0020_Navigation_x0020_Category" ma:displayName="Secondary Navigation Category" ma:default="" ma:fieldId="{7aff5b59-156a-4da5-96b5-61dfa138abab}" ma:sspId="fc04c30f-b6b4-43b6-b622-0304433ef98f" ma:termSetId="cf24b94d-30f9-4168-b0bf-a3b56e28d3b8" ma:anchorId="35b06b9f-8c06-4445-b716-073f83302f3c" ma:open="false" ma:isKeyword="false">
      <xsd:complexType>
        <xsd:sequence>
          <xsd:element ref="pc:Terms" minOccurs="0" maxOccurs="1"/>
        </xsd:sequence>
      </xsd:complexType>
    </xsd:element>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axOccurs="1" ma:index="1" ma:displayName="Title"/>
        <xsd:element ref="dc:subject" minOccurs="0" maxOccurs="1"/>
        <xsd:element ref="dc:description" minOccurs="0" maxOccurs="1"/>
        <xsd:element name="keywords" maxOccurs="1" ma:index="13"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da0f8b217f94daa82dc4eea35819a07 xmlns="14f58531-a34f-43cb-b97b-60a4b8e60023">
      <Terms xmlns="http://schemas.microsoft.com/office/infopath/2007/PartnerControls">
        <TermInfo xmlns="http://schemas.microsoft.com/office/infopath/2007/PartnerControls">
          <TermName xmlns="http://schemas.microsoft.com/office/infopath/2007/PartnerControls">Information Collection</TermName>
          <TermId xmlns="http://schemas.microsoft.com/office/infopath/2007/PartnerControls">be93d448-b265-4cb3-93a5-4708954c2750</TermId>
        </TermInfo>
      </Terms>
    </ida0f8b217f94daa82dc4eea35819a07>
    <TaxCatchAll xmlns="14f58531-a34f-43cb-b97b-60a4b8e60023">
      <Value>2895</Value>
      <Value>1324</Value>
      <Value>2107</Value>
    </TaxCatchAll>
    <ContentDisplayOrder xmlns="14f58531-a34f-43cb-b97b-60a4b8e60023">99</ContentDisplayOrder>
    <ncaf0338309d44939a561ea6e1d3dda9 xmlns="14f58531-a34f-43cb-b97b-60a4b8e60023">
      <Terms xmlns="http://schemas.microsoft.com/office/infopath/2007/PartnerControls"/>
    </ncaf0338309d44939a561ea6e1d3dda9>
    <hebfa55e97a440a4b0b631fde26adccc xmlns="14f58531-a34f-43cb-b97b-60a4b8e60023">
      <Terms xmlns="http://schemas.microsoft.com/office/infopath/2007/PartnerControls"/>
    </hebfa55e97a440a4b0b631fde26adccc>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Information Collection Clearance Division</TermName>
          <TermId xmlns="http://schemas.microsoft.com/office/infopath/2007/PartnerControls">7c44fac8-3be8-47c1-8865-7a007fc70514</TermId>
        </TermInfo>
      </Terms>
    </l08bc5eda453452bb48ea35ca61d4e33>
    <LeadIn xmlns="14f58531-a34f-43cb-b97b-60a4b8e60023">Use this template to create Part A of the supporting statement (if applicable) for your information collection request</LeadIn>
    <URL xmlns="http://schemas.microsoft.com/sharepoint/v3">
      <Url xsi:nil="true"/>
      <Description xsi:nil="true"/>
    </URL>
    <ContentReviewDate xmlns="14f58531-a34f-43cb-b97b-60a4b8e60023">2022-03-23T04:00:00+00:00</ContentReviewDate>
    <Archive xmlns="14f58531-a34f-43cb-b97b-60a4b8e60023">false</Archive>
    <naff5b59156a4da596b561dfa138abab xmlns="14f58531-a34f-43cb-b97b-60a4b8e60023">
      <Terms xmlns="http://schemas.microsoft.com/office/infopath/2007/PartnerControls"/>
    </naff5b59156a4da596b561dfa138abab>
    <PublishingExpirationDate xmlns="http://schemas.microsoft.com/sharepoint/v3" xsi:nil="true"/>
    <ContentIsFeatured xmlns="14f58531-a34f-43cb-b97b-60a4b8e60023">Yes</ContentIsFeatured>
    <Content508Compliant xmlns="14f58531-a34f-43cb-b97b-60a4b8e60023">I confirm that this content is accessible</Content508Compliant>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OPEPD</TermName>
          <TermId xmlns="http://schemas.microsoft.com/office/infopath/2007/PartnerControls">ce92b553-05da-452f-8e44-07d7a13de30f</TermId>
        </TermInfo>
      </Terms>
    </i9ab4d0357c04776b400b9805696f9b5>
    <PublishingContact xmlns="http://schemas.microsoft.com/sharepoint/v3">
      <UserInfo>
        <DisplayName>Axt, Kathy</DisplayName>
        <AccountId>3290</AccountId>
        <AccountType/>
      </UserInfo>
    </PublishingContact>
    <ContentStatus xmlns="14f58531-a34f-43cb-b97b-60a4b8e60023">Draft</ContentStatus>
    <_dlc_ExpireDateSaved xmlns="http://schemas.microsoft.com/sharepoint/v3" xsi:nil="true"/>
    <_dlc_ExpireDate xmlns="http://schemas.microsoft.com/sharepoint/v3">2022-03-23T04:00:00+00:00</_dlc_ExpireDate>
    <_dlc_DocId xmlns="14f58531-a34f-43cb-b97b-60a4b8e60023">M44AFDR6A2NR-23-6078</_dlc_DocId>
    <_dlc_DocIdUrl xmlns="14f58531-a34f-43cb-b97b-60a4b8e60023">
      <Url>https://connected.ed.gov/_layouts/15/DocIdRedir.aspx?ID=M44AFDR6A2NR-23-6078</Url>
      <Description>M44AFDR6A2NR-23-6078</Description>
    </_dlc_DocIdUrl>
  </documentManagement>
</p:properties>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7008F8FF-C645-4A6E-BDA2-FB7A15BF869B}">
  <ds:schemaRefs>
    <ds:schemaRef ds:uri="office.server.policy"/>
  </ds:schemaRefs>
</ds:datastoreItem>
</file>

<file path=customXml/itemProps2.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7AB7EC4D-870F-4641-BB9D-21FA48165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6.xml><?xml version="1.0" encoding="utf-8"?>
<ds:datastoreItem xmlns:ds="http://schemas.openxmlformats.org/officeDocument/2006/customXml" ds:itemID="{49F9A104-7478-42C4-85CE-FC1E3E34ED2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3752</Words>
  <Characters>21390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2023-10-02T12:24:00Z</dcterms:created>
  <dcterms:modified xsi:type="dcterms:W3CDTF">2023-10-02T12:24:00Z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0x0101001C22A2B9DBEDBB4DB130C1FAF5F2F008005B9DEC00993488418926717A1D7793B2</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41013e83-931d-4b51-a694-340c449e8e68</vt:lpwstr>
  </property>
  <property fmtid="{D5CDD505-2E9C-101B-9397-08002B2CF9AE}" pid="14" name="_dlc_LastRun">
    <vt:lpwstr>03/23/2021 01:12:33</vt:lpwstr>
  </property>
  <property fmtid="{D5CDD505-2E9C-101B-9397-08002B2CF9AE}" pid="15" name="_dlc_policyId">
    <vt:lpwstr>0x0101001C22A2B9DBEDBB4DB130C1FAF5F2F008|-874002092</vt:lpwstr>
  </property>
</Properties>
</file>