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48E6626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D04E48" w:rsidR="00D04E48">
        <w:rPr>
          <w:rFonts w:ascii="Times New Roman" w:hAnsi="Times New Roman"/>
          <w:szCs w:val="24"/>
        </w:rPr>
        <w:t>1840-0782</w:t>
      </w:r>
    </w:p>
    <w:p w:rsidR="00EA1767" w:rsidP="002313E2" w14:paraId="56DDEF03" w14:textId="2757B1D2">
      <w:pPr>
        <w:pStyle w:val="Header"/>
        <w:rPr>
          <w:rFonts w:ascii="Times New Roman" w:hAnsi="Times New Roman"/>
          <w:szCs w:val="24"/>
        </w:rPr>
      </w:pPr>
      <w:r w:rsidRPr="00C875E8">
        <w:rPr>
          <w:rFonts w:ascii="Times New Roman" w:hAnsi="Times New Roman"/>
          <w:szCs w:val="24"/>
        </w:rPr>
        <w:t xml:space="preserve">Revised: </w:t>
      </w:r>
      <w:r w:rsidR="000E004B">
        <w:rPr>
          <w:rFonts w:ascii="Times New Roman" w:hAnsi="Times New Roman"/>
          <w:szCs w:val="24"/>
        </w:rPr>
        <w:t>11/2</w:t>
      </w:r>
      <w:r w:rsidR="00753131">
        <w:rPr>
          <w:rFonts w:ascii="Times New Roman" w:hAnsi="Times New Roman"/>
          <w:szCs w:val="24"/>
        </w:rPr>
        <w:t>/2023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6819C636">
      <w:pPr>
        <w:pStyle w:val="ListParagraph"/>
        <w:suppressAutoHyphens/>
        <w:rPr>
          <w:rFonts w:ascii="Times New Roman" w:hAnsi="Times New Roman"/>
          <w:szCs w:val="24"/>
        </w:rPr>
      </w:pPr>
    </w:p>
    <w:p w:rsidR="00E16654" w:rsidRPr="00E16654" w:rsidP="00E16654" w14:paraId="37FCA909" w14:textId="4B45529E">
      <w:pPr>
        <w:pStyle w:val="ListParagraph"/>
        <w:suppressAutoHyphens/>
        <w:rPr>
          <w:rFonts w:ascii="Times New Roman" w:hAnsi="Times New Roman"/>
          <w:szCs w:val="24"/>
        </w:rPr>
      </w:pPr>
      <w:r w:rsidRPr="00E16654">
        <w:rPr>
          <w:rFonts w:ascii="Times New Roman" w:hAnsi="Times New Roman"/>
          <w:szCs w:val="24"/>
        </w:rPr>
        <w:t xml:space="preserve">Gaining Early Awareness and Readiness for Undergraduate Programs (GEAR UP), created in the Higher Education Amendments of 1998 (Title IV, Section 404A-404H), is designed to raise educational </w:t>
      </w:r>
      <w:r w:rsidRPr="00E16654">
        <w:rPr>
          <w:rFonts w:ascii="Times New Roman" w:hAnsi="Times New Roman"/>
          <w:szCs w:val="24"/>
        </w:rPr>
        <w:t>expectations</w:t>
      </w:r>
      <w:r w:rsidRPr="00E16654">
        <w:rPr>
          <w:rFonts w:ascii="Times New Roman" w:hAnsi="Times New Roman"/>
          <w:szCs w:val="24"/>
        </w:rPr>
        <w:t xml:space="preserve"> and strengthen preparation for college for low-income middle grade and secondary school students through competitively awarded grants to state projects and local partnerships. Grantees (states and local partnerships) provide services including tutoring, mentoring, academic enrichment, student and family support, dissemination of information to students and their parents about postsecondary education and options for financing college, and financial assistance.</w:t>
      </w:r>
    </w:p>
    <w:p w:rsidR="00E16654" w:rsidRPr="00E16654" w:rsidP="00E16654" w14:paraId="72ED957C" w14:textId="77777777">
      <w:pPr>
        <w:pStyle w:val="ListParagraph"/>
        <w:suppressAutoHyphens/>
        <w:rPr>
          <w:rFonts w:ascii="Times New Roman" w:hAnsi="Times New Roman"/>
          <w:szCs w:val="24"/>
        </w:rPr>
      </w:pPr>
    </w:p>
    <w:p w:rsidR="00E16654" w:rsidRPr="00E16654" w:rsidP="00E16654" w14:paraId="1F8CA05F" w14:textId="3D7F4D6B">
      <w:pPr>
        <w:pStyle w:val="ListParagraph"/>
        <w:suppressAutoHyphens/>
        <w:rPr>
          <w:rFonts w:ascii="Times New Roman" w:hAnsi="Times New Roman"/>
          <w:szCs w:val="24"/>
        </w:rPr>
      </w:pPr>
      <w:r w:rsidRPr="00E16654">
        <w:rPr>
          <w:rFonts w:ascii="Times New Roman" w:hAnsi="Times New Roman"/>
          <w:szCs w:val="24"/>
        </w:rPr>
        <w:t xml:space="preserve">The regulations governing GEAR UP can be found in 34 CFR Part 694. The Education Department General Administrative Regulations (EDGAR) require grantees to submit a final performance report - see 34 CFR Part 74.71 and 34 CFR Part 80.50 (http://www2.ed.gov/programs/gearup/legislation.html).    </w:t>
      </w:r>
    </w:p>
    <w:p w:rsidR="00E16654" w:rsidRPr="00E16654" w:rsidP="00E16654" w14:paraId="70F12CC2" w14:textId="77777777">
      <w:pPr>
        <w:pStyle w:val="ListParagraph"/>
        <w:suppressAutoHyphens/>
        <w:rPr>
          <w:rFonts w:ascii="Times New Roman" w:hAnsi="Times New Roman"/>
          <w:szCs w:val="24"/>
        </w:rPr>
      </w:pPr>
    </w:p>
    <w:p w:rsidR="00E16654" w:rsidRPr="00E16654" w:rsidP="00E16654" w14:paraId="6F4EFCEB" w14:textId="20ACD863">
      <w:pPr>
        <w:pStyle w:val="ListParagraph"/>
        <w:suppressAutoHyphens/>
        <w:rPr>
          <w:rFonts w:ascii="Times New Roman" w:hAnsi="Times New Roman"/>
          <w:szCs w:val="24"/>
        </w:rPr>
      </w:pPr>
      <w:r w:rsidRPr="00E16654">
        <w:rPr>
          <w:rFonts w:ascii="Times New Roman" w:hAnsi="Times New Roman"/>
          <w:szCs w:val="24"/>
        </w:rPr>
        <w:t xml:space="preserve">This Financial Status and Program Performance Final Report is prepared and submitted by GEAR UP grant recipients within </w:t>
      </w:r>
      <w:r w:rsidR="00826498">
        <w:rPr>
          <w:rFonts w:ascii="Times New Roman" w:hAnsi="Times New Roman"/>
          <w:szCs w:val="24"/>
        </w:rPr>
        <w:t>120</w:t>
      </w:r>
      <w:r w:rsidRPr="00E16654">
        <w:rPr>
          <w:rFonts w:ascii="Times New Roman" w:hAnsi="Times New Roman"/>
          <w:szCs w:val="24"/>
        </w:rPr>
        <w:t xml:space="preserve"> days from the end of their 6 or 7-year grant performance periods. The information collected in the Final Report allows the Department of Education (ED) to determine if a GEAR UP grant project is ready to be closed in “good standing” or needs to remain open for further departmental post award action. Each grantee’s Final Report must communicate or substantiate that the goals of the GEAR UP grant program were achieved. This report is a means for grantees to share the overall experience of their projects and document the achievements and concerns, and describe the effect of their projects on participants being served; project barriers</w:t>
      </w:r>
      <w:r w:rsidRPr="00E16654">
        <w:rPr>
          <w:rFonts w:ascii="Times New Roman" w:hAnsi="Times New Roman"/>
          <w:szCs w:val="24"/>
        </w:rPr>
        <w:t>/</w:t>
      </w:r>
      <w:r w:rsidR="004B06A3">
        <w:rPr>
          <w:rFonts w:ascii="Times New Roman" w:hAnsi="Times New Roman"/>
          <w:szCs w:val="24"/>
        </w:rPr>
        <w:t>“</w:t>
      </w:r>
      <w:r w:rsidRPr="00E16654">
        <w:rPr>
          <w:rFonts w:ascii="Times New Roman" w:hAnsi="Times New Roman"/>
          <w:szCs w:val="24"/>
        </w:rPr>
        <w:t>lessons learned” and successes/major accomplishments; and evidence of sustainability.</w:t>
      </w:r>
    </w:p>
    <w:p w:rsidR="00E16654" w:rsidRPr="00E16654" w:rsidP="00E16654" w14:paraId="4449B9AF" w14:textId="77777777">
      <w:pPr>
        <w:pStyle w:val="ListParagraph"/>
        <w:suppressAutoHyphens/>
        <w:rPr>
          <w:rFonts w:ascii="Times New Roman" w:hAnsi="Times New Roman"/>
          <w:szCs w:val="24"/>
        </w:rPr>
      </w:pPr>
    </w:p>
    <w:p w:rsidR="00E16654" w:rsidRPr="00E16654" w:rsidP="00E16654" w14:paraId="5B654138" w14:textId="20789FBD">
      <w:pPr>
        <w:pStyle w:val="ListParagraph"/>
        <w:suppressAutoHyphens/>
        <w:rPr>
          <w:rFonts w:ascii="Times New Roman" w:hAnsi="Times New Roman"/>
          <w:szCs w:val="24"/>
        </w:rPr>
      </w:pPr>
      <w:r w:rsidRPr="00E16654">
        <w:rPr>
          <w:rFonts w:ascii="Times New Roman" w:hAnsi="Times New Roman"/>
          <w:szCs w:val="24"/>
        </w:rPr>
        <w:t xml:space="preserve">The Final Report is used by the Department to determine whether recipients of discretionary grants have made substantial progress towards meeting the objective of their respective projects, as outlined in their grant applications and/or subsequent work plans. In addition, the final report enables the Department of Education to evaluate each grant project’s fiscal operations for the entire grant performance period, and compare </w:t>
      </w:r>
      <w:r w:rsidRPr="00E16654">
        <w:rPr>
          <w:rFonts w:ascii="Times New Roman" w:hAnsi="Times New Roman"/>
          <w:szCs w:val="24"/>
        </w:rPr>
        <w:t xml:space="preserve">total expenditures relative to federal funds awarded, and actual cost-share/matching relative to the total amount in the approved grant application. </w:t>
      </w:r>
    </w:p>
    <w:p w:rsidR="00E16654" w:rsidRPr="00E16654" w:rsidP="00E16654" w14:paraId="5683E898" w14:textId="77777777">
      <w:pPr>
        <w:pStyle w:val="ListParagraph"/>
        <w:suppressAutoHyphens/>
        <w:rPr>
          <w:rFonts w:ascii="Times New Roman" w:hAnsi="Times New Roman"/>
          <w:szCs w:val="24"/>
        </w:rPr>
      </w:pPr>
    </w:p>
    <w:p w:rsidR="00E16654" w:rsidRPr="00E16654" w:rsidP="00E16654" w14:paraId="1D7EF499" w14:textId="77777777">
      <w:pPr>
        <w:pStyle w:val="ListParagraph"/>
        <w:suppressAutoHyphens/>
        <w:rPr>
          <w:rFonts w:ascii="Times New Roman" w:hAnsi="Times New Roman"/>
          <w:szCs w:val="24"/>
        </w:rPr>
      </w:pPr>
      <w:r w:rsidRPr="00E16654">
        <w:rPr>
          <w:rFonts w:ascii="Times New Roman" w:hAnsi="Times New Roman"/>
          <w:szCs w:val="24"/>
        </w:rPr>
        <w:t>Furthermore, the GEAR UP Final Report is used to collect data addressing the performance of the program on a national level and thereby includes the information for the Department to use when reporting the program implementation, student outcomes, and other required data on the GEAR UP GPRA (Government Performance and Results Act of 1993) performance indicators.</w:t>
      </w:r>
    </w:p>
    <w:p w:rsidR="00E16654" w:rsidRPr="00E16654" w:rsidP="00E16654" w14:paraId="2A7A6235" w14:textId="77777777">
      <w:pPr>
        <w:pStyle w:val="ListParagraph"/>
        <w:suppressAutoHyphens/>
        <w:rPr>
          <w:rFonts w:ascii="Times New Roman" w:hAnsi="Times New Roman"/>
          <w:szCs w:val="24"/>
        </w:rPr>
      </w:pPr>
    </w:p>
    <w:p w:rsidR="00E16654" w:rsidP="00E16654" w14:paraId="3FD5E4DA" w14:textId="7AB98E12">
      <w:pPr>
        <w:pStyle w:val="ListParagraph"/>
        <w:suppressAutoHyphens/>
        <w:rPr>
          <w:rFonts w:ascii="Times New Roman" w:hAnsi="Times New Roman"/>
          <w:szCs w:val="24"/>
        </w:rPr>
      </w:pPr>
      <w:r w:rsidRPr="00E16654">
        <w:rPr>
          <w:rFonts w:ascii="Times New Roman" w:hAnsi="Times New Roman"/>
          <w:szCs w:val="24"/>
        </w:rPr>
        <w:t xml:space="preserve">The current Financial Status and Program Performance Final Report for the GEAR UP Program (OMB No. 1840-0782) will expire on </w:t>
      </w:r>
      <w:r>
        <w:rPr>
          <w:rFonts w:ascii="Times New Roman" w:hAnsi="Times New Roman"/>
          <w:szCs w:val="24"/>
        </w:rPr>
        <w:t>January</w:t>
      </w:r>
      <w:r w:rsidRPr="00E16654">
        <w:rPr>
          <w:rFonts w:ascii="Times New Roman" w:hAnsi="Times New Roman"/>
          <w:szCs w:val="24"/>
        </w:rPr>
        <w:t xml:space="preserve"> 31, 202</w:t>
      </w:r>
      <w:r>
        <w:rPr>
          <w:rFonts w:ascii="Times New Roman" w:hAnsi="Times New Roman"/>
          <w:szCs w:val="24"/>
        </w:rPr>
        <w:t>4</w:t>
      </w:r>
      <w:r w:rsidRPr="00E16654">
        <w:rPr>
          <w:rFonts w:ascii="Times New Roman" w:hAnsi="Times New Roman"/>
          <w:szCs w:val="24"/>
        </w:rPr>
        <w:t>. This submission requests that the re</w:t>
      </w:r>
      <w:r w:rsidR="00AC71B4">
        <w:rPr>
          <w:rFonts w:ascii="Times New Roman" w:hAnsi="Times New Roman"/>
          <w:szCs w:val="24"/>
        </w:rPr>
        <w:t xml:space="preserve">vised report </w:t>
      </w:r>
      <w:r w:rsidRPr="00E16654">
        <w:rPr>
          <w:rFonts w:ascii="Times New Roman" w:hAnsi="Times New Roman"/>
          <w:szCs w:val="24"/>
        </w:rPr>
        <w:t>be approved for use for an additional three years.</w:t>
      </w:r>
      <w:r w:rsidR="008B1BA6">
        <w:rPr>
          <w:rFonts w:ascii="Times New Roman" w:hAnsi="Times New Roman"/>
          <w:szCs w:val="24"/>
        </w:rPr>
        <w:t xml:space="preserve"> </w:t>
      </w:r>
      <w:r w:rsidR="000130D0">
        <w:rPr>
          <w:rFonts w:ascii="Times New Roman" w:hAnsi="Times New Roman"/>
          <w:szCs w:val="24"/>
        </w:rPr>
        <w:t xml:space="preserve">The form has been revised to include </w:t>
      </w:r>
      <w:r w:rsidR="004444CE">
        <w:rPr>
          <w:rFonts w:ascii="Times New Roman" w:hAnsi="Times New Roman"/>
          <w:szCs w:val="24"/>
        </w:rPr>
        <w:t xml:space="preserve">additional </w:t>
      </w:r>
      <w:r w:rsidRPr="00873730" w:rsidR="008B1BA6">
        <w:rPr>
          <w:rFonts w:ascii="Times New Roman" w:hAnsi="Times New Roman"/>
          <w:szCs w:val="24"/>
        </w:rPr>
        <w:t xml:space="preserve">questions </w:t>
      </w:r>
      <w:r w:rsidR="000130D0">
        <w:rPr>
          <w:rFonts w:ascii="Times New Roman" w:hAnsi="Times New Roman"/>
          <w:szCs w:val="24"/>
        </w:rPr>
        <w:t>collecting</w:t>
      </w:r>
      <w:r w:rsidRPr="00873730" w:rsidR="008B1BA6">
        <w:rPr>
          <w:rFonts w:ascii="Times New Roman" w:hAnsi="Times New Roman"/>
          <w:szCs w:val="24"/>
        </w:rPr>
        <w:t xml:space="preserve"> data on the scholarship component that is required by statute.</w:t>
      </w:r>
    </w:p>
    <w:p w:rsidR="00AD381B" w:rsidRPr="00AD381B" w:rsidP="002313E2" w14:paraId="56DDEF09" w14:textId="77777777">
      <w:pPr>
        <w:pStyle w:val="ListParagraph"/>
        <w:suppressAutoHyphens/>
        <w:contextualSpacing w:val="0"/>
        <w:rPr>
          <w:rFonts w:ascii="Times New Roman" w:hAnsi="Times New Roman"/>
          <w:szCs w:val="24"/>
        </w:rPr>
      </w:pPr>
    </w:p>
    <w:p w:rsidR="00AD381B" w:rsidRPr="00C835CC" w:rsidP="00082B1A" w14:paraId="56DDEF0A" w14:textId="171E8739">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835CC" w:rsidP="00C835CC" w14:paraId="09365A90" w14:textId="755433AB">
      <w:pPr>
        <w:suppressAutoHyphens/>
        <w:rPr>
          <w:rFonts w:ascii="Times New Roman" w:hAnsi="Times New Roman"/>
          <w:szCs w:val="24"/>
        </w:rPr>
      </w:pPr>
    </w:p>
    <w:p w:rsidR="00C835CC" w:rsidRPr="00C835CC" w:rsidP="00C835CC" w14:paraId="3A4F198A" w14:textId="2644412E">
      <w:pPr>
        <w:suppressAutoHyphens/>
        <w:ind w:left="720"/>
        <w:rPr>
          <w:rFonts w:ascii="Times New Roman" w:hAnsi="Times New Roman"/>
          <w:szCs w:val="24"/>
        </w:rPr>
      </w:pPr>
      <w:r w:rsidRPr="00C835CC">
        <w:rPr>
          <w:rFonts w:ascii="Times New Roman" w:hAnsi="Times New Roman"/>
          <w:szCs w:val="24"/>
        </w:rPr>
        <w:t xml:space="preserve">The Final Report is completed by each GEAR UP grantee within </w:t>
      </w:r>
      <w:r w:rsidR="00826498">
        <w:rPr>
          <w:rFonts w:ascii="Times New Roman" w:hAnsi="Times New Roman"/>
          <w:szCs w:val="24"/>
        </w:rPr>
        <w:t>120</w:t>
      </w:r>
      <w:r w:rsidRPr="00C835CC">
        <w:rPr>
          <w:rFonts w:ascii="Times New Roman" w:hAnsi="Times New Roman"/>
          <w:szCs w:val="24"/>
        </w:rPr>
        <w:t xml:space="preserve"> days after their 6 or 7-year grant performance period terminates. The Department will use the data collection to ensure compliance with the performance goals and program requirements of GEAR UP.</w:t>
      </w:r>
    </w:p>
    <w:p w:rsidR="00043C32" w:rsidRPr="00AD381B" w:rsidP="002313E2" w14:paraId="56DDEF0C" w14:textId="77777777">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2313E2" w14:paraId="56DDEF0E" w14:textId="12AEE0D9">
      <w:pPr>
        <w:pStyle w:val="ListParagraph"/>
        <w:tabs>
          <w:tab w:val="left" w:pos="-720"/>
        </w:tabs>
        <w:suppressAutoHyphens/>
        <w:contextualSpacing w:val="0"/>
        <w:rPr>
          <w:rFonts w:ascii="Times New Roman" w:hAnsi="Times New Roman"/>
          <w:szCs w:val="24"/>
        </w:rPr>
      </w:pPr>
    </w:p>
    <w:p w:rsidR="00C835CC" w:rsidRPr="00C835CC" w:rsidP="00C835CC" w14:paraId="66356CAE" w14:textId="22B96DCB">
      <w:pPr>
        <w:pStyle w:val="ListParagraph"/>
        <w:tabs>
          <w:tab w:val="left" w:pos="-720"/>
        </w:tabs>
        <w:suppressAutoHyphens/>
        <w:rPr>
          <w:rFonts w:ascii="Times New Roman" w:hAnsi="Times New Roman"/>
          <w:szCs w:val="24"/>
        </w:rPr>
      </w:pPr>
      <w:r w:rsidRPr="00C835CC">
        <w:rPr>
          <w:rFonts w:ascii="Times New Roman" w:hAnsi="Times New Roman"/>
          <w:szCs w:val="24"/>
        </w:rPr>
        <w:t xml:space="preserve">The Final Report has been converted to a computer-based application. The data collection can now be submitted, signed, filed, </w:t>
      </w:r>
      <w:r w:rsidRPr="00C835CC">
        <w:rPr>
          <w:rFonts w:ascii="Times New Roman" w:hAnsi="Times New Roman"/>
          <w:szCs w:val="24"/>
        </w:rPr>
        <w:t>completed</w:t>
      </w:r>
      <w:r w:rsidRPr="00C835CC">
        <w:rPr>
          <w:rFonts w:ascii="Times New Roman" w:hAnsi="Times New Roman"/>
          <w:szCs w:val="24"/>
        </w:rPr>
        <w:t xml:space="preserve"> and conducted electronically through a website developed for ED by The Tactile Group, at the following address: </w:t>
      </w:r>
      <w:r w:rsidR="005509B6">
        <w:rPr>
          <w:rFonts w:ascii="Times New Roman" w:hAnsi="Times New Roman"/>
          <w:szCs w:val="24"/>
        </w:rPr>
        <w:t>g</w:t>
      </w:r>
      <w:r w:rsidRPr="00C835CC">
        <w:rPr>
          <w:rFonts w:ascii="Times New Roman" w:hAnsi="Times New Roman"/>
          <w:szCs w:val="24"/>
        </w:rPr>
        <w:t>earup.ed.gov.</w:t>
      </w:r>
    </w:p>
    <w:p w:rsidR="00C835CC" w:rsidP="00C835CC" w14:paraId="35615A0F" w14:textId="77777777">
      <w:pPr>
        <w:pStyle w:val="ListParagraph"/>
        <w:tabs>
          <w:tab w:val="left" w:pos="-720"/>
        </w:tabs>
        <w:suppressAutoHyphens/>
        <w:contextualSpacing w:val="0"/>
        <w:rPr>
          <w:rFonts w:ascii="Times New Roman" w:hAnsi="Times New Roman"/>
          <w:szCs w:val="24"/>
        </w:rPr>
      </w:pPr>
    </w:p>
    <w:p w:rsidR="00C835CC" w:rsidP="00C835CC" w14:paraId="59F491DD" w14:textId="62FF42E7">
      <w:pPr>
        <w:pStyle w:val="ListParagraph"/>
        <w:tabs>
          <w:tab w:val="left" w:pos="-720"/>
        </w:tabs>
        <w:suppressAutoHyphens/>
        <w:contextualSpacing w:val="0"/>
        <w:rPr>
          <w:rFonts w:ascii="Times New Roman" w:hAnsi="Times New Roman"/>
          <w:szCs w:val="24"/>
        </w:rPr>
      </w:pPr>
      <w:r w:rsidRPr="00C835CC">
        <w:rPr>
          <w:rFonts w:ascii="Times New Roman" w:hAnsi="Times New Roman"/>
          <w:szCs w:val="24"/>
        </w:rPr>
        <w:t xml:space="preserve">Grantees access the report by entering their unique ID and password. They can save their report by sections and submit the report to ED once completed. There are also edit checks on the number of students served and automatic totaling of budget information to avoid typographical and computational errors. These changes prevent submission of incomplete and erroneous reports.  </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75B67D5E">
      <w:pPr>
        <w:pStyle w:val="ListParagraph"/>
        <w:tabs>
          <w:tab w:val="left" w:pos="-720"/>
        </w:tabs>
        <w:suppressAutoHyphens/>
        <w:contextualSpacing w:val="0"/>
        <w:rPr>
          <w:rFonts w:ascii="Times New Roman" w:hAnsi="Times New Roman"/>
          <w:b/>
          <w:szCs w:val="24"/>
        </w:rPr>
      </w:pPr>
    </w:p>
    <w:p w:rsidR="00455261" w:rsidRPr="00455261" w:rsidP="00455261" w14:paraId="652B88ED" w14:textId="2FAFAA3F">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GEAR UP’s Final Report is the primary method to collect the overall programmatic and fiscal information from the entire performance period of a project grant, and thereby serves as a GEAR UP grantee’s culminating report. The Final Report collects data on the total federal expenditures and in-kind and matching contributions for each individual year of the project grant. The report serves as the recipients’ means to communicate the overall accomplishments of their projects to determine the impact on the beneficiaries (primarily students), and to display clear evidence of making substantial progress toward achieving the program goals and meeting their proposed project objectives. Furthermore, the Final Report is GEAR UP’s primary method to collect and analyze data on the high school graduation and immediate postsecondary education enrollment rates of the students served by the GEAR UP program. </w:t>
      </w:r>
    </w:p>
    <w:p w:rsidR="00455261" w:rsidRPr="00455261" w:rsidP="00455261" w14:paraId="5230C63C" w14:textId="77777777">
      <w:pPr>
        <w:pStyle w:val="ListParagraph"/>
        <w:tabs>
          <w:tab w:val="left" w:pos="-720"/>
        </w:tabs>
        <w:suppressAutoHyphens/>
        <w:rPr>
          <w:rFonts w:ascii="Times New Roman" w:hAnsi="Times New Roman"/>
          <w:bCs/>
          <w:szCs w:val="24"/>
        </w:rPr>
      </w:pPr>
    </w:p>
    <w:p w:rsidR="00455261" w:rsidRPr="00455261" w:rsidP="00455261" w14:paraId="74F47D1A" w14:textId="7CE24D4B">
      <w:pPr>
        <w:pStyle w:val="ListParagraph"/>
        <w:tabs>
          <w:tab w:val="left" w:pos="-720"/>
        </w:tabs>
        <w:suppressAutoHyphens/>
        <w:contextualSpacing w:val="0"/>
        <w:rPr>
          <w:rFonts w:ascii="Times New Roman" w:hAnsi="Times New Roman"/>
          <w:bCs/>
          <w:szCs w:val="24"/>
        </w:rPr>
      </w:pPr>
      <w:r w:rsidRPr="00455261">
        <w:rPr>
          <w:rFonts w:ascii="Times New Roman" w:hAnsi="Times New Roman"/>
          <w:bCs/>
          <w:szCs w:val="24"/>
        </w:rPr>
        <w:t>Since the information submitted is specific to the GEAR UP program, there is no duplication. There is no other data collection instrument available that is critical to meet the purposes described in Items 1 and 2 above.</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776BCDDF">
      <w:pPr>
        <w:pStyle w:val="ListParagraph"/>
        <w:contextualSpacing w:val="0"/>
        <w:rPr>
          <w:rFonts w:ascii="Times New Roman" w:hAnsi="Times New Roman"/>
          <w:szCs w:val="24"/>
        </w:rPr>
      </w:pPr>
    </w:p>
    <w:p w:rsidR="00455261" w:rsidP="002313E2" w14:paraId="7DC5DA18" w14:textId="10BC3DDF">
      <w:pPr>
        <w:pStyle w:val="ListParagraph"/>
        <w:contextualSpacing w:val="0"/>
        <w:rPr>
          <w:rFonts w:ascii="Times New Roman" w:hAnsi="Times New Roman"/>
          <w:szCs w:val="24"/>
        </w:rPr>
      </w:pPr>
      <w:r>
        <w:rPr>
          <w:rFonts w:ascii="Times New Roman" w:hAnsi="Times New Roman"/>
          <w:szCs w:val="24"/>
        </w:rPr>
        <w:t xml:space="preserve">We continue to anticipate that no small entities will be required to complete this final performance report. The collection of this information has no impact on small businesses or other small </w:t>
      </w:r>
      <w:r>
        <w:rPr>
          <w:rFonts w:ascii="Times New Roman" w:hAnsi="Times New Roman"/>
          <w:szCs w:val="24"/>
        </w:rPr>
        <w:t>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0B85515C">
      <w:pPr>
        <w:pStyle w:val="ListParagraph"/>
        <w:tabs>
          <w:tab w:val="left" w:pos="-720"/>
        </w:tabs>
        <w:suppressAutoHyphens/>
        <w:contextualSpacing w:val="0"/>
        <w:rPr>
          <w:rFonts w:ascii="Times New Roman" w:hAnsi="Times New Roman"/>
          <w:b/>
          <w:szCs w:val="24"/>
        </w:rPr>
      </w:pPr>
    </w:p>
    <w:p w:rsidR="00455261" w:rsidRPr="00455261" w:rsidP="00455261" w14:paraId="445FD9F7" w14:textId="36D7659B">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In accordance with EDGAR, 34 CFR §74.71 (institutions of higher education) and §80.50 (state and local governments), and other ED Discretionary Grants policies, a final program performance and financial status report must be submitted by each recipient within </w:t>
      </w:r>
      <w:r w:rsidR="00826498">
        <w:rPr>
          <w:rFonts w:ascii="Times New Roman" w:hAnsi="Times New Roman"/>
          <w:bCs/>
          <w:szCs w:val="24"/>
        </w:rPr>
        <w:t>120</w:t>
      </w:r>
      <w:r w:rsidRPr="00455261">
        <w:rPr>
          <w:rFonts w:ascii="Times New Roman" w:hAnsi="Times New Roman"/>
          <w:bCs/>
          <w:szCs w:val="24"/>
        </w:rPr>
        <w:t xml:space="preserve"> calendar days after the date of completion of the grant’s performance period, which is 6 or 7 years for GEAR UP state and partnership grants. </w:t>
      </w:r>
    </w:p>
    <w:p w:rsidR="00455261" w:rsidRPr="00455261" w:rsidP="00455261" w14:paraId="2C39B318" w14:textId="77777777">
      <w:pPr>
        <w:pStyle w:val="ListParagraph"/>
        <w:tabs>
          <w:tab w:val="left" w:pos="-720"/>
        </w:tabs>
        <w:suppressAutoHyphens/>
        <w:rPr>
          <w:rFonts w:ascii="Times New Roman" w:hAnsi="Times New Roman"/>
          <w:bCs/>
          <w:szCs w:val="24"/>
        </w:rPr>
      </w:pPr>
    </w:p>
    <w:p w:rsidR="00455261" w:rsidRPr="00455261" w:rsidP="00455261" w14:paraId="3C987BCE" w14:textId="5529ACF8">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The data collection from this Final Report is obtained only during this post-award liquidation period of project grants, during the initial </w:t>
      </w:r>
      <w:r w:rsidR="00826498">
        <w:rPr>
          <w:rFonts w:ascii="Times New Roman" w:hAnsi="Times New Roman"/>
          <w:bCs/>
          <w:szCs w:val="24"/>
        </w:rPr>
        <w:t>120</w:t>
      </w:r>
      <w:r w:rsidRPr="00455261">
        <w:rPr>
          <w:rFonts w:ascii="Times New Roman" w:hAnsi="Times New Roman"/>
          <w:bCs/>
          <w:szCs w:val="24"/>
        </w:rPr>
        <w:t>-day period after their federal funding from GEAR UP has terminated (i.e., after the performance period end date).</w:t>
      </w:r>
    </w:p>
    <w:p w:rsidR="00455261" w:rsidRPr="00455261" w:rsidP="00455261" w14:paraId="40D270BE" w14:textId="77777777">
      <w:pPr>
        <w:pStyle w:val="ListParagraph"/>
        <w:tabs>
          <w:tab w:val="left" w:pos="-720"/>
        </w:tabs>
        <w:suppressAutoHyphens/>
        <w:rPr>
          <w:rFonts w:ascii="Times New Roman" w:hAnsi="Times New Roman"/>
          <w:bCs/>
          <w:szCs w:val="24"/>
        </w:rPr>
      </w:pPr>
    </w:p>
    <w:p w:rsidR="00455261" w:rsidRPr="00455261" w:rsidP="00455261" w14:paraId="643BF9DF" w14:textId="1DDD4861">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The Department of Education cannot close out a grant award unless it determines that all of the required work of the grant has been completed. The final program performance and </w:t>
      </w:r>
      <w:r w:rsidRPr="00455261">
        <w:rPr>
          <w:rFonts w:ascii="Times New Roman" w:hAnsi="Times New Roman"/>
          <w:bCs/>
          <w:szCs w:val="24"/>
        </w:rPr>
        <w:t>financial status report serves to provide such evidence, and convey the extent to which a grant recipient (a) achieved the overall goals of the GEAR UP grant program; (b) implemented the proposed (as indicated in the approved proposal or subsequent work plan) services/activities, met the project’s supporting objectives, and reported information that demonstrates successful achievement of expected grant project outcomes; and (c) with respect to fiscal operations, expended all of the federal funds obligated, and contributed the proposed in-kind and financial resources (cost-share/matching) over the life of the grant.</w:t>
      </w:r>
    </w:p>
    <w:p w:rsidR="00455261" w:rsidRPr="00455261" w:rsidP="00455261" w14:paraId="6BEDB979" w14:textId="77777777">
      <w:pPr>
        <w:pStyle w:val="ListParagraph"/>
        <w:tabs>
          <w:tab w:val="left" w:pos="-720"/>
        </w:tabs>
        <w:suppressAutoHyphens/>
        <w:rPr>
          <w:rFonts w:ascii="Times New Roman" w:hAnsi="Times New Roman"/>
          <w:bCs/>
          <w:szCs w:val="24"/>
        </w:rPr>
      </w:pPr>
    </w:p>
    <w:p w:rsidR="00455261" w:rsidRPr="00455261" w:rsidP="00455261" w14:paraId="19F15284" w14:textId="4D2E7233">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It is critical for GEAR UP grantees to submit their Final Reports in a timely manner so that the Department can determine if a grant project is ready to be closed in “good standing” or needs to remain open for further departmental post award action. If the grant recipient’s report has not been received or the information in the report does not demonstrate successful achievement of expected outcomes, an ED staff person must follow up with the particular recipient. It must be determined in the follow-up if an oversight occurred, or if the recipient did not meet the grant project’s proposed objectives, and/or if the recipient complied with the GEAR UP program requirements and reporting responsibilities (once a grant project ends).  </w:t>
      </w:r>
    </w:p>
    <w:p w:rsidR="00455261" w:rsidRPr="00455261" w:rsidP="00455261" w14:paraId="59F759A9" w14:textId="77777777">
      <w:pPr>
        <w:pStyle w:val="ListParagraph"/>
        <w:tabs>
          <w:tab w:val="left" w:pos="-720"/>
        </w:tabs>
        <w:suppressAutoHyphens/>
        <w:rPr>
          <w:rFonts w:ascii="Times New Roman" w:hAnsi="Times New Roman"/>
          <w:bCs/>
          <w:szCs w:val="24"/>
        </w:rPr>
      </w:pPr>
    </w:p>
    <w:p w:rsidR="00455261" w:rsidRPr="00455261" w:rsidP="00455261" w14:paraId="148EEFD2" w14:textId="69EFC10D">
      <w:pPr>
        <w:pStyle w:val="ListParagraph"/>
        <w:tabs>
          <w:tab w:val="left" w:pos="-720"/>
        </w:tabs>
        <w:suppressAutoHyphens/>
        <w:contextualSpacing w:val="0"/>
        <w:rPr>
          <w:rFonts w:ascii="Times New Roman" w:hAnsi="Times New Roman"/>
          <w:bCs/>
          <w:szCs w:val="24"/>
        </w:rPr>
      </w:pPr>
      <w:r w:rsidRPr="00455261">
        <w:rPr>
          <w:rFonts w:ascii="Times New Roman" w:hAnsi="Times New Roman"/>
          <w:bCs/>
          <w:szCs w:val="24"/>
        </w:rPr>
        <w:t>If the recipient does</w:t>
      </w:r>
      <w:r w:rsidR="008E2B61">
        <w:rPr>
          <w:rFonts w:ascii="Times New Roman" w:hAnsi="Times New Roman"/>
          <w:bCs/>
          <w:szCs w:val="24"/>
        </w:rPr>
        <w:t xml:space="preserve"> </w:t>
      </w:r>
      <w:r w:rsidRPr="00455261">
        <w:rPr>
          <w:rFonts w:ascii="Times New Roman" w:hAnsi="Times New Roman"/>
          <w:bCs/>
          <w:szCs w:val="24"/>
        </w:rPr>
        <w:t>n</w:t>
      </w:r>
      <w:r w:rsidR="008E2B61">
        <w:rPr>
          <w:rFonts w:ascii="Times New Roman" w:hAnsi="Times New Roman"/>
          <w:bCs/>
          <w:szCs w:val="24"/>
        </w:rPr>
        <w:t>o</w:t>
      </w:r>
      <w:r w:rsidRPr="00455261">
        <w:rPr>
          <w:rFonts w:ascii="Times New Roman" w:hAnsi="Times New Roman"/>
          <w:bCs/>
          <w:szCs w:val="24"/>
        </w:rPr>
        <w:t>t respond to the ED staff person’s follow up efforts by submitting a final report that reflects compliance with the applicable Department regulations and all other terms and conditions of the grant award, and/or making substantial progress in achieving the overall program goals and project objectives, then the ED official must issue a noncompliance letter to the grant recipient.</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56DDEF27" w14:textId="4891F4B8">
      <w:pPr>
        <w:pStyle w:val="ListParagraph"/>
        <w:rPr>
          <w:rFonts w:ascii="Times New Roman" w:hAnsi="Times New Roman"/>
          <w:b/>
          <w:szCs w:val="24"/>
        </w:rPr>
      </w:pPr>
    </w:p>
    <w:p w:rsidR="00455261" w:rsidRPr="00455261" w:rsidP="002313E2" w14:paraId="22661D80" w14:textId="13FC821F">
      <w:pPr>
        <w:pStyle w:val="ListParagraph"/>
        <w:rPr>
          <w:rFonts w:ascii="Times New Roman" w:hAnsi="Times New Roman"/>
          <w:bCs/>
          <w:szCs w:val="24"/>
        </w:rPr>
      </w:pPr>
      <w:r w:rsidRPr="00455261">
        <w:rPr>
          <w:rFonts w:ascii="Times New Roman" w:hAnsi="Times New Roman"/>
          <w:bCs/>
          <w:szCs w:val="24"/>
        </w:rPr>
        <w:t>There are no special circumstances associated with this data collection. This information collection will be conducted in a manner consistent with established guidelines.</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3366532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sidR="003330A0">
        <w:rPr>
          <w:rFonts w:ascii="Times New Roman" w:hAnsi="Times New Roman"/>
          <w:b/>
          <w:szCs w:val="24"/>
        </w:rPr>
        <w:t>30-day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3F88C5F5">
      <w:pPr>
        <w:tabs>
          <w:tab w:val="left" w:pos="-720"/>
        </w:tabs>
        <w:suppressAutoHyphens/>
        <w:ind w:left="720"/>
        <w:rPr>
          <w:rFonts w:ascii="Times New Roman" w:hAnsi="Times New Roman"/>
          <w:b/>
          <w:szCs w:val="24"/>
        </w:rPr>
      </w:pPr>
    </w:p>
    <w:p w:rsidR="005E11A9" w:rsidRPr="00CA5320" w:rsidP="005E11A9" w14:paraId="1344D811" w14:textId="09DFFAE1">
      <w:pPr>
        <w:pStyle w:val="NoSpacing"/>
        <w:ind w:left="720"/>
        <w:rPr>
          <w:rFonts w:ascii="Times New Roman" w:hAnsi="Times New Roman" w:cs="Times New Roman"/>
          <w:sz w:val="24"/>
          <w:szCs w:val="24"/>
        </w:rPr>
      </w:pPr>
      <w:r w:rsidRPr="00CA5320">
        <w:rPr>
          <w:rFonts w:ascii="Times New Roman" w:hAnsi="Times New Roman" w:cs="Times New Roman"/>
          <w:sz w:val="24"/>
          <w:szCs w:val="24"/>
        </w:rPr>
        <w:t xml:space="preserve">The Department published a 60-day </w:t>
      </w:r>
      <w:r w:rsidRPr="00CA5320">
        <w:rPr>
          <w:rFonts w:ascii="Times New Roman" w:hAnsi="Times New Roman" w:cs="Times New Roman"/>
          <w:sz w:val="24"/>
          <w:szCs w:val="24"/>
          <w:u w:val="single"/>
        </w:rPr>
        <w:t>Federal Register</w:t>
      </w:r>
      <w:r w:rsidRPr="00CA5320">
        <w:rPr>
          <w:rFonts w:ascii="Times New Roman" w:hAnsi="Times New Roman" w:cs="Times New Roman"/>
          <w:sz w:val="24"/>
          <w:szCs w:val="24"/>
        </w:rPr>
        <w:t xml:space="preserve"> notice as required by 5 CFR 1320.8(d) on July </w:t>
      </w:r>
      <w:r w:rsidRPr="00CA5320" w:rsidR="007B700E">
        <w:rPr>
          <w:rFonts w:ascii="Times New Roman" w:hAnsi="Times New Roman" w:cs="Times New Roman"/>
          <w:sz w:val="24"/>
          <w:szCs w:val="24"/>
        </w:rPr>
        <w:t>10</w:t>
      </w:r>
      <w:r w:rsidRPr="00CA5320">
        <w:rPr>
          <w:rFonts w:ascii="Times New Roman" w:hAnsi="Times New Roman" w:cs="Times New Roman"/>
          <w:sz w:val="24"/>
          <w:szCs w:val="24"/>
        </w:rPr>
        <w:t xml:space="preserve">, 2023, to solicit comments on the information collection prior to submission to OMB. </w:t>
      </w:r>
      <w:r w:rsidRPr="00CA5320" w:rsidR="00A97511">
        <w:rPr>
          <w:rFonts w:ascii="Times New Roman" w:hAnsi="Times New Roman" w:cs="Times New Roman"/>
          <w:sz w:val="24"/>
          <w:szCs w:val="24"/>
        </w:rPr>
        <w:t xml:space="preserve">Two comments were received. The Department has reviewed and responded in writing to these comments.  </w:t>
      </w:r>
    </w:p>
    <w:p w:rsidR="005E11A9" w:rsidRPr="00CA5320" w:rsidP="005E11A9" w14:paraId="5321BF71" w14:textId="77777777">
      <w:pPr>
        <w:pStyle w:val="NoSpacing"/>
        <w:ind w:left="720"/>
        <w:rPr>
          <w:rFonts w:ascii="Times New Roman" w:hAnsi="Times New Roman" w:cs="Times New Roman"/>
          <w:sz w:val="24"/>
          <w:szCs w:val="24"/>
        </w:rPr>
      </w:pPr>
    </w:p>
    <w:p w:rsidR="005E11A9" w:rsidRPr="005E11A9" w:rsidP="005E11A9" w14:paraId="50BA45E4" w14:textId="77777777">
      <w:pPr>
        <w:pStyle w:val="NoSpacing"/>
        <w:ind w:left="720"/>
        <w:rPr>
          <w:rFonts w:ascii="Times New Roman" w:hAnsi="Times New Roman" w:cs="Times New Roman"/>
          <w:bCs/>
          <w:sz w:val="24"/>
          <w:szCs w:val="24"/>
        </w:rPr>
      </w:pPr>
      <w:r w:rsidRPr="00CA5320">
        <w:rPr>
          <w:rFonts w:ascii="Times New Roman" w:hAnsi="Times New Roman" w:cs="Times New Roman"/>
          <w:sz w:val="24"/>
          <w:szCs w:val="24"/>
        </w:rPr>
        <w:t xml:space="preserve">A separate 30-day </w:t>
      </w:r>
      <w:r w:rsidRPr="00CA5320">
        <w:rPr>
          <w:rFonts w:ascii="Times New Roman" w:hAnsi="Times New Roman" w:cs="Times New Roman"/>
          <w:sz w:val="24"/>
          <w:szCs w:val="24"/>
          <w:u w:val="single"/>
        </w:rPr>
        <w:t>Federal Register</w:t>
      </w:r>
      <w:r w:rsidRPr="00CA5320">
        <w:rPr>
          <w:rFonts w:ascii="Times New Roman" w:hAnsi="Times New Roman" w:cs="Times New Roman"/>
          <w:sz w:val="24"/>
          <w:szCs w:val="24"/>
        </w:rPr>
        <w:t xml:space="preserve"> notice will be published to solicit public comment on the APR. The Department will summarize public comments received in response to this notice and describe actions taken by the agency in response to these comments.</w:t>
      </w:r>
    </w:p>
    <w:p w:rsidR="00455261" w:rsidRPr="00455261" w:rsidP="00CB003C" w14:paraId="7D1F286F" w14:textId="17C6FD8C">
      <w:pPr>
        <w:tabs>
          <w:tab w:val="left" w:pos="-720"/>
        </w:tabs>
        <w:suppressAutoHyphens/>
        <w:ind w:left="720"/>
        <w:rPr>
          <w:rFonts w:ascii="Times New Roman" w:hAnsi="Times New Roman"/>
          <w:bCs/>
          <w:szCs w:val="24"/>
        </w:rPr>
      </w:pPr>
      <w:r>
        <w:rPr>
          <w:rFonts w:ascii="Times New Roman" w:hAnsi="Times New Roman"/>
          <w:bCs/>
          <w:szCs w:val="24"/>
        </w:rPr>
        <w:t xml:space="preserve">The Department has </w:t>
      </w:r>
      <w:r w:rsidR="005E11A9">
        <w:rPr>
          <w:rFonts w:ascii="Times New Roman" w:hAnsi="Times New Roman"/>
          <w:bCs/>
          <w:szCs w:val="24"/>
        </w:rPr>
        <w:t xml:space="preserve">also </w:t>
      </w:r>
      <w:r>
        <w:rPr>
          <w:rFonts w:ascii="Times New Roman" w:hAnsi="Times New Roman"/>
          <w:bCs/>
          <w:szCs w:val="24"/>
        </w:rPr>
        <w:t>consulted with three</w:t>
      </w:r>
      <w:r w:rsidR="00440B83">
        <w:rPr>
          <w:rFonts w:ascii="Times New Roman" w:hAnsi="Times New Roman"/>
          <w:bCs/>
          <w:szCs w:val="24"/>
        </w:rPr>
        <w:t xml:space="preserve"> </w:t>
      </w:r>
      <w:r w:rsidR="000C6F0E">
        <w:rPr>
          <w:rFonts w:ascii="Times New Roman" w:hAnsi="Times New Roman"/>
          <w:bCs/>
          <w:szCs w:val="24"/>
        </w:rPr>
        <w:t>currently funded GEAR UP State grantees</w:t>
      </w:r>
      <w:r w:rsidR="00563D03">
        <w:rPr>
          <w:rFonts w:ascii="Times New Roman" w:hAnsi="Times New Roman"/>
          <w:bCs/>
          <w:szCs w:val="24"/>
        </w:rPr>
        <w:t xml:space="preserve"> </w:t>
      </w:r>
      <w:r w:rsidR="00872BDE">
        <w:rPr>
          <w:rFonts w:ascii="Times New Roman" w:hAnsi="Times New Roman"/>
          <w:bCs/>
          <w:szCs w:val="24"/>
        </w:rPr>
        <w:t xml:space="preserve">regarding the estimated burden associated with the </w:t>
      </w:r>
      <w:r w:rsidR="00947BCB">
        <w:rPr>
          <w:rFonts w:ascii="Times New Roman" w:hAnsi="Times New Roman"/>
          <w:bCs/>
          <w:szCs w:val="24"/>
        </w:rPr>
        <w:t xml:space="preserve">questions that have been added to the revised form. </w:t>
      </w:r>
      <w:r w:rsidR="00C14FEC">
        <w:rPr>
          <w:rFonts w:ascii="Times New Roman" w:hAnsi="Times New Roman"/>
          <w:bCs/>
          <w:szCs w:val="24"/>
        </w:rPr>
        <w:t xml:space="preserve">The </w:t>
      </w:r>
      <w:r>
        <w:rPr>
          <w:rFonts w:ascii="Times New Roman" w:hAnsi="Times New Roman"/>
          <w:bCs/>
          <w:szCs w:val="24"/>
        </w:rPr>
        <w:t xml:space="preserve">information </w:t>
      </w:r>
      <w:r w:rsidR="00C14FEC">
        <w:rPr>
          <w:rFonts w:ascii="Times New Roman" w:hAnsi="Times New Roman"/>
          <w:bCs/>
          <w:szCs w:val="24"/>
        </w:rPr>
        <w:t>that was</w:t>
      </w:r>
      <w:r>
        <w:rPr>
          <w:rFonts w:ascii="Times New Roman" w:hAnsi="Times New Roman"/>
          <w:bCs/>
          <w:szCs w:val="24"/>
        </w:rPr>
        <w:t xml:space="preserve"> obtained</w:t>
      </w:r>
      <w:r w:rsidR="00563D03">
        <w:rPr>
          <w:rFonts w:ascii="Times New Roman" w:hAnsi="Times New Roman"/>
          <w:bCs/>
          <w:szCs w:val="24"/>
        </w:rPr>
        <w:t xml:space="preserve"> </w:t>
      </w:r>
      <w:r w:rsidR="008B38EB">
        <w:rPr>
          <w:rFonts w:ascii="Times New Roman" w:hAnsi="Times New Roman"/>
          <w:bCs/>
          <w:szCs w:val="24"/>
        </w:rPr>
        <w:t xml:space="preserve">was used to calculate the burden hours </w:t>
      </w:r>
      <w:r w:rsidR="00563D03">
        <w:rPr>
          <w:rFonts w:ascii="Times New Roman" w:hAnsi="Times New Roman"/>
          <w:bCs/>
          <w:szCs w:val="24"/>
        </w:rPr>
        <w:t>for the additional questions</w:t>
      </w:r>
      <w:r>
        <w:rPr>
          <w:rFonts w:ascii="Times New Roman" w:hAnsi="Times New Roman"/>
          <w:bCs/>
          <w:szCs w:val="24"/>
        </w:rPr>
        <w:t>.</w:t>
      </w:r>
    </w:p>
    <w:p w:rsidR="00E66550" w:rsidP="002313E2" w14:paraId="56DDEF32"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148AE3B8">
      <w:pPr>
        <w:pStyle w:val="ListParagraph"/>
        <w:tabs>
          <w:tab w:val="left" w:pos="-720"/>
        </w:tabs>
        <w:suppressAutoHyphens/>
        <w:contextualSpacing w:val="0"/>
        <w:rPr>
          <w:rFonts w:ascii="Times New Roman" w:hAnsi="Times New Roman"/>
          <w:b/>
          <w:szCs w:val="24"/>
        </w:rPr>
      </w:pPr>
    </w:p>
    <w:p w:rsidR="00455261" w:rsidRPr="00455261" w:rsidP="002313E2" w14:paraId="2F4ED393" w14:textId="14E860BE">
      <w:pPr>
        <w:pStyle w:val="ListParagraph"/>
        <w:tabs>
          <w:tab w:val="left" w:pos="-720"/>
        </w:tabs>
        <w:suppressAutoHyphens/>
        <w:contextualSpacing w:val="0"/>
        <w:rPr>
          <w:rFonts w:ascii="Times New Roman" w:hAnsi="Times New Roman"/>
          <w:bCs/>
          <w:szCs w:val="24"/>
        </w:rPr>
      </w:pPr>
      <w:r w:rsidRPr="00455261">
        <w:rPr>
          <w:rFonts w:ascii="Times New Roman" w:hAnsi="Times New Roman"/>
          <w:bCs/>
          <w:szCs w:val="24"/>
        </w:rPr>
        <w:t>No payment</w:t>
      </w:r>
      <w:r w:rsidR="00BC2CBD">
        <w:rPr>
          <w:rFonts w:ascii="Times New Roman" w:hAnsi="Times New Roman"/>
          <w:bCs/>
          <w:szCs w:val="24"/>
        </w:rPr>
        <w:t>s</w:t>
      </w:r>
      <w:r w:rsidRPr="00455261">
        <w:rPr>
          <w:rFonts w:ascii="Times New Roman" w:hAnsi="Times New Roman"/>
          <w:bCs/>
          <w:szCs w:val="24"/>
        </w:rPr>
        <w:t xml:space="preserve"> or gifts are provided to respondents.</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455261" w:rsidP="002313E2" w14:paraId="3A5FB31D" w14:textId="00D99A58">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455261" w:rsidP="00455261" w14:paraId="3702D479" w14:textId="77777777">
      <w:pPr>
        <w:pStyle w:val="ListParagraph"/>
        <w:tabs>
          <w:tab w:val="left" w:pos="-720"/>
        </w:tabs>
        <w:suppressAutoHyphens/>
        <w:contextualSpacing w:val="0"/>
        <w:rPr>
          <w:rFonts w:ascii="Times New Roman" w:hAnsi="Times New Roman"/>
          <w:b/>
          <w:szCs w:val="24"/>
        </w:rPr>
      </w:pPr>
    </w:p>
    <w:p w:rsidR="00455261" w:rsidRPr="00455261" w:rsidP="00455261" w14:paraId="165F5B84" w14:textId="476CE543">
      <w:pPr>
        <w:tabs>
          <w:tab w:val="left" w:pos="-720"/>
        </w:tabs>
        <w:suppressAutoHyphens/>
        <w:ind w:left="720"/>
        <w:rPr>
          <w:rFonts w:ascii="Times New Roman" w:hAnsi="Times New Roman"/>
          <w:b/>
          <w:szCs w:val="24"/>
        </w:rPr>
      </w:pPr>
      <w:r>
        <w:rPr>
          <w:rFonts w:ascii="Times New Roman" w:hAnsi="Times New Roman"/>
          <w:szCs w:val="24"/>
        </w:rPr>
        <w:t xml:space="preserve">Final Report data will not be confidential. The report does not collect data in which individual students can be </w:t>
      </w:r>
      <w:r>
        <w:rPr>
          <w:rFonts w:ascii="Times New Roman" w:hAnsi="Times New Roman"/>
          <w:szCs w:val="24"/>
        </w:rPr>
        <w:t>identified</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029DE9C6">
      <w:pPr>
        <w:tabs>
          <w:tab w:val="left" w:pos="-720"/>
        </w:tabs>
        <w:suppressAutoHyphens/>
        <w:rPr>
          <w:rFonts w:ascii="Times New Roman" w:hAnsi="Times New Roman"/>
          <w:b/>
          <w:szCs w:val="24"/>
        </w:rPr>
      </w:pPr>
    </w:p>
    <w:p w:rsidR="00455261" w:rsidP="00455261" w14:paraId="7F1DF843" w14:textId="01DFB395">
      <w:pPr>
        <w:tabs>
          <w:tab w:val="left" w:pos="-720"/>
        </w:tabs>
        <w:suppressAutoHyphens/>
        <w:ind w:left="720"/>
        <w:rPr>
          <w:rFonts w:ascii="Times New Roman" w:hAnsi="Times New Roman"/>
          <w:b/>
          <w:szCs w:val="24"/>
        </w:rPr>
      </w:pPr>
      <w:r>
        <w:rPr>
          <w:rFonts w:ascii="Times New Roman" w:eastAsia="Arial Unicode MS" w:hAnsi="Times New Roman"/>
          <w:szCs w:val="24"/>
        </w:rPr>
        <w:t>The questions are not of a sensitive nature.</w:t>
      </w:r>
    </w:p>
    <w:p w:rsidR="00920F63" w:rsidRPr="00920F63" w:rsidP="002313E2" w14:paraId="56DDEF3B"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90" w14:textId="77777777" w:rsidTr="00C875E8">
        <w:tblPrEx>
          <w:tblW w:w="11335" w:type="dxa"/>
          <w:tblLayout w:type="fixed"/>
          <w:tblLook w:val="0020"/>
        </w:tblPrEx>
        <w:tc>
          <w:tcPr>
            <w:tcW w:w="1345" w:type="dxa"/>
          </w:tcPr>
          <w:p w:rsidR="00676195" w:rsidRPr="00442E07" w:rsidP="008555CD" w14:paraId="56DDEF87" w14:textId="77777777">
            <w:pPr>
              <w:jc w:val="center"/>
              <w:rPr>
                <w:rFonts w:ascii="Times New Roman" w:hAnsi="Times New Roman"/>
                <w:szCs w:val="24"/>
              </w:rPr>
            </w:pPr>
            <w:r>
              <w:rPr>
                <w:rFonts w:ascii="Times New Roman" w:hAnsi="Times New Roman"/>
                <w:szCs w:val="24"/>
              </w:rPr>
              <w:t>Annualized Totals</w:t>
            </w:r>
          </w:p>
        </w:tc>
        <w:tc>
          <w:tcPr>
            <w:tcW w:w="1265" w:type="dxa"/>
          </w:tcPr>
          <w:p w:rsidR="00676195" w:rsidRPr="00442E07" w:rsidP="008555CD" w14:paraId="56DDEF88" w14:textId="1C77BDB3">
            <w:pPr>
              <w:jc w:val="center"/>
              <w:rPr>
                <w:rFonts w:ascii="Times New Roman" w:hAnsi="Times New Roman"/>
                <w:szCs w:val="24"/>
              </w:rPr>
            </w:pPr>
            <w:r>
              <w:rPr>
                <w:rFonts w:ascii="Times New Roman" w:hAnsi="Times New Roman"/>
                <w:szCs w:val="24"/>
              </w:rPr>
              <w:t>x</w:t>
            </w:r>
          </w:p>
        </w:tc>
        <w:tc>
          <w:tcPr>
            <w:tcW w:w="1255" w:type="dxa"/>
          </w:tcPr>
          <w:p w:rsidR="00676195" w:rsidRPr="00442E07" w:rsidP="008555CD" w14:paraId="56DDEF89" w14:textId="38B53FD7">
            <w:pPr>
              <w:jc w:val="center"/>
              <w:rPr>
                <w:rFonts w:ascii="Times New Roman" w:hAnsi="Times New Roman"/>
                <w:szCs w:val="24"/>
              </w:rPr>
            </w:pPr>
            <w:r>
              <w:rPr>
                <w:rFonts w:ascii="Times New Roman" w:hAnsi="Times New Roman"/>
                <w:szCs w:val="24"/>
              </w:rPr>
              <w:t>x</w:t>
            </w:r>
          </w:p>
        </w:tc>
        <w:tc>
          <w:tcPr>
            <w:tcW w:w="1275" w:type="dxa"/>
          </w:tcPr>
          <w:p w:rsidR="00676195" w:rsidRPr="00442E07" w:rsidP="008555CD" w14:paraId="56DDEF8A" w14:textId="1A1AA841">
            <w:pPr>
              <w:jc w:val="center"/>
              <w:rPr>
                <w:rFonts w:ascii="Times New Roman" w:hAnsi="Times New Roman"/>
                <w:szCs w:val="24"/>
              </w:rPr>
            </w:pPr>
            <w:r>
              <w:rPr>
                <w:rFonts w:ascii="Times New Roman" w:hAnsi="Times New Roman"/>
                <w:szCs w:val="24"/>
              </w:rPr>
              <w:t>172</w:t>
            </w:r>
          </w:p>
        </w:tc>
        <w:tc>
          <w:tcPr>
            <w:tcW w:w="1080" w:type="dxa"/>
          </w:tcPr>
          <w:p w:rsidR="00676195" w:rsidRPr="00442E07" w:rsidP="008555CD" w14:paraId="56DDEF8B" w14:textId="40AA6FC0">
            <w:pPr>
              <w:jc w:val="center"/>
              <w:rPr>
                <w:rFonts w:ascii="Times New Roman" w:hAnsi="Times New Roman"/>
                <w:szCs w:val="24"/>
              </w:rPr>
            </w:pPr>
            <w:r>
              <w:rPr>
                <w:rFonts w:ascii="Times New Roman" w:hAnsi="Times New Roman"/>
                <w:szCs w:val="24"/>
              </w:rPr>
              <w:t>172</w:t>
            </w:r>
          </w:p>
        </w:tc>
        <w:tc>
          <w:tcPr>
            <w:tcW w:w="1335" w:type="dxa"/>
          </w:tcPr>
          <w:p w:rsidR="00676195" w:rsidRPr="00442E07" w:rsidP="008555CD" w14:paraId="56DDEF8C" w14:textId="36667B3B">
            <w:pPr>
              <w:jc w:val="center"/>
              <w:rPr>
                <w:rFonts w:ascii="Times New Roman" w:hAnsi="Times New Roman"/>
                <w:szCs w:val="24"/>
              </w:rPr>
            </w:pPr>
            <w:r w:rsidRPr="004A60E0">
              <w:rPr>
                <w:rFonts w:ascii="Times New Roman" w:hAnsi="Times New Roman"/>
                <w:szCs w:val="24"/>
              </w:rPr>
              <w:t>65</w:t>
            </w:r>
          </w:p>
        </w:tc>
        <w:tc>
          <w:tcPr>
            <w:tcW w:w="900" w:type="dxa"/>
          </w:tcPr>
          <w:p w:rsidR="00676195" w:rsidRPr="00442E07" w:rsidP="008555CD" w14:paraId="56DDEF8D" w14:textId="3EFA6C38">
            <w:pPr>
              <w:jc w:val="center"/>
              <w:rPr>
                <w:rFonts w:ascii="Times New Roman" w:hAnsi="Times New Roman"/>
                <w:szCs w:val="24"/>
              </w:rPr>
            </w:pPr>
            <w:r>
              <w:rPr>
                <w:rFonts w:ascii="Times New Roman" w:hAnsi="Times New Roman"/>
                <w:szCs w:val="24"/>
              </w:rPr>
              <w:t>11,180</w:t>
            </w:r>
          </w:p>
        </w:tc>
        <w:tc>
          <w:tcPr>
            <w:tcW w:w="1530" w:type="dxa"/>
          </w:tcPr>
          <w:p w:rsidR="00676195" w:rsidRPr="00442E07" w:rsidP="008555CD" w14:paraId="56DDEF8E" w14:textId="4FA6B7B5">
            <w:pPr>
              <w:jc w:val="center"/>
              <w:rPr>
                <w:rFonts w:ascii="Times New Roman" w:hAnsi="Times New Roman"/>
                <w:szCs w:val="24"/>
              </w:rPr>
            </w:pPr>
            <w:r>
              <w:rPr>
                <w:rFonts w:ascii="Times New Roman" w:hAnsi="Times New Roman"/>
                <w:szCs w:val="24"/>
              </w:rPr>
              <w:t>$30/hour</w:t>
            </w:r>
          </w:p>
        </w:tc>
        <w:tc>
          <w:tcPr>
            <w:tcW w:w="1350" w:type="dxa"/>
          </w:tcPr>
          <w:p w:rsidR="00676195" w:rsidRPr="00442E07" w:rsidP="008555CD" w14:paraId="56DDEF8F" w14:textId="40974793">
            <w:pPr>
              <w:jc w:val="center"/>
              <w:rPr>
                <w:rFonts w:ascii="Times New Roman" w:hAnsi="Times New Roman"/>
                <w:szCs w:val="24"/>
              </w:rPr>
            </w:pPr>
            <w:r>
              <w:rPr>
                <w:rFonts w:ascii="Times New Roman" w:hAnsi="Times New Roman"/>
                <w:szCs w:val="24"/>
              </w:rPr>
              <w:t>$</w:t>
            </w:r>
            <w:r w:rsidRPr="004A60E0" w:rsidR="00CF0B3E">
              <w:rPr>
                <w:rFonts w:ascii="Times New Roman" w:hAnsi="Times New Roman"/>
                <w:szCs w:val="24"/>
              </w:rPr>
              <w:t>3</w:t>
            </w:r>
            <w:r w:rsidR="00CF0B3E">
              <w:rPr>
                <w:rFonts w:ascii="Times New Roman" w:hAnsi="Times New Roman"/>
                <w:szCs w:val="24"/>
              </w:rPr>
              <w:t>3</w:t>
            </w:r>
            <w:r w:rsidRPr="004A60E0" w:rsidR="00CF0B3E">
              <w:rPr>
                <w:rFonts w:ascii="Times New Roman" w:hAnsi="Times New Roman"/>
                <w:szCs w:val="24"/>
              </w:rPr>
              <w:t>5</w:t>
            </w:r>
            <w:r w:rsidRPr="004A60E0" w:rsidR="00826717">
              <w:rPr>
                <w:rFonts w:ascii="Times New Roman" w:hAnsi="Times New Roman"/>
                <w:szCs w:val="24"/>
              </w:rPr>
              <w:t>,400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5234E341">
      <w:pPr>
        <w:pStyle w:val="ListParagraph"/>
        <w:tabs>
          <w:tab w:val="left" w:pos="-720"/>
        </w:tabs>
        <w:suppressAutoHyphens/>
        <w:rPr>
          <w:rStyle w:val="a"/>
          <w:rFonts w:ascii="Times New Roman" w:hAnsi="Times New Roman"/>
          <w:szCs w:val="24"/>
        </w:rPr>
      </w:pPr>
    </w:p>
    <w:p w:rsidR="004B70F3" w:rsidP="004B70F3" w14:paraId="6196F688" w14:textId="40AA6FC1">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We estimate that it will take 172 respondents </w:t>
      </w:r>
      <w:r w:rsidRPr="004A60E0" w:rsidR="00826717">
        <w:rPr>
          <w:rFonts w:ascii="Times New Roman" w:hAnsi="Times New Roman"/>
          <w:szCs w:val="24"/>
        </w:rPr>
        <w:t>11,180</w:t>
      </w:r>
      <w:r>
        <w:rPr>
          <w:rStyle w:val="a"/>
          <w:rFonts w:ascii="Times New Roman" w:hAnsi="Times New Roman"/>
          <w:szCs w:val="24"/>
        </w:rPr>
        <w:t xml:space="preserve"> total hours to complete and submit the form.</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5ED3A110">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4415BA">
        <w:rPr>
          <w:rFonts w:ascii="Times New Roman" w:hAnsi="Times New Roman"/>
          <w:b/>
          <w:szCs w:val="24"/>
        </w:rPr>
        <w:t xml:space="preserve"> $0.00</w:t>
      </w:r>
    </w:p>
    <w:p w:rsidR="00043C32" w:rsidRPr="00ED7195" w:rsidP="002313E2" w14:paraId="56DDEF9D" w14:textId="24489E7E">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4415BA">
        <w:rPr>
          <w:rFonts w:ascii="Times New Roman" w:hAnsi="Times New Roman"/>
          <w:b/>
          <w:szCs w:val="24"/>
        </w:rPr>
        <w:t xml:space="preserve"> $0.00</w:t>
      </w:r>
    </w:p>
    <w:p w:rsidR="00043C32" w:rsidRPr="00ED7195" w:rsidP="002313E2" w14:paraId="56DDEF9E" w14:textId="47FE1E31">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4415BA">
        <w:rPr>
          <w:rFonts w:ascii="Times New Roman" w:hAnsi="Times New Roman"/>
          <w:b/>
          <w:szCs w:val="24"/>
        </w:rPr>
        <w:t xml:space="preserve"> $0.00</w:t>
      </w:r>
    </w:p>
    <w:p w:rsidR="00043C32" w:rsidP="002313E2" w14:paraId="56DDEF9F" w14:textId="709CF4C7">
      <w:pPr>
        <w:tabs>
          <w:tab w:val="left" w:pos="-720"/>
        </w:tabs>
        <w:suppressAutoHyphens/>
        <w:rPr>
          <w:rFonts w:ascii="Times New Roman" w:hAnsi="Times New Roman"/>
          <w:szCs w:val="24"/>
        </w:rPr>
      </w:pPr>
    </w:p>
    <w:p w:rsidR="00B623A1" w:rsidP="00455261" w14:paraId="50677C0A" w14:textId="54A0F903">
      <w:pPr>
        <w:tabs>
          <w:tab w:val="left" w:pos="-720"/>
        </w:tabs>
        <w:suppressAutoHyphens/>
        <w:ind w:left="720"/>
        <w:rPr>
          <w:rFonts w:ascii="Times New Roman" w:hAnsi="Times New Roman"/>
          <w:szCs w:val="24"/>
        </w:rPr>
      </w:pPr>
      <w:r>
        <w:rPr>
          <w:rFonts w:ascii="Times New Roman" w:hAnsi="Times New Roman"/>
          <w:szCs w:val="24"/>
        </w:rPr>
        <w:t>The only costs would be for customary and usual business practices.</w:t>
      </w:r>
    </w:p>
    <w:p w:rsidR="00455261" w:rsidP="002313E2" w14:paraId="25F81E97" w14:textId="77777777">
      <w:pPr>
        <w:tabs>
          <w:tab w:val="left" w:pos="-720"/>
        </w:tabs>
        <w:suppressAutoHyphens/>
        <w:rPr>
          <w:rFonts w:ascii="Times New Roman" w:hAnsi="Times New Roman"/>
          <w:szCs w:val="24"/>
        </w:rPr>
      </w:pPr>
    </w:p>
    <w:p w:rsidR="00043C32" w:rsidRPr="00534B4A" w:rsidP="00455261" w14:paraId="56DDEFA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5094104">
      <w:pPr>
        <w:tabs>
          <w:tab w:val="left" w:pos="-720"/>
        </w:tabs>
        <w:suppressAutoHyphens/>
        <w:rPr>
          <w:rFonts w:ascii="Times New Roman" w:hAnsi="Times New Roman"/>
          <w:szCs w:val="24"/>
        </w:rPr>
      </w:pPr>
    </w:p>
    <w:tbl>
      <w:tblPr>
        <w:tblW w:w="8025" w:type="dxa"/>
        <w:tblInd w:w="6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897"/>
        <w:gridCol w:w="900"/>
        <w:gridCol w:w="1439"/>
        <w:gridCol w:w="1080"/>
        <w:gridCol w:w="1709"/>
      </w:tblGrid>
      <w:tr w14:paraId="7CE7608E" w14:textId="77777777" w:rsidTr="00036379">
        <w:tblPrEx>
          <w:tblW w:w="8025" w:type="dxa"/>
          <w:tblInd w:w="6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2897"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4547AC4A"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Activities/Task</w:t>
            </w:r>
          </w:p>
        </w:tc>
        <w:tc>
          <w:tcPr>
            <w:tcW w:w="900"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69A9794F"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Cost</w:t>
            </w:r>
          </w:p>
        </w:tc>
        <w:tc>
          <w:tcPr>
            <w:tcW w:w="1439"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259FB127"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Hours</w:t>
            </w:r>
          </w:p>
        </w:tc>
        <w:tc>
          <w:tcPr>
            <w:tcW w:w="1080"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7A5BFCC2"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Number of Reports</w:t>
            </w:r>
          </w:p>
        </w:tc>
        <w:tc>
          <w:tcPr>
            <w:tcW w:w="1709"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35FC8547"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Total Cost to</w:t>
            </w:r>
          </w:p>
          <w:p w:rsidR="00036379" w14:paraId="3391D6BA"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Fed. Govt.</w:t>
            </w:r>
          </w:p>
        </w:tc>
      </w:tr>
      <w:tr w14:paraId="07E7E9C3"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3701043" w14:textId="77777777">
            <w:pPr>
              <w:rPr>
                <w:rFonts w:ascii="Times New Roman" w:hAnsi="Times New Roman"/>
                <w:szCs w:val="24"/>
              </w:rPr>
            </w:pPr>
            <w:r>
              <w:rPr>
                <w:rFonts w:ascii="Times New Roman" w:hAnsi="Times New Roman"/>
                <w:szCs w:val="24"/>
              </w:rPr>
              <w:t>Final report revisions/Form design once every 3 years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0D2CAABE"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059EEAAF" w14:textId="77777777">
            <w:pPr>
              <w:jc w:val="center"/>
              <w:rPr>
                <w:rFonts w:ascii="Times New Roman" w:hAnsi="Times New Roman"/>
                <w:szCs w:val="24"/>
              </w:rPr>
            </w:pPr>
            <w:r>
              <w:rPr>
                <w:rFonts w:ascii="Times New Roman" w:hAnsi="Times New Roman"/>
                <w:szCs w:val="24"/>
              </w:rPr>
              <w:t>40</w:t>
            </w:r>
          </w:p>
        </w:tc>
        <w:tc>
          <w:tcPr>
            <w:tcW w:w="1080" w:type="dxa"/>
            <w:tcBorders>
              <w:top w:val="single" w:sz="6" w:space="0" w:color="000000"/>
              <w:left w:val="single" w:sz="6" w:space="0" w:color="000000"/>
              <w:bottom w:val="single" w:sz="6" w:space="0" w:color="000000"/>
              <w:right w:val="single" w:sz="6" w:space="0" w:color="000000"/>
            </w:tcBorders>
          </w:tcPr>
          <w:p w:rsidR="00036379" w14:paraId="3C9DDCC5" w14:textId="77777777">
            <w:pPr>
              <w:jc w:val="center"/>
              <w:rPr>
                <w:rFonts w:ascii="Times New Roman" w:hAnsi="Times New Roman"/>
                <w:b/>
                <w:bCs/>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0F2B36F4" w14:textId="77777777">
            <w:pPr>
              <w:jc w:val="center"/>
              <w:rPr>
                <w:rFonts w:ascii="Times New Roman" w:hAnsi="Times New Roman"/>
                <w:szCs w:val="24"/>
              </w:rPr>
            </w:pPr>
            <w:r>
              <w:rPr>
                <w:rFonts w:ascii="Times New Roman" w:hAnsi="Times New Roman"/>
                <w:szCs w:val="24"/>
              </w:rPr>
              <w:t>$1,800</w:t>
            </w:r>
          </w:p>
        </w:tc>
      </w:tr>
      <w:tr w14:paraId="2197E0B7"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66FF9D61" w14:textId="77777777">
            <w:pPr>
              <w:rPr>
                <w:rFonts w:ascii="Times New Roman" w:hAnsi="Times New Roman"/>
                <w:szCs w:val="24"/>
              </w:rPr>
            </w:pPr>
            <w:r>
              <w:rPr>
                <w:rFonts w:ascii="Times New Roman" w:hAnsi="Times New Roman"/>
                <w:szCs w:val="24"/>
              </w:rPr>
              <w:t>Securing OMB approval once every 3 years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77456D46"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3D7E0ADE" w14:textId="77777777">
            <w:pPr>
              <w:jc w:val="center"/>
              <w:rPr>
                <w:rFonts w:ascii="Times New Roman" w:hAnsi="Times New Roman"/>
                <w:szCs w:val="24"/>
              </w:rPr>
            </w:pPr>
            <w:r>
              <w:rPr>
                <w:rFonts w:ascii="Times New Roman" w:hAnsi="Times New Roman"/>
                <w:szCs w:val="24"/>
              </w:rPr>
              <w:t>40</w:t>
            </w:r>
          </w:p>
        </w:tc>
        <w:tc>
          <w:tcPr>
            <w:tcW w:w="1080" w:type="dxa"/>
            <w:tcBorders>
              <w:top w:val="single" w:sz="6" w:space="0" w:color="000000"/>
              <w:left w:val="single" w:sz="6" w:space="0" w:color="000000"/>
              <w:bottom w:val="single" w:sz="6" w:space="0" w:color="000000"/>
              <w:right w:val="single" w:sz="6" w:space="0" w:color="000000"/>
            </w:tcBorders>
          </w:tcPr>
          <w:p w:rsidR="00036379" w14:paraId="2773CAFB" w14:textId="77777777">
            <w:pPr>
              <w:jc w:val="center"/>
              <w:rPr>
                <w:rFonts w:ascii="Times New Roman" w:hAnsi="Times New Roman"/>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203EBAFB" w14:textId="77777777">
            <w:pPr>
              <w:jc w:val="center"/>
              <w:rPr>
                <w:rFonts w:ascii="Times New Roman" w:hAnsi="Times New Roman"/>
                <w:szCs w:val="24"/>
              </w:rPr>
            </w:pPr>
            <w:r>
              <w:rPr>
                <w:rFonts w:ascii="Times New Roman" w:hAnsi="Times New Roman"/>
                <w:szCs w:val="24"/>
              </w:rPr>
              <w:t>$1,800</w:t>
            </w:r>
          </w:p>
        </w:tc>
      </w:tr>
      <w:tr w14:paraId="4982F6BC"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A94826D" w14:textId="77777777">
            <w:pPr>
              <w:rPr>
                <w:rFonts w:ascii="Times New Roman" w:hAnsi="Times New Roman"/>
                <w:szCs w:val="24"/>
              </w:rPr>
            </w:pPr>
            <w:r>
              <w:rPr>
                <w:rFonts w:ascii="Times New Roman" w:hAnsi="Times New Roman"/>
                <w:szCs w:val="24"/>
              </w:rPr>
              <w:t>GEAR UP staff reviewing Final Reports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0E5C8769"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0EC38BA2" w14:textId="77777777">
            <w:pPr>
              <w:jc w:val="center"/>
              <w:rPr>
                <w:rFonts w:ascii="Times New Roman" w:hAnsi="Times New Roman"/>
                <w:szCs w:val="24"/>
              </w:rPr>
            </w:pPr>
            <w:r>
              <w:rPr>
                <w:rFonts w:ascii="Times New Roman" w:hAnsi="Times New Roman"/>
                <w:szCs w:val="24"/>
              </w:rPr>
              <w:t xml:space="preserve">4 </w:t>
            </w:r>
            <w:r>
              <w:rPr>
                <w:rFonts w:ascii="Times New Roman" w:hAnsi="Times New Roman"/>
                <w:szCs w:val="24"/>
              </w:rPr>
              <w:t>hrs</w:t>
            </w:r>
            <w:r>
              <w:rPr>
                <w:rFonts w:ascii="Times New Roman" w:hAnsi="Times New Roman"/>
                <w:szCs w:val="24"/>
              </w:rPr>
              <w:t>/FPR</w:t>
            </w:r>
          </w:p>
        </w:tc>
        <w:tc>
          <w:tcPr>
            <w:tcW w:w="1080" w:type="dxa"/>
            <w:tcBorders>
              <w:top w:val="single" w:sz="6" w:space="0" w:color="000000"/>
              <w:left w:val="single" w:sz="6" w:space="0" w:color="000000"/>
              <w:bottom w:val="single" w:sz="6" w:space="0" w:color="000000"/>
              <w:right w:val="single" w:sz="6" w:space="0" w:color="000000"/>
            </w:tcBorders>
            <w:hideMark/>
          </w:tcPr>
          <w:p w:rsidR="00036379" w14:paraId="7ED07A13" w14:textId="73E75721">
            <w:pPr>
              <w:jc w:val="center"/>
              <w:rPr>
                <w:rFonts w:ascii="Times New Roman" w:hAnsi="Times New Roman"/>
                <w:szCs w:val="24"/>
              </w:rPr>
            </w:pPr>
            <w:r>
              <w:rPr>
                <w:rFonts w:ascii="Times New Roman" w:hAnsi="Times New Roman"/>
                <w:szCs w:val="24"/>
              </w:rPr>
              <w:t>172</w:t>
            </w:r>
          </w:p>
        </w:tc>
        <w:tc>
          <w:tcPr>
            <w:tcW w:w="1709" w:type="dxa"/>
            <w:tcBorders>
              <w:top w:val="single" w:sz="6" w:space="0" w:color="000000"/>
              <w:left w:val="single" w:sz="6" w:space="0" w:color="000000"/>
              <w:bottom w:val="single" w:sz="6" w:space="0" w:color="000000"/>
              <w:right w:val="single" w:sz="6" w:space="0" w:color="000000"/>
            </w:tcBorders>
            <w:hideMark/>
          </w:tcPr>
          <w:p w:rsidR="00036379" w14:paraId="1EE81BE6" w14:textId="0D067FDB">
            <w:pPr>
              <w:jc w:val="center"/>
              <w:rPr>
                <w:rFonts w:ascii="Times New Roman" w:hAnsi="Times New Roman"/>
                <w:szCs w:val="24"/>
              </w:rPr>
            </w:pPr>
            <w:r>
              <w:rPr>
                <w:rFonts w:ascii="Times New Roman" w:hAnsi="Times New Roman"/>
                <w:szCs w:val="24"/>
              </w:rPr>
              <w:t>$</w:t>
            </w:r>
            <w:r w:rsidR="005A2C2A">
              <w:rPr>
                <w:rFonts w:ascii="Times New Roman" w:hAnsi="Times New Roman"/>
                <w:szCs w:val="24"/>
              </w:rPr>
              <w:t>30,960</w:t>
            </w:r>
          </w:p>
        </w:tc>
      </w:tr>
      <w:tr w14:paraId="6585B345"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40405C45" w14:textId="77777777">
            <w:pPr>
              <w:rPr>
                <w:rFonts w:ascii="Times New Roman" w:hAnsi="Times New Roman"/>
                <w:szCs w:val="24"/>
              </w:rPr>
            </w:pPr>
            <w:r>
              <w:rPr>
                <w:rFonts w:ascii="Times New Roman" w:hAnsi="Times New Roman"/>
                <w:szCs w:val="24"/>
              </w:rPr>
              <w:t>Technical assistance to grantees (pre and post Final Report)</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002091F8"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7C8C94D5" w14:textId="77777777">
            <w:pPr>
              <w:jc w:val="center"/>
              <w:rPr>
                <w:rFonts w:ascii="Times New Roman" w:hAnsi="Times New Roman"/>
                <w:szCs w:val="24"/>
              </w:rPr>
            </w:pPr>
            <w:r>
              <w:rPr>
                <w:rFonts w:ascii="Times New Roman" w:hAnsi="Times New Roman"/>
                <w:szCs w:val="24"/>
              </w:rPr>
              <w:t xml:space="preserve">4 </w:t>
            </w:r>
            <w:r>
              <w:rPr>
                <w:rFonts w:ascii="Times New Roman" w:hAnsi="Times New Roman"/>
                <w:szCs w:val="24"/>
              </w:rPr>
              <w:t>hrs</w:t>
            </w:r>
            <w:r>
              <w:rPr>
                <w:rFonts w:ascii="Times New Roman" w:hAnsi="Times New Roman"/>
                <w:szCs w:val="24"/>
              </w:rPr>
              <w:t>/FPR</w:t>
            </w:r>
          </w:p>
        </w:tc>
        <w:tc>
          <w:tcPr>
            <w:tcW w:w="1080" w:type="dxa"/>
            <w:tcBorders>
              <w:top w:val="single" w:sz="6" w:space="0" w:color="000000"/>
              <w:left w:val="single" w:sz="6" w:space="0" w:color="000000"/>
              <w:bottom w:val="single" w:sz="6" w:space="0" w:color="000000"/>
              <w:right w:val="single" w:sz="6" w:space="0" w:color="000000"/>
            </w:tcBorders>
            <w:hideMark/>
          </w:tcPr>
          <w:p w:rsidR="00036379" w14:paraId="3836A2FF" w14:textId="4D63B991">
            <w:pPr>
              <w:jc w:val="center"/>
              <w:rPr>
                <w:rFonts w:ascii="Times New Roman" w:hAnsi="Times New Roman"/>
                <w:szCs w:val="24"/>
              </w:rPr>
            </w:pPr>
            <w:r>
              <w:rPr>
                <w:rFonts w:ascii="Times New Roman" w:hAnsi="Times New Roman"/>
                <w:szCs w:val="24"/>
              </w:rPr>
              <w:t>172</w:t>
            </w:r>
          </w:p>
        </w:tc>
        <w:tc>
          <w:tcPr>
            <w:tcW w:w="1709" w:type="dxa"/>
            <w:tcBorders>
              <w:top w:val="single" w:sz="6" w:space="0" w:color="000000"/>
              <w:left w:val="single" w:sz="6" w:space="0" w:color="000000"/>
              <w:bottom w:val="single" w:sz="6" w:space="0" w:color="000000"/>
              <w:right w:val="single" w:sz="6" w:space="0" w:color="000000"/>
            </w:tcBorders>
            <w:hideMark/>
          </w:tcPr>
          <w:p w:rsidR="00036379" w14:paraId="2317DCFE" w14:textId="05D2D4AF">
            <w:pPr>
              <w:jc w:val="center"/>
              <w:rPr>
                <w:rFonts w:ascii="Times New Roman" w:hAnsi="Times New Roman"/>
                <w:szCs w:val="24"/>
              </w:rPr>
            </w:pPr>
            <w:r>
              <w:rPr>
                <w:rFonts w:ascii="Times New Roman" w:hAnsi="Times New Roman"/>
                <w:szCs w:val="24"/>
              </w:rPr>
              <w:t>$</w:t>
            </w:r>
            <w:r w:rsidR="005A2C2A">
              <w:rPr>
                <w:rFonts w:ascii="Times New Roman" w:hAnsi="Times New Roman"/>
                <w:szCs w:val="24"/>
              </w:rPr>
              <w:t>30,960</w:t>
            </w:r>
          </w:p>
        </w:tc>
      </w:tr>
      <w:tr w14:paraId="1C3C7942"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53B4458" w14:textId="77777777">
            <w:pPr>
              <w:rPr>
                <w:rFonts w:ascii="Times New Roman" w:hAnsi="Times New Roman"/>
                <w:szCs w:val="24"/>
              </w:rPr>
            </w:pPr>
            <w:r>
              <w:rPr>
                <w:rFonts w:ascii="Times New Roman" w:hAnsi="Times New Roman"/>
                <w:szCs w:val="24"/>
              </w:rPr>
              <w:t xml:space="preserve">GEAR UP staff processing Final Reports in G5 </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5DB9BB7C"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395A63E2" w14:textId="77777777">
            <w:pPr>
              <w:jc w:val="center"/>
              <w:rPr>
                <w:rFonts w:ascii="Times New Roman" w:hAnsi="Times New Roman"/>
                <w:szCs w:val="24"/>
              </w:rPr>
            </w:pPr>
            <w:r>
              <w:rPr>
                <w:rFonts w:ascii="Times New Roman" w:hAnsi="Times New Roman"/>
                <w:szCs w:val="24"/>
              </w:rPr>
              <w:t>30 hours</w:t>
            </w:r>
          </w:p>
        </w:tc>
        <w:tc>
          <w:tcPr>
            <w:tcW w:w="1080" w:type="dxa"/>
            <w:tcBorders>
              <w:top w:val="single" w:sz="6" w:space="0" w:color="000000"/>
              <w:left w:val="single" w:sz="6" w:space="0" w:color="000000"/>
              <w:bottom w:val="single" w:sz="6" w:space="0" w:color="000000"/>
              <w:right w:val="single" w:sz="6" w:space="0" w:color="000000"/>
            </w:tcBorders>
          </w:tcPr>
          <w:p w:rsidR="00036379" w14:paraId="5BB694CA" w14:textId="77777777">
            <w:pPr>
              <w:jc w:val="center"/>
              <w:rPr>
                <w:rFonts w:ascii="Times New Roman" w:hAnsi="Times New Roman"/>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0676F25C" w14:textId="77777777">
            <w:pPr>
              <w:jc w:val="center"/>
              <w:rPr>
                <w:rFonts w:ascii="Times New Roman" w:hAnsi="Times New Roman"/>
                <w:szCs w:val="24"/>
              </w:rPr>
            </w:pPr>
            <w:r>
              <w:rPr>
                <w:rFonts w:ascii="Times New Roman" w:hAnsi="Times New Roman"/>
                <w:szCs w:val="24"/>
              </w:rPr>
              <w:t>$1,350</w:t>
            </w:r>
          </w:p>
        </w:tc>
      </w:tr>
      <w:tr w14:paraId="09ADDA8D"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704978A" w14:textId="77777777">
            <w:pPr>
              <w:rPr>
                <w:rFonts w:ascii="Times New Roman" w:hAnsi="Times New Roman"/>
                <w:szCs w:val="24"/>
              </w:rPr>
            </w:pPr>
            <w:r>
              <w:rPr>
                <w:rFonts w:ascii="Times New Roman" w:hAnsi="Times New Roman"/>
                <w:szCs w:val="24"/>
              </w:rPr>
              <w:t>Preparing and issuing notifications of final closeout to grantees and certifying/authorizing representatives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66367CAC"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5359AFC5" w14:textId="77777777">
            <w:pPr>
              <w:jc w:val="center"/>
              <w:rPr>
                <w:rFonts w:ascii="Times New Roman" w:hAnsi="Times New Roman"/>
                <w:szCs w:val="24"/>
              </w:rPr>
            </w:pPr>
            <w:r>
              <w:rPr>
                <w:rFonts w:ascii="Times New Roman" w:hAnsi="Times New Roman"/>
                <w:szCs w:val="24"/>
              </w:rPr>
              <w:t>20 hours</w:t>
            </w:r>
          </w:p>
        </w:tc>
        <w:tc>
          <w:tcPr>
            <w:tcW w:w="1080" w:type="dxa"/>
            <w:tcBorders>
              <w:top w:val="single" w:sz="6" w:space="0" w:color="000000"/>
              <w:left w:val="single" w:sz="6" w:space="0" w:color="000000"/>
              <w:bottom w:val="single" w:sz="6" w:space="0" w:color="000000"/>
              <w:right w:val="single" w:sz="6" w:space="0" w:color="000000"/>
            </w:tcBorders>
          </w:tcPr>
          <w:p w:rsidR="00036379" w14:paraId="32B8F7E0" w14:textId="77777777">
            <w:pPr>
              <w:jc w:val="center"/>
              <w:rPr>
                <w:rFonts w:ascii="Times New Roman" w:hAnsi="Times New Roman"/>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7D0A2802" w14:textId="77777777">
            <w:pPr>
              <w:jc w:val="center"/>
              <w:rPr>
                <w:rFonts w:ascii="Times New Roman" w:hAnsi="Times New Roman"/>
                <w:szCs w:val="24"/>
              </w:rPr>
            </w:pPr>
            <w:r>
              <w:rPr>
                <w:rFonts w:ascii="Times New Roman" w:hAnsi="Times New Roman"/>
                <w:szCs w:val="24"/>
              </w:rPr>
              <w:t>$900</w:t>
            </w:r>
          </w:p>
        </w:tc>
      </w:tr>
      <w:tr w14:paraId="48EDA54A" w14:textId="77777777" w:rsidTr="00036379">
        <w:tblPrEx>
          <w:tblW w:w="8025" w:type="dxa"/>
          <w:tblInd w:w="604" w:type="dxa"/>
          <w:tblLayout w:type="fixed"/>
          <w:tblLook w:val="00A0"/>
        </w:tblPrEx>
        <w:tc>
          <w:tcPr>
            <w:tcW w:w="2897" w:type="dxa"/>
            <w:tcBorders>
              <w:top w:val="single" w:sz="6" w:space="0" w:color="auto"/>
              <w:left w:val="single" w:sz="6" w:space="0" w:color="auto"/>
              <w:bottom w:val="single" w:sz="6" w:space="0" w:color="auto"/>
              <w:right w:val="single" w:sz="6" w:space="0" w:color="auto"/>
            </w:tcBorders>
            <w:shd w:val="pct35" w:color="auto" w:fill="FFFFFF"/>
            <w:hideMark/>
          </w:tcPr>
          <w:p w:rsidR="00036379" w14:paraId="6DA61695" w14:textId="77777777">
            <w:pPr>
              <w:tabs>
                <w:tab w:val="left" w:pos="360"/>
              </w:tabs>
              <w:jc w:val="center"/>
              <w:rPr>
                <w:rFonts w:ascii="Times New Roman" w:eastAsia="Arial Unicode MS" w:hAnsi="Times New Roman"/>
                <w:szCs w:val="24"/>
              </w:rPr>
            </w:pPr>
            <w:r>
              <w:rPr>
                <w:rFonts w:ascii="Times New Roman" w:eastAsia="Arial Unicode MS" w:hAnsi="Times New Roman"/>
                <w:szCs w:val="24"/>
              </w:rPr>
              <w:t>Totals</w:t>
            </w:r>
          </w:p>
        </w:tc>
        <w:tc>
          <w:tcPr>
            <w:tcW w:w="900" w:type="dxa"/>
            <w:tcBorders>
              <w:top w:val="single" w:sz="6" w:space="0" w:color="auto"/>
              <w:left w:val="single" w:sz="6" w:space="0" w:color="auto"/>
              <w:bottom w:val="single" w:sz="6" w:space="0" w:color="auto"/>
              <w:right w:val="single" w:sz="6" w:space="0" w:color="auto"/>
            </w:tcBorders>
            <w:shd w:val="pct35" w:color="auto" w:fill="FFFFFF"/>
          </w:tcPr>
          <w:p w:rsidR="00036379" w14:paraId="17BD3749" w14:textId="77777777">
            <w:pPr>
              <w:tabs>
                <w:tab w:val="left" w:pos="360"/>
              </w:tabs>
              <w:rPr>
                <w:rFonts w:ascii="Times New Roman" w:eastAsia="Arial Unicode MS" w:hAnsi="Times New Roman"/>
                <w:szCs w:val="24"/>
              </w:rPr>
            </w:pPr>
          </w:p>
        </w:tc>
        <w:tc>
          <w:tcPr>
            <w:tcW w:w="1439" w:type="dxa"/>
            <w:tcBorders>
              <w:top w:val="single" w:sz="6" w:space="0" w:color="auto"/>
              <w:left w:val="single" w:sz="6" w:space="0" w:color="auto"/>
              <w:bottom w:val="single" w:sz="6" w:space="0" w:color="auto"/>
              <w:right w:val="single" w:sz="6" w:space="0" w:color="auto"/>
            </w:tcBorders>
            <w:shd w:val="pct35" w:color="auto" w:fill="FFFFFF"/>
          </w:tcPr>
          <w:p w:rsidR="00036379" w14:paraId="50FEA763" w14:textId="77777777">
            <w:pPr>
              <w:tabs>
                <w:tab w:val="left" w:pos="360"/>
              </w:tabs>
              <w:jc w:val="center"/>
              <w:rPr>
                <w:rFonts w:ascii="Times New Roman" w:eastAsia="Arial Unicode MS" w:hAnsi="Times New Roman"/>
                <w:szCs w:val="24"/>
              </w:rPr>
            </w:pPr>
          </w:p>
        </w:tc>
        <w:tc>
          <w:tcPr>
            <w:tcW w:w="1080" w:type="dxa"/>
            <w:tcBorders>
              <w:top w:val="single" w:sz="6" w:space="0" w:color="auto"/>
              <w:left w:val="single" w:sz="6" w:space="0" w:color="auto"/>
              <w:bottom w:val="single" w:sz="6" w:space="0" w:color="auto"/>
              <w:right w:val="single" w:sz="6" w:space="0" w:color="auto"/>
            </w:tcBorders>
            <w:shd w:val="pct35" w:color="auto" w:fill="FFFFFF"/>
          </w:tcPr>
          <w:p w:rsidR="00036379" w14:paraId="54685FD3" w14:textId="77777777">
            <w:pPr>
              <w:tabs>
                <w:tab w:val="left" w:pos="360"/>
              </w:tabs>
              <w:rPr>
                <w:rFonts w:ascii="Times New Roman" w:eastAsia="Arial Unicode MS" w:hAnsi="Times New Roman"/>
                <w:szCs w:val="24"/>
              </w:rPr>
            </w:pPr>
          </w:p>
        </w:tc>
        <w:tc>
          <w:tcPr>
            <w:tcW w:w="1709" w:type="dxa"/>
            <w:tcBorders>
              <w:top w:val="single" w:sz="6" w:space="0" w:color="auto"/>
              <w:left w:val="single" w:sz="6" w:space="0" w:color="auto"/>
              <w:bottom w:val="single" w:sz="6" w:space="0" w:color="auto"/>
              <w:right w:val="single" w:sz="6" w:space="0" w:color="auto"/>
            </w:tcBorders>
            <w:shd w:val="pct35" w:color="auto" w:fill="FFFFFF"/>
            <w:hideMark/>
          </w:tcPr>
          <w:p w:rsidR="00036379" w14:paraId="4330F9D8" w14:textId="2392DB3A">
            <w:pPr>
              <w:tabs>
                <w:tab w:val="left" w:pos="360"/>
              </w:tabs>
              <w:jc w:val="center"/>
              <w:rPr>
                <w:rFonts w:ascii="Times New Roman" w:eastAsia="Arial Unicode MS" w:hAnsi="Times New Roman"/>
                <w:szCs w:val="24"/>
              </w:rPr>
            </w:pPr>
            <w:r>
              <w:rPr>
                <w:rFonts w:ascii="Times New Roman" w:eastAsia="Arial Unicode MS" w:hAnsi="Times New Roman"/>
                <w:szCs w:val="24"/>
              </w:rPr>
              <w:t>$6</w:t>
            </w:r>
            <w:r w:rsidR="00626206">
              <w:rPr>
                <w:rFonts w:ascii="Times New Roman" w:eastAsia="Arial Unicode MS" w:hAnsi="Times New Roman"/>
                <w:szCs w:val="24"/>
              </w:rPr>
              <w:t>7</w:t>
            </w:r>
            <w:r>
              <w:rPr>
                <w:rFonts w:ascii="Times New Roman" w:eastAsia="Arial Unicode MS" w:hAnsi="Times New Roman"/>
                <w:szCs w:val="24"/>
              </w:rPr>
              <w:t>,</w:t>
            </w:r>
            <w:r w:rsidR="00626206">
              <w:rPr>
                <w:rFonts w:ascii="Times New Roman" w:eastAsia="Arial Unicode MS" w:hAnsi="Times New Roman"/>
                <w:szCs w:val="24"/>
              </w:rPr>
              <w:t>77</w:t>
            </w:r>
            <w:r>
              <w:rPr>
                <w:rFonts w:ascii="Times New Roman" w:eastAsia="Arial Unicode MS" w:hAnsi="Times New Roman"/>
                <w:szCs w:val="24"/>
              </w:rPr>
              <w:t>0</w:t>
            </w:r>
          </w:p>
        </w:tc>
      </w:tr>
    </w:tbl>
    <w:p w:rsidR="00534B4A" w:rsidRPr="00036379" w:rsidP="00036379" w14:paraId="56DDEFA2" w14:textId="77777777">
      <w:pPr>
        <w:tabs>
          <w:tab w:val="left" w:pos="-720"/>
        </w:tabs>
        <w:suppressAutoHyphens/>
        <w:rPr>
          <w:rFonts w:ascii="Times New Roman" w:hAnsi="Times New Roman"/>
          <w:szCs w:val="24"/>
        </w:rPr>
      </w:pPr>
    </w:p>
    <w:p w:rsidR="00800D30" w:rsidP="002313E2" w14:paraId="56DDEFA3" w14:textId="197D715A">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3C04FA" w:rsidP="003C04FA" w14:paraId="7C724675" w14:textId="27D9836F">
      <w:pPr>
        <w:tabs>
          <w:tab w:val="left" w:pos="-720"/>
        </w:tabs>
        <w:suppressAutoHyphens/>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8730" w:type="dxa"/>
        <w:tblInd w:w="715" w:type="dxa"/>
        <w:tblLook w:val="04A0"/>
      </w:tblPr>
      <w:tblGrid>
        <w:gridCol w:w="1800"/>
        <w:gridCol w:w="1980"/>
        <w:gridCol w:w="2435"/>
        <w:gridCol w:w="2515"/>
      </w:tblGrid>
      <w:tr w14:paraId="56DDEFAB" w14:textId="77777777" w:rsidTr="003C04FA">
        <w:tblPrEx>
          <w:tblW w:w="8730" w:type="dxa"/>
          <w:tblInd w:w="715" w:type="dxa"/>
          <w:tblLook w:val="04A0"/>
        </w:tblPrEx>
        <w:tc>
          <w:tcPr>
            <w:tcW w:w="1800"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1980"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435"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15"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3C04FA">
        <w:tblPrEx>
          <w:tblW w:w="8730" w:type="dxa"/>
          <w:tblInd w:w="715" w:type="dxa"/>
          <w:tblLook w:val="04A0"/>
        </w:tblPrEx>
        <w:tc>
          <w:tcPr>
            <w:tcW w:w="1800"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1980" w:type="dxa"/>
          </w:tcPr>
          <w:p w:rsidR="0052073E" w:rsidP="002313E2" w14:paraId="56DDEFAD" w14:textId="77777777">
            <w:pPr>
              <w:tabs>
                <w:tab w:val="left" w:pos="-720"/>
              </w:tabs>
              <w:suppressAutoHyphens/>
              <w:rPr>
                <w:rFonts w:ascii="Times New Roman" w:hAnsi="Times New Roman"/>
                <w:b/>
                <w:szCs w:val="24"/>
              </w:rPr>
            </w:pPr>
          </w:p>
        </w:tc>
        <w:tc>
          <w:tcPr>
            <w:tcW w:w="2435" w:type="dxa"/>
          </w:tcPr>
          <w:p w:rsidR="0052073E" w:rsidRPr="00842ADC" w:rsidP="002313E2" w14:paraId="56DDEFAE" w14:textId="06A19FCF">
            <w:pPr>
              <w:tabs>
                <w:tab w:val="left" w:pos="-720"/>
              </w:tabs>
              <w:suppressAutoHyphens/>
              <w:rPr>
                <w:rFonts w:ascii="Times New Roman" w:hAnsi="Times New Roman"/>
                <w:bCs/>
                <w:szCs w:val="24"/>
              </w:rPr>
            </w:pPr>
            <w:r>
              <w:rPr>
                <w:rFonts w:ascii="Times New Roman" w:hAnsi="Times New Roman"/>
                <w:bCs/>
                <w:szCs w:val="24"/>
              </w:rPr>
              <w:t>3,440</w:t>
            </w:r>
          </w:p>
        </w:tc>
        <w:tc>
          <w:tcPr>
            <w:tcW w:w="2515" w:type="dxa"/>
          </w:tcPr>
          <w:p w:rsidR="0052073E" w:rsidRPr="00F122B2" w:rsidP="002313E2" w14:paraId="56DDEFAF" w14:textId="7F4EA960">
            <w:pPr>
              <w:tabs>
                <w:tab w:val="left" w:pos="-720"/>
              </w:tabs>
              <w:suppressAutoHyphens/>
              <w:rPr>
                <w:rFonts w:ascii="Times New Roman" w:hAnsi="Times New Roman"/>
                <w:bCs/>
                <w:szCs w:val="24"/>
              </w:rPr>
            </w:pPr>
            <w:r w:rsidRPr="00F122B2">
              <w:rPr>
                <w:rFonts w:ascii="Times New Roman" w:hAnsi="Times New Roman"/>
                <w:bCs/>
                <w:szCs w:val="24"/>
              </w:rPr>
              <w:t>315</w:t>
            </w:r>
          </w:p>
        </w:tc>
      </w:tr>
      <w:tr w14:paraId="56DDEFB5" w14:textId="77777777" w:rsidTr="003C04FA">
        <w:tblPrEx>
          <w:tblW w:w="8730" w:type="dxa"/>
          <w:tblInd w:w="715" w:type="dxa"/>
          <w:tblLook w:val="04A0"/>
        </w:tblPrEx>
        <w:tc>
          <w:tcPr>
            <w:tcW w:w="1800"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1980" w:type="dxa"/>
          </w:tcPr>
          <w:p w:rsidR="0052073E" w:rsidP="002313E2" w14:paraId="56DDEFB2" w14:textId="77777777">
            <w:pPr>
              <w:tabs>
                <w:tab w:val="left" w:pos="-720"/>
              </w:tabs>
              <w:suppressAutoHyphens/>
              <w:rPr>
                <w:rFonts w:ascii="Times New Roman" w:hAnsi="Times New Roman"/>
                <w:b/>
                <w:szCs w:val="24"/>
              </w:rPr>
            </w:pPr>
          </w:p>
        </w:tc>
        <w:tc>
          <w:tcPr>
            <w:tcW w:w="2435" w:type="dxa"/>
          </w:tcPr>
          <w:p w:rsidR="0052073E" w:rsidRPr="00842ADC" w:rsidP="002313E2" w14:paraId="56DDEFB3" w14:textId="18D60103">
            <w:pPr>
              <w:tabs>
                <w:tab w:val="left" w:pos="-720"/>
              </w:tabs>
              <w:suppressAutoHyphens/>
              <w:rPr>
                <w:rFonts w:ascii="Times New Roman" w:hAnsi="Times New Roman"/>
                <w:bCs/>
                <w:szCs w:val="24"/>
              </w:rPr>
            </w:pPr>
          </w:p>
        </w:tc>
        <w:tc>
          <w:tcPr>
            <w:tcW w:w="2515" w:type="dxa"/>
          </w:tcPr>
          <w:p w:rsidR="0052073E" w:rsidRPr="00F122B2" w:rsidP="002313E2" w14:paraId="56DDEFB4" w14:textId="72A7DE69">
            <w:pPr>
              <w:tabs>
                <w:tab w:val="left" w:pos="-720"/>
              </w:tabs>
              <w:suppressAutoHyphens/>
              <w:rPr>
                <w:rFonts w:ascii="Times New Roman" w:hAnsi="Times New Roman"/>
                <w:bCs/>
                <w:szCs w:val="24"/>
              </w:rPr>
            </w:pPr>
            <w:r>
              <w:rPr>
                <w:rFonts w:ascii="Times New Roman" w:hAnsi="Times New Roman"/>
                <w:bCs/>
                <w:szCs w:val="24"/>
              </w:rPr>
              <w:t>7</w:t>
            </w:r>
          </w:p>
        </w:tc>
      </w:tr>
      <w:tr w14:paraId="56DDEFBA" w14:textId="77777777" w:rsidTr="003C04FA">
        <w:tblPrEx>
          <w:tblW w:w="8730" w:type="dxa"/>
          <w:tblInd w:w="715" w:type="dxa"/>
          <w:tblLook w:val="04A0"/>
        </w:tblPrEx>
        <w:tc>
          <w:tcPr>
            <w:tcW w:w="1800"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1980" w:type="dxa"/>
          </w:tcPr>
          <w:p w:rsidR="0052073E" w:rsidP="002313E2" w14:paraId="56DDEFB7" w14:textId="77777777">
            <w:pPr>
              <w:tabs>
                <w:tab w:val="left" w:pos="-720"/>
              </w:tabs>
              <w:suppressAutoHyphens/>
              <w:rPr>
                <w:rFonts w:ascii="Times New Roman" w:hAnsi="Times New Roman"/>
                <w:b/>
                <w:szCs w:val="24"/>
              </w:rPr>
            </w:pPr>
          </w:p>
        </w:tc>
        <w:tc>
          <w:tcPr>
            <w:tcW w:w="2435" w:type="dxa"/>
          </w:tcPr>
          <w:p w:rsidR="0052073E" w:rsidRPr="00842ADC" w:rsidP="002313E2" w14:paraId="56DDEFB8" w14:textId="0AC5204A">
            <w:pPr>
              <w:tabs>
                <w:tab w:val="left" w:pos="-720"/>
              </w:tabs>
              <w:suppressAutoHyphens/>
              <w:rPr>
                <w:rFonts w:ascii="Times New Roman" w:hAnsi="Times New Roman"/>
                <w:bCs/>
                <w:szCs w:val="24"/>
              </w:rPr>
            </w:pPr>
          </w:p>
        </w:tc>
        <w:tc>
          <w:tcPr>
            <w:tcW w:w="2515" w:type="dxa"/>
          </w:tcPr>
          <w:p w:rsidR="0052073E" w:rsidRPr="00F122B2" w:rsidP="002313E2" w14:paraId="56DDEFB9" w14:textId="2A98A051">
            <w:pPr>
              <w:tabs>
                <w:tab w:val="left" w:pos="-720"/>
              </w:tabs>
              <w:suppressAutoHyphens/>
              <w:rPr>
                <w:rFonts w:ascii="Times New Roman" w:hAnsi="Times New Roman"/>
                <w:bCs/>
                <w:szCs w:val="24"/>
              </w:rPr>
            </w:pPr>
          </w:p>
        </w:tc>
      </w:tr>
    </w:tbl>
    <w:p w:rsidR="00F27AAF" w:rsidP="002313E2" w14:paraId="56DDEFBB" w14:textId="6F5E776B">
      <w:pPr>
        <w:tabs>
          <w:tab w:val="left" w:pos="-720"/>
        </w:tabs>
        <w:suppressAutoHyphens/>
        <w:rPr>
          <w:rFonts w:ascii="Times New Roman" w:hAnsi="Times New Roman"/>
          <w:b/>
          <w:szCs w:val="24"/>
        </w:rPr>
      </w:pPr>
    </w:p>
    <w:p w:rsidR="00455261" w:rsidRPr="00455261" w:rsidP="00455261" w14:paraId="161829DA" w14:textId="206481C3">
      <w:pPr>
        <w:tabs>
          <w:tab w:val="left" w:pos="-720"/>
        </w:tabs>
        <w:suppressAutoHyphens/>
        <w:ind w:left="720"/>
        <w:rPr>
          <w:rFonts w:ascii="Times New Roman" w:hAnsi="Times New Roman"/>
          <w:szCs w:val="24"/>
        </w:rPr>
      </w:pPr>
      <w:r>
        <w:rPr>
          <w:rFonts w:ascii="Times New Roman" w:hAnsi="Times New Roman"/>
          <w:szCs w:val="24"/>
        </w:rPr>
        <w:t>The annual number of responses and annual burden hours have been updated to reflect an increase in the number of GEAR UP grantees</w:t>
      </w:r>
      <w:r w:rsidR="00F445BB">
        <w:rPr>
          <w:rFonts w:ascii="Times New Roman" w:hAnsi="Times New Roman"/>
          <w:szCs w:val="24"/>
        </w:rPr>
        <w:t xml:space="preserve">, </w:t>
      </w:r>
      <w:r w:rsidR="004D6C63">
        <w:rPr>
          <w:rFonts w:ascii="Times New Roman" w:hAnsi="Times New Roman"/>
          <w:szCs w:val="24"/>
        </w:rPr>
        <w:t>resulting in</w:t>
      </w:r>
      <w:r w:rsidR="00F445BB">
        <w:rPr>
          <w:rFonts w:ascii="Times New Roman" w:hAnsi="Times New Roman"/>
          <w:szCs w:val="24"/>
        </w:rPr>
        <w:t xml:space="preserve"> </w:t>
      </w:r>
      <w:r w:rsidR="004D6C63">
        <w:rPr>
          <w:rFonts w:ascii="Times New Roman" w:hAnsi="Times New Roman"/>
          <w:szCs w:val="24"/>
        </w:rPr>
        <w:t>7 additional responses and 315 additional hours</w:t>
      </w:r>
      <w:r>
        <w:rPr>
          <w:rFonts w:ascii="Times New Roman" w:hAnsi="Times New Roman"/>
          <w:szCs w:val="24"/>
        </w:rPr>
        <w:t>.</w:t>
      </w:r>
      <w:r w:rsidR="00842ADC">
        <w:rPr>
          <w:rFonts w:ascii="Times New Roman" w:hAnsi="Times New Roman"/>
          <w:szCs w:val="24"/>
        </w:rPr>
        <w:t xml:space="preserve"> </w:t>
      </w:r>
      <w:r w:rsidRPr="00873730" w:rsidR="00842ADC">
        <w:rPr>
          <w:rFonts w:ascii="Times New Roman" w:hAnsi="Times New Roman"/>
          <w:szCs w:val="24"/>
        </w:rPr>
        <w:t xml:space="preserve">In addition, there is a </w:t>
      </w:r>
      <w:r w:rsidR="00873730">
        <w:rPr>
          <w:rFonts w:ascii="Times New Roman" w:hAnsi="Times New Roman"/>
          <w:szCs w:val="24"/>
        </w:rPr>
        <w:t>sizable</w:t>
      </w:r>
      <w:r w:rsidRPr="00873730" w:rsidR="00842ADC">
        <w:rPr>
          <w:rFonts w:ascii="Times New Roman" w:hAnsi="Times New Roman"/>
          <w:szCs w:val="24"/>
        </w:rPr>
        <w:t xml:space="preserve"> increase in</w:t>
      </w:r>
      <w:r w:rsidRPr="00873730" w:rsidR="001D10B7">
        <w:rPr>
          <w:rFonts w:ascii="Times New Roman" w:hAnsi="Times New Roman"/>
          <w:szCs w:val="24"/>
        </w:rPr>
        <w:t xml:space="preserve"> the Final Report</w:t>
      </w:r>
      <w:r w:rsidRPr="00873730" w:rsidR="00842ADC">
        <w:rPr>
          <w:rFonts w:ascii="Times New Roman" w:hAnsi="Times New Roman"/>
          <w:szCs w:val="24"/>
        </w:rPr>
        <w:t xml:space="preserve"> total burden </w:t>
      </w:r>
      <w:r w:rsidRPr="00873730" w:rsidR="00842ADC">
        <w:rPr>
          <w:rFonts w:ascii="Times New Roman" w:hAnsi="Times New Roman"/>
          <w:szCs w:val="24"/>
        </w:rPr>
        <w:t xml:space="preserve">hours </w:t>
      </w:r>
      <w:r w:rsidR="004D6C63">
        <w:rPr>
          <w:rFonts w:ascii="Times New Roman" w:hAnsi="Times New Roman"/>
          <w:szCs w:val="24"/>
        </w:rPr>
        <w:t xml:space="preserve">(additional 3,440 hours) </w:t>
      </w:r>
      <w:r w:rsidRPr="00873730" w:rsidR="00842ADC">
        <w:rPr>
          <w:rFonts w:ascii="Times New Roman" w:hAnsi="Times New Roman"/>
          <w:szCs w:val="24"/>
        </w:rPr>
        <w:t>due</w:t>
      </w:r>
      <w:r w:rsidR="00EE26D0">
        <w:rPr>
          <w:rFonts w:ascii="Times New Roman" w:hAnsi="Times New Roman"/>
          <w:szCs w:val="24"/>
        </w:rPr>
        <w:t xml:space="preserve"> to</w:t>
      </w:r>
      <w:r w:rsidRPr="00873730" w:rsidR="00842ADC">
        <w:rPr>
          <w:rFonts w:ascii="Times New Roman" w:hAnsi="Times New Roman"/>
          <w:szCs w:val="24"/>
        </w:rPr>
        <w:t xml:space="preserve"> the addition of questions capturing data on the scholarship component that is required by statute.</w:t>
      </w:r>
    </w:p>
    <w:p w:rsidR="00534B4A" w:rsidRPr="00534B4A" w:rsidP="002313E2" w14:paraId="56DDEFBC" w14:textId="77777777">
      <w:pPr>
        <w:tabs>
          <w:tab w:val="left" w:pos="-720"/>
        </w:tabs>
        <w:suppressAutoHyphens/>
        <w:rPr>
          <w:rFonts w:ascii="Times New Roman" w:hAnsi="Times New Roman"/>
          <w:szCs w:val="24"/>
        </w:rPr>
      </w:pPr>
    </w:p>
    <w:p w:rsidR="007574CB" w:rsidP="007574CB" w14:paraId="54E048B4"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74CB" w:rsidP="007574CB" w14:paraId="18549992" w14:textId="77777777">
      <w:pPr>
        <w:pStyle w:val="ListParagraph"/>
        <w:tabs>
          <w:tab w:val="left" w:pos="-720"/>
        </w:tabs>
        <w:suppressAutoHyphens/>
        <w:ind w:left="806"/>
        <w:contextualSpacing w:val="0"/>
        <w:rPr>
          <w:rFonts w:ascii="Times New Roman" w:hAnsi="Times New Roman"/>
          <w:szCs w:val="24"/>
        </w:rPr>
      </w:pPr>
    </w:p>
    <w:p w:rsidR="007574CB" w:rsidRPr="007574CB" w:rsidP="003E695C" w14:paraId="2C924598" w14:textId="1DF9EF0D">
      <w:pPr>
        <w:pStyle w:val="ListParagraph"/>
        <w:tabs>
          <w:tab w:val="left" w:pos="-720"/>
        </w:tabs>
        <w:suppressAutoHyphens/>
        <w:contextualSpacing w:val="0"/>
        <w:rPr>
          <w:rFonts w:ascii="Times New Roman" w:hAnsi="Times New Roman"/>
          <w:b/>
          <w:szCs w:val="24"/>
        </w:rPr>
      </w:pPr>
      <w:r w:rsidRPr="007574CB">
        <w:rPr>
          <w:rFonts w:ascii="Times New Roman" w:hAnsi="Times New Roman"/>
          <w:szCs w:val="24"/>
        </w:rPr>
        <w:t>The U.S. Department of Education does not plan to publish any information from this collection.</w:t>
      </w:r>
    </w:p>
    <w:p w:rsidR="00534B4A" w:rsidRPr="00534B4A" w:rsidP="002313E2" w14:paraId="56DDEFBF" w14:textId="77777777">
      <w:pPr>
        <w:tabs>
          <w:tab w:val="left" w:pos="-720"/>
        </w:tabs>
        <w:suppressAutoHyphens/>
        <w:rPr>
          <w:rFonts w:ascii="Times New Roman" w:hAnsi="Times New Roman"/>
          <w:szCs w:val="24"/>
        </w:rPr>
      </w:pPr>
    </w:p>
    <w:p w:rsidR="007574CB" w:rsidP="007574CB" w14:paraId="6413455B" w14:textId="1485DBB2">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3E695C" w:rsidP="003E695C" w14:paraId="6E49FAD3" w14:textId="77777777">
      <w:pPr>
        <w:pStyle w:val="ListParagraph"/>
        <w:tabs>
          <w:tab w:val="left" w:pos="-720"/>
        </w:tabs>
        <w:suppressAutoHyphens/>
        <w:contextualSpacing w:val="0"/>
        <w:rPr>
          <w:rStyle w:val="a"/>
          <w:rFonts w:ascii="Times New Roman" w:hAnsi="Times New Roman"/>
          <w:b/>
          <w:szCs w:val="24"/>
        </w:rPr>
      </w:pPr>
    </w:p>
    <w:p w:rsidR="007574CB" w:rsidRPr="007574CB" w:rsidP="007574CB" w14:paraId="0B0B5CB5" w14:textId="219CA23D">
      <w:pPr>
        <w:pStyle w:val="ListParagraph"/>
        <w:tabs>
          <w:tab w:val="left" w:pos="-720"/>
        </w:tabs>
        <w:suppressAutoHyphens/>
        <w:rPr>
          <w:rFonts w:ascii="Times New Roman" w:hAnsi="Times New Roman"/>
          <w:szCs w:val="24"/>
        </w:rPr>
      </w:pPr>
      <w:r w:rsidRPr="007574CB">
        <w:rPr>
          <w:rFonts w:ascii="Times New Roman" w:hAnsi="Times New Roman"/>
          <w:szCs w:val="24"/>
        </w:rPr>
        <w:t>The U.S. Department of Education will display the expiration date for the OMB approval for this data collection.</w:t>
      </w:r>
    </w:p>
    <w:p w:rsidR="00534B4A" w:rsidRPr="00534B4A" w:rsidP="002313E2" w14:paraId="56DDEFC2" w14:textId="77777777">
      <w:pPr>
        <w:tabs>
          <w:tab w:val="left" w:pos="-720"/>
        </w:tabs>
        <w:suppressAutoHyphens/>
        <w:ind w:left="360"/>
        <w:rPr>
          <w:rFonts w:ascii="Times New Roman" w:hAnsi="Times New Roman"/>
          <w:szCs w:val="24"/>
        </w:rPr>
      </w:pPr>
    </w:p>
    <w:p w:rsidR="007574CB" w:rsidP="007574CB" w14:paraId="0E351DF5" w14:textId="2FA1C76D">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E695C" w:rsidP="003E695C" w14:paraId="6C6C5F03" w14:textId="77777777">
      <w:pPr>
        <w:pStyle w:val="ListParagraph"/>
        <w:tabs>
          <w:tab w:val="left" w:pos="-720"/>
        </w:tabs>
        <w:suppressAutoHyphens/>
        <w:rPr>
          <w:rStyle w:val="a"/>
          <w:rFonts w:ascii="Times New Roman" w:hAnsi="Times New Roman"/>
          <w:b/>
          <w:szCs w:val="24"/>
        </w:rPr>
      </w:pPr>
    </w:p>
    <w:p w:rsidR="007574CB" w:rsidRPr="007574CB" w:rsidP="007574CB" w14:paraId="1DA3BB60" w14:textId="77777777">
      <w:pPr>
        <w:pStyle w:val="ListParagraph"/>
        <w:tabs>
          <w:tab w:val="left" w:pos="-720"/>
        </w:tabs>
        <w:suppressAutoHyphens/>
        <w:rPr>
          <w:rFonts w:ascii="Times New Roman" w:hAnsi="Times New Roman"/>
          <w:szCs w:val="24"/>
        </w:rPr>
      </w:pPr>
      <w:r w:rsidRPr="007574CB">
        <w:rPr>
          <w:rFonts w:ascii="Times New Roman" w:hAnsi="Times New Roman"/>
          <w:szCs w:val="24"/>
        </w:rPr>
        <w:t>No exceptions are being requested for this information collection.</w:t>
      </w:r>
    </w:p>
    <w:p w:rsidR="007574CB" w:rsidRPr="007574CB" w:rsidP="007574CB" w14:paraId="1113C54A" w14:textId="77777777">
      <w:pPr>
        <w:tabs>
          <w:tab w:val="left" w:pos="-720"/>
        </w:tabs>
        <w:suppressAutoHyphens/>
        <w:rPr>
          <w:rFonts w:ascii="Times New Roman" w:hAnsi="Times New Roman"/>
          <w:b/>
          <w:szCs w:val="24"/>
        </w:rPr>
      </w:pPr>
    </w:p>
    <w:sectPr w:rsidSect="001B4FCB">
      <w:footerReference w:type="default" r:id="rId10"/>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5296" w:rsidP="00043C32" w14:paraId="0F3EC488" w14:textId="77777777">
      <w:r>
        <w:separator/>
      </w:r>
    </w:p>
  </w:footnote>
  <w:footnote w:type="continuationSeparator" w:id="1">
    <w:p w:rsidR="00F75296" w:rsidP="00043C32" w14:paraId="6A211808"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5940935">
    <w:abstractNumId w:val="0"/>
  </w:num>
  <w:num w:numId="2" w16cid:durableId="701712937">
    <w:abstractNumId w:val="2"/>
  </w:num>
  <w:num w:numId="3" w16cid:durableId="1195314708">
    <w:abstractNumId w:val="1"/>
  </w:num>
  <w:num w:numId="4" w16cid:durableId="845246651">
    <w:abstractNumId w:val="3"/>
  </w:num>
  <w:num w:numId="5" w16cid:durableId="1931157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0D0"/>
    <w:rsid w:val="00035ED5"/>
    <w:rsid w:val="00036379"/>
    <w:rsid w:val="00040E69"/>
    <w:rsid w:val="0004174E"/>
    <w:rsid w:val="00043C32"/>
    <w:rsid w:val="000446F5"/>
    <w:rsid w:val="00063A39"/>
    <w:rsid w:val="00082B1A"/>
    <w:rsid w:val="00093017"/>
    <w:rsid w:val="000C5721"/>
    <w:rsid w:val="000C6F0E"/>
    <w:rsid w:val="000E004B"/>
    <w:rsid w:val="000F42AE"/>
    <w:rsid w:val="00104E84"/>
    <w:rsid w:val="001824F3"/>
    <w:rsid w:val="001A6AE0"/>
    <w:rsid w:val="001B4FCB"/>
    <w:rsid w:val="001C73C0"/>
    <w:rsid w:val="001D10B7"/>
    <w:rsid w:val="001E79BD"/>
    <w:rsid w:val="001F4853"/>
    <w:rsid w:val="00221318"/>
    <w:rsid w:val="002225CC"/>
    <w:rsid w:val="00224A3B"/>
    <w:rsid w:val="002313E2"/>
    <w:rsid w:val="00240A39"/>
    <w:rsid w:val="00246FE9"/>
    <w:rsid w:val="00250100"/>
    <w:rsid w:val="00262A69"/>
    <w:rsid w:val="00270AF7"/>
    <w:rsid w:val="00280BFB"/>
    <w:rsid w:val="002A3221"/>
    <w:rsid w:val="002C3520"/>
    <w:rsid w:val="002E14E0"/>
    <w:rsid w:val="002F0981"/>
    <w:rsid w:val="002F55E5"/>
    <w:rsid w:val="00315B3E"/>
    <w:rsid w:val="0032078A"/>
    <w:rsid w:val="0032539E"/>
    <w:rsid w:val="0033036B"/>
    <w:rsid w:val="00332790"/>
    <w:rsid w:val="003330A0"/>
    <w:rsid w:val="00386054"/>
    <w:rsid w:val="003860E4"/>
    <w:rsid w:val="003B1545"/>
    <w:rsid w:val="003B5FCE"/>
    <w:rsid w:val="003C04FA"/>
    <w:rsid w:val="003D0455"/>
    <w:rsid w:val="003E695C"/>
    <w:rsid w:val="003F0326"/>
    <w:rsid w:val="004064A7"/>
    <w:rsid w:val="00412915"/>
    <w:rsid w:val="00417DF2"/>
    <w:rsid w:val="004208F0"/>
    <w:rsid w:val="00440B83"/>
    <w:rsid w:val="004415BA"/>
    <w:rsid w:val="00442E07"/>
    <w:rsid w:val="004433AD"/>
    <w:rsid w:val="004444CE"/>
    <w:rsid w:val="0044672B"/>
    <w:rsid w:val="00455261"/>
    <w:rsid w:val="00485217"/>
    <w:rsid w:val="00485957"/>
    <w:rsid w:val="004A176A"/>
    <w:rsid w:val="004A60E0"/>
    <w:rsid w:val="004B06A3"/>
    <w:rsid w:val="004B70F3"/>
    <w:rsid w:val="004D6C63"/>
    <w:rsid w:val="004E33BE"/>
    <w:rsid w:val="00515107"/>
    <w:rsid w:val="0052073E"/>
    <w:rsid w:val="005254E1"/>
    <w:rsid w:val="00531B86"/>
    <w:rsid w:val="00534B4A"/>
    <w:rsid w:val="005509B6"/>
    <w:rsid w:val="00563D03"/>
    <w:rsid w:val="00575DDA"/>
    <w:rsid w:val="00576918"/>
    <w:rsid w:val="00581C11"/>
    <w:rsid w:val="005A2C2A"/>
    <w:rsid w:val="005A5270"/>
    <w:rsid w:val="005E11A9"/>
    <w:rsid w:val="005F00B8"/>
    <w:rsid w:val="006034EA"/>
    <w:rsid w:val="00626206"/>
    <w:rsid w:val="00641ED8"/>
    <w:rsid w:val="0064498A"/>
    <w:rsid w:val="0067351D"/>
    <w:rsid w:val="00676195"/>
    <w:rsid w:val="0068567A"/>
    <w:rsid w:val="00691E7C"/>
    <w:rsid w:val="006A292A"/>
    <w:rsid w:val="006A38F7"/>
    <w:rsid w:val="006A4EBB"/>
    <w:rsid w:val="006B4172"/>
    <w:rsid w:val="006C0140"/>
    <w:rsid w:val="006E7E97"/>
    <w:rsid w:val="00713B69"/>
    <w:rsid w:val="00725945"/>
    <w:rsid w:val="00753131"/>
    <w:rsid w:val="00755D99"/>
    <w:rsid w:val="00756FD3"/>
    <w:rsid w:val="007574CB"/>
    <w:rsid w:val="00765392"/>
    <w:rsid w:val="00790E3E"/>
    <w:rsid w:val="007B5007"/>
    <w:rsid w:val="007B700E"/>
    <w:rsid w:val="007C0A4C"/>
    <w:rsid w:val="007C1BF8"/>
    <w:rsid w:val="007C63A0"/>
    <w:rsid w:val="007F6104"/>
    <w:rsid w:val="00800D30"/>
    <w:rsid w:val="00807D1A"/>
    <w:rsid w:val="00812233"/>
    <w:rsid w:val="00826498"/>
    <w:rsid w:val="00826717"/>
    <w:rsid w:val="00842ADC"/>
    <w:rsid w:val="008555CD"/>
    <w:rsid w:val="00860E11"/>
    <w:rsid w:val="00872BDE"/>
    <w:rsid w:val="00873730"/>
    <w:rsid w:val="00874EFE"/>
    <w:rsid w:val="00882126"/>
    <w:rsid w:val="008822DB"/>
    <w:rsid w:val="008933F1"/>
    <w:rsid w:val="008B1BA6"/>
    <w:rsid w:val="008B38EB"/>
    <w:rsid w:val="008B65AE"/>
    <w:rsid w:val="008D0601"/>
    <w:rsid w:val="008D1F11"/>
    <w:rsid w:val="008E2B61"/>
    <w:rsid w:val="008E5919"/>
    <w:rsid w:val="00905951"/>
    <w:rsid w:val="00912D2C"/>
    <w:rsid w:val="00912F5A"/>
    <w:rsid w:val="00916EE4"/>
    <w:rsid w:val="009173A5"/>
    <w:rsid w:val="00920F63"/>
    <w:rsid w:val="009243F3"/>
    <w:rsid w:val="00926D57"/>
    <w:rsid w:val="0093366B"/>
    <w:rsid w:val="00934185"/>
    <w:rsid w:val="00946126"/>
    <w:rsid w:val="00947BCB"/>
    <w:rsid w:val="0095041F"/>
    <w:rsid w:val="00952DF9"/>
    <w:rsid w:val="0095421D"/>
    <w:rsid w:val="00960C86"/>
    <w:rsid w:val="009767AF"/>
    <w:rsid w:val="00981F58"/>
    <w:rsid w:val="00986D0A"/>
    <w:rsid w:val="009B08F9"/>
    <w:rsid w:val="009B25AC"/>
    <w:rsid w:val="009E3E86"/>
    <w:rsid w:val="00A06788"/>
    <w:rsid w:val="00A118A2"/>
    <w:rsid w:val="00A14459"/>
    <w:rsid w:val="00A160DB"/>
    <w:rsid w:val="00A23F26"/>
    <w:rsid w:val="00A4001C"/>
    <w:rsid w:val="00A40AAB"/>
    <w:rsid w:val="00A46D01"/>
    <w:rsid w:val="00A53508"/>
    <w:rsid w:val="00A70816"/>
    <w:rsid w:val="00A73590"/>
    <w:rsid w:val="00A7636D"/>
    <w:rsid w:val="00A9138E"/>
    <w:rsid w:val="00A97511"/>
    <w:rsid w:val="00AC1C89"/>
    <w:rsid w:val="00AC233B"/>
    <w:rsid w:val="00AC3695"/>
    <w:rsid w:val="00AC71B4"/>
    <w:rsid w:val="00AD381B"/>
    <w:rsid w:val="00AE512F"/>
    <w:rsid w:val="00AF5B5B"/>
    <w:rsid w:val="00AF5D1A"/>
    <w:rsid w:val="00B017F9"/>
    <w:rsid w:val="00B07213"/>
    <w:rsid w:val="00B10A05"/>
    <w:rsid w:val="00B16F6F"/>
    <w:rsid w:val="00B54167"/>
    <w:rsid w:val="00B623A1"/>
    <w:rsid w:val="00B62E06"/>
    <w:rsid w:val="00B64B1D"/>
    <w:rsid w:val="00B9671B"/>
    <w:rsid w:val="00BA1D31"/>
    <w:rsid w:val="00BC2CBD"/>
    <w:rsid w:val="00BD1333"/>
    <w:rsid w:val="00BF4273"/>
    <w:rsid w:val="00C14FEC"/>
    <w:rsid w:val="00C164D3"/>
    <w:rsid w:val="00C20670"/>
    <w:rsid w:val="00C224FD"/>
    <w:rsid w:val="00C413A6"/>
    <w:rsid w:val="00C835CC"/>
    <w:rsid w:val="00C86713"/>
    <w:rsid w:val="00C875E8"/>
    <w:rsid w:val="00C92035"/>
    <w:rsid w:val="00CA5320"/>
    <w:rsid w:val="00CA7CDE"/>
    <w:rsid w:val="00CB003C"/>
    <w:rsid w:val="00CC2A72"/>
    <w:rsid w:val="00CC3FB5"/>
    <w:rsid w:val="00CD2067"/>
    <w:rsid w:val="00CD47BC"/>
    <w:rsid w:val="00CF0B3E"/>
    <w:rsid w:val="00D03732"/>
    <w:rsid w:val="00D04E48"/>
    <w:rsid w:val="00D34984"/>
    <w:rsid w:val="00D36C35"/>
    <w:rsid w:val="00D47959"/>
    <w:rsid w:val="00D75313"/>
    <w:rsid w:val="00D8141D"/>
    <w:rsid w:val="00DE4AEE"/>
    <w:rsid w:val="00E16654"/>
    <w:rsid w:val="00E16ACD"/>
    <w:rsid w:val="00E17134"/>
    <w:rsid w:val="00E25EBC"/>
    <w:rsid w:val="00E609AA"/>
    <w:rsid w:val="00E66550"/>
    <w:rsid w:val="00E877BF"/>
    <w:rsid w:val="00EA1767"/>
    <w:rsid w:val="00EB0929"/>
    <w:rsid w:val="00EB0FA5"/>
    <w:rsid w:val="00EC01DD"/>
    <w:rsid w:val="00EC35E3"/>
    <w:rsid w:val="00ED7195"/>
    <w:rsid w:val="00EE26D0"/>
    <w:rsid w:val="00EE6677"/>
    <w:rsid w:val="00F0414F"/>
    <w:rsid w:val="00F05807"/>
    <w:rsid w:val="00F070F3"/>
    <w:rsid w:val="00F122B2"/>
    <w:rsid w:val="00F27AAF"/>
    <w:rsid w:val="00F31BEC"/>
    <w:rsid w:val="00F445BB"/>
    <w:rsid w:val="00F5782B"/>
    <w:rsid w:val="00F73131"/>
    <w:rsid w:val="00F75296"/>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4433AD"/>
    <w:rPr>
      <w:rFonts w:ascii="Courier" w:hAnsi="Courier"/>
      <w:sz w:val="24"/>
    </w:rPr>
  </w:style>
  <w:style w:type="paragraph" w:styleId="NoSpacing">
    <w:name w:val="No Spacing"/>
    <w:uiPriority w:val="1"/>
    <w:qFormat/>
    <w:rsid w:val="005E11A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2023-11-15T19:05:00Z</dcterms:created>
  <dcterms:modified xsi:type="dcterms:W3CDTF">2023-11-15T19:05:00Z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