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AD381B" w14:paraId="0A8B9DAD" w14:textId="00486422">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1F663A">
        <w:rPr>
          <w:rFonts w:ascii="Times New Roman" w:hAnsi="Times New Roman"/>
          <w:szCs w:val="24"/>
        </w:rPr>
        <w:t>1840-</w:t>
      </w:r>
      <w:r w:rsidR="00CE2E11">
        <w:rPr>
          <w:rFonts w:ascii="Times New Roman" w:hAnsi="Times New Roman"/>
          <w:szCs w:val="24"/>
        </w:rPr>
        <w:t>0792</w:t>
      </w:r>
    </w:p>
    <w:p w:rsidR="00EA1767" w:rsidRPr="00AD381B" w:rsidP="006B4172" w14:paraId="292CB504" w14:textId="77777777">
      <w:pPr>
        <w:pStyle w:val="Header"/>
        <w:rPr>
          <w:rFonts w:ascii="Times New Roman" w:hAnsi="Times New Roman"/>
          <w:color w:val="FFFFFF" w:themeColor="background1"/>
          <w:szCs w:val="24"/>
        </w:rPr>
      </w:pPr>
      <w:r w:rsidRPr="00C875E8">
        <w:rPr>
          <w:rFonts w:ascii="Times New Roman" w:hAnsi="Times New Roman"/>
          <w:szCs w:val="24"/>
        </w:rPr>
        <w:t>Revised: XX/XX/XXXX</w:t>
      </w:r>
    </w:p>
    <w:p w:rsidR="00043C32" w:rsidRPr="00AD381B" w:rsidP="00AD381B" w14:paraId="332912A7" w14:textId="77777777">
      <w:pPr>
        <w:pStyle w:val="Heading1"/>
        <w:rPr>
          <w:sz w:val="24"/>
          <w:szCs w:val="24"/>
        </w:rPr>
      </w:pPr>
      <w:r w:rsidRPr="00AD381B">
        <w:rPr>
          <w:sz w:val="24"/>
          <w:szCs w:val="24"/>
        </w:rPr>
        <w:t>SUPPORTING STATEMENT</w:t>
      </w:r>
    </w:p>
    <w:p w:rsidR="00043C32" w:rsidRPr="00AD381B" w:rsidP="00AD381B" w14:paraId="49BD4CFC" w14:textId="77777777">
      <w:pPr>
        <w:pStyle w:val="Heading1"/>
        <w:rPr>
          <w:sz w:val="24"/>
          <w:szCs w:val="24"/>
        </w:rPr>
      </w:pPr>
      <w:r w:rsidRPr="00AD381B">
        <w:rPr>
          <w:sz w:val="24"/>
          <w:szCs w:val="24"/>
        </w:rPr>
        <w:t>FOR PAPERWORK REDUCTION ACT SUBMISSION</w:t>
      </w:r>
    </w:p>
    <w:p w:rsidR="00043C32" w:rsidRPr="00AD381B" w:rsidP="00AD381B" w14:paraId="7E3F41D9" w14:textId="77777777">
      <w:pPr>
        <w:tabs>
          <w:tab w:val="left" w:pos="0"/>
        </w:tabs>
        <w:suppressAutoHyphens/>
        <w:rPr>
          <w:rFonts w:ascii="Times New Roman" w:hAnsi="Times New Roman"/>
          <w:szCs w:val="24"/>
        </w:rPr>
      </w:pPr>
    </w:p>
    <w:p w:rsidR="00EA1767" w:rsidP="00AD381B" w14:paraId="5BCE2E06" w14:textId="7CB43FCD">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71202F" w:rsidP="0071202F" w14:paraId="2A008B6B" w14:textId="71F149BB">
      <w:pPr>
        <w:pStyle w:val="ListParagraph"/>
        <w:suppressAutoHyphens/>
        <w:spacing w:line="240" w:lineRule="exact"/>
        <w:contextualSpacing w:val="0"/>
        <w:rPr>
          <w:rFonts w:ascii="Times New Roman" w:hAnsi="Times New Roman"/>
          <w:b/>
          <w:szCs w:val="24"/>
        </w:rPr>
      </w:pPr>
    </w:p>
    <w:p w:rsidR="0071202F" w:rsidRPr="0071202F" w:rsidP="0071202F" w14:paraId="1E4345EA" w14:textId="77777777">
      <w:pPr>
        <w:spacing w:after="100" w:afterAutospacing="1"/>
        <w:ind w:left="720"/>
        <w:rPr>
          <w:rFonts w:ascii="Times New Roman" w:hAnsi="Times New Roman"/>
          <w:bCs/>
        </w:rPr>
      </w:pPr>
      <w:r w:rsidRPr="0071202F">
        <w:rPr>
          <w:rFonts w:ascii="Times New Roman" w:hAnsi="Times New Roman"/>
          <w:bCs/>
        </w:rPr>
        <w:t>The purpose of Section 102(b)(6) of the Mutual Educational and Cultural Exchange Act of 1961 (Fulbright-Hays Act) is to promote and develop modern foreign language training and area studies throughout the educational structure of the United States.  To help accomplish this objective, the Fulbright-Hays Group Projects Abroad Program is designed to contribute to the development and improvement of the study of modern foreign languages and area studies in the United States by providing opportunities for teachers, students, and faculty to study in foreign countries.</w:t>
      </w:r>
    </w:p>
    <w:p w:rsidR="0071202F" w:rsidRPr="0071202F" w:rsidP="0071202F" w14:paraId="15DDD304" w14:textId="085056E0">
      <w:pPr>
        <w:spacing w:after="100" w:afterAutospacing="1"/>
        <w:ind w:left="720"/>
        <w:rPr>
          <w:rFonts w:ascii="Times New Roman" w:hAnsi="Times New Roman"/>
          <w:bCs/>
          <w:highlight w:val="yellow"/>
        </w:rPr>
      </w:pPr>
      <w:r w:rsidRPr="0071202F">
        <w:rPr>
          <w:rFonts w:ascii="Times New Roman" w:hAnsi="Times New Roman"/>
          <w:bCs/>
        </w:rPr>
        <w:t>Under the Fulbright-Hays Group Projects Abroad (GPA) program, the Secretary awards grants to eligible institutions, departments, and organizations to conduct overseas group projects in research, training, and curriculum development.  These institutions administer the program in cooperation with the US Department of Education (US/ED) as provided under the authority of Sections 102(b)(6) and 104(e)(1) of the Mutual Educational and Cultural Exchange Act of 1961, 34 CFR Parts 662, the Policy Statements of the J. William Fulbright Foreign Scholarship Board (FSB), and the Education Department General Administrative Regulations (EDGAR).</w:t>
      </w:r>
      <w:r w:rsidRPr="0071202F">
        <w:rPr>
          <w:rFonts w:ascii="Times New Roman" w:hAnsi="Times New Roman"/>
          <w:bCs/>
          <w:highlight w:val="yellow"/>
        </w:rPr>
        <w:t xml:space="preserve">  </w:t>
      </w:r>
    </w:p>
    <w:p w:rsidR="00607BE3" w:rsidP="003E34BB" w14:paraId="04BD0D4A" w14:textId="72068D64">
      <w:pPr>
        <w:ind w:left="720"/>
        <w:rPr>
          <w:rFonts w:ascii="Times New Roman" w:hAnsi="Times New Roman"/>
        </w:rPr>
      </w:pPr>
      <w:r w:rsidRPr="004B5264">
        <w:rPr>
          <w:rFonts w:ascii="Times New Roman" w:hAnsi="Times New Roman"/>
          <w:bCs/>
          <w:szCs w:val="24"/>
        </w:rPr>
        <w:t xml:space="preserve">This </w:t>
      </w:r>
      <w:r>
        <w:rPr>
          <w:rFonts w:ascii="Times New Roman" w:hAnsi="Times New Roman"/>
          <w:bCs/>
          <w:szCs w:val="24"/>
        </w:rPr>
        <w:t xml:space="preserve">is </w:t>
      </w:r>
      <w:r w:rsidR="00753803">
        <w:rPr>
          <w:rFonts w:ascii="Times New Roman" w:hAnsi="Times New Roman"/>
          <w:bCs/>
          <w:szCs w:val="24"/>
        </w:rPr>
        <w:t xml:space="preserve">a </w:t>
      </w:r>
      <w:r>
        <w:rPr>
          <w:rFonts w:ascii="Times New Roman" w:hAnsi="Times New Roman"/>
          <w:bCs/>
          <w:szCs w:val="24"/>
        </w:rPr>
        <w:t xml:space="preserve">revision </w:t>
      </w:r>
      <w:r w:rsidR="00A45C61">
        <w:rPr>
          <w:rFonts w:ascii="Times New Roman" w:hAnsi="Times New Roman"/>
          <w:bCs/>
          <w:szCs w:val="24"/>
        </w:rPr>
        <w:t>t</w:t>
      </w:r>
      <w:r w:rsidR="00753803">
        <w:rPr>
          <w:rFonts w:ascii="Times New Roman" w:hAnsi="Times New Roman"/>
          <w:bCs/>
          <w:szCs w:val="24"/>
        </w:rPr>
        <w:t>o an existing collection</w:t>
      </w:r>
      <w:r w:rsidR="00FA19C0">
        <w:rPr>
          <w:rFonts w:ascii="Times New Roman" w:hAnsi="Times New Roman"/>
          <w:bCs/>
          <w:szCs w:val="24"/>
        </w:rPr>
        <w:t>, an application for gra</w:t>
      </w:r>
      <w:r w:rsidR="00264547">
        <w:rPr>
          <w:rFonts w:ascii="Times New Roman" w:hAnsi="Times New Roman"/>
          <w:bCs/>
          <w:szCs w:val="24"/>
        </w:rPr>
        <w:t>nts</w:t>
      </w:r>
      <w:r w:rsidR="00753803">
        <w:rPr>
          <w:rFonts w:ascii="Times New Roman" w:hAnsi="Times New Roman"/>
          <w:bCs/>
          <w:szCs w:val="24"/>
        </w:rPr>
        <w:t xml:space="preserve">.  </w:t>
      </w:r>
      <w:r w:rsidR="008509F1">
        <w:rPr>
          <w:rFonts w:ascii="Times New Roman" w:hAnsi="Times New Roman"/>
          <w:bCs/>
          <w:szCs w:val="24"/>
        </w:rPr>
        <w:t xml:space="preserve">ED/IFLE is removing </w:t>
      </w:r>
      <w:r w:rsidR="000927F2">
        <w:rPr>
          <w:rFonts w:ascii="Times New Roman" w:hAnsi="Times New Roman"/>
          <w:bCs/>
          <w:szCs w:val="24"/>
        </w:rPr>
        <w:t>Competitive Preference Priority 6</w:t>
      </w:r>
      <w:r w:rsidR="00A7586A">
        <w:rPr>
          <w:rFonts w:ascii="Times New Roman" w:hAnsi="Times New Roman"/>
          <w:bCs/>
          <w:szCs w:val="24"/>
        </w:rPr>
        <w:t>: Thematic Focus on Ukraine or A</w:t>
      </w:r>
      <w:r w:rsidR="003F12B7">
        <w:rPr>
          <w:rFonts w:ascii="Times New Roman" w:hAnsi="Times New Roman"/>
          <w:bCs/>
          <w:szCs w:val="24"/>
        </w:rPr>
        <w:t>f</w:t>
      </w:r>
      <w:r w:rsidR="00A7586A">
        <w:rPr>
          <w:rFonts w:ascii="Times New Roman" w:hAnsi="Times New Roman"/>
          <w:bCs/>
          <w:szCs w:val="24"/>
        </w:rPr>
        <w:t>ghanistan</w:t>
      </w:r>
      <w:r w:rsidR="009F19E4">
        <w:rPr>
          <w:rFonts w:ascii="Times New Roman" w:hAnsi="Times New Roman"/>
          <w:bCs/>
          <w:szCs w:val="24"/>
        </w:rPr>
        <w:t xml:space="preserve"> because </w:t>
      </w:r>
      <w:r w:rsidRPr="00607BE3">
        <w:rPr>
          <w:rFonts w:ascii="Times New Roman" w:hAnsi="Times New Roman"/>
        </w:rPr>
        <w:t>only 1 applicant out of 43 applications for FY</w:t>
      </w:r>
      <w:r w:rsidR="009F19E4">
        <w:rPr>
          <w:rFonts w:ascii="Times New Roman" w:hAnsi="Times New Roman"/>
        </w:rPr>
        <w:t xml:space="preserve"> </w:t>
      </w:r>
      <w:r w:rsidRPr="00607BE3">
        <w:rPr>
          <w:rFonts w:ascii="Times New Roman" w:hAnsi="Times New Roman"/>
        </w:rPr>
        <w:t xml:space="preserve">2023 applied for the priority. This applicant was not eligible for the points. No applications received points for this priority. </w:t>
      </w:r>
      <w:r w:rsidR="004649DA">
        <w:rPr>
          <w:rFonts w:ascii="Times New Roman" w:hAnsi="Times New Roman"/>
        </w:rPr>
        <w:t xml:space="preserve">This revision will have no </w:t>
      </w:r>
      <w:r w:rsidR="006F573E">
        <w:rPr>
          <w:rFonts w:ascii="Times New Roman" w:hAnsi="Times New Roman"/>
        </w:rPr>
        <w:t>affect</w:t>
      </w:r>
      <w:r w:rsidR="006F573E">
        <w:rPr>
          <w:rFonts w:ascii="Times New Roman" w:hAnsi="Times New Roman"/>
        </w:rPr>
        <w:t xml:space="preserve"> on hour or cost burden.</w:t>
      </w:r>
      <w:r w:rsidRPr="00607BE3">
        <w:rPr>
          <w:rFonts w:ascii="Times New Roman" w:hAnsi="Times New Roman"/>
        </w:rPr>
        <w:t> </w:t>
      </w:r>
    </w:p>
    <w:p w:rsidR="00264547" w:rsidP="006F573E" w14:paraId="2884BBAD" w14:textId="77777777">
      <w:pPr>
        <w:ind w:left="720"/>
        <w:rPr>
          <w:rFonts w:ascii="Times New Roman" w:hAnsi="Times New Roman"/>
        </w:rPr>
      </w:pPr>
    </w:p>
    <w:p w:rsidR="0071202F" w:rsidRPr="004B5264" w:rsidP="00264B5E" w14:paraId="50A67E2C" w14:textId="15F07803">
      <w:pPr>
        <w:ind w:left="720"/>
        <w:rPr>
          <w:rFonts w:ascii="Times New Roman" w:hAnsi="Times New Roman"/>
          <w:bCs/>
          <w:szCs w:val="24"/>
        </w:rPr>
      </w:pPr>
      <w:r w:rsidRPr="00805C99">
        <w:rPr>
          <w:rFonts w:ascii="Times New Roman" w:hAnsi="Times New Roman"/>
        </w:rPr>
        <w:t>This discretionary grant falls under the Streamlined Clearance Process for Discretionary Grant Information Collections, 1894-000</w:t>
      </w:r>
      <w:r w:rsidR="00903F5A">
        <w:rPr>
          <w:rFonts w:ascii="Times New Roman" w:hAnsi="Times New Roman"/>
        </w:rPr>
        <w:t xml:space="preserve">1, </w:t>
      </w:r>
      <w:r w:rsidRPr="00264B5E" w:rsidR="00264B5E">
        <w:rPr>
          <w:rFonts w:ascii="Times New Roman" w:hAnsi="Times New Roman"/>
        </w:rPr>
        <w:t>which waives the 60-day comment period.</w:t>
      </w:r>
    </w:p>
    <w:p w:rsidR="00AD381B" w:rsidP="00AD381B" w14:paraId="0FC87054" w14:textId="77777777">
      <w:pPr>
        <w:pStyle w:val="ListParagraph"/>
        <w:suppressAutoHyphens/>
        <w:spacing w:line="240" w:lineRule="exact"/>
        <w:rPr>
          <w:rFonts w:ascii="Times New Roman" w:hAnsi="Times New Roman"/>
          <w:szCs w:val="24"/>
        </w:rPr>
      </w:pPr>
    </w:p>
    <w:p w:rsidR="00AD381B" w:rsidRPr="00AD381B" w:rsidP="00AD381B" w14:paraId="1789F952" w14:textId="77777777">
      <w:pPr>
        <w:pStyle w:val="ListParagraph"/>
        <w:suppressAutoHyphens/>
        <w:spacing w:line="240" w:lineRule="exact"/>
        <w:contextualSpacing w:val="0"/>
        <w:rPr>
          <w:rFonts w:ascii="Times New Roman" w:hAnsi="Times New Roman"/>
          <w:szCs w:val="24"/>
        </w:rPr>
      </w:pPr>
    </w:p>
    <w:p w:rsidR="004E0D85" w:rsidRPr="004E0D85" w:rsidP="004E0D85" w14:paraId="136FAE01" w14:textId="77777777">
      <w:pPr>
        <w:numPr>
          <w:ilvl w:val="0"/>
          <w:numId w:val="4"/>
        </w:numPr>
        <w:suppressAutoHyphens/>
        <w:spacing w:line="240" w:lineRule="exact"/>
        <w:rPr>
          <w:rFonts w:ascii="Times New Roman" w:hAnsi="Times New Roman"/>
          <w:b/>
          <w:szCs w:val="24"/>
        </w:rPr>
      </w:pPr>
      <w:r w:rsidRPr="004E0D85">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80623" w:rsidP="00A80623" w14:paraId="0B2EDFF6" w14:textId="571FA1CF">
      <w:pPr>
        <w:suppressAutoHyphens/>
        <w:spacing w:line="240" w:lineRule="exact"/>
        <w:rPr>
          <w:rFonts w:ascii="Times New Roman" w:hAnsi="Times New Roman"/>
          <w:szCs w:val="24"/>
        </w:rPr>
      </w:pPr>
    </w:p>
    <w:p w:rsidR="00A80623" w:rsidRPr="00A80623" w:rsidP="003E34BB" w14:paraId="37C247A3" w14:textId="004F554F">
      <w:pPr>
        <w:suppressAutoHyphens/>
        <w:ind w:left="720"/>
        <w:rPr>
          <w:rFonts w:ascii="Times New Roman" w:hAnsi="Times New Roman"/>
          <w:szCs w:val="24"/>
        </w:rPr>
      </w:pPr>
      <w:r w:rsidRPr="00A7361F">
        <w:rPr>
          <w:rFonts w:ascii="Times New Roman" w:hAnsi="Times New Roman"/>
          <w:szCs w:val="24"/>
        </w:rPr>
        <w:t>Eligible institutions of higher education, nonprofit educational organizations, and public and private nonprofit organizations use the information to develop and submit grant applications to the Department of Education (</w:t>
      </w:r>
      <w:r>
        <w:rPr>
          <w:rFonts w:ascii="Times New Roman" w:hAnsi="Times New Roman"/>
          <w:szCs w:val="24"/>
        </w:rPr>
        <w:t>the Department</w:t>
      </w:r>
      <w:r w:rsidRPr="00A7361F">
        <w:rPr>
          <w:rFonts w:ascii="Times New Roman" w:hAnsi="Times New Roman"/>
          <w:szCs w:val="24"/>
        </w:rPr>
        <w:t xml:space="preserve">).  After grant applications </w:t>
      </w:r>
      <w:r w:rsidRPr="00A7361F">
        <w:rPr>
          <w:rFonts w:ascii="Times New Roman" w:hAnsi="Times New Roman"/>
          <w:szCs w:val="24"/>
        </w:rPr>
        <w:t>are submitted, the Department determines the budgetary and human resources it needs to conduct competitions. Expert review panels use the information to identify</w:t>
      </w:r>
      <w:r>
        <w:rPr>
          <w:rFonts w:ascii="Times New Roman" w:hAnsi="Times New Roman"/>
          <w:szCs w:val="24"/>
        </w:rPr>
        <w:t xml:space="preserve"> high-quality applicants.  The Department </w:t>
      </w:r>
      <w:r w:rsidRPr="00A7361F">
        <w:rPr>
          <w:rFonts w:ascii="Times New Roman" w:hAnsi="Times New Roman"/>
          <w:szCs w:val="24"/>
        </w:rPr>
        <w:t xml:space="preserve">program officials and senior management consider the feedback from the expert review panels, in conjunction with the programs’ legislative purposes, when making funding recommendations.  The data are also used by US Embassies and the Fulbright Scholarship Board to determine the suitability of the project, political </w:t>
      </w:r>
      <w:r w:rsidRPr="00A7361F">
        <w:rPr>
          <w:rFonts w:ascii="Times New Roman" w:hAnsi="Times New Roman"/>
          <w:szCs w:val="24"/>
        </w:rPr>
        <w:t>sensitivity</w:t>
      </w:r>
      <w:r w:rsidRPr="00A7361F">
        <w:rPr>
          <w:rFonts w:ascii="Times New Roman" w:hAnsi="Times New Roman"/>
          <w:szCs w:val="24"/>
        </w:rPr>
        <w:t xml:space="preserve"> and feasibility of the project in terms of the host country reaction, political climate and the adequac</w:t>
      </w:r>
      <w:r>
        <w:rPr>
          <w:rFonts w:ascii="Times New Roman" w:hAnsi="Times New Roman"/>
          <w:szCs w:val="24"/>
        </w:rPr>
        <w:t xml:space="preserve">y of the proposed budget.  The Department </w:t>
      </w:r>
      <w:r w:rsidRPr="00A7361F">
        <w:rPr>
          <w:rFonts w:ascii="Times New Roman" w:hAnsi="Times New Roman"/>
          <w:szCs w:val="24"/>
        </w:rPr>
        <w:t>also uses the information collection to develop monitoring plans, to inform strategic planning, and to align program assessment standards with Department performance goals and initiatives.</w:t>
      </w:r>
    </w:p>
    <w:p w:rsidR="00AD381B" w:rsidP="00AD381B" w14:paraId="48C2A24A" w14:textId="77777777">
      <w:pPr>
        <w:suppressAutoHyphens/>
        <w:spacing w:line="240" w:lineRule="exact"/>
        <w:rPr>
          <w:rFonts w:ascii="Times New Roman" w:hAnsi="Times New Roman"/>
          <w:szCs w:val="24"/>
        </w:rPr>
      </w:pPr>
    </w:p>
    <w:p w:rsidR="00043C32" w:rsidRPr="00AD381B" w:rsidP="00AD381B" w14:paraId="6DD8BBBC" w14:textId="77777777">
      <w:pPr>
        <w:suppressAutoHyphens/>
        <w:spacing w:line="240" w:lineRule="exact"/>
        <w:rPr>
          <w:rFonts w:ascii="Times New Roman" w:hAnsi="Times New Roman"/>
          <w:szCs w:val="24"/>
        </w:rPr>
      </w:pPr>
    </w:p>
    <w:p w:rsidR="006C17EC" w:rsidRPr="006C17EC" w:rsidP="006C17EC" w14:paraId="48246B1B" w14:textId="77777777">
      <w:pPr>
        <w:numPr>
          <w:ilvl w:val="0"/>
          <w:numId w:val="4"/>
        </w:numPr>
        <w:tabs>
          <w:tab w:val="left" w:pos="-720"/>
        </w:tabs>
        <w:suppressAutoHyphens/>
        <w:rPr>
          <w:rFonts w:ascii="Times New Roman" w:hAnsi="Times New Roman"/>
          <w:b/>
          <w:szCs w:val="24"/>
        </w:rPr>
      </w:pPr>
      <w:r w:rsidRPr="006C17EC">
        <w:rPr>
          <w:rFonts w:ascii="Times New Roman" w:hAnsi="Times New Roman"/>
          <w:b/>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3814E1" w:rsidP="003814E1" w14:paraId="0601B710" w14:textId="3770FE25">
      <w:pPr>
        <w:tabs>
          <w:tab w:val="left" w:pos="-720"/>
        </w:tabs>
        <w:suppressAutoHyphens/>
        <w:rPr>
          <w:rFonts w:ascii="Times New Roman" w:hAnsi="Times New Roman"/>
          <w:b/>
          <w:szCs w:val="24"/>
        </w:rPr>
      </w:pPr>
    </w:p>
    <w:p w:rsidR="003E6AF1" w:rsidRPr="00D25EB4" w:rsidP="003E6AF1" w14:paraId="7E278537" w14:textId="77777777">
      <w:pPr>
        <w:pStyle w:val="ListParagraph"/>
        <w:spacing w:after="960"/>
        <w:rPr>
          <w:rFonts w:ascii="Times New Roman" w:hAnsi="Times New Roman"/>
          <w:szCs w:val="24"/>
        </w:rPr>
      </w:pPr>
      <w:r w:rsidRPr="00D25EB4">
        <w:rPr>
          <w:rFonts w:ascii="Times New Roman" w:hAnsi="Times New Roman"/>
          <w:szCs w:val="24"/>
        </w:rPr>
        <w:t>The information collection requires applicants for grants under the GPA program to</w:t>
      </w:r>
      <w:r>
        <w:rPr>
          <w:rFonts w:ascii="Times New Roman" w:hAnsi="Times New Roman"/>
          <w:szCs w:val="24"/>
        </w:rPr>
        <w:t xml:space="preserve"> </w:t>
      </w:r>
      <w:r w:rsidRPr="00D25EB4">
        <w:rPr>
          <w:rFonts w:ascii="Times New Roman" w:hAnsi="Times New Roman"/>
          <w:szCs w:val="24"/>
        </w:rPr>
        <w:t>submit applicati</w:t>
      </w:r>
      <w:r>
        <w:rPr>
          <w:rFonts w:ascii="Times New Roman" w:hAnsi="Times New Roman"/>
          <w:szCs w:val="24"/>
        </w:rPr>
        <w:t>ons electronically using the</w:t>
      </w:r>
      <w:r w:rsidRPr="00D25EB4">
        <w:rPr>
          <w:rFonts w:ascii="Times New Roman" w:hAnsi="Times New Roman"/>
          <w:szCs w:val="24"/>
        </w:rPr>
        <w:t xml:space="preserve"> Grants.gov system.  </w:t>
      </w:r>
    </w:p>
    <w:p w:rsidR="003E6AF1" w:rsidRPr="00D25EB4" w:rsidP="003E6AF1" w14:paraId="4D2E8F55" w14:textId="77777777">
      <w:pPr>
        <w:pStyle w:val="ListParagraph"/>
        <w:spacing w:after="960"/>
        <w:rPr>
          <w:rFonts w:ascii="Times New Roman" w:hAnsi="Times New Roman"/>
          <w:szCs w:val="24"/>
        </w:rPr>
      </w:pPr>
    </w:p>
    <w:p w:rsidR="003E6AF1" w:rsidP="003E6AF1" w14:paraId="0E3D8F91" w14:textId="77777777">
      <w:pPr>
        <w:pStyle w:val="ListParagraph"/>
        <w:spacing w:after="960"/>
        <w:rPr>
          <w:rFonts w:ascii="Times New Roman" w:hAnsi="Times New Roman"/>
          <w:szCs w:val="24"/>
        </w:rPr>
      </w:pPr>
      <w:r w:rsidRPr="00D25EB4">
        <w:rPr>
          <w:rFonts w:ascii="Times New Roman" w:hAnsi="Times New Roman"/>
          <w:szCs w:val="24"/>
        </w:rPr>
        <w:t xml:space="preserve">Regarding the use of other forms of information technology, we use the Department’s Website to inform prospective applicants about the programs’ funding opportunities and deadline dates.  Application packages are posted on the Website making access to them more effective and efficient only after the competition is closed.  Additionally, we post </w:t>
      </w:r>
      <w:r w:rsidRPr="00D25EB4">
        <w:rPr>
          <w:rFonts w:ascii="Times New Roman" w:hAnsi="Times New Roman"/>
          <w:szCs w:val="24"/>
        </w:rPr>
        <w:t>Frequently-Asked</w:t>
      </w:r>
      <w:r w:rsidRPr="00D25EB4">
        <w:rPr>
          <w:rFonts w:ascii="Times New Roman" w:hAnsi="Times New Roman"/>
          <w:szCs w:val="24"/>
        </w:rPr>
        <w:t xml:space="preserve"> Questions about these programs on our Web page, which makes technical assistance more immediate.   </w:t>
      </w:r>
      <w:r>
        <w:rPr>
          <w:rFonts w:ascii="Times New Roman" w:hAnsi="Times New Roman"/>
          <w:szCs w:val="24"/>
        </w:rPr>
        <w:t xml:space="preserve">We also conduct pre-application technical assistance webinars to </w:t>
      </w:r>
      <w:r w:rsidRPr="00D25EB4">
        <w:rPr>
          <w:rFonts w:ascii="Times New Roman" w:hAnsi="Times New Roman"/>
          <w:szCs w:val="24"/>
        </w:rPr>
        <w:t>present information about the purpose of the program, the selection criteria, application content, submission procedures and reporting requirements.</w:t>
      </w:r>
    </w:p>
    <w:p w:rsidR="003E6AF1" w:rsidP="003E6AF1" w14:paraId="6AB95F6D" w14:textId="77777777">
      <w:pPr>
        <w:pStyle w:val="ListParagraph"/>
        <w:spacing w:after="960"/>
        <w:rPr>
          <w:rFonts w:ascii="Times New Roman" w:hAnsi="Times New Roman"/>
          <w:szCs w:val="24"/>
        </w:rPr>
      </w:pPr>
      <w:r w:rsidRPr="00D25EB4">
        <w:rPr>
          <w:rFonts w:ascii="Times New Roman" w:hAnsi="Times New Roman"/>
          <w:szCs w:val="24"/>
        </w:rPr>
        <w:t>Also</w:t>
      </w:r>
      <w:r>
        <w:rPr>
          <w:rFonts w:ascii="Times New Roman" w:hAnsi="Times New Roman"/>
          <w:szCs w:val="24"/>
        </w:rPr>
        <w:t>,</w:t>
      </w:r>
      <w:r w:rsidRPr="00D25EB4">
        <w:rPr>
          <w:rFonts w:ascii="Times New Roman" w:hAnsi="Times New Roman"/>
          <w:szCs w:val="24"/>
        </w:rPr>
        <w:t xml:space="preserve"> as a technical assistance tool, we post abstracts of currently funded projects on the Department’s Website to help prospective applicants better understand the kinds of activities and projects the program supports. </w:t>
      </w:r>
      <w:r w:rsidRPr="0044586B">
        <w:rPr>
          <w:rFonts w:ascii="Times New Roman" w:hAnsi="Times New Roman"/>
          <w:szCs w:val="24"/>
        </w:rPr>
        <w:t xml:space="preserve"> </w:t>
      </w:r>
    </w:p>
    <w:p w:rsidR="003E6AF1" w:rsidP="003E6AF1" w14:paraId="541D65EC" w14:textId="77777777">
      <w:pPr>
        <w:pStyle w:val="ListParagraph"/>
        <w:spacing w:after="960"/>
        <w:rPr>
          <w:rFonts w:ascii="Times New Roman" w:hAnsi="Times New Roman"/>
          <w:szCs w:val="24"/>
        </w:rPr>
      </w:pPr>
    </w:p>
    <w:p w:rsidR="00AD381B" w:rsidP="00AD381B" w14:paraId="4266D0B7" w14:textId="29AE0D72">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6E7E7D" w:rsidP="006E7E7D" w14:paraId="1546A9AE" w14:textId="00C34946">
      <w:pPr>
        <w:tabs>
          <w:tab w:val="left" w:pos="-720"/>
        </w:tabs>
        <w:suppressAutoHyphens/>
        <w:rPr>
          <w:rFonts w:ascii="Times New Roman" w:hAnsi="Times New Roman"/>
          <w:b/>
          <w:szCs w:val="24"/>
        </w:rPr>
      </w:pPr>
    </w:p>
    <w:p w:rsidR="00246FE9" w:rsidRPr="00246FE9" w:rsidP="006E7E7D" w14:paraId="7D61D963" w14:textId="6E627AB5">
      <w:pPr>
        <w:pStyle w:val="ListParagraph"/>
        <w:tabs>
          <w:tab w:val="left" w:pos="-720"/>
        </w:tabs>
        <w:suppressAutoHyphens/>
        <w:spacing w:after="100" w:afterAutospacing="1"/>
        <w:contextualSpacing w:val="0"/>
        <w:rPr>
          <w:rFonts w:ascii="Times New Roman" w:hAnsi="Times New Roman"/>
          <w:b/>
          <w:szCs w:val="24"/>
        </w:rPr>
      </w:pPr>
      <w:r w:rsidRPr="006E7E7D">
        <w:rPr>
          <w:rFonts w:ascii="Times New Roman" w:hAnsi="Times New Roman"/>
          <w:bCs/>
          <w:szCs w:val="24"/>
        </w:rPr>
        <w:t xml:space="preserve">There is no duplication of the information collected via this </w:t>
      </w:r>
      <w:r w:rsidR="00F478EE">
        <w:rPr>
          <w:rFonts w:ascii="Times New Roman" w:hAnsi="Times New Roman"/>
          <w:bCs/>
          <w:szCs w:val="24"/>
        </w:rPr>
        <w:t>application</w:t>
      </w:r>
      <w:r w:rsidRPr="006E7E7D">
        <w:rPr>
          <w:rFonts w:ascii="Times New Roman" w:hAnsi="Times New Roman"/>
          <w:bCs/>
          <w:szCs w:val="24"/>
        </w:rPr>
        <w:t>.  No similar information is available.</w:t>
      </w:r>
    </w:p>
    <w:p w:rsidR="00C52AC4" w:rsidRPr="00C52AC4" w:rsidP="00C52AC4" w14:paraId="01ABC64B" w14:textId="77777777">
      <w:pPr>
        <w:pStyle w:val="ListParagraph"/>
        <w:numPr>
          <w:ilvl w:val="0"/>
          <w:numId w:val="4"/>
        </w:numPr>
        <w:rPr>
          <w:rFonts w:ascii="Times New Roman" w:hAnsi="Times New Roman"/>
          <w:b/>
          <w:szCs w:val="24"/>
        </w:rPr>
      </w:pPr>
      <w:r w:rsidRPr="00C52AC4">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223183" w:rsidRPr="00223183" w:rsidP="00223183" w14:paraId="7D849D9C" w14:textId="77777777">
      <w:pPr>
        <w:pStyle w:val="ListParagraph"/>
        <w:spacing w:before="240" w:after="100" w:afterAutospacing="1"/>
        <w:contextualSpacing w:val="0"/>
        <w:rPr>
          <w:rFonts w:ascii="Times New Roman" w:hAnsi="Times New Roman"/>
          <w:bCs/>
          <w:szCs w:val="24"/>
        </w:rPr>
      </w:pPr>
      <w:r w:rsidRPr="00223183">
        <w:rPr>
          <w:rFonts w:ascii="Times New Roman" w:hAnsi="Times New Roman"/>
          <w:bCs/>
          <w:szCs w:val="24"/>
        </w:rPr>
        <w:t>This collection does not impact small businesses or other small entities.</w:t>
      </w:r>
    </w:p>
    <w:p w:rsidR="00223183" w:rsidP="00AD381B" w14:paraId="73040D71" w14:textId="77777777">
      <w:pPr>
        <w:pStyle w:val="ListParagraph"/>
        <w:contextualSpacing w:val="0"/>
        <w:rPr>
          <w:rFonts w:ascii="Times New Roman" w:hAnsi="Times New Roman"/>
          <w:szCs w:val="24"/>
        </w:rPr>
      </w:pPr>
    </w:p>
    <w:p w:rsidR="00043C32" w:rsidP="00AD381B" w14:paraId="7BB82DA9" w14:textId="72BBC5E8">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1C0E1C" w:rsidP="001C0E1C" w14:paraId="28A453C3" w14:textId="53E2DDCD">
      <w:pPr>
        <w:tabs>
          <w:tab w:val="left" w:pos="-720"/>
        </w:tabs>
        <w:suppressAutoHyphens/>
        <w:rPr>
          <w:rFonts w:ascii="Times New Roman" w:hAnsi="Times New Roman"/>
          <w:b/>
          <w:szCs w:val="24"/>
        </w:rPr>
      </w:pPr>
    </w:p>
    <w:p w:rsidR="006E2006" w:rsidRPr="00B65B45" w:rsidP="006E2006" w14:paraId="638D90AB" w14:textId="77777777">
      <w:pPr>
        <w:pStyle w:val="ListParagraph"/>
        <w:tabs>
          <w:tab w:val="left" w:pos="-720"/>
        </w:tabs>
        <w:suppressAutoHyphens/>
        <w:spacing w:after="960"/>
        <w:rPr>
          <w:rFonts w:ascii="Times New Roman" w:hAnsi="Times New Roman"/>
          <w:szCs w:val="24"/>
        </w:rPr>
      </w:pPr>
      <w:r w:rsidRPr="00B65B45">
        <w:rPr>
          <w:rFonts w:ascii="Times New Roman" w:hAnsi="Times New Roman"/>
          <w:szCs w:val="24"/>
        </w:rPr>
        <w:t xml:space="preserve">If the collection is not conducted, </w:t>
      </w:r>
      <w:r>
        <w:rPr>
          <w:rFonts w:ascii="Times New Roman" w:hAnsi="Times New Roman"/>
          <w:szCs w:val="24"/>
        </w:rPr>
        <w:t xml:space="preserve">the Department </w:t>
      </w:r>
      <w:r w:rsidRPr="00B65B45">
        <w:rPr>
          <w:rFonts w:ascii="Times New Roman" w:hAnsi="Times New Roman"/>
          <w:szCs w:val="24"/>
        </w:rPr>
        <w:t xml:space="preserve">cannot meet its </w:t>
      </w:r>
      <w:r>
        <w:rPr>
          <w:rFonts w:ascii="Times New Roman" w:hAnsi="Times New Roman"/>
          <w:szCs w:val="24"/>
        </w:rPr>
        <w:t xml:space="preserve">statutory and </w:t>
      </w:r>
      <w:r w:rsidRPr="00B65B45">
        <w:rPr>
          <w:rFonts w:ascii="Times New Roman" w:hAnsi="Times New Roman"/>
          <w:szCs w:val="24"/>
        </w:rPr>
        <w:t>grant</w:t>
      </w:r>
      <w:r>
        <w:rPr>
          <w:rFonts w:ascii="Times New Roman" w:hAnsi="Times New Roman"/>
          <w:szCs w:val="24"/>
        </w:rPr>
        <w:t>-</w:t>
      </w:r>
      <w:r w:rsidRPr="00B65B45">
        <w:rPr>
          <w:rFonts w:ascii="Times New Roman" w:hAnsi="Times New Roman"/>
          <w:szCs w:val="24"/>
        </w:rPr>
        <w:t xml:space="preserve">making responsibilities, including the publication of closing date notices, providing technical assistance to potential applicants, conducting peer reviews of grant applications, transmitting slates with funding recommendations to Department officials for approval, and making grant awards.  </w:t>
      </w:r>
    </w:p>
    <w:p w:rsidR="006E2006" w:rsidRPr="00B65B45" w:rsidP="006E2006" w14:paraId="48F3D6B3" w14:textId="77777777">
      <w:pPr>
        <w:pStyle w:val="ListParagraph"/>
        <w:tabs>
          <w:tab w:val="left" w:pos="-720"/>
        </w:tabs>
        <w:suppressAutoHyphens/>
        <w:spacing w:after="960"/>
        <w:rPr>
          <w:rFonts w:ascii="Times New Roman" w:hAnsi="Times New Roman"/>
          <w:szCs w:val="24"/>
        </w:rPr>
      </w:pPr>
    </w:p>
    <w:p w:rsidR="006E2006" w:rsidP="006E2006" w14:paraId="4D805E0E" w14:textId="77777777">
      <w:pPr>
        <w:pStyle w:val="ListParagraph"/>
        <w:tabs>
          <w:tab w:val="left" w:pos="-720"/>
        </w:tabs>
        <w:suppressAutoHyphens/>
        <w:spacing w:after="960"/>
        <w:rPr>
          <w:rFonts w:ascii="Times New Roman" w:hAnsi="Times New Roman"/>
          <w:szCs w:val="24"/>
        </w:rPr>
      </w:pPr>
      <w:r w:rsidRPr="00B65B45">
        <w:rPr>
          <w:rFonts w:ascii="Times New Roman" w:hAnsi="Times New Roman"/>
          <w:szCs w:val="24"/>
        </w:rPr>
        <w:t>The Department needs to make grant applications available to its constituencies to give eligible applicants at least 30 days to develop and submit applications by the</w:t>
      </w:r>
      <w:r>
        <w:rPr>
          <w:rFonts w:ascii="Times New Roman" w:hAnsi="Times New Roman"/>
          <w:szCs w:val="24"/>
        </w:rPr>
        <w:t xml:space="preserve"> closing date</w:t>
      </w:r>
      <w:r w:rsidRPr="00B65B45">
        <w:rPr>
          <w:rFonts w:ascii="Times New Roman" w:hAnsi="Times New Roman"/>
          <w:szCs w:val="24"/>
        </w:rPr>
        <w:t>, and to enable IFLE to make new fiscal year grant awards in a timely manner.</w:t>
      </w:r>
    </w:p>
    <w:p w:rsidR="006E2006" w:rsidRPr="00B65B45" w:rsidP="006E2006" w14:paraId="750D2422" w14:textId="77777777">
      <w:pPr>
        <w:pStyle w:val="ListParagraph"/>
        <w:tabs>
          <w:tab w:val="left" w:pos="-720"/>
        </w:tabs>
        <w:suppressAutoHyphens/>
        <w:spacing w:after="960"/>
        <w:rPr>
          <w:rFonts w:ascii="Times New Roman" w:hAnsi="Times New Roman"/>
          <w:szCs w:val="24"/>
        </w:rPr>
      </w:pPr>
    </w:p>
    <w:p w:rsidR="00043C32" w:rsidRPr="00AD381B" w:rsidP="00AD381B" w14:paraId="63BC9E49"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561133F4" w14:textId="77777777">
      <w:pPr>
        <w:tabs>
          <w:tab w:val="left" w:pos="-720"/>
        </w:tabs>
        <w:suppressAutoHyphens/>
        <w:rPr>
          <w:rFonts w:ascii="Times New Roman" w:hAnsi="Times New Roman"/>
          <w:b/>
          <w:szCs w:val="24"/>
        </w:rPr>
      </w:pPr>
    </w:p>
    <w:p w:rsidR="00043C32" w:rsidRPr="00AD381B" w:rsidP="00AD381B" w14:paraId="6D0304E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27DF4BDD" w14:textId="77777777">
      <w:pPr>
        <w:numPr>
          <w:ilvl w:val="12"/>
          <w:numId w:val="0"/>
        </w:numPr>
        <w:tabs>
          <w:tab w:val="left" w:pos="-720"/>
        </w:tabs>
        <w:suppressAutoHyphens/>
        <w:ind w:left="340"/>
        <w:rPr>
          <w:rFonts w:ascii="Times New Roman" w:hAnsi="Times New Roman"/>
          <w:b/>
          <w:szCs w:val="24"/>
        </w:rPr>
      </w:pPr>
    </w:p>
    <w:p w:rsidR="00043C32" w:rsidRPr="00AD381B" w:rsidP="00AD381B" w14:paraId="3C6E173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67D0F63" w14:textId="77777777">
      <w:pPr>
        <w:numPr>
          <w:ilvl w:val="12"/>
          <w:numId w:val="0"/>
        </w:numPr>
        <w:tabs>
          <w:tab w:val="left" w:pos="-720"/>
        </w:tabs>
        <w:suppressAutoHyphens/>
        <w:rPr>
          <w:rFonts w:ascii="Times New Roman" w:hAnsi="Times New Roman"/>
          <w:b/>
          <w:szCs w:val="24"/>
        </w:rPr>
      </w:pPr>
    </w:p>
    <w:p w:rsidR="00043C32" w:rsidRPr="00AD381B" w:rsidP="00AD381B" w14:paraId="66C43F93"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11C7D8DA" w14:textId="77777777">
      <w:pPr>
        <w:numPr>
          <w:ilvl w:val="12"/>
          <w:numId w:val="0"/>
        </w:numPr>
        <w:tabs>
          <w:tab w:val="left" w:pos="-720"/>
        </w:tabs>
        <w:suppressAutoHyphens/>
        <w:rPr>
          <w:rFonts w:ascii="Times New Roman" w:hAnsi="Times New Roman"/>
          <w:b/>
          <w:szCs w:val="24"/>
        </w:rPr>
      </w:pPr>
    </w:p>
    <w:p w:rsidR="00043C32" w:rsidRPr="00AD381B" w:rsidP="00AD381B" w14:paraId="3AD6CCA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5D75277C" w14:textId="77777777">
      <w:pPr>
        <w:numPr>
          <w:ilvl w:val="12"/>
          <w:numId w:val="0"/>
        </w:numPr>
        <w:tabs>
          <w:tab w:val="left" w:pos="-720"/>
        </w:tabs>
        <w:suppressAutoHyphens/>
        <w:rPr>
          <w:rFonts w:ascii="Times New Roman" w:hAnsi="Times New Roman"/>
          <w:b/>
          <w:szCs w:val="24"/>
        </w:rPr>
      </w:pPr>
    </w:p>
    <w:p w:rsidR="00043C32" w:rsidRPr="00AD381B" w:rsidP="00AD381B" w14:paraId="7278A89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19E7D1CB" w14:textId="77777777">
      <w:pPr>
        <w:numPr>
          <w:ilvl w:val="12"/>
          <w:numId w:val="0"/>
        </w:numPr>
        <w:tabs>
          <w:tab w:val="left" w:pos="-720"/>
        </w:tabs>
        <w:suppressAutoHyphens/>
        <w:rPr>
          <w:rFonts w:ascii="Times New Roman" w:hAnsi="Times New Roman"/>
          <w:b/>
          <w:szCs w:val="24"/>
        </w:rPr>
      </w:pPr>
    </w:p>
    <w:p w:rsidR="00043C32" w:rsidRPr="00AD381B" w:rsidP="00AD381B" w14:paraId="6D6809D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4B4DBC84" w14:textId="77777777">
      <w:pPr>
        <w:numPr>
          <w:ilvl w:val="12"/>
          <w:numId w:val="0"/>
        </w:numPr>
        <w:tabs>
          <w:tab w:val="left" w:pos="-720"/>
        </w:tabs>
        <w:suppressAutoHyphens/>
        <w:rPr>
          <w:rFonts w:ascii="Times New Roman" w:hAnsi="Times New Roman"/>
          <w:b/>
          <w:szCs w:val="24"/>
        </w:rPr>
      </w:pPr>
    </w:p>
    <w:p w:rsidR="00043C32" w:rsidRPr="00AD381B" w:rsidP="00AD381B" w14:paraId="0045FE4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1838B9F8" w14:textId="77777777">
      <w:pPr>
        <w:numPr>
          <w:ilvl w:val="12"/>
          <w:numId w:val="0"/>
        </w:numPr>
        <w:tabs>
          <w:tab w:val="left" w:pos="-720"/>
        </w:tabs>
        <w:suppressAutoHyphens/>
        <w:rPr>
          <w:rFonts w:ascii="Times New Roman" w:hAnsi="Times New Roman"/>
          <w:b/>
          <w:szCs w:val="24"/>
        </w:rPr>
      </w:pPr>
    </w:p>
    <w:p w:rsidR="00043C32" w:rsidP="00AD381B" w14:paraId="5343203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14:paraId="5137738A" w14:textId="77777777">
      <w:pPr>
        <w:pStyle w:val="ListParagraph"/>
        <w:rPr>
          <w:rFonts w:ascii="Times New Roman" w:hAnsi="Times New Roman"/>
          <w:b/>
          <w:szCs w:val="24"/>
        </w:rPr>
      </w:pPr>
    </w:p>
    <w:p w:rsidR="00AD381B" w:rsidP="001C0E1C" w14:paraId="575862D4" w14:textId="4517E3A9">
      <w:pPr>
        <w:tabs>
          <w:tab w:val="left" w:pos="-720"/>
        </w:tabs>
        <w:suppressAutoHyphens/>
        <w:ind w:left="720"/>
        <w:rPr>
          <w:rFonts w:ascii="Times New Roman" w:hAnsi="Times New Roman"/>
          <w:szCs w:val="24"/>
        </w:rPr>
      </w:pPr>
      <w:r w:rsidRPr="001C0E1C">
        <w:rPr>
          <w:rFonts w:ascii="Times New Roman" w:hAnsi="Times New Roman"/>
          <w:bCs/>
          <w:szCs w:val="24"/>
        </w:rPr>
        <w:t>There are no special circumstances that would require the information collection to be conducted in any of the ways described.</w:t>
      </w:r>
    </w:p>
    <w:p w:rsidR="001C0E1C" w:rsidRPr="00AD381B" w:rsidP="00AD381B" w14:paraId="5AA6A613" w14:textId="463E0B88">
      <w:pPr>
        <w:tabs>
          <w:tab w:val="left" w:pos="-720"/>
        </w:tabs>
        <w:suppressAutoHyphens/>
        <w:rPr>
          <w:rFonts w:ascii="Times New Roman" w:hAnsi="Times New Roman"/>
          <w:szCs w:val="24"/>
        </w:rPr>
      </w:pPr>
      <w:r>
        <w:rPr>
          <w:rFonts w:ascii="Times New Roman" w:hAnsi="Times New Roman"/>
          <w:szCs w:val="24"/>
        </w:rPr>
        <w:tab/>
      </w:r>
    </w:p>
    <w:p w:rsidR="00D1566C" w:rsidRPr="00D1566C" w:rsidP="00D1566C" w14:paraId="5424E807" w14:textId="77777777">
      <w:pPr>
        <w:numPr>
          <w:ilvl w:val="0"/>
          <w:numId w:val="5"/>
        </w:numPr>
        <w:tabs>
          <w:tab w:val="left" w:pos="-720"/>
        </w:tabs>
        <w:suppressAutoHyphens/>
        <w:rPr>
          <w:rFonts w:ascii="Times New Roman" w:hAnsi="Times New Roman"/>
          <w:b/>
          <w:szCs w:val="24"/>
        </w:rPr>
      </w:pPr>
      <w:r w:rsidRPr="00D1566C">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1566C" w:rsidRPr="00D1566C" w:rsidP="00D1566C" w14:paraId="26E646BC" w14:textId="77777777">
      <w:pPr>
        <w:tabs>
          <w:tab w:val="left" w:pos="-720"/>
        </w:tabs>
        <w:suppressAutoHyphens/>
        <w:ind w:left="720"/>
        <w:rPr>
          <w:rFonts w:ascii="Times New Roman" w:hAnsi="Times New Roman"/>
          <w:b/>
          <w:szCs w:val="24"/>
        </w:rPr>
      </w:pPr>
    </w:p>
    <w:p w:rsidR="00D1566C" w:rsidRPr="00D1566C" w:rsidP="00D1566C" w14:paraId="6B346D3D" w14:textId="77777777">
      <w:pPr>
        <w:tabs>
          <w:tab w:val="left" w:pos="-720"/>
        </w:tabs>
        <w:suppressAutoHyphens/>
        <w:ind w:left="720"/>
        <w:rPr>
          <w:rFonts w:ascii="Times New Roman" w:hAnsi="Times New Roman"/>
          <w:b/>
          <w:szCs w:val="24"/>
        </w:rPr>
      </w:pPr>
      <w:r w:rsidRPr="00D1566C">
        <w:rPr>
          <w:rFonts w:ascii="Times New Roman" w:hAnsi="Times New Roman"/>
          <w:b/>
          <w:szCs w:val="24"/>
        </w:rPr>
        <w:t>Include a citation for the 60 day comment period (e.g. Vol. 84 FR ##### and the date of publication).  Summarize public comments received in response to the 60 day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p>
    <w:p w:rsidR="00D1566C" w:rsidRPr="00D1566C" w:rsidP="00D1566C" w14:paraId="554FC049" w14:textId="77777777">
      <w:pPr>
        <w:tabs>
          <w:tab w:val="left" w:pos="-720"/>
        </w:tabs>
        <w:suppressAutoHyphens/>
        <w:ind w:left="720"/>
        <w:rPr>
          <w:rFonts w:ascii="Times New Roman" w:hAnsi="Times New Roman"/>
          <w:b/>
          <w:szCs w:val="24"/>
        </w:rPr>
      </w:pPr>
    </w:p>
    <w:p w:rsidR="00D1566C" w:rsidP="00D1566C" w14:paraId="6F908590" w14:textId="77777777">
      <w:pPr>
        <w:tabs>
          <w:tab w:val="left" w:pos="-720"/>
        </w:tabs>
        <w:suppressAutoHyphens/>
        <w:ind w:left="720"/>
        <w:rPr>
          <w:rFonts w:ascii="Times New Roman" w:hAnsi="Times New Roman"/>
          <w:b/>
          <w:szCs w:val="24"/>
        </w:rPr>
      </w:pPr>
      <w:r w:rsidRPr="00D1566C">
        <w:rPr>
          <w:rFonts w:ascii="Times New Roman" w:hAnsi="Times New Roman"/>
          <w:b/>
          <w:szCs w:val="24"/>
        </w:rPr>
        <w:t>For the 30 day notice, indicate that a notice will be published.</w:t>
      </w:r>
    </w:p>
    <w:p w:rsidR="00FF2436" w:rsidRPr="00D1566C" w:rsidP="00D1566C" w14:paraId="4208F480" w14:textId="77777777">
      <w:pPr>
        <w:tabs>
          <w:tab w:val="left" w:pos="-720"/>
        </w:tabs>
        <w:suppressAutoHyphens/>
        <w:ind w:left="720"/>
        <w:rPr>
          <w:rFonts w:ascii="Times New Roman" w:hAnsi="Times New Roman"/>
          <w:b/>
          <w:szCs w:val="24"/>
        </w:rPr>
      </w:pPr>
    </w:p>
    <w:p w:rsidR="00D1566C" w:rsidRPr="00D1566C" w:rsidP="00D1566C" w14:paraId="1660C560" w14:textId="77777777">
      <w:pPr>
        <w:tabs>
          <w:tab w:val="left" w:pos="-720"/>
        </w:tabs>
        <w:suppressAutoHyphens/>
        <w:ind w:left="720"/>
        <w:rPr>
          <w:rFonts w:ascii="Times New Roman" w:hAnsi="Times New Roman"/>
          <w:b/>
          <w:szCs w:val="24"/>
        </w:rPr>
      </w:pPr>
      <w:r w:rsidRPr="00D1566C">
        <w:rPr>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D1566C" w:rsidRPr="00D1566C" w:rsidP="00D1566C" w14:paraId="1980A242" w14:textId="77777777">
      <w:pPr>
        <w:tabs>
          <w:tab w:val="left" w:pos="-720"/>
        </w:tabs>
        <w:suppressAutoHyphens/>
        <w:ind w:left="720"/>
        <w:rPr>
          <w:rFonts w:ascii="Times New Roman" w:hAnsi="Times New Roman"/>
          <w:b/>
          <w:szCs w:val="24"/>
        </w:rPr>
      </w:pPr>
    </w:p>
    <w:p w:rsidR="00D1566C" w:rsidRPr="00D1566C" w:rsidP="00D1566C" w14:paraId="76DD8229" w14:textId="77777777">
      <w:pPr>
        <w:tabs>
          <w:tab w:val="left" w:pos="-720"/>
        </w:tabs>
        <w:suppressAutoHyphens/>
        <w:ind w:left="720"/>
        <w:rPr>
          <w:rFonts w:ascii="Times New Roman" w:hAnsi="Times New Roman"/>
          <w:b/>
          <w:szCs w:val="24"/>
        </w:rPr>
      </w:pPr>
      <w:r w:rsidRPr="00D1566C">
        <w:rPr>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6843E68C" w14:textId="77777777">
      <w:pPr>
        <w:tabs>
          <w:tab w:val="left" w:pos="-720"/>
        </w:tabs>
        <w:suppressAutoHyphens/>
        <w:ind w:left="720"/>
        <w:rPr>
          <w:rFonts w:ascii="Times New Roman" w:hAnsi="Times New Roman"/>
          <w:b/>
          <w:szCs w:val="24"/>
        </w:rPr>
      </w:pPr>
    </w:p>
    <w:p w:rsidR="00FC7E1D" w:rsidP="001511A5" w14:paraId="1D15BF9F" w14:textId="2C85CB9F">
      <w:pPr>
        <w:tabs>
          <w:tab w:val="left" w:pos="-720"/>
        </w:tabs>
        <w:suppressAutoHyphens/>
        <w:spacing w:after="960"/>
        <w:ind w:left="720"/>
        <w:contextualSpacing/>
        <w:rPr>
          <w:rFonts w:ascii="Times New Roman" w:hAnsi="Times New Roman"/>
        </w:rPr>
      </w:pPr>
      <w:r w:rsidRPr="00A10165">
        <w:rPr>
          <w:rFonts w:ascii="Times New Roman" w:hAnsi="Times New Roman"/>
        </w:rPr>
        <w:t>This discretionary grant falls under the streamlined grant process, 1894-000</w:t>
      </w:r>
      <w:r>
        <w:rPr>
          <w:rFonts w:ascii="Times New Roman" w:hAnsi="Times New Roman"/>
        </w:rPr>
        <w:t xml:space="preserve">1. </w:t>
      </w:r>
      <w:r w:rsidRPr="00A10165">
        <w:rPr>
          <w:rFonts w:ascii="Times New Roman" w:hAnsi="Times New Roman"/>
        </w:rPr>
        <w:t>This process allows the 60-day to be waived for discretionary grants and that a 30-day comment period will be issued in conjunction with the OMB review.</w:t>
      </w:r>
    </w:p>
    <w:p w:rsidR="00A10165" w:rsidRPr="008B3C76" w:rsidP="001511A5" w14:paraId="70B8662C" w14:textId="77777777">
      <w:pPr>
        <w:tabs>
          <w:tab w:val="left" w:pos="-720"/>
        </w:tabs>
        <w:suppressAutoHyphens/>
        <w:spacing w:after="960"/>
        <w:ind w:left="720"/>
        <w:contextualSpacing/>
        <w:rPr>
          <w:rFonts w:ascii="Times New Roman" w:hAnsi="Times New Roman"/>
          <w:szCs w:val="24"/>
        </w:rPr>
      </w:pPr>
    </w:p>
    <w:p w:rsidR="001511A5" w:rsidRPr="008B3C76" w:rsidP="001511A5" w14:paraId="0CAB542A" w14:textId="77777777">
      <w:pPr>
        <w:tabs>
          <w:tab w:val="left" w:pos="-720"/>
        </w:tabs>
        <w:suppressAutoHyphens/>
        <w:spacing w:after="960"/>
        <w:ind w:left="720"/>
        <w:contextualSpacing/>
        <w:rPr>
          <w:rFonts w:ascii="Times New Roman" w:hAnsi="Times New Roman"/>
          <w:szCs w:val="24"/>
        </w:rPr>
      </w:pPr>
      <w:r w:rsidRPr="008B3C76">
        <w:rPr>
          <w:rFonts w:ascii="Times New Roman" w:hAnsi="Times New Roman"/>
          <w:szCs w:val="24"/>
        </w:rPr>
        <w:t xml:space="preserve">On a regular basis, we hold informal discussions with various constituents and potential respondents who have completed grant applications under this program to ascertain whether the instructions and forms are clear and </w:t>
      </w:r>
      <w:r w:rsidRPr="008B3C76">
        <w:rPr>
          <w:rFonts w:ascii="Times New Roman" w:hAnsi="Times New Roman"/>
          <w:szCs w:val="24"/>
        </w:rPr>
        <w:t>applicant-friendly</w:t>
      </w:r>
      <w:r w:rsidRPr="008B3C76">
        <w:rPr>
          <w:rFonts w:ascii="Times New Roman" w:hAnsi="Times New Roman"/>
          <w:szCs w:val="24"/>
        </w:rPr>
        <w:t>.  These include project directors, foreign language professionals, fiscal representatives at institutions</w:t>
      </w:r>
      <w:r>
        <w:rPr>
          <w:rFonts w:ascii="Times New Roman" w:hAnsi="Times New Roman"/>
          <w:szCs w:val="24"/>
        </w:rPr>
        <w:t xml:space="preserve"> of higher education</w:t>
      </w:r>
      <w:r w:rsidRPr="008B3C76">
        <w:rPr>
          <w:rFonts w:ascii="Times New Roman" w:hAnsi="Times New Roman"/>
          <w:szCs w:val="24"/>
        </w:rPr>
        <w:t xml:space="preserve">, and management analysts who are responsible for gathering the data needed to respond to the programs’ selection criteria.  </w:t>
      </w:r>
    </w:p>
    <w:p w:rsidR="001511A5" w:rsidRPr="008B3C76" w:rsidP="001511A5" w14:paraId="23C88954" w14:textId="77777777">
      <w:pPr>
        <w:tabs>
          <w:tab w:val="left" w:pos="-720"/>
        </w:tabs>
        <w:suppressAutoHyphens/>
        <w:spacing w:after="960"/>
        <w:ind w:left="720"/>
        <w:contextualSpacing/>
        <w:rPr>
          <w:rFonts w:ascii="Times New Roman" w:hAnsi="Times New Roman"/>
          <w:szCs w:val="24"/>
        </w:rPr>
      </w:pPr>
    </w:p>
    <w:p w:rsidR="001511A5" w:rsidRPr="008B3C76" w:rsidP="001511A5" w14:paraId="5F492C96" w14:textId="77777777">
      <w:pPr>
        <w:tabs>
          <w:tab w:val="left" w:pos="-720"/>
        </w:tabs>
        <w:suppressAutoHyphens/>
        <w:spacing w:after="960"/>
        <w:ind w:left="720"/>
        <w:contextualSpacing/>
        <w:rPr>
          <w:rFonts w:ascii="Times New Roman" w:hAnsi="Times New Roman"/>
          <w:szCs w:val="24"/>
        </w:rPr>
      </w:pPr>
      <w:r w:rsidRPr="008B3C76">
        <w:rPr>
          <w:rFonts w:ascii="Times New Roman" w:hAnsi="Times New Roman"/>
          <w:szCs w:val="24"/>
        </w:rPr>
        <w:t>Our d</w:t>
      </w:r>
      <w:r>
        <w:rPr>
          <w:rFonts w:ascii="Times New Roman" w:hAnsi="Times New Roman"/>
          <w:szCs w:val="24"/>
        </w:rPr>
        <w:t xml:space="preserve">ay-to-day technical assistance and project monitoring </w:t>
      </w:r>
      <w:r w:rsidRPr="008B3C76">
        <w:rPr>
          <w:rFonts w:ascii="Times New Roman" w:hAnsi="Times New Roman"/>
          <w:szCs w:val="24"/>
        </w:rPr>
        <w:t xml:space="preserve">are the primary mechanisms we use to answer specific questions about the grant application instructions and to gauge </w:t>
      </w:r>
      <w:r w:rsidRPr="008B3C76">
        <w:rPr>
          <w:rFonts w:ascii="Times New Roman" w:hAnsi="Times New Roman"/>
          <w:szCs w:val="24"/>
        </w:rPr>
        <w:t>whether or not</w:t>
      </w:r>
      <w:r w:rsidRPr="008B3C76">
        <w:rPr>
          <w:rFonts w:ascii="Times New Roman" w:hAnsi="Times New Roman"/>
          <w:szCs w:val="24"/>
        </w:rPr>
        <w:t xml:space="preserve"> application materials are useful and do not impose an unrealistic burden on respondents.  Day-to-day technical assistance includes phone conversations, emails, and office visits.  We also conduct </w:t>
      </w:r>
      <w:r>
        <w:rPr>
          <w:rFonts w:ascii="Times New Roman" w:hAnsi="Times New Roman"/>
          <w:szCs w:val="24"/>
        </w:rPr>
        <w:t xml:space="preserve">technical assistance webinars for project directors </w:t>
      </w:r>
      <w:r w:rsidRPr="008B3C76">
        <w:rPr>
          <w:rFonts w:ascii="Times New Roman" w:hAnsi="Times New Roman"/>
          <w:szCs w:val="24"/>
        </w:rPr>
        <w:t xml:space="preserve">throughout the year.  </w:t>
      </w:r>
    </w:p>
    <w:p w:rsidR="001511A5" w:rsidRPr="008B3C76" w:rsidP="001511A5" w14:paraId="154064DD" w14:textId="77777777">
      <w:pPr>
        <w:tabs>
          <w:tab w:val="left" w:pos="-720"/>
        </w:tabs>
        <w:suppressAutoHyphens/>
        <w:spacing w:after="960"/>
        <w:ind w:left="720"/>
        <w:contextualSpacing/>
        <w:rPr>
          <w:rFonts w:ascii="Times New Roman" w:hAnsi="Times New Roman"/>
          <w:szCs w:val="24"/>
        </w:rPr>
      </w:pPr>
    </w:p>
    <w:p w:rsidR="001511A5" w:rsidP="001511A5" w14:paraId="626A3B1D" w14:textId="77777777">
      <w:pPr>
        <w:tabs>
          <w:tab w:val="left" w:pos="-720"/>
        </w:tabs>
        <w:suppressAutoHyphens/>
        <w:ind w:left="720"/>
        <w:contextualSpacing/>
        <w:rPr>
          <w:rFonts w:ascii="Times New Roman" w:hAnsi="Times New Roman"/>
          <w:szCs w:val="24"/>
        </w:rPr>
      </w:pPr>
      <w:r w:rsidRPr="008B3C76">
        <w:rPr>
          <w:rFonts w:ascii="Times New Roman" w:hAnsi="Times New Roman"/>
          <w:szCs w:val="24"/>
        </w:rPr>
        <w:t xml:space="preserve">In sum, these processes collectively inform IFLE about the viability of the application materials we use for our programs.  The professionals, administrators, and organizations cited above do not have adverse comments about the information being requested or about the time it takes to complete a grant application under this program. </w:t>
      </w:r>
    </w:p>
    <w:p w:rsidR="00E66550" w:rsidP="00AD381B" w14:paraId="0FF08671" w14:textId="77777777">
      <w:pPr>
        <w:tabs>
          <w:tab w:val="left" w:pos="-720"/>
        </w:tabs>
        <w:suppressAutoHyphens/>
        <w:ind w:left="720"/>
        <w:rPr>
          <w:rFonts w:ascii="Times New Roman" w:hAnsi="Times New Roman"/>
          <w:szCs w:val="24"/>
        </w:rPr>
      </w:pPr>
    </w:p>
    <w:p w:rsidR="00043C32" w:rsidP="00AD381B" w14:paraId="1962610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RPr="00B05747" w:rsidP="00920F63" w14:paraId="6E308043" w14:textId="77777777">
      <w:pPr>
        <w:pStyle w:val="ListParagraph"/>
        <w:tabs>
          <w:tab w:val="left" w:pos="-720"/>
        </w:tabs>
        <w:suppressAutoHyphens/>
        <w:contextualSpacing w:val="0"/>
        <w:rPr>
          <w:rFonts w:ascii="Times New Roman" w:hAnsi="Times New Roman"/>
          <w:bCs/>
          <w:szCs w:val="24"/>
        </w:rPr>
      </w:pPr>
    </w:p>
    <w:p w:rsidR="00920F63" w:rsidRPr="00B05747" w:rsidP="00B05747" w14:paraId="55B571D1" w14:textId="29B93B75">
      <w:pPr>
        <w:pStyle w:val="ListParagraph"/>
        <w:tabs>
          <w:tab w:val="left" w:pos="-720"/>
        </w:tabs>
        <w:suppressAutoHyphens/>
        <w:spacing w:after="100" w:afterAutospacing="1"/>
        <w:contextualSpacing w:val="0"/>
        <w:rPr>
          <w:rFonts w:ascii="Times New Roman" w:hAnsi="Times New Roman"/>
          <w:bCs/>
          <w:szCs w:val="24"/>
        </w:rPr>
      </w:pPr>
      <w:r w:rsidRPr="00B05747">
        <w:rPr>
          <w:rFonts w:ascii="Times New Roman" w:hAnsi="Times New Roman"/>
          <w:bCs/>
          <w:szCs w:val="24"/>
        </w:rPr>
        <w:t>No payments or gifts are provided to respondents.</w:t>
      </w:r>
    </w:p>
    <w:p w:rsidR="00660461" w:rsidRPr="00660461" w:rsidP="00660461" w14:paraId="02F8962C" w14:textId="77777777">
      <w:pPr>
        <w:numPr>
          <w:ilvl w:val="0"/>
          <w:numId w:val="5"/>
        </w:numPr>
        <w:tabs>
          <w:tab w:val="left" w:pos="-720"/>
        </w:tabs>
        <w:suppressAutoHyphens/>
        <w:rPr>
          <w:rFonts w:ascii="Times New Roman" w:hAnsi="Times New Roman"/>
          <w:b/>
          <w:szCs w:val="24"/>
        </w:rPr>
      </w:pPr>
      <w:r w:rsidRPr="0066046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Fonts w:ascii="Times New Roman" w:hAnsi="Times New Roman"/>
          <w:b/>
          <w:szCs w:val="24"/>
          <w:vertAlign w:val="superscript"/>
        </w:rPr>
        <w:footnoteReference w:id="2"/>
      </w:r>
      <w:r w:rsidRPr="0066046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confidentiality of the data. 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00B05747" w:rsidP="00B05747" w14:paraId="7B4A0134" w14:textId="17A65533">
      <w:pPr>
        <w:tabs>
          <w:tab w:val="left" w:pos="-720"/>
        </w:tabs>
        <w:suppressAutoHyphens/>
        <w:rPr>
          <w:rFonts w:ascii="Times New Roman" w:hAnsi="Times New Roman"/>
          <w:b/>
          <w:szCs w:val="24"/>
        </w:rPr>
      </w:pPr>
    </w:p>
    <w:p w:rsidR="00C85A27" w:rsidP="00C85A27" w14:paraId="608EA51B" w14:textId="77777777">
      <w:pPr>
        <w:pStyle w:val="BodyTextIndent"/>
        <w:spacing w:after="360"/>
      </w:pPr>
      <w:r w:rsidRPr="004C2E29">
        <w:rPr>
          <w:iCs/>
        </w:rPr>
        <w:t>Each applicant is informed that their applicati</w:t>
      </w:r>
      <w:r>
        <w:rPr>
          <w:iCs/>
        </w:rPr>
        <w:t>on is reviewed by staff of the Department</w:t>
      </w:r>
      <w:r w:rsidRPr="004C2E29">
        <w:rPr>
          <w:iCs/>
        </w:rPr>
        <w:t xml:space="preserve">, US </w:t>
      </w:r>
      <w:r w:rsidRPr="004C2E29">
        <w:rPr>
          <w:iCs/>
        </w:rPr>
        <w:t>Embassies</w:t>
      </w:r>
      <w:r w:rsidRPr="004C2E29">
        <w:rPr>
          <w:iCs/>
        </w:rPr>
        <w:t xml:space="preserve"> and the Fulbright </w:t>
      </w:r>
      <w:r>
        <w:rPr>
          <w:iCs/>
        </w:rPr>
        <w:t xml:space="preserve">Foreign </w:t>
      </w:r>
      <w:r w:rsidRPr="004C2E29">
        <w:rPr>
          <w:iCs/>
        </w:rPr>
        <w:t>Scholarship Board</w:t>
      </w:r>
      <w:r>
        <w:rPr>
          <w:iCs/>
        </w:rPr>
        <w:t xml:space="preserve"> (FFSB)</w:t>
      </w:r>
      <w:r w:rsidRPr="004C2E29">
        <w:rPr>
          <w:iCs/>
        </w:rPr>
        <w:t xml:space="preserve">.  Unclassified comments made by any entity or individual involved in the review process are made available to the applicant upon request.  </w:t>
      </w:r>
      <w:r w:rsidRPr="00664B8F">
        <w:rPr>
          <w:iCs/>
        </w:rPr>
        <w:t>Assurances of confidentiality related to this information collection are covered under the Privacy Act.</w:t>
      </w:r>
      <w:r w:rsidRPr="00664B8F" w:rsidR="00664B8F">
        <w:t xml:space="preserve"> The application collects the names and contact information for the centers’ project directors. A Privacy Act Statement </w:t>
      </w:r>
      <w:r w:rsidRPr="004B1DA9" w:rsidR="00664B8F">
        <w:t>is included in the application.</w:t>
      </w:r>
    </w:p>
    <w:p w:rsidR="00D31CC8" w:rsidRPr="00F47807" w:rsidP="00F47807" w14:paraId="468AB1B7" w14:textId="09BD9DE5">
      <w:pPr>
        <w:pStyle w:val="ListParagraph"/>
        <w:numPr>
          <w:ilvl w:val="0"/>
          <w:numId w:val="5"/>
        </w:numPr>
        <w:tabs>
          <w:tab w:val="left" w:pos="-720"/>
        </w:tabs>
        <w:suppressAutoHyphens/>
        <w:rPr>
          <w:rFonts w:ascii="Times New Roman" w:hAnsi="Times New Roman"/>
          <w:b/>
          <w:szCs w:val="24"/>
        </w:rPr>
      </w:pPr>
      <w:r w:rsidRPr="00F47807">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31CC8" w:rsidP="00920F63" w14:paraId="5251108C" w14:textId="77777777">
      <w:pPr>
        <w:tabs>
          <w:tab w:val="left" w:pos="-720"/>
        </w:tabs>
        <w:suppressAutoHyphens/>
        <w:rPr>
          <w:rFonts w:ascii="Times New Roman" w:hAnsi="Times New Roman"/>
          <w:b/>
          <w:szCs w:val="24"/>
        </w:rPr>
      </w:pPr>
    </w:p>
    <w:p w:rsidR="00F9662B" w:rsidRPr="00F9662B" w:rsidP="00920F63" w14:paraId="1A6E66B7" w14:textId="0442EB00">
      <w:pPr>
        <w:tabs>
          <w:tab w:val="left" w:pos="-720"/>
        </w:tabs>
        <w:suppressAutoHyphens/>
        <w:rPr>
          <w:rFonts w:ascii="Times New Roman" w:hAnsi="Times New Roman"/>
          <w:bCs/>
          <w:szCs w:val="24"/>
        </w:rPr>
      </w:pPr>
      <w:r>
        <w:rPr>
          <w:rFonts w:ascii="Times New Roman" w:hAnsi="Times New Roman"/>
          <w:b/>
          <w:szCs w:val="24"/>
        </w:rPr>
        <w:tab/>
        <w:t xml:space="preserve">  </w:t>
      </w:r>
      <w:r w:rsidRPr="00F9662B">
        <w:rPr>
          <w:rFonts w:ascii="Times New Roman" w:hAnsi="Times New Roman"/>
          <w:bCs/>
          <w:szCs w:val="24"/>
        </w:rPr>
        <w:t>No questions of a sensitive nature are asked of respondents.</w:t>
      </w:r>
    </w:p>
    <w:p w:rsidR="00920F63" w:rsidRPr="00920F63" w:rsidP="00920F63" w14:paraId="68FC0FC1" w14:textId="77777777">
      <w:pPr>
        <w:tabs>
          <w:tab w:val="left" w:pos="-720"/>
        </w:tabs>
        <w:suppressAutoHyphens/>
        <w:ind w:left="180"/>
        <w:rPr>
          <w:rFonts w:ascii="Times New Roman" w:hAnsi="Times New Roman"/>
          <w:szCs w:val="24"/>
        </w:rPr>
      </w:pPr>
    </w:p>
    <w:p w:rsidR="00043C32" w:rsidRPr="00920F63" w:rsidP="00AD381B" w14:paraId="28F54757"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BEA17B" w14:textId="77777777">
      <w:pPr>
        <w:tabs>
          <w:tab w:val="left" w:pos="-720"/>
        </w:tabs>
        <w:suppressAutoHyphens/>
        <w:rPr>
          <w:rStyle w:val="a"/>
          <w:rFonts w:ascii="Times New Roman" w:hAnsi="Times New Roman"/>
          <w:b/>
          <w:szCs w:val="24"/>
        </w:rPr>
      </w:pPr>
    </w:p>
    <w:p w:rsidR="00C224FD" w:rsidP="00C224FD" w14:paraId="0045D377"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11CE1F4D"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2B9380C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54BF1B4C"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428724F3"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55A15F29" w14:textId="77777777">
      <w:pPr>
        <w:tabs>
          <w:tab w:val="left" w:pos="-720"/>
          <w:tab w:val="left" w:pos="1247"/>
        </w:tabs>
        <w:suppressAutoHyphens/>
        <w:rPr>
          <w:rStyle w:val="a"/>
          <w:rFonts w:ascii="Times New Roman" w:hAnsi="Times New Roman"/>
          <w:b/>
          <w:szCs w:val="24"/>
        </w:rPr>
      </w:pPr>
    </w:p>
    <w:p w:rsidR="00946126" w:rsidP="00946126" w14:paraId="2ACC7C6A"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C0280" w:rsidP="00946126" w14:paraId="4255B47F" w14:textId="77777777">
      <w:pPr>
        <w:pStyle w:val="ListParagraph"/>
        <w:tabs>
          <w:tab w:val="left" w:pos="-720"/>
        </w:tabs>
        <w:suppressAutoHyphens/>
        <w:contextualSpacing w:val="0"/>
        <w:rPr>
          <w:rFonts w:ascii="Times New Roman" w:hAnsi="Times New Roman"/>
          <w:b/>
          <w:sz w:val="26"/>
          <w:szCs w:val="26"/>
        </w:rPr>
      </w:pPr>
    </w:p>
    <w:p w:rsidR="009C0280" w:rsidRPr="00BA7C49" w:rsidP="00946126" w14:paraId="56A66D26" w14:textId="52FCFEA7">
      <w:pPr>
        <w:pStyle w:val="ListParagraph"/>
        <w:tabs>
          <w:tab w:val="left" w:pos="-720"/>
        </w:tabs>
        <w:suppressAutoHyphens/>
        <w:contextualSpacing w:val="0"/>
        <w:rPr>
          <w:rFonts w:ascii="Times New Roman" w:hAnsi="Times New Roman"/>
          <w:bCs/>
          <w:sz w:val="26"/>
          <w:szCs w:val="26"/>
        </w:rPr>
      </w:pPr>
      <w:r>
        <w:rPr>
          <w:rFonts w:ascii="Times New Roman" w:hAnsi="Times New Roman"/>
          <w:bCs/>
          <w:sz w:val="26"/>
          <w:szCs w:val="26"/>
        </w:rPr>
        <w:t xml:space="preserve">Eligible applicants are </w:t>
      </w:r>
      <w:r w:rsidR="00393746">
        <w:rPr>
          <w:rFonts w:ascii="Times New Roman" w:hAnsi="Times New Roman"/>
          <w:bCs/>
          <w:sz w:val="26"/>
          <w:szCs w:val="26"/>
        </w:rPr>
        <w:t>public and private non-</w:t>
      </w:r>
      <w:r w:rsidR="00E021D3">
        <w:rPr>
          <w:rFonts w:ascii="Times New Roman" w:hAnsi="Times New Roman"/>
          <w:bCs/>
          <w:sz w:val="26"/>
          <w:szCs w:val="26"/>
        </w:rPr>
        <w:t>profit institutions</w:t>
      </w:r>
      <w:r w:rsidR="008D1E5A">
        <w:rPr>
          <w:rFonts w:ascii="Times New Roman" w:hAnsi="Times New Roman"/>
          <w:bCs/>
          <w:sz w:val="26"/>
          <w:szCs w:val="26"/>
        </w:rPr>
        <w:t>, organization</w:t>
      </w:r>
      <w:r w:rsidR="0067712A">
        <w:rPr>
          <w:rFonts w:ascii="Times New Roman" w:hAnsi="Times New Roman"/>
          <w:bCs/>
          <w:sz w:val="26"/>
          <w:szCs w:val="26"/>
        </w:rPr>
        <w:t>s, and state departments of education</w:t>
      </w:r>
      <w:r w:rsidR="00E021D3">
        <w:rPr>
          <w:rFonts w:ascii="Times New Roman" w:hAnsi="Times New Roman"/>
          <w:bCs/>
          <w:sz w:val="26"/>
          <w:szCs w:val="26"/>
        </w:rPr>
        <w:t xml:space="preserve">. The program estimates that </w:t>
      </w:r>
      <w:r w:rsidR="002835C8">
        <w:rPr>
          <w:rFonts w:ascii="Times New Roman" w:hAnsi="Times New Roman"/>
          <w:bCs/>
          <w:sz w:val="26"/>
          <w:szCs w:val="26"/>
        </w:rPr>
        <w:t>there will be 60 applicants</w:t>
      </w:r>
      <w:r w:rsidR="00814ED0">
        <w:rPr>
          <w:rFonts w:ascii="Times New Roman" w:hAnsi="Times New Roman"/>
          <w:bCs/>
          <w:sz w:val="26"/>
          <w:szCs w:val="26"/>
        </w:rPr>
        <w:t>, which is unchanged from the previous clearance</w:t>
      </w:r>
      <w:r w:rsidR="002835C8">
        <w:rPr>
          <w:rFonts w:ascii="Times New Roman" w:hAnsi="Times New Roman"/>
          <w:bCs/>
          <w:sz w:val="26"/>
          <w:szCs w:val="26"/>
        </w:rPr>
        <w:t>.</w:t>
      </w:r>
      <w:r w:rsidR="00C8628E">
        <w:rPr>
          <w:rFonts w:ascii="Times New Roman" w:hAnsi="Times New Roman"/>
          <w:bCs/>
          <w:sz w:val="26"/>
          <w:szCs w:val="26"/>
        </w:rPr>
        <w:t xml:space="preserve"> </w:t>
      </w:r>
      <w:r w:rsidR="00E6117E">
        <w:rPr>
          <w:rFonts w:ascii="Times New Roman" w:hAnsi="Times New Roman"/>
          <w:bCs/>
          <w:sz w:val="26"/>
          <w:szCs w:val="26"/>
        </w:rPr>
        <w:t xml:space="preserve">The burden hours of 110 per application </w:t>
      </w:r>
      <w:r w:rsidR="007E7FCD">
        <w:rPr>
          <w:rFonts w:ascii="Times New Roman" w:hAnsi="Times New Roman"/>
          <w:bCs/>
          <w:sz w:val="26"/>
          <w:szCs w:val="26"/>
        </w:rPr>
        <w:t xml:space="preserve">also </w:t>
      </w:r>
      <w:r w:rsidR="00E6117E">
        <w:rPr>
          <w:rFonts w:ascii="Times New Roman" w:hAnsi="Times New Roman"/>
          <w:bCs/>
          <w:sz w:val="26"/>
          <w:szCs w:val="26"/>
        </w:rPr>
        <w:t xml:space="preserve">remain unchanged from the previous clearance and </w:t>
      </w:r>
      <w:r w:rsidR="00197511">
        <w:rPr>
          <w:rFonts w:ascii="Times New Roman" w:hAnsi="Times New Roman"/>
          <w:bCs/>
          <w:sz w:val="26"/>
          <w:szCs w:val="26"/>
        </w:rPr>
        <w:t xml:space="preserve">were estimated in consultation with </w:t>
      </w:r>
      <w:r w:rsidR="00197511">
        <w:rPr>
          <w:rFonts w:ascii="Times New Roman" w:hAnsi="Times New Roman"/>
          <w:szCs w:val="24"/>
        </w:rPr>
        <w:t>t</w:t>
      </w:r>
      <w:r w:rsidRPr="008B3C76" w:rsidR="00197511">
        <w:rPr>
          <w:rFonts w:ascii="Times New Roman" w:hAnsi="Times New Roman"/>
          <w:szCs w:val="24"/>
        </w:rPr>
        <w:t>he professionals, administrators, and organizations cited</w:t>
      </w:r>
      <w:r w:rsidR="00197511">
        <w:rPr>
          <w:rFonts w:ascii="Times New Roman" w:hAnsi="Times New Roman"/>
          <w:szCs w:val="24"/>
        </w:rPr>
        <w:t xml:space="preserve"> in </w:t>
      </w:r>
      <w:r w:rsidR="007E7FCD">
        <w:rPr>
          <w:rFonts w:ascii="Times New Roman" w:hAnsi="Times New Roman"/>
          <w:szCs w:val="24"/>
        </w:rPr>
        <w:t>the response to question #8 above.</w:t>
      </w:r>
      <w:r w:rsidR="00A86AAC">
        <w:rPr>
          <w:rFonts w:ascii="Times New Roman" w:hAnsi="Times New Roman"/>
          <w:szCs w:val="24"/>
        </w:rPr>
        <w:t xml:space="preserve">  Sixty multiplied by 110 equals 6,600 annual burden hours for the program.</w:t>
      </w:r>
      <w:r w:rsidR="00B92051">
        <w:rPr>
          <w:rFonts w:ascii="Times New Roman" w:hAnsi="Times New Roman"/>
          <w:szCs w:val="24"/>
        </w:rPr>
        <w:t xml:space="preserve"> </w:t>
      </w:r>
      <w:r w:rsidR="00DA5871">
        <w:rPr>
          <w:rFonts w:ascii="Times New Roman" w:hAnsi="Times New Roman"/>
          <w:szCs w:val="24"/>
        </w:rPr>
        <w:t xml:space="preserve">The annual burden hours are multiplied by the </w:t>
      </w:r>
      <w:r w:rsidR="00EC7BC0">
        <w:rPr>
          <w:rFonts w:ascii="Times New Roman" w:hAnsi="Times New Roman"/>
          <w:szCs w:val="24"/>
        </w:rPr>
        <w:t>estimated hourly wage</w:t>
      </w:r>
      <w:r w:rsidR="007169BC">
        <w:rPr>
          <w:rFonts w:ascii="Times New Roman" w:hAnsi="Times New Roman"/>
          <w:szCs w:val="24"/>
        </w:rPr>
        <w:t xml:space="preserve"> of $75</w:t>
      </w:r>
      <w:r w:rsidR="00B740A6">
        <w:rPr>
          <w:rFonts w:ascii="Times New Roman" w:hAnsi="Times New Roman"/>
          <w:szCs w:val="24"/>
        </w:rPr>
        <w:t xml:space="preserve"> for a Project Director of an institut</w:t>
      </w:r>
      <w:r w:rsidR="00F16CD0">
        <w:rPr>
          <w:rFonts w:ascii="Times New Roman" w:hAnsi="Times New Roman"/>
          <w:szCs w:val="24"/>
        </w:rPr>
        <w:t>ion</w:t>
      </w:r>
      <w:r w:rsidR="00DA62CB">
        <w:rPr>
          <w:rFonts w:ascii="Times New Roman" w:hAnsi="Times New Roman"/>
          <w:szCs w:val="24"/>
        </w:rPr>
        <w:t xml:space="preserve">, </w:t>
      </w:r>
      <w:r w:rsidR="00F16CD0">
        <w:rPr>
          <w:rFonts w:ascii="Times New Roman" w:hAnsi="Times New Roman"/>
          <w:szCs w:val="24"/>
        </w:rPr>
        <w:t>organization</w:t>
      </w:r>
      <w:r w:rsidR="00DA62CB">
        <w:rPr>
          <w:rFonts w:ascii="Times New Roman" w:hAnsi="Times New Roman"/>
          <w:szCs w:val="24"/>
        </w:rPr>
        <w:t xml:space="preserve"> or department to </w:t>
      </w:r>
      <w:r w:rsidR="00B25006">
        <w:rPr>
          <w:rFonts w:ascii="Times New Roman" w:hAnsi="Times New Roman"/>
          <w:szCs w:val="24"/>
        </w:rPr>
        <w:t>equal the total hourly costs of $495,000.</w:t>
      </w:r>
      <w:r w:rsidR="00DA62CB">
        <w:rPr>
          <w:rFonts w:ascii="Times New Roman" w:hAnsi="Times New Roman"/>
          <w:szCs w:val="24"/>
        </w:rPr>
        <w:t xml:space="preserve"> </w:t>
      </w:r>
      <w:r w:rsidR="003A3836">
        <w:rPr>
          <w:rFonts w:ascii="Times New Roman" w:hAnsi="Times New Roman"/>
          <w:szCs w:val="24"/>
        </w:rPr>
        <w:t>The GPA competition is held every year.</w:t>
      </w:r>
    </w:p>
    <w:p w:rsidR="00920F63" w:rsidP="00920F63" w14:paraId="01CDC428" w14:textId="77777777">
      <w:pPr>
        <w:pStyle w:val="ListParagraph"/>
        <w:tabs>
          <w:tab w:val="left" w:pos="-720"/>
        </w:tabs>
        <w:suppressAutoHyphens/>
        <w:rPr>
          <w:rStyle w:val="a"/>
          <w:rFonts w:ascii="Times New Roman" w:hAnsi="Times New Roman"/>
          <w:szCs w:val="24"/>
        </w:rPr>
      </w:pPr>
    </w:p>
    <w:p w:rsidR="00ED7195" w:rsidRPr="00920F63" w:rsidP="00756FD3" w14:paraId="4DEAD73F" w14:textId="047DD79E">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0885" w:type="dxa"/>
        <w:tblLayout w:type="fixed"/>
        <w:tblLook w:val="0020"/>
      </w:tblPr>
      <w:tblGrid>
        <w:gridCol w:w="1345"/>
        <w:gridCol w:w="990"/>
        <w:gridCol w:w="1170"/>
        <w:gridCol w:w="1275"/>
        <w:gridCol w:w="1080"/>
        <w:gridCol w:w="1335"/>
        <w:gridCol w:w="990"/>
        <w:gridCol w:w="1350"/>
        <w:gridCol w:w="1350"/>
      </w:tblGrid>
      <w:tr w14:paraId="7FD50DA8" w14:textId="77777777" w:rsidTr="005D1A0F">
        <w:tblPrEx>
          <w:tblW w:w="10885" w:type="dxa"/>
          <w:tblLayout w:type="fixed"/>
          <w:tblLook w:val="0020"/>
        </w:tblPrEx>
        <w:trPr>
          <w:tblHeader/>
        </w:trPr>
        <w:tc>
          <w:tcPr>
            <w:tcW w:w="1345" w:type="dxa"/>
          </w:tcPr>
          <w:p w:rsidR="00C86713" w:rsidP="00FE1BAE" w14:paraId="455065E1" w14:textId="77777777">
            <w:pPr>
              <w:jc w:val="center"/>
              <w:rPr>
                <w:rFonts w:ascii="Times New Roman" w:hAnsi="Times New Roman"/>
                <w:sz w:val="20"/>
              </w:rPr>
            </w:pPr>
          </w:p>
          <w:p w:rsidR="00C86713" w:rsidP="00FE1BAE" w14:paraId="386138FD" w14:textId="77777777">
            <w:pPr>
              <w:jc w:val="center"/>
              <w:rPr>
                <w:rFonts w:ascii="Times New Roman" w:hAnsi="Times New Roman"/>
                <w:sz w:val="20"/>
              </w:rPr>
            </w:pPr>
          </w:p>
          <w:p w:rsidR="00C86713" w:rsidRPr="007F6104" w:rsidP="00FE1BAE" w14:paraId="04D409FF"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990" w:type="dxa"/>
          </w:tcPr>
          <w:p w:rsidR="00C86713" w:rsidP="00FE1BAE" w14:paraId="55902512" w14:textId="77777777">
            <w:pPr>
              <w:jc w:val="center"/>
              <w:rPr>
                <w:rFonts w:ascii="Times New Roman" w:hAnsi="Times New Roman"/>
                <w:sz w:val="20"/>
              </w:rPr>
            </w:pPr>
          </w:p>
          <w:p w:rsidR="00C86713" w:rsidP="00FE1BAE" w14:paraId="15EB0E8A" w14:textId="77777777">
            <w:pPr>
              <w:jc w:val="center"/>
              <w:rPr>
                <w:rFonts w:ascii="Times New Roman" w:hAnsi="Times New Roman"/>
                <w:sz w:val="20"/>
              </w:rPr>
            </w:pPr>
          </w:p>
          <w:p w:rsidR="00C86713" w:rsidRPr="007F6104" w:rsidP="00FE1BAE" w14:paraId="7599864B"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170" w:type="dxa"/>
          </w:tcPr>
          <w:p w:rsidR="00C86713" w:rsidP="00FE1BAE" w14:paraId="1DC1D400" w14:textId="77777777">
            <w:pPr>
              <w:jc w:val="center"/>
              <w:rPr>
                <w:rFonts w:ascii="Times New Roman" w:hAnsi="Times New Roman"/>
                <w:sz w:val="20"/>
              </w:rPr>
            </w:pPr>
          </w:p>
          <w:p w:rsidR="00C86713" w:rsidP="00581C11" w14:paraId="2FEEB514" w14:textId="77777777">
            <w:pPr>
              <w:shd w:val="clear" w:color="auto" w:fill="F2F2F2" w:themeFill="background1" w:themeFillShade="F2"/>
              <w:jc w:val="center"/>
              <w:rPr>
                <w:rFonts w:ascii="Times New Roman" w:hAnsi="Times New Roman"/>
                <w:sz w:val="20"/>
              </w:rPr>
            </w:pPr>
          </w:p>
          <w:p w:rsidR="00C86713" w:rsidRPr="007F6104" w:rsidP="00581C11" w14:paraId="73A59921"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C86713" w:rsidRPr="007F6104" w:rsidP="00FE1BAE" w14:paraId="32F0712A"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4D321A92" w14:textId="77777777">
            <w:pPr>
              <w:jc w:val="center"/>
              <w:rPr>
                <w:rFonts w:ascii="Times New Roman" w:hAnsi="Times New Roman"/>
                <w:sz w:val="20"/>
              </w:rPr>
            </w:pPr>
          </w:p>
          <w:p w:rsidR="00C86713" w:rsidP="00FE1BAE" w14:paraId="1632235D" w14:textId="77777777">
            <w:pPr>
              <w:jc w:val="center"/>
              <w:rPr>
                <w:rFonts w:ascii="Times New Roman" w:hAnsi="Times New Roman"/>
                <w:sz w:val="20"/>
              </w:rPr>
            </w:pPr>
          </w:p>
          <w:p w:rsidR="00C86713" w:rsidRPr="007F6104" w:rsidP="00FE1BAE" w14:paraId="1C8375D6"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7A4C5E6B" w14:textId="77777777">
            <w:pPr>
              <w:jc w:val="center"/>
              <w:rPr>
                <w:rFonts w:ascii="Times New Roman" w:hAnsi="Times New Roman"/>
                <w:sz w:val="20"/>
              </w:rPr>
            </w:pPr>
          </w:p>
          <w:p w:rsidR="00C86713" w:rsidRPr="007F6104" w:rsidP="00FE1BAE" w14:paraId="5ECF1A3E" w14:textId="77777777">
            <w:pPr>
              <w:jc w:val="center"/>
              <w:rPr>
                <w:rFonts w:ascii="Times New Roman" w:hAnsi="Times New Roman"/>
                <w:sz w:val="20"/>
              </w:rPr>
            </w:pPr>
            <w:r w:rsidRPr="007F6104">
              <w:rPr>
                <w:rFonts w:ascii="Times New Roman" w:hAnsi="Times New Roman"/>
                <w:sz w:val="20"/>
              </w:rPr>
              <w:t>Average Burden Hours per Response</w:t>
            </w:r>
          </w:p>
        </w:tc>
        <w:tc>
          <w:tcPr>
            <w:tcW w:w="990" w:type="dxa"/>
          </w:tcPr>
          <w:p w:rsidR="00F31BEC" w:rsidP="00FE1BAE" w14:paraId="4A2EA19A" w14:textId="77777777">
            <w:pPr>
              <w:jc w:val="center"/>
              <w:rPr>
                <w:rFonts w:ascii="Times New Roman" w:hAnsi="Times New Roman"/>
                <w:sz w:val="20"/>
              </w:rPr>
            </w:pPr>
          </w:p>
          <w:p w:rsidR="00C86713" w:rsidRPr="007F6104" w:rsidP="00F31BEC" w14:paraId="79FA6C0E"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350" w:type="dxa"/>
          </w:tcPr>
          <w:p w:rsidR="00C86713" w:rsidP="00FE1BAE" w14:paraId="1710507F" w14:textId="77777777">
            <w:pPr>
              <w:jc w:val="center"/>
              <w:rPr>
                <w:rFonts w:ascii="Times New Roman" w:hAnsi="Times New Roman"/>
                <w:sz w:val="20"/>
              </w:rPr>
            </w:pPr>
          </w:p>
          <w:p w:rsidR="00C86713" w:rsidP="00FE1BAE" w14:paraId="67ECD1E8" w14:textId="77777777">
            <w:pPr>
              <w:jc w:val="center"/>
              <w:rPr>
                <w:rFonts w:ascii="Times New Roman" w:hAnsi="Times New Roman"/>
                <w:sz w:val="20"/>
              </w:rPr>
            </w:pPr>
          </w:p>
          <w:p w:rsidR="00C86713" w:rsidRPr="007F6104" w:rsidP="00FE1BAE" w14:paraId="033D8CD9"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6B5112F5" w14:textId="77777777">
            <w:pPr>
              <w:jc w:val="center"/>
              <w:rPr>
                <w:rFonts w:ascii="Times New Roman" w:hAnsi="Times New Roman"/>
                <w:sz w:val="20"/>
              </w:rPr>
            </w:pPr>
          </w:p>
          <w:p w:rsidR="00C86713" w:rsidP="00FE1BAE" w14:paraId="20512EB4" w14:textId="77777777">
            <w:pPr>
              <w:jc w:val="center"/>
              <w:rPr>
                <w:rFonts w:ascii="Times New Roman" w:hAnsi="Times New Roman"/>
                <w:sz w:val="20"/>
              </w:rPr>
            </w:pPr>
          </w:p>
          <w:p w:rsidR="00C86713" w:rsidRPr="007F6104" w:rsidP="00FE1BAE" w14:paraId="657976F2"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18DBBE44" w14:textId="77777777" w:rsidTr="005D1A0F">
        <w:tblPrEx>
          <w:tblW w:w="10885" w:type="dxa"/>
          <w:tblLayout w:type="fixed"/>
          <w:tblLook w:val="0020"/>
        </w:tblPrEx>
        <w:tc>
          <w:tcPr>
            <w:tcW w:w="1345" w:type="dxa"/>
          </w:tcPr>
          <w:p w:rsidR="00C86713" w:rsidRPr="00442E07" w:rsidP="00FE1BAE" w14:paraId="2B79EDE1" w14:textId="576E5815">
            <w:pPr>
              <w:rPr>
                <w:rFonts w:ascii="Times New Roman" w:hAnsi="Times New Roman"/>
                <w:szCs w:val="24"/>
              </w:rPr>
            </w:pPr>
            <w:r>
              <w:rPr>
                <w:rFonts w:ascii="Times New Roman" w:hAnsi="Times New Roman"/>
                <w:szCs w:val="24"/>
              </w:rPr>
              <w:t>Institutions</w:t>
            </w:r>
          </w:p>
        </w:tc>
        <w:tc>
          <w:tcPr>
            <w:tcW w:w="990" w:type="dxa"/>
          </w:tcPr>
          <w:p w:rsidR="00C86713" w:rsidRPr="00442E07" w:rsidP="00FE1BAE" w14:paraId="7FA79059" w14:textId="77777777">
            <w:pPr>
              <w:rPr>
                <w:rFonts w:ascii="Times New Roman" w:hAnsi="Times New Roman"/>
                <w:szCs w:val="24"/>
              </w:rPr>
            </w:pPr>
          </w:p>
        </w:tc>
        <w:tc>
          <w:tcPr>
            <w:tcW w:w="1170" w:type="dxa"/>
          </w:tcPr>
          <w:p w:rsidR="00C86713" w:rsidRPr="00442E07" w:rsidP="00FE1BAE" w14:paraId="5A59AEB3" w14:textId="77777777">
            <w:pPr>
              <w:rPr>
                <w:rFonts w:ascii="Times New Roman" w:hAnsi="Times New Roman"/>
                <w:szCs w:val="24"/>
              </w:rPr>
            </w:pPr>
          </w:p>
        </w:tc>
        <w:tc>
          <w:tcPr>
            <w:tcW w:w="1275" w:type="dxa"/>
          </w:tcPr>
          <w:p w:rsidR="00C86713" w:rsidRPr="00442E07" w:rsidP="00AD2E26" w14:paraId="3D8FF958" w14:textId="51C5B948">
            <w:pPr>
              <w:jc w:val="center"/>
              <w:rPr>
                <w:rFonts w:ascii="Times New Roman" w:hAnsi="Times New Roman"/>
                <w:szCs w:val="24"/>
              </w:rPr>
            </w:pPr>
            <w:r>
              <w:rPr>
                <w:rFonts w:ascii="Times New Roman" w:hAnsi="Times New Roman"/>
                <w:szCs w:val="24"/>
              </w:rPr>
              <w:t>6</w:t>
            </w:r>
            <w:r w:rsidR="00843CB3">
              <w:rPr>
                <w:rFonts w:ascii="Times New Roman" w:hAnsi="Times New Roman"/>
                <w:szCs w:val="24"/>
              </w:rPr>
              <w:t>0</w:t>
            </w:r>
          </w:p>
        </w:tc>
        <w:tc>
          <w:tcPr>
            <w:tcW w:w="1080" w:type="dxa"/>
          </w:tcPr>
          <w:p w:rsidR="00C86713" w:rsidRPr="00442E07" w:rsidP="00AD2E26" w14:paraId="575D8985" w14:textId="52369C33">
            <w:pPr>
              <w:jc w:val="center"/>
              <w:rPr>
                <w:rFonts w:ascii="Times New Roman" w:hAnsi="Times New Roman"/>
                <w:szCs w:val="24"/>
              </w:rPr>
            </w:pPr>
            <w:r>
              <w:rPr>
                <w:rFonts w:ascii="Times New Roman" w:hAnsi="Times New Roman"/>
                <w:szCs w:val="24"/>
              </w:rPr>
              <w:t>1</w:t>
            </w:r>
          </w:p>
        </w:tc>
        <w:tc>
          <w:tcPr>
            <w:tcW w:w="1335" w:type="dxa"/>
          </w:tcPr>
          <w:p w:rsidR="00C86713" w:rsidRPr="00442E07" w:rsidP="00AD2E26" w14:paraId="3A71AA61" w14:textId="18555249">
            <w:pPr>
              <w:jc w:val="center"/>
              <w:rPr>
                <w:rFonts w:ascii="Times New Roman" w:hAnsi="Times New Roman"/>
                <w:szCs w:val="24"/>
              </w:rPr>
            </w:pPr>
            <w:r>
              <w:rPr>
                <w:rFonts w:ascii="Times New Roman" w:hAnsi="Times New Roman"/>
                <w:szCs w:val="24"/>
              </w:rPr>
              <w:t>110</w:t>
            </w:r>
          </w:p>
        </w:tc>
        <w:tc>
          <w:tcPr>
            <w:tcW w:w="990" w:type="dxa"/>
          </w:tcPr>
          <w:p w:rsidR="00C86713" w:rsidRPr="00442E07" w:rsidP="00AD2E26" w14:paraId="35A216C4" w14:textId="074ECFA4">
            <w:pPr>
              <w:jc w:val="center"/>
              <w:rPr>
                <w:rFonts w:ascii="Times New Roman" w:hAnsi="Times New Roman"/>
                <w:szCs w:val="24"/>
              </w:rPr>
            </w:pPr>
            <w:r>
              <w:rPr>
                <w:rFonts w:ascii="Times New Roman" w:hAnsi="Times New Roman"/>
                <w:szCs w:val="24"/>
              </w:rPr>
              <w:t>6,6</w:t>
            </w:r>
            <w:r w:rsidR="00462773">
              <w:rPr>
                <w:rFonts w:ascii="Times New Roman" w:hAnsi="Times New Roman"/>
                <w:szCs w:val="24"/>
              </w:rPr>
              <w:t>00</w:t>
            </w:r>
          </w:p>
        </w:tc>
        <w:tc>
          <w:tcPr>
            <w:tcW w:w="1350" w:type="dxa"/>
          </w:tcPr>
          <w:p w:rsidR="00C86713" w:rsidRPr="00442E07" w:rsidP="00AD2E26" w14:paraId="26503AA4" w14:textId="1ABCD201">
            <w:pPr>
              <w:jc w:val="center"/>
              <w:rPr>
                <w:rFonts w:ascii="Times New Roman" w:hAnsi="Times New Roman"/>
                <w:szCs w:val="24"/>
              </w:rPr>
            </w:pPr>
            <w:r>
              <w:rPr>
                <w:rFonts w:ascii="Times New Roman" w:hAnsi="Times New Roman"/>
                <w:szCs w:val="24"/>
              </w:rPr>
              <w:t>$75</w:t>
            </w:r>
          </w:p>
        </w:tc>
        <w:tc>
          <w:tcPr>
            <w:tcW w:w="1350" w:type="dxa"/>
          </w:tcPr>
          <w:p w:rsidR="00C86713" w:rsidRPr="00442E07" w:rsidP="00AD2E26" w14:paraId="6EE66C75" w14:textId="4B80E931">
            <w:pPr>
              <w:jc w:val="center"/>
              <w:rPr>
                <w:rFonts w:ascii="Times New Roman" w:hAnsi="Times New Roman"/>
                <w:szCs w:val="24"/>
              </w:rPr>
            </w:pPr>
            <w:r>
              <w:rPr>
                <w:rFonts w:ascii="Times New Roman" w:hAnsi="Times New Roman"/>
                <w:szCs w:val="24"/>
              </w:rPr>
              <w:t>$495,000</w:t>
            </w:r>
          </w:p>
        </w:tc>
      </w:tr>
      <w:tr w14:paraId="625F33E8" w14:textId="77777777" w:rsidTr="005D1A0F">
        <w:tblPrEx>
          <w:tblW w:w="10885" w:type="dxa"/>
          <w:tblLayout w:type="fixed"/>
          <w:tblLook w:val="0020"/>
        </w:tblPrEx>
        <w:tc>
          <w:tcPr>
            <w:tcW w:w="1345" w:type="dxa"/>
          </w:tcPr>
          <w:p w:rsidR="00C86713" w:rsidRPr="00442E07" w:rsidP="00FE1BAE" w14:paraId="411EF09F" w14:textId="77777777">
            <w:pPr>
              <w:rPr>
                <w:rFonts w:ascii="Times New Roman" w:hAnsi="Times New Roman"/>
                <w:szCs w:val="24"/>
              </w:rPr>
            </w:pPr>
          </w:p>
        </w:tc>
        <w:tc>
          <w:tcPr>
            <w:tcW w:w="990" w:type="dxa"/>
          </w:tcPr>
          <w:p w:rsidR="00C86713" w:rsidRPr="00442E07" w:rsidP="00FE1BAE" w14:paraId="5B01ED42" w14:textId="77777777">
            <w:pPr>
              <w:rPr>
                <w:rFonts w:ascii="Times New Roman" w:hAnsi="Times New Roman"/>
                <w:szCs w:val="24"/>
              </w:rPr>
            </w:pPr>
          </w:p>
        </w:tc>
        <w:tc>
          <w:tcPr>
            <w:tcW w:w="1170" w:type="dxa"/>
          </w:tcPr>
          <w:p w:rsidR="00C86713" w:rsidRPr="00442E07" w:rsidP="00FE1BAE" w14:paraId="73F7F396" w14:textId="77777777">
            <w:pPr>
              <w:rPr>
                <w:rFonts w:ascii="Times New Roman" w:hAnsi="Times New Roman"/>
                <w:szCs w:val="24"/>
              </w:rPr>
            </w:pPr>
          </w:p>
        </w:tc>
        <w:tc>
          <w:tcPr>
            <w:tcW w:w="1275" w:type="dxa"/>
          </w:tcPr>
          <w:p w:rsidR="00C86713" w:rsidRPr="00442E07" w:rsidP="00AD2E26" w14:paraId="0A48AFF1" w14:textId="77777777">
            <w:pPr>
              <w:jc w:val="center"/>
              <w:rPr>
                <w:rFonts w:ascii="Times New Roman" w:hAnsi="Times New Roman"/>
                <w:szCs w:val="24"/>
              </w:rPr>
            </w:pPr>
          </w:p>
        </w:tc>
        <w:tc>
          <w:tcPr>
            <w:tcW w:w="1080" w:type="dxa"/>
          </w:tcPr>
          <w:p w:rsidR="00C86713" w:rsidRPr="00442E07" w:rsidP="00AD2E26" w14:paraId="21925A23" w14:textId="77777777">
            <w:pPr>
              <w:jc w:val="center"/>
              <w:rPr>
                <w:rFonts w:ascii="Times New Roman" w:hAnsi="Times New Roman"/>
                <w:szCs w:val="24"/>
              </w:rPr>
            </w:pPr>
          </w:p>
        </w:tc>
        <w:tc>
          <w:tcPr>
            <w:tcW w:w="1335" w:type="dxa"/>
          </w:tcPr>
          <w:p w:rsidR="00C86713" w:rsidRPr="00442E07" w:rsidP="00AD2E26" w14:paraId="0698C34A" w14:textId="77777777">
            <w:pPr>
              <w:jc w:val="center"/>
              <w:rPr>
                <w:rFonts w:ascii="Times New Roman" w:hAnsi="Times New Roman"/>
                <w:szCs w:val="24"/>
              </w:rPr>
            </w:pPr>
          </w:p>
        </w:tc>
        <w:tc>
          <w:tcPr>
            <w:tcW w:w="990" w:type="dxa"/>
          </w:tcPr>
          <w:p w:rsidR="00C86713" w:rsidRPr="00442E07" w:rsidP="00AD2E26" w14:paraId="2D88A7CE" w14:textId="77777777">
            <w:pPr>
              <w:pStyle w:val="EndnoteText"/>
              <w:tabs>
                <w:tab w:val="clear" w:pos="-720"/>
              </w:tabs>
              <w:suppressAutoHyphens w:val="0"/>
              <w:jc w:val="center"/>
              <w:rPr>
                <w:rFonts w:ascii="Times New Roman" w:hAnsi="Times New Roman"/>
                <w:szCs w:val="24"/>
              </w:rPr>
            </w:pPr>
          </w:p>
        </w:tc>
        <w:tc>
          <w:tcPr>
            <w:tcW w:w="1350" w:type="dxa"/>
          </w:tcPr>
          <w:p w:rsidR="00C86713" w:rsidRPr="00442E07" w:rsidP="00AD2E26" w14:paraId="6E9A4CF8" w14:textId="77777777">
            <w:pPr>
              <w:jc w:val="center"/>
              <w:rPr>
                <w:rFonts w:ascii="Times New Roman" w:hAnsi="Times New Roman"/>
                <w:szCs w:val="24"/>
              </w:rPr>
            </w:pPr>
          </w:p>
        </w:tc>
        <w:tc>
          <w:tcPr>
            <w:tcW w:w="1350" w:type="dxa"/>
          </w:tcPr>
          <w:p w:rsidR="00C86713" w:rsidRPr="00442E07" w:rsidP="00AD2E26" w14:paraId="3087BCB5" w14:textId="77777777">
            <w:pPr>
              <w:jc w:val="center"/>
              <w:rPr>
                <w:rFonts w:ascii="Times New Roman" w:hAnsi="Times New Roman"/>
                <w:szCs w:val="24"/>
              </w:rPr>
            </w:pPr>
          </w:p>
        </w:tc>
      </w:tr>
      <w:tr w14:paraId="4D585E0F" w14:textId="77777777" w:rsidTr="005D1A0F">
        <w:tblPrEx>
          <w:tblW w:w="10885" w:type="dxa"/>
          <w:tblLayout w:type="fixed"/>
          <w:tblLook w:val="0020"/>
        </w:tblPrEx>
        <w:tc>
          <w:tcPr>
            <w:tcW w:w="1345" w:type="dxa"/>
          </w:tcPr>
          <w:p w:rsidR="00C86713" w:rsidRPr="00442E07" w:rsidP="00FE1BAE" w14:paraId="79574869" w14:textId="77777777">
            <w:pPr>
              <w:rPr>
                <w:rFonts w:ascii="Times New Roman" w:hAnsi="Times New Roman"/>
                <w:szCs w:val="24"/>
              </w:rPr>
            </w:pPr>
          </w:p>
        </w:tc>
        <w:tc>
          <w:tcPr>
            <w:tcW w:w="990" w:type="dxa"/>
          </w:tcPr>
          <w:p w:rsidR="00C86713" w:rsidRPr="00442E07" w:rsidP="00FE1BAE" w14:paraId="2481CB06" w14:textId="77777777">
            <w:pPr>
              <w:rPr>
                <w:rFonts w:ascii="Times New Roman" w:hAnsi="Times New Roman"/>
                <w:szCs w:val="24"/>
              </w:rPr>
            </w:pPr>
          </w:p>
        </w:tc>
        <w:tc>
          <w:tcPr>
            <w:tcW w:w="1170" w:type="dxa"/>
          </w:tcPr>
          <w:p w:rsidR="00C86713" w:rsidRPr="00442E07" w:rsidP="00FE1BAE" w14:paraId="225667CB" w14:textId="77777777">
            <w:pPr>
              <w:rPr>
                <w:rFonts w:ascii="Times New Roman" w:hAnsi="Times New Roman"/>
                <w:szCs w:val="24"/>
              </w:rPr>
            </w:pPr>
          </w:p>
        </w:tc>
        <w:tc>
          <w:tcPr>
            <w:tcW w:w="1275" w:type="dxa"/>
          </w:tcPr>
          <w:p w:rsidR="00C86713" w:rsidRPr="00442E07" w:rsidP="00AD2E26" w14:paraId="67D89C94" w14:textId="77777777">
            <w:pPr>
              <w:jc w:val="center"/>
              <w:rPr>
                <w:rFonts w:ascii="Times New Roman" w:hAnsi="Times New Roman"/>
                <w:szCs w:val="24"/>
              </w:rPr>
            </w:pPr>
          </w:p>
        </w:tc>
        <w:tc>
          <w:tcPr>
            <w:tcW w:w="1080" w:type="dxa"/>
          </w:tcPr>
          <w:p w:rsidR="00C86713" w:rsidRPr="00442E07" w:rsidP="00AD2E26" w14:paraId="7BFBBEB1" w14:textId="77777777">
            <w:pPr>
              <w:jc w:val="center"/>
              <w:rPr>
                <w:rFonts w:ascii="Times New Roman" w:hAnsi="Times New Roman"/>
                <w:szCs w:val="24"/>
              </w:rPr>
            </w:pPr>
          </w:p>
        </w:tc>
        <w:tc>
          <w:tcPr>
            <w:tcW w:w="1335" w:type="dxa"/>
          </w:tcPr>
          <w:p w:rsidR="00C86713" w:rsidRPr="00442E07" w:rsidP="00AD2E26" w14:paraId="03CF7FD8" w14:textId="77777777">
            <w:pPr>
              <w:jc w:val="center"/>
              <w:rPr>
                <w:rFonts w:ascii="Times New Roman" w:hAnsi="Times New Roman"/>
                <w:szCs w:val="24"/>
              </w:rPr>
            </w:pPr>
          </w:p>
        </w:tc>
        <w:tc>
          <w:tcPr>
            <w:tcW w:w="990" w:type="dxa"/>
          </w:tcPr>
          <w:p w:rsidR="00C86713" w:rsidRPr="00442E07" w:rsidP="00AD2E26" w14:paraId="4A68388A" w14:textId="77777777">
            <w:pPr>
              <w:pStyle w:val="EndnoteText"/>
              <w:tabs>
                <w:tab w:val="clear" w:pos="-720"/>
              </w:tabs>
              <w:suppressAutoHyphens w:val="0"/>
              <w:jc w:val="center"/>
              <w:rPr>
                <w:rFonts w:ascii="Times New Roman" w:hAnsi="Times New Roman"/>
                <w:szCs w:val="24"/>
              </w:rPr>
            </w:pPr>
          </w:p>
        </w:tc>
        <w:tc>
          <w:tcPr>
            <w:tcW w:w="1350" w:type="dxa"/>
          </w:tcPr>
          <w:p w:rsidR="00C86713" w:rsidRPr="00442E07" w:rsidP="00AD2E26" w14:paraId="1B4DF361" w14:textId="77777777">
            <w:pPr>
              <w:jc w:val="center"/>
              <w:rPr>
                <w:rFonts w:ascii="Times New Roman" w:hAnsi="Times New Roman"/>
                <w:szCs w:val="24"/>
              </w:rPr>
            </w:pPr>
          </w:p>
        </w:tc>
        <w:tc>
          <w:tcPr>
            <w:tcW w:w="1350" w:type="dxa"/>
          </w:tcPr>
          <w:p w:rsidR="00C86713" w:rsidRPr="00442E07" w:rsidP="00AD2E26" w14:paraId="187EA3A3" w14:textId="77777777">
            <w:pPr>
              <w:jc w:val="center"/>
              <w:rPr>
                <w:rFonts w:ascii="Times New Roman" w:hAnsi="Times New Roman"/>
                <w:szCs w:val="24"/>
              </w:rPr>
            </w:pPr>
          </w:p>
        </w:tc>
      </w:tr>
      <w:tr w14:paraId="021FDD42" w14:textId="77777777" w:rsidTr="005D1A0F">
        <w:tblPrEx>
          <w:tblW w:w="10885" w:type="dxa"/>
          <w:tblLayout w:type="fixed"/>
          <w:tblLook w:val="0020"/>
        </w:tblPrEx>
        <w:tc>
          <w:tcPr>
            <w:tcW w:w="1345" w:type="dxa"/>
          </w:tcPr>
          <w:p w:rsidR="00C86713" w:rsidRPr="00442E07" w:rsidP="00FE1BAE" w14:paraId="521D47FB" w14:textId="77777777">
            <w:pPr>
              <w:rPr>
                <w:rFonts w:ascii="Times New Roman" w:hAnsi="Times New Roman"/>
                <w:szCs w:val="24"/>
              </w:rPr>
            </w:pPr>
          </w:p>
        </w:tc>
        <w:tc>
          <w:tcPr>
            <w:tcW w:w="990" w:type="dxa"/>
          </w:tcPr>
          <w:p w:rsidR="00C86713" w:rsidRPr="00442E07" w:rsidP="00FE1BAE" w14:paraId="485F3C8D" w14:textId="77777777">
            <w:pPr>
              <w:rPr>
                <w:rFonts w:ascii="Times New Roman" w:hAnsi="Times New Roman"/>
                <w:szCs w:val="24"/>
              </w:rPr>
            </w:pPr>
          </w:p>
        </w:tc>
        <w:tc>
          <w:tcPr>
            <w:tcW w:w="1170" w:type="dxa"/>
          </w:tcPr>
          <w:p w:rsidR="00C86713" w:rsidRPr="00442E07" w:rsidP="00FE1BAE" w14:paraId="08A2DB4C" w14:textId="77777777">
            <w:pPr>
              <w:rPr>
                <w:rFonts w:ascii="Times New Roman" w:hAnsi="Times New Roman"/>
                <w:szCs w:val="24"/>
              </w:rPr>
            </w:pPr>
          </w:p>
        </w:tc>
        <w:tc>
          <w:tcPr>
            <w:tcW w:w="1275" w:type="dxa"/>
          </w:tcPr>
          <w:p w:rsidR="00C86713" w:rsidRPr="00442E07" w:rsidP="00AD2E26" w14:paraId="6AC39F90" w14:textId="77777777">
            <w:pPr>
              <w:jc w:val="center"/>
              <w:rPr>
                <w:rFonts w:ascii="Times New Roman" w:hAnsi="Times New Roman"/>
                <w:szCs w:val="24"/>
              </w:rPr>
            </w:pPr>
          </w:p>
        </w:tc>
        <w:tc>
          <w:tcPr>
            <w:tcW w:w="1080" w:type="dxa"/>
          </w:tcPr>
          <w:p w:rsidR="00C86713" w:rsidRPr="00442E07" w:rsidP="00AD2E26" w14:paraId="6DCD56EA" w14:textId="77777777">
            <w:pPr>
              <w:jc w:val="center"/>
              <w:rPr>
                <w:rFonts w:ascii="Times New Roman" w:hAnsi="Times New Roman"/>
                <w:szCs w:val="24"/>
              </w:rPr>
            </w:pPr>
          </w:p>
        </w:tc>
        <w:tc>
          <w:tcPr>
            <w:tcW w:w="1335" w:type="dxa"/>
          </w:tcPr>
          <w:p w:rsidR="00C86713" w:rsidRPr="00442E07" w:rsidP="00AD2E26" w14:paraId="798C35A8" w14:textId="77777777">
            <w:pPr>
              <w:jc w:val="center"/>
              <w:rPr>
                <w:rFonts w:ascii="Times New Roman" w:hAnsi="Times New Roman"/>
                <w:szCs w:val="24"/>
              </w:rPr>
            </w:pPr>
          </w:p>
        </w:tc>
        <w:tc>
          <w:tcPr>
            <w:tcW w:w="990" w:type="dxa"/>
          </w:tcPr>
          <w:p w:rsidR="00C86713" w:rsidRPr="00442E07" w:rsidP="00AD2E26" w14:paraId="12F3688B" w14:textId="77777777">
            <w:pPr>
              <w:jc w:val="center"/>
              <w:rPr>
                <w:rFonts w:ascii="Times New Roman" w:hAnsi="Times New Roman"/>
                <w:szCs w:val="24"/>
              </w:rPr>
            </w:pPr>
          </w:p>
        </w:tc>
        <w:tc>
          <w:tcPr>
            <w:tcW w:w="1350" w:type="dxa"/>
          </w:tcPr>
          <w:p w:rsidR="00C86713" w:rsidRPr="00442E07" w:rsidP="00AD2E26" w14:paraId="1EFE4F60" w14:textId="77777777">
            <w:pPr>
              <w:jc w:val="center"/>
              <w:rPr>
                <w:rFonts w:ascii="Times New Roman" w:hAnsi="Times New Roman"/>
                <w:szCs w:val="24"/>
              </w:rPr>
            </w:pPr>
          </w:p>
        </w:tc>
        <w:tc>
          <w:tcPr>
            <w:tcW w:w="1350" w:type="dxa"/>
          </w:tcPr>
          <w:p w:rsidR="00C86713" w:rsidRPr="00442E07" w:rsidP="00AD2E26" w14:paraId="1D37D62A" w14:textId="77777777">
            <w:pPr>
              <w:jc w:val="center"/>
              <w:rPr>
                <w:rFonts w:ascii="Times New Roman" w:hAnsi="Times New Roman"/>
                <w:szCs w:val="24"/>
              </w:rPr>
            </w:pPr>
          </w:p>
        </w:tc>
      </w:tr>
      <w:tr w14:paraId="4EEB2351" w14:textId="77777777" w:rsidTr="005D1A0F">
        <w:tblPrEx>
          <w:tblW w:w="10885" w:type="dxa"/>
          <w:tblLayout w:type="fixed"/>
          <w:tblLook w:val="0020"/>
        </w:tblPrEx>
        <w:tc>
          <w:tcPr>
            <w:tcW w:w="1345" w:type="dxa"/>
          </w:tcPr>
          <w:p w:rsidR="009767AF" w:rsidRPr="00442E07" w:rsidP="00FE1BAE" w14:paraId="1B77D1D8" w14:textId="16DA4F7C">
            <w:pPr>
              <w:rPr>
                <w:rFonts w:ascii="Times New Roman" w:hAnsi="Times New Roman"/>
                <w:szCs w:val="24"/>
              </w:rPr>
            </w:pPr>
            <w:r>
              <w:rPr>
                <w:rFonts w:ascii="Times New Roman" w:hAnsi="Times New Roman"/>
                <w:szCs w:val="24"/>
              </w:rPr>
              <w:t>Annual</w:t>
            </w:r>
            <w:r>
              <w:rPr>
                <w:rFonts w:ascii="Times New Roman" w:hAnsi="Times New Roman"/>
                <w:szCs w:val="24"/>
              </w:rPr>
              <w:t xml:space="preserve"> Totals</w:t>
            </w:r>
          </w:p>
        </w:tc>
        <w:tc>
          <w:tcPr>
            <w:tcW w:w="990" w:type="dxa"/>
          </w:tcPr>
          <w:p w:rsidR="009767AF" w:rsidRPr="00442E07" w:rsidP="00FE1BAE" w14:paraId="5EBA0D08" w14:textId="77777777">
            <w:pPr>
              <w:rPr>
                <w:rFonts w:ascii="Times New Roman" w:hAnsi="Times New Roman"/>
                <w:szCs w:val="24"/>
              </w:rPr>
            </w:pPr>
          </w:p>
        </w:tc>
        <w:tc>
          <w:tcPr>
            <w:tcW w:w="1170" w:type="dxa"/>
          </w:tcPr>
          <w:p w:rsidR="009767AF" w:rsidRPr="00442E07" w:rsidP="00FE1BAE" w14:paraId="2292DA47" w14:textId="77777777">
            <w:pPr>
              <w:rPr>
                <w:rFonts w:ascii="Times New Roman" w:hAnsi="Times New Roman"/>
                <w:szCs w:val="24"/>
              </w:rPr>
            </w:pPr>
          </w:p>
        </w:tc>
        <w:tc>
          <w:tcPr>
            <w:tcW w:w="1275" w:type="dxa"/>
          </w:tcPr>
          <w:p w:rsidR="009767AF" w:rsidRPr="00442E07" w:rsidP="00AD2E26" w14:paraId="76CC9E9F" w14:textId="2C8900E2">
            <w:pPr>
              <w:jc w:val="center"/>
              <w:rPr>
                <w:rFonts w:ascii="Times New Roman" w:hAnsi="Times New Roman"/>
                <w:szCs w:val="24"/>
              </w:rPr>
            </w:pPr>
            <w:r>
              <w:rPr>
                <w:rFonts w:ascii="Times New Roman" w:hAnsi="Times New Roman"/>
                <w:szCs w:val="24"/>
              </w:rPr>
              <w:t>6</w:t>
            </w:r>
            <w:r w:rsidR="00843CB3">
              <w:rPr>
                <w:rFonts w:ascii="Times New Roman" w:hAnsi="Times New Roman"/>
                <w:szCs w:val="24"/>
              </w:rPr>
              <w:t>0</w:t>
            </w:r>
          </w:p>
        </w:tc>
        <w:tc>
          <w:tcPr>
            <w:tcW w:w="1080" w:type="dxa"/>
          </w:tcPr>
          <w:p w:rsidR="009767AF" w:rsidRPr="00442E07" w:rsidP="00AD2E26" w14:paraId="22EE28E2" w14:textId="451B93CB">
            <w:pPr>
              <w:jc w:val="center"/>
              <w:rPr>
                <w:rFonts w:ascii="Times New Roman" w:hAnsi="Times New Roman"/>
                <w:szCs w:val="24"/>
              </w:rPr>
            </w:pPr>
            <w:r>
              <w:rPr>
                <w:rFonts w:ascii="Times New Roman" w:hAnsi="Times New Roman"/>
                <w:szCs w:val="24"/>
              </w:rPr>
              <w:t>1</w:t>
            </w:r>
          </w:p>
        </w:tc>
        <w:tc>
          <w:tcPr>
            <w:tcW w:w="1335" w:type="dxa"/>
          </w:tcPr>
          <w:p w:rsidR="009767AF" w:rsidRPr="00442E07" w:rsidP="00AD2E26" w14:paraId="25A327F7" w14:textId="7BC16FF2">
            <w:pPr>
              <w:jc w:val="center"/>
              <w:rPr>
                <w:rFonts w:ascii="Times New Roman" w:hAnsi="Times New Roman"/>
                <w:szCs w:val="24"/>
              </w:rPr>
            </w:pPr>
            <w:r>
              <w:rPr>
                <w:rFonts w:ascii="Times New Roman" w:hAnsi="Times New Roman"/>
                <w:szCs w:val="24"/>
              </w:rPr>
              <w:t>110</w:t>
            </w:r>
          </w:p>
        </w:tc>
        <w:tc>
          <w:tcPr>
            <w:tcW w:w="990" w:type="dxa"/>
          </w:tcPr>
          <w:p w:rsidR="009767AF" w:rsidRPr="00442E07" w:rsidP="00AD2E26" w14:paraId="7F40FB9A" w14:textId="0DE8C1D1">
            <w:pPr>
              <w:jc w:val="center"/>
              <w:rPr>
                <w:rFonts w:ascii="Times New Roman" w:hAnsi="Times New Roman"/>
                <w:szCs w:val="24"/>
              </w:rPr>
            </w:pPr>
            <w:r>
              <w:rPr>
                <w:rFonts w:ascii="Times New Roman" w:hAnsi="Times New Roman"/>
                <w:szCs w:val="24"/>
              </w:rPr>
              <w:t>6,600</w:t>
            </w:r>
          </w:p>
        </w:tc>
        <w:tc>
          <w:tcPr>
            <w:tcW w:w="1350" w:type="dxa"/>
          </w:tcPr>
          <w:p w:rsidR="009767AF" w:rsidRPr="00442E07" w:rsidP="00AD2E26" w14:paraId="7B015115" w14:textId="3400790E">
            <w:pPr>
              <w:jc w:val="center"/>
              <w:rPr>
                <w:rFonts w:ascii="Times New Roman" w:hAnsi="Times New Roman"/>
                <w:szCs w:val="24"/>
              </w:rPr>
            </w:pPr>
            <w:r>
              <w:rPr>
                <w:rFonts w:ascii="Times New Roman" w:hAnsi="Times New Roman"/>
                <w:szCs w:val="24"/>
              </w:rPr>
              <w:t>$75</w:t>
            </w:r>
          </w:p>
        </w:tc>
        <w:tc>
          <w:tcPr>
            <w:tcW w:w="1350" w:type="dxa"/>
          </w:tcPr>
          <w:p w:rsidR="009767AF" w:rsidRPr="00442E07" w:rsidP="00AD2E26" w14:paraId="7C90827E" w14:textId="0CB071FD">
            <w:pPr>
              <w:jc w:val="center"/>
              <w:rPr>
                <w:rFonts w:ascii="Times New Roman" w:hAnsi="Times New Roman"/>
                <w:szCs w:val="24"/>
              </w:rPr>
            </w:pPr>
            <w:r>
              <w:rPr>
                <w:rFonts w:ascii="Times New Roman" w:hAnsi="Times New Roman"/>
                <w:szCs w:val="24"/>
              </w:rPr>
              <w:t>$</w:t>
            </w:r>
            <w:r w:rsidR="003A3836">
              <w:rPr>
                <w:rFonts w:ascii="Times New Roman" w:hAnsi="Times New Roman"/>
                <w:szCs w:val="24"/>
              </w:rPr>
              <w:t>49</w:t>
            </w:r>
            <w:r>
              <w:rPr>
                <w:rFonts w:ascii="Times New Roman" w:hAnsi="Times New Roman"/>
                <w:szCs w:val="24"/>
              </w:rPr>
              <w:t>5,000</w:t>
            </w:r>
          </w:p>
        </w:tc>
      </w:tr>
    </w:tbl>
    <w:p w:rsidR="001A6AE0" w:rsidP="000446F5" w14:paraId="2DB6CAE5"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58927F51"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072B3540" w14:textId="77777777">
      <w:pPr>
        <w:pStyle w:val="ListParagraph"/>
        <w:tabs>
          <w:tab w:val="left" w:pos="-720"/>
        </w:tabs>
        <w:suppressAutoHyphens/>
        <w:rPr>
          <w:rStyle w:val="a"/>
          <w:rFonts w:ascii="Times New Roman" w:hAnsi="Times New Roman"/>
          <w:szCs w:val="24"/>
        </w:rPr>
      </w:pPr>
    </w:p>
    <w:p w:rsidR="00043C32" w:rsidRPr="00ED7195" w:rsidP="00AD381B" w14:paraId="1FA67E2B"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5142E7A6" w14:textId="77777777">
      <w:pPr>
        <w:tabs>
          <w:tab w:val="left" w:pos="-720"/>
        </w:tabs>
        <w:suppressAutoHyphens/>
        <w:rPr>
          <w:rFonts w:ascii="Times New Roman" w:hAnsi="Times New Roman"/>
          <w:b/>
          <w:szCs w:val="24"/>
        </w:rPr>
      </w:pPr>
    </w:p>
    <w:p w:rsidR="00043C32" w:rsidRPr="00ED7195" w:rsidP="00AD381B" w14:paraId="0EBDB5B5"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1EF09189" w14:textId="77777777">
      <w:pPr>
        <w:numPr>
          <w:ilvl w:val="12"/>
          <w:numId w:val="0"/>
        </w:numPr>
        <w:tabs>
          <w:tab w:val="left" w:pos="-720"/>
        </w:tabs>
        <w:suppressAutoHyphens/>
        <w:ind w:left="340"/>
        <w:rPr>
          <w:rFonts w:ascii="Times New Roman" w:hAnsi="Times New Roman"/>
          <w:szCs w:val="24"/>
        </w:rPr>
      </w:pPr>
    </w:p>
    <w:p w:rsidR="00043C32" w:rsidRPr="00ED7195" w:rsidP="00AD381B" w14:paraId="0E0BF1C4"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7B469A22" w14:textId="77777777">
      <w:pPr>
        <w:tabs>
          <w:tab w:val="left" w:pos="-720"/>
          <w:tab w:val="left" w:pos="1247"/>
        </w:tabs>
        <w:suppressAutoHyphens/>
        <w:ind w:left="340"/>
        <w:rPr>
          <w:rFonts w:ascii="Times New Roman" w:hAnsi="Times New Roman"/>
          <w:b/>
          <w:szCs w:val="24"/>
        </w:rPr>
      </w:pPr>
    </w:p>
    <w:p w:rsidR="00043C32" w:rsidRPr="00ED7195" w:rsidP="00AD381B" w14:paraId="5E93F174"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CA2C694" w14:textId="77777777">
      <w:pPr>
        <w:tabs>
          <w:tab w:val="left" w:pos="-720"/>
        </w:tabs>
        <w:suppressAutoHyphens/>
        <w:rPr>
          <w:rFonts w:ascii="Times New Roman" w:hAnsi="Times New Roman"/>
          <w:b/>
          <w:szCs w:val="24"/>
        </w:rPr>
      </w:pPr>
    </w:p>
    <w:p w:rsidR="00043C32" w:rsidRPr="0077591E" w:rsidP="00AD381B" w14:paraId="3BA91AFF" w14:textId="0C406A97">
      <w:pPr>
        <w:tabs>
          <w:tab w:val="left" w:pos="-720"/>
        </w:tabs>
        <w:suppressAutoHyphens/>
        <w:rPr>
          <w:rFonts w:ascii="Times New Roman" w:hAnsi="Times New Roman"/>
          <w:bCs/>
          <w:szCs w:val="24"/>
        </w:rPr>
      </w:pPr>
      <w:r w:rsidRPr="00ED7195">
        <w:rPr>
          <w:rFonts w:ascii="Times New Roman" w:hAnsi="Times New Roman"/>
          <w:b/>
          <w:szCs w:val="24"/>
        </w:rPr>
        <w:tab/>
      </w:r>
      <w:r w:rsidRPr="0077591E">
        <w:rPr>
          <w:rFonts w:ascii="Times New Roman" w:hAnsi="Times New Roman"/>
          <w:bCs/>
          <w:szCs w:val="24"/>
        </w:rPr>
        <w:t>Total Annualized Capital/Startup Cost</w:t>
      </w:r>
      <w:r w:rsidRPr="0077591E">
        <w:rPr>
          <w:rFonts w:ascii="Times New Roman" w:hAnsi="Times New Roman"/>
          <w:bCs/>
          <w:szCs w:val="24"/>
        </w:rPr>
        <w:tab/>
        <w:t>:</w:t>
      </w:r>
      <w:r w:rsidRPr="0077591E" w:rsidR="0077591E">
        <w:rPr>
          <w:rFonts w:ascii="Times New Roman" w:hAnsi="Times New Roman"/>
          <w:bCs/>
          <w:szCs w:val="24"/>
        </w:rPr>
        <w:t>0</w:t>
      </w:r>
    </w:p>
    <w:p w:rsidR="00043C32" w:rsidRPr="0077591E" w:rsidP="00AD381B" w14:paraId="617D6C98" w14:textId="77E6106D">
      <w:pPr>
        <w:tabs>
          <w:tab w:val="left" w:pos="-720"/>
        </w:tabs>
        <w:suppressAutoHyphens/>
        <w:rPr>
          <w:rFonts w:ascii="Times New Roman" w:hAnsi="Times New Roman"/>
          <w:bCs/>
          <w:szCs w:val="24"/>
        </w:rPr>
      </w:pPr>
      <w:r w:rsidRPr="0077591E">
        <w:rPr>
          <w:rFonts w:ascii="Times New Roman" w:hAnsi="Times New Roman"/>
          <w:bCs/>
          <w:szCs w:val="24"/>
        </w:rPr>
        <w:tab/>
        <w:t>Total Annual Costs (O&amp;M)</w:t>
      </w:r>
      <w:r w:rsidRPr="0077591E">
        <w:rPr>
          <w:rFonts w:ascii="Times New Roman" w:hAnsi="Times New Roman"/>
          <w:bCs/>
          <w:szCs w:val="24"/>
        </w:rPr>
        <w:tab/>
      </w:r>
      <w:r w:rsidRPr="0077591E">
        <w:rPr>
          <w:rFonts w:ascii="Times New Roman" w:hAnsi="Times New Roman"/>
          <w:bCs/>
          <w:szCs w:val="24"/>
        </w:rPr>
        <w:tab/>
      </w:r>
      <w:r w:rsidRPr="0077591E" w:rsidR="009243F3">
        <w:rPr>
          <w:rFonts w:ascii="Times New Roman" w:hAnsi="Times New Roman"/>
          <w:bCs/>
          <w:szCs w:val="24"/>
        </w:rPr>
        <w:tab/>
      </w:r>
      <w:r w:rsidRPr="0077591E">
        <w:rPr>
          <w:rFonts w:ascii="Times New Roman" w:hAnsi="Times New Roman"/>
          <w:bCs/>
          <w:szCs w:val="24"/>
        </w:rPr>
        <w:t>:</w:t>
      </w:r>
      <w:r w:rsidRPr="0077591E" w:rsidR="0077591E">
        <w:rPr>
          <w:rFonts w:ascii="Times New Roman" w:hAnsi="Times New Roman"/>
          <w:bCs/>
          <w:szCs w:val="24"/>
        </w:rPr>
        <w:t>0</w:t>
      </w:r>
      <w:r w:rsidRPr="0077591E">
        <w:rPr>
          <w:rFonts w:ascii="Times New Roman" w:hAnsi="Times New Roman"/>
          <w:bCs/>
          <w:szCs w:val="24"/>
        </w:rPr>
        <w:t>___________________</w:t>
      </w:r>
    </w:p>
    <w:p w:rsidR="00043C32" w:rsidRPr="0077591E" w:rsidP="00AD381B" w14:paraId="23BBF9C2" w14:textId="50112DE4">
      <w:pPr>
        <w:tabs>
          <w:tab w:val="left" w:pos="-720"/>
        </w:tabs>
        <w:suppressAutoHyphens/>
        <w:rPr>
          <w:rFonts w:ascii="Times New Roman" w:hAnsi="Times New Roman"/>
          <w:bCs/>
          <w:szCs w:val="24"/>
        </w:rPr>
      </w:pPr>
      <w:r w:rsidRPr="0077591E">
        <w:rPr>
          <w:rFonts w:ascii="Times New Roman" w:hAnsi="Times New Roman"/>
          <w:bCs/>
          <w:szCs w:val="24"/>
        </w:rPr>
        <w:tab/>
        <w:t>Total Annualized Costs Requested</w:t>
      </w:r>
      <w:r w:rsidRPr="0077591E">
        <w:rPr>
          <w:rFonts w:ascii="Times New Roman" w:hAnsi="Times New Roman"/>
          <w:bCs/>
          <w:szCs w:val="24"/>
        </w:rPr>
        <w:tab/>
      </w:r>
      <w:r w:rsidRPr="0077591E" w:rsidR="009243F3">
        <w:rPr>
          <w:rFonts w:ascii="Times New Roman" w:hAnsi="Times New Roman"/>
          <w:bCs/>
          <w:szCs w:val="24"/>
        </w:rPr>
        <w:tab/>
      </w:r>
      <w:r w:rsidRPr="0077591E">
        <w:rPr>
          <w:rFonts w:ascii="Times New Roman" w:hAnsi="Times New Roman"/>
          <w:bCs/>
          <w:szCs w:val="24"/>
        </w:rPr>
        <w:t>:</w:t>
      </w:r>
      <w:r w:rsidRPr="0077591E" w:rsidR="0077591E">
        <w:rPr>
          <w:rFonts w:ascii="Times New Roman" w:hAnsi="Times New Roman"/>
          <w:bCs/>
          <w:szCs w:val="24"/>
        </w:rPr>
        <w:t>0</w:t>
      </w:r>
    </w:p>
    <w:p w:rsidR="00043C32" w:rsidRPr="0077591E" w:rsidP="00AD381B" w14:paraId="7D694896" w14:textId="77777777">
      <w:pPr>
        <w:tabs>
          <w:tab w:val="left" w:pos="-720"/>
        </w:tabs>
        <w:suppressAutoHyphens/>
        <w:rPr>
          <w:rFonts w:ascii="Times New Roman" w:hAnsi="Times New Roman"/>
          <w:bCs/>
          <w:szCs w:val="24"/>
        </w:rPr>
      </w:pPr>
    </w:p>
    <w:p w:rsidR="00043C32" w:rsidRPr="00534B4A" w:rsidP="00AD381B" w14:paraId="4B129CC6"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14:paraId="2415428E" w14:textId="43029FBB">
      <w:pPr>
        <w:tabs>
          <w:tab w:val="left" w:pos="-720"/>
        </w:tabs>
        <w:suppressAutoHyphens/>
        <w:rPr>
          <w:rFonts w:ascii="Times New Roman" w:hAnsi="Times New Roman"/>
          <w:szCs w:val="24"/>
        </w:rPr>
      </w:pPr>
      <w:r>
        <w:rPr>
          <w:rFonts w:ascii="Times New Roman" w:hAnsi="Times New Roman"/>
          <w:szCs w:val="24"/>
        </w:rPr>
        <w:tab/>
      </w:r>
    </w:p>
    <w:p w:rsidR="00214A14" w:rsidP="00534B4A" w14:paraId="466A2333" w14:textId="77777777">
      <w:pPr>
        <w:tabs>
          <w:tab w:val="left" w:pos="-720"/>
        </w:tabs>
        <w:suppressAutoHyphens/>
        <w:rPr>
          <w:rFonts w:ascii="Times New Roman" w:hAnsi="Times New Roman"/>
          <w:szCs w:val="24"/>
        </w:rPr>
      </w:pPr>
      <w:r>
        <w:rPr>
          <w:rFonts w:ascii="Times New Roman" w:hAnsi="Times New Roman"/>
          <w:szCs w:val="24"/>
        </w:rPr>
        <w:tab/>
      </w:r>
    </w:p>
    <w:tbl>
      <w:tblPr>
        <w:tblStyle w:val="TableGrid"/>
        <w:tblW w:w="9480" w:type="dxa"/>
        <w:tblLook w:val="04A0"/>
      </w:tblPr>
      <w:tblGrid>
        <w:gridCol w:w="2974"/>
        <w:gridCol w:w="1225"/>
        <w:gridCol w:w="1335"/>
        <w:gridCol w:w="1593"/>
        <w:gridCol w:w="2353"/>
      </w:tblGrid>
      <w:tr w14:paraId="1BE7CEC6" w14:textId="77777777" w:rsidTr="00AE308B">
        <w:tblPrEx>
          <w:tblW w:w="9480" w:type="dxa"/>
          <w:tblLook w:val="04A0"/>
        </w:tblPrEx>
        <w:trPr>
          <w:trHeight w:val="825"/>
        </w:trPr>
        <w:tc>
          <w:tcPr>
            <w:tcW w:w="2974" w:type="dxa"/>
            <w:hideMark/>
          </w:tcPr>
          <w:p w:rsidR="00E7529B" w:rsidRPr="0035766C" w:rsidP="000D7DBE" w14:paraId="55A92B2D" w14:textId="2518A2F2">
            <w:pPr>
              <w:jc w:val="center"/>
              <w:rPr>
                <w:rFonts w:ascii="Times New Roman" w:hAnsi="Times New Roman"/>
                <w:b/>
                <w:bCs/>
                <w:color w:val="000000"/>
                <w:sz w:val="22"/>
                <w:szCs w:val="22"/>
              </w:rPr>
            </w:pPr>
            <w:r w:rsidRPr="0035766C">
              <w:rPr>
                <w:rFonts w:ascii="Times New Roman" w:hAnsi="Times New Roman"/>
                <w:b/>
                <w:bCs/>
                <w:color w:val="000000"/>
                <w:sz w:val="22"/>
                <w:szCs w:val="28"/>
              </w:rPr>
              <w:t>Operational</w:t>
            </w:r>
            <w:r w:rsidR="000D7DBE">
              <w:rPr>
                <w:rFonts w:ascii="Times New Roman" w:hAnsi="Times New Roman"/>
                <w:b/>
                <w:bCs/>
                <w:color w:val="000000"/>
                <w:sz w:val="22"/>
                <w:szCs w:val="28"/>
              </w:rPr>
              <w:t xml:space="preserve"> </w:t>
            </w:r>
            <w:r w:rsidRPr="0035766C">
              <w:rPr>
                <w:rFonts w:ascii="Times New Roman" w:hAnsi="Times New Roman"/>
                <w:b/>
                <w:bCs/>
                <w:color w:val="000000"/>
                <w:sz w:val="22"/>
                <w:szCs w:val="28"/>
              </w:rPr>
              <w:t>or Programmatic Task</w:t>
            </w:r>
          </w:p>
        </w:tc>
        <w:tc>
          <w:tcPr>
            <w:tcW w:w="1225" w:type="dxa"/>
            <w:hideMark/>
          </w:tcPr>
          <w:p w:rsidR="00E7529B" w:rsidRPr="00DF49E6" w:rsidP="00AE308B" w14:paraId="55EA518F" w14:textId="77777777">
            <w:pPr>
              <w:jc w:val="center"/>
              <w:rPr>
                <w:rFonts w:ascii="Times New Roman" w:hAnsi="Times New Roman"/>
                <w:b/>
                <w:bCs/>
                <w:color w:val="000000"/>
                <w:sz w:val="22"/>
                <w:szCs w:val="22"/>
              </w:rPr>
            </w:pPr>
            <w:r w:rsidRPr="5C8E5E77">
              <w:rPr>
                <w:rFonts w:ascii="Times New Roman" w:hAnsi="Times New Roman"/>
                <w:b/>
                <w:bCs/>
                <w:color w:val="000000" w:themeColor="text1"/>
                <w:sz w:val="22"/>
                <w:szCs w:val="22"/>
              </w:rPr>
              <w:t>Wage per Hour ($)</w:t>
            </w:r>
          </w:p>
        </w:tc>
        <w:tc>
          <w:tcPr>
            <w:tcW w:w="1335" w:type="dxa"/>
            <w:hideMark/>
          </w:tcPr>
          <w:p w:rsidR="00E7529B" w:rsidRPr="00DF49E6" w:rsidP="00AE308B" w14:paraId="1947D097" w14:textId="77777777">
            <w:pPr>
              <w:jc w:val="center"/>
              <w:rPr>
                <w:rFonts w:ascii="Times New Roman" w:hAnsi="Times New Roman"/>
                <w:b/>
                <w:bCs/>
                <w:color w:val="000000"/>
                <w:sz w:val="22"/>
                <w:szCs w:val="22"/>
              </w:rPr>
            </w:pPr>
            <w:r w:rsidRPr="5C8E5E77">
              <w:rPr>
                <w:rFonts w:ascii="Times New Roman" w:hAnsi="Times New Roman"/>
                <w:b/>
                <w:bCs/>
                <w:color w:val="000000" w:themeColor="text1"/>
                <w:sz w:val="22"/>
                <w:szCs w:val="22"/>
              </w:rPr>
              <w:t>Staff Resources (number)</w:t>
            </w:r>
          </w:p>
        </w:tc>
        <w:tc>
          <w:tcPr>
            <w:tcW w:w="1593" w:type="dxa"/>
            <w:hideMark/>
          </w:tcPr>
          <w:p w:rsidR="00E7529B" w:rsidRPr="00DF49E6" w:rsidP="00AE308B" w14:paraId="7319EB12" w14:textId="77777777">
            <w:pPr>
              <w:jc w:val="center"/>
              <w:rPr>
                <w:rFonts w:ascii="Times New Roman" w:hAnsi="Times New Roman"/>
                <w:b/>
                <w:bCs/>
                <w:color w:val="000000"/>
                <w:sz w:val="22"/>
                <w:szCs w:val="22"/>
              </w:rPr>
            </w:pPr>
            <w:r w:rsidRPr="5C8E5E77">
              <w:rPr>
                <w:rFonts w:ascii="Times New Roman" w:hAnsi="Times New Roman"/>
                <w:b/>
                <w:bCs/>
                <w:color w:val="000000" w:themeColor="text1"/>
                <w:sz w:val="22"/>
                <w:szCs w:val="22"/>
              </w:rPr>
              <w:t>Total Hours</w:t>
            </w:r>
          </w:p>
        </w:tc>
        <w:tc>
          <w:tcPr>
            <w:tcW w:w="2353" w:type="dxa"/>
            <w:hideMark/>
          </w:tcPr>
          <w:p w:rsidR="00E7529B" w:rsidRPr="00DF49E6" w:rsidP="00AE308B" w14:paraId="445C16E9" w14:textId="77777777">
            <w:pPr>
              <w:jc w:val="center"/>
              <w:rPr>
                <w:rFonts w:ascii="Times New Roman" w:hAnsi="Times New Roman"/>
                <w:b/>
                <w:bCs/>
                <w:color w:val="000000"/>
                <w:sz w:val="22"/>
                <w:szCs w:val="22"/>
              </w:rPr>
            </w:pPr>
            <w:r w:rsidRPr="5C8E5E77">
              <w:rPr>
                <w:rFonts w:ascii="Times New Roman" w:hAnsi="Times New Roman"/>
                <w:b/>
                <w:bCs/>
                <w:color w:val="000000" w:themeColor="text1"/>
                <w:sz w:val="22"/>
                <w:szCs w:val="22"/>
              </w:rPr>
              <w:t>Cost to Federal Government ($)</w:t>
            </w:r>
          </w:p>
        </w:tc>
      </w:tr>
      <w:tr w14:paraId="6730DFAF" w14:textId="77777777" w:rsidTr="00AE308B">
        <w:tblPrEx>
          <w:tblW w:w="9480" w:type="dxa"/>
          <w:tblLook w:val="04A0"/>
        </w:tblPrEx>
        <w:trPr>
          <w:trHeight w:val="682"/>
        </w:trPr>
        <w:tc>
          <w:tcPr>
            <w:tcW w:w="2974" w:type="dxa"/>
            <w:hideMark/>
          </w:tcPr>
          <w:p w:rsidR="00E7529B" w:rsidRPr="00DF49E6" w:rsidP="00AE308B" w14:paraId="26F44B83" w14:textId="77777777">
            <w:pPr>
              <w:rPr>
                <w:rFonts w:ascii="Times New Roman" w:hAnsi="Times New Roman"/>
                <w:color w:val="000000"/>
                <w:sz w:val="22"/>
                <w:szCs w:val="22"/>
              </w:rPr>
            </w:pPr>
            <w:r w:rsidRPr="00DF49E6">
              <w:rPr>
                <w:rFonts w:ascii="Times New Roman" w:hAnsi="Times New Roman"/>
                <w:color w:val="000000"/>
                <w:sz w:val="22"/>
              </w:rPr>
              <w:t xml:space="preserve">ICC Package: Supporting Statement, Data Forms, and PRA statement </w:t>
            </w:r>
          </w:p>
        </w:tc>
        <w:tc>
          <w:tcPr>
            <w:tcW w:w="1225" w:type="dxa"/>
            <w:hideMark/>
          </w:tcPr>
          <w:p w:rsidR="00E7529B" w:rsidRPr="00DF49E6" w:rsidP="00AE308B" w14:paraId="0501A24E" w14:textId="77777777">
            <w:pPr>
              <w:jc w:val="center"/>
              <w:rPr>
                <w:rFonts w:ascii="Times New Roman" w:hAnsi="Times New Roman"/>
                <w:color w:val="000000"/>
                <w:sz w:val="22"/>
                <w:szCs w:val="22"/>
              </w:rPr>
            </w:pPr>
            <w:r w:rsidRPr="00DF49E6">
              <w:rPr>
                <w:rFonts w:ascii="Times New Roman" w:hAnsi="Times New Roman"/>
                <w:color w:val="000000"/>
                <w:sz w:val="22"/>
              </w:rPr>
              <w:t>7</w:t>
            </w:r>
            <w:r>
              <w:rPr>
                <w:rFonts w:ascii="Times New Roman" w:hAnsi="Times New Roman"/>
                <w:color w:val="000000"/>
                <w:sz w:val="22"/>
              </w:rPr>
              <w:t>8</w:t>
            </w:r>
          </w:p>
        </w:tc>
        <w:tc>
          <w:tcPr>
            <w:tcW w:w="1335" w:type="dxa"/>
            <w:hideMark/>
          </w:tcPr>
          <w:p w:rsidR="00E7529B" w:rsidRPr="00DF49E6" w:rsidP="00AE308B" w14:paraId="2ABC4947" w14:textId="77777777">
            <w:pPr>
              <w:jc w:val="center"/>
              <w:rPr>
                <w:rFonts w:ascii="Times New Roman" w:hAnsi="Times New Roman"/>
                <w:color w:val="000000"/>
                <w:sz w:val="22"/>
                <w:szCs w:val="22"/>
              </w:rPr>
            </w:pPr>
            <w:r w:rsidRPr="00DF49E6">
              <w:rPr>
                <w:rFonts w:ascii="Times New Roman" w:hAnsi="Times New Roman"/>
                <w:color w:val="000000"/>
                <w:sz w:val="22"/>
              </w:rPr>
              <w:t>1</w:t>
            </w:r>
          </w:p>
        </w:tc>
        <w:tc>
          <w:tcPr>
            <w:tcW w:w="1593" w:type="dxa"/>
            <w:hideMark/>
          </w:tcPr>
          <w:p w:rsidR="00E7529B" w:rsidRPr="00DF49E6" w:rsidP="00AE308B" w14:paraId="1453F273" w14:textId="77777777">
            <w:pPr>
              <w:jc w:val="center"/>
              <w:rPr>
                <w:rFonts w:ascii="Times New Roman" w:hAnsi="Times New Roman"/>
                <w:color w:val="000000"/>
                <w:sz w:val="22"/>
                <w:szCs w:val="22"/>
              </w:rPr>
            </w:pPr>
            <w:r w:rsidRPr="00DF49E6">
              <w:rPr>
                <w:rFonts w:ascii="Times New Roman" w:hAnsi="Times New Roman"/>
                <w:color w:val="000000"/>
                <w:sz w:val="22"/>
                <w:szCs w:val="22"/>
              </w:rPr>
              <w:t>9</w:t>
            </w:r>
          </w:p>
        </w:tc>
        <w:tc>
          <w:tcPr>
            <w:tcW w:w="2353" w:type="dxa"/>
          </w:tcPr>
          <w:p w:rsidR="00E7529B" w:rsidRPr="00BB7425" w:rsidP="00AE308B" w14:paraId="7388EE74" w14:textId="77777777">
            <w:pPr>
              <w:jc w:val="center"/>
              <w:rPr>
                <w:rFonts w:ascii="Times New Roman" w:hAnsi="Times New Roman"/>
                <w:color w:val="000000"/>
                <w:sz w:val="22"/>
                <w:szCs w:val="22"/>
              </w:rPr>
            </w:pPr>
            <w:r>
              <w:rPr>
                <w:rFonts w:ascii="Times New Roman" w:hAnsi="Times New Roman"/>
                <w:color w:val="000000"/>
                <w:sz w:val="22"/>
                <w:szCs w:val="22"/>
              </w:rPr>
              <w:t>$702</w:t>
            </w:r>
          </w:p>
        </w:tc>
      </w:tr>
      <w:tr w14:paraId="5B6F7AE2" w14:textId="77777777" w:rsidTr="00AE308B">
        <w:tblPrEx>
          <w:tblW w:w="9480" w:type="dxa"/>
          <w:tblLook w:val="04A0"/>
        </w:tblPrEx>
        <w:trPr>
          <w:trHeight w:val="880"/>
        </w:trPr>
        <w:tc>
          <w:tcPr>
            <w:tcW w:w="2974" w:type="dxa"/>
            <w:hideMark/>
          </w:tcPr>
          <w:p w:rsidR="00E7529B" w:rsidRPr="00DF49E6" w:rsidP="00AE308B" w14:paraId="59022D0A" w14:textId="77777777">
            <w:pPr>
              <w:rPr>
                <w:rFonts w:ascii="Times New Roman" w:hAnsi="Times New Roman"/>
                <w:color w:val="000000"/>
                <w:sz w:val="22"/>
                <w:szCs w:val="22"/>
              </w:rPr>
            </w:pPr>
            <w:r w:rsidRPr="00DF49E6">
              <w:rPr>
                <w:rFonts w:ascii="Times New Roman" w:hAnsi="Times New Roman"/>
                <w:color w:val="000000"/>
                <w:sz w:val="22"/>
              </w:rPr>
              <w:t>Develop application forms and instructions for OMB clearance</w:t>
            </w:r>
          </w:p>
        </w:tc>
        <w:tc>
          <w:tcPr>
            <w:tcW w:w="1225" w:type="dxa"/>
            <w:hideMark/>
          </w:tcPr>
          <w:p w:rsidR="00E7529B" w:rsidRPr="00DF49E6" w:rsidP="00AE308B" w14:paraId="4386CB20" w14:textId="77777777">
            <w:pPr>
              <w:jc w:val="center"/>
              <w:rPr>
                <w:rFonts w:ascii="Times New Roman" w:hAnsi="Times New Roman"/>
                <w:color w:val="000000"/>
                <w:sz w:val="22"/>
                <w:szCs w:val="22"/>
              </w:rPr>
            </w:pPr>
            <w:r>
              <w:rPr>
                <w:rFonts w:ascii="Times New Roman" w:hAnsi="Times New Roman"/>
                <w:color w:val="000000"/>
                <w:sz w:val="22"/>
              </w:rPr>
              <w:t>49</w:t>
            </w:r>
            <w:r w:rsidRPr="00DF49E6">
              <w:rPr>
                <w:rFonts w:ascii="Times New Roman" w:hAnsi="Times New Roman"/>
                <w:color w:val="000000"/>
                <w:sz w:val="22"/>
              </w:rPr>
              <w:t xml:space="preserve"> </w:t>
            </w:r>
          </w:p>
        </w:tc>
        <w:tc>
          <w:tcPr>
            <w:tcW w:w="1335" w:type="dxa"/>
            <w:hideMark/>
          </w:tcPr>
          <w:p w:rsidR="00E7529B" w:rsidRPr="00DF49E6" w:rsidP="00AE308B" w14:paraId="252B5315" w14:textId="77777777">
            <w:pPr>
              <w:jc w:val="center"/>
              <w:rPr>
                <w:rFonts w:ascii="Times New Roman" w:hAnsi="Times New Roman"/>
                <w:color w:val="000000"/>
                <w:sz w:val="22"/>
                <w:szCs w:val="22"/>
              </w:rPr>
            </w:pPr>
            <w:r w:rsidRPr="00DF49E6">
              <w:rPr>
                <w:rFonts w:ascii="Times New Roman" w:hAnsi="Times New Roman"/>
                <w:color w:val="000000"/>
                <w:sz w:val="22"/>
              </w:rPr>
              <w:t>1</w:t>
            </w:r>
          </w:p>
        </w:tc>
        <w:tc>
          <w:tcPr>
            <w:tcW w:w="1593" w:type="dxa"/>
            <w:hideMark/>
          </w:tcPr>
          <w:p w:rsidR="00E7529B" w:rsidRPr="00DF49E6" w:rsidP="00AE308B" w14:paraId="0A1F18E9" w14:textId="77777777">
            <w:pPr>
              <w:jc w:val="center"/>
              <w:rPr>
                <w:rFonts w:ascii="Times New Roman" w:hAnsi="Times New Roman"/>
                <w:color w:val="000000"/>
                <w:sz w:val="22"/>
                <w:szCs w:val="22"/>
              </w:rPr>
            </w:pPr>
            <w:r w:rsidRPr="00DF49E6">
              <w:rPr>
                <w:rFonts w:ascii="Times New Roman" w:hAnsi="Times New Roman"/>
                <w:color w:val="000000"/>
                <w:sz w:val="22"/>
                <w:szCs w:val="22"/>
              </w:rPr>
              <w:t>2</w:t>
            </w:r>
            <w:r w:rsidRPr="00F145F8">
              <w:rPr>
                <w:rFonts w:ascii="Times New Roman" w:hAnsi="Times New Roman"/>
                <w:color w:val="000000"/>
                <w:sz w:val="22"/>
                <w:szCs w:val="22"/>
              </w:rPr>
              <w:t>7</w:t>
            </w:r>
          </w:p>
        </w:tc>
        <w:tc>
          <w:tcPr>
            <w:tcW w:w="2353" w:type="dxa"/>
            <w:hideMark/>
          </w:tcPr>
          <w:p w:rsidR="00E7529B" w:rsidRPr="00DF49E6" w:rsidP="00AE308B" w14:paraId="660B52AC" w14:textId="77777777">
            <w:pPr>
              <w:jc w:val="center"/>
              <w:rPr>
                <w:rFonts w:ascii="Times New Roman" w:hAnsi="Times New Roman"/>
                <w:color w:val="000000"/>
                <w:sz w:val="22"/>
                <w:szCs w:val="22"/>
              </w:rPr>
            </w:pPr>
            <w:r w:rsidRPr="5C8E5E77">
              <w:rPr>
                <w:rFonts w:ascii="Times New Roman" w:hAnsi="Times New Roman"/>
                <w:color w:val="000000" w:themeColor="text1"/>
                <w:sz w:val="22"/>
                <w:szCs w:val="22"/>
              </w:rPr>
              <w:t>$1,323</w:t>
            </w:r>
          </w:p>
        </w:tc>
      </w:tr>
      <w:tr w14:paraId="4220BC7C" w14:textId="77777777" w:rsidTr="00AE308B">
        <w:tblPrEx>
          <w:tblW w:w="9480" w:type="dxa"/>
          <w:tblLook w:val="04A0"/>
        </w:tblPrEx>
        <w:trPr>
          <w:trHeight w:val="585"/>
        </w:trPr>
        <w:tc>
          <w:tcPr>
            <w:tcW w:w="2974" w:type="dxa"/>
            <w:vMerge w:val="restart"/>
            <w:hideMark/>
          </w:tcPr>
          <w:p w:rsidR="00E7529B" w:rsidRPr="00DF49E6" w:rsidP="00AE308B" w14:paraId="5ECA073E" w14:textId="77777777">
            <w:pPr>
              <w:rPr>
                <w:rFonts w:ascii="Times New Roman" w:hAnsi="Times New Roman"/>
                <w:color w:val="000000"/>
                <w:sz w:val="22"/>
                <w:szCs w:val="22"/>
              </w:rPr>
            </w:pPr>
            <w:r w:rsidRPr="00DF49E6">
              <w:rPr>
                <w:rFonts w:ascii="Times New Roman" w:hAnsi="Times New Roman"/>
                <w:color w:val="000000"/>
                <w:sz w:val="22"/>
                <w:szCs w:val="22"/>
              </w:rPr>
              <w:t xml:space="preserve">Prepare Notice Inviting Applications </w:t>
            </w:r>
          </w:p>
        </w:tc>
        <w:tc>
          <w:tcPr>
            <w:tcW w:w="1225" w:type="dxa"/>
            <w:vMerge w:val="restart"/>
            <w:hideMark/>
          </w:tcPr>
          <w:p w:rsidR="00E7529B" w:rsidRPr="00DF49E6" w:rsidP="00AE308B" w14:paraId="0784B8E2" w14:textId="77777777">
            <w:pPr>
              <w:jc w:val="center"/>
              <w:rPr>
                <w:rFonts w:ascii="Times New Roman" w:hAnsi="Times New Roman"/>
                <w:color w:val="000000"/>
                <w:sz w:val="22"/>
                <w:szCs w:val="22"/>
              </w:rPr>
            </w:pPr>
            <w:r>
              <w:rPr>
                <w:rFonts w:ascii="Times New Roman" w:hAnsi="Times New Roman"/>
                <w:color w:val="000000"/>
                <w:sz w:val="22"/>
                <w:szCs w:val="22"/>
              </w:rPr>
              <w:t>49</w:t>
            </w:r>
          </w:p>
        </w:tc>
        <w:tc>
          <w:tcPr>
            <w:tcW w:w="1335" w:type="dxa"/>
            <w:vMerge w:val="restart"/>
            <w:hideMark/>
          </w:tcPr>
          <w:p w:rsidR="00E7529B" w:rsidRPr="00DF49E6" w:rsidP="00AE308B" w14:paraId="09B56409" w14:textId="77777777">
            <w:pPr>
              <w:jc w:val="center"/>
              <w:rPr>
                <w:rFonts w:ascii="Times New Roman" w:hAnsi="Times New Roman"/>
                <w:color w:val="000000"/>
                <w:sz w:val="22"/>
                <w:szCs w:val="22"/>
              </w:rPr>
            </w:pPr>
            <w:r w:rsidRPr="00DF49E6">
              <w:rPr>
                <w:rFonts w:ascii="Times New Roman" w:hAnsi="Times New Roman"/>
                <w:color w:val="000000"/>
                <w:sz w:val="22"/>
              </w:rPr>
              <w:t>1</w:t>
            </w:r>
          </w:p>
        </w:tc>
        <w:tc>
          <w:tcPr>
            <w:tcW w:w="1593" w:type="dxa"/>
            <w:vMerge w:val="restart"/>
            <w:hideMark/>
          </w:tcPr>
          <w:p w:rsidR="00E7529B" w:rsidRPr="00DF49E6" w:rsidP="00AE308B" w14:paraId="0ECB6E03" w14:textId="77777777">
            <w:pPr>
              <w:jc w:val="center"/>
              <w:rPr>
                <w:rFonts w:ascii="Times New Roman" w:hAnsi="Times New Roman"/>
                <w:color w:val="000000"/>
                <w:sz w:val="22"/>
                <w:szCs w:val="22"/>
              </w:rPr>
            </w:pPr>
            <w:r w:rsidRPr="00DF49E6">
              <w:rPr>
                <w:rFonts w:ascii="Times New Roman" w:hAnsi="Times New Roman"/>
                <w:color w:val="000000"/>
                <w:sz w:val="22"/>
                <w:szCs w:val="22"/>
              </w:rPr>
              <w:t>1</w:t>
            </w:r>
            <w:r w:rsidRPr="00F145F8">
              <w:rPr>
                <w:rFonts w:ascii="Times New Roman" w:hAnsi="Times New Roman"/>
                <w:color w:val="000000"/>
                <w:sz w:val="22"/>
                <w:szCs w:val="22"/>
              </w:rPr>
              <w:t>8</w:t>
            </w:r>
          </w:p>
        </w:tc>
        <w:tc>
          <w:tcPr>
            <w:tcW w:w="2353" w:type="dxa"/>
            <w:vMerge w:val="restart"/>
            <w:hideMark/>
          </w:tcPr>
          <w:p w:rsidR="00E7529B" w:rsidRPr="00DF49E6" w:rsidP="00AE308B" w14:paraId="2D481A2B" w14:textId="77777777">
            <w:pPr>
              <w:jc w:val="center"/>
              <w:rPr>
                <w:rFonts w:ascii="Times New Roman" w:hAnsi="Times New Roman"/>
                <w:color w:val="000000"/>
                <w:sz w:val="22"/>
                <w:szCs w:val="22"/>
              </w:rPr>
            </w:pPr>
            <w:r w:rsidRPr="5C8E5E77">
              <w:rPr>
                <w:rFonts w:ascii="Times New Roman" w:hAnsi="Times New Roman"/>
                <w:color w:val="000000" w:themeColor="text1"/>
                <w:sz w:val="22"/>
                <w:szCs w:val="22"/>
              </w:rPr>
              <w:t>$637</w:t>
            </w:r>
          </w:p>
        </w:tc>
      </w:tr>
      <w:tr w14:paraId="5F7C10CD" w14:textId="77777777" w:rsidTr="00AE308B">
        <w:tblPrEx>
          <w:tblW w:w="9480" w:type="dxa"/>
          <w:tblLook w:val="04A0"/>
        </w:tblPrEx>
        <w:trPr>
          <w:trHeight w:val="585"/>
        </w:trPr>
        <w:tc>
          <w:tcPr>
            <w:tcW w:w="2974" w:type="dxa"/>
            <w:vMerge/>
          </w:tcPr>
          <w:p w:rsidR="00E7529B" w:rsidRPr="00DF49E6" w:rsidP="00AE308B" w14:paraId="7CEBCB38" w14:textId="77777777">
            <w:pPr>
              <w:rPr>
                <w:rFonts w:ascii="Times New Roman" w:hAnsi="Times New Roman"/>
                <w:color w:val="000000"/>
                <w:sz w:val="22"/>
                <w:szCs w:val="22"/>
              </w:rPr>
            </w:pPr>
          </w:p>
        </w:tc>
        <w:tc>
          <w:tcPr>
            <w:tcW w:w="1225" w:type="dxa"/>
            <w:vMerge/>
          </w:tcPr>
          <w:p w:rsidR="00E7529B" w:rsidRPr="00DF49E6" w:rsidP="00AE308B" w14:paraId="7CE00BF1" w14:textId="77777777">
            <w:pPr>
              <w:jc w:val="center"/>
              <w:rPr>
                <w:rFonts w:ascii="Times New Roman" w:hAnsi="Times New Roman"/>
                <w:color w:val="000000"/>
                <w:sz w:val="22"/>
                <w:szCs w:val="22"/>
              </w:rPr>
            </w:pPr>
          </w:p>
        </w:tc>
        <w:tc>
          <w:tcPr>
            <w:tcW w:w="1335" w:type="dxa"/>
            <w:vMerge/>
          </w:tcPr>
          <w:p w:rsidR="00E7529B" w:rsidRPr="00DF49E6" w:rsidP="00AE308B" w14:paraId="3A370C45" w14:textId="77777777">
            <w:pPr>
              <w:jc w:val="center"/>
              <w:rPr>
                <w:rFonts w:ascii="Times New Roman" w:hAnsi="Times New Roman"/>
                <w:color w:val="000000"/>
                <w:sz w:val="22"/>
              </w:rPr>
            </w:pPr>
          </w:p>
        </w:tc>
        <w:tc>
          <w:tcPr>
            <w:tcW w:w="1593" w:type="dxa"/>
            <w:vMerge/>
          </w:tcPr>
          <w:p w:rsidR="00E7529B" w:rsidRPr="00DF49E6" w:rsidP="00AE308B" w14:paraId="6CDE864F" w14:textId="77777777">
            <w:pPr>
              <w:jc w:val="center"/>
              <w:rPr>
                <w:rFonts w:ascii="Times New Roman" w:hAnsi="Times New Roman"/>
                <w:color w:val="000000"/>
                <w:sz w:val="22"/>
                <w:szCs w:val="22"/>
              </w:rPr>
            </w:pPr>
          </w:p>
        </w:tc>
        <w:tc>
          <w:tcPr>
            <w:tcW w:w="2353" w:type="dxa"/>
            <w:vMerge/>
          </w:tcPr>
          <w:p w:rsidR="00E7529B" w:rsidRPr="00DF49E6" w:rsidP="00AE308B" w14:paraId="2FD37D56" w14:textId="77777777">
            <w:pPr>
              <w:jc w:val="center"/>
              <w:rPr>
                <w:rFonts w:ascii="Times New Roman" w:hAnsi="Times New Roman"/>
                <w:color w:val="000000"/>
                <w:sz w:val="22"/>
                <w:szCs w:val="22"/>
              </w:rPr>
            </w:pPr>
          </w:p>
        </w:tc>
      </w:tr>
      <w:tr w14:paraId="57C7A494" w14:textId="77777777" w:rsidTr="00AE308B">
        <w:tblPrEx>
          <w:tblW w:w="9480" w:type="dxa"/>
          <w:tblLook w:val="04A0"/>
        </w:tblPrEx>
        <w:trPr>
          <w:trHeight w:val="272"/>
        </w:trPr>
        <w:tc>
          <w:tcPr>
            <w:tcW w:w="2974" w:type="dxa"/>
            <w:vMerge/>
            <w:hideMark/>
          </w:tcPr>
          <w:p w:rsidR="00E7529B" w:rsidRPr="00DF49E6" w:rsidP="00AE308B" w14:paraId="359D6A08" w14:textId="77777777">
            <w:pPr>
              <w:rPr>
                <w:rFonts w:ascii="Times New Roman" w:hAnsi="Times New Roman"/>
                <w:color w:val="000000"/>
                <w:sz w:val="22"/>
                <w:szCs w:val="22"/>
              </w:rPr>
            </w:pPr>
          </w:p>
        </w:tc>
        <w:tc>
          <w:tcPr>
            <w:tcW w:w="1225" w:type="dxa"/>
            <w:vMerge/>
            <w:hideMark/>
          </w:tcPr>
          <w:p w:rsidR="00E7529B" w:rsidRPr="00DF49E6" w:rsidP="00AE308B" w14:paraId="72F97B69" w14:textId="77777777">
            <w:pPr>
              <w:rPr>
                <w:rFonts w:ascii="Times New Roman" w:hAnsi="Times New Roman"/>
                <w:color w:val="000000"/>
                <w:sz w:val="22"/>
                <w:szCs w:val="22"/>
              </w:rPr>
            </w:pPr>
          </w:p>
        </w:tc>
        <w:tc>
          <w:tcPr>
            <w:tcW w:w="1335" w:type="dxa"/>
            <w:vMerge/>
            <w:hideMark/>
          </w:tcPr>
          <w:p w:rsidR="00E7529B" w:rsidRPr="00DF49E6" w:rsidP="00AE308B" w14:paraId="6800686C" w14:textId="77777777">
            <w:pPr>
              <w:rPr>
                <w:rFonts w:ascii="Times New Roman" w:hAnsi="Times New Roman"/>
                <w:color w:val="000000"/>
                <w:sz w:val="22"/>
                <w:szCs w:val="22"/>
              </w:rPr>
            </w:pPr>
          </w:p>
        </w:tc>
        <w:tc>
          <w:tcPr>
            <w:tcW w:w="1593" w:type="dxa"/>
            <w:vMerge/>
            <w:hideMark/>
          </w:tcPr>
          <w:p w:rsidR="00E7529B" w:rsidRPr="00DF49E6" w:rsidP="00AE308B" w14:paraId="72B2EC0B" w14:textId="77777777">
            <w:pPr>
              <w:rPr>
                <w:rFonts w:ascii="Times New Roman" w:hAnsi="Times New Roman"/>
                <w:color w:val="000000"/>
                <w:sz w:val="22"/>
                <w:szCs w:val="22"/>
              </w:rPr>
            </w:pPr>
          </w:p>
        </w:tc>
        <w:tc>
          <w:tcPr>
            <w:tcW w:w="2353" w:type="dxa"/>
            <w:vMerge/>
            <w:hideMark/>
          </w:tcPr>
          <w:p w:rsidR="00E7529B" w:rsidRPr="00DF49E6" w:rsidP="00AE308B" w14:paraId="55166904" w14:textId="77777777">
            <w:pPr>
              <w:rPr>
                <w:rFonts w:ascii="Times New Roman" w:hAnsi="Times New Roman"/>
                <w:color w:val="000000"/>
                <w:sz w:val="22"/>
                <w:szCs w:val="22"/>
              </w:rPr>
            </w:pPr>
          </w:p>
        </w:tc>
      </w:tr>
      <w:tr w14:paraId="264FF0E7" w14:textId="77777777" w:rsidTr="00AE308B">
        <w:tblPrEx>
          <w:tblW w:w="9480" w:type="dxa"/>
          <w:tblLook w:val="04A0"/>
        </w:tblPrEx>
        <w:trPr>
          <w:trHeight w:val="915"/>
        </w:trPr>
        <w:tc>
          <w:tcPr>
            <w:tcW w:w="2974" w:type="dxa"/>
            <w:hideMark/>
          </w:tcPr>
          <w:p w:rsidR="00E7529B" w:rsidRPr="00DF49E6" w:rsidP="00AE308B" w14:paraId="2101B1B6" w14:textId="77777777">
            <w:pPr>
              <w:rPr>
                <w:rFonts w:ascii="Times New Roman" w:hAnsi="Times New Roman"/>
                <w:color w:val="000000"/>
                <w:sz w:val="22"/>
                <w:szCs w:val="22"/>
              </w:rPr>
            </w:pPr>
            <w:r w:rsidRPr="5C8E5E77">
              <w:rPr>
                <w:rFonts w:ascii="Times New Roman" w:hAnsi="Times New Roman"/>
                <w:color w:val="000000" w:themeColor="text1"/>
                <w:sz w:val="22"/>
                <w:szCs w:val="22"/>
              </w:rPr>
              <w:t xml:space="preserve">Conduct (2) technical assistance webinars, one for prospective applicants and one panel orientation webinar for peer reviewers.   </w:t>
            </w:r>
          </w:p>
        </w:tc>
        <w:tc>
          <w:tcPr>
            <w:tcW w:w="1225" w:type="dxa"/>
            <w:hideMark/>
          </w:tcPr>
          <w:p w:rsidR="00E7529B" w:rsidRPr="00DF49E6" w:rsidP="00AE308B" w14:paraId="590B54D4" w14:textId="77777777">
            <w:pPr>
              <w:jc w:val="center"/>
              <w:rPr>
                <w:rFonts w:ascii="Times New Roman" w:hAnsi="Times New Roman"/>
                <w:color w:val="000000"/>
                <w:sz w:val="22"/>
                <w:szCs w:val="22"/>
              </w:rPr>
            </w:pPr>
            <w:r>
              <w:rPr>
                <w:rFonts w:ascii="Times New Roman" w:hAnsi="Times New Roman"/>
                <w:color w:val="000000"/>
                <w:sz w:val="22"/>
                <w:szCs w:val="22"/>
              </w:rPr>
              <w:t>49</w:t>
            </w:r>
          </w:p>
        </w:tc>
        <w:tc>
          <w:tcPr>
            <w:tcW w:w="1335" w:type="dxa"/>
            <w:hideMark/>
          </w:tcPr>
          <w:p w:rsidR="00E7529B" w:rsidRPr="00DF49E6" w:rsidP="00AE308B" w14:paraId="22C22E52" w14:textId="77777777">
            <w:pPr>
              <w:jc w:val="center"/>
              <w:rPr>
                <w:rFonts w:ascii="Times New Roman" w:hAnsi="Times New Roman"/>
                <w:color w:val="000000"/>
                <w:sz w:val="22"/>
                <w:szCs w:val="22"/>
              </w:rPr>
            </w:pPr>
            <w:r w:rsidRPr="00DF49E6">
              <w:rPr>
                <w:rFonts w:ascii="Times New Roman" w:hAnsi="Times New Roman"/>
                <w:color w:val="000000"/>
                <w:sz w:val="22"/>
              </w:rPr>
              <w:t>1</w:t>
            </w:r>
          </w:p>
        </w:tc>
        <w:tc>
          <w:tcPr>
            <w:tcW w:w="1593" w:type="dxa"/>
            <w:hideMark/>
          </w:tcPr>
          <w:p w:rsidR="00E7529B" w:rsidRPr="00DF49E6" w:rsidP="00AE308B" w14:paraId="0E77C972" w14:textId="77777777">
            <w:pPr>
              <w:jc w:val="center"/>
              <w:rPr>
                <w:rFonts w:ascii="Times New Roman" w:hAnsi="Times New Roman"/>
                <w:color w:val="000000"/>
                <w:sz w:val="22"/>
                <w:szCs w:val="22"/>
              </w:rPr>
            </w:pPr>
            <w:r w:rsidRPr="5C8E5E77">
              <w:rPr>
                <w:rFonts w:ascii="Times New Roman" w:hAnsi="Times New Roman"/>
                <w:color w:val="000000" w:themeColor="text1"/>
                <w:sz w:val="22"/>
                <w:szCs w:val="22"/>
              </w:rPr>
              <w:t>8</w:t>
            </w:r>
          </w:p>
        </w:tc>
        <w:tc>
          <w:tcPr>
            <w:tcW w:w="2353" w:type="dxa"/>
            <w:hideMark/>
          </w:tcPr>
          <w:p w:rsidR="00E7529B" w:rsidRPr="00DF49E6" w:rsidP="00AE308B" w14:paraId="2477E319" w14:textId="77777777">
            <w:pPr>
              <w:jc w:val="center"/>
              <w:rPr>
                <w:rFonts w:ascii="Times New Roman" w:hAnsi="Times New Roman"/>
                <w:color w:val="000000"/>
                <w:sz w:val="22"/>
                <w:szCs w:val="22"/>
              </w:rPr>
            </w:pPr>
            <w:r w:rsidRPr="5C8E5E77">
              <w:rPr>
                <w:rFonts w:ascii="Times New Roman" w:hAnsi="Times New Roman"/>
                <w:color w:val="000000" w:themeColor="text1"/>
                <w:sz w:val="22"/>
                <w:szCs w:val="22"/>
              </w:rPr>
              <w:t>$392</w:t>
            </w:r>
          </w:p>
        </w:tc>
      </w:tr>
      <w:tr w14:paraId="40A4764B" w14:textId="77777777" w:rsidTr="00AE308B">
        <w:tblPrEx>
          <w:tblW w:w="9480" w:type="dxa"/>
          <w:tblLook w:val="04A0"/>
        </w:tblPrEx>
        <w:trPr>
          <w:trHeight w:val="915"/>
        </w:trPr>
        <w:tc>
          <w:tcPr>
            <w:tcW w:w="2974" w:type="dxa"/>
          </w:tcPr>
          <w:p w:rsidR="00E7529B" w:rsidRPr="00DF49E6" w:rsidP="00AE308B" w14:paraId="63D997F2" w14:textId="77777777">
            <w:pPr>
              <w:rPr>
                <w:rFonts w:ascii="Times New Roman" w:hAnsi="Times New Roman"/>
                <w:color w:val="000000"/>
                <w:sz w:val="22"/>
              </w:rPr>
            </w:pPr>
            <w:r w:rsidRPr="00DF49E6">
              <w:rPr>
                <w:rFonts w:ascii="Times New Roman" w:hAnsi="Times New Roman"/>
                <w:color w:val="000000"/>
                <w:sz w:val="22"/>
              </w:rPr>
              <w:t>Pre-screen all submitted applications for eligibility, completeness, and type, e.g., instructional materials or survey project.</w:t>
            </w:r>
          </w:p>
        </w:tc>
        <w:tc>
          <w:tcPr>
            <w:tcW w:w="1225" w:type="dxa"/>
          </w:tcPr>
          <w:p w:rsidR="00E7529B" w:rsidRPr="00DF49E6" w:rsidP="00AE308B" w14:paraId="2DA70A70" w14:textId="77777777">
            <w:pPr>
              <w:jc w:val="center"/>
              <w:rPr>
                <w:rFonts w:ascii="Times New Roman" w:hAnsi="Times New Roman"/>
                <w:color w:val="000000"/>
                <w:sz w:val="22"/>
                <w:szCs w:val="22"/>
              </w:rPr>
            </w:pPr>
            <w:r>
              <w:rPr>
                <w:rFonts w:ascii="Times New Roman" w:hAnsi="Times New Roman"/>
                <w:color w:val="000000"/>
                <w:sz w:val="22"/>
                <w:szCs w:val="22"/>
              </w:rPr>
              <w:t>49</w:t>
            </w:r>
          </w:p>
        </w:tc>
        <w:tc>
          <w:tcPr>
            <w:tcW w:w="1335" w:type="dxa"/>
          </w:tcPr>
          <w:p w:rsidR="00E7529B" w:rsidRPr="00DF49E6" w:rsidP="00AE308B" w14:paraId="7C483743" w14:textId="77777777">
            <w:pPr>
              <w:jc w:val="center"/>
              <w:rPr>
                <w:rFonts w:ascii="Times New Roman" w:hAnsi="Times New Roman"/>
                <w:color w:val="000000"/>
                <w:sz w:val="22"/>
              </w:rPr>
            </w:pPr>
            <w:r w:rsidRPr="00DF49E6">
              <w:rPr>
                <w:rFonts w:ascii="Times New Roman" w:hAnsi="Times New Roman"/>
                <w:color w:val="000000"/>
                <w:sz w:val="22"/>
              </w:rPr>
              <w:t>1</w:t>
            </w:r>
          </w:p>
        </w:tc>
        <w:tc>
          <w:tcPr>
            <w:tcW w:w="1593" w:type="dxa"/>
          </w:tcPr>
          <w:p w:rsidR="00E7529B" w:rsidRPr="00DF49E6" w:rsidP="00AE308B" w14:paraId="797CF79A" w14:textId="77777777">
            <w:pPr>
              <w:jc w:val="center"/>
              <w:rPr>
                <w:rFonts w:ascii="Times New Roman" w:hAnsi="Times New Roman"/>
                <w:color w:val="000000"/>
                <w:sz w:val="22"/>
              </w:rPr>
            </w:pPr>
            <w:r w:rsidRPr="00DF49E6">
              <w:rPr>
                <w:rFonts w:ascii="Times New Roman" w:hAnsi="Times New Roman"/>
                <w:color w:val="000000"/>
                <w:sz w:val="22"/>
              </w:rPr>
              <w:t>7</w:t>
            </w:r>
          </w:p>
        </w:tc>
        <w:tc>
          <w:tcPr>
            <w:tcW w:w="2353" w:type="dxa"/>
          </w:tcPr>
          <w:p w:rsidR="00E7529B" w:rsidRPr="00DF49E6" w:rsidP="00AE308B" w14:paraId="4A33CF4C" w14:textId="77777777">
            <w:pPr>
              <w:jc w:val="center"/>
              <w:rPr>
                <w:rFonts w:ascii="Times New Roman" w:hAnsi="Times New Roman"/>
                <w:color w:val="000000"/>
                <w:sz w:val="22"/>
                <w:szCs w:val="22"/>
              </w:rPr>
            </w:pPr>
            <w:r w:rsidRPr="5C8E5E77">
              <w:rPr>
                <w:rFonts w:ascii="Times New Roman" w:hAnsi="Times New Roman"/>
                <w:color w:val="000000" w:themeColor="text1"/>
                <w:sz w:val="22"/>
                <w:szCs w:val="22"/>
              </w:rPr>
              <w:t>$343</w:t>
            </w:r>
          </w:p>
        </w:tc>
      </w:tr>
      <w:tr w14:paraId="5C206A88" w14:textId="77777777" w:rsidTr="00AE308B">
        <w:tblPrEx>
          <w:tblW w:w="9480" w:type="dxa"/>
          <w:tblLook w:val="04A0"/>
        </w:tblPrEx>
        <w:trPr>
          <w:trHeight w:val="915"/>
        </w:trPr>
        <w:tc>
          <w:tcPr>
            <w:tcW w:w="2974" w:type="dxa"/>
          </w:tcPr>
          <w:p w:rsidR="00E7529B" w:rsidRPr="00DF49E6" w:rsidP="00AE308B" w14:paraId="005AF35E" w14:textId="77777777">
            <w:pPr>
              <w:rPr>
                <w:rFonts w:ascii="Times New Roman" w:hAnsi="Times New Roman"/>
                <w:color w:val="000000"/>
                <w:sz w:val="22"/>
              </w:rPr>
            </w:pPr>
            <w:r w:rsidRPr="00DF49E6">
              <w:rPr>
                <w:rFonts w:ascii="Times New Roman" w:hAnsi="Times New Roman"/>
                <w:color w:val="000000"/>
                <w:sz w:val="22"/>
              </w:rPr>
              <w:t xml:space="preserve">Create peer review panels and assign applications in G5 e-Reader  </w:t>
            </w:r>
          </w:p>
        </w:tc>
        <w:tc>
          <w:tcPr>
            <w:tcW w:w="1225" w:type="dxa"/>
          </w:tcPr>
          <w:p w:rsidR="00E7529B" w:rsidRPr="00DF49E6" w:rsidP="00AE308B" w14:paraId="3C3701A4" w14:textId="77777777">
            <w:pPr>
              <w:jc w:val="center"/>
              <w:rPr>
                <w:rFonts w:ascii="Times New Roman" w:hAnsi="Times New Roman"/>
                <w:color w:val="000000"/>
                <w:sz w:val="22"/>
                <w:szCs w:val="22"/>
              </w:rPr>
            </w:pPr>
            <w:r>
              <w:rPr>
                <w:rFonts w:ascii="Times New Roman" w:hAnsi="Times New Roman"/>
                <w:color w:val="000000"/>
                <w:sz w:val="22"/>
                <w:szCs w:val="22"/>
              </w:rPr>
              <w:t>49</w:t>
            </w:r>
          </w:p>
        </w:tc>
        <w:tc>
          <w:tcPr>
            <w:tcW w:w="1335" w:type="dxa"/>
          </w:tcPr>
          <w:p w:rsidR="00E7529B" w:rsidRPr="00DF49E6" w:rsidP="00AE308B" w14:paraId="2546B5AA" w14:textId="77777777">
            <w:pPr>
              <w:jc w:val="center"/>
              <w:rPr>
                <w:rFonts w:ascii="Times New Roman" w:hAnsi="Times New Roman"/>
                <w:color w:val="000000"/>
                <w:sz w:val="22"/>
              </w:rPr>
            </w:pPr>
            <w:r w:rsidRPr="00DF49E6">
              <w:rPr>
                <w:rFonts w:ascii="Times New Roman" w:hAnsi="Times New Roman"/>
                <w:color w:val="000000"/>
                <w:sz w:val="22"/>
              </w:rPr>
              <w:t>1</w:t>
            </w:r>
          </w:p>
        </w:tc>
        <w:tc>
          <w:tcPr>
            <w:tcW w:w="1593" w:type="dxa"/>
          </w:tcPr>
          <w:p w:rsidR="00E7529B" w:rsidRPr="00DF49E6" w:rsidP="00AE308B" w14:paraId="24B40EC1" w14:textId="77777777">
            <w:pPr>
              <w:jc w:val="center"/>
              <w:rPr>
                <w:rFonts w:ascii="Times New Roman" w:hAnsi="Times New Roman"/>
                <w:color w:val="000000"/>
                <w:sz w:val="22"/>
              </w:rPr>
            </w:pPr>
            <w:r w:rsidRPr="00DF49E6">
              <w:rPr>
                <w:rFonts w:ascii="Times New Roman" w:hAnsi="Times New Roman"/>
                <w:color w:val="000000"/>
                <w:sz w:val="22"/>
              </w:rPr>
              <w:t>5</w:t>
            </w:r>
          </w:p>
        </w:tc>
        <w:tc>
          <w:tcPr>
            <w:tcW w:w="2353" w:type="dxa"/>
          </w:tcPr>
          <w:p w:rsidR="00E7529B" w:rsidRPr="00DF49E6" w:rsidP="00AE308B" w14:paraId="2AA6CD58" w14:textId="77777777">
            <w:pPr>
              <w:jc w:val="center"/>
              <w:rPr>
                <w:rFonts w:ascii="Times New Roman" w:hAnsi="Times New Roman"/>
                <w:color w:val="000000"/>
                <w:sz w:val="22"/>
                <w:szCs w:val="22"/>
              </w:rPr>
            </w:pPr>
            <w:r w:rsidRPr="5C8E5E77">
              <w:rPr>
                <w:rFonts w:ascii="Times New Roman" w:hAnsi="Times New Roman"/>
                <w:color w:val="000000" w:themeColor="text1"/>
                <w:sz w:val="22"/>
                <w:szCs w:val="22"/>
              </w:rPr>
              <w:t>$245</w:t>
            </w:r>
          </w:p>
        </w:tc>
      </w:tr>
      <w:tr w14:paraId="388FCC6B" w14:textId="77777777" w:rsidTr="00AE308B">
        <w:tblPrEx>
          <w:tblW w:w="9480" w:type="dxa"/>
          <w:tblLook w:val="04A0"/>
        </w:tblPrEx>
        <w:trPr>
          <w:trHeight w:val="1150"/>
        </w:trPr>
        <w:tc>
          <w:tcPr>
            <w:tcW w:w="2974" w:type="dxa"/>
            <w:hideMark/>
          </w:tcPr>
          <w:p w:rsidR="00E7529B" w:rsidRPr="00DF49E6" w:rsidP="00AE308B" w14:paraId="62A3BAC5" w14:textId="77777777">
            <w:pPr>
              <w:rPr>
                <w:rFonts w:ascii="Times New Roman" w:hAnsi="Times New Roman"/>
                <w:color w:val="000000"/>
                <w:sz w:val="22"/>
                <w:szCs w:val="22"/>
              </w:rPr>
            </w:pPr>
            <w:r w:rsidRPr="00DF49E6">
              <w:rPr>
                <w:rFonts w:ascii="Times New Roman" w:hAnsi="Times New Roman"/>
                <w:color w:val="000000"/>
                <w:sz w:val="22"/>
              </w:rPr>
              <w:t>Conduct two-week panel review of applications (discussions with peer reviewers, review technical review forms in G5)</w:t>
            </w:r>
          </w:p>
        </w:tc>
        <w:tc>
          <w:tcPr>
            <w:tcW w:w="1225" w:type="dxa"/>
            <w:hideMark/>
          </w:tcPr>
          <w:p w:rsidR="00E7529B" w:rsidRPr="00DF49E6" w:rsidP="00AE308B" w14:paraId="3E410FD4" w14:textId="77777777">
            <w:pPr>
              <w:jc w:val="center"/>
              <w:rPr>
                <w:rFonts w:ascii="Times New Roman" w:hAnsi="Times New Roman"/>
                <w:color w:val="000000"/>
                <w:sz w:val="22"/>
                <w:szCs w:val="22"/>
              </w:rPr>
            </w:pPr>
            <w:r>
              <w:rPr>
                <w:rFonts w:ascii="Times New Roman" w:hAnsi="Times New Roman"/>
                <w:color w:val="000000"/>
                <w:sz w:val="22"/>
                <w:szCs w:val="22"/>
              </w:rPr>
              <w:t>49</w:t>
            </w:r>
            <w:r w:rsidRPr="00DF49E6">
              <w:rPr>
                <w:rFonts w:ascii="Times New Roman" w:hAnsi="Times New Roman"/>
                <w:color w:val="000000"/>
                <w:sz w:val="22"/>
                <w:szCs w:val="22"/>
              </w:rPr>
              <w:t xml:space="preserve"> </w:t>
            </w:r>
          </w:p>
        </w:tc>
        <w:tc>
          <w:tcPr>
            <w:tcW w:w="1335" w:type="dxa"/>
            <w:hideMark/>
          </w:tcPr>
          <w:p w:rsidR="00E7529B" w:rsidRPr="00DF49E6" w:rsidP="00AE308B" w14:paraId="6108FFF2" w14:textId="77777777">
            <w:pPr>
              <w:jc w:val="center"/>
              <w:rPr>
                <w:rFonts w:ascii="Times New Roman" w:hAnsi="Times New Roman"/>
                <w:color w:val="000000"/>
                <w:sz w:val="22"/>
                <w:szCs w:val="22"/>
              </w:rPr>
            </w:pPr>
            <w:r w:rsidRPr="00DF49E6">
              <w:rPr>
                <w:rFonts w:ascii="Times New Roman" w:hAnsi="Times New Roman"/>
                <w:color w:val="000000"/>
                <w:sz w:val="22"/>
              </w:rPr>
              <w:t>1</w:t>
            </w:r>
          </w:p>
        </w:tc>
        <w:tc>
          <w:tcPr>
            <w:tcW w:w="1593" w:type="dxa"/>
            <w:hideMark/>
          </w:tcPr>
          <w:p w:rsidR="00E7529B" w:rsidRPr="00DF49E6" w:rsidP="00AE308B" w14:paraId="314FCF24" w14:textId="77777777">
            <w:pPr>
              <w:jc w:val="center"/>
              <w:rPr>
                <w:rFonts w:ascii="Times New Roman" w:hAnsi="Times New Roman"/>
                <w:color w:val="000000"/>
                <w:sz w:val="22"/>
                <w:szCs w:val="22"/>
              </w:rPr>
            </w:pPr>
            <w:r w:rsidRPr="00DF49E6">
              <w:rPr>
                <w:rFonts w:ascii="Times New Roman" w:hAnsi="Times New Roman"/>
                <w:color w:val="000000"/>
                <w:sz w:val="22"/>
              </w:rPr>
              <w:t>100</w:t>
            </w:r>
          </w:p>
        </w:tc>
        <w:tc>
          <w:tcPr>
            <w:tcW w:w="2353" w:type="dxa"/>
            <w:hideMark/>
          </w:tcPr>
          <w:p w:rsidR="00E7529B" w:rsidRPr="00DF49E6" w:rsidP="00AE308B" w14:paraId="5DCA64F4" w14:textId="77777777">
            <w:pPr>
              <w:jc w:val="center"/>
              <w:rPr>
                <w:rFonts w:ascii="Times New Roman" w:hAnsi="Times New Roman"/>
                <w:color w:val="000000"/>
                <w:sz w:val="22"/>
                <w:szCs w:val="22"/>
              </w:rPr>
            </w:pPr>
            <w:r w:rsidRPr="5C8E5E77">
              <w:rPr>
                <w:rFonts w:ascii="Times New Roman" w:hAnsi="Times New Roman"/>
                <w:color w:val="000000" w:themeColor="text1"/>
                <w:sz w:val="22"/>
                <w:szCs w:val="22"/>
              </w:rPr>
              <w:t xml:space="preserve">$4,900 </w:t>
            </w:r>
          </w:p>
        </w:tc>
      </w:tr>
      <w:tr w14:paraId="6A59F77C" w14:textId="77777777" w:rsidTr="00AE308B">
        <w:tblPrEx>
          <w:tblW w:w="9480" w:type="dxa"/>
          <w:tblLook w:val="04A0"/>
        </w:tblPrEx>
        <w:trPr>
          <w:trHeight w:val="880"/>
        </w:trPr>
        <w:tc>
          <w:tcPr>
            <w:tcW w:w="2974" w:type="dxa"/>
          </w:tcPr>
          <w:p w:rsidR="00E7529B" w:rsidRPr="00FD4D48" w:rsidP="00AE308B" w14:paraId="7FA1EE4C" w14:textId="77777777">
            <w:pPr>
              <w:rPr>
                <w:rFonts w:ascii="Times New Roman" w:hAnsi="Times New Roman"/>
                <w:color w:val="000000"/>
                <w:sz w:val="22"/>
                <w:szCs w:val="22"/>
              </w:rPr>
            </w:pPr>
            <w:r w:rsidRPr="5C8E5E77">
              <w:rPr>
                <w:rFonts w:ascii="Times New Roman" w:hAnsi="Times New Roman"/>
                <w:color w:val="000000" w:themeColor="text1"/>
                <w:sz w:val="22"/>
                <w:szCs w:val="22"/>
              </w:rPr>
              <w:t xml:space="preserve">Compensate 12 peer reviewers @1000 flat rate </w:t>
            </w:r>
          </w:p>
        </w:tc>
        <w:tc>
          <w:tcPr>
            <w:tcW w:w="1225" w:type="dxa"/>
          </w:tcPr>
          <w:p w:rsidR="00E7529B" w:rsidRPr="00FD4D48" w:rsidP="00AE308B" w14:paraId="023FDA1E" w14:textId="77777777">
            <w:pPr>
              <w:jc w:val="center"/>
              <w:rPr>
                <w:rFonts w:ascii="Times New Roman" w:hAnsi="Times New Roman"/>
                <w:color w:val="000000"/>
                <w:sz w:val="22"/>
                <w:szCs w:val="22"/>
              </w:rPr>
            </w:pPr>
            <w:r w:rsidRPr="5C8E5E77">
              <w:rPr>
                <w:rFonts w:ascii="Times New Roman" w:hAnsi="Times New Roman"/>
                <w:color w:val="000000" w:themeColor="text1"/>
                <w:sz w:val="22"/>
                <w:szCs w:val="22"/>
              </w:rPr>
              <w:t>1000 flat rate</w:t>
            </w:r>
          </w:p>
        </w:tc>
        <w:tc>
          <w:tcPr>
            <w:tcW w:w="1335" w:type="dxa"/>
          </w:tcPr>
          <w:p w:rsidR="00E7529B" w:rsidRPr="00FD4D48" w:rsidP="00AE308B" w14:paraId="669F51CA" w14:textId="77777777">
            <w:pPr>
              <w:jc w:val="center"/>
              <w:rPr>
                <w:rFonts w:ascii="Times New Roman" w:hAnsi="Times New Roman"/>
                <w:color w:val="000000"/>
                <w:sz w:val="22"/>
                <w:szCs w:val="22"/>
              </w:rPr>
            </w:pPr>
          </w:p>
        </w:tc>
        <w:tc>
          <w:tcPr>
            <w:tcW w:w="1593" w:type="dxa"/>
          </w:tcPr>
          <w:p w:rsidR="00E7529B" w:rsidRPr="00FD4D48" w:rsidP="00AE308B" w14:paraId="0911A8A0" w14:textId="77777777">
            <w:pPr>
              <w:jc w:val="center"/>
              <w:rPr>
                <w:rFonts w:ascii="Times New Roman" w:hAnsi="Times New Roman"/>
                <w:color w:val="000000"/>
                <w:sz w:val="22"/>
                <w:szCs w:val="22"/>
              </w:rPr>
            </w:pPr>
            <w:r w:rsidRPr="5C8E5E77">
              <w:rPr>
                <w:rFonts w:ascii="Times New Roman" w:hAnsi="Times New Roman"/>
                <w:color w:val="000000" w:themeColor="text1"/>
                <w:sz w:val="22"/>
                <w:szCs w:val="22"/>
              </w:rPr>
              <w:t>17 reviewers*</w:t>
            </w:r>
          </w:p>
        </w:tc>
        <w:tc>
          <w:tcPr>
            <w:tcW w:w="2353" w:type="dxa"/>
          </w:tcPr>
          <w:p w:rsidR="00E7529B" w:rsidRPr="00FD4D48" w:rsidP="00AE308B" w14:paraId="057EBE5F" w14:textId="77777777">
            <w:pPr>
              <w:jc w:val="center"/>
              <w:rPr>
                <w:rFonts w:ascii="Times New Roman" w:hAnsi="Times New Roman"/>
                <w:color w:val="000000"/>
                <w:sz w:val="22"/>
                <w:szCs w:val="22"/>
              </w:rPr>
            </w:pPr>
            <w:r w:rsidRPr="5C8E5E77">
              <w:rPr>
                <w:rFonts w:ascii="Times New Roman" w:hAnsi="Times New Roman"/>
                <w:color w:val="000000" w:themeColor="text1"/>
                <w:sz w:val="22"/>
                <w:szCs w:val="22"/>
              </w:rPr>
              <w:t>$1,700</w:t>
            </w:r>
          </w:p>
        </w:tc>
      </w:tr>
      <w:tr w14:paraId="2C89A10B" w14:textId="77777777" w:rsidTr="00AE308B">
        <w:tblPrEx>
          <w:tblW w:w="9480" w:type="dxa"/>
          <w:tblLook w:val="04A0"/>
        </w:tblPrEx>
        <w:trPr>
          <w:trHeight w:val="585"/>
        </w:trPr>
        <w:tc>
          <w:tcPr>
            <w:tcW w:w="2974" w:type="dxa"/>
            <w:hideMark/>
          </w:tcPr>
          <w:p w:rsidR="00E7529B" w:rsidRPr="00DF49E6" w:rsidP="00AE308B" w14:paraId="18783A00" w14:textId="77777777">
            <w:pPr>
              <w:rPr>
                <w:rFonts w:ascii="Times New Roman" w:hAnsi="Times New Roman"/>
                <w:color w:val="000000"/>
                <w:sz w:val="22"/>
                <w:szCs w:val="22"/>
              </w:rPr>
            </w:pPr>
            <w:r w:rsidRPr="00DF49E6">
              <w:rPr>
                <w:rFonts w:ascii="Times New Roman" w:hAnsi="Times New Roman"/>
                <w:color w:val="000000"/>
                <w:sz w:val="22"/>
              </w:rPr>
              <w:t>Develop slate memo and attachments</w:t>
            </w:r>
          </w:p>
        </w:tc>
        <w:tc>
          <w:tcPr>
            <w:tcW w:w="1225" w:type="dxa"/>
            <w:hideMark/>
          </w:tcPr>
          <w:p w:rsidR="00E7529B" w:rsidRPr="00DF49E6" w:rsidP="00AE308B" w14:paraId="5755BF55" w14:textId="77777777">
            <w:pPr>
              <w:jc w:val="center"/>
              <w:rPr>
                <w:rFonts w:ascii="Times New Roman" w:hAnsi="Times New Roman"/>
                <w:color w:val="000000"/>
                <w:sz w:val="22"/>
                <w:szCs w:val="22"/>
              </w:rPr>
            </w:pPr>
            <w:r>
              <w:rPr>
                <w:rFonts w:ascii="Times New Roman" w:hAnsi="Times New Roman"/>
                <w:color w:val="000000"/>
                <w:sz w:val="22"/>
                <w:szCs w:val="22"/>
              </w:rPr>
              <w:t>49</w:t>
            </w:r>
            <w:r w:rsidRPr="00DF49E6">
              <w:rPr>
                <w:rFonts w:ascii="Times New Roman" w:hAnsi="Times New Roman"/>
                <w:color w:val="000000"/>
                <w:sz w:val="22"/>
                <w:szCs w:val="22"/>
              </w:rPr>
              <w:t xml:space="preserve"> </w:t>
            </w:r>
          </w:p>
        </w:tc>
        <w:tc>
          <w:tcPr>
            <w:tcW w:w="1335" w:type="dxa"/>
            <w:hideMark/>
          </w:tcPr>
          <w:p w:rsidR="00E7529B" w:rsidRPr="00DF49E6" w:rsidP="00AE308B" w14:paraId="0F99F59A" w14:textId="77777777">
            <w:pPr>
              <w:jc w:val="center"/>
              <w:rPr>
                <w:rFonts w:ascii="Times New Roman" w:hAnsi="Times New Roman"/>
                <w:color w:val="000000"/>
                <w:sz w:val="22"/>
                <w:szCs w:val="22"/>
              </w:rPr>
            </w:pPr>
            <w:r w:rsidRPr="00DF49E6">
              <w:rPr>
                <w:rFonts w:ascii="Times New Roman" w:hAnsi="Times New Roman"/>
                <w:color w:val="000000"/>
                <w:sz w:val="22"/>
              </w:rPr>
              <w:t>1</w:t>
            </w:r>
          </w:p>
        </w:tc>
        <w:tc>
          <w:tcPr>
            <w:tcW w:w="1593" w:type="dxa"/>
            <w:hideMark/>
          </w:tcPr>
          <w:p w:rsidR="00E7529B" w:rsidRPr="00DF49E6" w:rsidP="00AE308B" w14:paraId="206FC0A1" w14:textId="77777777">
            <w:pPr>
              <w:jc w:val="center"/>
              <w:rPr>
                <w:rFonts w:ascii="Times New Roman" w:hAnsi="Times New Roman"/>
                <w:color w:val="000000"/>
                <w:sz w:val="22"/>
                <w:szCs w:val="22"/>
              </w:rPr>
            </w:pPr>
            <w:r w:rsidRPr="00DF49E6">
              <w:rPr>
                <w:rFonts w:ascii="Times New Roman" w:hAnsi="Times New Roman"/>
                <w:color w:val="000000"/>
                <w:sz w:val="22"/>
              </w:rPr>
              <w:t>27</w:t>
            </w:r>
          </w:p>
        </w:tc>
        <w:tc>
          <w:tcPr>
            <w:tcW w:w="2353" w:type="dxa"/>
            <w:hideMark/>
          </w:tcPr>
          <w:p w:rsidR="00E7529B" w:rsidRPr="00DF49E6" w:rsidP="00AE308B" w14:paraId="7A3DB65A" w14:textId="77777777">
            <w:pPr>
              <w:jc w:val="center"/>
              <w:rPr>
                <w:rFonts w:ascii="Times New Roman" w:hAnsi="Times New Roman"/>
                <w:color w:val="000000"/>
                <w:sz w:val="22"/>
                <w:szCs w:val="22"/>
              </w:rPr>
            </w:pPr>
            <w:r w:rsidRPr="5C8E5E77">
              <w:rPr>
                <w:rFonts w:ascii="Times New Roman" w:hAnsi="Times New Roman"/>
                <w:color w:val="000000" w:themeColor="text1"/>
                <w:sz w:val="22"/>
                <w:szCs w:val="22"/>
              </w:rPr>
              <w:t>$1,323</w:t>
            </w:r>
          </w:p>
        </w:tc>
      </w:tr>
      <w:tr w14:paraId="49A7D847" w14:textId="77777777" w:rsidTr="00AE308B">
        <w:tblPrEx>
          <w:tblW w:w="9480" w:type="dxa"/>
          <w:tblLook w:val="04A0"/>
        </w:tblPrEx>
        <w:trPr>
          <w:trHeight w:val="615"/>
        </w:trPr>
        <w:tc>
          <w:tcPr>
            <w:tcW w:w="2974" w:type="dxa"/>
            <w:hideMark/>
          </w:tcPr>
          <w:p w:rsidR="00E7529B" w:rsidRPr="00DF49E6" w:rsidP="00AE308B" w14:paraId="36F3F0B3" w14:textId="77777777">
            <w:pPr>
              <w:rPr>
                <w:rFonts w:ascii="Times New Roman" w:hAnsi="Times New Roman"/>
                <w:color w:val="000000"/>
                <w:sz w:val="22"/>
                <w:szCs w:val="22"/>
              </w:rPr>
            </w:pPr>
            <w:r w:rsidRPr="00DF49E6">
              <w:rPr>
                <w:rFonts w:ascii="Times New Roman" w:hAnsi="Times New Roman"/>
                <w:color w:val="000000"/>
                <w:sz w:val="22"/>
              </w:rPr>
              <w:t xml:space="preserve">Prepare awards in G5 </w:t>
            </w:r>
          </w:p>
        </w:tc>
        <w:tc>
          <w:tcPr>
            <w:tcW w:w="1225" w:type="dxa"/>
            <w:hideMark/>
          </w:tcPr>
          <w:p w:rsidR="00E7529B" w:rsidRPr="00DF49E6" w:rsidP="00AE308B" w14:paraId="4765C45D" w14:textId="77777777">
            <w:pPr>
              <w:jc w:val="center"/>
              <w:rPr>
                <w:rFonts w:ascii="Times New Roman" w:hAnsi="Times New Roman"/>
                <w:color w:val="000000"/>
                <w:sz w:val="22"/>
                <w:szCs w:val="22"/>
              </w:rPr>
            </w:pPr>
            <w:r>
              <w:rPr>
                <w:rFonts w:ascii="Times New Roman" w:hAnsi="Times New Roman"/>
                <w:color w:val="000000"/>
                <w:sz w:val="22"/>
                <w:szCs w:val="22"/>
              </w:rPr>
              <w:t>49</w:t>
            </w:r>
            <w:r w:rsidRPr="00DF49E6">
              <w:rPr>
                <w:rFonts w:ascii="Times New Roman" w:hAnsi="Times New Roman"/>
                <w:color w:val="000000"/>
                <w:sz w:val="22"/>
                <w:szCs w:val="22"/>
              </w:rPr>
              <w:t xml:space="preserve"> </w:t>
            </w:r>
          </w:p>
        </w:tc>
        <w:tc>
          <w:tcPr>
            <w:tcW w:w="1335" w:type="dxa"/>
            <w:hideMark/>
          </w:tcPr>
          <w:p w:rsidR="00E7529B" w:rsidRPr="00DF49E6" w:rsidP="00AE308B" w14:paraId="262B0C9D" w14:textId="77777777">
            <w:pPr>
              <w:jc w:val="center"/>
              <w:rPr>
                <w:rFonts w:ascii="Times New Roman" w:hAnsi="Times New Roman"/>
                <w:color w:val="000000"/>
                <w:sz w:val="22"/>
                <w:szCs w:val="22"/>
              </w:rPr>
            </w:pPr>
            <w:r w:rsidRPr="00DF49E6">
              <w:rPr>
                <w:rFonts w:ascii="Times New Roman" w:hAnsi="Times New Roman"/>
                <w:color w:val="000000"/>
                <w:sz w:val="22"/>
              </w:rPr>
              <w:t>1</w:t>
            </w:r>
          </w:p>
        </w:tc>
        <w:tc>
          <w:tcPr>
            <w:tcW w:w="1593" w:type="dxa"/>
            <w:hideMark/>
          </w:tcPr>
          <w:p w:rsidR="00E7529B" w:rsidRPr="00DF49E6" w:rsidP="00AE308B" w14:paraId="5C8F9AEE" w14:textId="77777777">
            <w:pPr>
              <w:jc w:val="center"/>
              <w:rPr>
                <w:rFonts w:ascii="Times New Roman" w:hAnsi="Times New Roman"/>
                <w:color w:val="000000"/>
                <w:sz w:val="22"/>
                <w:szCs w:val="22"/>
              </w:rPr>
            </w:pPr>
            <w:r w:rsidRPr="00DF49E6">
              <w:rPr>
                <w:rFonts w:ascii="Times New Roman" w:hAnsi="Times New Roman"/>
                <w:color w:val="000000"/>
                <w:sz w:val="22"/>
              </w:rPr>
              <w:t>3</w:t>
            </w:r>
          </w:p>
        </w:tc>
        <w:tc>
          <w:tcPr>
            <w:tcW w:w="2353" w:type="dxa"/>
            <w:hideMark/>
          </w:tcPr>
          <w:p w:rsidR="00E7529B" w:rsidRPr="00DF49E6" w:rsidP="00AE308B" w14:paraId="0C3789A3" w14:textId="77777777">
            <w:pPr>
              <w:jc w:val="center"/>
              <w:rPr>
                <w:rFonts w:ascii="Times New Roman" w:hAnsi="Times New Roman"/>
                <w:color w:val="000000"/>
                <w:sz w:val="22"/>
                <w:szCs w:val="22"/>
              </w:rPr>
            </w:pPr>
            <w:r w:rsidRPr="5C8E5E77">
              <w:rPr>
                <w:rFonts w:ascii="Times New Roman" w:hAnsi="Times New Roman"/>
                <w:color w:val="000000" w:themeColor="text1"/>
                <w:sz w:val="22"/>
                <w:szCs w:val="22"/>
              </w:rPr>
              <w:t>$147</w:t>
            </w:r>
          </w:p>
        </w:tc>
      </w:tr>
      <w:tr w14:paraId="194AEAE3" w14:textId="77777777" w:rsidTr="00AE308B">
        <w:tblPrEx>
          <w:tblW w:w="9480" w:type="dxa"/>
          <w:tblLook w:val="04A0"/>
        </w:tblPrEx>
        <w:trPr>
          <w:trHeight w:val="315"/>
        </w:trPr>
        <w:tc>
          <w:tcPr>
            <w:tcW w:w="2974" w:type="dxa"/>
            <w:hideMark/>
          </w:tcPr>
          <w:p w:rsidR="00E7529B" w:rsidRPr="00DF49E6" w:rsidP="00AE308B" w14:paraId="4721001F" w14:textId="77777777">
            <w:pPr>
              <w:jc w:val="center"/>
              <w:rPr>
                <w:rFonts w:ascii="Times New Roman" w:hAnsi="Times New Roman"/>
                <w:color w:val="000000"/>
                <w:sz w:val="22"/>
                <w:szCs w:val="22"/>
              </w:rPr>
            </w:pPr>
            <w:r w:rsidRPr="5C8E5E77">
              <w:rPr>
                <w:rFonts w:ascii="Times New Roman" w:hAnsi="Times New Roman"/>
                <w:color w:val="000000" w:themeColor="text1"/>
                <w:sz w:val="22"/>
                <w:szCs w:val="22"/>
              </w:rPr>
              <w:t>TOTAL</w:t>
            </w:r>
          </w:p>
        </w:tc>
        <w:tc>
          <w:tcPr>
            <w:tcW w:w="1225" w:type="dxa"/>
            <w:hideMark/>
          </w:tcPr>
          <w:p w:rsidR="00E7529B" w:rsidRPr="00DF49E6" w:rsidP="00AE308B" w14:paraId="580E876B" w14:textId="77777777">
            <w:pPr>
              <w:rPr>
                <w:rFonts w:ascii="Times New Roman" w:hAnsi="Times New Roman"/>
                <w:b/>
                <w:bCs/>
                <w:color w:val="000000"/>
                <w:sz w:val="22"/>
                <w:szCs w:val="22"/>
              </w:rPr>
            </w:pPr>
            <w:r w:rsidRPr="00DF49E6">
              <w:rPr>
                <w:rFonts w:ascii="Times New Roman" w:hAnsi="Times New Roman"/>
                <w:b/>
                <w:bCs/>
                <w:color w:val="000000"/>
                <w:sz w:val="22"/>
              </w:rPr>
              <w:t> </w:t>
            </w:r>
          </w:p>
        </w:tc>
        <w:tc>
          <w:tcPr>
            <w:tcW w:w="1335" w:type="dxa"/>
            <w:hideMark/>
          </w:tcPr>
          <w:p w:rsidR="00E7529B" w:rsidRPr="00DF49E6" w:rsidP="00AE308B" w14:paraId="406DEBC3" w14:textId="77777777">
            <w:pPr>
              <w:jc w:val="center"/>
              <w:rPr>
                <w:rFonts w:ascii="Times New Roman" w:hAnsi="Times New Roman"/>
                <w:b/>
                <w:bCs/>
                <w:color w:val="000000"/>
                <w:sz w:val="22"/>
                <w:szCs w:val="22"/>
              </w:rPr>
            </w:pPr>
            <w:r w:rsidRPr="00DF49E6">
              <w:rPr>
                <w:rFonts w:ascii="Times New Roman" w:hAnsi="Times New Roman"/>
                <w:b/>
                <w:bCs/>
                <w:color w:val="000000"/>
                <w:sz w:val="22"/>
              </w:rPr>
              <w:t> </w:t>
            </w:r>
          </w:p>
        </w:tc>
        <w:tc>
          <w:tcPr>
            <w:tcW w:w="1593" w:type="dxa"/>
          </w:tcPr>
          <w:p w:rsidR="00E7529B" w:rsidRPr="007D4DDD" w:rsidP="00AE308B" w14:paraId="53FA7427" w14:textId="77777777">
            <w:pPr>
              <w:jc w:val="center"/>
              <w:rPr>
                <w:rFonts w:ascii="Times New Roman" w:hAnsi="Times New Roman"/>
                <w:color w:val="000000"/>
                <w:sz w:val="22"/>
                <w:szCs w:val="22"/>
              </w:rPr>
            </w:pPr>
            <w:r w:rsidRPr="5C8E5E77">
              <w:rPr>
                <w:rFonts w:ascii="Times New Roman" w:hAnsi="Times New Roman"/>
                <w:color w:val="000000" w:themeColor="text1"/>
                <w:sz w:val="22"/>
                <w:szCs w:val="22"/>
              </w:rPr>
              <w:t>204</w:t>
            </w:r>
          </w:p>
        </w:tc>
        <w:tc>
          <w:tcPr>
            <w:tcW w:w="2353" w:type="dxa"/>
          </w:tcPr>
          <w:p w:rsidR="00E7529B" w:rsidRPr="00D26259" w:rsidP="00AE308B" w14:paraId="4A46CD9D" w14:textId="77777777">
            <w:pPr>
              <w:jc w:val="center"/>
              <w:rPr>
                <w:rFonts w:ascii="Times New Roman" w:hAnsi="Times New Roman"/>
                <w:color w:val="000000"/>
                <w:sz w:val="22"/>
                <w:szCs w:val="22"/>
              </w:rPr>
            </w:pPr>
            <w:r w:rsidRPr="5C8E5E77">
              <w:rPr>
                <w:rFonts w:ascii="Times New Roman" w:hAnsi="Times New Roman"/>
                <w:color w:val="000000" w:themeColor="text1"/>
                <w:sz w:val="22"/>
                <w:szCs w:val="22"/>
              </w:rPr>
              <w:t>$11,712</w:t>
            </w:r>
          </w:p>
        </w:tc>
      </w:tr>
    </w:tbl>
    <w:p w:rsidR="00214A14" w:rsidP="00534B4A" w14:paraId="56B6A65E" w14:textId="3E546316">
      <w:pPr>
        <w:tabs>
          <w:tab w:val="left" w:pos="-720"/>
        </w:tabs>
        <w:suppressAutoHyphens/>
        <w:rPr>
          <w:rFonts w:ascii="Times New Roman" w:hAnsi="Times New Roman"/>
          <w:szCs w:val="24"/>
        </w:rPr>
      </w:pPr>
    </w:p>
    <w:p w:rsidR="00534B4A" w:rsidP="00534B4A" w14:paraId="5EA70745" w14:textId="77777777">
      <w:pPr>
        <w:pStyle w:val="ListParagraph"/>
        <w:tabs>
          <w:tab w:val="left" w:pos="-720"/>
        </w:tabs>
        <w:suppressAutoHyphens/>
        <w:ind w:left="907"/>
        <w:contextualSpacing w:val="0"/>
        <w:rPr>
          <w:rFonts w:ascii="Times New Roman" w:hAnsi="Times New Roman"/>
          <w:szCs w:val="24"/>
        </w:rPr>
      </w:pPr>
    </w:p>
    <w:p w:rsidR="00800D30" w:rsidP="00800D30" w14:paraId="48CEB90F"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3D9E49DE" w14:textId="77777777">
      <w:pPr>
        <w:pStyle w:val="ListParagraph"/>
        <w:tabs>
          <w:tab w:val="left" w:pos="-720"/>
        </w:tabs>
        <w:suppressAutoHyphens/>
        <w:contextualSpacing w:val="0"/>
        <w:rPr>
          <w:rFonts w:ascii="Times New Roman" w:hAnsi="Times New Roman"/>
          <w:b/>
          <w:szCs w:val="24"/>
        </w:rPr>
      </w:pPr>
    </w:p>
    <w:p w:rsidR="00800D30" w:rsidRPr="00756FD3" w:rsidP="00800D30" w14:paraId="7C84A62E"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07E83F6E"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E49F767" w14:textId="77777777" w:rsidTr="0052073E">
        <w:tblPrEx>
          <w:tblW w:w="9445" w:type="dxa"/>
          <w:tblLook w:val="04A0"/>
        </w:tblPrEx>
        <w:tc>
          <w:tcPr>
            <w:tcW w:w="2048" w:type="dxa"/>
            <w:shd w:val="clear" w:color="auto" w:fill="D9D9D9" w:themeFill="background1" w:themeFillShade="D9"/>
          </w:tcPr>
          <w:p w:rsidR="0052073E" w:rsidRPr="00E32199" w:rsidP="00534B4A" w14:paraId="73D6173B" w14:textId="77777777">
            <w:pPr>
              <w:tabs>
                <w:tab w:val="left" w:pos="-720"/>
              </w:tabs>
              <w:suppressAutoHyphens/>
              <w:rPr>
                <w:rFonts w:ascii="Times New Roman" w:hAnsi="Times New Roman"/>
                <w:bCs/>
                <w:szCs w:val="24"/>
              </w:rPr>
            </w:pPr>
          </w:p>
        </w:tc>
        <w:tc>
          <w:tcPr>
            <w:tcW w:w="2048" w:type="dxa"/>
          </w:tcPr>
          <w:p w:rsidR="0052073E" w:rsidRPr="00E32199" w:rsidP="00534B4A" w14:paraId="77461C14" w14:textId="77777777">
            <w:pPr>
              <w:tabs>
                <w:tab w:val="left" w:pos="-720"/>
              </w:tabs>
              <w:suppressAutoHyphens/>
              <w:rPr>
                <w:rFonts w:ascii="Times New Roman" w:hAnsi="Times New Roman"/>
                <w:bCs/>
                <w:szCs w:val="24"/>
              </w:rPr>
            </w:pPr>
            <w:r w:rsidRPr="00E32199">
              <w:rPr>
                <w:rFonts w:ascii="Times New Roman" w:hAnsi="Times New Roman"/>
                <w:bCs/>
                <w:szCs w:val="24"/>
              </w:rPr>
              <w:t>Program Change Due to New Statute</w:t>
            </w:r>
          </w:p>
        </w:tc>
        <w:tc>
          <w:tcPr>
            <w:tcW w:w="2829" w:type="dxa"/>
          </w:tcPr>
          <w:p w:rsidR="0052073E" w:rsidRPr="00E32199" w:rsidP="00534B4A" w14:paraId="57B02FF6" w14:textId="77777777">
            <w:pPr>
              <w:tabs>
                <w:tab w:val="left" w:pos="-720"/>
              </w:tabs>
              <w:suppressAutoHyphens/>
              <w:rPr>
                <w:rFonts w:ascii="Times New Roman" w:hAnsi="Times New Roman"/>
                <w:bCs/>
                <w:szCs w:val="24"/>
              </w:rPr>
            </w:pPr>
            <w:r w:rsidRPr="00E32199">
              <w:rPr>
                <w:rFonts w:ascii="Times New Roman" w:hAnsi="Times New Roman"/>
                <w:bCs/>
                <w:szCs w:val="24"/>
              </w:rPr>
              <w:t>Program Change Due to Agency Discretion</w:t>
            </w:r>
          </w:p>
        </w:tc>
        <w:tc>
          <w:tcPr>
            <w:tcW w:w="2520" w:type="dxa"/>
          </w:tcPr>
          <w:p w:rsidR="0052073E" w:rsidRPr="00E32199" w:rsidP="00534B4A" w14:paraId="1D2CE495" w14:textId="77777777">
            <w:pPr>
              <w:tabs>
                <w:tab w:val="left" w:pos="-720"/>
              </w:tabs>
              <w:suppressAutoHyphens/>
              <w:rPr>
                <w:rFonts w:ascii="Times New Roman" w:hAnsi="Times New Roman"/>
                <w:bCs/>
                <w:szCs w:val="24"/>
              </w:rPr>
            </w:pPr>
            <w:r w:rsidRPr="00E32199">
              <w:rPr>
                <w:rFonts w:ascii="Times New Roman" w:hAnsi="Times New Roman"/>
                <w:bCs/>
                <w:szCs w:val="24"/>
              </w:rPr>
              <w:t>Change Due to Adjustment in Agency Estimate</w:t>
            </w:r>
          </w:p>
        </w:tc>
      </w:tr>
      <w:tr w14:paraId="6F8F0DF0" w14:textId="77777777" w:rsidTr="0052073E">
        <w:tblPrEx>
          <w:tblW w:w="9445" w:type="dxa"/>
          <w:tblLook w:val="04A0"/>
        </w:tblPrEx>
        <w:tc>
          <w:tcPr>
            <w:tcW w:w="2048" w:type="dxa"/>
          </w:tcPr>
          <w:p w:rsidR="0052073E" w:rsidRPr="00E32199" w:rsidP="00534B4A" w14:paraId="56A50B00" w14:textId="77777777">
            <w:pPr>
              <w:tabs>
                <w:tab w:val="left" w:pos="-720"/>
              </w:tabs>
              <w:suppressAutoHyphens/>
              <w:rPr>
                <w:rFonts w:ascii="Times New Roman" w:hAnsi="Times New Roman"/>
                <w:bCs/>
                <w:szCs w:val="24"/>
              </w:rPr>
            </w:pPr>
            <w:r w:rsidRPr="00E32199">
              <w:rPr>
                <w:rFonts w:ascii="Times New Roman" w:hAnsi="Times New Roman"/>
                <w:bCs/>
                <w:szCs w:val="24"/>
              </w:rPr>
              <w:t>Total Burden</w:t>
            </w:r>
          </w:p>
        </w:tc>
        <w:tc>
          <w:tcPr>
            <w:tcW w:w="2048" w:type="dxa"/>
          </w:tcPr>
          <w:p w:rsidR="0052073E" w:rsidRPr="00E32199" w:rsidP="00534B4A" w14:paraId="14A3DE03" w14:textId="77777777">
            <w:pPr>
              <w:tabs>
                <w:tab w:val="left" w:pos="-720"/>
              </w:tabs>
              <w:suppressAutoHyphens/>
              <w:rPr>
                <w:rFonts w:ascii="Times New Roman" w:hAnsi="Times New Roman"/>
                <w:bCs/>
                <w:szCs w:val="24"/>
              </w:rPr>
            </w:pPr>
          </w:p>
        </w:tc>
        <w:tc>
          <w:tcPr>
            <w:tcW w:w="2829" w:type="dxa"/>
          </w:tcPr>
          <w:p w:rsidR="0052073E" w:rsidRPr="00E32199" w:rsidP="00370FCE" w14:paraId="6D88D8DA" w14:textId="5E09CB65">
            <w:pPr>
              <w:tabs>
                <w:tab w:val="left" w:pos="-720"/>
              </w:tabs>
              <w:suppressAutoHyphens/>
              <w:jc w:val="center"/>
              <w:rPr>
                <w:rFonts w:ascii="Times New Roman" w:hAnsi="Times New Roman"/>
                <w:bCs/>
                <w:szCs w:val="24"/>
              </w:rPr>
            </w:pPr>
          </w:p>
        </w:tc>
        <w:tc>
          <w:tcPr>
            <w:tcW w:w="2520" w:type="dxa"/>
          </w:tcPr>
          <w:p w:rsidR="0052073E" w:rsidRPr="00E32199" w:rsidP="00534B4A" w14:paraId="35F41324" w14:textId="77777777">
            <w:pPr>
              <w:tabs>
                <w:tab w:val="left" w:pos="-720"/>
              </w:tabs>
              <w:suppressAutoHyphens/>
              <w:rPr>
                <w:rFonts w:ascii="Times New Roman" w:hAnsi="Times New Roman"/>
                <w:bCs/>
                <w:szCs w:val="24"/>
              </w:rPr>
            </w:pPr>
          </w:p>
        </w:tc>
      </w:tr>
      <w:tr w14:paraId="3C39A1FC" w14:textId="77777777" w:rsidTr="0052073E">
        <w:tblPrEx>
          <w:tblW w:w="9445" w:type="dxa"/>
          <w:tblLook w:val="04A0"/>
        </w:tblPrEx>
        <w:tc>
          <w:tcPr>
            <w:tcW w:w="2048" w:type="dxa"/>
          </w:tcPr>
          <w:p w:rsidR="0052073E" w:rsidRPr="00E32199" w:rsidP="00534B4A" w14:paraId="5E16A36D" w14:textId="77777777">
            <w:pPr>
              <w:tabs>
                <w:tab w:val="left" w:pos="-720"/>
              </w:tabs>
              <w:suppressAutoHyphens/>
              <w:rPr>
                <w:rFonts w:ascii="Times New Roman" w:hAnsi="Times New Roman"/>
                <w:bCs/>
                <w:szCs w:val="24"/>
              </w:rPr>
            </w:pPr>
            <w:r w:rsidRPr="00E32199">
              <w:rPr>
                <w:rFonts w:ascii="Times New Roman" w:hAnsi="Times New Roman"/>
                <w:bCs/>
                <w:szCs w:val="24"/>
              </w:rPr>
              <w:t>Total Responses</w:t>
            </w:r>
          </w:p>
        </w:tc>
        <w:tc>
          <w:tcPr>
            <w:tcW w:w="2048" w:type="dxa"/>
          </w:tcPr>
          <w:p w:rsidR="0052073E" w:rsidRPr="00E32199" w:rsidP="00534B4A" w14:paraId="25887486" w14:textId="77777777">
            <w:pPr>
              <w:tabs>
                <w:tab w:val="left" w:pos="-720"/>
              </w:tabs>
              <w:suppressAutoHyphens/>
              <w:rPr>
                <w:rFonts w:ascii="Times New Roman" w:hAnsi="Times New Roman"/>
                <w:bCs/>
                <w:szCs w:val="24"/>
              </w:rPr>
            </w:pPr>
          </w:p>
        </w:tc>
        <w:tc>
          <w:tcPr>
            <w:tcW w:w="2829" w:type="dxa"/>
          </w:tcPr>
          <w:p w:rsidR="0052073E" w:rsidRPr="00E32199" w:rsidP="00370FCE" w14:paraId="7EEB100B" w14:textId="38CCC280">
            <w:pPr>
              <w:tabs>
                <w:tab w:val="left" w:pos="-720"/>
              </w:tabs>
              <w:suppressAutoHyphens/>
              <w:jc w:val="center"/>
              <w:rPr>
                <w:rFonts w:ascii="Times New Roman" w:hAnsi="Times New Roman"/>
                <w:bCs/>
                <w:szCs w:val="24"/>
              </w:rPr>
            </w:pPr>
          </w:p>
        </w:tc>
        <w:tc>
          <w:tcPr>
            <w:tcW w:w="2520" w:type="dxa"/>
          </w:tcPr>
          <w:p w:rsidR="0052073E" w:rsidRPr="00E32199" w:rsidP="00534B4A" w14:paraId="1AD36E42" w14:textId="77777777">
            <w:pPr>
              <w:tabs>
                <w:tab w:val="left" w:pos="-720"/>
              </w:tabs>
              <w:suppressAutoHyphens/>
              <w:rPr>
                <w:rFonts w:ascii="Times New Roman" w:hAnsi="Times New Roman"/>
                <w:bCs/>
                <w:szCs w:val="24"/>
              </w:rPr>
            </w:pPr>
          </w:p>
        </w:tc>
      </w:tr>
      <w:tr w14:paraId="78D67580" w14:textId="77777777" w:rsidTr="0052073E">
        <w:tblPrEx>
          <w:tblW w:w="9445" w:type="dxa"/>
          <w:tblLook w:val="04A0"/>
        </w:tblPrEx>
        <w:tc>
          <w:tcPr>
            <w:tcW w:w="2048" w:type="dxa"/>
          </w:tcPr>
          <w:p w:rsidR="0052073E" w:rsidRPr="00E32199" w:rsidP="00534B4A" w14:paraId="0A080961" w14:textId="77777777">
            <w:pPr>
              <w:tabs>
                <w:tab w:val="left" w:pos="-720"/>
              </w:tabs>
              <w:suppressAutoHyphens/>
              <w:rPr>
                <w:rFonts w:ascii="Times New Roman" w:hAnsi="Times New Roman"/>
                <w:bCs/>
                <w:szCs w:val="24"/>
              </w:rPr>
            </w:pPr>
            <w:r w:rsidRPr="00E32199">
              <w:rPr>
                <w:rFonts w:ascii="Times New Roman" w:hAnsi="Times New Roman"/>
                <w:bCs/>
                <w:szCs w:val="24"/>
              </w:rPr>
              <w:t>Total Costs (if applicable)</w:t>
            </w:r>
          </w:p>
        </w:tc>
        <w:tc>
          <w:tcPr>
            <w:tcW w:w="2048" w:type="dxa"/>
          </w:tcPr>
          <w:p w:rsidR="0052073E" w:rsidRPr="00E32199" w:rsidP="00534B4A" w14:paraId="715C96FE" w14:textId="77777777">
            <w:pPr>
              <w:tabs>
                <w:tab w:val="left" w:pos="-720"/>
              </w:tabs>
              <w:suppressAutoHyphens/>
              <w:rPr>
                <w:rFonts w:ascii="Times New Roman" w:hAnsi="Times New Roman"/>
                <w:bCs/>
                <w:szCs w:val="24"/>
              </w:rPr>
            </w:pPr>
          </w:p>
        </w:tc>
        <w:tc>
          <w:tcPr>
            <w:tcW w:w="2829" w:type="dxa"/>
          </w:tcPr>
          <w:p w:rsidR="0052073E" w:rsidRPr="00E32199" w:rsidP="00370FCE" w14:paraId="0819766D" w14:textId="224E760E">
            <w:pPr>
              <w:tabs>
                <w:tab w:val="left" w:pos="-720"/>
              </w:tabs>
              <w:suppressAutoHyphens/>
              <w:jc w:val="center"/>
              <w:rPr>
                <w:rFonts w:ascii="Times New Roman" w:hAnsi="Times New Roman"/>
                <w:bCs/>
                <w:szCs w:val="24"/>
              </w:rPr>
            </w:pPr>
          </w:p>
        </w:tc>
        <w:tc>
          <w:tcPr>
            <w:tcW w:w="2520" w:type="dxa"/>
          </w:tcPr>
          <w:p w:rsidR="0052073E" w:rsidRPr="00E32199" w:rsidP="00534B4A" w14:paraId="53E0F9A8" w14:textId="77777777">
            <w:pPr>
              <w:tabs>
                <w:tab w:val="left" w:pos="-720"/>
              </w:tabs>
              <w:suppressAutoHyphens/>
              <w:rPr>
                <w:rFonts w:ascii="Times New Roman" w:hAnsi="Times New Roman"/>
                <w:bCs/>
                <w:szCs w:val="24"/>
              </w:rPr>
            </w:pPr>
          </w:p>
        </w:tc>
      </w:tr>
    </w:tbl>
    <w:p w:rsidR="00F27AAF" w:rsidP="00534B4A" w14:paraId="566696AD" w14:textId="7630939F">
      <w:pPr>
        <w:tabs>
          <w:tab w:val="left" w:pos="-720"/>
        </w:tabs>
        <w:suppressAutoHyphens/>
        <w:rPr>
          <w:rFonts w:ascii="Times New Roman" w:hAnsi="Times New Roman"/>
          <w:b/>
          <w:szCs w:val="24"/>
        </w:rPr>
      </w:pPr>
    </w:p>
    <w:p w:rsidR="002C55C0" w:rsidP="002C55C0" w14:paraId="5B620501" w14:textId="77777777">
      <w:pPr>
        <w:ind w:left="720"/>
        <w:rPr>
          <w:rFonts w:ascii="Times New Roman" w:hAnsi="Times New Roman"/>
        </w:rPr>
      </w:pPr>
      <w:r w:rsidRPr="004B5264">
        <w:rPr>
          <w:rFonts w:ascii="Times New Roman" w:hAnsi="Times New Roman"/>
          <w:bCs/>
          <w:szCs w:val="24"/>
        </w:rPr>
        <w:t xml:space="preserve">This </w:t>
      </w:r>
      <w:r>
        <w:rPr>
          <w:rFonts w:ascii="Times New Roman" w:hAnsi="Times New Roman"/>
          <w:bCs/>
          <w:szCs w:val="24"/>
        </w:rPr>
        <w:t xml:space="preserve">is a revision to an existing collection, an application for grants.  ED/IFLE is removing Competitive Preference Priority 6: Thematic Focus on Ukraine or Afghanistan because </w:t>
      </w:r>
      <w:r w:rsidRPr="00607BE3">
        <w:rPr>
          <w:rFonts w:ascii="Times New Roman" w:hAnsi="Times New Roman"/>
        </w:rPr>
        <w:t>only 1 applicant out of 43 applications for FY</w:t>
      </w:r>
      <w:r>
        <w:rPr>
          <w:rFonts w:ascii="Times New Roman" w:hAnsi="Times New Roman"/>
        </w:rPr>
        <w:t xml:space="preserve"> </w:t>
      </w:r>
      <w:r w:rsidRPr="00607BE3">
        <w:rPr>
          <w:rFonts w:ascii="Times New Roman" w:hAnsi="Times New Roman"/>
        </w:rPr>
        <w:t xml:space="preserve">2023 applied for the priority. This applicant was not eligible for the points. No applications received points for this priority. </w:t>
      </w:r>
      <w:r>
        <w:rPr>
          <w:rFonts w:ascii="Times New Roman" w:hAnsi="Times New Roman"/>
        </w:rPr>
        <w:t xml:space="preserve">This revision will have no </w:t>
      </w:r>
      <w:r>
        <w:rPr>
          <w:rFonts w:ascii="Times New Roman" w:hAnsi="Times New Roman"/>
        </w:rPr>
        <w:t>affect</w:t>
      </w:r>
      <w:r>
        <w:rPr>
          <w:rFonts w:ascii="Times New Roman" w:hAnsi="Times New Roman"/>
        </w:rPr>
        <w:t xml:space="preserve"> on hour or cost burden.</w:t>
      </w:r>
      <w:r w:rsidRPr="00607BE3">
        <w:rPr>
          <w:rFonts w:ascii="Times New Roman" w:hAnsi="Times New Roman"/>
        </w:rPr>
        <w:t> </w:t>
      </w:r>
    </w:p>
    <w:p w:rsidR="00E32199" w:rsidRPr="00E32199" w:rsidP="00534B4A" w14:paraId="300ED993" w14:textId="3FA9E5FB">
      <w:pPr>
        <w:tabs>
          <w:tab w:val="left" w:pos="-720"/>
        </w:tabs>
        <w:suppressAutoHyphens/>
        <w:rPr>
          <w:rFonts w:ascii="Times New Roman" w:hAnsi="Times New Roman"/>
          <w:bCs/>
          <w:szCs w:val="24"/>
        </w:rPr>
      </w:pPr>
    </w:p>
    <w:p w:rsidR="00534B4A" w:rsidRPr="00534B4A" w:rsidP="00534B4A" w14:paraId="38AF4955" w14:textId="77777777">
      <w:pPr>
        <w:tabs>
          <w:tab w:val="left" w:pos="-720"/>
        </w:tabs>
        <w:suppressAutoHyphens/>
        <w:rPr>
          <w:rFonts w:ascii="Times New Roman" w:hAnsi="Times New Roman"/>
          <w:szCs w:val="24"/>
        </w:rPr>
      </w:pPr>
    </w:p>
    <w:p w:rsidR="00043C32" w:rsidP="00AD381B" w14:paraId="379D1D98"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14:paraId="21851049" w14:textId="22949731">
      <w:pPr>
        <w:tabs>
          <w:tab w:val="left" w:pos="-720"/>
        </w:tabs>
        <w:suppressAutoHyphens/>
        <w:rPr>
          <w:rFonts w:ascii="Times New Roman" w:hAnsi="Times New Roman"/>
          <w:szCs w:val="24"/>
        </w:rPr>
      </w:pPr>
    </w:p>
    <w:p w:rsidR="00534B4A" w:rsidRPr="00534B4A" w:rsidP="00E32199" w14:paraId="08CE7F9D" w14:textId="17D92207">
      <w:pPr>
        <w:pStyle w:val="ListParagraph"/>
        <w:tabs>
          <w:tab w:val="left" w:pos="-720"/>
        </w:tabs>
        <w:suppressAutoHyphens/>
        <w:spacing w:after="100" w:afterAutospacing="1"/>
        <w:contextualSpacing w:val="0"/>
        <w:rPr>
          <w:rFonts w:ascii="Times New Roman" w:hAnsi="Times New Roman"/>
          <w:szCs w:val="24"/>
        </w:rPr>
      </w:pPr>
      <w:r>
        <w:rPr>
          <w:rFonts w:ascii="Times New Roman" w:hAnsi="Times New Roman"/>
          <w:bCs/>
        </w:rPr>
        <w:t>The</w:t>
      </w:r>
      <w:r w:rsidR="00055FEB">
        <w:rPr>
          <w:rFonts w:ascii="Times New Roman" w:hAnsi="Times New Roman"/>
          <w:bCs/>
        </w:rPr>
        <w:t>re are no plans for publication of results.</w:t>
      </w:r>
    </w:p>
    <w:p w:rsidR="00043C32" w:rsidRPr="00534B4A" w:rsidP="00AD381B" w14:paraId="75025B43"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14:paraId="76740023" w14:textId="27AB1F90">
      <w:pPr>
        <w:tabs>
          <w:tab w:val="left" w:pos="-720"/>
        </w:tabs>
        <w:suppressAutoHyphens/>
        <w:ind w:left="360"/>
        <w:rPr>
          <w:rFonts w:ascii="Times New Roman" w:hAnsi="Times New Roman"/>
          <w:b/>
          <w:szCs w:val="24"/>
        </w:rPr>
      </w:pPr>
    </w:p>
    <w:p w:rsidR="00534B4A" w:rsidRPr="00534B4A" w:rsidP="00E32199" w14:paraId="5B364702" w14:textId="14AAC15C">
      <w:pPr>
        <w:tabs>
          <w:tab w:val="left" w:pos="-720"/>
        </w:tabs>
        <w:suppressAutoHyphens/>
        <w:spacing w:after="100" w:afterAutospacing="1"/>
        <w:ind w:left="720"/>
        <w:rPr>
          <w:rFonts w:ascii="Times New Roman" w:hAnsi="Times New Roman"/>
          <w:szCs w:val="24"/>
        </w:rPr>
      </w:pPr>
      <w:r w:rsidRPr="00E32199">
        <w:rPr>
          <w:rFonts w:ascii="Times New Roman" w:hAnsi="Times New Roman"/>
          <w:bCs/>
          <w:szCs w:val="24"/>
        </w:rPr>
        <w:t>The expiration date for OMB approval of the information collection will be displayed as required.</w:t>
      </w:r>
    </w:p>
    <w:p w:rsidR="001C73C0" w:rsidP="00AD381B" w14:paraId="4C4F0126" w14:textId="1837AB49">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9A6B45" w:rsidP="009A6B45" w14:paraId="2AB2D92D" w14:textId="35515B3C">
      <w:pPr>
        <w:tabs>
          <w:tab w:val="left" w:pos="-720"/>
        </w:tabs>
        <w:suppressAutoHyphens/>
        <w:rPr>
          <w:rFonts w:ascii="Times New Roman" w:hAnsi="Times New Roman"/>
          <w:b/>
          <w:szCs w:val="24"/>
        </w:rPr>
      </w:pPr>
    </w:p>
    <w:p w:rsidR="009A6B45" w:rsidRPr="009A6B45" w:rsidP="009A6B45" w14:paraId="0D25DBC6" w14:textId="7097FFB5">
      <w:pPr>
        <w:tabs>
          <w:tab w:val="left" w:pos="-720"/>
        </w:tabs>
        <w:suppressAutoHyphens/>
        <w:rPr>
          <w:rFonts w:ascii="Times New Roman" w:hAnsi="Times New Roman"/>
          <w:bCs/>
          <w:szCs w:val="24"/>
        </w:rPr>
      </w:pPr>
      <w:r>
        <w:rPr>
          <w:rFonts w:ascii="Times New Roman" w:hAnsi="Times New Roman"/>
          <w:b/>
          <w:szCs w:val="24"/>
        </w:rPr>
        <w:tab/>
      </w:r>
      <w:r w:rsidRPr="009A6B45">
        <w:rPr>
          <w:rFonts w:ascii="Times New Roman" w:hAnsi="Times New Roman"/>
          <w:bCs/>
        </w:rPr>
        <w:t>No exceptions to the certification statement are sought</w:t>
      </w:r>
    </w:p>
    <w:sectPr w:rsidSect="00043C32">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49A98370" w14:textId="77777777">
    <w:pPr>
      <w:spacing w:before="140" w:line="100" w:lineRule="exact"/>
      <w:rPr>
        <w:sz w:val="10"/>
      </w:rPr>
    </w:pPr>
  </w:p>
  <w:p w:rsidR="00386054" w14:paraId="07243376" w14:textId="77777777">
    <w:pPr>
      <w:tabs>
        <w:tab w:val="left" w:pos="0"/>
      </w:tabs>
      <w:suppressAutoHyphens/>
    </w:pPr>
  </w:p>
  <w:p w:rsidR="00386054" w14:paraId="12D6EC31"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267FC51C"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1819" w:rsidP="00043C32" w14:paraId="317C840D" w14:textId="77777777">
      <w:r>
        <w:separator/>
      </w:r>
    </w:p>
  </w:footnote>
  <w:footnote w:type="continuationSeparator" w:id="1">
    <w:p w:rsidR="00621819" w:rsidP="00043C32" w14:paraId="617BBA1A" w14:textId="77777777">
      <w:r>
        <w:continuationSeparator/>
      </w:r>
    </w:p>
  </w:footnote>
  <w:footnote w:id="2">
    <w:p w:rsidR="00660461" w:rsidP="00660461" w14:paraId="15A5BE99"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14541F4E"/>
    <w:multiLevelType w:val="hybridMultilevel"/>
    <w:tmpl w:val="C21AFC54"/>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22138AB"/>
    <w:multiLevelType w:val="hybridMultilevel"/>
    <w:tmpl w:val="B7469108"/>
    <w:lvl w:ilvl="0">
      <w:start w:val="1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6">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39180745">
    <w:abstractNumId w:val="0"/>
  </w:num>
  <w:num w:numId="2" w16cid:durableId="548148662">
    <w:abstractNumId w:val="3"/>
  </w:num>
  <w:num w:numId="3" w16cid:durableId="2128086339">
    <w:abstractNumId w:val="2"/>
  </w:num>
  <w:num w:numId="4" w16cid:durableId="1460108172">
    <w:abstractNumId w:val="4"/>
  </w:num>
  <w:num w:numId="5" w16cid:durableId="1134759789">
    <w:abstractNumId w:val="6"/>
  </w:num>
  <w:num w:numId="6" w16cid:durableId="145705552">
    <w:abstractNumId w:val="1"/>
  </w:num>
  <w:num w:numId="7" w16cid:durableId="14902498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55FEB"/>
    <w:rsid w:val="000924F6"/>
    <w:rsid w:val="000927F2"/>
    <w:rsid w:val="00093017"/>
    <w:rsid w:val="000D7DBE"/>
    <w:rsid w:val="00102EC9"/>
    <w:rsid w:val="00130C0D"/>
    <w:rsid w:val="001511A5"/>
    <w:rsid w:val="0017339D"/>
    <w:rsid w:val="001824F3"/>
    <w:rsid w:val="00197511"/>
    <w:rsid w:val="001A6AE0"/>
    <w:rsid w:val="001C0E1C"/>
    <w:rsid w:val="001C73C0"/>
    <w:rsid w:val="001E79BD"/>
    <w:rsid w:val="001F663A"/>
    <w:rsid w:val="00214A14"/>
    <w:rsid w:val="002225CC"/>
    <w:rsid w:val="00223183"/>
    <w:rsid w:val="00224A3B"/>
    <w:rsid w:val="00234718"/>
    <w:rsid w:val="00240A39"/>
    <w:rsid w:val="00246FE9"/>
    <w:rsid w:val="00250100"/>
    <w:rsid w:val="00262A69"/>
    <w:rsid w:val="00264547"/>
    <w:rsid w:val="00264B5E"/>
    <w:rsid w:val="00270AF7"/>
    <w:rsid w:val="002835C8"/>
    <w:rsid w:val="002A3221"/>
    <w:rsid w:val="002B37CB"/>
    <w:rsid w:val="002B6941"/>
    <w:rsid w:val="002C3520"/>
    <w:rsid w:val="002C55C0"/>
    <w:rsid w:val="002C5E42"/>
    <w:rsid w:val="002E14E0"/>
    <w:rsid w:val="002F55E5"/>
    <w:rsid w:val="002F7A9D"/>
    <w:rsid w:val="0032078A"/>
    <w:rsid w:val="0032539E"/>
    <w:rsid w:val="0035766C"/>
    <w:rsid w:val="00370FCE"/>
    <w:rsid w:val="003814E1"/>
    <w:rsid w:val="00386054"/>
    <w:rsid w:val="003860E4"/>
    <w:rsid w:val="00393746"/>
    <w:rsid w:val="003A3836"/>
    <w:rsid w:val="003B1545"/>
    <w:rsid w:val="003C2BCE"/>
    <w:rsid w:val="003E34BB"/>
    <w:rsid w:val="003E6AF1"/>
    <w:rsid w:val="003F12B7"/>
    <w:rsid w:val="00412915"/>
    <w:rsid w:val="00442E07"/>
    <w:rsid w:val="0044586B"/>
    <w:rsid w:val="00462773"/>
    <w:rsid w:val="004649DA"/>
    <w:rsid w:val="004B1DA9"/>
    <w:rsid w:val="004B5264"/>
    <w:rsid w:val="004C2E29"/>
    <w:rsid w:val="004E0D85"/>
    <w:rsid w:val="0052073E"/>
    <w:rsid w:val="00534B4A"/>
    <w:rsid w:val="00575DDA"/>
    <w:rsid w:val="00581C11"/>
    <w:rsid w:val="005A1635"/>
    <w:rsid w:val="005A7664"/>
    <w:rsid w:val="005D1A0F"/>
    <w:rsid w:val="005F708C"/>
    <w:rsid w:val="00607BE3"/>
    <w:rsid w:val="00621819"/>
    <w:rsid w:val="00660461"/>
    <w:rsid w:val="00664B8F"/>
    <w:rsid w:val="0067712A"/>
    <w:rsid w:val="0068567A"/>
    <w:rsid w:val="006A292A"/>
    <w:rsid w:val="006A38F7"/>
    <w:rsid w:val="006A4EBB"/>
    <w:rsid w:val="006B4172"/>
    <w:rsid w:val="006C17EC"/>
    <w:rsid w:val="006E2006"/>
    <w:rsid w:val="006E7E7D"/>
    <w:rsid w:val="006F573E"/>
    <w:rsid w:val="0071202F"/>
    <w:rsid w:val="00713B69"/>
    <w:rsid w:val="007169BC"/>
    <w:rsid w:val="007272B9"/>
    <w:rsid w:val="00753803"/>
    <w:rsid w:val="00755D99"/>
    <w:rsid w:val="00756FD3"/>
    <w:rsid w:val="00765392"/>
    <w:rsid w:val="0077591E"/>
    <w:rsid w:val="00790E3E"/>
    <w:rsid w:val="007C0A4C"/>
    <w:rsid w:val="007D4DDD"/>
    <w:rsid w:val="007E7FCD"/>
    <w:rsid w:val="007F6104"/>
    <w:rsid w:val="00800D30"/>
    <w:rsid w:val="00805C99"/>
    <w:rsid w:val="00807D1A"/>
    <w:rsid w:val="00814ED0"/>
    <w:rsid w:val="00843CB3"/>
    <w:rsid w:val="008509F1"/>
    <w:rsid w:val="008745BF"/>
    <w:rsid w:val="00874EFE"/>
    <w:rsid w:val="00882126"/>
    <w:rsid w:val="008933F1"/>
    <w:rsid w:val="00895640"/>
    <w:rsid w:val="008B3C76"/>
    <w:rsid w:val="008D0601"/>
    <w:rsid w:val="008D1E5A"/>
    <w:rsid w:val="008D1F11"/>
    <w:rsid w:val="008D7560"/>
    <w:rsid w:val="008E5919"/>
    <w:rsid w:val="00903F5A"/>
    <w:rsid w:val="00905951"/>
    <w:rsid w:val="00912D2C"/>
    <w:rsid w:val="00916EE4"/>
    <w:rsid w:val="00920F63"/>
    <w:rsid w:val="009243F3"/>
    <w:rsid w:val="00932AE5"/>
    <w:rsid w:val="0093366B"/>
    <w:rsid w:val="00934185"/>
    <w:rsid w:val="00946126"/>
    <w:rsid w:val="00952101"/>
    <w:rsid w:val="00952DF9"/>
    <w:rsid w:val="0095421D"/>
    <w:rsid w:val="00960C86"/>
    <w:rsid w:val="009767AF"/>
    <w:rsid w:val="00981F58"/>
    <w:rsid w:val="00986D0A"/>
    <w:rsid w:val="009A0244"/>
    <w:rsid w:val="009A6B45"/>
    <w:rsid w:val="009C0280"/>
    <w:rsid w:val="009E3E86"/>
    <w:rsid w:val="009F19E4"/>
    <w:rsid w:val="00A03ED4"/>
    <w:rsid w:val="00A10165"/>
    <w:rsid w:val="00A118A2"/>
    <w:rsid w:val="00A23F26"/>
    <w:rsid w:val="00A4001C"/>
    <w:rsid w:val="00A40AAB"/>
    <w:rsid w:val="00A45C61"/>
    <w:rsid w:val="00A46D01"/>
    <w:rsid w:val="00A70816"/>
    <w:rsid w:val="00A73590"/>
    <w:rsid w:val="00A7361F"/>
    <w:rsid w:val="00A7586A"/>
    <w:rsid w:val="00A7636D"/>
    <w:rsid w:val="00A80623"/>
    <w:rsid w:val="00A86AAC"/>
    <w:rsid w:val="00A9138E"/>
    <w:rsid w:val="00AB32CF"/>
    <w:rsid w:val="00AC1C89"/>
    <w:rsid w:val="00AD2E26"/>
    <w:rsid w:val="00AD381B"/>
    <w:rsid w:val="00AE308B"/>
    <w:rsid w:val="00AF5B5B"/>
    <w:rsid w:val="00AF5D1A"/>
    <w:rsid w:val="00B017F9"/>
    <w:rsid w:val="00B05747"/>
    <w:rsid w:val="00B07213"/>
    <w:rsid w:val="00B10A05"/>
    <w:rsid w:val="00B25006"/>
    <w:rsid w:val="00B54167"/>
    <w:rsid w:val="00B62E06"/>
    <w:rsid w:val="00B64B1D"/>
    <w:rsid w:val="00B65B45"/>
    <w:rsid w:val="00B740A6"/>
    <w:rsid w:val="00B92051"/>
    <w:rsid w:val="00B9671B"/>
    <w:rsid w:val="00BA1D31"/>
    <w:rsid w:val="00BA71F3"/>
    <w:rsid w:val="00BA7C49"/>
    <w:rsid w:val="00BB5434"/>
    <w:rsid w:val="00BB7425"/>
    <w:rsid w:val="00BE12A1"/>
    <w:rsid w:val="00BF0F80"/>
    <w:rsid w:val="00C164D3"/>
    <w:rsid w:val="00C20670"/>
    <w:rsid w:val="00C224FD"/>
    <w:rsid w:val="00C40805"/>
    <w:rsid w:val="00C52AC4"/>
    <w:rsid w:val="00C85A27"/>
    <w:rsid w:val="00C8628E"/>
    <w:rsid w:val="00C86713"/>
    <w:rsid w:val="00C875E8"/>
    <w:rsid w:val="00C92035"/>
    <w:rsid w:val="00CC2A72"/>
    <w:rsid w:val="00CC3FB5"/>
    <w:rsid w:val="00CD2067"/>
    <w:rsid w:val="00CD47BC"/>
    <w:rsid w:val="00CE2E11"/>
    <w:rsid w:val="00D1566C"/>
    <w:rsid w:val="00D25EB4"/>
    <w:rsid w:val="00D26259"/>
    <w:rsid w:val="00D31CC8"/>
    <w:rsid w:val="00D34984"/>
    <w:rsid w:val="00D36C35"/>
    <w:rsid w:val="00D75313"/>
    <w:rsid w:val="00DA2E66"/>
    <w:rsid w:val="00DA5871"/>
    <w:rsid w:val="00DA62CB"/>
    <w:rsid w:val="00DE2581"/>
    <w:rsid w:val="00DF49E6"/>
    <w:rsid w:val="00DF5792"/>
    <w:rsid w:val="00E0065A"/>
    <w:rsid w:val="00E021D3"/>
    <w:rsid w:val="00E16ACD"/>
    <w:rsid w:val="00E17134"/>
    <w:rsid w:val="00E25EBC"/>
    <w:rsid w:val="00E32199"/>
    <w:rsid w:val="00E6117E"/>
    <w:rsid w:val="00E66550"/>
    <w:rsid w:val="00E7529B"/>
    <w:rsid w:val="00E877BF"/>
    <w:rsid w:val="00EA1767"/>
    <w:rsid w:val="00EB0929"/>
    <w:rsid w:val="00EB0FA5"/>
    <w:rsid w:val="00EC01DD"/>
    <w:rsid w:val="00EC35E3"/>
    <w:rsid w:val="00EC7BC0"/>
    <w:rsid w:val="00ED483A"/>
    <w:rsid w:val="00ED7195"/>
    <w:rsid w:val="00F0414F"/>
    <w:rsid w:val="00F070F3"/>
    <w:rsid w:val="00F145F8"/>
    <w:rsid w:val="00F16CD0"/>
    <w:rsid w:val="00F216B4"/>
    <w:rsid w:val="00F27AAF"/>
    <w:rsid w:val="00F31BEC"/>
    <w:rsid w:val="00F47807"/>
    <w:rsid w:val="00F478EE"/>
    <w:rsid w:val="00F5782B"/>
    <w:rsid w:val="00F73131"/>
    <w:rsid w:val="00F9662B"/>
    <w:rsid w:val="00FA19C0"/>
    <w:rsid w:val="00FC669D"/>
    <w:rsid w:val="00FC7E1D"/>
    <w:rsid w:val="00FD4D48"/>
    <w:rsid w:val="00FD4F0B"/>
    <w:rsid w:val="00FE02FC"/>
    <w:rsid w:val="00FE1BAE"/>
    <w:rsid w:val="00FF2436"/>
    <w:rsid w:val="5C8E5E77"/>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B79810B"/>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uiPriority w:val="99"/>
    <w:unhideWhenUsed/>
    <w:rsid w:val="00664B8F"/>
    <w:pPr>
      <w:tabs>
        <w:tab w:val="left" w:pos="-72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uiPriority w:val="99"/>
    <w:rsid w:val="00664B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B3B5D7-5AA8-4D7F-BCD1-9321017E0245}">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3515</Words>
  <Characters>20040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Starke, Sara</cp:lastModifiedBy>
  <cp:revision>2</cp:revision>
  <dcterms:created xsi:type="dcterms:W3CDTF">2023-07-26T12:33:00Z</dcterms:created>
  <dcterms:modified xsi:type="dcterms:W3CDTF">2023-07-26T12:33:00Z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