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3C32" w:rsidRPr="00F74288" w:rsidP="00246834" w14:paraId="64280E54" w14:textId="77777777">
      <w:pPr>
        <w:pStyle w:val="Heading1"/>
        <w:rPr>
          <w:b/>
          <w:bCs/>
          <w:sz w:val="24"/>
          <w:szCs w:val="24"/>
        </w:rPr>
      </w:pPr>
      <w:r w:rsidRPr="00F74288">
        <w:rPr>
          <w:b/>
          <w:bCs/>
          <w:sz w:val="24"/>
          <w:szCs w:val="24"/>
        </w:rPr>
        <w:t>SUPPORTING STATEMENT</w:t>
      </w:r>
    </w:p>
    <w:p w:rsidR="00043C32" w:rsidRPr="00F74288" w:rsidP="00246834" w14:paraId="64280E55" w14:textId="0EEBC467">
      <w:pPr>
        <w:pStyle w:val="Heading1"/>
        <w:rPr>
          <w:b/>
          <w:bCs/>
          <w:sz w:val="24"/>
          <w:szCs w:val="24"/>
        </w:rPr>
      </w:pPr>
      <w:r w:rsidRPr="00F74288">
        <w:rPr>
          <w:b/>
          <w:bCs/>
          <w:sz w:val="24"/>
          <w:szCs w:val="24"/>
        </w:rPr>
        <w:t>FOR PAPERWORK REDUCTION ACT SUBMISSION</w:t>
      </w:r>
    </w:p>
    <w:p w:rsidR="005F4E11" w:rsidRPr="00F74288" w:rsidP="00246834" w14:paraId="05DA5314" w14:textId="2287146A">
      <w:pPr>
        <w:jc w:val="center"/>
        <w:rPr>
          <w:rFonts w:asciiTheme="minorHAnsi" w:hAnsiTheme="minorHAnsi" w:cstheme="minorHAnsi"/>
        </w:rPr>
      </w:pPr>
      <w:r>
        <w:rPr>
          <w:rFonts w:asciiTheme="minorHAnsi" w:hAnsiTheme="minorHAnsi" w:cstheme="minorHAnsi"/>
        </w:rPr>
        <w:t>Public Service Loan Forgiveness Reconsideration Request</w:t>
      </w:r>
    </w:p>
    <w:p w:rsidR="00043C32" w:rsidRPr="00AD381B" w:rsidP="00DA3352" w14:paraId="64280E56" w14:textId="4D0E03C8">
      <w:pPr>
        <w:tabs>
          <w:tab w:val="left" w:pos="0"/>
          <w:tab w:val="left" w:pos="7046"/>
        </w:tabs>
        <w:suppressAutoHyphens/>
        <w:rPr>
          <w:rFonts w:ascii="Times New Roman" w:hAnsi="Times New Roman"/>
          <w:szCs w:val="24"/>
        </w:rPr>
      </w:pPr>
      <w:r>
        <w:rPr>
          <w:rFonts w:ascii="Times New Roman" w:hAnsi="Times New Roman"/>
          <w:szCs w:val="24"/>
        </w:rPr>
        <w:tab/>
      </w:r>
    </w:p>
    <w:p w:rsidR="00EA1767" w:rsidP="00246834" w14:paraId="64280E57" w14:textId="23B1C776">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246834" w14:paraId="763DBF3F" w14:textId="77777777">
      <w:pPr>
        <w:suppressAutoHyphens/>
        <w:ind w:left="720"/>
        <w:rPr>
          <w:rFonts w:ascii="Times New Roman" w:hAnsi="Times New Roman"/>
          <w:bCs/>
          <w:szCs w:val="24"/>
        </w:rPr>
      </w:pPr>
    </w:p>
    <w:p w:rsidR="00AD381B" w:rsidRPr="00CA59E3" w:rsidP="00246834" w14:paraId="64280E58" w14:textId="7B9B9B63">
      <w:pPr>
        <w:pStyle w:val="ListParagraph"/>
        <w:suppressAutoHyphens/>
        <w:rPr>
          <w:rFonts w:asciiTheme="minorHAnsi" w:hAnsiTheme="minorHAnsi" w:cstheme="minorHAnsi"/>
        </w:rPr>
      </w:pPr>
      <w:r w:rsidRPr="00CA59E3">
        <w:rPr>
          <w:rFonts w:asciiTheme="minorHAnsi" w:hAnsiTheme="minorHAnsi" w:cstheme="minorHAnsi"/>
        </w:rPr>
        <w:t xml:space="preserve">The Department of Education (Department) is requesting </w:t>
      </w:r>
      <w:r w:rsidR="009F7D28">
        <w:rPr>
          <w:rFonts w:asciiTheme="minorHAnsi" w:hAnsiTheme="minorHAnsi" w:cstheme="minorHAnsi"/>
        </w:rPr>
        <w:t xml:space="preserve">the extension of this </w:t>
      </w:r>
      <w:r w:rsidRPr="00CA59E3">
        <w:rPr>
          <w:rFonts w:asciiTheme="minorHAnsi" w:hAnsiTheme="minorHAnsi" w:cstheme="minorHAnsi"/>
        </w:rPr>
        <w:t xml:space="preserve">information collection.  This collection </w:t>
      </w:r>
      <w:r w:rsidR="009F7D28">
        <w:rPr>
          <w:rFonts w:asciiTheme="minorHAnsi" w:hAnsiTheme="minorHAnsi" w:cstheme="minorHAnsi"/>
        </w:rPr>
        <w:t>is</w:t>
      </w:r>
      <w:r w:rsidRPr="00CA59E3">
        <w:rPr>
          <w:rFonts w:asciiTheme="minorHAnsi" w:hAnsiTheme="minorHAnsi" w:cstheme="minorHAnsi"/>
        </w:rPr>
        <w:t xml:space="preserve"> used to obtain information from federal student loan borrowers to determine eligibility for</w:t>
      </w:r>
      <w:r w:rsidRPr="00CA59E3" w:rsidR="00E909F4">
        <w:rPr>
          <w:rFonts w:asciiTheme="minorHAnsi" w:hAnsiTheme="minorHAnsi" w:cstheme="minorHAnsi"/>
        </w:rPr>
        <w:t xml:space="preserve"> </w:t>
      </w:r>
      <w:r w:rsidRPr="00CA59E3" w:rsidR="004253DE">
        <w:rPr>
          <w:rFonts w:asciiTheme="minorHAnsi" w:hAnsiTheme="minorHAnsi" w:cstheme="minorHAnsi"/>
        </w:rPr>
        <w:t>reconsideration of their Public Service Lo</w:t>
      </w:r>
      <w:r w:rsidRPr="00CA59E3" w:rsidR="000B7E18">
        <w:rPr>
          <w:rFonts w:asciiTheme="minorHAnsi" w:hAnsiTheme="minorHAnsi" w:cstheme="minorHAnsi"/>
        </w:rPr>
        <w:t xml:space="preserve">an Forgiveness (PSLF) </w:t>
      </w:r>
      <w:r w:rsidRPr="00CA59E3" w:rsidR="00040BB3">
        <w:rPr>
          <w:rFonts w:asciiTheme="minorHAnsi" w:hAnsiTheme="minorHAnsi" w:cstheme="minorHAnsi"/>
        </w:rPr>
        <w:t xml:space="preserve">or Temporary Expanded Public Service Loan Forgiveness (TEPSLF) </w:t>
      </w:r>
      <w:r w:rsidRPr="00CA59E3" w:rsidR="000B7E18">
        <w:rPr>
          <w:rFonts w:asciiTheme="minorHAnsi" w:hAnsiTheme="minorHAnsi" w:cstheme="minorHAnsi"/>
        </w:rPr>
        <w:t xml:space="preserve">denial notification on the basis of </w:t>
      </w:r>
      <w:r w:rsidRPr="00CA59E3" w:rsidR="00676F48">
        <w:rPr>
          <w:rFonts w:asciiTheme="minorHAnsi" w:hAnsiTheme="minorHAnsi" w:cstheme="minorHAnsi"/>
        </w:rPr>
        <w:t>payment count</w:t>
      </w:r>
      <w:r w:rsidRPr="00CA59E3" w:rsidR="0001310C">
        <w:rPr>
          <w:rFonts w:asciiTheme="minorHAnsi" w:hAnsiTheme="minorHAnsi" w:cstheme="minorHAnsi"/>
        </w:rPr>
        <w:t>s</w:t>
      </w:r>
      <w:r w:rsidRPr="00CA59E3" w:rsidR="00676F48">
        <w:rPr>
          <w:rFonts w:asciiTheme="minorHAnsi" w:hAnsiTheme="minorHAnsi" w:cstheme="minorHAnsi"/>
        </w:rPr>
        <w:t xml:space="preserve"> or </w:t>
      </w:r>
      <w:r w:rsidRPr="00CA59E3" w:rsidR="0001310C">
        <w:rPr>
          <w:rFonts w:asciiTheme="minorHAnsi" w:hAnsiTheme="minorHAnsi" w:cstheme="minorHAnsi"/>
        </w:rPr>
        <w:t>employer eligibility determinations</w:t>
      </w:r>
      <w:r w:rsidRPr="00CA59E3" w:rsidR="00840E4E">
        <w:rPr>
          <w:rFonts w:asciiTheme="minorHAnsi" w:hAnsiTheme="minorHAnsi" w:cstheme="minorHAnsi"/>
        </w:rPr>
        <w:t xml:space="preserve"> pu</w:t>
      </w:r>
      <w:r w:rsidR="00AF708B">
        <w:rPr>
          <w:rFonts w:asciiTheme="minorHAnsi" w:hAnsiTheme="minorHAnsi" w:cstheme="minorHAnsi"/>
        </w:rPr>
        <w:t>r</w:t>
      </w:r>
      <w:r w:rsidRPr="00CA59E3" w:rsidR="00840E4E">
        <w:rPr>
          <w:rFonts w:asciiTheme="minorHAnsi" w:hAnsiTheme="minorHAnsi" w:cstheme="minorHAnsi"/>
        </w:rPr>
        <w:t xml:space="preserve">suant to a settlement agreement between the Department and the American Federation of Teachers (ATF) which was signed on </w:t>
      </w:r>
      <w:r w:rsidRPr="00CA59E3" w:rsidR="00115BE6">
        <w:rPr>
          <w:rFonts w:asciiTheme="minorHAnsi" w:hAnsiTheme="minorHAnsi" w:cstheme="minorHAnsi"/>
        </w:rPr>
        <w:t>October 12, 2021</w:t>
      </w:r>
      <w:r w:rsidRPr="00CA59E3" w:rsidR="00E4117D">
        <w:rPr>
          <w:rFonts w:asciiTheme="minorHAnsi" w:hAnsiTheme="minorHAnsi" w:cstheme="minorHAnsi"/>
        </w:rPr>
        <w:t>.</w:t>
      </w:r>
    </w:p>
    <w:p w:rsidR="00CB7E11" w:rsidRPr="00CA59E3" w:rsidP="00246834" w14:paraId="33733174" w14:textId="653D0D19">
      <w:pPr>
        <w:pStyle w:val="ListParagraph"/>
        <w:suppressAutoHyphens/>
        <w:rPr>
          <w:rFonts w:asciiTheme="minorHAnsi" w:hAnsiTheme="minorHAnsi" w:cstheme="minorHAnsi"/>
          <w:szCs w:val="24"/>
        </w:rPr>
      </w:pPr>
    </w:p>
    <w:p w:rsidR="00CB7E11" w:rsidRPr="00CA59E3" w:rsidP="00246834" w14:paraId="722C6FBD" w14:textId="21931B60">
      <w:pPr>
        <w:pStyle w:val="ListParagraph"/>
        <w:suppressAutoHyphens/>
        <w:rPr>
          <w:rFonts w:asciiTheme="minorHAnsi" w:hAnsiTheme="minorHAnsi" w:cstheme="minorHAnsi"/>
        </w:rPr>
      </w:pPr>
      <w:r w:rsidRPr="00CA59E3">
        <w:rPr>
          <w:rFonts w:asciiTheme="minorHAnsi" w:hAnsiTheme="minorHAnsi" w:cstheme="minorHAnsi"/>
        </w:rPr>
        <w:t xml:space="preserve">The settlement between </w:t>
      </w:r>
      <w:r w:rsidRPr="00CA59E3" w:rsidR="00840E4E">
        <w:rPr>
          <w:rFonts w:asciiTheme="minorHAnsi" w:hAnsiTheme="minorHAnsi" w:cstheme="minorHAnsi"/>
        </w:rPr>
        <w:t>the Department</w:t>
      </w:r>
      <w:r w:rsidRPr="00CA59E3">
        <w:rPr>
          <w:rFonts w:asciiTheme="minorHAnsi" w:hAnsiTheme="minorHAnsi" w:cstheme="minorHAnsi"/>
        </w:rPr>
        <w:t xml:space="preserve"> and the </w:t>
      </w:r>
      <w:r w:rsidRPr="00CA59E3" w:rsidR="008F1E49">
        <w:rPr>
          <w:rFonts w:asciiTheme="minorHAnsi" w:hAnsiTheme="minorHAnsi" w:cstheme="minorHAnsi"/>
        </w:rPr>
        <w:t xml:space="preserve">AFT </w:t>
      </w:r>
      <w:r w:rsidRPr="00CA59E3" w:rsidR="003E0D47">
        <w:rPr>
          <w:rFonts w:asciiTheme="minorHAnsi" w:hAnsiTheme="minorHAnsi" w:cstheme="minorHAnsi"/>
        </w:rPr>
        <w:t>requires</w:t>
      </w:r>
      <w:r w:rsidRPr="00CA59E3" w:rsidR="008F1E49">
        <w:rPr>
          <w:rFonts w:asciiTheme="minorHAnsi" w:hAnsiTheme="minorHAnsi" w:cstheme="minorHAnsi"/>
        </w:rPr>
        <w:t xml:space="preserve"> that “as soon as practicable but no later than April 30, 2022, the Department will establish an interim reconsideration process that will be available to any </w:t>
      </w:r>
      <w:r w:rsidRPr="00CA59E3" w:rsidR="12FCF2ED">
        <w:rPr>
          <w:rFonts w:asciiTheme="minorHAnsi" w:hAnsiTheme="minorHAnsi" w:cstheme="minorHAnsi"/>
        </w:rPr>
        <w:t>b</w:t>
      </w:r>
      <w:r w:rsidRPr="00CA59E3" w:rsidR="008F1E49">
        <w:rPr>
          <w:rFonts w:asciiTheme="minorHAnsi" w:hAnsiTheme="minorHAnsi" w:cstheme="minorHAnsi"/>
        </w:rPr>
        <w:t>orrower whose application for PSLF or TEPSLF has been or is denied”.</w:t>
      </w:r>
      <w:r w:rsidRPr="00CA59E3" w:rsidR="00876923">
        <w:rPr>
          <w:rFonts w:asciiTheme="minorHAnsi" w:hAnsiTheme="minorHAnsi" w:cstheme="minorHAnsi"/>
        </w:rPr>
        <w:t xml:space="preserve"> In </w:t>
      </w:r>
      <w:r w:rsidR="009F7D28">
        <w:rPr>
          <w:rFonts w:asciiTheme="minorHAnsi" w:hAnsiTheme="minorHAnsi" w:cstheme="minorHAnsi"/>
        </w:rPr>
        <w:t>continue</w:t>
      </w:r>
      <w:r w:rsidRPr="00CA59E3" w:rsidR="00876923">
        <w:rPr>
          <w:rFonts w:asciiTheme="minorHAnsi" w:hAnsiTheme="minorHAnsi" w:cstheme="minorHAnsi"/>
        </w:rPr>
        <w:t xml:space="preserve"> to meet the requirements of this</w:t>
      </w:r>
      <w:r w:rsidRPr="00CA59E3" w:rsidR="00925EFF">
        <w:rPr>
          <w:rFonts w:asciiTheme="minorHAnsi" w:hAnsiTheme="minorHAnsi" w:cstheme="minorHAnsi"/>
        </w:rPr>
        <w:t xml:space="preserve"> settlement, </w:t>
      </w:r>
      <w:r w:rsidRPr="00CA59E3" w:rsidR="00840E4E">
        <w:rPr>
          <w:rFonts w:asciiTheme="minorHAnsi" w:hAnsiTheme="minorHAnsi" w:cstheme="minorHAnsi"/>
        </w:rPr>
        <w:t>the Department</w:t>
      </w:r>
      <w:r w:rsidRPr="00CA59E3" w:rsidR="00925EFF">
        <w:rPr>
          <w:rFonts w:asciiTheme="minorHAnsi" w:hAnsiTheme="minorHAnsi" w:cstheme="minorHAnsi"/>
        </w:rPr>
        <w:t xml:space="preserve"> </w:t>
      </w:r>
      <w:r w:rsidRPr="00CA59E3" w:rsidR="00864662">
        <w:rPr>
          <w:rFonts w:asciiTheme="minorHAnsi" w:hAnsiTheme="minorHAnsi" w:cstheme="minorHAnsi"/>
        </w:rPr>
        <w:t xml:space="preserve">must </w:t>
      </w:r>
      <w:r w:rsidRPr="00CA59E3" w:rsidR="00335550">
        <w:rPr>
          <w:rFonts w:asciiTheme="minorHAnsi" w:hAnsiTheme="minorHAnsi" w:cstheme="minorHAnsi"/>
        </w:rPr>
        <w:t xml:space="preserve">gather the information needed from the borrowers to </w:t>
      </w:r>
      <w:r w:rsidRPr="00CA59E3" w:rsidR="00F0068B">
        <w:rPr>
          <w:rFonts w:asciiTheme="minorHAnsi" w:hAnsiTheme="minorHAnsi" w:cstheme="minorHAnsi"/>
        </w:rPr>
        <w:t>reconsider their denial.</w:t>
      </w:r>
      <w:r w:rsidR="00AF708B">
        <w:rPr>
          <w:rFonts w:asciiTheme="minorHAnsi" w:hAnsiTheme="minorHAnsi" w:cstheme="minorHAnsi"/>
        </w:rPr>
        <w:t xml:space="preserve">  </w:t>
      </w:r>
      <w:r w:rsidRPr="00AF708B" w:rsidR="00AF708B">
        <w:rPr>
          <w:rFonts w:asciiTheme="minorHAnsi" w:hAnsiTheme="minorHAnsi" w:cstheme="minorHAnsi"/>
        </w:rPr>
        <w:t>This collection allow</w:t>
      </w:r>
      <w:r w:rsidR="009F7D28">
        <w:rPr>
          <w:rFonts w:asciiTheme="minorHAnsi" w:hAnsiTheme="minorHAnsi" w:cstheme="minorHAnsi"/>
        </w:rPr>
        <w:t>s</w:t>
      </w:r>
      <w:r w:rsidRPr="00AF708B" w:rsidR="00AF708B">
        <w:rPr>
          <w:rFonts w:asciiTheme="minorHAnsi" w:hAnsiTheme="minorHAnsi" w:cstheme="minorHAnsi"/>
        </w:rPr>
        <w:t xml:space="preserve"> for the collection and review of such reconsideration requests.</w:t>
      </w:r>
    </w:p>
    <w:p w:rsidR="00AD381B" w:rsidRPr="00AD381B" w:rsidP="00246834" w14:paraId="64280E59" w14:textId="77777777">
      <w:pPr>
        <w:pStyle w:val="ListParagraph"/>
        <w:suppressAutoHyphens/>
        <w:contextualSpacing w:val="0"/>
        <w:rPr>
          <w:rFonts w:ascii="Times New Roman" w:hAnsi="Times New Roman"/>
          <w:szCs w:val="24"/>
        </w:rPr>
      </w:pPr>
    </w:p>
    <w:p w:rsidR="00AD381B" w:rsidP="00246834" w14:paraId="64280E5A" w14:textId="77777777">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246834" w14:paraId="64280E5B" w14:textId="6D06EA58">
      <w:pPr>
        <w:suppressAutoHyphens/>
        <w:ind w:left="720"/>
        <w:rPr>
          <w:rFonts w:ascii="Times New Roman" w:hAnsi="Times New Roman"/>
          <w:szCs w:val="24"/>
        </w:rPr>
      </w:pPr>
    </w:p>
    <w:p w:rsidR="00545768" w:rsidRPr="00CA59E3" w:rsidP="00246834" w14:paraId="74132D19" w14:textId="21F89369">
      <w:pPr>
        <w:pStyle w:val="ListParagraph"/>
        <w:suppressAutoHyphens/>
        <w:rPr>
          <w:rFonts w:asciiTheme="minorHAnsi" w:hAnsiTheme="minorHAnsi" w:cstheme="minorHAnsi"/>
          <w:szCs w:val="24"/>
        </w:rPr>
      </w:pPr>
      <w:r w:rsidRPr="00CA59E3">
        <w:rPr>
          <w:rFonts w:asciiTheme="minorHAnsi" w:hAnsiTheme="minorHAnsi" w:cstheme="minorHAnsi"/>
          <w:szCs w:val="24"/>
        </w:rPr>
        <w:t xml:space="preserve">The information collected </w:t>
      </w:r>
      <w:r w:rsidR="009F7D28">
        <w:rPr>
          <w:rFonts w:asciiTheme="minorHAnsi" w:hAnsiTheme="minorHAnsi" w:cstheme="minorHAnsi"/>
          <w:szCs w:val="24"/>
        </w:rPr>
        <w:t xml:space="preserve">is </w:t>
      </w:r>
      <w:r w:rsidRPr="00CA59E3">
        <w:rPr>
          <w:rFonts w:asciiTheme="minorHAnsi" w:hAnsiTheme="minorHAnsi" w:cstheme="minorHAnsi"/>
          <w:szCs w:val="24"/>
        </w:rPr>
        <w:t xml:space="preserve">used by the Department to make a determination of borrower eligibility for </w:t>
      </w:r>
      <w:r w:rsidRPr="00CA59E3">
        <w:rPr>
          <w:rFonts w:asciiTheme="minorHAnsi" w:hAnsiTheme="minorHAnsi" w:cstheme="minorHAnsi"/>
          <w:szCs w:val="24"/>
        </w:rPr>
        <w:t>reconsideration of their employer</w:t>
      </w:r>
      <w:r w:rsidRPr="00CA59E3" w:rsidR="001E4042">
        <w:rPr>
          <w:rFonts w:asciiTheme="minorHAnsi" w:hAnsiTheme="minorHAnsi" w:cstheme="minorHAnsi"/>
          <w:szCs w:val="24"/>
        </w:rPr>
        <w:t>’s eligibility for</w:t>
      </w:r>
      <w:r w:rsidRPr="00CA59E3">
        <w:rPr>
          <w:rFonts w:asciiTheme="minorHAnsi" w:hAnsiTheme="minorHAnsi" w:cstheme="minorHAnsi"/>
          <w:szCs w:val="24"/>
        </w:rPr>
        <w:t xml:space="preserve"> or payment counts toward PSLF</w:t>
      </w:r>
      <w:r w:rsidRPr="00CA59E3" w:rsidR="001E4042">
        <w:rPr>
          <w:rFonts w:asciiTheme="minorHAnsi" w:hAnsiTheme="minorHAnsi" w:cstheme="minorHAnsi"/>
          <w:szCs w:val="24"/>
        </w:rPr>
        <w:t>.</w:t>
      </w:r>
    </w:p>
    <w:p w:rsidR="005F4E11" w:rsidRPr="005F4E11" w:rsidP="00246834" w14:paraId="3D59201D" w14:textId="37324ECC">
      <w:pPr>
        <w:suppressAutoHyphens/>
        <w:ind w:left="720"/>
        <w:rPr>
          <w:rFonts w:asciiTheme="minorHAnsi" w:hAnsiTheme="minorHAnsi" w:cstheme="minorBidi"/>
        </w:rPr>
      </w:pPr>
    </w:p>
    <w:p w:rsidR="00043C32" w:rsidRPr="00AD381B" w:rsidP="00246834"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246834" w14:paraId="64280E5E" w14:textId="77777777">
      <w:pPr>
        <w:pStyle w:val="ListParagraph"/>
        <w:tabs>
          <w:tab w:val="left" w:pos="-720"/>
        </w:tabs>
        <w:suppressAutoHyphens/>
        <w:contextualSpacing w:val="0"/>
        <w:rPr>
          <w:rFonts w:ascii="Times New Roman" w:hAnsi="Times New Roman"/>
          <w:szCs w:val="24"/>
        </w:rPr>
      </w:pPr>
    </w:p>
    <w:p w:rsidR="00840E4E" w:rsidRPr="00CA59E3" w:rsidP="00246834" w14:paraId="45FEAB27" w14:textId="1C1AEC09">
      <w:pPr>
        <w:pStyle w:val="ListParagraph"/>
        <w:suppressAutoHyphens/>
        <w:contextualSpacing w:val="0"/>
        <w:rPr>
          <w:rFonts w:asciiTheme="minorHAnsi" w:hAnsiTheme="minorHAnsi" w:cstheme="minorHAnsi"/>
          <w:szCs w:val="24"/>
        </w:rPr>
      </w:pPr>
      <w:r w:rsidRPr="00CA59E3">
        <w:rPr>
          <w:rFonts w:asciiTheme="minorHAnsi" w:hAnsiTheme="minorHAnsi" w:cstheme="minorHAnsi"/>
        </w:rPr>
        <w:t>The Department is maximizing the use of automation based on the borrower</w:t>
      </w:r>
      <w:r w:rsidRPr="00CA59E3" w:rsidR="2BC43DCC">
        <w:rPr>
          <w:rFonts w:asciiTheme="minorHAnsi" w:hAnsiTheme="minorHAnsi" w:cstheme="minorHAnsi"/>
        </w:rPr>
        <w:t>’</w:t>
      </w:r>
      <w:r w:rsidRPr="00CA59E3">
        <w:rPr>
          <w:rFonts w:asciiTheme="minorHAnsi" w:hAnsiTheme="minorHAnsi" w:cstheme="minorHAnsi"/>
        </w:rPr>
        <w:t>s use of their FSA ID to initiate the request for reconsideration.</w:t>
      </w:r>
      <w:r w:rsidRPr="00CA59E3" w:rsidR="000E5395">
        <w:rPr>
          <w:rFonts w:asciiTheme="minorHAnsi" w:hAnsiTheme="minorHAnsi" w:cstheme="minorHAnsi"/>
        </w:rPr>
        <w:t xml:space="preserve">  </w:t>
      </w:r>
      <w:r w:rsidRPr="00CA59E3">
        <w:rPr>
          <w:rFonts w:asciiTheme="minorHAnsi" w:hAnsiTheme="minorHAnsi" w:cstheme="minorHAnsi"/>
          <w:szCs w:val="24"/>
        </w:rPr>
        <w:t xml:space="preserve">Borrowers wishing to apply for reconsideration will log into the Department’s system using their FSA-ID to be authenticated through that process and certain demographic information will be transferred to the electronic form for the borrower to review.  The form is only available electronically. </w:t>
      </w:r>
    </w:p>
    <w:p w:rsidR="008B02BB" w:rsidP="00246834" w14:paraId="7F676526" w14:textId="77777777">
      <w:pPr>
        <w:pStyle w:val="ListParagraph"/>
        <w:tabs>
          <w:tab w:val="left" w:pos="-720"/>
        </w:tabs>
        <w:suppressAutoHyphens/>
        <w:contextualSpacing w:val="0"/>
        <w:rPr>
          <w:rFonts w:ascii="Times New Roman" w:hAnsi="Times New Roman"/>
          <w:szCs w:val="24"/>
        </w:rPr>
      </w:pPr>
    </w:p>
    <w:p w:rsidR="00AD381B" w:rsidP="00246834"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E909F4" w:rsidP="00246834" w14:paraId="7F868306" w14:textId="77777777">
      <w:pPr>
        <w:pStyle w:val="ListParagraph"/>
        <w:tabs>
          <w:tab w:val="left" w:pos="0"/>
        </w:tabs>
        <w:suppressAutoHyphens/>
        <w:rPr>
          <w:rFonts w:asciiTheme="minorHAnsi" w:hAnsiTheme="minorHAnsi" w:cstheme="minorHAnsi"/>
          <w:szCs w:val="24"/>
        </w:rPr>
      </w:pPr>
    </w:p>
    <w:p w:rsidR="00E909F4" w:rsidRPr="00CA59E3" w:rsidP="00246834" w14:paraId="366F65F5" w14:textId="099C2260">
      <w:pPr>
        <w:pStyle w:val="ListParagraph"/>
        <w:suppressAutoHyphens/>
        <w:rPr>
          <w:rFonts w:asciiTheme="minorHAnsi" w:hAnsiTheme="minorHAnsi" w:cstheme="minorHAnsi"/>
        </w:rPr>
      </w:pPr>
      <w:r w:rsidRPr="00CA59E3">
        <w:rPr>
          <w:rFonts w:asciiTheme="minorHAnsi" w:hAnsiTheme="minorHAnsi" w:cstheme="minorHAnsi"/>
        </w:rPr>
        <w:t xml:space="preserve">The Department does not have information in its possession already to determine whether a borrower qualifies for </w:t>
      </w:r>
      <w:r w:rsidRPr="00CA59E3" w:rsidR="006916D6">
        <w:rPr>
          <w:rFonts w:asciiTheme="minorHAnsi" w:hAnsiTheme="minorHAnsi" w:cstheme="minorHAnsi"/>
        </w:rPr>
        <w:t>PSLF reconsideration.</w:t>
      </w:r>
      <w:r w:rsidRPr="00CA59E3">
        <w:rPr>
          <w:rFonts w:asciiTheme="minorHAnsi" w:hAnsiTheme="minorHAnsi" w:cstheme="minorHAnsi"/>
        </w:rPr>
        <w:t xml:space="preserve">  There is no duplication of information.</w:t>
      </w:r>
    </w:p>
    <w:p w:rsidR="00043C32" w:rsidRPr="005F4E11" w:rsidP="00246834"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46834" w14:paraId="64280E63" w14:textId="77777777">
      <w:pPr>
        <w:pStyle w:val="ListParagraph"/>
        <w:contextualSpacing w:val="0"/>
        <w:rPr>
          <w:rFonts w:ascii="Times New Roman" w:hAnsi="Times New Roman"/>
          <w:szCs w:val="24"/>
        </w:rPr>
      </w:pPr>
    </w:p>
    <w:p w:rsidR="00E909F4" w:rsidRPr="00CA59E3" w:rsidP="00246834" w14:paraId="19343F91" w14:textId="1523C866">
      <w:pPr>
        <w:pStyle w:val="ListParagraph"/>
        <w:tabs>
          <w:tab w:val="left" w:pos="720"/>
        </w:tabs>
        <w:suppressAutoHyphens/>
        <w:rPr>
          <w:rFonts w:asciiTheme="minorHAnsi" w:hAnsiTheme="minorHAnsi" w:cstheme="minorHAnsi"/>
        </w:rPr>
      </w:pPr>
      <w:r w:rsidRPr="00CA59E3">
        <w:rPr>
          <w:rFonts w:asciiTheme="minorHAnsi" w:hAnsiTheme="minorHAnsi" w:cstheme="minorHAnsi"/>
        </w:rPr>
        <w:t>No small businesses are affected by this information collection.</w:t>
      </w:r>
    </w:p>
    <w:p w:rsidR="00E909F4" w:rsidRPr="00E909F4" w:rsidP="00246834" w14:paraId="45F757BF" w14:textId="1E94F614">
      <w:pPr>
        <w:pStyle w:val="ListParagraph"/>
        <w:tabs>
          <w:tab w:val="left" w:pos="720"/>
        </w:tabs>
        <w:suppressAutoHyphens/>
        <w:rPr>
          <w:rFonts w:ascii="Times New Roman" w:hAnsi="Times New Roman"/>
        </w:rPr>
      </w:pPr>
    </w:p>
    <w:p w:rsidR="00043C32" w:rsidP="00246834"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246834" w14:paraId="3424297C" w14:textId="6A8F3E9A">
      <w:pPr>
        <w:tabs>
          <w:tab w:val="left" w:pos="-720"/>
        </w:tabs>
        <w:suppressAutoHyphens/>
        <w:ind w:left="720"/>
        <w:rPr>
          <w:rFonts w:ascii="Times New Roman" w:hAnsi="Times New Roman"/>
          <w:bCs/>
          <w:szCs w:val="24"/>
        </w:rPr>
      </w:pPr>
    </w:p>
    <w:p w:rsidR="00E909F4" w:rsidRPr="00CA59E3" w:rsidP="00246834" w14:paraId="2303F279" w14:textId="7C3198AC">
      <w:pPr>
        <w:pStyle w:val="BodyTextIndent"/>
        <w:rPr>
          <w:rFonts w:asciiTheme="minorHAnsi" w:hAnsiTheme="minorHAnsi" w:cstheme="minorHAnsi"/>
        </w:rPr>
      </w:pPr>
      <w:r w:rsidRPr="00CA59E3">
        <w:rPr>
          <w:rFonts w:asciiTheme="minorHAnsi" w:hAnsiTheme="minorHAnsi" w:cstheme="minorHAnsi"/>
        </w:rPr>
        <w:t xml:space="preserve">Absent this data collection form, </w:t>
      </w:r>
      <w:r w:rsidRPr="00CA59E3" w:rsidR="007E4092">
        <w:rPr>
          <w:rFonts w:asciiTheme="minorHAnsi" w:hAnsiTheme="minorHAnsi" w:cstheme="minorHAnsi"/>
        </w:rPr>
        <w:t>the</w:t>
      </w:r>
      <w:r w:rsidRPr="00CA59E3">
        <w:rPr>
          <w:rFonts w:asciiTheme="minorHAnsi" w:hAnsiTheme="minorHAnsi" w:cstheme="minorHAnsi"/>
        </w:rPr>
        <w:t xml:space="preserve"> </w:t>
      </w:r>
      <w:r w:rsidRPr="00CA59E3" w:rsidR="00116DEF">
        <w:rPr>
          <w:rFonts w:asciiTheme="minorHAnsi" w:hAnsiTheme="minorHAnsi" w:cstheme="minorHAnsi"/>
        </w:rPr>
        <w:t>Department</w:t>
      </w:r>
      <w:r w:rsidR="005F776B">
        <w:rPr>
          <w:rFonts w:asciiTheme="minorHAnsi" w:hAnsiTheme="minorHAnsi" w:cstheme="minorHAnsi"/>
        </w:rPr>
        <w:t xml:space="preserve"> </w:t>
      </w:r>
      <w:r w:rsidR="009F7D28">
        <w:rPr>
          <w:rFonts w:asciiTheme="minorHAnsi" w:hAnsiTheme="minorHAnsi" w:cstheme="minorHAnsi"/>
        </w:rPr>
        <w:t>does</w:t>
      </w:r>
      <w:r w:rsidRPr="00CA59E3">
        <w:rPr>
          <w:rFonts w:asciiTheme="minorHAnsi" w:hAnsiTheme="minorHAnsi" w:cstheme="minorHAnsi"/>
        </w:rPr>
        <w:t xml:space="preserve"> not have sufficient or accurate information required to make eligibility determinations for the </w:t>
      </w:r>
      <w:r w:rsidRPr="00CA59E3" w:rsidR="00990EB3">
        <w:rPr>
          <w:rFonts w:asciiTheme="minorHAnsi" w:hAnsiTheme="minorHAnsi" w:cstheme="minorHAnsi"/>
        </w:rPr>
        <w:t xml:space="preserve">reconsideration opportunity </w:t>
      </w:r>
      <w:r w:rsidRPr="00CA59E3">
        <w:rPr>
          <w:rFonts w:asciiTheme="minorHAnsi" w:hAnsiTheme="minorHAnsi" w:cstheme="minorHAnsi"/>
        </w:rPr>
        <w:t>authorized for these borrowers.</w:t>
      </w:r>
    </w:p>
    <w:p w:rsidR="005F4E11" w:rsidRPr="005F4E11" w:rsidP="00246834" w14:paraId="51872AEE" w14:textId="77777777">
      <w:pPr>
        <w:tabs>
          <w:tab w:val="left" w:pos="-720"/>
        </w:tabs>
        <w:suppressAutoHyphens/>
        <w:ind w:left="720"/>
        <w:rPr>
          <w:rFonts w:ascii="Times New Roman" w:hAnsi="Times New Roman"/>
          <w:bCs/>
          <w:szCs w:val="24"/>
        </w:rPr>
      </w:pPr>
    </w:p>
    <w:p w:rsidR="00043C32" w:rsidRPr="00AD381B" w:rsidP="00246834"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246834"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246834"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246834"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246834"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246834"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246834"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246834"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246834"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246834" w14:paraId="64280E77" w14:textId="77777777">
      <w:pPr>
        <w:pStyle w:val="ListParagraph"/>
        <w:rPr>
          <w:rFonts w:ascii="Times New Roman" w:hAnsi="Times New Roman"/>
          <w:bCs/>
          <w:szCs w:val="24"/>
        </w:rPr>
      </w:pPr>
    </w:p>
    <w:p w:rsidR="008B02BB" w:rsidRPr="00CA59E3" w:rsidP="00246834" w14:paraId="6DE98D94" w14:textId="41A28496">
      <w:pPr>
        <w:tabs>
          <w:tab w:val="left" w:pos="0"/>
        </w:tabs>
        <w:suppressAutoHyphens/>
        <w:ind w:left="720"/>
        <w:rPr>
          <w:rFonts w:asciiTheme="minorHAnsi" w:hAnsiTheme="minorHAnsi" w:cstheme="minorHAnsi"/>
        </w:rPr>
      </w:pPr>
      <w:r w:rsidRPr="00CA59E3">
        <w:rPr>
          <w:rFonts w:asciiTheme="minorHAnsi" w:hAnsiTheme="minorHAnsi" w:cstheme="minorHAnsi"/>
        </w:rPr>
        <w:t>This information collection does not involve any of the above conditions.</w:t>
      </w:r>
    </w:p>
    <w:p w:rsidR="005F4E11" w:rsidRPr="00AD381B" w:rsidP="00246834" w14:paraId="6109B5F4" w14:textId="77777777">
      <w:pPr>
        <w:tabs>
          <w:tab w:val="left" w:pos="-720"/>
        </w:tabs>
        <w:suppressAutoHyphens/>
        <w:rPr>
          <w:rFonts w:ascii="Times New Roman" w:hAnsi="Times New Roman"/>
          <w:szCs w:val="24"/>
        </w:rPr>
      </w:pPr>
    </w:p>
    <w:p w:rsidR="00D75313" w:rsidP="00246834"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46834"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246834"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46834"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246834"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246834"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246834" w14:paraId="64280E7F" w14:textId="77777777">
      <w:pPr>
        <w:tabs>
          <w:tab w:val="left" w:pos="-720"/>
        </w:tabs>
        <w:suppressAutoHyphens/>
        <w:rPr>
          <w:rStyle w:val="a"/>
          <w:rFonts w:ascii="Times New Roman" w:hAnsi="Times New Roman"/>
          <w:b/>
          <w:szCs w:val="24"/>
        </w:rPr>
      </w:pPr>
    </w:p>
    <w:p w:rsidR="00043C32" w:rsidP="00246834"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246834" w14:paraId="64280E81" w14:textId="77777777">
      <w:pPr>
        <w:tabs>
          <w:tab w:val="left" w:pos="-720"/>
        </w:tabs>
        <w:suppressAutoHyphens/>
        <w:ind w:left="720"/>
        <w:rPr>
          <w:rFonts w:ascii="Times New Roman" w:hAnsi="Times New Roman"/>
          <w:bCs/>
          <w:szCs w:val="24"/>
        </w:rPr>
      </w:pPr>
    </w:p>
    <w:p w:rsidR="00587A55" w:rsidP="00246834" w14:paraId="238244C6" w14:textId="5451698C">
      <w:pPr>
        <w:tabs>
          <w:tab w:val="left" w:pos="-720"/>
        </w:tabs>
        <w:suppressAutoHyphens/>
        <w:ind w:left="720"/>
        <w:rPr>
          <w:rFonts w:asciiTheme="minorHAnsi" w:hAnsiTheme="minorHAnsi" w:cstheme="minorHAnsi"/>
        </w:rPr>
      </w:pPr>
      <w:r>
        <w:rPr>
          <w:rFonts w:asciiTheme="minorHAnsi" w:hAnsiTheme="minorHAnsi" w:cstheme="minorHAnsi"/>
        </w:rPr>
        <w:t xml:space="preserve">On March 18, 2022, a Federal Register Notice </w:t>
      </w:r>
      <w:r w:rsidR="00CC371B">
        <w:rPr>
          <w:rFonts w:asciiTheme="minorHAnsi" w:hAnsiTheme="minorHAnsi" w:cstheme="minorHAnsi"/>
        </w:rPr>
        <w:t>(Vol. 87, No.</w:t>
      </w:r>
      <w:r w:rsidR="00D87631">
        <w:rPr>
          <w:rFonts w:asciiTheme="minorHAnsi" w:hAnsiTheme="minorHAnsi" w:cstheme="minorHAnsi"/>
        </w:rPr>
        <w:t xml:space="preserve"> </w:t>
      </w:r>
      <w:r w:rsidR="00CC371B">
        <w:rPr>
          <w:rFonts w:asciiTheme="minorHAnsi" w:hAnsiTheme="minorHAnsi" w:cstheme="minorHAnsi"/>
        </w:rPr>
        <w:t>53, pages 15415-15416)</w:t>
      </w:r>
      <w:r w:rsidR="00001343">
        <w:rPr>
          <w:rFonts w:asciiTheme="minorHAnsi" w:hAnsiTheme="minorHAnsi" w:cstheme="minorHAnsi"/>
        </w:rPr>
        <w:t xml:space="preserve"> w</w:t>
      </w:r>
      <w:r w:rsidR="00D87631">
        <w:rPr>
          <w:rFonts w:asciiTheme="minorHAnsi" w:hAnsiTheme="minorHAnsi" w:cstheme="minorHAnsi"/>
        </w:rPr>
        <w:t>a</w:t>
      </w:r>
      <w:r w:rsidR="00001343">
        <w:rPr>
          <w:rFonts w:asciiTheme="minorHAnsi" w:hAnsiTheme="minorHAnsi" w:cstheme="minorHAnsi"/>
        </w:rPr>
        <w:t xml:space="preserve">s published </w:t>
      </w:r>
      <w:r w:rsidR="00CC371B">
        <w:rPr>
          <w:rFonts w:asciiTheme="minorHAnsi" w:hAnsiTheme="minorHAnsi" w:cstheme="minorHAnsi"/>
        </w:rPr>
        <w:t>requesting a simultaneous emergency clearance and 60 day public comment notice</w:t>
      </w:r>
      <w:r w:rsidR="00001343">
        <w:rPr>
          <w:rFonts w:asciiTheme="minorHAnsi" w:hAnsiTheme="minorHAnsi" w:cstheme="minorHAnsi"/>
        </w:rPr>
        <w:t xml:space="preserve">.  The emergency clearance </w:t>
      </w:r>
      <w:r w:rsidR="00CC371B">
        <w:rPr>
          <w:rFonts w:asciiTheme="minorHAnsi" w:hAnsiTheme="minorHAnsi" w:cstheme="minorHAnsi"/>
        </w:rPr>
        <w:t xml:space="preserve">was </w:t>
      </w:r>
      <w:r w:rsidR="00001343">
        <w:rPr>
          <w:rFonts w:asciiTheme="minorHAnsi" w:hAnsiTheme="minorHAnsi" w:cstheme="minorHAnsi"/>
        </w:rPr>
        <w:t xml:space="preserve">approved through September 30, 2022 and the 60 day public comment period closed May 17, 2022 with </w:t>
      </w:r>
      <w:r w:rsidR="00DA3352">
        <w:rPr>
          <w:rFonts w:asciiTheme="minorHAnsi" w:hAnsiTheme="minorHAnsi" w:cstheme="minorHAnsi"/>
        </w:rPr>
        <w:t>approximately 355 comments received.  Responses to the comments are available in the attached document.  There is no change to the form based on the comments.</w:t>
      </w:r>
    </w:p>
    <w:p w:rsidR="00D87631" w:rsidP="00D87631" w14:paraId="4333A202" w14:textId="45CA0638">
      <w:pPr>
        <w:tabs>
          <w:tab w:val="left" w:pos="-720"/>
        </w:tabs>
        <w:suppressAutoHyphens/>
        <w:ind w:left="720"/>
        <w:rPr>
          <w:rFonts w:asciiTheme="minorHAnsi" w:hAnsiTheme="minorHAnsi" w:cstheme="minorHAnsi"/>
        </w:rPr>
      </w:pPr>
      <w:r>
        <w:rPr>
          <w:rFonts w:asciiTheme="minorHAnsi" w:hAnsiTheme="minorHAnsi" w:cstheme="minorHAnsi"/>
        </w:rPr>
        <w:t xml:space="preserve">On September 2, 2022, a Federal Register Notice (Vol. 87, No. 170, page 54208) was published requesting 30 day public comment notice.  The 30 day public comment period closed October 3, 2022 with 3 comments received.  </w:t>
      </w:r>
      <w:r w:rsidR="00682D6A">
        <w:rPr>
          <w:rFonts w:asciiTheme="minorHAnsi" w:hAnsiTheme="minorHAnsi" w:cstheme="minorHAnsi"/>
        </w:rPr>
        <w:t xml:space="preserve">None of the comments are responsive to the information collection.  </w:t>
      </w:r>
      <w:r>
        <w:rPr>
          <w:rFonts w:asciiTheme="minorHAnsi" w:hAnsiTheme="minorHAnsi" w:cstheme="minorHAnsi"/>
        </w:rPr>
        <w:t>Responses to the comments are available in the attached document.  There is no change to the form based on the comments.</w:t>
      </w:r>
    </w:p>
    <w:p w:rsidR="00AF708B" w:rsidP="00246834" w14:paraId="1335A408" w14:textId="77777777">
      <w:pPr>
        <w:tabs>
          <w:tab w:val="left" w:pos="-720"/>
        </w:tabs>
        <w:suppressAutoHyphens/>
        <w:ind w:left="720"/>
        <w:rPr>
          <w:rFonts w:asciiTheme="minorHAnsi" w:hAnsiTheme="minorHAnsi" w:cstheme="minorHAnsi"/>
        </w:rPr>
      </w:pPr>
    </w:p>
    <w:p w:rsidR="00043C32" w:rsidP="00246834"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246834" w14:paraId="64280E84" w14:textId="0EDE5511">
      <w:pPr>
        <w:pStyle w:val="ListParagraph"/>
        <w:tabs>
          <w:tab w:val="left" w:pos="-720"/>
        </w:tabs>
        <w:suppressAutoHyphens/>
        <w:contextualSpacing w:val="0"/>
        <w:rPr>
          <w:rFonts w:ascii="Times New Roman" w:hAnsi="Times New Roman"/>
          <w:bCs/>
          <w:szCs w:val="24"/>
        </w:rPr>
      </w:pPr>
    </w:p>
    <w:p w:rsidR="008B02BB" w:rsidRPr="00CA59E3" w:rsidP="00246834" w14:paraId="1E8C5854" w14:textId="20A52E8F">
      <w:pPr>
        <w:tabs>
          <w:tab w:val="left" w:pos="0"/>
        </w:tabs>
        <w:suppressAutoHyphens/>
        <w:ind w:left="720"/>
        <w:rPr>
          <w:rFonts w:asciiTheme="minorHAnsi" w:hAnsiTheme="minorHAnsi" w:cstheme="minorHAnsi"/>
        </w:rPr>
      </w:pPr>
      <w:r w:rsidRPr="00CA59E3">
        <w:rPr>
          <w:rFonts w:asciiTheme="minorHAnsi" w:hAnsiTheme="minorHAnsi" w:cstheme="minorHAnsi"/>
        </w:rPr>
        <w:t>No payments or gifts have been provided to respondents.</w:t>
      </w:r>
    </w:p>
    <w:p w:rsidR="00920F63" w:rsidRPr="005F4E11" w:rsidP="00246834" w14:paraId="64280E85" w14:textId="77777777">
      <w:pPr>
        <w:pStyle w:val="ListParagraph"/>
        <w:tabs>
          <w:tab w:val="left" w:pos="-720"/>
        </w:tabs>
        <w:suppressAutoHyphens/>
        <w:contextualSpacing w:val="0"/>
        <w:rPr>
          <w:rFonts w:ascii="Times New Roman" w:hAnsi="Times New Roman"/>
          <w:bCs/>
          <w:szCs w:val="24"/>
        </w:rPr>
      </w:pPr>
    </w:p>
    <w:p w:rsidR="00043C32" w:rsidRPr="00D75313" w:rsidP="00246834"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246834" w14:paraId="64280E87" w14:textId="08ED8571">
      <w:pPr>
        <w:tabs>
          <w:tab w:val="left" w:pos="-720"/>
        </w:tabs>
        <w:suppressAutoHyphens/>
        <w:ind w:left="720"/>
        <w:rPr>
          <w:rFonts w:ascii="Times New Roman" w:hAnsi="Times New Roman"/>
          <w:bCs/>
          <w:szCs w:val="24"/>
        </w:rPr>
      </w:pPr>
    </w:p>
    <w:p w:rsidR="008B02BB" w:rsidRPr="00CA59E3" w:rsidP="00246834" w14:paraId="7E15020B" w14:textId="0B01BB04">
      <w:pPr>
        <w:tabs>
          <w:tab w:val="left" w:pos="0"/>
        </w:tabs>
        <w:suppressAutoHyphens/>
        <w:ind w:left="720"/>
        <w:rPr>
          <w:rFonts w:asciiTheme="minorHAnsi" w:hAnsiTheme="minorHAnsi" w:cstheme="minorHAnsi"/>
        </w:rPr>
      </w:pPr>
      <w:r w:rsidRPr="00CA59E3">
        <w:rPr>
          <w:rFonts w:asciiTheme="minorHAnsi" w:hAnsiTheme="minorHAnsi" w:cstheme="minorHAnsi"/>
        </w:rPr>
        <w:t>The collection include</w:t>
      </w:r>
      <w:r w:rsidR="00DA3352">
        <w:rPr>
          <w:rFonts w:asciiTheme="minorHAnsi" w:hAnsiTheme="minorHAnsi" w:cstheme="minorHAnsi"/>
        </w:rPr>
        <w:t>s</w:t>
      </w:r>
      <w:r w:rsidRPr="00CA59E3">
        <w:rPr>
          <w:rFonts w:asciiTheme="minorHAnsi" w:hAnsiTheme="minorHAnsi" w:cstheme="minorHAnsi"/>
        </w:rPr>
        <w:t xml:space="preserve"> a Privacy Act Notice that (1) informs borrowers of the statutory authority for the information collection; (2) explains that the disclosure of the information is voluntary, but is required in order to qualify for a loan forgiveness; and (3) identifies the third parties to whom the information may be disclosed and explains the circumstances under which those disclosures may occur.</w:t>
      </w:r>
      <w:r w:rsidR="00BC5558">
        <w:rPr>
          <w:rFonts w:asciiTheme="minorHAnsi" w:hAnsiTheme="minorHAnsi" w:cstheme="minorHAnsi"/>
        </w:rPr>
        <w:t xml:space="preserve">  The information will be held within the System of Records Notice, Common Services for Borrowers, Vol. 8</w:t>
      </w:r>
      <w:r w:rsidR="00D87631">
        <w:rPr>
          <w:rFonts w:asciiTheme="minorHAnsi" w:hAnsiTheme="minorHAnsi" w:cstheme="minorHAnsi"/>
        </w:rPr>
        <w:t>7</w:t>
      </w:r>
      <w:r w:rsidR="00BC5558">
        <w:rPr>
          <w:rFonts w:asciiTheme="minorHAnsi" w:hAnsiTheme="minorHAnsi" w:cstheme="minorHAnsi"/>
        </w:rPr>
        <w:t>, No. 17</w:t>
      </w:r>
      <w:r w:rsidR="00D87631">
        <w:rPr>
          <w:rFonts w:asciiTheme="minorHAnsi" w:hAnsiTheme="minorHAnsi" w:cstheme="minorHAnsi"/>
        </w:rPr>
        <w:t>6</w:t>
      </w:r>
      <w:r w:rsidR="00BC5558">
        <w:rPr>
          <w:rFonts w:asciiTheme="minorHAnsi" w:hAnsiTheme="minorHAnsi" w:cstheme="minorHAnsi"/>
        </w:rPr>
        <w:t xml:space="preserve">, </w:t>
      </w:r>
      <w:r w:rsidR="00D87631">
        <w:rPr>
          <w:rFonts w:asciiTheme="minorHAnsi" w:hAnsiTheme="minorHAnsi" w:cstheme="minorHAnsi"/>
        </w:rPr>
        <w:t>September 13, 2022</w:t>
      </w:r>
      <w:r w:rsidR="00BC5558">
        <w:rPr>
          <w:rFonts w:asciiTheme="minorHAnsi" w:hAnsiTheme="minorHAnsi" w:cstheme="minorHAnsi"/>
        </w:rPr>
        <w:t>.</w:t>
      </w:r>
    </w:p>
    <w:p w:rsidR="00116DEF" w:rsidP="00246834" w14:paraId="0910D809" w14:textId="663C7861">
      <w:pPr>
        <w:tabs>
          <w:tab w:val="left" w:pos="0"/>
        </w:tabs>
        <w:suppressAutoHyphens/>
        <w:ind w:left="720"/>
        <w:rPr>
          <w:rFonts w:ascii="Times New Roman" w:hAnsi="Times New Roman"/>
        </w:rPr>
      </w:pPr>
    </w:p>
    <w:p w:rsidR="00043C32" w:rsidP="00246834"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 xml:space="preserve">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w:t>
      </w:r>
      <w:r w:rsidRPr="00920F63">
        <w:rPr>
          <w:rFonts w:ascii="Times New Roman" w:hAnsi="Times New Roman"/>
          <w:b/>
          <w:szCs w:val="24"/>
        </w:rPr>
        <w:t>information, the explanation to be given to persons from whom the information is requested, and any steps to be taken to obtain their consent.</w:t>
      </w:r>
    </w:p>
    <w:p w:rsidR="00920F63" w:rsidP="00246834" w14:paraId="64280E8A" w14:textId="6031739C">
      <w:pPr>
        <w:tabs>
          <w:tab w:val="left" w:pos="-720"/>
        </w:tabs>
        <w:suppressAutoHyphens/>
        <w:ind w:left="720"/>
        <w:rPr>
          <w:rFonts w:ascii="Times New Roman" w:hAnsi="Times New Roman"/>
          <w:bCs/>
          <w:szCs w:val="24"/>
        </w:rPr>
      </w:pPr>
    </w:p>
    <w:p w:rsidR="008B02BB" w:rsidRPr="00CA59E3" w:rsidP="00246834" w14:paraId="60407301" w14:textId="21747B70">
      <w:pPr>
        <w:tabs>
          <w:tab w:val="left" w:pos="0"/>
        </w:tabs>
        <w:suppressAutoHyphens/>
        <w:ind w:left="720"/>
        <w:rPr>
          <w:rFonts w:asciiTheme="minorHAnsi" w:hAnsiTheme="minorHAnsi" w:cstheme="minorHAnsi"/>
        </w:rPr>
      </w:pPr>
      <w:r w:rsidRPr="00CA59E3">
        <w:rPr>
          <w:rFonts w:asciiTheme="minorHAnsi" w:hAnsiTheme="minorHAnsi" w:cstheme="minorHAnsi"/>
        </w:rPr>
        <w:t>The form does not require borrowers to provide information of a sensitive nature.</w:t>
      </w:r>
    </w:p>
    <w:p w:rsidR="00920F63" w:rsidRPr="005F4E11" w:rsidP="00246834" w14:paraId="64280E8B" w14:textId="77777777">
      <w:pPr>
        <w:tabs>
          <w:tab w:val="left" w:pos="-720"/>
        </w:tabs>
        <w:suppressAutoHyphens/>
        <w:ind w:left="720"/>
        <w:rPr>
          <w:rFonts w:ascii="Times New Roman" w:hAnsi="Times New Roman"/>
          <w:bCs/>
          <w:szCs w:val="24"/>
        </w:rPr>
      </w:pPr>
    </w:p>
    <w:p w:rsidR="00043C32" w:rsidRPr="00920F63" w:rsidP="00246834"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246834" w14:paraId="64280E8D" w14:textId="77777777">
      <w:pPr>
        <w:tabs>
          <w:tab w:val="left" w:pos="-720"/>
        </w:tabs>
        <w:suppressAutoHyphens/>
        <w:rPr>
          <w:rStyle w:val="a"/>
          <w:rFonts w:ascii="Times New Roman" w:hAnsi="Times New Roman"/>
          <w:b/>
          <w:szCs w:val="24"/>
        </w:rPr>
      </w:pPr>
    </w:p>
    <w:p w:rsidR="00C224FD" w:rsidP="00246834"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246834"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46834"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46834"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246834"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46834" w14:paraId="64280E93" w14:textId="77777777">
      <w:pPr>
        <w:tabs>
          <w:tab w:val="left" w:pos="-720"/>
          <w:tab w:val="left" w:pos="1247"/>
        </w:tabs>
        <w:suppressAutoHyphens/>
        <w:rPr>
          <w:rStyle w:val="a"/>
          <w:rFonts w:ascii="Times New Roman" w:hAnsi="Times New Roman"/>
          <w:b/>
          <w:szCs w:val="24"/>
        </w:rPr>
      </w:pPr>
    </w:p>
    <w:p w:rsidR="00261921" w:rsidRPr="00CA59E3" w:rsidP="00246834" w14:paraId="5A914916" w14:textId="1CA0E908">
      <w:pPr>
        <w:pStyle w:val="ListParagraph"/>
        <w:tabs>
          <w:tab w:val="left" w:pos="-720"/>
        </w:tabs>
        <w:suppressAutoHyphens/>
        <w:contextualSpacing w:val="0"/>
        <w:rPr>
          <w:rFonts w:asciiTheme="minorHAnsi" w:hAnsiTheme="minorHAnsi" w:cstheme="minorHAnsi"/>
        </w:rPr>
      </w:pPr>
      <w:r w:rsidRPr="00CA59E3">
        <w:rPr>
          <w:rFonts w:asciiTheme="minorHAnsi" w:hAnsiTheme="minorHAnsi" w:cstheme="minorHAnsi"/>
        </w:rPr>
        <w:t xml:space="preserve">The estimated time required to complete the collection of information is 15 minutes per request. Based on one response per respondent, this equates to a total estimated annual reporting burden of </w:t>
      </w:r>
      <w:r w:rsidRPr="00CA59E3" w:rsidR="007A668E">
        <w:rPr>
          <w:rFonts w:asciiTheme="minorHAnsi" w:hAnsiTheme="minorHAnsi" w:cstheme="minorHAnsi"/>
        </w:rPr>
        <w:t xml:space="preserve">9,000 </w:t>
      </w:r>
      <w:r w:rsidRPr="00CA59E3">
        <w:rPr>
          <w:rFonts w:asciiTheme="minorHAnsi" w:hAnsiTheme="minorHAnsi" w:cstheme="minorHAnsi"/>
        </w:rPr>
        <w:t>hours.</w:t>
      </w:r>
    </w:p>
    <w:p w:rsidR="00261921" w:rsidRPr="00CA59E3" w:rsidP="00246834" w14:paraId="57707FFD" w14:textId="11EAFCC8">
      <w:pPr>
        <w:pStyle w:val="ListParagraph"/>
        <w:tabs>
          <w:tab w:val="left" w:pos="-720"/>
        </w:tabs>
        <w:suppressAutoHyphens/>
        <w:contextualSpacing w:val="0"/>
        <w:rPr>
          <w:rFonts w:asciiTheme="minorHAnsi" w:hAnsiTheme="minorHAnsi" w:cstheme="minorHAnsi"/>
        </w:rPr>
      </w:pPr>
    </w:p>
    <w:p w:rsidR="00261921" w:rsidRPr="00CA59E3" w:rsidP="00246834" w14:paraId="61BD157A" w14:textId="77777777">
      <w:pPr>
        <w:tabs>
          <w:tab w:val="left" w:pos="-720"/>
          <w:tab w:val="left" w:pos="720"/>
        </w:tabs>
        <w:suppressAutoHyphens/>
        <w:ind w:left="720"/>
        <w:rPr>
          <w:rFonts w:asciiTheme="minorHAnsi" w:hAnsiTheme="minorHAnsi" w:cstheme="minorHAnsi"/>
          <w:szCs w:val="24"/>
        </w:rPr>
      </w:pPr>
      <w:r w:rsidRPr="00CA59E3">
        <w:rPr>
          <w:rFonts w:asciiTheme="minorHAnsi" w:hAnsiTheme="minorHAnsi" w:cstheme="minorHAnsi"/>
        </w:rPr>
        <w:t>There are no annual costs to respondents associated with operating or maintaining systems or purchasing services.</w:t>
      </w:r>
    </w:p>
    <w:p w:rsidR="00261921" w:rsidRPr="00AA5138" w:rsidP="00246834" w14:paraId="7EF03F66" w14:textId="77777777">
      <w:pPr>
        <w:pStyle w:val="ListParagraph"/>
        <w:tabs>
          <w:tab w:val="left" w:pos="-720"/>
        </w:tabs>
        <w:suppressAutoHyphens/>
        <w:contextualSpacing w:val="0"/>
        <w:rPr>
          <w:rFonts w:ascii="Times New Roman" w:hAnsi="Times New Roman"/>
          <w:bCs/>
          <w:sz w:val="26"/>
          <w:szCs w:val="26"/>
        </w:rPr>
      </w:pPr>
    </w:p>
    <w:p w:rsidR="005F776B" w14:paraId="40F3652E" w14:textId="77777777">
      <w:pPr>
        <w:rPr>
          <w:rFonts w:ascii="Times New Roman" w:hAnsi="Times New Roman"/>
          <w:b/>
          <w:bCs/>
          <w:color w:val="000000" w:themeColor="text1"/>
          <w:szCs w:val="24"/>
        </w:rPr>
      </w:pPr>
      <w:r>
        <w:rPr>
          <w:rFonts w:ascii="Times New Roman" w:hAnsi="Times New Roman"/>
          <w:color w:val="000000" w:themeColor="text1"/>
          <w:szCs w:val="24"/>
        </w:rPr>
        <w:br w:type="page"/>
      </w:r>
    </w:p>
    <w:p w:rsidR="00ED7195" w:rsidRPr="00920F63" w:rsidP="00246834" w14:paraId="64280E96" w14:textId="1A4AC1A4">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8815" w:type="dxa"/>
        <w:tblLayout w:type="fixed"/>
        <w:tblLook w:val="0020"/>
      </w:tblPr>
      <w:tblGrid>
        <w:gridCol w:w="1345"/>
        <w:gridCol w:w="1275"/>
        <w:gridCol w:w="1080"/>
        <w:gridCol w:w="1335"/>
        <w:gridCol w:w="900"/>
        <w:gridCol w:w="1530"/>
        <w:gridCol w:w="1350"/>
      </w:tblGrid>
      <w:tr w14:paraId="64280EAE" w14:textId="77777777" w:rsidTr="00E22FD3">
        <w:tblPrEx>
          <w:tblW w:w="8815" w:type="dxa"/>
          <w:tblLayout w:type="fixed"/>
          <w:tblLook w:val="0020"/>
        </w:tblPrEx>
        <w:trPr>
          <w:tblHeader/>
        </w:trPr>
        <w:tc>
          <w:tcPr>
            <w:tcW w:w="1345" w:type="dxa"/>
          </w:tcPr>
          <w:p w:rsidR="00E22FD3" w:rsidP="00246834" w14:paraId="64280E97" w14:textId="77777777">
            <w:pPr>
              <w:jc w:val="center"/>
              <w:rPr>
                <w:rFonts w:ascii="Times New Roman" w:hAnsi="Times New Roman"/>
                <w:sz w:val="20"/>
              </w:rPr>
            </w:pPr>
          </w:p>
          <w:p w:rsidR="00E22FD3" w:rsidP="00246834" w14:paraId="64280E98" w14:textId="77777777">
            <w:pPr>
              <w:jc w:val="center"/>
              <w:rPr>
                <w:rFonts w:ascii="Times New Roman" w:hAnsi="Times New Roman"/>
                <w:sz w:val="20"/>
              </w:rPr>
            </w:pPr>
          </w:p>
          <w:p w:rsidR="00E22FD3" w:rsidRPr="007F6104" w:rsidP="00246834"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E22FD3" w:rsidRPr="007F6104" w:rsidP="00246834" w14:paraId="64280EA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E22FD3" w:rsidP="00246834" w14:paraId="64280EA1" w14:textId="77777777">
            <w:pPr>
              <w:jc w:val="center"/>
              <w:rPr>
                <w:rFonts w:ascii="Times New Roman" w:hAnsi="Times New Roman"/>
                <w:sz w:val="20"/>
              </w:rPr>
            </w:pPr>
          </w:p>
          <w:p w:rsidR="00E22FD3" w:rsidP="00246834" w14:paraId="64280EA2" w14:textId="77777777">
            <w:pPr>
              <w:jc w:val="center"/>
              <w:rPr>
                <w:rFonts w:ascii="Times New Roman" w:hAnsi="Times New Roman"/>
                <w:sz w:val="20"/>
              </w:rPr>
            </w:pPr>
          </w:p>
          <w:p w:rsidR="00E22FD3" w:rsidRPr="007F6104" w:rsidP="00246834"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E22FD3" w:rsidP="00246834" w14:paraId="64280EA4" w14:textId="77777777">
            <w:pPr>
              <w:jc w:val="center"/>
              <w:rPr>
                <w:rFonts w:ascii="Times New Roman" w:hAnsi="Times New Roman"/>
                <w:sz w:val="20"/>
              </w:rPr>
            </w:pPr>
          </w:p>
          <w:p w:rsidR="00E22FD3" w:rsidRPr="007F6104" w:rsidP="00246834" w14:paraId="64280EA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E22FD3" w:rsidP="00246834" w14:paraId="64280EA6" w14:textId="77777777">
            <w:pPr>
              <w:jc w:val="center"/>
              <w:rPr>
                <w:rFonts w:ascii="Times New Roman" w:hAnsi="Times New Roman"/>
                <w:sz w:val="20"/>
              </w:rPr>
            </w:pPr>
          </w:p>
          <w:p w:rsidR="00E22FD3" w:rsidRPr="007F6104" w:rsidP="00246834"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E22FD3" w:rsidP="00246834" w14:paraId="64280EA8" w14:textId="77777777">
            <w:pPr>
              <w:jc w:val="center"/>
              <w:rPr>
                <w:rFonts w:ascii="Times New Roman" w:hAnsi="Times New Roman"/>
                <w:sz w:val="20"/>
              </w:rPr>
            </w:pPr>
          </w:p>
          <w:p w:rsidR="00E22FD3" w:rsidP="00246834" w14:paraId="64280EA9" w14:textId="77777777">
            <w:pPr>
              <w:jc w:val="center"/>
              <w:rPr>
                <w:rFonts w:ascii="Times New Roman" w:hAnsi="Times New Roman"/>
                <w:sz w:val="20"/>
              </w:rPr>
            </w:pPr>
          </w:p>
          <w:p w:rsidR="00E22FD3" w:rsidRPr="007F6104" w:rsidP="00246834"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E22FD3" w:rsidP="00246834" w14:paraId="64280EAB" w14:textId="77777777">
            <w:pPr>
              <w:jc w:val="center"/>
              <w:rPr>
                <w:rFonts w:ascii="Times New Roman" w:hAnsi="Times New Roman"/>
                <w:sz w:val="20"/>
              </w:rPr>
            </w:pPr>
          </w:p>
          <w:p w:rsidR="00E22FD3" w:rsidP="00246834" w14:paraId="64280EAC" w14:textId="77777777">
            <w:pPr>
              <w:jc w:val="center"/>
              <w:rPr>
                <w:rFonts w:ascii="Times New Roman" w:hAnsi="Times New Roman"/>
                <w:sz w:val="20"/>
              </w:rPr>
            </w:pPr>
          </w:p>
          <w:p w:rsidR="00E22FD3" w:rsidRPr="007F6104" w:rsidP="00246834"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4280EB8" w14:textId="77777777" w:rsidTr="00E22FD3">
        <w:tblPrEx>
          <w:tblW w:w="8815" w:type="dxa"/>
          <w:tblLayout w:type="fixed"/>
          <w:tblLook w:val="0020"/>
        </w:tblPrEx>
        <w:tc>
          <w:tcPr>
            <w:tcW w:w="1345" w:type="dxa"/>
          </w:tcPr>
          <w:p w:rsidR="00E22FD3" w:rsidRPr="00CA59E3" w:rsidP="00246834" w14:paraId="64280EAF" w14:textId="290F9851">
            <w:pPr>
              <w:rPr>
                <w:rFonts w:asciiTheme="minorHAnsi" w:hAnsiTheme="minorHAnsi" w:cstheme="minorHAnsi"/>
                <w:szCs w:val="24"/>
              </w:rPr>
            </w:pPr>
            <w:r w:rsidRPr="00CA59E3">
              <w:rPr>
                <w:rFonts w:asciiTheme="minorHAnsi" w:hAnsiTheme="minorHAnsi" w:cstheme="minorHAnsi"/>
                <w:szCs w:val="24"/>
              </w:rPr>
              <w:t>Individual</w:t>
            </w:r>
          </w:p>
        </w:tc>
        <w:tc>
          <w:tcPr>
            <w:tcW w:w="1275" w:type="dxa"/>
          </w:tcPr>
          <w:p w:rsidR="00E22FD3" w:rsidRPr="00CA59E3" w:rsidP="00246834" w14:paraId="64280EB2" w14:textId="4F8DEAF6">
            <w:pPr>
              <w:jc w:val="center"/>
              <w:rPr>
                <w:rFonts w:asciiTheme="minorHAnsi" w:hAnsiTheme="minorHAnsi" w:cstheme="minorHAnsi"/>
                <w:szCs w:val="24"/>
              </w:rPr>
            </w:pPr>
            <w:r w:rsidRPr="00CA59E3">
              <w:rPr>
                <w:rFonts w:asciiTheme="minorHAnsi" w:hAnsiTheme="minorHAnsi" w:cstheme="minorHAnsi"/>
                <w:szCs w:val="24"/>
              </w:rPr>
              <w:t>36,000</w:t>
            </w:r>
          </w:p>
        </w:tc>
        <w:tc>
          <w:tcPr>
            <w:tcW w:w="1080" w:type="dxa"/>
          </w:tcPr>
          <w:p w:rsidR="00E22FD3" w:rsidRPr="00CA59E3" w:rsidP="00246834" w14:paraId="64280EB3" w14:textId="6AC0E4BA">
            <w:pPr>
              <w:jc w:val="center"/>
              <w:rPr>
                <w:rFonts w:asciiTheme="minorHAnsi" w:hAnsiTheme="minorHAnsi" w:cstheme="minorHAnsi"/>
                <w:szCs w:val="24"/>
              </w:rPr>
            </w:pPr>
            <w:r w:rsidRPr="00CA59E3">
              <w:rPr>
                <w:rFonts w:asciiTheme="minorHAnsi" w:hAnsiTheme="minorHAnsi" w:cstheme="minorHAnsi"/>
                <w:szCs w:val="24"/>
              </w:rPr>
              <w:t>36,000</w:t>
            </w:r>
          </w:p>
        </w:tc>
        <w:tc>
          <w:tcPr>
            <w:tcW w:w="1335" w:type="dxa"/>
          </w:tcPr>
          <w:p w:rsidR="00E22FD3" w:rsidRPr="00CA59E3" w:rsidP="00246834" w14:paraId="64280EB4" w14:textId="221CAD08">
            <w:pPr>
              <w:jc w:val="center"/>
              <w:rPr>
                <w:rFonts w:asciiTheme="minorHAnsi" w:hAnsiTheme="minorHAnsi" w:cstheme="minorHAnsi"/>
                <w:szCs w:val="24"/>
              </w:rPr>
            </w:pPr>
            <w:r w:rsidRPr="00CA59E3">
              <w:rPr>
                <w:rFonts w:asciiTheme="minorHAnsi" w:hAnsiTheme="minorHAnsi" w:cstheme="minorHAnsi"/>
                <w:szCs w:val="24"/>
              </w:rPr>
              <w:t>.25</w:t>
            </w:r>
          </w:p>
        </w:tc>
        <w:tc>
          <w:tcPr>
            <w:tcW w:w="900" w:type="dxa"/>
          </w:tcPr>
          <w:p w:rsidR="00E22FD3" w:rsidRPr="00CA59E3" w:rsidP="00246834" w14:paraId="64280EB5" w14:textId="0AA449B9">
            <w:pPr>
              <w:jc w:val="center"/>
              <w:rPr>
                <w:rFonts w:asciiTheme="minorHAnsi" w:hAnsiTheme="minorHAnsi" w:cstheme="minorHAnsi"/>
                <w:szCs w:val="24"/>
              </w:rPr>
            </w:pPr>
            <w:r w:rsidRPr="00CA59E3">
              <w:rPr>
                <w:rFonts w:asciiTheme="minorHAnsi" w:hAnsiTheme="minorHAnsi" w:cstheme="minorHAnsi"/>
                <w:szCs w:val="24"/>
              </w:rPr>
              <w:t>9,000</w:t>
            </w:r>
          </w:p>
        </w:tc>
        <w:tc>
          <w:tcPr>
            <w:tcW w:w="1530" w:type="dxa"/>
          </w:tcPr>
          <w:p w:rsidR="00E22FD3" w:rsidRPr="00CA59E3" w:rsidP="00246834" w14:paraId="64280EB6" w14:textId="55EA2921">
            <w:pPr>
              <w:jc w:val="center"/>
              <w:rPr>
                <w:rFonts w:asciiTheme="minorHAnsi" w:hAnsiTheme="minorHAnsi" w:cstheme="minorHAnsi"/>
                <w:szCs w:val="24"/>
              </w:rPr>
            </w:pPr>
            <w:r w:rsidRPr="00CA59E3">
              <w:rPr>
                <w:rFonts w:asciiTheme="minorHAnsi" w:hAnsiTheme="minorHAnsi" w:cstheme="minorHAnsi"/>
                <w:szCs w:val="24"/>
              </w:rPr>
              <w:t>$20.17</w:t>
            </w:r>
          </w:p>
        </w:tc>
        <w:tc>
          <w:tcPr>
            <w:tcW w:w="1350" w:type="dxa"/>
          </w:tcPr>
          <w:p w:rsidR="00E22FD3" w:rsidRPr="00CA59E3" w:rsidP="00246834" w14:paraId="64280EB7" w14:textId="4DF8D961">
            <w:pPr>
              <w:jc w:val="center"/>
              <w:rPr>
                <w:rFonts w:asciiTheme="minorHAnsi" w:hAnsiTheme="minorHAnsi" w:cstheme="minorHAnsi"/>
                <w:szCs w:val="24"/>
              </w:rPr>
            </w:pPr>
            <w:r w:rsidRPr="00CA59E3">
              <w:rPr>
                <w:rFonts w:asciiTheme="minorHAnsi" w:hAnsiTheme="minorHAnsi" w:cstheme="minorHAnsi"/>
                <w:szCs w:val="24"/>
              </w:rPr>
              <w:t>$181,530</w:t>
            </w:r>
          </w:p>
        </w:tc>
      </w:tr>
      <w:tr w14:paraId="64280EE0" w14:textId="77777777" w:rsidTr="00E22FD3">
        <w:tblPrEx>
          <w:tblW w:w="8815" w:type="dxa"/>
          <w:tblLayout w:type="fixed"/>
          <w:tblLook w:val="0020"/>
        </w:tblPrEx>
        <w:tc>
          <w:tcPr>
            <w:tcW w:w="1345" w:type="dxa"/>
          </w:tcPr>
          <w:p w:rsidR="00E22FD3" w:rsidRPr="00CA59E3" w:rsidP="00246834" w14:paraId="64280ED7" w14:textId="77777777">
            <w:pPr>
              <w:rPr>
                <w:rFonts w:asciiTheme="minorHAnsi" w:hAnsiTheme="minorHAnsi" w:cstheme="minorHAnsi"/>
                <w:szCs w:val="24"/>
              </w:rPr>
            </w:pPr>
            <w:r w:rsidRPr="00CA59E3">
              <w:rPr>
                <w:rFonts w:asciiTheme="minorHAnsi" w:hAnsiTheme="minorHAnsi" w:cstheme="minorHAnsi"/>
                <w:szCs w:val="24"/>
              </w:rPr>
              <w:t>Annualized Totals</w:t>
            </w:r>
          </w:p>
        </w:tc>
        <w:tc>
          <w:tcPr>
            <w:tcW w:w="1275" w:type="dxa"/>
          </w:tcPr>
          <w:p w:rsidR="00E22FD3" w:rsidRPr="00CA59E3" w:rsidP="00246834" w14:paraId="64280EDA" w14:textId="6824E842">
            <w:pPr>
              <w:jc w:val="center"/>
              <w:rPr>
                <w:rFonts w:asciiTheme="minorHAnsi" w:hAnsiTheme="minorHAnsi" w:cstheme="minorHAnsi"/>
                <w:b/>
                <w:bCs/>
                <w:szCs w:val="24"/>
              </w:rPr>
            </w:pPr>
            <w:r w:rsidRPr="00CA59E3">
              <w:rPr>
                <w:rFonts w:asciiTheme="minorHAnsi" w:hAnsiTheme="minorHAnsi" w:cstheme="minorHAnsi"/>
                <w:b/>
                <w:bCs/>
                <w:szCs w:val="24"/>
              </w:rPr>
              <w:t>36,000</w:t>
            </w:r>
          </w:p>
        </w:tc>
        <w:tc>
          <w:tcPr>
            <w:tcW w:w="1080" w:type="dxa"/>
          </w:tcPr>
          <w:p w:rsidR="00E22FD3" w:rsidRPr="00CA59E3" w:rsidP="00246834" w14:paraId="64280EDB" w14:textId="74E94876">
            <w:pPr>
              <w:jc w:val="center"/>
              <w:rPr>
                <w:rFonts w:asciiTheme="minorHAnsi" w:hAnsiTheme="minorHAnsi" w:cstheme="minorHAnsi"/>
                <w:b/>
                <w:bCs/>
                <w:szCs w:val="24"/>
              </w:rPr>
            </w:pPr>
            <w:r w:rsidRPr="00CA59E3">
              <w:rPr>
                <w:rFonts w:asciiTheme="minorHAnsi" w:hAnsiTheme="minorHAnsi" w:cstheme="minorHAnsi"/>
                <w:b/>
                <w:bCs/>
                <w:szCs w:val="24"/>
              </w:rPr>
              <w:t>36,000</w:t>
            </w:r>
          </w:p>
        </w:tc>
        <w:tc>
          <w:tcPr>
            <w:tcW w:w="1335" w:type="dxa"/>
          </w:tcPr>
          <w:p w:rsidR="00E22FD3" w:rsidRPr="00CA59E3" w:rsidP="00246834" w14:paraId="64280EDC" w14:textId="50B47509">
            <w:pPr>
              <w:jc w:val="center"/>
              <w:rPr>
                <w:rFonts w:asciiTheme="minorHAnsi" w:hAnsiTheme="minorHAnsi" w:cstheme="minorHAnsi"/>
                <w:b/>
                <w:bCs/>
                <w:szCs w:val="24"/>
              </w:rPr>
            </w:pPr>
            <w:r w:rsidRPr="00CA59E3">
              <w:rPr>
                <w:rFonts w:asciiTheme="minorHAnsi" w:hAnsiTheme="minorHAnsi" w:cstheme="minorHAnsi"/>
                <w:b/>
                <w:bCs/>
                <w:szCs w:val="24"/>
              </w:rPr>
              <w:t>.25</w:t>
            </w:r>
          </w:p>
        </w:tc>
        <w:tc>
          <w:tcPr>
            <w:tcW w:w="900" w:type="dxa"/>
          </w:tcPr>
          <w:p w:rsidR="00E22FD3" w:rsidRPr="00CA59E3" w:rsidP="00246834" w14:paraId="64280EDD" w14:textId="4BA86CD6">
            <w:pPr>
              <w:jc w:val="center"/>
              <w:rPr>
                <w:rFonts w:asciiTheme="minorHAnsi" w:hAnsiTheme="minorHAnsi" w:cstheme="minorHAnsi"/>
                <w:b/>
                <w:bCs/>
                <w:szCs w:val="24"/>
              </w:rPr>
            </w:pPr>
            <w:r w:rsidRPr="00CA59E3">
              <w:rPr>
                <w:rFonts w:asciiTheme="minorHAnsi" w:hAnsiTheme="minorHAnsi" w:cstheme="minorHAnsi"/>
                <w:b/>
                <w:bCs/>
                <w:szCs w:val="24"/>
              </w:rPr>
              <w:t>9,000</w:t>
            </w:r>
          </w:p>
        </w:tc>
        <w:tc>
          <w:tcPr>
            <w:tcW w:w="1530" w:type="dxa"/>
          </w:tcPr>
          <w:p w:rsidR="00E22FD3" w:rsidRPr="00CA59E3" w:rsidP="00246834" w14:paraId="64280EDE" w14:textId="77777777">
            <w:pPr>
              <w:jc w:val="center"/>
              <w:rPr>
                <w:rFonts w:asciiTheme="minorHAnsi" w:hAnsiTheme="minorHAnsi" w:cstheme="minorHAnsi"/>
                <w:b/>
                <w:bCs/>
                <w:szCs w:val="24"/>
              </w:rPr>
            </w:pPr>
          </w:p>
        </w:tc>
        <w:tc>
          <w:tcPr>
            <w:tcW w:w="1350" w:type="dxa"/>
          </w:tcPr>
          <w:p w:rsidR="00E22FD3" w:rsidRPr="00CA59E3" w:rsidP="00246834" w14:paraId="64280EDF" w14:textId="611CB881">
            <w:pPr>
              <w:jc w:val="center"/>
              <w:rPr>
                <w:rFonts w:asciiTheme="minorHAnsi" w:hAnsiTheme="minorHAnsi" w:cstheme="minorHAnsi"/>
                <w:b/>
                <w:bCs/>
                <w:szCs w:val="24"/>
              </w:rPr>
            </w:pPr>
            <w:r w:rsidRPr="00CA59E3">
              <w:rPr>
                <w:rFonts w:asciiTheme="minorHAnsi" w:hAnsiTheme="minorHAnsi" w:cstheme="minorHAnsi"/>
                <w:b/>
                <w:bCs/>
                <w:szCs w:val="24"/>
              </w:rPr>
              <w:t>$181,530</w:t>
            </w:r>
          </w:p>
        </w:tc>
      </w:tr>
    </w:tbl>
    <w:p w:rsidR="001A6AE0" w:rsidP="00246834" w14:paraId="64280EE1" w14:textId="2052817E">
      <w:pPr>
        <w:pStyle w:val="ListParagraph"/>
        <w:tabs>
          <w:tab w:val="left" w:pos="-720"/>
        </w:tabs>
        <w:suppressAutoHyphens/>
        <w:ind w:left="-864" w:right="-864"/>
        <w:rPr>
          <w:rStyle w:val="a"/>
          <w:rFonts w:ascii="Times New Roman" w:hAnsi="Times New Roman"/>
          <w:b/>
          <w:bCs/>
          <w:i/>
          <w:iCs/>
          <w:szCs w:val="24"/>
        </w:rPr>
      </w:pPr>
    </w:p>
    <w:p w:rsidR="002A20E9" w:rsidRPr="00D27DDA" w:rsidP="00246834" w14:paraId="60E90B66" w14:textId="77777777">
      <w:pPr>
        <w:pStyle w:val="ListParagraph"/>
        <w:tabs>
          <w:tab w:val="left" w:pos="-720"/>
        </w:tabs>
        <w:suppressAutoHyphens/>
        <w:ind w:right="-864"/>
        <w:rPr>
          <w:rStyle w:val="a"/>
          <w:rFonts w:asciiTheme="minorHAnsi" w:hAnsiTheme="minorHAnsi" w:cstheme="minorHAnsi"/>
          <w:szCs w:val="24"/>
        </w:rPr>
      </w:pPr>
      <w:r w:rsidRPr="00D27DDA">
        <w:rPr>
          <w:rStyle w:val="a"/>
          <w:rFonts w:asciiTheme="minorHAnsi" w:hAnsiTheme="minorHAnsi" w:cstheme="minorHAnsi"/>
          <w:szCs w:val="24"/>
        </w:rPr>
        <w:t xml:space="preserve">The costs are based on the May 2020 median wage for all occupations as noted here: </w:t>
      </w:r>
      <w:hyperlink r:id="rId10" w:anchor="00-0000" w:history="1">
        <w:r w:rsidRPr="00D27DDA">
          <w:rPr>
            <w:rStyle w:val="Hyperlink"/>
            <w:rFonts w:asciiTheme="minorHAnsi" w:hAnsiTheme="minorHAnsi" w:cstheme="minorHAnsi"/>
          </w:rPr>
          <w:t>https://www.bls.gov/oes/current/oes_nat.htm#00-0000</w:t>
        </w:r>
      </w:hyperlink>
    </w:p>
    <w:p w:rsidR="002A20E9" w:rsidRPr="002A20E9" w:rsidP="00246834" w14:paraId="183E7AF2" w14:textId="41FBCE5F">
      <w:pPr>
        <w:pStyle w:val="ListParagraph"/>
        <w:tabs>
          <w:tab w:val="left" w:pos="-720"/>
        </w:tabs>
        <w:suppressAutoHyphens/>
        <w:ind w:left="-864" w:right="-864"/>
        <w:rPr>
          <w:rStyle w:val="a"/>
          <w:rFonts w:ascii="Times New Roman" w:hAnsi="Times New Roman"/>
          <w:szCs w:val="24"/>
        </w:rPr>
      </w:pPr>
    </w:p>
    <w:p w:rsidR="002A20E9" w:rsidP="00246834" w14:paraId="7428EBC0"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246834"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246834" w14:paraId="64280EE3" w14:textId="77777777">
      <w:pPr>
        <w:pStyle w:val="ListParagraph"/>
        <w:tabs>
          <w:tab w:val="left" w:pos="-720"/>
        </w:tabs>
        <w:suppressAutoHyphens/>
        <w:rPr>
          <w:rStyle w:val="a"/>
          <w:rFonts w:ascii="Times New Roman" w:hAnsi="Times New Roman"/>
          <w:szCs w:val="24"/>
        </w:rPr>
      </w:pPr>
    </w:p>
    <w:p w:rsidR="00043C32" w:rsidRPr="00ED7195" w:rsidP="00246834"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246834" w14:paraId="64280EE5" w14:textId="77777777">
      <w:pPr>
        <w:tabs>
          <w:tab w:val="left" w:pos="-720"/>
        </w:tabs>
        <w:suppressAutoHyphens/>
        <w:rPr>
          <w:rFonts w:ascii="Times New Roman" w:hAnsi="Times New Roman"/>
          <w:b/>
          <w:szCs w:val="24"/>
        </w:rPr>
      </w:pPr>
    </w:p>
    <w:p w:rsidR="00043C32" w:rsidRPr="00ED7195" w:rsidP="00246834" w14:paraId="64280EE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246834" w14:paraId="64280EE7" w14:textId="77777777">
      <w:pPr>
        <w:numPr>
          <w:ilvl w:val="12"/>
          <w:numId w:val="0"/>
        </w:numPr>
        <w:tabs>
          <w:tab w:val="left" w:pos="-720"/>
        </w:tabs>
        <w:suppressAutoHyphens/>
        <w:ind w:left="340"/>
        <w:rPr>
          <w:rFonts w:ascii="Times New Roman" w:hAnsi="Times New Roman"/>
          <w:szCs w:val="24"/>
        </w:rPr>
      </w:pPr>
    </w:p>
    <w:p w:rsidR="00043C32" w:rsidRPr="00ED7195" w:rsidP="00246834" w14:paraId="64280EE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246834" w14:paraId="64280EE9" w14:textId="77777777">
      <w:pPr>
        <w:tabs>
          <w:tab w:val="left" w:pos="-720"/>
          <w:tab w:val="left" w:pos="1247"/>
        </w:tabs>
        <w:suppressAutoHyphens/>
        <w:ind w:left="340"/>
        <w:rPr>
          <w:rFonts w:ascii="Times New Roman" w:hAnsi="Times New Roman"/>
          <w:b/>
          <w:szCs w:val="24"/>
        </w:rPr>
      </w:pPr>
    </w:p>
    <w:p w:rsidR="00043C32" w:rsidRPr="00ED7195" w:rsidP="00246834" w14:paraId="64280EE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w:t>
      </w:r>
      <w:r w:rsidRPr="00ED7195">
        <w:rPr>
          <w:rFonts w:ascii="Times New Roman" w:hAnsi="Times New Roman"/>
          <w:b/>
          <w:szCs w:val="24"/>
        </w:rPr>
        <w:t>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246834" w14:paraId="64280EEB" w14:textId="77777777">
      <w:pPr>
        <w:tabs>
          <w:tab w:val="left" w:pos="-720"/>
        </w:tabs>
        <w:suppressAutoHyphens/>
        <w:rPr>
          <w:rFonts w:ascii="Times New Roman" w:hAnsi="Times New Roman"/>
          <w:b/>
          <w:szCs w:val="24"/>
        </w:rPr>
      </w:pPr>
    </w:p>
    <w:p w:rsidR="00043C32" w:rsidRPr="00ED7195" w:rsidP="00246834"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246834"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246834" w14:paraId="64280EEE" w14:textId="057F5ABB">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261921" w:rsidP="00246834" w14:paraId="01C8645F" w14:textId="7FBF38F8">
      <w:pPr>
        <w:tabs>
          <w:tab w:val="left" w:pos="-720"/>
        </w:tabs>
        <w:suppressAutoHyphens/>
        <w:rPr>
          <w:rFonts w:ascii="Times New Roman" w:hAnsi="Times New Roman"/>
          <w:b/>
          <w:szCs w:val="24"/>
        </w:rPr>
      </w:pPr>
    </w:p>
    <w:p w:rsidR="00261921" w:rsidRPr="00CA59E3" w:rsidP="00246834" w14:paraId="30870098" w14:textId="77777777">
      <w:pPr>
        <w:tabs>
          <w:tab w:val="left" w:pos="-720"/>
        </w:tabs>
        <w:suppressAutoHyphens/>
        <w:ind w:left="720"/>
        <w:rPr>
          <w:rFonts w:asciiTheme="minorHAnsi" w:hAnsiTheme="minorHAnsi" w:cstheme="minorHAnsi"/>
        </w:rPr>
      </w:pPr>
      <w:r w:rsidRPr="00CA59E3">
        <w:rPr>
          <w:rFonts w:asciiTheme="minorHAnsi" w:hAnsiTheme="minorHAnsi" w:cstheme="minorHAnsi"/>
        </w:rPr>
        <w:t>There are no capital/startup costs to respondents.</w:t>
      </w:r>
    </w:p>
    <w:p w:rsidR="00043C32" w:rsidP="00246834" w14:paraId="64280EEF" w14:textId="77777777">
      <w:pPr>
        <w:tabs>
          <w:tab w:val="left" w:pos="-720"/>
        </w:tabs>
        <w:suppressAutoHyphens/>
        <w:rPr>
          <w:rFonts w:ascii="Times New Roman" w:hAnsi="Times New Roman"/>
          <w:szCs w:val="24"/>
        </w:rPr>
      </w:pPr>
    </w:p>
    <w:p w:rsidR="00043C32" w:rsidRPr="00534B4A" w:rsidP="00246834"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46834" w14:paraId="64280EF1" w14:textId="77777777">
      <w:pPr>
        <w:tabs>
          <w:tab w:val="left" w:pos="-720"/>
        </w:tabs>
        <w:suppressAutoHyphens/>
        <w:ind w:left="720"/>
        <w:rPr>
          <w:rFonts w:ascii="Times New Roman" w:hAnsi="Times New Roman"/>
          <w:szCs w:val="24"/>
        </w:rPr>
      </w:pPr>
    </w:p>
    <w:p w:rsidR="005F4E11" w:rsidRPr="00CA59E3" w:rsidP="00246834" w14:paraId="44F90465" w14:textId="5E1FFE66">
      <w:pPr>
        <w:tabs>
          <w:tab w:val="left" w:pos="-720"/>
        </w:tabs>
        <w:suppressAutoHyphens/>
        <w:ind w:left="720"/>
        <w:rPr>
          <w:rFonts w:asciiTheme="minorHAnsi" w:hAnsiTheme="minorHAnsi" w:cstheme="minorHAnsi"/>
          <w:bCs/>
          <w:szCs w:val="24"/>
        </w:rPr>
      </w:pPr>
      <w:r w:rsidRPr="00CA59E3">
        <w:rPr>
          <w:rFonts w:asciiTheme="minorHAnsi" w:hAnsiTheme="minorHAnsi" w:cstheme="minorHAnsi"/>
        </w:rPr>
        <w:t xml:space="preserve">There is no significant cost to the federal government related to these processes for its loan portfolio and the Department includes this type of information collection in its contracts for these services.  </w:t>
      </w:r>
    </w:p>
    <w:p w:rsidR="00534B4A" w:rsidP="00246834" w14:paraId="64280EF2" w14:textId="51A513E4">
      <w:pPr>
        <w:pStyle w:val="ListParagraph"/>
        <w:tabs>
          <w:tab w:val="left" w:pos="-720"/>
        </w:tabs>
        <w:suppressAutoHyphens/>
        <w:contextualSpacing w:val="0"/>
        <w:rPr>
          <w:rFonts w:ascii="Times New Roman" w:hAnsi="Times New Roman"/>
          <w:szCs w:val="24"/>
        </w:rPr>
      </w:pPr>
    </w:p>
    <w:p w:rsidR="00800D30" w:rsidP="00246834"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246834" w14:paraId="64280EF4" w14:textId="77777777">
      <w:pPr>
        <w:pStyle w:val="ListParagraph"/>
        <w:tabs>
          <w:tab w:val="left" w:pos="-720"/>
        </w:tabs>
        <w:suppressAutoHyphens/>
        <w:contextualSpacing w:val="0"/>
        <w:rPr>
          <w:rFonts w:ascii="Times New Roman" w:hAnsi="Times New Roman"/>
          <w:b/>
          <w:szCs w:val="24"/>
        </w:rPr>
      </w:pPr>
    </w:p>
    <w:p w:rsidR="00534B4A" w:rsidP="00246834"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246834" w14:paraId="64280EF7" w14:textId="77777777">
            <w:pPr>
              <w:tabs>
                <w:tab w:val="left" w:pos="-720"/>
              </w:tabs>
              <w:suppressAutoHyphens/>
              <w:rPr>
                <w:rFonts w:ascii="Times New Roman" w:hAnsi="Times New Roman"/>
                <w:b/>
                <w:szCs w:val="24"/>
              </w:rPr>
            </w:pPr>
          </w:p>
        </w:tc>
        <w:tc>
          <w:tcPr>
            <w:tcW w:w="2048" w:type="dxa"/>
          </w:tcPr>
          <w:p w:rsidR="0052073E" w:rsidP="00246834"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46834"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46834"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246834"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246834" w14:paraId="64280EFD" w14:textId="77777777">
            <w:pPr>
              <w:tabs>
                <w:tab w:val="left" w:pos="-720"/>
              </w:tabs>
              <w:suppressAutoHyphens/>
              <w:rPr>
                <w:rFonts w:ascii="Times New Roman" w:hAnsi="Times New Roman"/>
                <w:b/>
                <w:szCs w:val="24"/>
              </w:rPr>
            </w:pPr>
          </w:p>
        </w:tc>
        <w:tc>
          <w:tcPr>
            <w:tcW w:w="2829" w:type="dxa"/>
          </w:tcPr>
          <w:p w:rsidR="0052073E" w:rsidRPr="00CA59E3" w:rsidP="00246834" w14:paraId="64280EFE" w14:textId="183A09F7">
            <w:pPr>
              <w:tabs>
                <w:tab w:val="left" w:pos="-720"/>
              </w:tabs>
              <w:suppressAutoHyphens/>
              <w:jc w:val="center"/>
              <w:rPr>
                <w:rFonts w:asciiTheme="minorHAnsi" w:hAnsiTheme="minorHAnsi" w:cstheme="minorHAnsi"/>
                <w:bCs/>
                <w:szCs w:val="24"/>
              </w:rPr>
            </w:pPr>
          </w:p>
        </w:tc>
        <w:tc>
          <w:tcPr>
            <w:tcW w:w="2520" w:type="dxa"/>
          </w:tcPr>
          <w:p w:rsidR="0052073E" w:rsidP="00246834"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246834"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246834" w14:paraId="64280F02" w14:textId="77777777">
            <w:pPr>
              <w:tabs>
                <w:tab w:val="left" w:pos="-720"/>
              </w:tabs>
              <w:suppressAutoHyphens/>
              <w:rPr>
                <w:rFonts w:ascii="Times New Roman" w:hAnsi="Times New Roman"/>
                <w:b/>
                <w:szCs w:val="24"/>
              </w:rPr>
            </w:pPr>
          </w:p>
        </w:tc>
        <w:tc>
          <w:tcPr>
            <w:tcW w:w="2829" w:type="dxa"/>
          </w:tcPr>
          <w:p w:rsidR="0052073E" w:rsidRPr="00CA59E3" w:rsidP="00246834" w14:paraId="64280F03" w14:textId="059CFAA3">
            <w:pPr>
              <w:tabs>
                <w:tab w:val="left" w:pos="-720"/>
              </w:tabs>
              <w:suppressAutoHyphens/>
              <w:jc w:val="center"/>
              <w:rPr>
                <w:rFonts w:asciiTheme="minorHAnsi" w:hAnsiTheme="minorHAnsi" w:cstheme="minorHAnsi"/>
                <w:bCs/>
                <w:szCs w:val="24"/>
              </w:rPr>
            </w:pPr>
          </w:p>
        </w:tc>
        <w:tc>
          <w:tcPr>
            <w:tcW w:w="2520" w:type="dxa"/>
          </w:tcPr>
          <w:p w:rsidR="0052073E" w:rsidP="00246834"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246834"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246834" w14:paraId="64280F07" w14:textId="77777777">
            <w:pPr>
              <w:tabs>
                <w:tab w:val="left" w:pos="-720"/>
              </w:tabs>
              <w:suppressAutoHyphens/>
              <w:rPr>
                <w:rFonts w:ascii="Times New Roman" w:hAnsi="Times New Roman"/>
                <w:b/>
                <w:szCs w:val="24"/>
              </w:rPr>
            </w:pPr>
          </w:p>
        </w:tc>
        <w:tc>
          <w:tcPr>
            <w:tcW w:w="2829" w:type="dxa"/>
          </w:tcPr>
          <w:p w:rsidR="0052073E" w:rsidRPr="00CA59E3" w:rsidP="00246834" w14:paraId="64280F08" w14:textId="7247F1A4">
            <w:pPr>
              <w:tabs>
                <w:tab w:val="left" w:pos="-720"/>
              </w:tabs>
              <w:suppressAutoHyphens/>
              <w:jc w:val="center"/>
              <w:rPr>
                <w:rFonts w:asciiTheme="minorHAnsi" w:hAnsiTheme="minorHAnsi" w:cstheme="minorHAnsi"/>
                <w:bCs/>
                <w:szCs w:val="24"/>
              </w:rPr>
            </w:pPr>
          </w:p>
        </w:tc>
        <w:tc>
          <w:tcPr>
            <w:tcW w:w="2520" w:type="dxa"/>
          </w:tcPr>
          <w:p w:rsidR="0052073E" w:rsidP="00246834" w14:paraId="64280F09" w14:textId="77777777">
            <w:pPr>
              <w:tabs>
                <w:tab w:val="left" w:pos="-720"/>
              </w:tabs>
              <w:suppressAutoHyphens/>
              <w:rPr>
                <w:rFonts w:ascii="Times New Roman" w:hAnsi="Times New Roman"/>
                <w:b/>
                <w:szCs w:val="24"/>
              </w:rPr>
            </w:pPr>
          </w:p>
        </w:tc>
      </w:tr>
    </w:tbl>
    <w:p w:rsidR="00F27AAF" w:rsidRPr="005F4E11" w:rsidP="00246834" w14:paraId="64280F0B" w14:textId="77777777">
      <w:pPr>
        <w:tabs>
          <w:tab w:val="left" w:pos="-720"/>
        </w:tabs>
        <w:suppressAutoHyphens/>
        <w:ind w:left="720"/>
        <w:rPr>
          <w:rFonts w:ascii="Times New Roman" w:hAnsi="Times New Roman"/>
          <w:bCs/>
          <w:szCs w:val="24"/>
        </w:rPr>
      </w:pPr>
    </w:p>
    <w:p w:rsidR="00261921" w:rsidRPr="00CA59E3" w:rsidP="00246834" w14:paraId="28D95591" w14:textId="3D73A2D1">
      <w:pPr>
        <w:tabs>
          <w:tab w:val="left" w:pos="-720"/>
        </w:tabs>
        <w:suppressAutoHyphens/>
        <w:ind w:left="700"/>
        <w:rPr>
          <w:rFonts w:asciiTheme="minorHAnsi" w:hAnsiTheme="minorHAnsi" w:cstheme="minorHAnsi"/>
        </w:rPr>
      </w:pPr>
      <w:r w:rsidRPr="00CA59E3">
        <w:rPr>
          <w:rFonts w:asciiTheme="minorHAnsi" w:hAnsiTheme="minorHAnsi" w:cstheme="minorHAnsi"/>
        </w:rPr>
        <w:t>This is a</w:t>
      </w:r>
      <w:r w:rsidR="00DA3352">
        <w:rPr>
          <w:rFonts w:asciiTheme="minorHAnsi" w:hAnsiTheme="minorHAnsi" w:cstheme="minorHAnsi"/>
        </w:rPr>
        <w:t>n extension of the</w:t>
      </w:r>
      <w:r w:rsidRPr="00CA59E3">
        <w:rPr>
          <w:rFonts w:asciiTheme="minorHAnsi" w:hAnsiTheme="minorHAnsi" w:cstheme="minorHAnsi"/>
        </w:rPr>
        <w:t xml:space="preserve"> legal settlement resulting in</w:t>
      </w:r>
      <w:r w:rsidR="00DA3352">
        <w:rPr>
          <w:rFonts w:asciiTheme="minorHAnsi" w:hAnsiTheme="minorHAnsi" w:cstheme="minorHAnsi"/>
        </w:rPr>
        <w:t xml:space="preserve"> this</w:t>
      </w:r>
      <w:r w:rsidRPr="00CA59E3">
        <w:rPr>
          <w:rFonts w:asciiTheme="minorHAnsi" w:hAnsiTheme="minorHAnsi" w:cstheme="minorHAnsi"/>
        </w:rPr>
        <w:t xml:space="preserve"> collection.  The annual burden to individuals </w:t>
      </w:r>
      <w:r w:rsidR="00DA3352">
        <w:rPr>
          <w:rFonts w:asciiTheme="minorHAnsi" w:hAnsiTheme="minorHAnsi" w:cstheme="minorHAnsi"/>
        </w:rPr>
        <w:t>remains</w:t>
      </w:r>
      <w:r w:rsidRPr="00CA59E3">
        <w:rPr>
          <w:rFonts w:asciiTheme="minorHAnsi" w:hAnsiTheme="minorHAnsi" w:cstheme="minorHAnsi"/>
        </w:rPr>
        <w:t xml:space="preserve"> an estimated total </w:t>
      </w:r>
      <w:r w:rsidRPr="00CA59E3" w:rsidR="00E13D8C">
        <w:rPr>
          <w:rFonts w:asciiTheme="minorHAnsi" w:hAnsiTheme="minorHAnsi" w:cstheme="minorHAnsi"/>
        </w:rPr>
        <w:t xml:space="preserve">9,000 </w:t>
      </w:r>
      <w:r w:rsidRPr="00CA59E3">
        <w:rPr>
          <w:rFonts w:asciiTheme="minorHAnsi" w:hAnsiTheme="minorHAnsi" w:cstheme="minorHAnsi"/>
        </w:rPr>
        <w:t xml:space="preserve">hours based on an estimated </w:t>
      </w:r>
      <w:r w:rsidRPr="00CA59E3" w:rsidR="00E13D8C">
        <w:rPr>
          <w:rFonts w:asciiTheme="minorHAnsi" w:hAnsiTheme="minorHAnsi" w:cstheme="minorHAnsi"/>
        </w:rPr>
        <w:t xml:space="preserve">36,000 </w:t>
      </w:r>
      <w:r w:rsidRPr="00CA59E3">
        <w:rPr>
          <w:rFonts w:asciiTheme="minorHAnsi" w:hAnsiTheme="minorHAnsi" w:cstheme="minorHAnsi"/>
        </w:rPr>
        <w:t xml:space="preserve">borrowers.  </w:t>
      </w:r>
    </w:p>
    <w:p w:rsidR="005F4E11" w:rsidRPr="005F4E11" w:rsidP="00246834" w14:paraId="202A661E" w14:textId="34B473DE">
      <w:pPr>
        <w:tabs>
          <w:tab w:val="left" w:pos="-720"/>
        </w:tabs>
        <w:suppressAutoHyphens/>
        <w:ind w:left="720"/>
        <w:rPr>
          <w:rFonts w:asciiTheme="minorHAnsi" w:hAnsiTheme="minorHAnsi" w:cstheme="minorHAnsi"/>
          <w:bCs/>
          <w:szCs w:val="24"/>
        </w:rPr>
      </w:pPr>
    </w:p>
    <w:p w:rsidR="00043C32" w:rsidP="00246834"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246834" w14:paraId="64280F0E" w14:textId="77777777">
      <w:pPr>
        <w:tabs>
          <w:tab w:val="left" w:pos="-720"/>
        </w:tabs>
        <w:suppressAutoHyphens/>
        <w:ind w:left="720"/>
        <w:rPr>
          <w:rFonts w:ascii="Times New Roman" w:hAnsi="Times New Roman"/>
          <w:szCs w:val="24"/>
        </w:rPr>
      </w:pPr>
    </w:p>
    <w:p w:rsidR="00AA5138" w:rsidRPr="00CA59E3" w:rsidP="00246834" w14:paraId="3B444721" w14:textId="0423B427">
      <w:pPr>
        <w:tabs>
          <w:tab w:val="left" w:pos="-720"/>
        </w:tabs>
        <w:suppressAutoHyphens/>
        <w:ind w:left="720"/>
        <w:rPr>
          <w:rFonts w:asciiTheme="minorHAnsi" w:hAnsiTheme="minorHAnsi" w:cstheme="minorHAnsi"/>
        </w:rPr>
      </w:pPr>
      <w:r w:rsidRPr="00CA59E3">
        <w:rPr>
          <w:rFonts w:asciiTheme="minorHAnsi" w:hAnsiTheme="minorHAnsi" w:cstheme="minorHAnsi"/>
        </w:rPr>
        <w:t>The results of this information collection will not be published.</w:t>
      </w:r>
    </w:p>
    <w:p w:rsidR="00534B4A" w:rsidRPr="00534B4A" w:rsidP="00246834" w14:paraId="64280F0F" w14:textId="77777777">
      <w:pPr>
        <w:tabs>
          <w:tab w:val="left" w:pos="-720"/>
        </w:tabs>
        <w:suppressAutoHyphens/>
        <w:ind w:left="720"/>
        <w:rPr>
          <w:rFonts w:ascii="Times New Roman" w:hAnsi="Times New Roman"/>
          <w:szCs w:val="24"/>
        </w:rPr>
      </w:pPr>
    </w:p>
    <w:p w:rsidR="00043C32" w:rsidRPr="00534B4A" w:rsidP="00246834"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246834" w14:paraId="64280F11" w14:textId="77777777">
      <w:pPr>
        <w:tabs>
          <w:tab w:val="left" w:pos="-720"/>
        </w:tabs>
        <w:suppressAutoHyphens/>
        <w:ind w:left="720"/>
        <w:rPr>
          <w:rFonts w:ascii="Times New Roman" w:hAnsi="Times New Roman"/>
          <w:bCs/>
          <w:szCs w:val="24"/>
        </w:rPr>
      </w:pPr>
    </w:p>
    <w:p w:rsidR="00261921" w:rsidRPr="00CA59E3" w:rsidP="00246834" w14:paraId="73D08988" w14:textId="5B026842">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seeking this approval.</w:t>
      </w:r>
    </w:p>
    <w:p w:rsidR="00534B4A" w:rsidRPr="00AA5138" w:rsidP="00246834" w14:paraId="64280F12" w14:textId="77777777">
      <w:pPr>
        <w:tabs>
          <w:tab w:val="left" w:pos="-720"/>
        </w:tabs>
        <w:suppressAutoHyphens/>
        <w:ind w:left="720"/>
        <w:rPr>
          <w:rFonts w:ascii="Times New Roman" w:hAnsi="Times New Roman"/>
          <w:bCs/>
          <w:szCs w:val="24"/>
        </w:rPr>
      </w:pPr>
    </w:p>
    <w:p w:rsidR="001C73C0" w:rsidP="00246834"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246834" w14:paraId="07117DF1" w14:textId="68EA5D2C">
      <w:pPr>
        <w:tabs>
          <w:tab w:val="left" w:pos="-720"/>
        </w:tabs>
        <w:suppressAutoHyphens/>
        <w:ind w:left="720"/>
        <w:rPr>
          <w:rFonts w:ascii="Times New Roman" w:hAnsi="Times New Roman"/>
          <w:bCs/>
          <w:szCs w:val="24"/>
        </w:rPr>
      </w:pPr>
    </w:p>
    <w:p w:rsidR="00261921" w:rsidRPr="00CA59E3" w:rsidP="00246834" w14:paraId="16D6BC07" w14:textId="25C0F941">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requesting any exceptions to the "Certification for Paperwork Reduction Act Submissions".</w:t>
      </w:r>
    </w:p>
    <w:p w:rsidR="00AA5138" w:rsidRPr="005F4E11" w:rsidP="00246834" w14:paraId="22C5FEDA" w14:textId="46F809EC">
      <w:pPr>
        <w:tabs>
          <w:tab w:val="left" w:pos="-720"/>
        </w:tabs>
        <w:suppressAutoHyphens/>
        <w:ind w:left="720"/>
        <w:rPr>
          <w:rFonts w:asciiTheme="minorHAnsi" w:hAnsiTheme="minorHAnsi" w:cstheme="minorHAnsi"/>
          <w:bCs/>
          <w:szCs w:val="24"/>
        </w:rPr>
      </w:pPr>
    </w:p>
    <w:p w:rsidR="00AA5138" w:rsidRPr="00AA5138" w:rsidP="00246834" w14:paraId="1D395179" w14:textId="77777777">
      <w:pPr>
        <w:tabs>
          <w:tab w:val="left" w:pos="-720"/>
        </w:tabs>
        <w:suppressAutoHyphens/>
        <w:ind w:left="720"/>
        <w:rPr>
          <w:rFonts w:ascii="Times New Roman" w:hAnsi="Times New Roman"/>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054" w14:paraId="64280F18" w14:textId="77777777">
    <w:pPr>
      <w:spacing w:before="140" w:line="100" w:lineRule="exact"/>
      <w:rPr>
        <w:sz w:val="10"/>
      </w:rPr>
    </w:pPr>
  </w:p>
  <w:p w:rsidR="00386054" w14:paraId="64280F19" w14:textId="77777777">
    <w:pPr>
      <w:tabs>
        <w:tab w:val="left" w:pos="0"/>
      </w:tabs>
      <w:suppressAutoHyphens/>
    </w:pPr>
  </w:p>
  <w:p w:rsidR="00386054"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5767" w:rsidP="00043C32" w14:paraId="5D6A66EA" w14:textId="77777777">
      <w:r>
        <w:separator/>
      </w:r>
    </w:p>
  </w:footnote>
  <w:footnote w:type="continuationSeparator" w:id="1">
    <w:p w:rsidR="00AC5767" w:rsidP="00043C32" w14:paraId="1CA73AC7" w14:textId="77777777">
      <w:r>
        <w:continuationSeparator/>
      </w:r>
    </w:p>
  </w:footnote>
  <w:footnote w:type="continuationNotice" w:id="2">
    <w:p w:rsidR="00AC5767" w14:paraId="0495F0F3"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E11" w:rsidRPr="00AD381B" w:rsidP="005F4E11" w14:paraId="51038400" w14:textId="7D50D48E">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9328AE">
      <w:rPr>
        <w:rFonts w:ascii="Times New Roman" w:hAnsi="Times New Roman"/>
        <w:szCs w:val="24"/>
      </w:rPr>
      <w:t>1845</w:t>
    </w:r>
    <w:r w:rsidRPr="00C875E8">
      <w:rPr>
        <w:rFonts w:ascii="Times New Roman" w:hAnsi="Times New Roman"/>
        <w:szCs w:val="24"/>
      </w:rPr>
      <w:t>-</w:t>
    </w:r>
    <w:r w:rsidR="009F7D28">
      <w:rPr>
        <w:rFonts w:ascii="Times New Roman" w:hAnsi="Times New Roman"/>
        <w:szCs w:val="24"/>
      </w:rPr>
      <w:t>0164</w:t>
    </w:r>
    <w:r w:rsidR="00E22FD3">
      <w:rPr>
        <w:rFonts w:ascii="Times New Roman" w:hAnsi="Times New Roman"/>
        <w:szCs w:val="24"/>
      </w:rPr>
      <w:tab/>
    </w:r>
    <w:r w:rsidRPr="00C875E8">
      <w:rPr>
        <w:rFonts w:ascii="Times New Roman" w:hAnsi="Times New Roman"/>
        <w:szCs w:val="24"/>
      </w:rPr>
      <w:t xml:space="preserve">Revised: </w:t>
    </w:r>
    <w:r w:rsidR="00737217">
      <w:rPr>
        <w:rFonts w:ascii="Times New Roman" w:hAnsi="Times New Roman"/>
        <w:szCs w:val="24"/>
      </w:rPr>
      <w:t>10/6</w:t>
    </w:r>
    <w:r w:rsidRPr="00C875E8">
      <w:rPr>
        <w:rFonts w:ascii="Times New Roman" w:hAnsi="Times New Roman"/>
        <w:szCs w:val="24"/>
      </w:rPr>
      <w:t>/</w:t>
    </w:r>
    <w:r w:rsidR="00CB4ED7">
      <w:rPr>
        <w:rFonts w:ascii="Times New Roman" w:hAnsi="Times New Roman"/>
        <w:szCs w:val="24"/>
      </w:rPr>
      <w:t>2022</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204D65F8"/>
    <w:multiLevelType w:val="hybridMultilevel"/>
    <w:tmpl w:val="0EA06D42"/>
    <w:lvl w:ilvl="0">
      <w:start w:val="668"/>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1343"/>
    <w:rsid w:val="00010D85"/>
    <w:rsid w:val="0001310C"/>
    <w:rsid w:val="0002290A"/>
    <w:rsid w:val="00035ED5"/>
    <w:rsid w:val="0004000C"/>
    <w:rsid w:val="00040BB3"/>
    <w:rsid w:val="00043C32"/>
    <w:rsid w:val="000446F5"/>
    <w:rsid w:val="0005664F"/>
    <w:rsid w:val="00082608"/>
    <w:rsid w:val="00093017"/>
    <w:rsid w:val="000B7E18"/>
    <w:rsid w:val="000E5395"/>
    <w:rsid w:val="000F3E2C"/>
    <w:rsid w:val="000F7748"/>
    <w:rsid w:val="00115BE6"/>
    <w:rsid w:val="00116DEF"/>
    <w:rsid w:val="00131673"/>
    <w:rsid w:val="001824F3"/>
    <w:rsid w:val="001A6AE0"/>
    <w:rsid w:val="001C73C0"/>
    <w:rsid w:val="001E4042"/>
    <w:rsid w:val="001E79BD"/>
    <w:rsid w:val="002225CC"/>
    <w:rsid w:val="00224A3B"/>
    <w:rsid w:val="00240A39"/>
    <w:rsid w:val="00246834"/>
    <w:rsid w:val="00246FE9"/>
    <w:rsid w:val="00250100"/>
    <w:rsid w:val="00261921"/>
    <w:rsid w:val="00262A69"/>
    <w:rsid w:val="00270AF7"/>
    <w:rsid w:val="002A1F6E"/>
    <w:rsid w:val="002A20E9"/>
    <w:rsid w:val="002A3221"/>
    <w:rsid w:val="002C3520"/>
    <w:rsid w:val="002E14E0"/>
    <w:rsid w:val="002F55E5"/>
    <w:rsid w:val="00314387"/>
    <w:rsid w:val="0032078A"/>
    <w:rsid w:val="0032539E"/>
    <w:rsid w:val="00335550"/>
    <w:rsid w:val="003755B7"/>
    <w:rsid w:val="00386054"/>
    <w:rsid w:val="003860E4"/>
    <w:rsid w:val="003B1545"/>
    <w:rsid w:val="003D1664"/>
    <w:rsid w:val="003D177B"/>
    <w:rsid w:val="003E0D47"/>
    <w:rsid w:val="003E4074"/>
    <w:rsid w:val="0040264A"/>
    <w:rsid w:val="00412915"/>
    <w:rsid w:val="00413AD2"/>
    <w:rsid w:val="004253DE"/>
    <w:rsid w:val="00442E07"/>
    <w:rsid w:val="0048252F"/>
    <w:rsid w:val="004A468F"/>
    <w:rsid w:val="004C377E"/>
    <w:rsid w:val="004E53D8"/>
    <w:rsid w:val="004F0ABD"/>
    <w:rsid w:val="0052073E"/>
    <w:rsid w:val="00534B4A"/>
    <w:rsid w:val="0053650B"/>
    <w:rsid w:val="00545768"/>
    <w:rsid w:val="00546269"/>
    <w:rsid w:val="005547DB"/>
    <w:rsid w:val="00575DDA"/>
    <w:rsid w:val="00581C11"/>
    <w:rsid w:val="00587A55"/>
    <w:rsid w:val="005B2D69"/>
    <w:rsid w:val="005E08D7"/>
    <w:rsid w:val="005F2970"/>
    <w:rsid w:val="005F4E11"/>
    <w:rsid w:val="005F776B"/>
    <w:rsid w:val="00675E6E"/>
    <w:rsid w:val="00676F48"/>
    <w:rsid w:val="00682D6A"/>
    <w:rsid w:val="0068567A"/>
    <w:rsid w:val="006916D6"/>
    <w:rsid w:val="006A292A"/>
    <w:rsid w:val="006A38F7"/>
    <w:rsid w:val="006A4EBB"/>
    <w:rsid w:val="006B21FA"/>
    <w:rsid w:val="006B4172"/>
    <w:rsid w:val="00713B69"/>
    <w:rsid w:val="00720E20"/>
    <w:rsid w:val="00737217"/>
    <w:rsid w:val="0075349E"/>
    <w:rsid w:val="00755D99"/>
    <w:rsid w:val="00756FD3"/>
    <w:rsid w:val="00765392"/>
    <w:rsid w:val="00790E3E"/>
    <w:rsid w:val="007A668E"/>
    <w:rsid w:val="007C0A4C"/>
    <w:rsid w:val="007C288B"/>
    <w:rsid w:val="007E4092"/>
    <w:rsid w:val="007F058A"/>
    <w:rsid w:val="007F6104"/>
    <w:rsid w:val="00800D30"/>
    <w:rsid w:val="00807D1A"/>
    <w:rsid w:val="00834A62"/>
    <w:rsid w:val="00840E4E"/>
    <w:rsid w:val="00853911"/>
    <w:rsid w:val="00857ACB"/>
    <w:rsid w:val="00864662"/>
    <w:rsid w:val="00865464"/>
    <w:rsid w:val="00874EFE"/>
    <w:rsid w:val="00876923"/>
    <w:rsid w:val="00882126"/>
    <w:rsid w:val="008933F1"/>
    <w:rsid w:val="008B02BB"/>
    <w:rsid w:val="008D0601"/>
    <w:rsid w:val="008D1F11"/>
    <w:rsid w:val="008E411A"/>
    <w:rsid w:val="008E5919"/>
    <w:rsid w:val="008F1E49"/>
    <w:rsid w:val="00905951"/>
    <w:rsid w:val="009102CA"/>
    <w:rsid w:val="00912D2C"/>
    <w:rsid w:val="00913002"/>
    <w:rsid w:val="00916EE4"/>
    <w:rsid w:val="00920F63"/>
    <w:rsid w:val="009243F3"/>
    <w:rsid w:val="00925285"/>
    <w:rsid w:val="00925EFF"/>
    <w:rsid w:val="009328AE"/>
    <w:rsid w:val="0093366B"/>
    <w:rsid w:val="00934185"/>
    <w:rsid w:val="00946126"/>
    <w:rsid w:val="00952DF9"/>
    <w:rsid w:val="0095421D"/>
    <w:rsid w:val="00960C86"/>
    <w:rsid w:val="009621E6"/>
    <w:rsid w:val="009767AF"/>
    <w:rsid w:val="00981F58"/>
    <w:rsid w:val="00986D0A"/>
    <w:rsid w:val="00990EB3"/>
    <w:rsid w:val="009E3E86"/>
    <w:rsid w:val="009E5010"/>
    <w:rsid w:val="009F7D28"/>
    <w:rsid w:val="00A118A2"/>
    <w:rsid w:val="00A23F26"/>
    <w:rsid w:val="00A27091"/>
    <w:rsid w:val="00A4001C"/>
    <w:rsid w:val="00A40AAB"/>
    <w:rsid w:val="00A41003"/>
    <w:rsid w:val="00A46D01"/>
    <w:rsid w:val="00A653B0"/>
    <w:rsid w:val="00A70396"/>
    <w:rsid w:val="00A70816"/>
    <w:rsid w:val="00A71EF1"/>
    <w:rsid w:val="00A73590"/>
    <w:rsid w:val="00A7636D"/>
    <w:rsid w:val="00A9138E"/>
    <w:rsid w:val="00AA5138"/>
    <w:rsid w:val="00AC1C89"/>
    <w:rsid w:val="00AC5767"/>
    <w:rsid w:val="00AC784E"/>
    <w:rsid w:val="00AD381B"/>
    <w:rsid w:val="00AF5B5B"/>
    <w:rsid w:val="00AF5D1A"/>
    <w:rsid w:val="00AF708B"/>
    <w:rsid w:val="00B017F9"/>
    <w:rsid w:val="00B07213"/>
    <w:rsid w:val="00B10A05"/>
    <w:rsid w:val="00B54167"/>
    <w:rsid w:val="00B62E06"/>
    <w:rsid w:val="00B64B1D"/>
    <w:rsid w:val="00B9671B"/>
    <w:rsid w:val="00BA1D31"/>
    <w:rsid w:val="00BA7AB1"/>
    <w:rsid w:val="00BC1A67"/>
    <w:rsid w:val="00BC5558"/>
    <w:rsid w:val="00C038AD"/>
    <w:rsid w:val="00C164D3"/>
    <w:rsid w:val="00C20670"/>
    <w:rsid w:val="00C224FD"/>
    <w:rsid w:val="00C55E1A"/>
    <w:rsid w:val="00C81C53"/>
    <w:rsid w:val="00C86713"/>
    <w:rsid w:val="00C875E8"/>
    <w:rsid w:val="00C92035"/>
    <w:rsid w:val="00CA59E3"/>
    <w:rsid w:val="00CB4ED7"/>
    <w:rsid w:val="00CB7E11"/>
    <w:rsid w:val="00CC2A72"/>
    <w:rsid w:val="00CC371B"/>
    <w:rsid w:val="00CC3FB5"/>
    <w:rsid w:val="00CD2067"/>
    <w:rsid w:val="00CD47BC"/>
    <w:rsid w:val="00CE1A5A"/>
    <w:rsid w:val="00CE6A01"/>
    <w:rsid w:val="00CF26D1"/>
    <w:rsid w:val="00CF5F33"/>
    <w:rsid w:val="00D27DDA"/>
    <w:rsid w:val="00D34984"/>
    <w:rsid w:val="00D35207"/>
    <w:rsid w:val="00D36C35"/>
    <w:rsid w:val="00D7185E"/>
    <w:rsid w:val="00D75313"/>
    <w:rsid w:val="00D7739B"/>
    <w:rsid w:val="00D83749"/>
    <w:rsid w:val="00D87631"/>
    <w:rsid w:val="00D93F4D"/>
    <w:rsid w:val="00DA3352"/>
    <w:rsid w:val="00DD76DC"/>
    <w:rsid w:val="00E018D6"/>
    <w:rsid w:val="00E13D8C"/>
    <w:rsid w:val="00E16ACD"/>
    <w:rsid w:val="00E17134"/>
    <w:rsid w:val="00E21129"/>
    <w:rsid w:val="00E21FAE"/>
    <w:rsid w:val="00E22FD3"/>
    <w:rsid w:val="00E25EBC"/>
    <w:rsid w:val="00E4117D"/>
    <w:rsid w:val="00E66550"/>
    <w:rsid w:val="00E877BF"/>
    <w:rsid w:val="00E909F4"/>
    <w:rsid w:val="00EA1767"/>
    <w:rsid w:val="00EB0929"/>
    <w:rsid w:val="00EB0FA5"/>
    <w:rsid w:val="00EC01DD"/>
    <w:rsid w:val="00EC35E3"/>
    <w:rsid w:val="00ED555C"/>
    <w:rsid w:val="00ED7195"/>
    <w:rsid w:val="00F0068B"/>
    <w:rsid w:val="00F0414F"/>
    <w:rsid w:val="00F070F3"/>
    <w:rsid w:val="00F25A24"/>
    <w:rsid w:val="00F27AAF"/>
    <w:rsid w:val="00F31BEC"/>
    <w:rsid w:val="00F43523"/>
    <w:rsid w:val="00F45204"/>
    <w:rsid w:val="00F5782B"/>
    <w:rsid w:val="00F73131"/>
    <w:rsid w:val="00F74288"/>
    <w:rsid w:val="00FA3B98"/>
    <w:rsid w:val="00FB5E9D"/>
    <w:rsid w:val="00FC669D"/>
    <w:rsid w:val="00FD42EC"/>
    <w:rsid w:val="00FD4F0B"/>
    <w:rsid w:val="00FE02FC"/>
    <w:rsid w:val="00FE1BAE"/>
    <w:rsid w:val="05576EEF"/>
    <w:rsid w:val="098D8B65"/>
    <w:rsid w:val="09A25CA9"/>
    <w:rsid w:val="12FCF2ED"/>
    <w:rsid w:val="19C7F5DD"/>
    <w:rsid w:val="1CBA0838"/>
    <w:rsid w:val="2055BC93"/>
    <w:rsid w:val="2BC43DCC"/>
    <w:rsid w:val="2E34EE7C"/>
    <w:rsid w:val="3DA3F9C2"/>
    <w:rsid w:val="42FE309A"/>
    <w:rsid w:val="64151FA6"/>
    <w:rsid w:val="7FB0C1F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semiHidden/>
    <w:rsid w:val="00E909F4"/>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909F4"/>
    <w:rPr>
      <w:sz w:val="24"/>
      <w:szCs w:val="24"/>
    </w:rPr>
  </w:style>
  <w:style w:type="paragraph" w:styleId="Revision">
    <w:name w:val="Revision"/>
    <w:hidden/>
    <w:uiPriority w:val="99"/>
    <w:semiHidden/>
    <w:rsid w:val="003D177B"/>
    <w:rPr>
      <w:rFonts w:ascii="Courier" w:hAnsi="Courier"/>
      <w:sz w:val="24"/>
    </w:rPr>
  </w:style>
  <w:style w:type="character" w:styleId="FollowedHyperlink">
    <w:name w:val="FollowedHyperlink"/>
    <w:basedOn w:val="DefaultParagraphFont"/>
    <w:uiPriority w:val="99"/>
    <w:semiHidden/>
    <w:unhideWhenUsed/>
    <w:rsid w:val="002A2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3" ma:contentTypeDescription="Create a new document." ma:contentTypeScope="" ma:versionID="ac468b9f291b42a2e584c9bff7c52e61">
  <xsd:schema xmlns:xsd="http://www.w3.org/2001/XMLSchema" xmlns:xs="http://www.w3.org/2001/XMLSchema" xmlns:p="http://schemas.microsoft.com/office/2006/metadata/properties" xmlns:ns2="bd10e23a-f09c-45e3-849e-438a97faa086" xmlns:ns3="a9a93928-7ac7-4c2f-90e6-3a0e778b9dd0" targetNamespace="http://schemas.microsoft.com/office/2006/metadata/properties" ma:root="true" ma:fieldsID="d4f149d58ca305c54ac905e81ac87551" ns2:_="" ns3:_="">
    <xsd:import namespace="bd10e23a-f09c-45e3-849e-438a97faa086"/>
    <xsd:import namespace="a9a93928-7ac7-4c2f-90e6-3a0e778b9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0C0BF32B-34CA-43D3-9D34-077C809E7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purl.org/dc/dcmitype/"/>
    <ds:schemaRef ds:uri="http://purl.org/dc/terms/"/>
    <ds:schemaRef ds:uri="http://purl.org/dc/elements/1.1/"/>
    <ds:schemaRef ds:uri="http://www.w3.org/XML/1998/namespace"/>
    <ds:schemaRef ds:uri="a9a93928-7ac7-4c2f-90e6-3a0e778b9dd0"/>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bd10e23a-f09c-45e3-849e-438a97faa086"/>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2022-10-06T15:10:00Z</dcterms:created>
  <dcterms:modified xsi:type="dcterms:W3CDTF">2022-10-06T15:10:00Z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