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622CD" w:rsidP="00E622CD" w14:paraId="2A4ED533"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622CD">
        <w:rPr>
          <w:rFonts w:asciiTheme="minorHAnsi" w:hAnsiTheme="minorHAnsi" w:cstheme="minorHAnsi"/>
          <w:b/>
          <w:bCs/>
          <w:sz w:val="22"/>
          <w:szCs w:val="22"/>
        </w:rPr>
        <w:br/>
      </w:r>
      <w:r w:rsidRPr="00E622CD">
        <w:rPr>
          <w:rFonts w:asciiTheme="minorHAnsi" w:hAnsiTheme="minorHAnsi" w:cstheme="minorHAnsi"/>
          <w:b/>
          <w:bCs/>
          <w:sz w:val="22"/>
          <w:szCs w:val="22"/>
        </w:rPr>
        <w:t>FOR PAPERWORK REDUCTION ACT SUBMISSION</w:t>
      </w:r>
    </w:p>
    <w:p w:rsidR="005F4E11" w:rsidRPr="00E622CD" w:rsidP="00E622CD" w14:paraId="2D55D39B" w14:textId="77777777">
      <w:pPr>
        <w:spacing w:after="120" w:line="276" w:lineRule="auto"/>
        <w:jc w:val="center"/>
        <w:rPr>
          <w:rFonts w:asciiTheme="minorHAnsi" w:hAnsiTheme="minorHAnsi" w:cstheme="minorHAnsi"/>
          <w:sz w:val="22"/>
          <w:szCs w:val="22"/>
        </w:rPr>
      </w:pPr>
      <w:r w:rsidRPr="009662E1">
        <w:rPr>
          <w:rFonts w:asciiTheme="minorHAnsi" w:hAnsiTheme="minorHAnsi" w:cstheme="minorHAnsi"/>
          <w:i/>
          <w:iCs/>
          <w:sz w:val="22"/>
          <w:szCs w:val="22"/>
        </w:rPr>
        <w:t xml:space="preserve">Discharge Application: </w:t>
      </w:r>
      <w:r w:rsidRPr="009662E1" w:rsidR="00E12EC1">
        <w:rPr>
          <w:rFonts w:asciiTheme="minorHAnsi" w:hAnsiTheme="minorHAnsi" w:cstheme="minorHAnsi"/>
          <w:i/>
          <w:iCs/>
          <w:sz w:val="22"/>
          <w:szCs w:val="22"/>
        </w:rPr>
        <w:t>Total and Permanent Disability</w:t>
      </w:r>
      <w:r w:rsidR="009662E1">
        <w:rPr>
          <w:rFonts w:asciiTheme="minorHAnsi" w:hAnsiTheme="minorHAnsi" w:cstheme="minorHAnsi"/>
          <w:sz w:val="22"/>
          <w:szCs w:val="22"/>
        </w:rPr>
        <w:br/>
      </w:r>
      <w:r w:rsidRPr="009662E1" w:rsidR="00E12EC1">
        <w:rPr>
          <w:rFonts w:asciiTheme="minorHAnsi" w:hAnsiTheme="minorHAnsi" w:cstheme="minorHAnsi"/>
          <w:i/>
          <w:iCs/>
          <w:sz w:val="22"/>
          <w:szCs w:val="22"/>
        </w:rPr>
        <w:t>Applicant Representative Designation</w:t>
      </w:r>
      <w:r w:rsidRPr="009662E1" w:rsidR="009662E1">
        <w:rPr>
          <w:rFonts w:asciiTheme="minorHAnsi" w:hAnsiTheme="minorHAnsi" w:cstheme="minorHAnsi"/>
          <w:i/>
          <w:iCs/>
          <w:sz w:val="22"/>
          <w:szCs w:val="22"/>
        </w:rPr>
        <w:t>: Total and Permanent Disability</w:t>
      </w:r>
    </w:p>
    <w:p w:rsidR="00EA1767" w:rsidRPr="00E622CD" w:rsidP="00E622CD" w14:paraId="50A39F20"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00E622CD">
        <w:rPr>
          <w:rStyle w:val="Heading2Char"/>
          <w:rFonts w:asciiTheme="minorHAnsi" w:hAnsiTheme="minorHAnsi" w:cstheme="minorHAnsi"/>
          <w:color w:val="auto"/>
          <w:sz w:val="22"/>
          <w:szCs w:val="22"/>
        </w:rPr>
        <w:t>Explain the circumstances</w:t>
      </w:r>
      <w:r w:rsidRPr="00E622CD">
        <w:rPr>
          <w:rFonts w:asciiTheme="minorHAnsi" w:hAnsiTheme="minorHAnsi" w:cstheme="minorHAnsi"/>
          <w:b/>
          <w:sz w:val="22"/>
          <w:szCs w:val="22"/>
        </w:rPr>
        <w:t xml:space="preserve"> that make the collection of information necessary. </w:t>
      </w:r>
      <w:r w:rsidRPr="00E622CD" w:rsidR="007C0A4C">
        <w:rPr>
          <w:rFonts w:asciiTheme="minorHAnsi" w:hAnsiTheme="minorHAnsi" w:cstheme="minorHAnsi"/>
          <w:b/>
          <w:sz w:val="22"/>
          <w:szCs w:val="22"/>
        </w:rPr>
        <w:t>What is the purpose for this information collection</w:t>
      </w:r>
      <w:r w:rsidRPr="00E622CD" w:rsidR="006A38F7">
        <w:rPr>
          <w:rFonts w:asciiTheme="minorHAnsi" w:hAnsiTheme="minorHAnsi" w:cstheme="minorHAnsi"/>
          <w:b/>
          <w:sz w:val="22"/>
          <w:szCs w:val="22"/>
        </w:rPr>
        <w: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 xml:space="preserve">Identify any legal or administrative requirements that necessitate the collection. </w:t>
      </w:r>
      <w:r w:rsidRPr="00E622CD" w:rsidR="006A38F7">
        <w:rPr>
          <w:rFonts w:asciiTheme="minorHAnsi" w:hAnsiTheme="minorHAnsi" w:cstheme="minorHAnsi"/>
          <w:b/>
          <w:sz w:val="22"/>
          <w:szCs w:val="22"/>
        </w:rPr>
        <w:t xml:space="preserve">Include a citation that </w:t>
      </w:r>
      <w:r w:rsidRPr="00E622CD">
        <w:rPr>
          <w:rFonts w:asciiTheme="minorHAnsi" w:hAnsiTheme="minorHAnsi" w:cstheme="minorHAnsi"/>
          <w:b/>
          <w:sz w:val="22"/>
          <w:szCs w:val="22"/>
        </w:rPr>
        <w:t>authoriz</w:t>
      </w:r>
      <w:r w:rsidRPr="00E622CD" w:rsidR="006A38F7">
        <w:rPr>
          <w:rFonts w:asciiTheme="minorHAnsi" w:hAnsiTheme="minorHAnsi" w:cstheme="minorHAnsi"/>
          <w:b/>
          <w:sz w:val="22"/>
          <w:szCs w:val="22"/>
        </w:rPr>
        <w:t>es</w:t>
      </w:r>
      <w:r w:rsidRPr="00E622CD">
        <w:rPr>
          <w:rFonts w:asciiTheme="minorHAnsi" w:hAnsiTheme="minorHAnsi" w:cstheme="minorHAnsi"/>
          <w:b/>
          <w:sz w:val="22"/>
          <w:szCs w:val="22"/>
        </w:rPr>
        <w:t xml:space="preserve"> the collection of information</w:t>
      </w:r>
      <w:r w:rsidRPr="00E622CD" w:rsidR="006A38F7">
        <w:rPr>
          <w:rFonts w:asciiTheme="minorHAnsi" w:hAnsiTheme="minorHAnsi" w:cstheme="minorHAnsi"/>
          <w:b/>
          <w:sz w:val="22"/>
          <w:szCs w:val="22"/>
        </w:rPr>
        <w:t>.</w:t>
      </w:r>
      <w:r w:rsidRPr="00E622CD">
        <w:rPr>
          <w:rFonts w:asciiTheme="minorHAnsi" w:hAnsiTheme="minorHAnsi" w:cstheme="minorHAnsi"/>
          <w:b/>
          <w:sz w:val="22"/>
          <w:szCs w:val="22"/>
        </w:rPr>
        <w:t xml:space="preserve"> Specify the review type of the collection (new, revision, extension, reinstatement with change, reinstatement without change). If revised, briefly specify the changes.  If a rulemaking is involved, </w:t>
      </w:r>
      <w:r w:rsidRPr="00E622CD" w:rsidR="006A38F7">
        <w:rPr>
          <w:rFonts w:asciiTheme="minorHAnsi" w:hAnsiTheme="minorHAnsi" w:cstheme="minorHAnsi"/>
          <w:b/>
          <w:sz w:val="22"/>
          <w:szCs w:val="22"/>
        </w:rPr>
        <w:t xml:space="preserve">list </w:t>
      </w:r>
      <w:r w:rsidRPr="00E622CD">
        <w:rPr>
          <w:rFonts w:asciiTheme="minorHAnsi" w:hAnsiTheme="minorHAnsi" w:cstheme="minorHAnsi"/>
          <w:b/>
          <w:sz w:val="22"/>
          <w:szCs w:val="22"/>
        </w:rPr>
        <w:t xml:space="preserve">the sections </w:t>
      </w:r>
      <w:r w:rsidRPr="00E622CD" w:rsidR="006A38F7">
        <w:rPr>
          <w:rFonts w:asciiTheme="minorHAnsi" w:hAnsiTheme="minorHAnsi" w:cstheme="minorHAnsi"/>
          <w:b/>
          <w:sz w:val="22"/>
          <w:szCs w:val="22"/>
        </w:rPr>
        <w:t>with a brief description of the information collection requirement, and/</w:t>
      </w:r>
      <w:r w:rsidRPr="00E622CD">
        <w:rPr>
          <w:rFonts w:asciiTheme="minorHAnsi" w:hAnsiTheme="minorHAnsi" w:cstheme="minorHAnsi"/>
          <w:b/>
          <w:sz w:val="22"/>
          <w:szCs w:val="22"/>
        </w:rPr>
        <w:t>or change</w:t>
      </w:r>
      <w:r w:rsidRPr="00E622CD" w:rsidR="006A38F7">
        <w:rPr>
          <w:rFonts w:asciiTheme="minorHAnsi" w:hAnsiTheme="minorHAnsi" w:cstheme="minorHAnsi"/>
          <w:b/>
          <w:sz w:val="22"/>
          <w:szCs w:val="22"/>
        </w:rPr>
        <w:t>s to</w:t>
      </w:r>
      <w:r w:rsidRPr="00E622CD">
        <w:rPr>
          <w:rFonts w:asciiTheme="minorHAnsi" w:hAnsiTheme="minorHAnsi" w:cstheme="minorHAnsi"/>
          <w:b/>
          <w:sz w:val="22"/>
          <w:szCs w:val="22"/>
        </w:rPr>
        <w:t xml:space="preserve"> sections, if applicable.</w:t>
      </w:r>
    </w:p>
    <w:p w:rsidR="00997157" w:rsidRPr="00997157" w:rsidP="00997157" w14:paraId="301C62D8" w14:textId="48A89185">
      <w:pPr>
        <w:spacing w:after="200" w:line="276" w:lineRule="auto"/>
        <w:ind w:left="720"/>
        <w:rPr>
          <w:rFonts w:ascii="Calibri" w:hAnsi="Calibri"/>
          <w:sz w:val="22"/>
          <w:szCs w:val="22"/>
        </w:rPr>
      </w:pPr>
      <w:r w:rsidRPr="00997157">
        <w:rPr>
          <w:rFonts w:asciiTheme="minorHAnsi" w:hAnsiTheme="minorHAnsi" w:cstheme="minorBidi"/>
          <w:sz w:val="22"/>
          <w:szCs w:val="22"/>
        </w:rPr>
        <w:t xml:space="preserve">The Department of Education (Department) is requesting a </w:t>
      </w:r>
      <w:r w:rsidR="007B5CAA">
        <w:rPr>
          <w:rFonts w:asciiTheme="minorHAnsi" w:hAnsiTheme="minorHAnsi" w:cstheme="minorBidi"/>
          <w:sz w:val="22"/>
          <w:szCs w:val="22"/>
        </w:rPr>
        <w:t>revi</w:t>
      </w:r>
      <w:r w:rsidR="00A67460">
        <w:rPr>
          <w:rFonts w:asciiTheme="minorHAnsi" w:hAnsiTheme="minorHAnsi" w:cstheme="minorBidi"/>
          <w:sz w:val="22"/>
          <w:szCs w:val="22"/>
        </w:rPr>
        <w:t>sion</w:t>
      </w:r>
      <w:r w:rsidRPr="00997157">
        <w:rPr>
          <w:rFonts w:asciiTheme="minorHAnsi" w:hAnsiTheme="minorHAnsi" w:cstheme="minorHAnsi"/>
          <w:sz w:val="22"/>
          <w:szCs w:val="22"/>
        </w:rPr>
        <w:t xml:space="preserve"> of the information collection, 1845-00</w:t>
      </w:r>
      <w:r>
        <w:rPr>
          <w:rFonts w:asciiTheme="minorHAnsi" w:hAnsiTheme="minorHAnsi" w:cstheme="minorHAnsi"/>
          <w:sz w:val="22"/>
          <w:szCs w:val="22"/>
        </w:rPr>
        <w:t>65</w:t>
      </w:r>
      <w:r w:rsidRPr="00997157">
        <w:rPr>
          <w:rFonts w:asciiTheme="minorHAnsi" w:hAnsiTheme="minorHAnsi" w:cstheme="minorHAnsi"/>
          <w:sz w:val="22"/>
          <w:szCs w:val="22"/>
        </w:rPr>
        <w:t xml:space="preserve">. </w:t>
      </w:r>
    </w:p>
    <w:p w:rsidR="008C1B66" w:rsidRPr="008C1B66" w:rsidP="008C1B66" w14:paraId="4C08D89A" w14:textId="77777777">
      <w:pPr>
        <w:spacing w:after="200" w:line="276" w:lineRule="auto"/>
        <w:ind w:left="720"/>
        <w:rPr>
          <w:rFonts w:ascii="Calibri" w:hAnsi="Calibri"/>
          <w:sz w:val="22"/>
          <w:szCs w:val="22"/>
        </w:rPr>
      </w:pPr>
      <w:r w:rsidRPr="008C1B66">
        <w:rPr>
          <w:rFonts w:ascii="Calibri" w:hAnsi="Calibri"/>
          <w:sz w:val="22"/>
          <w:szCs w:val="22"/>
        </w:rPr>
        <w:t xml:space="preserve">The Higher Education Act of 1965, as amended (HEA), established the Teacher Education Assistance for College and Higher Education (TEACH) Grant Program, the Federal Family Education Loan (FFEL) Program, the William D. Ford Federal Direct Loan (Direct Loan) Program, and the Federal Perkins (Perkins) Loan Program under Title IV, Parts A, B, D, and E, respectively. </w:t>
      </w:r>
    </w:p>
    <w:p w:rsidR="008C1B66" w:rsidRPr="008C1B66" w:rsidP="008C1B66" w14:paraId="0A6A6783" w14:textId="77777777">
      <w:pPr>
        <w:spacing w:after="200" w:line="276" w:lineRule="auto"/>
        <w:ind w:left="720"/>
        <w:rPr>
          <w:rFonts w:ascii="Calibri" w:hAnsi="Calibri"/>
          <w:sz w:val="22"/>
          <w:szCs w:val="22"/>
        </w:rPr>
      </w:pPr>
      <w:r w:rsidRPr="008C1B66">
        <w:rPr>
          <w:rFonts w:ascii="Calibri" w:hAnsi="Calibri"/>
          <w:sz w:val="22"/>
          <w:szCs w:val="22"/>
        </w:rPr>
        <w:t xml:space="preserve">Section 437(a)(1) of the HEA authorizes the discharge of a borrower’s obligation to repay </w:t>
      </w:r>
      <w:r w:rsidR="008071AB">
        <w:rPr>
          <w:rFonts w:ascii="Calibri" w:hAnsi="Calibri"/>
          <w:sz w:val="22"/>
          <w:szCs w:val="22"/>
        </w:rPr>
        <w:t xml:space="preserve">their </w:t>
      </w:r>
      <w:r w:rsidRPr="008C1B66">
        <w:rPr>
          <w:rFonts w:ascii="Calibri" w:hAnsi="Calibri"/>
          <w:sz w:val="22"/>
          <w:szCs w:val="22"/>
        </w:rPr>
        <w:t xml:space="preserve">FFEL Program loan(s) if the borrower is unable to engage in any substantial gainful activity by reason of any medically determinable physical or mental impairment that can be expected to result in death, has lasted for a continuous period of not less than 60 months, or can be expected to last for a continuous period of not less than 60 months. Section 437(a)(2) of the HEA provides that a borrower who has been determined by the Secretary of Veterans Affairs to be unemployable due to a service-connected condition, and who provides documentation of that determination to the Department, will be considered to be totally and permanently disabled for purposes of discharging the borrower’s FFEL Program loans, and may not be required to provided additional documentation for loan discharge purposes. </w:t>
      </w:r>
    </w:p>
    <w:p w:rsidR="008C1B66" w:rsidP="008C1B66" w14:paraId="2F11BEB8" w14:textId="77777777">
      <w:pPr>
        <w:spacing w:after="200" w:line="276" w:lineRule="auto"/>
        <w:ind w:left="720"/>
        <w:rPr>
          <w:rFonts w:ascii="Calibri" w:hAnsi="Calibri"/>
          <w:sz w:val="22"/>
          <w:szCs w:val="22"/>
        </w:rPr>
      </w:pPr>
      <w:r>
        <w:rPr>
          <w:rFonts w:ascii="Calibri" w:hAnsi="Calibri"/>
          <w:sz w:val="22"/>
          <w:szCs w:val="22"/>
        </w:rPr>
        <w:t>T</w:t>
      </w:r>
      <w:r w:rsidRPr="008C1B66">
        <w:rPr>
          <w:rFonts w:ascii="Calibri" w:hAnsi="Calibri"/>
          <w:sz w:val="22"/>
          <w:szCs w:val="22"/>
        </w:rPr>
        <w:t xml:space="preserve">he loan discharge provisions </w:t>
      </w:r>
      <w:r w:rsidR="00922EAB">
        <w:rPr>
          <w:rFonts w:ascii="Calibri" w:hAnsi="Calibri"/>
          <w:sz w:val="22"/>
          <w:szCs w:val="22"/>
        </w:rPr>
        <w:t>in s</w:t>
      </w:r>
      <w:r w:rsidR="00D9610A">
        <w:rPr>
          <w:rFonts w:ascii="Calibri" w:hAnsi="Calibri"/>
          <w:sz w:val="22"/>
          <w:szCs w:val="22"/>
        </w:rPr>
        <w:t xml:space="preserve">ections </w:t>
      </w:r>
      <w:r w:rsidRPr="008C1B66" w:rsidR="00D9610A">
        <w:rPr>
          <w:rFonts w:ascii="Calibri" w:hAnsi="Calibri"/>
          <w:sz w:val="22"/>
          <w:szCs w:val="22"/>
        </w:rPr>
        <w:t xml:space="preserve">437(a)(1) and (2) of the HEA </w:t>
      </w:r>
      <w:r w:rsidR="004228C3">
        <w:rPr>
          <w:rFonts w:ascii="Calibri" w:hAnsi="Calibri"/>
          <w:sz w:val="22"/>
          <w:szCs w:val="22"/>
        </w:rPr>
        <w:t xml:space="preserve">are extended to Direct Loan Program and Federal Perkins Loan Program borrowers by </w:t>
      </w:r>
      <w:r>
        <w:rPr>
          <w:rFonts w:ascii="Calibri" w:hAnsi="Calibri"/>
          <w:sz w:val="22"/>
          <w:szCs w:val="22"/>
        </w:rPr>
        <w:t>sections 455(a)(1) and 464(c)(1)(F) of the HEA, respectively.</w:t>
      </w:r>
    </w:p>
    <w:p w:rsidR="00E915AC" w:rsidRPr="008C1B66" w:rsidP="00E915AC" w14:paraId="56CE602D" w14:textId="77777777">
      <w:pPr>
        <w:autoSpaceDE w:val="0"/>
        <w:autoSpaceDN w:val="0"/>
        <w:adjustRightInd w:val="0"/>
        <w:spacing w:after="200" w:line="276" w:lineRule="auto"/>
        <w:ind w:left="720"/>
        <w:rPr>
          <w:rFonts w:asciiTheme="minorHAnsi" w:hAnsiTheme="minorHAnsi"/>
          <w:sz w:val="22"/>
          <w:szCs w:val="22"/>
        </w:rPr>
      </w:pPr>
      <w:r w:rsidRPr="008C1B66">
        <w:rPr>
          <w:rFonts w:asciiTheme="minorHAnsi" w:hAnsiTheme="minorHAnsi"/>
          <w:sz w:val="22"/>
          <w:szCs w:val="22"/>
        </w:rPr>
        <w:t>Section 420N(d)(2) of the HEA provides for the U.S. Department of Education (the Department) to</w:t>
      </w:r>
      <w:r w:rsidRPr="008C1B66">
        <w:rPr>
          <w:rFonts w:asciiTheme="minorHAnsi" w:hAnsiTheme="minorHAnsi" w:cs="NewCenturySchlbk-Roman"/>
          <w:sz w:val="22"/>
          <w:szCs w:val="22"/>
        </w:rPr>
        <w:t xml:space="preserve"> establish, by regulation, categories of extenuating circumstances under which a TEACH Grant recipient who is unable to fulfill all or part of the recipient’s service obligation may be excused from fulfilling that portion of the service obligation.</w:t>
      </w:r>
    </w:p>
    <w:p w:rsidR="000E22FF" w:rsidP="000E22FF" w14:paraId="464C7531" w14:textId="77777777">
      <w:pPr>
        <w:spacing w:after="200" w:line="276" w:lineRule="auto"/>
        <w:ind w:left="720"/>
        <w:rPr>
          <w:rFonts w:ascii="Calibri" w:hAnsi="Calibri"/>
          <w:sz w:val="22"/>
          <w:szCs w:val="22"/>
        </w:rPr>
      </w:pPr>
      <w:r w:rsidRPr="008C1B66">
        <w:rPr>
          <w:rFonts w:ascii="Calibri" w:hAnsi="Calibri"/>
          <w:sz w:val="22"/>
          <w:szCs w:val="22"/>
        </w:rPr>
        <w:t xml:space="preserve">The regulations </w:t>
      </w:r>
      <w:r>
        <w:rPr>
          <w:rFonts w:ascii="Calibri" w:hAnsi="Calibri"/>
          <w:sz w:val="22"/>
          <w:szCs w:val="22"/>
        </w:rPr>
        <w:t>governing</w:t>
      </w:r>
      <w:r w:rsidRPr="008C1B66">
        <w:rPr>
          <w:rFonts w:ascii="Calibri" w:hAnsi="Calibri"/>
          <w:sz w:val="22"/>
          <w:szCs w:val="22"/>
        </w:rPr>
        <w:t xml:space="preserve"> TPD discharges </w:t>
      </w:r>
      <w:r w:rsidR="004907DF">
        <w:rPr>
          <w:rFonts w:ascii="Calibri" w:hAnsi="Calibri"/>
          <w:sz w:val="22"/>
          <w:szCs w:val="22"/>
        </w:rPr>
        <w:t xml:space="preserve">of </w:t>
      </w:r>
      <w:r w:rsidR="002E7AB3">
        <w:rPr>
          <w:rFonts w:ascii="Calibri" w:hAnsi="Calibri"/>
          <w:sz w:val="22"/>
          <w:szCs w:val="22"/>
        </w:rPr>
        <w:t xml:space="preserve">federal student loans and TEACH Grant service obligations </w:t>
      </w:r>
      <w:r w:rsidRPr="008C1B66">
        <w:rPr>
          <w:rFonts w:ascii="Calibri" w:hAnsi="Calibri"/>
          <w:sz w:val="22"/>
          <w:szCs w:val="22"/>
        </w:rPr>
        <w:t>are contained in 34 CFR 685.213 for the Direct Loan Program</w:t>
      </w:r>
      <w:r>
        <w:rPr>
          <w:rFonts w:ascii="Calibri" w:hAnsi="Calibri"/>
          <w:sz w:val="22"/>
          <w:szCs w:val="22"/>
        </w:rPr>
        <w:t>,</w:t>
      </w:r>
      <w:r w:rsidRPr="008C1B66">
        <w:rPr>
          <w:rFonts w:ascii="Calibri" w:hAnsi="Calibri"/>
          <w:sz w:val="22"/>
          <w:szCs w:val="22"/>
        </w:rPr>
        <w:t xml:space="preserve"> 34 CFR 682.402(c) for the FFEL Program, 34 CFR 674.61(b) for the Perkins Loan Program</w:t>
      </w:r>
      <w:r>
        <w:rPr>
          <w:rFonts w:ascii="Calibri" w:hAnsi="Calibri"/>
          <w:sz w:val="22"/>
          <w:szCs w:val="22"/>
        </w:rPr>
        <w:t xml:space="preserve">, and 34 CFR 686.42(b) for the </w:t>
      </w:r>
      <w:r>
        <w:rPr>
          <w:rFonts w:ascii="Calibri" w:hAnsi="Calibri"/>
          <w:sz w:val="22"/>
          <w:szCs w:val="22"/>
        </w:rPr>
        <w:t>TEACH Grant Program</w:t>
      </w:r>
      <w:r w:rsidRPr="008C1B66">
        <w:rPr>
          <w:rFonts w:ascii="Calibri" w:hAnsi="Calibri"/>
          <w:sz w:val="22"/>
          <w:szCs w:val="22"/>
        </w:rPr>
        <w:t xml:space="preserve">. </w:t>
      </w:r>
      <w:r>
        <w:rPr>
          <w:rFonts w:ascii="Calibri" w:hAnsi="Calibri"/>
          <w:sz w:val="22"/>
          <w:szCs w:val="22"/>
        </w:rPr>
        <w:t xml:space="preserve">Under these regulations, </w:t>
      </w:r>
      <w:r w:rsidR="004B379C">
        <w:rPr>
          <w:rFonts w:ascii="Calibri" w:hAnsi="Calibri"/>
          <w:sz w:val="22"/>
          <w:szCs w:val="22"/>
        </w:rPr>
        <w:t xml:space="preserve">a borrower or TEACH Grant </w:t>
      </w:r>
      <w:r w:rsidR="00702D80">
        <w:rPr>
          <w:rFonts w:ascii="Calibri" w:hAnsi="Calibri"/>
          <w:sz w:val="22"/>
          <w:szCs w:val="22"/>
        </w:rPr>
        <w:t xml:space="preserve">recipient may qualify for TPD discharge based on a qualifying disability determination from the </w:t>
      </w:r>
      <w:r w:rsidR="00BA4DAC">
        <w:rPr>
          <w:rFonts w:ascii="Calibri" w:hAnsi="Calibri"/>
          <w:sz w:val="22"/>
          <w:szCs w:val="22"/>
        </w:rPr>
        <w:t>Department of Veterans Affairs (</w:t>
      </w:r>
      <w:r w:rsidR="00702D80">
        <w:rPr>
          <w:rFonts w:ascii="Calibri" w:hAnsi="Calibri"/>
          <w:sz w:val="22"/>
          <w:szCs w:val="22"/>
        </w:rPr>
        <w:t>VA</w:t>
      </w:r>
      <w:r w:rsidR="00BA4DAC">
        <w:rPr>
          <w:rFonts w:ascii="Calibri" w:hAnsi="Calibri"/>
          <w:sz w:val="22"/>
          <w:szCs w:val="22"/>
        </w:rPr>
        <w:t>)</w:t>
      </w:r>
      <w:r w:rsidR="00702D80">
        <w:rPr>
          <w:rFonts w:ascii="Calibri" w:hAnsi="Calibri"/>
          <w:sz w:val="22"/>
          <w:szCs w:val="22"/>
        </w:rPr>
        <w:t xml:space="preserve"> or the </w:t>
      </w:r>
      <w:r w:rsidR="00BA4DAC">
        <w:rPr>
          <w:rFonts w:ascii="Calibri" w:hAnsi="Calibri"/>
          <w:sz w:val="22"/>
          <w:szCs w:val="22"/>
        </w:rPr>
        <w:t>Social Security Administration (</w:t>
      </w:r>
      <w:r w:rsidR="00702D80">
        <w:rPr>
          <w:rFonts w:ascii="Calibri" w:hAnsi="Calibri"/>
          <w:sz w:val="22"/>
          <w:szCs w:val="22"/>
        </w:rPr>
        <w:t>SSA</w:t>
      </w:r>
      <w:r w:rsidR="00BA4DAC">
        <w:rPr>
          <w:rFonts w:ascii="Calibri" w:hAnsi="Calibri"/>
          <w:sz w:val="22"/>
          <w:szCs w:val="22"/>
        </w:rPr>
        <w:t>)</w:t>
      </w:r>
      <w:r w:rsidR="00702D80">
        <w:rPr>
          <w:rFonts w:ascii="Calibri" w:hAnsi="Calibri"/>
          <w:sz w:val="22"/>
          <w:szCs w:val="22"/>
        </w:rPr>
        <w:t xml:space="preserve">, or a certification </w:t>
      </w:r>
      <w:r w:rsidR="00A145E6">
        <w:rPr>
          <w:rFonts w:ascii="Calibri" w:hAnsi="Calibri"/>
          <w:sz w:val="22"/>
          <w:szCs w:val="22"/>
        </w:rPr>
        <w:t>from an authorized medical professional. Th</w:t>
      </w:r>
      <w:r w:rsidR="000B4D56">
        <w:rPr>
          <w:rFonts w:ascii="Calibri" w:hAnsi="Calibri"/>
          <w:sz w:val="22"/>
          <w:szCs w:val="22"/>
        </w:rPr>
        <w:t xml:space="preserve">e Department may discharge </w:t>
      </w:r>
      <w:r w:rsidR="00E87DE8">
        <w:rPr>
          <w:rFonts w:ascii="Calibri" w:hAnsi="Calibri"/>
          <w:sz w:val="22"/>
          <w:szCs w:val="22"/>
        </w:rPr>
        <w:t>a</w:t>
      </w:r>
      <w:r w:rsidR="002264E0">
        <w:rPr>
          <w:rFonts w:ascii="Calibri" w:hAnsi="Calibri"/>
          <w:sz w:val="22"/>
          <w:szCs w:val="22"/>
        </w:rPr>
        <w:t xml:space="preserve">n individual’s loan or TEACH Grant service obligation </w:t>
      </w:r>
      <w:r w:rsidR="0063639B">
        <w:rPr>
          <w:rFonts w:ascii="Calibri" w:hAnsi="Calibri"/>
          <w:sz w:val="22"/>
          <w:szCs w:val="22"/>
        </w:rPr>
        <w:t xml:space="preserve">without an application or additional documentation if the Department receives </w:t>
      </w:r>
      <w:r w:rsidR="002E7AB3">
        <w:rPr>
          <w:rFonts w:ascii="Calibri" w:hAnsi="Calibri"/>
          <w:sz w:val="22"/>
          <w:szCs w:val="22"/>
        </w:rPr>
        <w:t xml:space="preserve">information from the VA or the SSA indicating that the individual </w:t>
      </w:r>
      <w:r w:rsidR="00A145E6">
        <w:rPr>
          <w:rFonts w:ascii="Calibri" w:hAnsi="Calibri"/>
          <w:sz w:val="22"/>
          <w:szCs w:val="22"/>
        </w:rPr>
        <w:t xml:space="preserve">meets the </w:t>
      </w:r>
      <w:r w:rsidR="00880CC1">
        <w:rPr>
          <w:rFonts w:ascii="Calibri" w:hAnsi="Calibri"/>
          <w:sz w:val="22"/>
          <w:szCs w:val="22"/>
        </w:rPr>
        <w:t xml:space="preserve">regulatory eligibility requirements for TPD discharge. A borrower </w:t>
      </w:r>
      <w:r w:rsidR="00751DF8">
        <w:rPr>
          <w:rFonts w:ascii="Calibri" w:hAnsi="Calibri"/>
          <w:sz w:val="22"/>
          <w:szCs w:val="22"/>
        </w:rPr>
        <w:t xml:space="preserve">or TEACH Grant recipient </w:t>
      </w:r>
      <w:r w:rsidR="00880CC1">
        <w:rPr>
          <w:rFonts w:ascii="Calibri" w:hAnsi="Calibri"/>
          <w:sz w:val="22"/>
          <w:szCs w:val="22"/>
        </w:rPr>
        <w:t xml:space="preserve">may also </w:t>
      </w:r>
      <w:r w:rsidR="00751DF8">
        <w:rPr>
          <w:rFonts w:ascii="Calibri" w:hAnsi="Calibri"/>
          <w:sz w:val="22"/>
          <w:szCs w:val="22"/>
        </w:rPr>
        <w:t xml:space="preserve">qualify for TPD discharge by submitting an application to the Department, accompanied by </w:t>
      </w:r>
      <w:r>
        <w:rPr>
          <w:rFonts w:ascii="Calibri" w:hAnsi="Calibri"/>
          <w:sz w:val="22"/>
          <w:szCs w:val="22"/>
        </w:rPr>
        <w:t xml:space="preserve">a certification from an authorized medical professional or documentation from the VA or SSA showing that the borrower meets the regulatory requirements for TPD discharge. The </w:t>
      </w:r>
      <w:r w:rsidRPr="00FA4233">
        <w:rPr>
          <w:rFonts w:ascii="Calibri" w:hAnsi="Calibri"/>
          <w:i/>
          <w:iCs/>
          <w:sz w:val="22"/>
          <w:szCs w:val="22"/>
        </w:rPr>
        <w:t>Discharge Application: Total and Permanent Disability</w:t>
      </w:r>
      <w:r>
        <w:rPr>
          <w:rFonts w:ascii="Calibri" w:hAnsi="Calibri"/>
          <w:sz w:val="22"/>
          <w:szCs w:val="22"/>
        </w:rPr>
        <w:t xml:space="preserve"> is used for this purpose. </w:t>
      </w:r>
    </w:p>
    <w:p w:rsidR="00BA26FC" w:rsidP="000E22FF" w14:paraId="7E38A047" w14:textId="77777777">
      <w:pPr>
        <w:spacing w:after="200" w:line="276" w:lineRule="auto"/>
        <w:ind w:left="720"/>
        <w:rPr>
          <w:rFonts w:ascii="Calibri" w:hAnsi="Calibri"/>
          <w:sz w:val="22"/>
          <w:szCs w:val="22"/>
        </w:rPr>
      </w:pPr>
      <w:r>
        <w:rPr>
          <w:rFonts w:ascii="Calibri" w:hAnsi="Calibri"/>
          <w:sz w:val="22"/>
          <w:szCs w:val="22"/>
        </w:rPr>
        <w:t xml:space="preserve">The </w:t>
      </w:r>
      <w:r w:rsidRPr="00254428">
        <w:rPr>
          <w:rFonts w:ascii="Calibri" w:hAnsi="Calibri"/>
          <w:i/>
          <w:iCs/>
          <w:sz w:val="22"/>
          <w:szCs w:val="22"/>
        </w:rPr>
        <w:t>Applicant Representative Designation: Total and Permanent Disability</w:t>
      </w:r>
      <w:r>
        <w:rPr>
          <w:rFonts w:ascii="Calibri" w:hAnsi="Calibri"/>
          <w:sz w:val="22"/>
          <w:szCs w:val="22"/>
        </w:rPr>
        <w:t xml:space="preserve"> form</w:t>
      </w:r>
      <w:r w:rsidR="003052DA">
        <w:rPr>
          <w:rFonts w:ascii="Calibri" w:hAnsi="Calibri"/>
          <w:sz w:val="22"/>
          <w:szCs w:val="22"/>
        </w:rPr>
        <w:t xml:space="preserve"> may be </w:t>
      </w:r>
      <w:r w:rsidR="00975570">
        <w:rPr>
          <w:rFonts w:ascii="Calibri" w:hAnsi="Calibri"/>
          <w:sz w:val="22"/>
          <w:szCs w:val="22"/>
        </w:rPr>
        <w:t xml:space="preserve">optionally </w:t>
      </w:r>
      <w:r w:rsidR="003052DA">
        <w:rPr>
          <w:rFonts w:ascii="Calibri" w:hAnsi="Calibri"/>
          <w:sz w:val="22"/>
          <w:szCs w:val="22"/>
        </w:rPr>
        <w:t xml:space="preserve">used </w:t>
      </w:r>
      <w:r>
        <w:rPr>
          <w:rFonts w:ascii="Calibri" w:hAnsi="Calibri"/>
          <w:sz w:val="22"/>
          <w:szCs w:val="22"/>
        </w:rPr>
        <w:t>by a TPD discharge applicant to designate a representative to act on the applicant’s behalf in connection with the discharge request</w:t>
      </w:r>
      <w:r w:rsidR="00975570">
        <w:rPr>
          <w:rFonts w:ascii="Calibri" w:hAnsi="Calibri"/>
          <w:sz w:val="22"/>
          <w:szCs w:val="22"/>
        </w:rPr>
        <w:t xml:space="preserve">, </w:t>
      </w:r>
      <w:r>
        <w:rPr>
          <w:rFonts w:ascii="Calibri" w:hAnsi="Calibri"/>
          <w:sz w:val="22"/>
          <w:szCs w:val="22"/>
        </w:rPr>
        <w:t>change a previously designated representative</w:t>
      </w:r>
      <w:r w:rsidR="00975570">
        <w:rPr>
          <w:rFonts w:ascii="Calibri" w:hAnsi="Calibri"/>
          <w:sz w:val="22"/>
          <w:szCs w:val="22"/>
        </w:rPr>
        <w:t>,</w:t>
      </w:r>
      <w:r>
        <w:rPr>
          <w:rFonts w:ascii="Calibri" w:hAnsi="Calibri"/>
          <w:sz w:val="22"/>
          <w:szCs w:val="22"/>
        </w:rPr>
        <w:t xml:space="preserve"> or revoke a previous designation of a representative. </w:t>
      </w:r>
    </w:p>
    <w:p w:rsidR="00B133A1" w:rsidP="008C1B66" w14:paraId="5D69CEEF" w14:textId="3EFC687E">
      <w:pPr>
        <w:spacing w:after="200" w:line="276" w:lineRule="auto"/>
        <w:ind w:left="720"/>
        <w:rPr>
          <w:rFonts w:ascii="Calibri" w:hAnsi="Calibri"/>
          <w:sz w:val="22"/>
          <w:szCs w:val="22"/>
        </w:rPr>
      </w:pPr>
      <w:r w:rsidRPr="008C1B66">
        <w:rPr>
          <w:rFonts w:ascii="Calibri" w:hAnsi="Calibri"/>
          <w:sz w:val="22"/>
          <w:szCs w:val="22"/>
        </w:rPr>
        <w:t>The Department is requesting a</w:t>
      </w:r>
      <w:r w:rsidR="007B5CAA">
        <w:rPr>
          <w:rFonts w:ascii="Calibri" w:hAnsi="Calibri"/>
          <w:sz w:val="22"/>
          <w:szCs w:val="22"/>
        </w:rPr>
        <w:t xml:space="preserve"> revi</w:t>
      </w:r>
      <w:r w:rsidR="00820238">
        <w:rPr>
          <w:rFonts w:ascii="Calibri" w:hAnsi="Calibri"/>
          <w:sz w:val="22"/>
          <w:szCs w:val="22"/>
        </w:rPr>
        <w:t>sion</w:t>
      </w:r>
      <w:r w:rsidRPr="008C1B66">
        <w:rPr>
          <w:rFonts w:ascii="Calibri" w:hAnsi="Calibri"/>
          <w:sz w:val="22"/>
          <w:szCs w:val="22"/>
        </w:rPr>
        <w:t xml:space="preserve"> of the currently approved collection. </w:t>
      </w:r>
      <w:r w:rsidR="00444E9D">
        <w:rPr>
          <w:rFonts w:ascii="Calibri" w:hAnsi="Calibri"/>
          <w:sz w:val="22"/>
          <w:szCs w:val="22"/>
        </w:rPr>
        <w:t xml:space="preserve">A final rule </w:t>
      </w:r>
      <w:r>
        <w:rPr>
          <w:rFonts w:ascii="Calibri" w:hAnsi="Calibri"/>
          <w:sz w:val="22"/>
          <w:szCs w:val="22"/>
        </w:rPr>
        <w:t>published on November 1, 2022 (</w:t>
      </w:r>
      <w:r w:rsidR="004C59BD">
        <w:rPr>
          <w:rFonts w:ascii="Calibri" w:hAnsi="Calibri"/>
          <w:sz w:val="22"/>
          <w:szCs w:val="22"/>
        </w:rPr>
        <w:t xml:space="preserve">87 FR </w:t>
      </w:r>
      <w:r w:rsidR="00E4474B">
        <w:rPr>
          <w:rFonts w:ascii="Calibri" w:hAnsi="Calibri"/>
          <w:sz w:val="22"/>
          <w:szCs w:val="22"/>
        </w:rPr>
        <w:t xml:space="preserve">65904) made </w:t>
      </w:r>
      <w:r w:rsidR="00D73FBA">
        <w:rPr>
          <w:rFonts w:ascii="Calibri" w:hAnsi="Calibri"/>
          <w:sz w:val="22"/>
          <w:szCs w:val="22"/>
        </w:rPr>
        <w:t xml:space="preserve">the following </w:t>
      </w:r>
      <w:r w:rsidR="00444E9D">
        <w:rPr>
          <w:rFonts w:ascii="Calibri" w:hAnsi="Calibri"/>
          <w:sz w:val="22"/>
          <w:szCs w:val="22"/>
        </w:rPr>
        <w:t>changes to the TPD discharge regulations</w:t>
      </w:r>
      <w:r w:rsidR="00B52D84">
        <w:rPr>
          <w:rFonts w:ascii="Calibri" w:hAnsi="Calibri"/>
          <w:sz w:val="22"/>
          <w:szCs w:val="22"/>
        </w:rPr>
        <w:t>:</w:t>
      </w:r>
    </w:p>
    <w:p w:rsidR="00B52D84" w:rsidP="00B52D84" w14:paraId="3F348C81"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Expan</w:t>
      </w:r>
      <w:r w:rsidR="00DC44F9">
        <w:rPr>
          <w:rFonts w:ascii="Calibri" w:hAnsi="Calibri"/>
          <w:sz w:val="22"/>
          <w:szCs w:val="22"/>
        </w:rPr>
        <w:t xml:space="preserve">sion of </w:t>
      </w:r>
      <w:r>
        <w:rPr>
          <w:rFonts w:ascii="Calibri" w:hAnsi="Calibri"/>
          <w:sz w:val="22"/>
          <w:szCs w:val="22"/>
        </w:rPr>
        <w:t>the types of SSA disability determinatio</w:t>
      </w:r>
      <w:r w:rsidR="00B93E24">
        <w:rPr>
          <w:rFonts w:ascii="Calibri" w:hAnsi="Calibri"/>
          <w:sz w:val="22"/>
          <w:szCs w:val="22"/>
        </w:rPr>
        <w:t>ns</w:t>
      </w:r>
      <w:r>
        <w:rPr>
          <w:rFonts w:ascii="Calibri" w:hAnsi="Calibri"/>
          <w:sz w:val="22"/>
          <w:szCs w:val="22"/>
        </w:rPr>
        <w:t xml:space="preserve"> that qualify a borrower or TEACH Grant recipient for TPD discharge;</w:t>
      </w:r>
    </w:p>
    <w:p w:rsidR="00B52D84" w:rsidP="00B52D84" w14:paraId="5DFEF6FF"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 xml:space="preserve">Elimination of the </w:t>
      </w:r>
      <w:r w:rsidR="00802559">
        <w:rPr>
          <w:rFonts w:ascii="Calibri" w:hAnsi="Calibri"/>
          <w:sz w:val="22"/>
          <w:szCs w:val="22"/>
        </w:rPr>
        <w:t xml:space="preserve">requirement for borrowers </w:t>
      </w:r>
      <w:r w:rsidR="00D73FBA">
        <w:rPr>
          <w:rFonts w:ascii="Calibri" w:hAnsi="Calibri"/>
          <w:sz w:val="22"/>
          <w:szCs w:val="22"/>
        </w:rPr>
        <w:t>who receive TPD discharges based on SSA determinations or a physician’s certification to provide documentation of their annual earnings from employment during the 3-year post-discharge monitoring period; and</w:t>
      </w:r>
    </w:p>
    <w:p w:rsidR="00D73FBA" w:rsidP="00B52D84" w14:paraId="19566F14"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Expansion of the categories of medical professionals who may certify an individual’s TPD discharge application.</w:t>
      </w:r>
    </w:p>
    <w:p w:rsidR="007B5CAA" w:rsidRPr="007B5CAA" w:rsidP="007B5CAA" w14:paraId="00B7E32C" w14:textId="7F11D53D">
      <w:pPr>
        <w:spacing w:after="200" w:line="276" w:lineRule="auto"/>
        <w:ind w:left="720"/>
        <w:rPr>
          <w:rFonts w:asciiTheme="minorHAnsi" w:hAnsiTheme="minorHAnsi" w:cstheme="minorHAnsi"/>
          <w:sz w:val="22"/>
          <w:szCs w:val="22"/>
        </w:rPr>
      </w:pPr>
      <w:r w:rsidRPr="007B5CAA">
        <w:rPr>
          <w:rFonts w:asciiTheme="minorHAnsi" w:hAnsiTheme="minorHAnsi" w:cstheme="minorHAnsi"/>
          <w:sz w:val="22"/>
          <w:szCs w:val="22"/>
        </w:rPr>
        <w:t xml:space="preserve">We have revised the </w:t>
      </w:r>
      <w:r w:rsidRPr="007B5CAA">
        <w:rPr>
          <w:rFonts w:asciiTheme="minorHAnsi" w:hAnsiTheme="minorHAnsi" w:cstheme="minorHAnsi"/>
          <w:i/>
          <w:iCs/>
          <w:sz w:val="22"/>
          <w:szCs w:val="22"/>
        </w:rPr>
        <w:t>Discharge Application: Total and Permanent Disability</w:t>
      </w:r>
      <w:r w:rsidRPr="007B5CAA">
        <w:rPr>
          <w:rFonts w:asciiTheme="minorHAnsi" w:hAnsiTheme="minorHAnsi" w:cstheme="minorHAnsi"/>
          <w:sz w:val="22"/>
          <w:szCs w:val="22"/>
        </w:rPr>
        <w:t xml:space="preserve"> to reflect the regulatory changes described above.  Based on public comment and internal review, we have reorganized the form for clarity and ease of use, as well as updating the Privacy Act Statement. </w:t>
      </w:r>
    </w:p>
    <w:p w:rsidR="007B5CAA" w:rsidP="007B5CAA" w14:paraId="2992CDA0" w14:textId="43479B92">
      <w:pPr>
        <w:pStyle w:val="ListParagraph"/>
        <w:spacing w:after="200" w:line="276" w:lineRule="auto"/>
        <w:rPr>
          <w:rFonts w:asciiTheme="minorHAnsi" w:hAnsiTheme="minorHAnsi" w:cstheme="minorHAnsi"/>
          <w:sz w:val="22"/>
          <w:szCs w:val="22"/>
        </w:rPr>
      </w:pPr>
      <w:r w:rsidRPr="007B5CAA">
        <w:rPr>
          <w:rFonts w:asciiTheme="minorHAnsi" w:hAnsiTheme="minorHAnsi" w:cstheme="minorHAnsi"/>
          <w:sz w:val="22"/>
          <w:szCs w:val="22"/>
        </w:rPr>
        <w:t xml:space="preserve">We have also updated the Privacy Act Statement on the </w:t>
      </w:r>
      <w:r w:rsidRPr="007B5CAA">
        <w:rPr>
          <w:rFonts w:asciiTheme="minorHAnsi" w:hAnsiTheme="minorHAnsi" w:cstheme="minorHAnsi"/>
          <w:i/>
          <w:iCs/>
          <w:sz w:val="22"/>
          <w:szCs w:val="22"/>
        </w:rPr>
        <w:t>Applicant Representative Designation: Total and Permanent Disability</w:t>
      </w:r>
      <w:r w:rsidRPr="007B5CAA">
        <w:rPr>
          <w:rFonts w:asciiTheme="minorHAnsi" w:hAnsiTheme="minorHAnsi" w:cstheme="minorHAnsi"/>
          <w:sz w:val="22"/>
          <w:szCs w:val="22"/>
        </w:rPr>
        <w:t xml:space="preserve"> form.</w:t>
      </w:r>
    </w:p>
    <w:p w:rsidR="007B5CAA" w:rsidRPr="007B5CAA" w:rsidP="007B5CAA" w14:paraId="2D280323" w14:textId="77777777">
      <w:pPr>
        <w:pStyle w:val="ListParagraph"/>
        <w:spacing w:after="200" w:line="276" w:lineRule="auto"/>
        <w:rPr>
          <w:rFonts w:asciiTheme="minorHAnsi" w:hAnsiTheme="minorHAnsi" w:cstheme="minorHAnsi"/>
          <w:sz w:val="22"/>
          <w:szCs w:val="22"/>
        </w:rPr>
      </w:pPr>
    </w:p>
    <w:p w:rsidR="00AD381B" w:rsidRPr="00E622CD" w:rsidP="00E622CD" w14:paraId="3C1D359B" w14:textId="77777777">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3F1C67" w:rsidP="003F1C67" w14:paraId="479E5140" w14:textId="77777777">
      <w:pPr>
        <w:spacing w:after="200" w:line="276" w:lineRule="auto"/>
        <w:ind w:left="720"/>
        <w:rPr>
          <w:rFonts w:ascii="Calibri" w:hAnsi="Calibri"/>
          <w:sz w:val="22"/>
          <w:szCs w:val="22"/>
        </w:rPr>
      </w:pPr>
      <w:r w:rsidRPr="004D1978">
        <w:rPr>
          <w:rFonts w:ascii="Calibri" w:hAnsi="Calibri"/>
          <w:sz w:val="22"/>
          <w:szCs w:val="22"/>
        </w:rPr>
        <w:t xml:space="preserve">The information collected on </w:t>
      </w:r>
      <w:r>
        <w:rPr>
          <w:rFonts w:ascii="Calibri" w:hAnsi="Calibri"/>
          <w:sz w:val="22"/>
          <w:szCs w:val="22"/>
        </w:rPr>
        <w:t xml:space="preserve">the </w:t>
      </w:r>
      <w:r w:rsidRPr="00FA4233">
        <w:rPr>
          <w:rFonts w:ascii="Calibri" w:hAnsi="Calibri"/>
          <w:i/>
          <w:iCs/>
          <w:sz w:val="22"/>
          <w:szCs w:val="22"/>
        </w:rPr>
        <w:t>Discharge Application: Total and Permanent Disability</w:t>
      </w:r>
      <w:r w:rsidRPr="004D1978">
        <w:rPr>
          <w:rFonts w:ascii="Calibri" w:hAnsi="Calibri"/>
          <w:sz w:val="22"/>
          <w:szCs w:val="22"/>
        </w:rPr>
        <w:t xml:space="preserve"> has been used by the Department to determine whether a borrower </w:t>
      </w:r>
      <w:r>
        <w:rPr>
          <w:rFonts w:ascii="Calibri" w:hAnsi="Calibri"/>
          <w:sz w:val="22"/>
          <w:szCs w:val="22"/>
        </w:rPr>
        <w:t xml:space="preserve">or TEACH Grant recipient </w:t>
      </w:r>
      <w:r w:rsidRPr="004D1978">
        <w:rPr>
          <w:rFonts w:ascii="Calibri" w:hAnsi="Calibri"/>
          <w:sz w:val="22"/>
          <w:szCs w:val="22"/>
        </w:rPr>
        <w:t xml:space="preserve">meets the eligibility criteria for a total and permanent disability discharge of </w:t>
      </w:r>
      <w:r>
        <w:rPr>
          <w:rFonts w:ascii="Calibri" w:hAnsi="Calibri"/>
          <w:sz w:val="22"/>
          <w:szCs w:val="22"/>
        </w:rPr>
        <w:t xml:space="preserve">their </w:t>
      </w:r>
      <w:r w:rsidRPr="004D1978">
        <w:rPr>
          <w:rFonts w:ascii="Calibri" w:hAnsi="Calibri"/>
          <w:sz w:val="22"/>
          <w:szCs w:val="22"/>
        </w:rPr>
        <w:t>loan</w:t>
      </w:r>
      <w:r>
        <w:rPr>
          <w:rFonts w:ascii="Calibri" w:hAnsi="Calibri"/>
          <w:sz w:val="22"/>
          <w:szCs w:val="22"/>
        </w:rPr>
        <w:t>s or TEACH Grant service obligation</w:t>
      </w:r>
      <w:r w:rsidRPr="004D1978">
        <w:rPr>
          <w:rFonts w:ascii="Calibri" w:hAnsi="Calibri"/>
          <w:sz w:val="22"/>
          <w:szCs w:val="22"/>
        </w:rPr>
        <w:t xml:space="preserve">, and it will continue to be used for this purpose.  </w:t>
      </w:r>
    </w:p>
    <w:p w:rsidR="003F1C67" w:rsidRPr="004D1978" w:rsidP="003F1C67" w14:paraId="1F9FEB34" w14:textId="77777777">
      <w:pPr>
        <w:spacing w:after="200" w:line="276" w:lineRule="auto"/>
        <w:ind w:left="720"/>
        <w:rPr>
          <w:rFonts w:ascii="Calibri" w:hAnsi="Calibri"/>
          <w:sz w:val="22"/>
          <w:szCs w:val="22"/>
        </w:rPr>
      </w:pPr>
      <w:r>
        <w:rPr>
          <w:rFonts w:ascii="Calibri" w:hAnsi="Calibri"/>
          <w:sz w:val="22"/>
          <w:szCs w:val="22"/>
        </w:rPr>
        <w:t xml:space="preserve">The </w:t>
      </w:r>
      <w:r w:rsidRPr="00254428" w:rsidR="00802F03">
        <w:rPr>
          <w:rFonts w:ascii="Calibri" w:hAnsi="Calibri"/>
          <w:i/>
          <w:iCs/>
          <w:sz w:val="22"/>
          <w:szCs w:val="22"/>
        </w:rPr>
        <w:t>Applicant Representative Designation: Total and Permanent Disability</w:t>
      </w:r>
      <w:r w:rsidR="00802F03">
        <w:rPr>
          <w:rFonts w:ascii="Calibri" w:hAnsi="Calibri"/>
          <w:sz w:val="22"/>
          <w:szCs w:val="22"/>
        </w:rPr>
        <w:t xml:space="preserve"> form </w:t>
      </w:r>
      <w:r w:rsidR="00601CD6">
        <w:rPr>
          <w:rFonts w:ascii="Calibri" w:hAnsi="Calibri"/>
          <w:sz w:val="22"/>
          <w:szCs w:val="22"/>
        </w:rPr>
        <w:t xml:space="preserve">has been optionally used by TPD discharge applicants for the purposes described in Item 1, and it will continue to be used for those purposes. </w:t>
      </w:r>
    </w:p>
    <w:p w:rsidR="00043C32" w:rsidRPr="00E622CD" w:rsidP="00E622CD" w14:paraId="550EF365"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1E13B9" w:rsidP="001E13B9" w14:paraId="399C4ACD" w14:textId="77777777">
      <w:pPr>
        <w:spacing w:after="200" w:line="276" w:lineRule="auto"/>
        <w:ind w:left="720"/>
        <w:rPr>
          <w:rFonts w:ascii="Calibri" w:hAnsi="Calibri"/>
          <w:sz w:val="22"/>
          <w:szCs w:val="22"/>
        </w:rPr>
      </w:pPr>
      <w:r>
        <w:rPr>
          <w:rFonts w:ascii="Calibri" w:hAnsi="Calibri"/>
          <w:sz w:val="22"/>
          <w:szCs w:val="22"/>
        </w:rPr>
        <w:t xml:space="preserve">The </w:t>
      </w:r>
      <w:r w:rsidRPr="00FA4233">
        <w:rPr>
          <w:rFonts w:ascii="Calibri" w:hAnsi="Calibri"/>
          <w:i/>
          <w:iCs/>
          <w:sz w:val="22"/>
          <w:szCs w:val="22"/>
        </w:rPr>
        <w:t>Discharge Application: Total and Permanent Disability</w:t>
      </w:r>
      <w:r w:rsidRPr="004D1978">
        <w:rPr>
          <w:rFonts w:ascii="Calibri" w:hAnsi="Calibri"/>
          <w:sz w:val="22"/>
          <w:szCs w:val="22"/>
        </w:rPr>
        <w:t xml:space="preserve"> does not involve the use of technological processes such as electronic submission of responses. </w:t>
      </w:r>
      <w:r>
        <w:rPr>
          <w:rFonts w:ascii="Calibri" w:hAnsi="Calibri"/>
          <w:sz w:val="22"/>
          <w:szCs w:val="22"/>
        </w:rPr>
        <w:t>This form</w:t>
      </w:r>
      <w:r w:rsidRPr="004D1978">
        <w:rPr>
          <w:rFonts w:ascii="Calibri" w:hAnsi="Calibri"/>
          <w:sz w:val="22"/>
          <w:szCs w:val="22"/>
        </w:rPr>
        <w:t xml:space="preserve"> requires a signature from both the discharge applicant and</w:t>
      </w:r>
      <w:r>
        <w:rPr>
          <w:rFonts w:ascii="Calibri" w:hAnsi="Calibri"/>
          <w:sz w:val="22"/>
          <w:szCs w:val="22"/>
        </w:rPr>
        <w:t>, if applicable,</w:t>
      </w:r>
      <w:r w:rsidRPr="004D1978">
        <w:rPr>
          <w:rFonts w:ascii="Calibri" w:hAnsi="Calibri"/>
          <w:sz w:val="22"/>
          <w:szCs w:val="22"/>
        </w:rPr>
        <w:t xml:space="preserve"> the </w:t>
      </w:r>
      <w:r>
        <w:rPr>
          <w:rFonts w:ascii="Calibri" w:hAnsi="Calibri"/>
          <w:sz w:val="22"/>
          <w:szCs w:val="22"/>
        </w:rPr>
        <w:t xml:space="preserve">authorized medical professional </w:t>
      </w:r>
      <w:r w:rsidRPr="004D1978">
        <w:rPr>
          <w:rFonts w:ascii="Calibri" w:hAnsi="Calibri"/>
          <w:sz w:val="22"/>
          <w:szCs w:val="22"/>
        </w:rPr>
        <w:t xml:space="preserve">who certifies the applicant’s disability. In addition, the </w:t>
      </w:r>
      <w:r>
        <w:rPr>
          <w:rFonts w:ascii="Calibri" w:hAnsi="Calibri"/>
          <w:sz w:val="22"/>
          <w:szCs w:val="22"/>
        </w:rPr>
        <w:t>medical professional</w:t>
      </w:r>
      <w:r w:rsidRPr="004D1978">
        <w:rPr>
          <w:rFonts w:ascii="Calibri" w:hAnsi="Calibri"/>
          <w:sz w:val="22"/>
          <w:szCs w:val="22"/>
        </w:rPr>
        <w:t xml:space="preserve"> must provide additional information (sometimes including attached documentation) related to the applicant’s disabling condition. The United States Postal Service, or some other mail delivery service, provides the only currently feasible means for borrowers and TEACH Grant recipients to return the completed discharge application and any supporting documents. </w:t>
      </w:r>
      <w:r w:rsidR="00B23D9B">
        <w:rPr>
          <w:rFonts w:ascii="Calibri" w:hAnsi="Calibri"/>
          <w:sz w:val="22"/>
          <w:szCs w:val="22"/>
        </w:rPr>
        <w:t>However, t</w:t>
      </w:r>
      <w:r>
        <w:rPr>
          <w:rFonts w:ascii="Calibri" w:hAnsi="Calibri"/>
          <w:sz w:val="22"/>
          <w:szCs w:val="22"/>
        </w:rPr>
        <w:t xml:space="preserve">he Department will explore options for allowing electronic completion and submission of the </w:t>
      </w:r>
      <w:r w:rsidRPr="00254428" w:rsidR="00B23D9B">
        <w:rPr>
          <w:rFonts w:ascii="Calibri" w:hAnsi="Calibri"/>
          <w:i/>
          <w:iCs/>
          <w:sz w:val="22"/>
          <w:szCs w:val="22"/>
        </w:rPr>
        <w:t>Applicant Representative Designation: Total and Permanent Disability</w:t>
      </w:r>
      <w:r w:rsidR="00B23D9B">
        <w:rPr>
          <w:rFonts w:ascii="Calibri" w:hAnsi="Calibri"/>
          <w:sz w:val="22"/>
          <w:szCs w:val="22"/>
        </w:rPr>
        <w:t xml:space="preserve"> form</w:t>
      </w:r>
      <w:r>
        <w:rPr>
          <w:rFonts w:ascii="Calibri" w:hAnsi="Calibri"/>
          <w:sz w:val="22"/>
          <w:szCs w:val="22"/>
        </w:rPr>
        <w:t>.</w:t>
      </w:r>
    </w:p>
    <w:p w:rsidR="00266BEA" w:rsidP="001E13B9" w14:paraId="3BEE5D89" w14:textId="77777777">
      <w:pPr>
        <w:spacing w:after="200" w:line="276" w:lineRule="auto"/>
        <w:ind w:left="720"/>
        <w:rPr>
          <w:rFonts w:ascii="Calibri" w:hAnsi="Calibri"/>
          <w:sz w:val="22"/>
          <w:szCs w:val="22"/>
        </w:rPr>
      </w:pPr>
      <w:r>
        <w:rPr>
          <w:rFonts w:ascii="Calibri" w:hAnsi="Calibri"/>
          <w:sz w:val="22"/>
          <w:szCs w:val="22"/>
        </w:rPr>
        <w:t xml:space="preserve">To </w:t>
      </w:r>
      <w:r w:rsidR="00D4165B">
        <w:rPr>
          <w:rFonts w:ascii="Calibri" w:hAnsi="Calibri"/>
          <w:sz w:val="22"/>
          <w:szCs w:val="22"/>
        </w:rPr>
        <w:t xml:space="preserve">significantly </w:t>
      </w:r>
      <w:r>
        <w:rPr>
          <w:rFonts w:ascii="Calibri" w:hAnsi="Calibri"/>
          <w:sz w:val="22"/>
          <w:szCs w:val="22"/>
        </w:rPr>
        <w:t xml:space="preserve">reduce burden on discharge recipients, the Department has worked with the </w:t>
      </w:r>
      <w:r w:rsidR="00B23D9B">
        <w:rPr>
          <w:rFonts w:ascii="Calibri" w:hAnsi="Calibri"/>
          <w:sz w:val="22"/>
          <w:szCs w:val="22"/>
        </w:rPr>
        <w:t xml:space="preserve">VA and the </w:t>
      </w:r>
      <w:r>
        <w:rPr>
          <w:rFonts w:ascii="Calibri" w:hAnsi="Calibri"/>
          <w:sz w:val="22"/>
          <w:szCs w:val="22"/>
        </w:rPr>
        <w:t>SSA to establish process</w:t>
      </w:r>
      <w:r w:rsidR="00B23D9B">
        <w:rPr>
          <w:rFonts w:ascii="Calibri" w:hAnsi="Calibri"/>
          <w:sz w:val="22"/>
          <w:szCs w:val="22"/>
        </w:rPr>
        <w:t>es</w:t>
      </w:r>
      <w:r>
        <w:rPr>
          <w:rFonts w:ascii="Calibri" w:hAnsi="Calibri"/>
          <w:sz w:val="22"/>
          <w:szCs w:val="22"/>
        </w:rPr>
        <w:t xml:space="preserve"> that provide for the Department to identify, through electronic exchange</w:t>
      </w:r>
      <w:r w:rsidR="00B23D9B">
        <w:rPr>
          <w:rFonts w:ascii="Calibri" w:hAnsi="Calibri"/>
          <w:sz w:val="22"/>
          <w:szCs w:val="22"/>
        </w:rPr>
        <w:t>s</w:t>
      </w:r>
      <w:r>
        <w:rPr>
          <w:rFonts w:ascii="Calibri" w:hAnsi="Calibri"/>
          <w:sz w:val="22"/>
          <w:szCs w:val="22"/>
        </w:rPr>
        <w:t xml:space="preserve"> of information, Direct Loan, FFEL, and Perkins Loan program borrowers and TEACH Grant recipients who have received </w:t>
      </w:r>
      <w:r w:rsidR="006B3FF7">
        <w:rPr>
          <w:rFonts w:ascii="Calibri" w:hAnsi="Calibri"/>
          <w:sz w:val="22"/>
          <w:szCs w:val="22"/>
        </w:rPr>
        <w:t xml:space="preserve">VA or </w:t>
      </w:r>
      <w:r>
        <w:rPr>
          <w:rFonts w:ascii="Calibri" w:hAnsi="Calibri"/>
          <w:sz w:val="22"/>
          <w:szCs w:val="22"/>
        </w:rPr>
        <w:t xml:space="preserve">SSA </w:t>
      </w:r>
      <w:r w:rsidR="006B3FF7">
        <w:rPr>
          <w:rFonts w:ascii="Calibri" w:hAnsi="Calibri"/>
          <w:sz w:val="22"/>
          <w:szCs w:val="22"/>
        </w:rPr>
        <w:t xml:space="preserve">disability determinations that </w:t>
      </w:r>
      <w:r w:rsidR="00CA3479">
        <w:rPr>
          <w:rFonts w:ascii="Calibri" w:hAnsi="Calibri"/>
          <w:sz w:val="22"/>
          <w:szCs w:val="22"/>
        </w:rPr>
        <w:t xml:space="preserve">qualify these indivdiuals for TPD discharge under the Department’s regulations. </w:t>
      </w:r>
      <w:r>
        <w:rPr>
          <w:rFonts w:ascii="Calibri" w:hAnsi="Calibri"/>
          <w:sz w:val="22"/>
          <w:szCs w:val="22"/>
        </w:rPr>
        <w:t xml:space="preserve">Once these individuals have been identified, they </w:t>
      </w:r>
      <w:r w:rsidR="0015572E">
        <w:rPr>
          <w:rFonts w:ascii="Calibri" w:hAnsi="Calibri"/>
          <w:sz w:val="22"/>
          <w:szCs w:val="22"/>
        </w:rPr>
        <w:t xml:space="preserve">are sent a letter </w:t>
      </w:r>
      <w:r w:rsidR="00ED6A06">
        <w:rPr>
          <w:rFonts w:ascii="Calibri" w:hAnsi="Calibri"/>
          <w:sz w:val="22"/>
          <w:szCs w:val="22"/>
        </w:rPr>
        <w:t xml:space="preserve">informing them that their loans and/or TEACH Grant service obligations will be automatically discharged, unless the </w:t>
      </w:r>
      <w:r w:rsidR="00C63578">
        <w:rPr>
          <w:rFonts w:ascii="Calibri" w:hAnsi="Calibri"/>
          <w:sz w:val="22"/>
          <w:szCs w:val="22"/>
        </w:rPr>
        <w:t>borrower or grant recipient notifies the Department by a date specified in the letter that they do no</w:t>
      </w:r>
      <w:r w:rsidR="00422F6D">
        <w:rPr>
          <w:rFonts w:ascii="Calibri" w:hAnsi="Calibri"/>
          <w:sz w:val="22"/>
          <w:szCs w:val="22"/>
        </w:rPr>
        <w:t>t</w:t>
      </w:r>
      <w:r w:rsidR="00C63578">
        <w:rPr>
          <w:rFonts w:ascii="Calibri" w:hAnsi="Calibri"/>
          <w:sz w:val="22"/>
          <w:szCs w:val="22"/>
        </w:rPr>
        <w:t xml:space="preserve"> wish to receive the automatic TPD discharge. </w:t>
      </w:r>
      <w:r w:rsidR="009068E6">
        <w:rPr>
          <w:rFonts w:ascii="Calibri" w:hAnsi="Calibri"/>
          <w:sz w:val="22"/>
          <w:szCs w:val="22"/>
        </w:rPr>
        <w:t xml:space="preserve">Through this process, individuals who qualify for TPD discharge based on a VA or SSA disability determination may </w:t>
      </w:r>
      <w:r w:rsidR="00F26291">
        <w:rPr>
          <w:rFonts w:ascii="Calibri" w:hAnsi="Calibri"/>
          <w:sz w:val="22"/>
          <w:szCs w:val="22"/>
        </w:rPr>
        <w:t xml:space="preserve">receive discharges </w:t>
      </w:r>
      <w:r w:rsidR="00A71DA7">
        <w:rPr>
          <w:rFonts w:ascii="Calibri" w:hAnsi="Calibri"/>
          <w:sz w:val="22"/>
          <w:szCs w:val="22"/>
        </w:rPr>
        <w:t xml:space="preserve">without having to submit an application or any other documentation. </w:t>
      </w:r>
      <w:r w:rsidR="00422F6D">
        <w:rPr>
          <w:rFonts w:ascii="Calibri" w:hAnsi="Calibri"/>
          <w:sz w:val="22"/>
          <w:szCs w:val="22"/>
        </w:rPr>
        <w:t>T</w:t>
      </w:r>
      <w:r>
        <w:rPr>
          <w:rFonts w:ascii="Calibri" w:hAnsi="Calibri"/>
          <w:sz w:val="22"/>
          <w:szCs w:val="22"/>
        </w:rPr>
        <w:t xml:space="preserve">he </w:t>
      </w:r>
      <w:r w:rsidRPr="00FA4233">
        <w:rPr>
          <w:rFonts w:ascii="Calibri" w:hAnsi="Calibri"/>
          <w:i/>
          <w:iCs/>
          <w:sz w:val="22"/>
          <w:szCs w:val="22"/>
        </w:rPr>
        <w:t>Discharge Application: Total and Permanent Disability</w:t>
      </w:r>
      <w:r>
        <w:rPr>
          <w:rFonts w:ascii="Calibri" w:hAnsi="Calibri"/>
          <w:sz w:val="22"/>
          <w:szCs w:val="22"/>
        </w:rPr>
        <w:t xml:space="preserve"> is available </w:t>
      </w:r>
      <w:r w:rsidR="00422F6D">
        <w:rPr>
          <w:rFonts w:ascii="Calibri" w:hAnsi="Calibri"/>
          <w:sz w:val="22"/>
          <w:szCs w:val="22"/>
        </w:rPr>
        <w:t xml:space="preserve">as an alternative option </w:t>
      </w:r>
      <w:r>
        <w:rPr>
          <w:rFonts w:ascii="Calibri" w:hAnsi="Calibri"/>
          <w:sz w:val="22"/>
          <w:szCs w:val="22"/>
        </w:rPr>
        <w:t xml:space="preserve">for those who </w:t>
      </w:r>
      <w:r w:rsidR="0045668B">
        <w:rPr>
          <w:rFonts w:ascii="Calibri" w:hAnsi="Calibri"/>
          <w:sz w:val="22"/>
          <w:szCs w:val="22"/>
        </w:rPr>
        <w:t xml:space="preserve">do not have a qualifying VA or SSA disability determination, but who may qualify based on an authorized medical professional’s certification, or for those who </w:t>
      </w:r>
      <w:r w:rsidR="008A2C38">
        <w:rPr>
          <w:rFonts w:ascii="Calibri" w:hAnsi="Calibri"/>
          <w:sz w:val="22"/>
          <w:szCs w:val="22"/>
        </w:rPr>
        <w:t xml:space="preserve">do not wish to participate in the automatic TPD discharge process above. </w:t>
      </w:r>
    </w:p>
    <w:p w:rsidR="00AD381B" w:rsidRPr="00E622CD" w:rsidP="00E622CD" w14:paraId="42871A0D"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00422F6D" w14:paraId="53FF30ED" w14:textId="77777777">
      <w:pPr>
        <w:pStyle w:val="ListParagraph"/>
        <w:tabs>
          <w:tab w:val="left" w:pos="0"/>
        </w:tabs>
        <w:suppressAutoHyphens/>
        <w:spacing w:after="120" w:line="276" w:lineRule="auto"/>
        <w:contextualSpacing w:val="0"/>
        <w:rPr>
          <w:rFonts w:asciiTheme="minorHAnsi" w:hAnsiTheme="minorHAnsi" w:cstheme="minorHAnsi"/>
          <w:sz w:val="22"/>
          <w:szCs w:val="22"/>
        </w:rPr>
      </w:pPr>
      <w:r w:rsidRPr="004D1978">
        <w:rPr>
          <w:rFonts w:ascii="Calibri" w:hAnsi="Calibri"/>
          <w:sz w:val="22"/>
          <w:szCs w:val="22"/>
        </w:rPr>
        <w:t>A review of procedures indicates that current r</w:t>
      </w:r>
      <w:r>
        <w:rPr>
          <w:rFonts w:ascii="Calibri" w:hAnsi="Calibri"/>
          <w:sz w:val="22"/>
          <w:szCs w:val="22"/>
        </w:rPr>
        <w:t>equirements avoid duplication. Except as explained in Item 3 for borrowers who qualify for discharge based on a VA or SSA disability determination, t</w:t>
      </w:r>
      <w:r w:rsidRPr="004D1978">
        <w:rPr>
          <w:rFonts w:ascii="Calibri" w:hAnsi="Calibri"/>
          <w:sz w:val="22"/>
          <w:szCs w:val="22"/>
        </w:rPr>
        <w:t>here is no information available from other sources that can be used to determine a borrower’s or TEACH Grant recipient’s eligibility for a total and permanent disability discharge.</w:t>
      </w:r>
    </w:p>
    <w:p w:rsidR="00043C32" w:rsidRPr="00E622CD" w:rsidP="00E622CD" w14:paraId="0004C387"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51CDB3D6"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small businesses are affected by this information collection.</w:t>
      </w:r>
    </w:p>
    <w:p w:rsidR="00043C32" w:rsidRPr="00E622CD" w:rsidP="00E622CD" w14:paraId="5B78EF82"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EF4C67" w:rsidRPr="00E622CD" w:rsidP="00E622CD" w14:paraId="498942F7" w14:textId="77777777">
      <w:pPr>
        <w:pStyle w:val="BodyTextIndent"/>
        <w:spacing w:after="120" w:line="276" w:lineRule="auto"/>
        <w:rPr>
          <w:rFonts w:asciiTheme="minorHAnsi" w:hAnsiTheme="minorHAnsi" w:cstheme="minorHAnsi"/>
          <w:sz w:val="22"/>
          <w:szCs w:val="22"/>
        </w:rPr>
      </w:pPr>
      <w:r w:rsidRPr="004D1978">
        <w:rPr>
          <w:rFonts w:ascii="Calibri" w:hAnsi="Calibri"/>
          <w:sz w:val="22"/>
          <w:szCs w:val="22"/>
        </w:rPr>
        <w:t xml:space="preserve">If a borrower or TEACH Grant recipient </w:t>
      </w:r>
      <w:r w:rsidR="000251EB">
        <w:rPr>
          <w:rFonts w:ascii="Calibri" w:hAnsi="Calibri"/>
          <w:sz w:val="22"/>
          <w:szCs w:val="22"/>
        </w:rPr>
        <w:t xml:space="preserve">who is </w:t>
      </w:r>
      <w:r w:rsidR="00D80EA5">
        <w:rPr>
          <w:rFonts w:ascii="Calibri" w:hAnsi="Calibri"/>
          <w:sz w:val="22"/>
          <w:szCs w:val="22"/>
        </w:rPr>
        <w:t xml:space="preserve">unable to qualify for TPD discharge through the automatic discharge process described in Item 3 </w:t>
      </w:r>
      <w:r w:rsidRPr="004D1978">
        <w:rPr>
          <w:rFonts w:ascii="Calibri" w:hAnsi="Calibri"/>
          <w:sz w:val="22"/>
          <w:szCs w:val="22"/>
        </w:rPr>
        <w:t xml:space="preserve">did not complete </w:t>
      </w:r>
      <w:r>
        <w:rPr>
          <w:rFonts w:ascii="Calibri" w:hAnsi="Calibri"/>
          <w:sz w:val="22"/>
          <w:szCs w:val="22"/>
        </w:rPr>
        <w:t>the</w:t>
      </w:r>
      <w:r w:rsidRPr="004D1978">
        <w:rPr>
          <w:rFonts w:ascii="Calibri" w:hAnsi="Calibri"/>
          <w:sz w:val="22"/>
          <w:szCs w:val="22"/>
        </w:rPr>
        <w:t xml:space="preserve"> </w:t>
      </w:r>
      <w:r w:rsidRPr="00FA4233" w:rsidR="00537F1A">
        <w:rPr>
          <w:rFonts w:ascii="Calibri" w:hAnsi="Calibri"/>
          <w:i/>
          <w:iCs/>
          <w:sz w:val="22"/>
          <w:szCs w:val="22"/>
        </w:rPr>
        <w:t>Discharge Application: Total and Permanent Disability</w:t>
      </w:r>
      <w:r w:rsidRPr="004D1978">
        <w:rPr>
          <w:rFonts w:ascii="Calibri" w:hAnsi="Calibri"/>
          <w:sz w:val="22"/>
          <w:szCs w:val="22"/>
        </w:rPr>
        <w:t xml:space="preserve">, the Department would not have the information needed to determine whether the individual meets the eligibility requirements for a total and permanent disability discharge. A borrower or TEACH Grant recipient will be required to complete </w:t>
      </w:r>
      <w:r w:rsidR="00D60680">
        <w:rPr>
          <w:rFonts w:ascii="Calibri" w:hAnsi="Calibri"/>
          <w:sz w:val="22"/>
          <w:szCs w:val="22"/>
        </w:rPr>
        <w:t>the a</w:t>
      </w:r>
      <w:r w:rsidRPr="004D1978">
        <w:rPr>
          <w:rFonts w:ascii="Calibri" w:hAnsi="Calibri"/>
          <w:sz w:val="22"/>
          <w:szCs w:val="22"/>
        </w:rPr>
        <w:t>pplication only one time</w:t>
      </w:r>
      <w:r w:rsidR="00D60680">
        <w:rPr>
          <w:rFonts w:ascii="Calibri" w:hAnsi="Calibri"/>
          <w:sz w:val="22"/>
          <w:szCs w:val="22"/>
        </w:rPr>
        <w:t xml:space="preserve"> to receive a TPD discharge of all of the borrower’s </w:t>
      </w:r>
      <w:r w:rsidR="009C2D00">
        <w:rPr>
          <w:rFonts w:ascii="Calibri" w:hAnsi="Calibri"/>
          <w:sz w:val="22"/>
          <w:szCs w:val="22"/>
        </w:rPr>
        <w:t xml:space="preserve">loans and/or TEACH Grant service obligations. </w:t>
      </w:r>
    </w:p>
    <w:p w:rsidR="00043C32" w:rsidRPr="00E622CD" w:rsidP="00E622CD" w14:paraId="31DAD76C"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33870DF8"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information to the agency more often than quarterly;</w:t>
      </w:r>
    </w:p>
    <w:p w:rsidR="00043C32" w:rsidRPr="00E622CD" w:rsidP="00E622CD" w14:paraId="5F2FC4B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469AE10C"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document;</w:t>
      </w:r>
    </w:p>
    <w:p w:rsidR="00043C32" w:rsidRPr="00E622CD" w:rsidP="00E622CD" w14:paraId="3EB85C28"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41B4395B"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622CD" w:rsidP="00E622CD" w14:paraId="3A093532"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0E4A908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5D97BBA6"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2106AE04"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collection of this information will be conducted in a manner that does not involve any of the above conditions.</w:t>
      </w:r>
    </w:p>
    <w:p w:rsidR="00D75313" w:rsidRPr="00E622CD" w:rsidP="00E622CD" w14:paraId="184E99B6"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622CD" w:rsidP="00E622CD" w14:paraId="1A6B8ED2"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2B52CE81"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For the 30 day notice, indicate that a notice will be published.</w:t>
      </w:r>
    </w:p>
    <w:p w:rsidR="00043C32" w:rsidRPr="00E622CD" w:rsidP="00E622CD" w14:paraId="22C8F7E4"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12DAB52E"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24447" w:rsidP="00EB4D32" w14:paraId="01FDFE7E" w14:textId="77777777">
      <w:pPr>
        <w:spacing w:after="120" w:line="276" w:lineRule="auto"/>
        <w:ind w:left="720"/>
        <w:rPr>
          <w:rFonts w:asciiTheme="minorHAnsi" w:hAnsiTheme="minorHAnsi" w:cstheme="minorHAnsi"/>
          <w:sz w:val="22"/>
          <w:szCs w:val="22"/>
        </w:rPr>
      </w:pPr>
      <w:r w:rsidRPr="006E742B">
        <w:rPr>
          <w:rFonts w:asciiTheme="minorHAnsi" w:hAnsiTheme="minorHAnsi" w:cstheme="minorHAnsi"/>
          <w:sz w:val="22"/>
          <w:szCs w:val="22"/>
        </w:rPr>
        <w:t xml:space="preserve">On July 10, 2023, a notice was published in the Federal Register (Vol. 88, No. 130, page 43556) inviting public comment on the </w:t>
      </w:r>
      <w:r w:rsidRPr="006E742B">
        <w:rPr>
          <w:rFonts w:ascii="Calibri" w:hAnsi="Calibri"/>
          <w:i/>
          <w:iCs/>
          <w:sz w:val="22"/>
          <w:szCs w:val="22"/>
        </w:rPr>
        <w:t>Discharge Application: Total and Permanent Disability</w:t>
      </w:r>
      <w:r w:rsidRPr="006E742B">
        <w:rPr>
          <w:rFonts w:asciiTheme="minorHAnsi" w:hAnsiTheme="minorHAnsi" w:cstheme="minorHAnsi"/>
          <w:sz w:val="22"/>
          <w:szCs w:val="22"/>
        </w:rPr>
        <w:t xml:space="preserve">. No comments were received on the </w:t>
      </w:r>
      <w:r w:rsidRPr="006E742B">
        <w:rPr>
          <w:rFonts w:ascii="Calibri" w:hAnsi="Calibri"/>
          <w:i/>
          <w:iCs/>
          <w:sz w:val="22"/>
          <w:szCs w:val="22"/>
        </w:rPr>
        <w:t>Applicant Representative Designation: Total and Permanent Disability</w:t>
      </w:r>
      <w:r w:rsidRPr="006E742B">
        <w:rPr>
          <w:rFonts w:ascii="Calibri" w:hAnsi="Calibri"/>
          <w:sz w:val="22"/>
          <w:szCs w:val="22"/>
        </w:rPr>
        <w:t xml:space="preserve"> form</w:t>
      </w:r>
      <w:r w:rsidRPr="006E742B">
        <w:rPr>
          <w:rFonts w:asciiTheme="minorHAnsi" w:hAnsiTheme="minorHAnsi" w:cstheme="minorHAnsi"/>
          <w:sz w:val="22"/>
          <w:szCs w:val="22"/>
        </w:rPr>
        <w:t xml:space="preserve">. In response to these comments, we have significantly reorganized the content of the application and have made minor changes to text throughout the form for greater clarity. </w:t>
      </w:r>
      <w:r>
        <w:rPr>
          <w:rFonts w:asciiTheme="minorHAnsi" w:hAnsiTheme="minorHAnsi" w:cstheme="minorHAnsi"/>
          <w:sz w:val="22"/>
          <w:szCs w:val="22"/>
        </w:rPr>
        <w:t xml:space="preserve">Based on internal review, we have also revised the Privacy Act Statement in both forms. </w:t>
      </w:r>
    </w:p>
    <w:p w:rsidR="006E742B" w:rsidP="00EB4D32" w14:paraId="06F4E170" w14:textId="0818C958">
      <w:pPr>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A summary of the comments received and the Department’s responses to those comments is included with this submission. </w:t>
      </w:r>
      <w:r w:rsidR="00EB4D32">
        <w:rPr>
          <w:rFonts w:asciiTheme="minorHAnsi" w:hAnsiTheme="minorHAnsi" w:cstheme="minorHAnsi"/>
          <w:sz w:val="22"/>
          <w:szCs w:val="22"/>
        </w:rPr>
        <w:t>The changes to the form do not affect the burden estimate associated with th</w:t>
      </w:r>
      <w:r w:rsidR="00324447">
        <w:rPr>
          <w:rFonts w:asciiTheme="minorHAnsi" w:hAnsiTheme="minorHAnsi" w:cstheme="minorHAnsi"/>
          <w:sz w:val="22"/>
          <w:szCs w:val="22"/>
        </w:rPr>
        <w:t>e</w:t>
      </w:r>
      <w:r w:rsidR="00EB4D32">
        <w:rPr>
          <w:rFonts w:asciiTheme="minorHAnsi" w:hAnsiTheme="minorHAnsi" w:cstheme="minorHAnsi"/>
          <w:sz w:val="22"/>
          <w:szCs w:val="22"/>
        </w:rPr>
        <w:t xml:space="preserve"> collection. </w:t>
      </w:r>
    </w:p>
    <w:p w:rsidR="00324447" w:rsidP="00EB4D32" w14:paraId="39F0F6D5" w14:textId="4838E704">
      <w:pPr>
        <w:spacing w:after="120" w:line="276" w:lineRule="auto"/>
        <w:ind w:left="720"/>
        <w:rPr>
          <w:rFonts w:asciiTheme="minorHAnsi" w:hAnsiTheme="minorHAnsi" w:cstheme="minorHAnsi"/>
          <w:sz w:val="22"/>
          <w:szCs w:val="22"/>
        </w:rPr>
      </w:pPr>
      <w:r w:rsidRPr="006E742B">
        <w:rPr>
          <w:rFonts w:asciiTheme="minorHAnsi" w:hAnsiTheme="minorHAnsi" w:cstheme="minorHAnsi"/>
          <w:sz w:val="22"/>
          <w:szCs w:val="22"/>
        </w:rPr>
        <w:t>The Department is now requesting the 30 day public comment period</w:t>
      </w:r>
      <w:r>
        <w:rPr>
          <w:rFonts w:asciiTheme="minorHAnsi" w:hAnsiTheme="minorHAnsi" w:cstheme="minorHAnsi"/>
          <w:sz w:val="22"/>
          <w:szCs w:val="22"/>
        </w:rPr>
        <w:t>.</w:t>
      </w:r>
    </w:p>
    <w:p w:rsidR="00043C32" w:rsidRPr="00E622CD" w:rsidP="00E622CD" w14:paraId="7E34CD4C"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4AB4EA86"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payments or gifts will be provided to respondents.</w:t>
      </w:r>
    </w:p>
    <w:p w:rsidR="00043C32" w:rsidRPr="00E622CD" w:rsidP="00E622CD" w14:paraId="1995F1B8"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2866EDEC"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Each form includes a Privacy Act Notice that (1) informs the discharge applicant of the statutory authority for the information collection, (2) explains that disclosure of the information is voluntary, but is required in order to determine the applicant’s eligibility for a discharge, and (3) identifies the third parties to whom the information may be disclosed, and explains the circumstances under which such disclosures may occur.</w:t>
      </w:r>
      <w:r w:rsidR="00AE2E95">
        <w:rPr>
          <w:rFonts w:asciiTheme="minorHAnsi" w:hAnsiTheme="minorHAnsi" w:cstheme="minorHAnsi"/>
          <w:sz w:val="22"/>
          <w:szCs w:val="22"/>
        </w:rPr>
        <w:t xml:space="preserve">  </w:t>
      </w:r>
    </w:p>
    <w:p w:rsidR="00043C32" w:rsidRPr="00E622CD" w:rsidP="00E622CD" w14:paraId="0FC2348E"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C67" w:rsidRPr="00E622CD" w:rsidP="00E622CD" w14:paraId="2866D972" w14:textId="77777777">
      <w:pPr>
        <w:tabs>
          <w:tab w:val="left" w:pos="0"/>
        </w:tabs>
        <w:suppressAutoHyphens/>
        <w:spacing w:after="120" w:line="276" w:lineRule="auto"/>
        <w:ind w:left="720"/>
        <w:rPr>
          <w:rFonts w:asciiTheme="minorHAnsi" w:hAnsiTheme="minorHAnsi" w:cstheme="minorHAnsi"/>
          <w:sz w:val="22"/>
          <w:szCs w:val="22"/>
        </w:rPr>
      </w:pPr>
      <w:r w:rsidRPr="004D1978">
        <w:rPr>
          <w:rFonts w:ascii="Calibri" w:hAnsi="Calibri"/>
          <w:sz w:val="22"/>
          <w:szCs w:val="22"/>
        </w:rPr>
        <w:t xml:space="preserve">The </w:t>
      </w:r>
      <w:r w:rsidRPr="00FA4233">
        <w:rPr>
          <w:rFonts w:ascii="Calibri" w:hAnsi="Calibri"/>
          <w:i/>
          <w:iCs/>
          <w:sz w:val="22"/>
          <w:szCs w:val="22"/>
        </w:rPr>
        <w:t>Discharge Application: Total and Permanent Disability</w:t>
      </w:r>
      <w:r w:rsidRPr="004D1978">
        <w:rPr>
          <w:rFonts w:ascii="Calibri" w:hAnsi="Calibri"/>
          <w:sz w:val="22"/>
          <w:szCs w:val="22"/>
        </w:rPr>
        <w:t xml:space="preserve"> requires the </w:t>
      </w:r>
      <w:r>
        <w:rPr>
          <w:rFonts w:ascii="Calibri" w:hAnsi="Calibri"/>
          <w:sz w:val="22"/>
          <w:szCs w:val="22"/>
        </w:rPr>
        <w:t xml:space="preserve">authorized medical professional </w:t>
      </w:r>
      <w:r w:rsidRPr="004D1978">
        <w:rPr>
          <w:rFonts w:ascii="Calibri" w:hAnsi="Calibri"/>
          <w:sz w:val="22"/>
          <w:szCs w:val="22"/>
        </w:rPr>
        <w:t xml:space="preserve">who </w:t>
      </w:r>
      <w:r w:rsidR="00102B1A">
        <w:rPr>
          <w:rFonts w:ascii="Calibri" w:hAnsi="Calibri"/>
          <w:sz w:val="22"/>
          <w:szCs w:val="22"/>
        </w:rPr>
        <w:t xml:space="preserve">certifies the applicant’s eligibility for discharge </w:t>
      </w:r>
      <w:r>
        <w:rPr>
          <w:rFonts w:ascii="Calibri" w:hAnsi="Calibri"/>
          <w:sz w:val="22"/>
          <w:szCs w:val="22"/>
        </w:rPr>
        <w:t xml:space="preserve">(if required) </w:t>
      </w:r>
      <w:r w:rsidRPr="004D1978">
        <w:rPr>
          <w:rFonts w:ascii="Calibri" w:hAnsi="Calibri"/>
          <w:sz w:val="22"/>
          <w:szCs w:val="22"/>
        </w:rPr>
        <w:t xml:space="preserve">to provide information about the applicant’s disabling condition. This information may be considered sensitive, but it is needed for the Department to determine whether a borrower or TEACH Grant recipient meets the </w:t>
      </w:r>
      <w:r w:rsidR="00102B1A">
        <w:rPr>
          <w:rFonts w:ascii="Calibri" w:hAnsi="Calibri"/>
          <w:sz w:val="22"/>
          <w:szCs w:val="22"/>
        </w:rPr>
        <w:t xml:space="preserve">TPD discharge eligibility requirements. </w:t>
      </w:r>
    </w:p>
    <w:p w:rsidR="00043C32" w:rsidRPr="00E622CD" w:rsidP="00E622CD" w14:paraId="0CB0A430"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6F977AA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E622CD" w:rsidP="00E622CD" w14:paraId="214897B5"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78F0C228"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E622CD" w:rsidP="00E622CD" w14:paraId="47557CB4"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359DEF1E"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9204AB" w:rsidRPr="009204AB" w:rsidP="009204AB" w14:paraId="06EB10B1" w14:textId="77777777">
      <w:pPr>
        <w:pStyle w:val="ListParagraph"/>
        <w:spacing w:after="200" w:line="276" w:lineRule="auto"/>
        <w:ind w:left="1170"/>
        <w:rPr>
          <w:rFonts w:ascii="Calibri" w:hAnsi="Calibri"/>
          <w:sz w:val="22"/>
          <w:szCs w:val="22"/>
        </w:rPr>
      </w:pPr>
      <w:r w:rsidRPr="009204AB">
        <w:rPr>
          <w:rFonts w:ascii="Calibri" w:hAnsi="Calibri"/>
          <w:sz w:val="22"/>
          <w:szCs w:val="22"/>
        </w:rPr>
        <w:t xml:space="preserve">The total estimated annual reporting hour burden for this information collection is approximately </w:t>
      </w:r>
      <w:r w:rsidR="00A05E55">
        <w:rPr>
          <w:rFonts w:ascii="Calibri" w:hAnsi="Calibri"/>
          <w:sz w:val="22"/>
          <w:szCs w:val="22"/>
        </w:rPr>
        <w:t>30,814</w:t>
      </w:r>
      <w:r w:rsidRPr="009204AB">
        <w:rPr>
          <w:rFonts w:ascii="Calibri" w:hAnsi="Calibri"/>
          <w:sz w:val="22"/>
          <w:szCs w:val="22"/>
        </w:rPr>
        <w:t xml:space="preserve">. </w:t>
      </w:r>
      <w:r w:rsidR="00623AE4">
        <w:rPr>
          <w:rFonts w:ascii="Calibri" w:hAnsi="Calibri"/>
          <w:sz w:val="22"/>
          <w:szCs w:val="22"/>
        </w:rPr>
        <w:t xml:space="preserve">These hours </w:t>
      </w:r>
      <w:r w:rsidR="00A05E55">
        <w:rPr>
          <w:rFonts w:ascii="Calibri" w:hAnsi="Calibri"/>
          <w:sz w:val="22"/>
          <w:szCs w:val="22"/>
        </w:rPr>
        <w:t>include</w:t>
      </w:r>
      <w:r w:rsidR="00623AE4">
        <w:rPr>
          <w:rFonts w:ascii="Calibri" w:hAnsi="Calibri"/>
          <w:sz w:val="22"/>
          <w:szCs w:val="22"/>
        </w:rPr>
        <w:t xml:space="preserve"> the removal of the</w:t>
      </w:r>
      <w:r w:rsidR="00A05E55">
        <w:rPr>
          <w:rFonts w:ascii="Calibri" w:hAnsi="Calibri"/>
          <w:sz w:val="22"/>
          <w:szCs w:val="22"/>
        </w:rPr>
        <w:t>160,000</w:t>
      </w:r>
      <w:r w:rsidR="00623AE4">
        <w:rPr>
          <w:rFonts w:ascii="Calibri" w:hAnsi="Calibri"/>
          <w:sz w:val="22"/>
          <w:szCs w:val="22"/>
        </w:rPr>
        <w:t xml:space="preserve"> burden</w:t>
      </w:r>
      <w:r w:rsidR="00A05E55">
        <w:rPr>
          <w:rFonts w:ascii="Calibri" w:hAnsi="Calibri"/>
          <w:sz w:val="22"/>
          <w:szCs w:val="22"/>
        </w:rPr>
        <w:t xml:space="preserve"> hours</w:t>
      </w:r>
      <w:r w:rsidR="00623AE4">
        <w:rPr>
          <w:rFonts w:ascii="Calibri" w:hAnsi="Calibri"/>
          <w:sz w:val="22"/>
          <w:szCs w:val="22"/>
        </w:rPr>
        <w:t xml:space="preserve"> for the </w:t>
      </w:r>
      <w:r w:rsidRPr="00DA5F5F" w:rsidR="00623AE4">
        <w:rPr>
          <w:rFonts w:ascii="Calibri" w:hAnsi="Calibri"/>
          <w:i/>
          <w:iCs/>
          <w:sz w:val="22"/>
          <w:szCs w:val="22"/>
        </w:rPr>
        <w:t>Post-Discharge Monitoring: Total and Permanent Disability</w:t>
      </w:r>
      <w:r w:rsidR="00623AE4">
        <w:rPr>
          <w:rFonts w:ascii="Calibri" w:hAnsi="Calibri"/>
          <w:sz w:val="22"/>
          <w:szCs w:val="22"/>
        </w:rPr>
        <w:t xml:space="preserve"> form that was included with previous submissions for this collection.  </w:t>
      </w:r>
      <w:r w:rsidRPr="009204AB">
        <w:rPr>
          <w:rFonts w:ascii="Calibri" w:hAnsi="Calibri"/>
          <w:sz w:val="22"/>
          <w:szCs w:val="22"/>
        </w:rPr>
        <w:t>The burden estimate for this collection was calculated as follows:</w:t>
      </w:r>
    </w:p>
    <w:tbl>
      <w:tblPr>
        <w:tblStyle w:val="TableGrid"/>
        <w:tblW w:w="0" w:type="auto"/>
        <w:tblLook w:val="04A0"/>
      </w:tblPr>
      <w:tblGrid>
        <w:gridCol w:w="4685"/>
        <w:gridCol w:w="4665"/>
      </w:tblGrid>
      <w:tr w14:paraId="751AA518" w14:textId="77777777" w:rsidTr="00FC78AF">
        <w:tblPrEx>
          <w:tblW w:w="0" w:type="auto"/>
          <w:tblLook w:val="04A0"/>
        </w:tblPrEx>
        <w:tc>
          <w:tcPr>
            <w:tcW w:w="4685" w:type="dxa"/>
          </w:tcPr>
          <w:p w:rsidR="009204AB" w:rsidRPr="00432541" w:rsidP="00592E9E" w14:paraId="02EC1206" w14:textId="77777777">
            <w:pPr>
              <w:pStyle w:val="Footer"/>
              <w:spacing w:after="200" w:line="276" w:lineRule="auto"/>
              <w:rPr>
                <w:rFonts w:ascii="Calibri" w:hAnsi="Calibri"/>
                <w:b/>
                <w:sz w:val="22"/>
                <w:szCs w:val="22"/>
              </w:rPr>
            </w:pPr>
            <w:r w:rsidRPr="00432541">
              <w:rPr>
                <w:rFonts w:ascii="Calibri" w:hAnsi="Calibri"/>
                <w:b/>
                <w:sz w:val="22"/>
                <w:szCs w:val="22"/>
              </w:rPr>
              <w:t>Discharge Application</w:t>
            </w:r>
          </w:p>
        </w:tc>
        <w:tc>
          <w:tcPr>
            <w:tcW w:w="4665" w:type="dxa"/>
          </w:tcPr>
          <w:p w:rsidR="009204AB" w:rsidP="00592E9E" w14:paraId="357C1ABD" w14:textId="77777777">
            <w:pPr>
              <w:pStyle w:val="Footer"/>
              <w:spacing w:after="200" w:line="276" w:lineRule="auto"/>
              <w:rPr>
                <w:rFonts w:ascii="Calibri" w:hAnsi="Calibri"/>
                <w:sz w:val="22"/>
                <w:szCs w:val="22"/>
              </w:rPr>
            </w:pPr>
          </w:p>
        </w:tc>
      </w:tr>
      <w:tr w14:paraId="6FB5C23F" w14:textId="77777777" w:rsidTr="00FC78AF">
        <w:tblPrEx>
          <w:tblW w:w="0" w:type="auto"/>
          <w:tblLook w:val="04A0"/>
        </w:tblPrEx>
        <w:tc>
          <w:tcPr>
            <w:tcW w:w="4685" w:type="dxa"/>
          </w:tcPr>
          <w:p w:rsidR="009204AB" w:rsidP="00592E9E" w14:paraId="1A3C71CC" w14:textId="77777777">
            <w:pPr>
              <w:pStyle w:val="Footer"/>
              <w:spacing w:after="200" w:line="276" w:lineRule="auto"/>
              <w:rPr>
                <w:rFonts w:ascii="Calibri" w:hAnsi="Calibri"/>
                <w:sz w:val="22"/>
                <w:szCs w:val="22"/>
              </w:rPr>
            </w:pPr>
            <w:r>
              <w:rPr>
                <w:rFonts w:ascii="Calibri" w:hAnsi="Calibri"/>
                <w:sz w:val="22"/>
                <w:szCs w:val="22"/>
              </w:rPr>
              <w:t>Estimated annual number of respondents:</w:t>
            </w:r>
          </w:p>
        </w:tc>
        <w:tc>
          <w:tcPr>
            <w:tcW w:w="4665" w:type="dxa"/>
          </w:tcPr>
          <w:p w:rsidR="009204AB" w:rsidP="00592E9E" w14:paraId="1BE65E20" w14:textId="77777777">
            <w:pPr>
              <w:pStyle w:val="Footer"/>
              <w:spacing w:after="200" w:line="276" w:lineRule="auto"/>
              <w:jc w:val="right"/>
              <w:rPr>
                <w:rFonts w:ascii="Calibri" w:hAnsi="Calibri"/>
                <w:sz w:val="22"/>
                <w:szCs w:val="22"/>
              </w:rPr>
            </w:pPr>
            <w:r>
              <w:rPr>
                <w:rFonts w:ascii="Calibri" w:hAnsi="Calibri"/>
                <w:sz w:val="22"/>
                <w:szCs w:val="22"/>
              </w:rPr>
              <w:t>53</w:t>
            </w:r>
            <w:r w:rsidR="00E00B08">
              <w:rPr>
                <w:rFonts w:ascii="Calibri" w:hAnsi="Calibri"/>
                <w:sz w:val="22"/>
                <w:szCs w:val="22"/>
              </w:rPr>
              <w:t>,</w:t>
            </w:r>
            <w:r w:rsidR="00BE0594">
              <w:rPr>
                <w:rFonts w:ascii="Calibri" w:hAnsi="Calibri"/>
                <w:sz w:val="22"/>
                <w:szCs w:val="22"/>
              </w:rPr>
              <w:t>229</w:t>
            </w:r>
          </w:p>
        </w:tc>
      </w:tr>
      <w:tr w14:paraId="3D1C83DB" w14:textId="77777777" w:rsidTr="00FC78AF">
        <w:tblPrEx>
          <w:tblW w:w="0" w:type="auto"/>
          <w:tblLook w:val="04A0"/>
        </w:tblPrEx>
        <w:tc>
          <w:tcPr>
            <w:tcW w:w="4685" w:type="dxa"/>
          </w:tcPr>
          <w:p w:rsidR="009204AB" w:rsidP="00592E9E" w14:paraId="2AE9D5D0" w14:textId="77777777">
            <w:pPr>
              <w:pStyle w:val="Footer"/>
              <w:spacing w:after="200" w:line="276" w:lineRule="auto"/>
              <w:rPr>
                <w:rFonts w:ascii="Calibri" w:hAnsi="Calibri"/>
                <w:sz w:val="22"/>
                <w:szCs w:val="22"/>
              </w:rPr>
            </w:pPr>
            <w:r>
              <w:rPr>
                <w:rFonts w:ascii="Calibri" w:hAnsi="Calibri"/>
                <w:sz w:val="22"/>
                <w:szCs w:val="22"/>
              </w:rPr>
              <w:t>Number of responses per applicant:</w:t>
            </w:r>
          </w:p>
        </w:tc>
        <w:tc>
          <w:tcPr>
            <w:tcW w:w="4665" w:type="dxa"/>
          </w:tcPr>
          <w:p w:rsidR="009204AB" w:rsidP="00592E9E" w14:paraId="67BC47D4" w14:textId="77777777">
            <w:pPr>
              <w:pStyle w:val="Footer"/>
              <w:spacing w:after="200" w:line="276" w:lineRule="auto"/>
              <w:jc w:val="right"/>
              <w:rPr>
                <w:rFonts w:ascii="Calibri" w:hAnsi="Calibri"/>
                <w:sz w:val="22"/>
                <w:szCs w:val="22"/>
              </w:rPr>
            </w:pPr>
            <w:r>
              <w:rPr>
                <w:rFonts w:ascii="Calibri" w:hAnsi="Calibri"/>
                <w:sz w:val="22"/>
                <w:szCs w:val="22"/>
              </w:rPr>
              <w:t>x  1</w:t>
            </w:r>
          </w:p>
        </w:tc>
      </w:tr>
      <w:tr w14:paraId="36601B3D" w14:textId="77777777" w:rsidTr="00FC78AF">
        <w:tblPrEx>
          <w:tblW w:w="0" w:type="auto"/>
          <w:tblLook w:val="04A0"/>
        </w:tblPrEx>
        <w:tc>
          <w:tcPr>
            <w:tcW w:w="4685" w:type="dxa"/>
          </w:tcPr>
          <w:p w:rsidR="009204AB" w:rsidP="00592E9E" w14:paraId="09FB3B5C" w14:textId="77777777">
            <w:pPr>
              <w:pStyle w:val="Footer"/>
              <w:spacing w:after="200" w:line="276" w:lineRule="auto"/>
              <w:rPr>
                <w:rFonts w:ascii="Calibri" w:hAnsi="Calibri"/>
                <w:sz w:val="22"/>
                <w:szCs w:val="22"/>
              </w:rPr>
            </w:pPr>
            <w:r>
              <w:rPr>
                <w:rFonts w:ascii="Calibri" w:hAnsi="Calibri"/>
                <w:sz w:val="22"/>
                <w:szCs w:val="22"/>
              </w:rPr>
              <w:t>Hours per response:</w:t>
            </w:r>
          </w:p>
        </w:tc>
        <w:tc>
          <w:tcPr>
            <w:tcW w:w="4665" w:type="dxa"/>
          </w:tcPr>
          <w:p w:rsidR="009204AB" w:rsidRPr="00B43C23" w:rsidP="00592E9E" w14:paraId="0620E0E3" w14:textId="77777777">
            <w:pPr>
              <w:pStyle w:val="Footer"/>
              <w:spacing w:after="200" w:line="276" w:lineRule="auto"/>
              <w:jc w:val="right"/>
              <w:rPr>
                <w:rFonts w:ascii="Calibri" w:hAnsi="Calibri"/>
                <w:sz w:val="22"/>
                <w:szCs w:val="22"/>
                <w:u w:val="single"/>
              </w:rPr>
            </w:pPr>
            <w:r w:rsidRPr="00B43C23">
              <w:rPr>
                <w:rFonts w:ascii="Calibri" w:hAnsi="Calibri"/>
                <w:sz w:val="22"/>
                <w:szCs w:val="22"/>
                <w:u w:val="single"/>
              </w:rPr>
              <w:t>x  0.5 (30 minutes)</w:t>
            </w:r>
          </w:p>
        </w:tc>
      </w:tr>
      <w:tr w14:paraId="1182C43B" w14:textId="77777777" w:rsidTr="00FC78AF">
        <w:tblPrEx>
          <w:tblW w:w="0" w:type="auto"/>
          <w:tblLook w:val="04A0"/>
        </w:tblPrEx>
        <w:tc>
          <w:tcPr>
            <w:tcW w:w="4685" w:type="dxa"/>
          </w:tcPr>
          <w:p w:rsidR="009204AB" w:rsidP="00592E9E" w14:paraId="2001C489" w14:textId="77777777">
            <w:pPr>
              <w:pStyle w:val="Footer"/>
              <w:spacing w:after="200" w:line="276" w:lineRule="auto"/>
              <w:rPr>
                <w:rFonts w:ascii="Calibri" w:hAnsi="Calibri"/>
                <w:sz w:val="22"/>
                <w:szCs w:val="22"/>
              </w:rPr>
            </w:pPr>
            <w:r>
              <w:rPr>
                <w:rFonts w:ascii="Calibri" w:hAnsi="Calibri"/>
                <w:sz w:val="22"/>
                <w:szCs w:val="22"/>
              </w:rPr>
              <w:t>Annual hour burden:</w:t>
            </w:r>
          </w:p>
        </w:tc>
        <w:tc>
          <w:tcPr>
            <w:tcW w:w="4665" w:type="dxa"/>
          </w:tcPr>
          <w:p w:rsidR="009204AB" w:rsidP="00592E9E" w14:paraId="7EDD7948" w14:textId="77777777">
            <w:pPr>
              <w:pStyle w:val="Footer"/>
              <w:spacing w:after="200" w:line="276" w:lineRule="auto"/>
              <w:jc w:val="right"/>
              <w:rPr>
                <w:rFonts w:ascii="Calibri" w:hAnsi="Calibri"/>
                <w:sz w:val="22"/>
                <w:szCs w:val="22"/>
              </w:rPr>
            </w:pPr>
            <w:r>
              <w:rPr>
                <w:rFonts w:ascii="Calibri" w:hAnsi="Calibri"/>
                <w:sz w:val="22"/>
                <w:szCs w:val="22"/>
              </w:rPr>
              <w:t>26,</w:t>
            </w:r>
            <w:r w:rsidR="006E36B6">
              <w:rPr>
                <w:rFonts w:ascii="Calibri" w:hAnsi="Calibri"/>
                <w:sz w:val="22"/>
                <w:szCs w:val="22"/>
              </w:rPr>
              <w:t>614</w:t>
            </w:r>
            <w:r w:rsidRPr="00226FBB">
              <w:rPr>
                <w:rFonts w:ascii="Calibri" w:hAnsi="Calibri"/>
                <w:sz w:val="22"/>
                <w:szCs w:val="22"/>
              </w:rPr>
              <w:t xml:space="preserve"> hou</w:t>
            </w:r>
            <w:r w:rsidRPr="00C85226">
              <w:rPr>
                <w:rFonts w:ascii="Calibri" w:hAnsi="Calibri"/>
                <w:sz w:val="22"/>
                <w:szCs w:val="22"/>
              </w:rPr>
              <w:t>rs</w:t>
            </w:r>
          </w:p>
        </w:tc>
      </w:tr>
      <w:tr w14:paraId="326F3594" w14:textId="77777777" w:rsidTr="00FC78AF">
        <w:tblPrEx>
          <w:tblW w:w="0" w:type="auto"/>
          <w:tblLook w:val="04A0"/>
        </w:tblPrEx>
        <w:tc>
          <w:tcPr>
            <w:tcW w:w="4685" w:type="dxa"/>
          </w:tcPr>
          <w:p w:rsidR="009204AB" w:rsidP="00592E9E" w14:paraId="60AED5B0" w14:textId="77777777">
            <w:pPr>
              <w:pStyle w:val="Footer"/>
              <w:spacing w:after="200" w:line="276" w:lineRule="auto"/>
              <w:rPr>
                <w:rFonts w:ascii="Calibri" w:hAnsi="Calibri"/>
                <w:sz w:val="22"/>
                <w:szCs w:val="22"/>
              </w:rPr>
            </w:pPr>
          </w:p>
        </w:tc>
        <w:tc>
          <w:tcPr>
            <w:tcW w:w="4665" w:type="dxa"/>
          </w:tcPr>
          <w:p w:rsidR="009204AB" w:rsidP="00592E9E" w14:paraId="2E489B01" w14:textId="77777777">
            <w:pPr>
              <w:pStyle w:val="Footer"/>
              <w:spacing w:after="200" w:line="276" w:lineRule="auto"/>
              <w:rPr>
                <w:rFonts w:ascii="Calibri" w:hAnsi="Calibri"/>
                <w:sz w:val="22"/>
                <w:szCs w:val="22"/>
              </w:rPr>
            </w:pPr>
          </w:p>
        </w:tc>
      </w:tr>
      <w:tr w14:paraId="18234259" w14:textId="77777777" w:rsidTr="00FC78AF">
        <w:tblPrEx>
          <w:tblW w:w="0" w:type="auto"/>
          <w:tblLook w:val="04A0"/>
        </w:tblPrEx>
        <w:tc>
          <w:tcPr>
            <w:tcW w:w="4685" w:type="dxa"/>
          </w:tcPr>
          <w:p w:rsidR="009204AB" w:rsidRPr="000852A4" w:rsidP="00592E9E" w14:paraId="6F673BCA" w14:textId="77777777">
            <w:pPr>
              <w:pStyle w:val="Footer"/>
              <w:spacing w:after="200" w:line="276" w:lineRule="auto"/>
              <w:rPr>
                <w:rFonts w:ascii="Calibri" w:hAnsi="Calibri"/>
                <w:b/>
                <w:sz w:val="22"/>
                <w:szCs w:val="22"/>
              </w:rPr>
            </w:pPr>
            <w:r w:rsidRPr="000852A4">
              <w:rPr>
                <w:rFonts w:ascii="Calibri" w:hAnsi="Calibri"/>
                <w:b/>
                <w:sz w:val="22"/>
                <w:szCs w:val="22"/>
              </w:rPr>
              <w:t>Applicant Representative Designation</w:t>
            </w:r>
            <w:r>
              <w:rPr>
                <w:rFonts w:ascii="Calibri" w:hAnsi="Calibri"/>
                <w:b/>
                <w:sz w:val="22"/>
                <w:szCs w:val="22"/>
              </w:rPr>
              <w:t xml:space="preserve"> Form</w:t>
            </w:r>
          </w:p>
        </w:tc>
        <w:tc>
          <w:tcPr>
            <w:tcW w:w="4665" w:type="dxa"/>
          </w:tcPr>
          <w:p w:rsidR="009204AB" w:rsidP="00592E9E" w14:paraId="666DAA18" w14:textId="77777777">
            <w:pPr>
              <w:pStyle w:val="Footer"/>
              <w:spacing w:after="200" w:line="276" w:lineRule="auto"/>
              <w:jc w:val="right"/>
              <w:rPr>
                <w:rFonts w:ascii="Calibri" w:hAnsi="Calibri"/>
                <w:sz w:val="22"/>
                <w:szCs w:val="22"/>
              </w:rPr>
            </w:pPr>
          </w:p>
        </w:tc>
      </w:tr>
      <w:tr w14:paraId="34A39FB4" w14:textId="77777777" w:rsidTr="00FC78AF">
        <w:tblPrEx>
          <w:tblW w:w="0" w:type="auto"/>
          <w:tblLook w:val="04A0"/>
        </w:tblPrEx>
        <w:tc>
          <w:tcPr>
            <w:tcW w:w="4685" w:type="dxa"/>
          </w:tcPr>
          <w:p w:rsidR="009204AB" w:rsidP="00592E9E" w14:paraId="1BB50BD4" w14:textId="77777777">
            <w:pPr>
              <w:pStyle w:val="Footer"/>
              <w:spacing w:after="200" w:line="276" w:lineRule="auto"/>
              <w:rPr>
                <w:rFonts w:ascii="Calibri" w:hAnsi="Calibri"/>
                <w:sz w:val="22"/>
                <w:szCs w:val="22"/>
              </w:rPr>
            </w:pPr>
            <w:r>
              <w:rPr>
                <w:rFonts w:ascii="Calibri" w:hAnsi="Calibri"/>
                <w:sz w:val="22"/>
                <w:szCs w:val="22"/>
              </w:rPr>
              <w:t>Estimated annual number of respondents:</w:t>
            </w:r>
          </w:p>
        </w:tc>
        <w:tc>
          <w:tcPr>
            <w:tcW w:w="4665" w:type="dxa"/>
          </w:tcPr>
          <w:p w:rsidR="009204AB" w:rsidP="00592E9E" w14:paraId="0B938009" w14:textId="77777777">
            <w:pPr>
              <w:pStyle w:val="Footer"/>
              <w:spacing w:after="200" w:line="276" w:lineRule="auto"/>
              <w:jc w:val="right"/>
              <w:rPr>
                <w:rFonts w:ascii="Calibri" w:hAnsi="Calibri"/>
                <w:sz w:val="22"/>
                <w:szCs w:val="22"/>
              </w:rPr>
            </w:pPr>
            <w:r>
              <w:rPr>
                <w:rFonts w:ascii="Calibri" w:hAnsi="Calibri"/>
                <w:sz w:val="22"/>
                <w:szCs w:val="22"/>
              </w:rPr>
              <w:t>8,400</w:t>
            </w:r>
          </w:p>
        </w:tc>
      </w:tr>
      <w:tr w14:paraId="5B2C76A1" w14:textId="77777777" w:rsidTr="00FC78AF">
        <w:tblPrEx>
          <w:tblW w:w="0" w:type="auto"/>
          <w:tblLook w:val="04A0"/>
        </w:tblPrEx>
        <w:tc>
          <w:tcPr>
            <w:tcW w:w="4685" w:type="dxa"/>
          </w:tcPr>
          <w:p w:rsidR="009204AB" w:rsidP="00592E9E" w14:paraId="04328C58" w14:textId="77777777">
            <w:pPr>
              <w:pStyle w:val="Footer"/>
              <w:spacing w:after="200" w:line="276" w:lineRule="auto"/>
              <w:rPr>
                <w:rFonts w:ascii="Calibri" w:hAnsi="Calibri"/>
                <w:sz w:val="22"/>
                <w:szCs w:val="22"/>
              </w:rPr>
            </w:pPr>
            <w:r>
              <w:rPr>
                <w:rFonts w:ascii="Calibri" w:hAnsi="Calibri"/>
                <w:sz w:val="22"/>
                <w:szCs w:val="22"/>
              </w:rPr>
              <w:t>Number of responses per discharge recipient:</w:t>
            </w:r>
          </w:p>
        </w:tc>
        <w:tc>
          <w:tcPr>
            <w:tcW w:w="4665" w:type="dxa"/>
          </w:tcPr>
          <w:p w:rsidR="009204AB" w:rsidP="00592E9E" w14:paraId="223EB82E" w14:textId="77777777">
            <w:pPr>
              <w:pStyle w:val="Footer"/>
              <w:spacing w:after="200" w:line="276" w:lineRule="auto"/>
              <w:jc w:val="right"/>
              <w:rPr>
                <w:rFonts w:ascii="Calibri" w:hAnsi="Calibri"/>
                <w:sz w:val="22"/>
                <w:szCs w:val="22"/>
              </w:rPr>
            </w:pPr>
            <w:r>
              <w:rPr>
                <w:rFonts w:ascii="Calibri" w:hAnsi="Calibri"/>
                <w:sz w:val="22"/>
                <w:szCs w:val="22"/>
              </w:rPr>
              <w:t>x  1</w:t>
            </w:r>
          </w:p>
        </w:tc>
      </w:tr>
      <w:tr w14:paraId="28E3DDFA" w14:textId="77777777" w:rsidTr="00FC78AF">
        <w:tblPrEx>
          <w:tblW w:w="0" w:type="auto"/>
          <w:tblLook w:val="04A0"/>
        </w:tblPrEx>
        <w:tc>
          <w:tcPr>
            <w:tcW w:w="4685" w:type="dxa"/>
          </w:tcPr>
          <w:p w:rsidR="009204AB" w:rsidP="00592E9E" w14:paraId="53CFE7FD" w14:textId="77777777">
            <w:pPr>
              <w:pStyle w:val="Footer"/>
              <w:spacing w:after="200" w:line="276" w:lineRule="auto"/>
              <w:rPr>
                <w:rFonts w:ascii="Calibri" w:hAnsi="Calibri"/>
                <w:sz w:val="22"/>
                <w:szCs w:val="22"/>
              </w:rPr>
            </w:pPr>
            <w:r>
              <w:rPr>
                <w:rFonts w:ascii="Calibri" w:hAnsi="Calibri"/>
                <w:sz w:val="22"/>
                <w:szCs w:val="22"/>
              </w:rPr>
              <w:t>Hours per response:</w:t>
            </w:r>
          </w:p>
        </w:tc>
        <w:tc>
          <w:tcPr>
            <w:tcW w:w="4665" w:type="dxa"/>
          </w:tcPr>
          <w:p w:rsidR="009204AB" w:rsidP="00592E9E" w14:paraId="6A03A528" w14:textId="77777777">
            <w:pPr>
              <w:pStyle w:val="Footer"/>
              <w:spacing w:after="200" w:line="276" w:lineRule="auto"/>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0.5</w:t>
            </w:r>
            <w:r w:rsidRPr="000852A4">
              <w:rPr>
                <w:rFonts w:ascii="Calibri" w:hAnsi="Calibri"/>
                <w:sz w:val="22"/>
                <w:szCs w:val="22"/>
                <w:u w:val="single"/>
              </w:rPr>
              <w:t xml:space="preserve"> (</w:t>
            </w:r>
            <w:r>
              <w:rPr>
                <w:rFonts w:ascii="Calibri" w:hAnsi="Calibri"/>
                <w:sz w:val="22"/>
                <w:szCs w:val="22"/>
                <w:u w:val="single"/>
              </w:rPr>
              <w:t>30</w:t>
            </w:r>
            <w:r w:rsidRPr="000852A4">
              <w:rPr>
                <w:rFonts w:ascii="Calibri" w:hAnsi="Calibri"/>
                <w:sz w:val="22"/>
                <w:szCs w:val="22"/>
                <w:u w:val="single"/>
              </w:rPr>
              <w:t xml:space="preserve"> minutes)</w:t>
            </w:r>
          </w:p>
        </w:tc>
      </w:tr>
      <w:tr w14:paraId="10398A38" w14:textId="77777777" w:rsidTr="00FC78AF">
        <w:tblPrEx>
          <w:tblW w:w="0" w:type="auto"/>
          <w:tblLook w:val="04A0"/>
        </w:tblPrEx>
        <w:tc>
          <w:tcPr>
            <w:tcW w:w="4685" w:type="dxa"/>
          </w:tcPr>
          <w:p w:rsidR="009204AB" w:rsidP="00592E9E" w14:paraId="48C78F9E" w14:textId="77777777">
            <w:pPr>
              <w:pStyle w:val="Footer"/>
              <w:spacing w:after="200" w:line="276" w:lineRule="auto"/>
              <w:rPr>
                <w:rFonts w:ascii="Calibri" w:hAnsi="Calibri"/>
                <w:sz w:val="22"/>
                <w:szCs w:val="22"/>
              </w:rPr>
            </w:pPr>
            <w:r>
              <w:rPr>
                <w:rFonts w:ascii="Calibri" w:hAnsi="Calibri"/>
                <w:sz w:val="22"/>
                <w:szCs w:val="22"/>
              </w:rPr>
              <w:t>Annual hour burden:</w:t>
            </w:r>
          </w:p>
        </w:tc>
        <w:tc>
          <w:tcPr>
            <w:tcW w:w="4665" w:type="dxa"/>
          </w:tcPr>
          <w:p w:rsidR="009204AB" w:rsidP="00592E9E" w14:paraId="2ADD8B66" w14:textId="77777777">
            <w:pPr>
              <w:pStyle w:val="Footer"/>
              <w:spacing w:after="200" w:line="276" w:lineRule="auto"/>
              <w:jc w:val="right"/>
              <w:rPr>
                <w:rFonts w:ascii="Calibri" w:hAnsi="Calibri"/>
                <w:sz w:val="22"/>
                <w:szCs w:val="22"/>
              </w:rPr>
            </w:pPr>
            <w:r>
              <w:rPr>
                <w:rFonts w:ascii="Calibri" w:hAnsi="Calibri"/>
                <w:sz w:val="22"/>
                <w:szCs w:val="22"/>
              </w:rPr>
              <w:t>4,200 hours</w:t>
            </w:r>
          </w:p>
        </w:tc>
      </w:tr>
    </w:tbl>
    <w:p w:rsidR="00ED7195" w:rsidRPr="00E622CD" w:rsidP="00E622CD" w14:paraId="0A7848BC" w14:textId="77777777">
      <w:pPr>
        <w:pStyle w:val="Caption"/>
        <w:spacing w:after="120" w:line="276" w:lineRule="auto"/>
        <w:jc w:val="center"/>
        <w:rPr>
          <w:rFonts w:asciiTheme="minorHAnsi" w:hAnsiTheme="minorHAnsi" w:cstheme="minorHAnsi"/>
          <w:color w:val="000000" w:themeColor="text1"/>
          <w:sz w:val="22"/>
          <w:szCs w:val="22"/>
        </w:rPr>
      </w:pPr>
      <w:r w:rsidRPr="00E622CD">
        <w:rPr>
          <w:rFonts w:asciiTheme="minorHAnsi" w:hAnsiTheme="minorHAnsi" w:cstheme="minorHAnsi"/>
          <w:color w:val="000000" w:themeColor="text1"/>
          <w:sz w:val="22"/>
          <w:szCs w:val="22"/>
        </w:rPr>
        <w:t xml:space="preserve">Estimated </w:t>
      </w:r>
      <w:r w:rsidRPr="00E622CD" w:rsidR="00F31BEC">
        <w:rPr>
          <w:rFonts w:asciiTheme="minorHAnsi" w:hAnsiTheme="minorHAnsi" w:cstheme="minorHAnsi"/>
          <w:color w:val="000000" w:themeColor="text1"/>
          <w:sz w:val="22"/>
          <w:szCs w:val="22"/>
        </w:rPr>
        <w:t xml:space="preserve">Annual </w:t>
      </w:r>
      <w:r w:rsidRPr="00E622CD" w:rsidR="007F6104">
        <w:rPr>
          <w:rFonts w:asciiTheme="minorHAnsi" w:hAnsiTheme="minorHAnsi" w:cstheme="minorHAnsi"/>
          <w:color w:val="000000" w:themeColor="text1"/>
          <w:sz w:val="22"/>
          <w:szCs w:val="22"/>
        </w:rPr>
        <w:t>Burden and Respondent Costs</w:t>
      </w:r>
      <w:r w:rsidRPr="00E622CD"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6CA8F356" w14:textId="77777777" w:rsidTr="00623AE4">
        <w:tblPrEx>
          <w:tblW w:w="9070" w:type="dxa"/>
          <w:tblLayout w:type="fixed"/>
          <w:tblLook w:val="0020"/>
        </w:tblPrEx>
        <w:trPr>
          <w:tblHeader/>
        </w:trPr>
        <w:tc>
          <w:tcPr>
            <w:tcW w:w="1345" w:type="dxa"/>
          </w:tcPr>
          <w:p w:rsidR="009C37AF" w:rsidRPr="00E622CD" w:rsidP="00623AE4" w14:paraId="438B053A" w14:textId="77777777">
            <w:pPr>
              <w:jc w:val="center"/>
              <w:rPr>
                <w:rFonts w:asciiTheme="minorHAnsi" w:hAnsiTheme="minorHAnsi" w:cstheme="minorHAnsi"/>
                <w:sz w:val="22"/>
                <w:szCs w:val="22"/>
              </w:rPr>
            </w:pPr>
            <w:r w:rsidRPr="00E622CD">
              <w:rPr>
                <w:rFonts w:asciiTheme="minorHAnsi" w:hAnsiTheme="minorHAnsi" w:cstheme="minorHAnsi"/>
                <w:sz w:val="22"/>
                <w:szCs w:val="22"/>
              </w:rPr>
              <w:t>Information Activity or IC (with type of respondent)</w:t>
            </w:r>
          </w:p>
        </w:tc>
        <w:tc>
          <w:tcPr>
            <w:tcW w:w="1440" w:type="dxa"/>
          </w:tcPr>
          <w:p w:rsidR="009C37AF" w:rsidRPr="00E622CD" w:rsidP="00623AE4" w14:paraId="47544D00"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Respondents</w:t>
            </w:r>
          </w:p>
        </w:tc>
        <w:tc>
          <w:tcPr>
            <w:tcW w:w="1170" w:type="dxa"/>
          </w:tcPr>
          <w:p w:rsidR="009C37AF" w:rsidRPr="00E622CD" w:rsidP="00623AE4" w14:paraId="081AC50E"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Responses</w:t>
            </w:r>
          </w:p>
        </w:tc>
        <w:tc>
          <w:tcPr>
            <w:tcW w:w="1335" w:type="dxa"/>
          </w:tcPr>
          <w:p w:rsidR="009C37AF" w:rsidRPr="00E622CD" w:rsidP="00623AE4" w14:paraId="06066B94" w14:textId="77777777">
            <w:pPr>
              <w:jc w:val="center"/>
              <w:rPr>
                <w:rFonts w:asciiTheme="minorHAnsi" w:hAnsiTheme="minorHAnsi" w:cstheme="minorHAnsi"/>
                <w:sz w:val="22"/>
                <w:szCs w:val="22"/>
              </w:rPr>
            </w:pPr>
            <w:r w:rsidRPr="00E622CD">
              <w:rPr>
                <w:rFonts w:asciiTheme="minorHAnsi" w:hAnsiTheme="minorHAnsi" w:cstheme="minorHAnsi"/>
                <w:sz w:val="22"/>
                <w:szCs w:val="22"/>
              </w:rPr>
              <w:t>Average Burden Hours per Response</w:t>
            </w:r>
          </w:p>
        </w:tc>
        <w:tc>
          <w:tcPr>
            <w:tcW w:w="900" w:type="dxa"/>
          </w:tcPr>
          <w:p w:rsidR="009C37AF" w:rsidRPr="00E622CD" w:rsidP="00623AE4" w14:paraId="3F59B6CD"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Burden Hours</w:t>
            </w:r>
          </w:p>
        </w:tc>
        <w:tc>
          <w:tcPr>
            <w:tcW w:w="1530" w:type="dxa"/>
          </w:tcPr>
          <w:p w:rsidR="009C37AF" w:rsidRPr="00E622CD" w:rsidP="00623AE4" w14:paraId="6FC6AC7D" w14:textId="77777777">
            <w:pPr>
              <w:jc w:val="center"/>
              <w:rPr>
                <w:rFonts w:asciiTheme="minorHAnsi" w:hAnsiTheme="minorHAnsi" w:cstheme="minorHAnsi"/>
                <w:sz w:val="22"/>
                <w:szCs w:val="22"/>
              </w:rPr>
            </w:pPr>
            <w:r w:rsidRPr="00E622CD">
              <w:rPr>
                <w:rFonts w:asciiTheme="minorHAnsi" w:hAnsiTheme="minorHAnsi" w:cstheme="minorHAnsi"/>
                <w:sz w:val="22"/>
                <w:szCs w:val="22"/>
              </w:rPr>
              <w:t>Estimated Respondent Average Hourly Wage</w:t>
            </w:r>
          </w:p>
        </w:tc>
        <w:tc>
          <w:tcPr>
            <w:tcW w:w="1350" w:type="dxa"/>
          </w:tcPr>
          <w:p w:rsidR="009C37AF" w:rsidRPr="00E622CD" w:rsidP="00623AE4" w14:paraId="33D42555"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Costs (hourly wage x total burden hours)</w:t>
            </w:r>
          </w:p>
        </w:tc>
      </w:tr>
      <w:tr w14:paraId="709586A5" w14:textId="77777777" w:rsidTr="00623AE4">
        <w:tblPrEx>
          <w:tblW w:w="9070" w:type="dxa"/>
          <w:tblLayout w:type="fixed"/>
          <w:tblLook w:val="0020"/>
        </w:tblPrEx>
        <w:tc>
          <w:tcPr>
            <w:tcW w:w="1345" w:type="dxa"/>
          </w:tcPr>
          <w:p w:rsidR="009C37AF" w:rsidRPr="00E622CD" w:rsidP="00623AE4" w14:paraId="288C12B2" w14:textId="77777777">
            <w:pPr>
              <w:rPr>
                <w:rFonts w:asciiTheme="minorHAnsi" w:hAnsiTheme="minorHAnsi" w:cstheme="minorHAnsi"/>
                <w:sz w:val="22"/>
                <w:szCs w:val="22"/>
              </w:rPr>
            </w:pPr>
            <w:r w:rsidRPr="00E622CD">
              <w:rPr>
                <w:rFonts w:asciiTheme="minorHAnsi" w:hAnsiTheme="minorHAnsi" w:cstheme="minorHAnsi"/>
                <w:sz w:val="22"/>
                <w:szCs w:val="22"/>
              </w:rPr>
              <w:t>Individual</w:t>
            </w:r>
          </w:p>
        </w:tc>
        <w:tc>
          <w:tcPr>
            <w:tcW w:w="1440" w:type="dxa"/>
          </w:tcPr>
          <w:p w:rsidR="009C37AF" w:rsidRPr="00E622CD" w:rsidP="00623AE4" w14:paraId="20B5F23C" w14:textId="77777777">
            <w:pPr>
              <w:jc w:val="right"/>
              <w:rPr>
                <w:rFonts w:asciiTheme="minorHAnsi" w:hAnsiTheme="minorHAnsi" w:cstheme="minorHAnsi"/>
                <w:sz w:val="22"/>
                <w:szCs w:val="22"/>
              </w:rPr>
            </w:pPr>
            <w:r>
              <w:rPr>
                <w:rFonts w:asciiTheme="minorHAnsi" w:hAnsiTheme="minorHAnsi" w:cstheme="minorHAnsi"/>
                <w:sz w:val="22"/>
                <w:szCs w:val="22"/>
              </w:rPr>
              <w:t>6</w:t>
            </w:r>
            <w:r w:rsidR="006E36B6">
              <w:rPr>
                <w:rFonts w:asciiTheme="minorHAnsi" w:hAnsiTheme="minorHAnsi" w:cstheme="minorHAnsi"/>
                <w:sz w:val="22"/>
                <w:szCs w:val="22"/>
              </w:rPr>
              <w:t>1,629</w:t>
            </w:r>
          </w:p>
        </w:tc>
        <w:tc>
          <w:tcPr>
            <w:tcW w:w="1170" w:type="dxa"/>
          </w:tcPr>
          <w:p w:rsidR="009C37AF" w:rsidRPr="00E622CD" w:rsidP="00623AE4" w14:paraId="7F1AAAC7" w14:textId="77777777">
            <w:pPr>
              <w:jc w:val="right"/>
              <w:rPr>
                <w:rFonts w:asciiTheme="minorHAnsi" w:hAnsiTheme="minorHAnsi" w:cstheme="minorHAnsi"/>
                <w:sz w:val="22"/>
                <w:szCs w:val="22"/>
              </w:rPr>
            </w:pPr>
            <w:r>
              <w:rPr>
                <w:rFonts w:asciiTheme="minorHAnsi" w:hAnsiTheme="minorHAnsi" w:cstheme="minorHAnsi"/>
                <w:sz w:val="22"/>
                <w:szCs w:val="22"/>
              </w:rPr>
              <w:t>62,629</w:t>
            </w:r>
          </w:p>
        </w:tc>
        <w:tc>
          <w:tcPr>
            <w:tcW w:w="1335" w:type="dxa"/>
          </w:tcPr>
          <w:p w:rsidR="009C37AF" w:rsidRPr="00E622CD" w:rsidP="00623AE4" w14:paraId="3D16A355" w14:textId="77777777">
            <w:pPr>
              <w:jc w:val="right"/>
              <w:rPr>
                <w:rFonts w:asciiTheme="minorHAnsi" w:hAnsiTheme="minorHAnsi" w:cstheme="minorHAnsi"/>
                <w:sz w:val="22"/>
                <w:szCs w:val="22"/>
              </w:rPr>
            </w:pPr>
            <w:r>
              <w:rPr>
                <w:rFonts w:asciiTheme="minorHAnsi" w:hAnsiTheme="minorHAnsi" w:cstheme="minorHAnsi"/>
                <w:sz w:val="22"/>
                <w:szCs w:val="22"/>
              </w:rPr>
              <w:t>.5 hour</w:t>
            </w:r>
          </w:p>
        </w:tc>
        <w:tc>
          <w:tcPr>
            <w:tcW w:w="900" w:type="dxa"/>
          </w:tcPr>
          <w:p w:rsidR="009C37AF" w:rsidRPr="00E622CD" w:rsidP="00623AE4" w14:paraId="2884C447" w14:textId="77777777">
            <w:pPr>
              <w:jc w:val="right"/>
              <w:rPr>
                <w:rFonts w:asciiTheme="minorHAnsi" w:hAnsiTheme="minorHAnsi" w:cstheme="minorHAnsi"/>
                <w:sz w:val="22"/>
                <w:szCs w:val="22"/>
              </w:rPr>
            </w:pPr>
            <w:r>
              <w:rPr>
                <w:rFonts w:asciiTheme="minorHAnsi" w:hAnsiTheme="minorHAnsi" w:cstheme="minorHAnsi"/>
                <w:sz w:val="22"/>
                <w:szCs w:val="22"/>
              </w:rPr>
              <w:t>30,814</w:t>
            </w:r>
          </w:p>
        </w:tc>
        <w:tc>
          <w:tcPr>
            <w:tcW w:w="1530" w:type="dxa"/>
          </w:tcPr>
          <w:p w:rsidR="009C37AF" w:rsidRPr="00E622CD" w:rsidP="00623AE4" w14:paraId="086AADD0" w14:textId="77777777">
            <w:pPr>
              <w:jc w:val="right"/>
              <w:rPr>
                <w:rFonts w:asciiTheme="minorHAnsi" w:hAnsiTheme="minorHAnsi" w:cstheme="minorHAnsi"/>
                <w:sz w:val="22"/>
                <w:szCs w:val="22"/>
              </w:rPr>
            </w:pPr>
            <w:r>
              <w:rPr>
                <w:rFonts w:asciiTheme="minorHAnsi" w:hAnsiTheme="minorHAnsi" w:cstheme="minorHAnsi"/>
                <w:sz w:val="22"/>
                <w:szCs w:val="22"/>
              </w:rPr>
              <w:t>$22.</w:t>
            </w:r>
            <w:r w:rsidR="00DD17B3">
              <w:rPr>
                <w:rFonts w:asciiTheme="minorHAnsi" w:hAnsiTheme="minorHAnsi" w:cstheme="minorHAnsi"/>
                <w:sz w:val="22"/>
                <w:szCs w:val="22"/>
              </w:rPr>
              <w:t>26</w:t>
            </w:r>
          </w:p>
        </w:tc>
        <w:tc>
          <w:tcPr>
            <w:tcW w:w="1350" w:type="dxa"/>
          </w:tcPr>
          <w:p w:rsidR="009C37AF" w:rsidRPr="00E622CD" w:rsidP="00623AE4" w14:paraId="7F9ACC1E" w14:textId="77777777">
            <w:pPr>
              <w:jc w:val="right"/>
              <w:rPr>
                <w:rFonts w:asciiTheme="minorHAnsi" w:hAnsiTheme="minorHAnsi" w:cstheme="minorHAnsi"/>
                <w:sz w:val="22"/>
                <w:szCs w:val="22"/>
              </w:rPr>
            </w:pPr>
            <w:r>
              <w:rPr>
                <w:rFonts w:asciiTheme="minorHAnsi" w:hAnsiTheme="minorHAnsi" w:cstheme="minorHAnsi"/>
                <w:sz w:val="22"/>
                <w:szCs w:val="22"/>
              </w:rPr>
              <w:t>$6</w:t>
            </w:r>
            <w:r w:rsidR="00DD17B3">
              <w:rPr>
                <w:rFonts w:asciiTheme="minorHAnsi" w:hAnsiTheme="minorHAnsi" w:cstheme="minorHAnsi"/>
                <w:sz w:val="22"/>
                <w:szCs w:val="22"/>
              </w:rPr>
              <w:t>85</w:t>
            </w:r>
            <w:r>
              <w:rPr>
                <w:rFonts w:asciiTheme="minorHAnsi" w:hAnsiTheme="minorHAnsi" w:cstheme="minorHAnsi"/>
                <w:sz w:val="22"/>
                <w:szCs w:val="22"/>
              </w:rPr>
              <w:t>,</w:t>
            </w:r>
            <w:r w:rsidR="006E36B6">
              <w:rPr>
                <w:rFonts w:asciiTheme="minorHAnsi" w:hAnsiTheme="minorHAnsi" w:cstheme="minorHAnsi"/>
                <w:sz w:val="22"/>
                <w:szCs w:val="22"/>
              </w:rPr>
              <w:t>9</w:t>
            </w:r>
            <w:r w:rsidR="00DD17B3">
              <w:rPr>
                <w:rFonts w:asciiTheme="minorHAnsi" w:hAnsiTheme="minorHAnsi" w:cstheme="minorHAnsi"/>
                <w:sz w:val="22"/>
                <w:szCs w:val="22"/>
              </w:rPr>
              <w:t>20</w:t>
            </w:r>
          </w:p>
        </w:tc>
      </w:tr>
      <w:tr w14:paraId="1F2C4AF9" w14:textId="77777777" w:rsidTr="00623AE4">
        <w:tblPrEx>
          <w:tblW w:w="9070" w:type="dxa"/>
          <w:tblLayout w:type="fixed"/>
          <w:tblLook w:val="0020"/>
        </w:tblPrEx>
        <w:tc>
          <w:tcPr>
            <w:tcW w:w="1345" w:type="dxa"/>
          </w:tcPr>
          <w:p w:rsidR="00623AE4" w:rsidRPr="00623AE4" w:rsidP="00623AE4" w14:paraId="335B4993" w14:textId="77777777">
            <w:pPr>
              <w:rPr>
                <w:rFonts w:asciiTheme="minorHAnsi" w:hAnsiTheme="minorHAnsi" w:cstheme="minorHAnsi"/>
                <w:szCs w:val="24"/>
              </w:rPr>
            </w:pPr>
            <w:r w:rsidRPr="00623AE4">
              <w:rPr>
                <w:rFonts w:asciiTheme="minorHAnsi" w:hAnsiTheme="minorHAnsi" w:cstheme="minorHAnsi"/>
                <w:szCs w:val="24"/>
              </w:rPr>
              <w:t>For-Profit Institutions</w:t>
            </w:r>
          </w:p>
        </w:tc>
        <w:tc>
          <w:tcPr>
            <w:tcW w:w="1440" w:type="dxa"/>
          </w:tcPr>
          <w:p w:rsidR="00623AE4" w:rsidRPr="00623AE4" w:rsidP="00623AE4" w14:paraId="502259F4"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50E1BF67"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7F78C37B"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56F0498E" w14:textId="77777777">
            <w:pPr>
              <w:pStyle w:val="EndnoteText"/>
              <w:tabs>
                <w:tab w:val="clear" w:pos="-720"/>
              </w:tabs>
              <w:suppressAutoHyphens w:val="0"/>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5B42C0CC"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2AEB47C0"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27661E2A" w14:textId="77777777" w:rsidTr="00623AE4">
        <w:tblPrEx>
          <w:tblW w:w="9070" w:type="dxa"/>
          <w:tblLayout w:type="fixed"/>
          <w:tblLook w:val="0020"/>
        </w:tblPrEx>
        <w:tc>
          <w:tcPr>
            <w:tcW w:w="1345" w:type="dxa"/>
          </w:tcPr>
          <w:p w:rsidR="00623AE4" w:rsidRPr="00623AE4" w:rsidP="00623AE4" w14:paraId="0144EB1B" w14:textId="77777777">
            <w:pPr>
              <w:rPr>
                <w:rFonts w:asciiTheme="minorHAnsi" w:hAnsiTheme="minorHAnsi" w:cstheme="minorHAnsi"/>
                <w:szCs w:val="24"/>
              </w:rPr>
            </w:pPr>
            <w:r w:rsidRPr="00623AE4">
              <w:rPr>
                <w:rFonts w:asciiTheme="minorHAnsi" w:hAnsiTheme="minorHAnsi" w:cstheme="minorHAnsi"/>
                <w:szCs w:val="24"/>
              </w:rPr>
              <w:t>Private Institutions</w:t>
            </w:r>
          </w:p>
        </w:tc>
        <w:tc>
          <w:tcPr>
            <w:tcW w:w="1440" w:type="dxa"/>
          </w:tcPr>
          <w:p w:rsidR="00623AE4" w:rsidRPr="00623AE4" w:rsidP="00623AE4" w14:paraId="4BFC2A92"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23FA12FC"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4BB71AB9"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4A89087E" w14:textId="77777777">
            <w:pPr>
              <w:pStyle w:val="EndnoteText"/>
              <w:tabs>
                <w:tab w:val="clear" w:pos="-720"/>
              </w:tabs>
              <w:suppressAutoHyphens w:val="0"/>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0617A916"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54BE6644"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6120B46F" w14:textId="77777777" w:rsidTr="00623AE4">
        <w:tblPrEx>
          <w:tblW w:w="9070" w:type="dxa"/>
          <w:tblLayout w:type="fixed"/>
          <w:tblLook w:val="0020"/>
        </w:tblPrEx>
        <w:tc>
          <w:tcPr>
            <w:tcW w:w="1345" w:type="dxa"/>
          </w:tcPr>
          <w:p w:rsidR="00623AE4" w:rsidRPr="00623AE4" w:rsidP="00623AE4" w14:paraId="139FF479" w14:textId="77777777">
            <w:pPr>
              <w:rPr>
                <w:rFonts w:asciiTheme="minorHAnsi" w:hAnsiTheme="minorHAnsi" w:cstheme="minorHAnsi"/>
                <w:szCs w:val="24"/>
              </w:rPr>
            </w:pPr>
            <w:r w:rsidRPr="00623AE4">
              <w:rPr>
                <w:rFonts w:asciiTheme="minorHAnsi" w:hAnsiTheme="minorHAnsi" w:cstheme="minorHAnsi"/>
                <w:szCs w:val="24"/>
              </w:rPr>
              <w:t>Public Institutions</w:t>
            </w:r>
          </w:p>
        </w:tc>
        <w:tc>
          <w:tcPr>
            <w:tcW w:w="1440" w:type="dxa"/>
          </w:tcPr>
          <w:p w:rsidR="00623AE4" w:rsidRPr="00623AE4" w:rsidP="00623AE4" w14:paraId="7A7276CF"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1444CD87"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2E8D5DEE"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00593B8C"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7A4E134B"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20470F3F"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5264976A" w14:textId="77777777" w:rsidTr="00623AE4">
        <w:tblPrEx>
          <w:tblW w:w="9070" w:type="dxa"/>
          <w:tblLayout w:type="fixed"/>
          <w:tblLook w:val="0020"/>
        </w:tblPrEx>
        <w:tc>
          <w:tcPr>
            <w:tcW w:w="1345" w:type="dxa"/>
          </w:tcPr>
          <w:p w:rsidR="006E36B6" w:rsidRPr="00623AE4" w:rsidP="006E36B6" w14:paraId="3EB6EA47" w14:textId="77777777">
            <w:pPr>
              <w:rPr>
                <w:rFonts w:asciiTheme="minorHAnsi" w:hAnsiTheme="minorHAnsi" w:cstheme="minorHAnsi"/>
                <w:szCs w:val="24"/>
              </w:rPr>
            </w:pPr>
            <w:r w:rsidRPr="00623AE4">
              <w:rPr>
                <w:rFonts w:asciiTheme="minorHAnsi" w:hAnsiTheme="minorHAnsi" w:cstheme="minorHAnsi"/>
                <w:szCs w:val="24"/>
              </w:rPr>
              <w:t>Annualized Totals</w:t>
            </w:r>
          </w:p>
        </w:tc>
        <w:tc>
          <w:tcPr>
            <w:tcW w:w="1440" w:type="dxa"/>
          </w:tcPr>
          <w:p w:rsidR="006E36B6" w:rsidRPr="00623AE4" w:rsidP="006E36B6" w14:paraId="0A468B79" w14:textId="77777777">
            <w:pPr>
              <w:jc w:val="right"/>
              <w:rPr>
                <w:rFonts w:asciiTheme="minorHAnsi" w:hAnsiTheme="minorHAnsi" w:cstheme="minorHAnsi"/>
                <w:szCs w:val="24"/>
              </w:rPr>
            </w:pPr>
            <w:r>
              <w:rPr>
                <w:rFonts w:asciiTheme="minorHAnsi" w:hAnsiTheme="minorHAnsi" w:cstheme="minorHAnsi"/>
                <w:sz w:val="22"/>
                <w:szCs w:val="22"/>
              </w:rPr>
              <w:t>61,629</w:t>
            </w:r>
          </w:p>
        </w:tc>
        <w:tc>
          <w:tcPr>
            <w:tcW w:w="1170" w:type="dxa"/>
          </w:tcPr>
          <w:p w:rsidR="006E36B6" w:rsidRPr="00623AE4" w:rsidP="006E36B6" w14:paraId="4F616717" w14:textId="77777777">
            <w:pPr>
              <w:jc w:val="right"/>
              <w:rPr>
                <w:rFonts w:asciiTheme="minorHAnsi" w:hAnsiTheme="minorHAnsi" w:cstheme="minorHAnsi"/>
                <w:szCs w:val="24"/>
              </w:rPr>
            </w:pPr>
            <w:r>
              <w:rPr>
                <w:rFonts w:asciiTheme="minorHAnsi" w:hAnsiTheme="minorHAnsi" w:cstheme="minorHAnsi"/>
                <w:sz w:val="22"/>
                <w:szCs w:val="22"/>
              </w:rPr>
              <w:t>62,629</w:t>
            </w:r>
          </w:p>
        </w:tc>
        <w:tc>
          <w:tcPr>
            <w:tcW w:w="1335" w:type="dxa"/>
          </w:tcPr>
          <w:p w:rsidR="006E36B6" w:rsidRPr="00623AE4" w:rsidP="006E36B6" w14:paraId="66BCB7CB" w14:textId="77777777">
            <w:pPr>
              <w:jc w:val="right"/>
              <w:rPr>
                <w:rFonts w:asciiTheme="minorHAnsi" w:hAnsiTheme="minorHAnsi" w:cstheme="minorHAnsi"/>
                <w:szCs w:val="24"/>
              </w:rPr>
            </w:pPr>
          </w:p>
        </w:tc>
        <w:tc>
          <w:tcPr>
            <w:tcW w:w="900" w:type="dxa"/>
          </w:tcPr>
          <w:p w:rsidR="006E36B6" w:rsidRPr="00623AE4" w:rsidP="006E36B6" w14:paraId="70E3C9CC" w14:textId="77777777">
            <w:pPr>
              <w:jc w:val="right"/>
              <w:rPr>
                <w:rFonts w:asciiTheme="minorHAnsi" w:hAnsiTheme="minorHAnsi" w:cstheme="minorHAnsi"/>
                <w:szCs w:val="24"/>
              </w:rPr>
            </w:pPr>
            <w:r>
              <w:rPr>
                <w:rFonts w:asciiTheme="minorHAnsi" w:hAnsiTheme="minorHAnsi" w:cstheme="minorHAnsi"/>
                <w:sz w:val="22"/>
                <w:szCs w:val="22"/>
              </w:rPr>
              <w:t>30,814</w:t>
            </w:r>
          </w:p>
        </w:tc>
        <w:tc>
          <w:tcPr>
            <w:tcW w:w="1530" w:type="dxa"/>
          </w:tcPr>
          <w:p w:rsidR="006E36B6" w:rsidRPr="00623AE4" w:rsidP="006E36B6" w14:paraId="6DC19C41" w14:textId="77777777">
            <w:pPr>
              <w:jc w:val="right"/>
              <w:rPr>
                <w:rFonts w:asciiTheme="minorHAnsi" w:hAnsiTheme="minorHAnsi" w:cstheme="minorHAnsi"/>
                <w:szCs w:val="24"/>
              </w:rPr>
            </w:pPr>
          </w:p>
        </w:tc>
        <w:tc>
          <w:tcPr>
            <w:tcW w:w="1350" w:type="dxa"/>
          </w:tcPr>
          <w:p w:rsidR="006E36B6" w:rsidRPr="00623AE4" w:rsidP="006E36B6" w14:paraId="37946146" w14:textId="77777777">
            <w:pPr>
              <w:jc w:val="right"/>
              <w:rPr>
                <w:rFonts w:asciiTheme="minorHAnsi" w:hAnsiTheme="minorHAnsi" w:cstheme="minorHAnsi"/>
                <w:szCs w:val="24"/>
              </w:rPr>
            </w:pPr>
            <w:r>
              <w:rPr>
                <w:rFonts w:asciiTheme="minorHAnsi" w:hAnsiTheme="minorHAnsi" w:cstheme="minorHAnsi"/>
                <w:sz w:val="22"/>
                <w:szCs w:val="22"/>
              </w:rPr>
              <w:t>$</w:t>
            </w:r>
            <w:r w:rsidR="00D56ABB">
              <w:rPr>
                <w:rFonts w:asciiTheme="minorHAnsi" w:hAnsiTheme="minorHAnsi" w:cstheme="minorHAnsi"/>
                <w:sz w:val="22"/>
                <w:szCs w:val="22"/>
              </w:rPr>
              <w:t>685,920</w:t>
            </w:r>
          </w:p>
        </w:tc>
      </w:tr>
    </w:tbl>
    <w:p w:rsidR="009C37AF" w:rsidP="00E622CD" w14:paraId="7811A74E" w14:textId="77777777">
      <w:pPr>
        <w:spacing w:after="120" w:line="276" w:lineRule="auto"/>
        <w:rPr>
          <w:rFonts w:asciiTheme="minorHAnsi" w:hAnsiTheme="minorHAnsi" w:cstheme="minorHAnsi"/>
          <w:sz w:val="22"/>
          <w:szCs w:val="22"/>
        </w:rPr>
      </w:pPr>
    </w:p>
    <w:p w:rsidR="00DD17B3" w:rsidRPr="00DD17B3" w:rsidP="00DD17B3" w14:paraId="584C4775" w14:textId="77777777">
      <w:pPr>
        <w:pStyle w:val="ListParagraph"/>
        <w:tabs>
          <w:tab w:val="left" w:pos="-720"/>
        </w:tabs>
        <w:suppressAutoHyphens/>
        <w:ind w:left="0"/>
        <w:rPr>
          <w:rFonts w:asciiTheme="minorHAnsi" w:hAnsiTheme="minorHAnsi" w:cstheme="minorHAnsi"/>
          <w:sz w:val="22"/>
          <w:szCs w:val="22"/>
        </w:rPr>
      </w:pPr>
      <w:bookmarkStart w:id="0" w:name="_Hlk118704198"/>
      <w:r w:rsidRPr="00DD17B3">
        <w:rPr>
          <w:rFonts w:asciiTheme="minorHAnsi" w:hAnsiTheme="minorHAnsi" w:cstheme="minorHAnsi"/>
          <w:sz w:val="22"/>
          <w:szCs w:val="22"/>
        </w:rPr>
        <w:t>For individuals we have used the median hourly wage for all occupations, $22</w:t>
      </w:r>
      <w:r>
        <w:rPr>
          <w:rFonts w:asciiTheme="minorHAnsi" w:hAnsiTheme="minorHAnsi" w:cstheme="minorHAnsi"/>
          <w:sz w:val="22"/>
          <w:szCs w:val="22"/>
        </w:rPr>
        <w:t>.26</w:t>
      </w:r>
      <w:r w:rsidRPr="00DD17B3">
        <w:rPr>
          <w:rFonts w:asciiTheme="minorHAnsi" w:hAnsiTheme="minorHAnsi" w:cstheme="minorHAnsi"/>
          <w:sz w:val="22"/>
          <w:szCs w:val="22"/>
        </w:rPr>
        <w:t xml:space="preserve"> per hour according to BLS. </w:t>
      </w:r>
      <w:hyperlink r:id="rId10" w:anchor="00-0000" w:history="1">
        <w:r w:rsidRPr="00DD17B3">
          <w:rPr>
            <w:rStyle w:val="Hyperlink"/>
            <w:rFonts w:asciiTheme="minorHAnsi" w:hAnsiTheme="minorHAnsi" w:cstheme="minorHAnsi"/>
            <w:sz w:val="22"/>
            <w:szCs w:val="22"/>
          </w:rPr>
          <w:t>https://www.bls.gov/oes/current/oes_nat.htm#00-0000</w:t>
        </w:r>
      </w:hyperlink>
      <w:r w:rsidRPr="00DD17B3">
        <w:rPr>
          <w:rFonts w:asciiTheme="minorHAnsi" w:hAnsiTheme="minorHAnsi" w:cstheme="minorHAnsi"/>
          <w:sz w:val="22"/>
          <w:szCs w:val="22"/>
        </w:rPr>
        <w:t> .</w:t>
      </w:r>
    </w:p>
    <w:bookmarkEnd w:id="0"/>
    <w:p w:rsidR="00DD17B3" w:rsidRPr="00DD17B3" w:rsidP="00E622CD" w14:paraId="015E318B" w14:textId="77777777">
      <w:pPr>
        <w:spacing w:after="120" w:line="276" w:lineRule="auto"/>
        <w:rPr>
          <w:rFonts w:asciiTheme="minorHAnsi" w:hAnsiTheme="minorHAnsi" w:cstheme="minorHAnsi"/>
          <w:sz w:val="22"/>
          <w:szCs w:val="22"/>
        </w:rPr>
      </w:pPr>
    </w:p>
    <w:p w:rsidR="00F31BEC" w:rsidRPr="00E622CD" w:rsidP="00E622CD" w14:paraId="159F5367" w14:textId="77777777">
      <w:pPr>
        <w:pStyle w:val="ListParagraph"/>
        <w:tabs>
          <w:tab w:val="left" w:pos="-720"/>
        </w:tabs>
        <w:suppressAutoHyphens/>
        <w:spacing w:after="120" w:line="276" w:lineRule="auto"/>
        <w:ind w:left="-864" w:right="-864"/>
        <w:rPr>
          <w:rStyle w:val="a"/>
          <w:rFonts w:asciiTheme="minorHAnsi" w:hAnsiTheme="minorHAnsi" w:cstheme="minorHAnsi"/>
          <w:b/>
          <w:bCs/>
          <w:i/>
          <w:iCs/>
          <w:sz w:val="22"/>
          <w:szCs w:val="22"/>
        </w:rPr>
      </w:pPr>
      <w:r w:rsidRPr="00E622CD">
        <w:rPr>
          <w:rStyle w:val="a"/>
          <w:rFonts w:asciiTheme="minorHAnsi" w:hAnsiTheme="minorHAnsi" w:cstheme="minorHAnsi"/>
          <w:b/>
          <w:bCs/>
          <w:i/>
          <w:iCs/>
          <w:sz w:val="22"/>
          <w:szCs w:val="22"/>
        </w:rPr>
        <w:t>Please ensure the annual total burden, respondents and response match those entered in IC Data Parts 1 and 2</w:t>
      </w:r>
      <w:r w:rsidRPr="00E622CD" w:rsidR="00916EE4">
        <w:rPr>
          <w:rStyle w:val="a"/>
          <w:rFonts w:asciiTheme="minorHAnsi" w:hAnsiTheme="minorHAnsi" w:cstheme="minorHAnsi"/>
          <w:b/>
          <w:bCs/>
          <w:i/>
          <w:iCs/>
          <w:sz w:val="22"/>
          <w:szCs w:val="22"/>
        </w:rPr>
        <w:t>, and</w:t>
      </w:r>
      <w:r w:rsidRPr="00E622CD">
        <w:rPr>
          <w:rStyle w:val="a"/>
          <w:rFonts w:asciiTheme="minorHAnsi" w:hAnsiTheme="minorHAnsi" w:cstheme="minorHAnsi"/>
          <w:b/>
          <w:bCs/>
          <w:i/>
          <w:iCs/>
          <w:sz w:val="22"/>
          <w:szCs w:val="22"/>
        </w:rPr>
        <w:t xml:space="preserve"> the response per respondent matches the Paperwork Burden Statement that must be included on all forms.</w:t>
      </w:r>
    </w:p>
    <w:p w:rsidR="00920F63" w:rsidRPr="00E622CD" w:rsidP="00E622CD" w14:paraId="1C4F48D9" w14:textId="77777777">
      <w:pPr>
        <w:pStyle w:val="ListParagraph"/>
        <w:tabs>
          <w:tab w:val="left" w:pos="-720"/>
        </w:tabs>
        <w:suppressAutoHyphens/>
        <w:spacing w:after="120" w:line="276" w:lineRule="auto"/>
        <w:rPr>
          <w:rStyle w:val="a"/>
          <w:rFonts w:asciiTheme="minorHAnsi" w:hAnsiTheme="minorHAnsi" w:cstheme="minorHAnsi"/>
          <w:sz w:val="22"/>
          <w:szCs w:val="22"/>
        </w:rPr>
      </w:pPr>
    </w:p>
    <w:p w:rsidR="00043C32" w:rsidRPr="00E622CD" w:rsidP="00E622CD" w14:paraId="28AA752D"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2E5E145B"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622CD" w:rsidP="00E622CD" w14:paraId="6A3FB073"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2861159E"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2F87047F"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69C45B85"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:____________________</w:t>
      </w:r>
    </w:p>
    <w:p w:rsidR="00043C32" w:rsidRPr="00E622CD" w:rsidP="00E622CD" w14:paraId="2CF7DFE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E622CD" w:rsidP="00E622CD" w14:paraId="3C563C13" w14:textId="77777777">
      <w:pPr>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There are no capital/startup costs to respondents, nor are there any annual costs to respondents associated with operating or maintaining systems or purchasing services.</w:t>
      </w:r>
    </w:p>
    <w:p w:rsidR="00BB03CE" w:rsidRPr="00E622CD" w:rsidP="00E622CD" w14:paraId="534B687D"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estimated annual cost to respondents is $</w:t>
      </w:r>
      <w:r w:rsidR="0080712D">
        <w:rPr>
          <w:rFonts w:asciiTheme="minorHAnsi" w:hAnsiTheme="minorHAnsi" w:cstheme="minorHAnsi"/>
          <w:sz w:val="22"/>
          <w:szCs w:val="22"/>
        </w:rPr>
        <w:t>3</w:t>
      </w:r>
      <w:r w:rsidR="006E36B6">
        <w:rPr>
          <w:rFonts w:asciiTheme="minorHAnsi" w:hAnsiTheme="minorHAnsi" w:cstheme="minorHAnsi"/>
          <w:sz w:val="22"/>
          <w:szCs w:val="22"/>
        </w:rPr>
        <w:t>8</w:t>
      </w:r>
      <w:r w:rsidR="0080712D">
        <w:rPr>
          <w:rFonts w:asciiTheme="minorHAnsi" w:hAnsiTheme="minorHAnsi" w:cstheme="minorHAnsi"/>
          <w:sz w:val="22"/>
          <w:szCs w:val="22"/>
        </w:rPr>
        <w:t>,</w:t>
      </w:r>
      <w:r w:rsidR="006E36B6">
        <w:rPr>
          <w:rFonts w:asciiTheme="minorHAnsi" w:hAnsiTheme="minorHAnsi" w:cstheme="minorHAnsi"/>
          <w:sz w:val="22"/>
          <w:szCs w:val="22"/>
        </w:rPr>
        <w:t>8</w:t>
      </w:r>
      <w:r w:rsidR="00A67460">
        <w:rPr>
          <w:rFonts w:asciiTheme="minorHAnsi" w:hAnsiTheme="minorHAnsi" w:cstheme="minorHAnsi"/>
          <w:sz w:val="22"/>
          <w:szCs w:val="22"/>
        </w:rPr>
        <w:t>26</w:t>
      </w:r>
      <w:r w:rsidRPr="00E622CD">
        <w:rPr>
          <w:rFonts w:asciiTheme="minorHAnsi" w:hAnsiTheme="minorHAnsi" w:cstheme="minorHAnsi"/>
          <w:sz w:val="22"/>
          <w:szCs w:val="22"/>
        </w:rPr>
        <w:t xml:space="preserve"> associated with postage. This estimate was calculated by multiplying the revised estimated number of respondents (</w:t>
      </w:r>
      <w:r w:rsidR="006E36B6">
        <w:rPr>
          <w:rFonts w:asciiTheme="minorHAnsi" w:hAnsiTheme="minorHAnsi" w:cstheme="minorHAnsi"/>
          <w:sz w:val="22"/>
          <w:szCs w:val="22"/>
        </w:rPr>
        <w:t>61,629</w:t>
      </w:r>
      <w:r w:rsidRPr="00E622CD">
        <w:rPr>
          <w:rFonts w:asciiTheme="minorHAnsi" w:hAnsiTheme="minorHAnsi" w:cstheme="minorHAnsi"/>
          <w:sz w:val="22"/>
          <w:szCs w:val="22"/>
        </w:rPr>
        <w:t>) by the cost of postage required to return a discharge application or applicant representative designation form ($0.</w:t>
      </w:r>
      <w:r w:rsidR="00335152">
        <w:rPr>
          <w:rFonts w:asciiTheme="minorHAnsi" w:hAnsiTheme="minorHAnsi" w:cstheme="minorHAnsi"/>
          <w:sz w:val="22"/>
          <w:szCs w:val="22"/>
        </w:rPr>
        <w:t>63</w:t>
      </w:r>
      <w:r w:rsidRPr="00E622CD">
        <w:rPr>
          <w:rFonts w:asciiTheme="minorHAnsi" w:hAnsiTheme="minorHAnsi" w:cstheme="minorHAnsi"/>
          <w:sz w:val="22"/>
          <w:szCs w:val="22"/>
        </w:rPr>
        <w:t>).</w:t>
      </w:r>
    </w:p>
    <w:p w:rsidR="00043C32" w:rsidRPr="00E622CD" w:rsidP="00E622CD" w14:paraId="0EF4571C"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B03CE" w:rsidRPr="00E622CD" w:rsidP="00E622CD" w14:paraId="4EBE7C87" w14:textId="77777777">
      <w:pPr>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There is no significant annualized cost to the Federal government. The Department’s contracts with its federal servicers, including the servicer that handles TPD discharge processing, is not based on a fee-for-service model; rather, the Department pays its servicers based on performance metrics.</w:t>
      </w:r>
    </w:p>
    <w:p w:rsidR="00800D30" w:rsidRPr="00E622CD" w:rsidP="00E622CD" w14:paraId="7CBC1916"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w:t>
      </w:r>
      <w:r w:rsidRPr="00E622CD">
        <w:rPr>
          <w:rFonts w:asciiTheme="minorHAnsi" w:hAnsiTheme="minorHAnsi" w:cstheme="minorHAnsi"/>
          <w:b/>
          <w:sz w:val="22"/>
          <w:szCs w:val="22"/>
        </w:rPr>
        <w:t xml:space="preserve">new statute, and/or program change due to agency discretion), type of collection (new, revision, extension, reinstatement with change, reinstatement without change) and include totals for changes in burden hours, responses and costs (if applicable). </w:t>
      </w:r>
    </w:p>
    <w:p w:rsidR="00800D30" w:rsidRPr="00E622CD" w:rsidP="00E622CD" w14:paraId="571B5D39"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p w:rsidR="00534B4A" w:rsidRPr="00E622CD" w:rsidP="00E622CD" w14:paraId="4FD433D7" w14:textId="77777777">
      <w:pPr>
        <w:tabs>
          <w:tab w:val="left" w:pos="-720"/>
        </w:tabs>
        <w:suppressAutoHyphens/>
        <w:spacing w:after="120" w:line="276" w:lineRule="auto"/>
        <w:rPr>
          <w:rFonts w:asciiTheme="minorHAnsi" w:hAnsiTheme="minorHAnsi" w:cstheme="minorHAnsi"/>
          <w:b/>
          <w:sz w:val="22"/>
          <w:szCs w:val="22"/>
        </w:rPr>
      </w:pPr>
    </w:p>
    <w:tbl>
      <w:tblPr>
        <w:tblStyle w:val="TableGrid"/>
        <w:tblW w:w="9445" w:type="dxa"/>
        <w:tblLook w:val="04A0"/>
      </w:tblPr>
      <w:tblGrid>
        <w:gridCol w:w="2048"/>
        <w:gridCol w:w="2048"/>
        <w:gridCol w:w="2829"/>
        <w:gridCol w:w="2520"/>
      </w:tblGrid>
      <w:tr w14:paraId="58F2E3C1" w14:textId="77777777" w:rsidTr="0052073E">
        <w:tblPrEx>
          <w:tblW w:w="9445" w:type="dxa"/>
          <w:tblLook w:val="04A0"/>
        </w:tblPrEx>
        <w:tc>
          <w:tcPr>
            <w:tcW w:w="2048" w:type="dxa"/>
            <w:shd w:val="clear" w:color="auto" w:fill="D9D9D9" w:themeFill="background1" w:themeFillShade="D9"/>
          </w:tcPr>
          <w:p w:rsidR="0052073E" w:rsidRPr="00E622CD" w:rsidP="00E622CD" w14:paraId="1AD59AAC" w14:textId="77777777">
            <w:pPr>
              <w:tabs>
                <w:tab w:val="left" w:pos="-720"/>
              </w:tabs>
              <w:suppressAutoHyphens/>
              <w:spacing w:after="120" w:line="276" w:lineRule="auto"/>
              <w:rPr>
                <w:rFonts w:asciiTheme="minorHAnsi" w:hAnsiTheme="minorHAnsi" w:cstheme="minorHAnsi"/>
                <w:b/>
                <w:sz w:val="22"/>
                <w:szCs w:val="22"/>
              </w:rPr>
            </w:pPr>
          </w:p>
        </w:tc>
        <w:tc>
          <w:tcPr>
            <w:tcW w:w="2048" w:type="dxa"/>
          </w:tcPr>
          <w:p w:rsidR="0052073E" w:rsidRPr="00E622CD" w:rsidP="00E622CD" w14:paraId="0F9B6A9D"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E622CD" w14:paraId="5855D05E"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520" w:type="dxa"/>
          </w:tcPr>
          <w:p w:rsidR="0052073E" w:rsidRPr="00E622CD" w:rsidP="00E622CD" w14:paraId="6F277CFD"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67AD944B" w14:textId="77777777" w:rsidTr="0052073E">
        <w:tblPrEx>
          <w:tblW w:w="9445" w:type="dxa"/>
          <w:tblLook w:val="04A0"/>
        </w:tblPrEx>
        <w:tc>
          <w:tcPr>
            <w:tcW w:w="2048" w:type="dxa"/>
          </w:tcPr>
          <w:p w:rsidR="0052073E" w:rsidRPr="00E622CD" w:rsidP="00E622CD" w14:paraId="7918480A"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BE0594" w14:paraId="33909B2C"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4D9DC46B" w14:textId="77777777">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BE0594" w:rsidP="00BE0594" w14:paraId="38852A1E" w14:textId="77777777">
            <w:pPr>
              <w:tabs>
                <w:tab w:val="left" w:pos="-720"/>
              </w:tabs>
              <w:suppressAutoHyphens/>
              <w:spacing w:after="120" w:line="276" w:lineRule="auto"/>
              <w:jc w:val="center"/>
              <w:rPr>
                <w:rFonts w:asciiTheme="minorHAnsi" w:hAnsiTheme="minorHAnsi" w:cstheme="minorHAnsi"/>
                <w:bCs/>
                <w:sz w:val="22"/>
                <w:szCs w:val="22"/>
              </w:rPr>
            </w:pPr>
          </w:p>
        </w:tc>
      </w:tr>
      <w:tr w14:paraId="2DD2937D" w14:textId="77777777" w:rsidTr="0052073E">
        <w:tblPrEx>
          <w:tblW w:w="9445" w:type="dxa"/>
          <w:tblLook w:val="04A0"/>
        </w:tblPrEx>
        <w:tc>
          <w:tcPr>
            <w:tcW w:w="2048" w:type="dxa"/>
          </w:tcPr>
          <w:p w:rsidR="0052073E" w:rsidRPr="00E622CD" w:rsidP="00E622CD" w14:paraId="091EE175"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BE0594" w14:paraId="00BC01AD"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4798F7DA" w14:textId="77777777">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BE0594" w:rsidP="00BE0594" w14:paraId="52695444" w14:textId="77777777">
            <w:pPr>
              <w:tabs>
                <w:tab w:val="left" w:pos="-720"/>
              </w:tabs>
              <w:suppressAutoHyphens/>
              <w:spacing w:after="120" w:line="276" w:lineRule="auto"/>
              <w:jc w:val="center"/>
              <w:rPr>
                <w:rFonts w:asciiTheme="minorHAnsi" w:hAnsiTheme="minorHAnsi" w:cstheme="minorHAnsi"/>
                <w:bCs/>
                <w:sz w:val="22"/>
                <w:szCs w:val="22"/>
              </w:rPr>
            </w:pPr>
          </w:p>
        </w:tc>
      </w:tr>
      <w:tr w14:paraId="4541B7CF" w14:textId="77777777" w:rsidTr="0052073E">
        <w:tblPrEx>
          <w:tblW w:w="9445" w:type="dxa"/>
          <w:tblLook w:val="04A0"/>
        </w:tblPrEx>
        <w:tc>
          <w:tcPr>
            <w:tcW w:w="2048" w:type="dxa"/>
          </w:tcPr>
          <w:p w:rsidR="0052073E" w:rsidRPr="00E622CD" w:rsidP="00E622CD" w14:paraId="0270F3A3"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BE0594" w14:paraId="423F63CB"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14E449B4" w14:textId="77777777">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BE0594" w:rsidP="00BE0594" w14:paraId="14EC388A" w14:textId="77777777">
            <w:pPr>
              <w:tabs>
                <w:tab w:val="left" w:pos="-720"/>
              </w:tabs>
              <w:suppressAutoHyphens/>
              <w:spacing w:after="120" w:line="276" w:lineRule="auto"/>
              <w:jc w:val="center"/>
              <w:rPr>
                <w:rFonts w:asciiTheme="minorHAnsi" w:hAnsiTheme="minorHAnsi" w:cstheme="minorHAnsi"/>
                <w:bCs/>
                <w:sz w:val="22"/>
                <w:szCs w:val="22"/>
              </w:rPr>
            </w:pPr>
          </w:p>
        </w:tc>
      </w:tr>
    </w:tbl>
    <w:p w:rsidR="00F27AAF" w:rsidRPr="00E622CD" w:rsidP="00E622CD" w14:paraId="05356A74" w14:textId="77777777">
      <w:pPr>
        <w:tabs>
          <w:tab w:val="left" w:pos="-720"/>
        </w:tabs>
        <w:suppressAutoHyphens/>
        <w:spacing w:after="120" w:line="276" w:lineRule="auto"/>
        <w:ind w:left="720"/>
        <w:rPr>
          <w:rFonts w:asciiTheme="minorHAnsi" w:hAnsiTheme="minorHAnsi" w:cstheme="minorHAnsi"/>
          <w:bCs/>
          <w:sz w:val="22"/>
          <w:szCs w:val="22"/>
        </w:rPr>
      </w:pPr>
    </w:p>
    <w:p w:rsidR="00BB03CE" w:rsidRPr="00E622CD" w:rsidP="00E622CD" w14:paraId="6D4186FB" w14:textId="3FC837CF">
      <w:pPr>
        <w:tabs>
          <w:tab w:val="left" w:pos="-720"/>
        </w:tabs>
        <w:suppressAutoHyphens/>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This is </w:t>
      </w:r>
      <w:r w:rsidR="00A67460">
        <w:rPr>
          <w:rFonts w:asciiTheme="minorHAnsi" w:hAnsiTheme="minorHAnsi" w:cstheme="minorHAnsi"/>
          <w:sz w:val="22"/>
          <w:szCs w:val="22"/>
        </w:rPr>
        <w:t>a</w:t>
      </w:r>
      <w:r w:rsidR="007B5CAA">
        <w:rPr>
          <w:rFonts w:asciiTheme="minorHAnsi" w:hAnsiTheme="minorHAnsi" w:cstheme="minorHAnsi"/>
          <w:sz w:val="22"/>
          <w:szCs w:val="22"/>
        </w:rPr>
        <w:t xml:space="preserve"> revi</w:t>
      </w:r>
      <w:r w:rsidR="00A67460">
        <w:rPr>
          <w:rFonts w:asciiTheme="minorHAnsi" w:hAnsiTheme="minorHAnsi" w:cstheme="minorHAnsi"/>
          <w:sz w:val="22"/>
          <w:szCs w:val="22"/>
        </w:rPr>
        <w:t>sion</w:t>
      </w:r>
      <w:r>
        <w:rPr>
          <w:rFonts w:asciiTheme="minorHAnsi" w:hAnsiTheme="minorHAnsi" w:cstheme="minorHAnsi"/>
          <w:sz w:val="22"/>
          <w:szCs w:val="22"/>
        </w:rPr>
        <w:t xml:space="preserve"> of the current information collection.  </w:t>
      </w:r>
      <w:r>
        <w:rPr>
          <w:rFonts w:ascii="Calibri" w:hAnsi="Calibri"/>
          <w:sz w:val="22"/>
          <w:szCs w:val="22"/>
        </w:rPr>
        <w:t xml:space="preserve">The burden of 61,629 respondents/responses for 30,814 hours represents the </w:t>
      </w:r>
      <w:r w:rsidR="00A67460">
        <w:rPr>
          <w:rFonts w:ascii="Calibri" w:hAnsi="Calibri"/>
          <w:sz w:val="22"/>
          <w:szCs w:val="22"/>
        </w:rPr>
        <w:t xml:space="preserve">continued </w:t>
      </w:r>
      <w:r>
        <w:rPr>
          <w:rFonts w:ascii="Calibri" w:hAnsi="Calibri"/>
          <w:sz w:val="22"/>
          <w:szCs w:val="22"/>
        </w:rPr>
        <w:t xml:space="preserve">estimated use of the paper form to collect the required information from affected individuals.  </w:t>
      </w:r>
    </w:p>
    <w:p w:rsidR="00043C32" w:rsidRPr="00E622CD" w:rsidP="00E622CD" w14:paraId="05E436C9" w14:textId="77777777">
      <w:pPr>
        <w:pStyle w:val="ListParagraph"/>
        <w:numPr>
          <w:ilvl w:val="0"/>
          <w:numId w:val="5"/>
        </w:numPr>
        <w:tabs>
          <w:tab w:val="left" w:pos="-720"/>
        </w:tabs>
        <w:suppressAutoHyphens/>
        <w:spacing w:after="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E622CD" w14:paraId="1F166A34"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E622CD" w14:paraId="39F514AC" w14:textId="77777777">
      <w:pPr>
        <w:pStyle w:val="ListParagraph"/>
        <w:numPr>
          <w:ilvl w:val="0"/>
          <w:numId w:val="5"/>
        </w:numPr>
        <w:tabs>
          <w:tab w:val="left" w:pos="-720"/>
        </w:tabs>
        <w:suppressAutoHyphens/>
        <w:spacing w:after="120" w:line="276" w:lineRule="auto"/>
        <w:ind w:left="907" w:hanging="547"/>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E622CD" w14:paraId="0A26E4C7"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E622CD" w14:paraId="1123550D" w14:textId="77777777">
      <w:pPr>
        <w:pStyle w:val="ListParagraph"/>
        <w:numPr>
          <w:ilvl w:val="0"/>
          <w:numId w:val="5"/>
        </w:numPr>
        <w:tabs>
          <w:tab w:val="left" w:pos="-720"/>
        </w:tabs>
        <w:suppressAutoHyphens/>
        <w:spacing w:after="120" w:line="276" w:lineRule="auto"/>
        <w:ind w:left="900"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E622CD" w14:paraId="13829464"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BF9D205" w14:textId="77777777">
    <w:pPr>
      <w:spacing w:before="140" w:line="100" w:lineRule="exact"/>
      <w:rPr>
        <w:sz w:val="10"/>
      </w:rPr>
    </w:pPr>
  </w:p>
  <w:p w:rsidR="00386054" w14:paraId="79FAD830" w14:textId="77777777">
    <w:pPr>
      <w:tabs>
        <w:tab w:val="left" w:pos="0"/>
      </w:tabs>
      <w:suppressAutoHyphens/>
    </w:pPr>
  </w:p>
  <w:p w:rsidR="00386054" w14:paraId="2744A97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DE11A2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AEE" w:rsidP="00043C32" w14:paraId="58D27FCB" w14:textId="77777777">
      <w:r>
        <w:separator/>
      </w:r>
    </w:p>
  </w:footnote>
  <w:footnote w:type="continuationSeparator" w:id="1">
    <w:p w:rsidR="001C4AEE" w:rsidP="00043C32" w14:paraId="4B531D7A" w14:textId="77777777">
      <w:r>
        <w:continuationSeparator/>
      </w:r>
    </w:p>
  </w:footnote>
  <w:footnote w:type="continuationNotice" w:id="2">
    <w:p w:rsidR="001C4AEE" w14:paraId="3680E7EE" w14:textId="77777777"/>
  </w:footnote>
  <w:footnote w:id="3">
    <w:p w:rsidR="00043C32" w:rsidP="00043C32" w14:paraId="0BCDC36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04B7DEA4" w14:textId="3DC362C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A13C4F">
      <w:rPr>
        <w:rFonts w:ascii="Times New Roman" w:hAnsi="Times New Roman"/>
        <w:szCs w:val="24"/>
      </w:rPr>
      <w:t>(XX)</w:t>
    </w:r>
    <w:r w:rsidRPr="00C875E8">
      <w:rPr>
        <w:rFonts w:ascii="Times New Roman" w:hAnsi="Times New Roman"/>
        <w:szCs w:val="24"/>
      </w:rPr>
      <w:t xml:space="preserve"> </w:t>
    </w:r>
    <w:r w:rsidR="00030299">
      <w:rPr>
        <w:rFonts w:ascii="Times New Roman" w:hAnsi="Times New Roman"/>
        <w:szCs w:val="24"/>
      </w:rPr>
      <w:t>1845</w:t>
    </w:r>
    <w:r w:rsidR="007C700A">
      <w:rPr>
        <w:rFonts w:ascii="Times New Roman" w:hAnsi="Times New Roman"/>
        <w:szCs w:val="24"/>
      </w:rPr>
      <w:t>-</w:t>
    </w:r>
    <w:r w:rsidR="00030299">
      <w:rPr>
        <w:rFonts w:ascii="Times New Roman" w:hAnsi="Times New Roman"/>
        <w:szCs w:val="24"/>
      </w:rPr>
      <w:t>0065</w:t>
    </w:r>
    <w:r w:rsidR="00E22FD3">
      <w:rPr>
        <w:rFonts w:ascii="Times New Roman" w:hAnsi="Times New Roman"/>
        <w:szCs w:val="24"/>
      </w:rPr>
      <w:tab/>
    </w:r>
    <w:r w:rsidRPr="00C875E8">
      <w:rPr>
        <w:rFonts w:ascii="Times New Roman" w:hAnsi="Times New Roman"/>
        <w:szCs w:val="24"/>
      </w:rPr>
      <w:t xml:space="preserve">Revised: </w:t>
    </w:r>
    <w:r w:rsidR="001025EE">
      <w:rPr>
        <w:rFonts w:ascii="Times New Roman" w:hAnsi="Times New Roman"/>
        <w:szCs w:val="24"/>
      </w:rPr>
      <w:t>11</w:t>
    </w:r>
    <w:r w:rsidR="007C700A">
      <w:rPr>
        <w:rFonts w:ascii="Times New Roman" w:hAnsi="Times New Roman"/>
        <w:szCs w:val="24"/>
      </w:rPr>
      <w:t>/</w:t>
    </w:r>
    <w:r w:rsidR="001025EE">
      <w:rPr>
        <w:rFonts w:ascii="Times New Roman" w:hAnsi="Times New Roman"/>
        <w:szCs w:val="24"/>
      </w:rPr>
      <w:t>16</w:t>
    </w:r>
    <w:r w:rsidR="007C700A">
      <w:rPr>
        <w:rFonts w:ascii="Times New Roman" w:hAnsi="Times New Roman"/>
        <w:szCs w:val="24"/>
      </w:rPr>
      <w:t>/</w:t>
    </w:r>
    <w:r w:rsidR="00030299">
      <w:rPr>
        <w:rFonts w:ascii="Times New Roman" w:hAnsi="Times New Roman"/>
        <w:szCs w:val="24"/>
      </w:rPr>
      <w:t>2023</w:t>
    </w:r>
  </w:p>
  <w:p w:rsidR="005F4E11" w14:paraId="1CE4E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4"/>
  </w:num>
  <w:num w:numId="5" w16cid:durableId="1933124869">
    <w:abstractNumId w:val="5"/>
  </w:num>
  <w:num w:numId="6" w16cid:durableId="18016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AAA"/>
    <w:rsid w:val="0002290A"/>
    <w:rsid w:val="000251EB"/>
    <w:rsid w:val="00030299"/>
    <w:rsid w:val="00035ED5"/>
    <w:rsid w:val="00043C32"/>
    <w:rsid w:val="000446F5"/>
    <w:rsid w:val="0008380A"/>
    <w:rsid w:val="000852A4"/>
    <w:rsid w:val="00091B31"/>
    <w:rsid w:val="00093017"/>
    <w:rsid w:val="000B203A"/>
    <w:rsid w:val="000B4D56"/>
    <w:rsid w:val="000E22FF"/>
    <w:rsid w:val="001025EE"/>
    <w:rsid w:val="00102B1A"/>
    <w:rsid w:val="0014088C"/>
    <w:rsid w:val="0015572E"/>
    <w:rsid w:val="0017217F"/>
    <w:rsid w:val="001824F3"/>
    <w:rsid w:val="001A315D"/>
    <w:rsid w:val="001A6AE0"/>
    <w:rsid w:val="001B6E6E"/>
    <w:rsid w:val="001C05D3"/>
    <w:rsid w:val="001C4AEE"/>
    <w:rsid w:val="001C73C0"/>
    <w:rsid w:val="001D0C5E"/>
    <w:rsid w:val="001D1998"/>
    <w:rsid w:val="001D2FEB"/>
    <w:rsid w:val="001D35D6"/>
    <w:rsid w:val="001E13B9"/>
    <w:rsid w:val="001E79BD"/>
    <w:rsid w:val="002222E4"/>
    <w:rsid w:val="002225CC"/>
    <w:rsid w:val="00224A3B"/>
    <w:rsid w:val="00226246"/>
    <w:rsid w:val="002264E0"/>
    <w:rsid w:val="00226FBB"/>
    <w:rsid w:val="00240A39"/>
    <w:rsid w:val="00246FE9"/>
    <w:rsid w:val="00250100"/>
    <w:rsid w:val="00254428"/>
    <w:rsid w:val="0025737E"/>
    <w:rsid w:val="00262A69"/>
    <w:rsid w:val="00266BEA"/>
    <w:rsid w:val="002701E1"/>
    <w:rsid w:val="00270AF7"/>
    <w:rsid w:val="00271AB6"/>
    <w:rsid w:val="00297256"/>
    <w:rsid w:val="00297F68"/>
    <w:rsid w:val="002A1D22"/>
    <w:rsid w:val="002A3221"/>
    <w:rsid w:val="002C3520"/>
    <w:rsid w:val="002E14E0"/>
    <w:rsid w:val="002E3781"/>
    <w:rsid w:val="002E7AB3"/>
    <w:rsid w:val="002F55E5"/>
    <w:rsid w:val="003052DA"/>
    <w:rsid w:val="0032078A"/>
    <w:rsid w:val="00324447"/>
    <w:rsid w:val="0032539E"/>
    <w:rsid w:val="00327292"/>
    <w:rsid w:val="0032735A"/>
    <w:rsid w:val="0032748C"/>
    <w:rsid w:val="00327741"/>
    <w:rsid w:val="00335152"/>
    <w:rsid w:val="003772A6"/>
    <w:rsid w:val="00386054"/>
    <w:rsid w:val="003860E4"/>
    <w:rsid w:val="003B1545"/>
    <w:rsid w:val="003D10BE"/>
    <w:rsid w:val="003E1A95"/>
    <w:rsid w:val="003E2DBB"/>
    <w:rsid w:val="003F1C67"/>
    <w:rsid w:val="00405F8B"/>
    <w:rsid w:val="00411101"/>
    <w:rsid w:val="00412915"/>
    <w:rsid w:val="004228C3"/>
    <w:rsid w:val="00422F6D"/>
    <w:rsid w:val="00432541"/>
    <w:rsid w:val="00433059"/>
    <w:rsid w:val="00442E07"/>
    <w:rsid w:val="00444E9D"/>
    <w:rsid w:val="0045668B"/>
    <w:rsid w:val="00470963"/>
    <w:rsid w:val="00476151"/>
    <w:rsid w:val="00481954"/>
    <w:rsid w:val="004907DF"/>
    <w:rsid w:val="0049538C"/>
    <w:rsid w:val="004B379C"/>
    <w:rsid w:val="004C59BD"/>
    <w:rsid w:val="004D0BA1"/>
    <w:rsid w:val="004D1007"/>
    <w:rsid w:val="004D1978"/>
    <w:rsid w:val="004D6420"/>
    <w:rsid w:val="00510820"/>
    <w:rsid w:val="005125C4"/>
    <w:rsid w:val="0052073E"/>
    <w:rsid w:val="00525394"/>
    <w:rsid w:val="00534B4A"/>
    <w:rsid w:val="00537F1A"/>
    <w:rsid w:val="005442F4"/>
    <w:rsid w:val="00545E9D"/>
    <w:rsid w:val="00556A70"/>
    <w:rsid w:val="00575DDA"/>
    <w:rsid w:val="00581C11"/>
    <w:rsid w:val="00592E9E"/>
    <w:rsid w:val="00593A6A"/>
    <w:rsid w:val="00594F63"/>
    <w:rsid w:val="00596265"/>
    <w:rsid w:val="005B5E3C"/>
    <w:rsid w:val="005D596A"/>
    <w:rsid w:val="005F1A46"/>
    <w:rsid w:val="005F4E11"/>
    <w:rsid w:val="00601CD6"/>
    <w:rsid w:val="00612472"/>
    <w:rsid w:val="00616E9C"/>
    <w:rsid w:val="006170A0"/>
    <w:rsid w:val="00623AE4"/>
    <w:rsid w:val="0063639B"/>
    <w:rsid w:val="00653593"/>
    <w:rsid w:val="00674C16"/>
    <w:rsid w:val="006773AA"/>
    <w:rsid w:val="0068567A"/>
    <w:rsid w:val="006866BA"/>
    <w:rsid w:val="00694599"/>
    <w:rsid w:val="006A292A"/>
    <w:rsid w:val="006A38F7"/>
    <w:rsid w:val="006A4EBB"/>
    <w:rsid w:val="006B3FF7"/>
    <w:rsid w:val="006B4172"/>
    <w:rsid w:val="006B61D0"/>
    <w:rsid w:val="006E36B6"/>
    <w:rsid w:val="006E5BEA"/>
    <w:rsid w:val="006E742B"/>
    <w:rsid w:val="006E7767"/>
    <w:rsid w:val="006F2586"/>
    <w:rsid w:val="00702D80"/>
    <w:rsid w:val="00704C7A"/>
    <w:rsid w:val="00713B69"/>
    <w:rsid w:val="0072103D"/>
    <w:rsid w:val="00724AB4"/>
    <w:rsid w:val="0072723C"/>
    <w:rsid w:val="00730224"/>
    <w:rsid w:val="00751DF8"/>
    <w:rsid w:val="00755D99"/>
    <w:rsid w:val="00756FD3"/>
    <w:rsid w:val="00765392"/>
    <w:rsid w:val="00772DDE"/>
    <w:rsid w:val="0078644B"/>
    <w:rsid w:val="00790E3E"/>
    <w:rsid w:val="007A5F49"/>
    <w:rsid w:val="007B5CAA"/>
    <w:rsid w:val="007C0A4C"/>
    <w:rsid w:val="007C700A"/>
    <w:rsid w:val="007C799B"/>
    <w:rsid w:val="007D2380"/>
    <w:rsid w:val="007E00D1"/>
    <w:rsid w:val="007E4EA1"/>
    <w:rsid w:val="007F6104"/>
    <w:rsid w:val="00800D30"/>
    <w:rsid w:val="00802559"/>
    <w:rsid w:val="00802F03"/>
    <w:rsid w:val="0080712D"/>
    <w:rsid w:val="008071AB"/>
    <w:rsid w:val="00807D1A"/>
    <w:rsid w:val="0081772B"/>
    <w:rsid w:val="00820238"/>
    <w:rsid w:val="008240B7"/>
    <w:rsid w:val="00834A62"/>
    <w:rsid w:val="00852F9E"/>
    <w:rsid w:val="00861EBD"/>
    <w:rsid w:val="00874EFE"/>
    <w:rsid w:val="00880CC1"/>
    <w:rsid w:val="00882126"/>
    <w:rsid w:val="008901D1"/>
    <w:rsid w:val="008933F1"/>
    <w:rsid w:val="008A2C38"/>
    <w:rsid w:val="008C1AEF"/>
    <w:rsid w:val="008C1B66"/>
    <w:rsid w:val="008C5675"/>
    <w:rsid w:val="008D0601"/>
    <w:rsid w:val="008D1F11"/>
    <w:rsid w:val="008E5919"/>
    <w:rsid w:val="00902BF9"/>
    <w:rsid w:val="00905951"/>
    <w:rsid w:val="009068E6"/>
    <w:rsid w:val="00907319"/>
    <w:rsid w:val="00912D2C"/>
    <w:rsid w:val="00916EE4"/>
    <w:rsid w:val="009204AB"/>
    <w:rsid w:val="00920F63"/>
    <w:rsid w:val="00922EAB"/>
    <w:rsid w:val="009243F3"/>
    <w:rsid w:val="0093366B"/>
    <w:rsid w:val="00934185"/>
    <w:rsid w:val="00941795"/>
    <w:rsid w:val="00946126"/>
    <w:rsid w:val="00952DF9"/>
    <w:rsid w:val="0095421D"/>
    <w:rsid w:val="00960C86"/>
    <w:rsid w:val="00962F4E"/>
    <w:rsid w:val="009662E1"/>
    <w:rsid w:val="00975570"/>
    <w:rsid w:val="009767AF"/>
    <w:rsid w:val="00981F58"/>
    <w:rsid w:val="00986D0A"/>
    <w:rsid w:val="0098730F"/>
    <w:rsid w:val="009918BF"/>
    <w:rsid w:val="00997157"/>
    <w:rsid w:val="009C2D00"/>
    <w:rsid w:val="009C37AF"/>
    <w:rsid w:val="009C758C"/>
    <w:rsid w:val="009E274F"/>
    <w:rsid w:val="009E3E86"/>
    <w:rsid w:val="009F4E9F"/>
    <w:rsid w:val="00A05E55"/>
    <w:rsid w:val="00A118A2"/>
    <w:rsid w:val="00A13C4F"/>
    <w:rsid w:val="00A145E6"/>
    <w:rsid w:val="00A16E07"/>
    <w:rsid w:val="00A23F26"/>
    <w:rsid w:val="00A302A7"/>
    <w:rsid w:val="00A3624F"/>
    <w:rsid w:val="00A4001C"/>
    <w:rsid w:val="00A40AAB"/>
    <w:rsid w:val="00A40CBE"/>
    <w:rsid w:val="00A46D01"/>
    <w:rsid w:val="00A4717C"/>
    <w:rsid w:val="00A661D9"/>
    <w:rsid w:val="00A67460"/>
    <w:rsid w:val="00A70816"/>
    <w:rsid w:val="00A70A85"/>
    <w:rsid w:val="00A71DA7"/>
    <w:rsid w:val="00A73590"/>
    <w:rsid w:val="00A7636D"/>
    <w:rsid w:val="00A9138E"/>
    <w:rsid w:val="00A92198"/>
    <w:rsid w:val="00AA2CC7"/>
    <w:rsid w:val="00AA5138"/>
    <w:rsid w:val="00AB10FA"/>
    <w:rsid w:val="00AB754B"/>
    <w:rsid w:val="00AC1C89"/>
    <w:rsid w:val="00AC7EDB"/>
    <w:rsid w:val="00AD381B"/>
    <w:rsid w:val="00AE2E95"/>
    <w:rsid w:val="00AF14D2"/>
    <w:rsid w:val="00AF5B5B"/>
    <w:rsid w:val="00AF5D1A"/>
    <w:rsid w:val="00AF7F04"/>
    <w:rsid w:val="00B017F9"/>
    <w:rsid w:val="00B05F08"/>
    <w:rsid w:val="00B07213"/>
    <w:rsid w:val="00B10A05"/>
    <w:rsid w:val="00B133A1"/>
    <w:rsid w:val="00B23D9B"/>
    <w:rsid w:val="00B24FE8"/>
    <w:rsid w:val="00B43C23"/>
    <w:rsid w:val="00B52D84"/>
    <w:rsid w:val="00B54167"/>
    <w:rsid w:val="00B62E06"/>
    <w:rsid w:val="00B632BF"/>
    <w:rsid w:val="00B64B1D"/>
    <w:rsid w:val="00B66DE3"/>
    <w:rsid w:val="00B6729C"/>
    <w:rsid w:val="00B93E24"/>
    <w:rsid w:val="00B9671B"/>
    <w:rsid w:val="00BA1D31"/>
    <w:rsid w:val="00BA26FC"/>
    <w:rsid w:val="00BA4DAC"/>
    <w:rsid w:val="00BB03CE"/>
    <w:rsid w:val="00BC1359"/>
    <w:rsid w:val="00BC1A67"/>
    <w:rsid w:val="00BD763E"/>
    <w:rsid w:val="00BE0594"/>
    <w:rsid w:val="00C00C3C"/>
    <w:rsid w:val="00C06D18"/>
    <w:rsid w:val="00C164D3"/>
    <w:rsid w:val="00C20670"/>
    <w:rsid w:val="00C224FD"/>
    <w:rsid w:val="00C3283F"/>
    <w:rsid w:val="00C63578"/>
    <w:rsid w:val="00C7651A"/>
    <w:rsid w:val="00C838C7"/>
    <w:rsid w:val="00C85226"/>
    <w:rsid w:val="00C86713"/>
    <w:rsid w:val="00C875E8"/>
    <w:rsid w:val="00C92035"/>
    <w:rsid w:val="00CA3479"/>
    <w:rsid w:val="00CB434B"/>
    <w:rsid w:val="00CB4555"/>
    <w:rsid w:val="00CC1E0D"/>
    <w:rsid w:val="00CC2A72"/>
    <w:rsid w:val="00CC3FB5"/>
    <w:rsid w:val="00CD0AE1"/>
    <w:rsid w:val="00CD2067"/>
    <w:rsid w:val="00CD47BC"/>
    <w:rsid w:val="00CE76CF"/>
    <w:rsid w:val="00CF5B80"/>
    <w:rsid w:val="00D04FEA"/>
    <w:rsid w:val="00D345FA"/>
    <w:rsid w:val="00D34984"/>
    <w:rsid w:val="00D3650F"/>
    <w:rsid w:val="00D36C35"/>
    <w:rsid w:val="00D4165B"/>
    <w:rsid w:val="00D563FD"/>
    <w:rsid w:val="00D5660B"/>
    <w:rsid w:val="00D56ABB"/>
    <w:rsid w:val="00D60680"/>
    <w:rsid w:val="00D73FBA"/>
    <w:rsid w:val="00D75313"/>
    <w:rsid w:val="00D76346"/>
    <w:rsid w:val="00D80EA5"/>
    <w:rsid w:val="00D9610A"/>
    <w:rsid w:val="00DA5F5F"/>
    <w:rsid w:val="00DB1C27"/>
    <w:rsid w:val="00DC44F9"/>
    <w:rsid w:val="00DD17B3"/>
    <w:rsid w:val="00DD2E53"/>
    <w:rsid w:val="00DE4BD1"/>
    <w:rsid w:val="00E00B08"/>
    <w:rsid w:val="00E12EC1"/>
    <w:rsid w:val="00E13B6C"/>
    <w:rsid w:val="00E16ACD"/>
    <w:rsid w:val="00E17134"/>
    <w:rsid w:val="00E22FD3"/>
    <w:rsid w:val="00E25EBC"/>
    <w:rsid w:val="00E2732D"/>
    <w:rsid w:val="00E349A2"/>
    <w:rsid w:val="00E4474B"/>
    <w:rsid w:val="00E622CD"/>
    <w:rsid w:val="00E66550"/>
    <w:rsid w:val="00E7767A"/>
    <w:rsid w:val="00E877BF"/>
    <w:rsid w:val="00E87DE8"/>
    <w:rsid w:val="00E915AC"/>
    <w:rsid w:val="00EA1767"/>
    <w:rsid w:val="00EB0929"/>
    <w:rsid w:val="00EB0FA5"/>
    <w:rsid w:val="00EB1FC2"/>
    <w:rsid w:val="00EB2CA7"/>
    <w:rsid w:val="00EB4D32"/>
    <w:rsid w:val="00EB5325"/>
    <w:rsid w:val="00EC01DD"/>
    <w:rsid w:val="00EC2B44"/>
    <w:rsid w:val="00EC35E3"/>
    <w:rsid w:val="00ED047F"/>
    <w:rsid w:val="00ED1680"/>
    <w:rsid w:val="00ED6A06"/>
    <w:rsid w:val="00ED7195"/>
    <w:rsid w:val="00EE7E79"/>
    <w:rsid w:val="00EF4C67"/>
    <w:rsid w:val="00F02D11"/>
    <w:rsid w:val="00F0414F"/>
    <w:rsid w:val="00F070F3"/>
    <w:rsid w:val="00F25E1A"/>
    <w:rsid w:val="00F26291"/>
    <w:rsid w:val="00F27AAF"/>
    <w:rsid w:val="00F31BEC"/>
    <w:rsid w:val="00F40F7E"/>
    <w:rsid w:val="00F5782B"/>
    <w:rsid w:val="00F61DF5"/>
    <w:rsid w:val="00F73131"/>
    <w:rsid w:val="00F74288"/>
    <w:rsid w:val="00F961F9"/>
    <w:rsid w:val="00FA4233"/>
    <w:rsid w:val="00FB1A2A"/>
    <w:rsid w:val="00FB6947"/>
    <w:rsid w:val="00FC669D"/>
    <w:rsid w:val="00FC78AF"/>
    <w:rsid w:val="00FD4F0B"/>
    <w:rsid w:val="00FE02FC"/>
    <w:rsid w:val="00FE1BAE"/>
    <w:rsid w:val="00FE3570"/>
    <w:rsid w:val="00FF47F6"/>
    <w:rsid w:val="00FF750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7368A7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82DE535E-116C-4DF0-ABDE-40AEA7284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2023-11-20T20:17:00Z</dcterms:created>
  <dcterms:modified xsi:type="dcterms:W3CDTF">2023-11-20T20:17:00Z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