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7B0A" w:rsidP="000C1B55" w14:paraId="3FBA19D8" w14:textId="52AB2820">
      <w:pPr>
        <w:pStyle w:val="BodyText3"/>
        <w:tabs>
          <w:tab w:val="left" w:pos="5940"/>
          <w:tab w:val="left" w:pos="6480"/>
        </w:tabs>
        <w:spacing w:after="0" w:line="276" w:lineRule="auto"/>
        <w:ind w:right="80"/>
        <w:rPr>
          <w:rFonts w:ascii="Times New Roman" w:hAnsi="Times New Roman"/>
          <w:b/>
          <w:bCs/>
          <w:sz w:val="24"/>
          <w:szCs w:val="24"/>
        </w:rPr>
      </w:pPr>
      <w:bookmarkStart w:id="0" w:name="_Hlk79568092"/>
      <w:r w:rsidRPr="3655FB78">
        <w:rPr>
          <w:rFonts w:ascii="Times New Roman" w:hAnsi="Times New Roman"/>
          <w:b/>
          <w:bCs/>
          <w:sz w:val="24"/>
          <w:szCs w:val="24"/>
        </w:rPr>
        <w:t>Memorandum                                                                         United States Department of Education</w:t>
      </w:r>
    </w:p>
    <w:p w:rsidR="00D37B0A" w:rsidP="3655FB78" w14:paraId="617E3F4B" w14:textId="77777777">
      <w:pPr>
        <w:pStyle w:val="BodyText3"/>
        <w:tabs>
          <w:tab w:val="left" w:pos="5940"/>
          <w:tab w:val="left" w:pos="6030"/>
        </w:tabs>
        <w:spacing w:after="0" w:line="276" w:lineRule="auto"/>
        <w:ind w:right="570"/>
        <w:rPr>
          <w:rFonts w:ascii="Times New Roman" w:hAnsi="Times New Roman"/>
          <w:b/>
          <w:bCs/>
          <w:sz w:val="24"/>
          <w:szCs w:val="24"/>
        </w:rPr>
      </w:pPr>
      <w:r>
        <w:rPr>
          <w:rFonts w:ascii="Times New Roman" w:hAnsi="Times New Roman"/>
          <w:b/>
          <w:bCs/>
          <w:sz w:val="24"/>
          <w:szCs w:val="24"/>
        </w:rPr>
        <w:t xml:space="preserve">                                                                                                  Institute of Education Sciences</w:t>
      </w:r>
    </w:p>
    <w:p w:rsidR="00D37B0A" w:rsidRPr="00A805DF" w:rsidP="3655FB78" w14:paraId="434F198E" w14:textId="77777777">
      <w:pPr>
        <w:pStyle w:val="BodyText3"/>
        <w:pBdr>
          <w:bottom w:val="single" w:sz="4" w:space="1" w:color="auto"/>
        </w:pBdr>
        <w:tabs>
          <w:tab w:val="left" w:pos="5940"/>
          <w:tab w:val="left" w:pos="6030"/>
        </w:tabs>
        <w:spacing w:after="0" w:line="276" w:lineRule="auto"/>
        <w:ind w:right="-100"/>
        <w:rPr>
          <w:rFonts w:ascii="Times New Roman" w:hAnsi="Times New Roman"/>
          <w:b/>
          <w:bCs/>
          <w:sz w:val="24"/>
          <w:szCs w:val="24"/>
        </w:rPr>
      </w:pPr>
      <w:r w:rsidRPr="00A805DF">
        <w:rPr>
          <w:rFonts w:ascii="Times New Roman" w:hAnsi="Times New Roman"/>
          <w:b/>
          <w:bCs/>
          <w:sz w:val="24"/>
          <w:szCs w:val="24"/>
        </w:rPr>
        <w:t xml:space="preserve">                                                                                                  National Center for Education Statistics</w:t>
      </w:r>
    </w:p>
    <w:p w:rsidR="00085EE4" w:rsidP="007D424E" w14:paraId="17A7E718" w14:textId="63A7601A">
      <w:pPr>
        <w:spacing w:after="0"/>
        <w:ind w:right="570"/>
      </w:pPr>
      <w:r w:rsidRPr="1C40C0CC">
        <w:rPr>
          <w:b/>
          <w:bCs/>
        </w:rPr>
        <w:t>DATE:</w:t>
      </w:r>
      <w:r w:rsidR="4818FF1F">
        <w:tab/>
      </w:r>
      <w:r w:rsidR="4818FF1F">
        <w:tab/>
      </w:r>
      <w:r w:rsidR="00274FCD">
        <w:t>July 6</w:t>
      </w:r>
      <w:r>
        <w:t>, 2023</w:t>
      </w:r>
    </w:p>
    <w:p w:rsidR="00085EE4" w:rsidP="007D424E" w14:paraId="1F5947AE" w14:textId="2A0CB394">
      <w:pPr>
        <w:spacing w:after="0"/>
        <w:ind w:right="570"/>
      </w:pPr>
      <w:r>
        <w:rPr>
          <w:b/>
        </w:rPr>
        <w:t>TO:</w:t>
      </w:r>
      <w:r>
        <w:tab/>
      </w:r>
      <w:r w:rsidR="005D126C">
        <w:tab/>
      </w:r>
      <w:r w:rsidR="00274FCD">
        <w:t>Bev M. Pratt</w:t>
      </w:r>
      <w:r>
        <w:t>, OMB</w:t>
      </w:r>
    </w:p>
    <w:p w:rsidR="00085EE4" w:rsidP="007D424E" w14:paraId="3F1FAE62" w14:textId="77777777">
      <w:pPr>
        <w:spacing w:after="0"/>
        <w:ind w:right="570"/>
      </w:pPr>
      <w:r>
        <w:rPr>
          <w:b/>
        </w:rPr>
        <w:t>THROUGH:</w:t>
      </w:r>
      <w:r>
        <w:tab/>
        <w:t>Carrie Clarady, NCES</w:t>
      </w:r>
    </w:p>
    <w:p w:rsidR="00085EE4" w:rsidP="007D424E" w14:paraId="3D71CD14" w14:textId="3AC7589C">
      <w:pPr>
        <w:spacing w:after="0"/>
        <w:ind w:right="570"/>
      </w:pPr>
      <w:r>
        <w:rPr>
          <w:b/>
        </w:rPr>
        <w:t>FROM:</w:t>
      </w:r>
      <w:r>
        <w:tab/>
      </w:r>
      <w:r w:rsidR="006F1E03">
        <w:t>Stephen Q. Cornman</w:t>
      </w:r>
      <w:r>
        <w:t>, NCES</w:t>
      </w:r>
    </w:p>
    <w:p w:rsidR="000D6A9C" w:rsidP="1C40C0CC" w14:paraId="2429D0DD" w14:textId="0A702166">
      <w:pPr>
        <w:pStyle w:val="Cov-Title"/>
        <w:ind w:left="1440" w:right="570" w:hanging="1440"/>
        <w:jc w:val="left"/>
        <w:rPr>
          <w:rFonts w:eastAsiaTheme="minorEastAsia"/>
        </w:rPr>
      </w:pPr>
      <w:r w:rsidRPr="1C40C0CC">
        <w:rPr>
          <w:rFonts w:ascii="Times New Roman" w:hAnsi="Times New Roman"/>
          <w:b/>
          <w:bCs/>
          <w:sz w:val="22"/>
          <w:szCs w:val="22"/>
        </w:rPr>
        <w:t>SUBJECT:</w:t>
      </w:r>
      <w:r w:rsidR="283240B0">
        <w:tab/>
      </w:r>
      <w:r w:rsidRPr="00B55E0B" w:rsidR="00B55E0B">
        <w:rPr>
          <w:rFonts w:ascii="Times New Roman" w:hAnsi="Times New Roman"/>
          <w:sz w:val="22"/>
          <w:szCs w:val="22"/>
        </w:rPr>
        <w:t>Common Core of Data (CCD) School-Level Finance Survey (SLFS) 2022-2024</w:t>
      </w:r>
      <w:r w:rsidR="00B55E0B">
        <w:rPr>
          <w:rFonts w:ascii="Times New Roman" w:hAnsi="Times New Roman"/>
          <w:sz w:val="22"/>
          <w:szCs w:val="22"/>
        </w:rPr>
        <w:t xml:space="preserve"> </w:t>
      </w:r>
      <w:r w:rsidR="00274FCD">
        <w:rPr>
          <w:rFonts w:ascii="Times New Roman" w:hAnsi="Times New Roman"/>
          <w:sz w:val="22"/>
          <w:szCs w:val="22"/>
        </w:rPr>
        <w:t>Communications</w:t>
      </w:r>
      <w:r w:rsidR="00FF3AAF">
        <w:rPr>
          <w:rFonts w:ascii="Times New Roman" w:hAnsi="Times New Roman"/>
          <w:sz w:val="22"/>
          <w:szCs w:val="22"/>
        </w:rPr>
        <w:t xml:space="preserve"> </w:t>
      </w:r>
      <w:r w:rsidRPr="1C40C0CC">
        <w:rPr>
          <w:rFonts w:ascii="Times New Roman" w:hAnsi="Times New Roman"/>
          <w:sz w:val="22"/>
          <w:szCs w:val="22"/>
        </w:rPr>
        <w:t>Change Request (OMB# 1850-0</w:t>
      </w:r>
      <w:r w:rsidR="00B55E0B">
        <w:rPr>
          <w:rFonts w:ascii="Times New Roman" w:hAnsi="Times New Roman"/>
          <w:sz w:val="22"/>
          <w:szCs w:val="22"/>
        </w:rPr>
        <w:t>930</w:t>
      </w:r>
      <w:r w:rsidRPr="1C40C0CC">
        <w:rPr>
          <w:rFonts w:ascii="Times New Roman" w:hAnsi="Times New Roman"/>
          <w:sz w:val="22"/>
          <w:szCs w:val="22"/>
        </w:rPr>
        <w:t xml:space="preserve"> v.</w:t>
      </w:r>
      <w:r w:rsidR="00274FCD">
        <w:rPr>
          <w:rFonts w:ascii="Times New Roman" w:hAnsi="Times New Roman"/>
          <w:sz w:val="22"/>
          <w:szCs w:val="22"/>
        </w:rPr>
        <w:t>6</w:t>
      </w:r>
      <w:r w:rsidRPr="1C40C0CC">
        <w:rPr>
          <w:rFonts w:ascii="Times New Roman" w:hAnsi="Times New Roman"/>
          <w:sz w:val="22"/>
          <w:szCs w:val="22"/>
        </w:rPr>
        <w:t>)</w:t>
      </w:r>
    </w:p>
    <w:bookmarkEnd w:id="0"/>
    <w:p w:rsidR="005D126C" w:rsidP="007D424E" w14:paraId="40E5D01F" w14:textId="77777777">
      <w:pPr>
        <w:ind w:right="570"/>
      </w:pPr>
    </w:p>
    <w:p w:rsidR="00123A2B" w:rsidP="00123A2B" w14:paraId="5DA80990" w14:textId="77777777">
      <w:pPr>
        <w:ind w:right="-10"/>
      </w:pPr>
      <w:r>
        <w:t xml:space="preserve">NCES annually publishes comprehensive data on the finances of public elementary/secondary schools through the Common Core of Data (CCD). For numerous years, these data have been released at the state level through the National Public Education Financial Survey (NPEFS) (OMB#1850-0067) and at the school district level through the Local Education Agency (School District) Finance Survey (F-33). (OMB# 0607-0700). There is a significant demand for finance data at the school level. Policymakers, researchers, and the public have long voiced concerns about the equitable distribution of school funding within and across school districts. School-level finance data addresses the need for reliable and unbiased measures that can be utilized to compare how resources are distributed among schools within local districts. Education expenditure data are now available at the school level through the </w:t>
      </w:r>
      <w:r>
        <w:t>School</w:t>
      </w:r>
      <w:r>
        <w:t xml:space="preserve">-Level Finance Survey (SLFS). </w:t>
      </w:r>
    </w:p>
    <w:p w:rsidR="00A11D2A" w:rsidRPr="00A11D2A" w:rsidP="00712CBF" w14:paraId="3D45C13E" w14:textId="3672A4CE">
      <w:r>
        <w:t xml:space="preserve">The </w:t>
      </w:r>
      <w:r>
        <w:t>School</w:t>
      </w:r>
      <w:r>
        <w:t xml:space="preserve">-Level Finance Survey (SLFS) data collection is conducted annually by the National Center for Education Statistics (NCES), within the U.S. Department of Education (ED). In November of 2018, the Office of Management and Budget (OMB) approved changes to the SLFS wherein variables have been added to make the SLFS directly analogous to the F-33 Survey and to </w:t>
      </w:r>
      <w:r>
        <w:t>the Every</w:t>
      </w:r>
      <w:r>
        <w:t xml:space="preserve"> Student Succeeds Act (ESSA) provisions on reporting expenditures per-pupil at the local education agency (LEA) and school-level</w:t>
      </w:r>
      <w:r w:rsidR="001F516B">
        <w:t xml:space="preserve">. </w:t>
      </w:r>
      <w:r w:rsidR="00274FCD">
        <w:t xml:space="preserve">A previous </w:t>
      </w:r>
      <w:r>
        <w:t>request include</w:t>
      </w:r>
      <w:r w:rsidR="00245B5F">
        <w:t>d</w:t>
      </w:r>
      <w:r>
        <w:t xml:space="preserve"> considerable modifications to the previous package, </w:t>
      </w:r>
      <w:r w:rsidR="00245B5F">
        <w:t xml:space="preserve">most important of which was </w:t>
      </w:r>
      <w:r w:rsidR="009D248C">
        <w:t>the</w:t>
      </w:r>
      <w:r w:rsidR="009F4BDC">
        <w:t xml:space="preserve"> </w:t>
      </w:r>
      <w:r w:rsidRPr="00DB6A79" w:rsidR="00DB6A79">
        <w:t>propos</w:t>
      </w:r>
      <w:r w:rsidR="009C6613">
        <w:t>al</w:t>
      </w:r>
      <w:r w:rsidR="00E41C10">
        <w:t xml:space="preserve"> </w:t>
      </w:r>
      <w:r w:rsidR="00A12397">
        <w:t xml:space="preserve">for </w:t>
      </w:r>
      <w:r w:rsidRPr="00DB6A79" w:rsidR="00DB6A79">
        <w:t xml:space="preserve">NCES </w:t>
      </w:r>
      <w:r w:rsidR="00A12397">
        <w:t xml:space="preserve">to </w:t>
      </w:r>
      <w:r w:rsidRPr="00DB6A79" w:rsidR="00DB6A79">
        <w:t xml:space="preserve">assist </w:t>
      </w:r>
      <w:r w:rsidR="00F17629">
        <w:t>the Office of Civil Rights (</w:t>
      </w:r>
      <w:r w:rsidRPr="00DB6A79" w:rsidR="00DB6A79">
        <w:t>OCR</w:t>
      </w:r>
      <w:r w:rsidR="00F17629">
        <w:t>)</w:t>
      </w:r>
      <w:r w:rsidRPr="00DB6A79" w:rsidR="00DB6A79">
        <w:t xml:space="preserve"> with collecting school level finance data as part of the</w:t>
      </w:r>
      <w:r w:rsidR="009B0A23">
        <w:t xml:space="preserve"> Civil Right Data Collection</w:t>
      </w:r>
      <w:r w:rsidR="00461BAC">
        <w:t xml:space="preserve"> (</w:t>
      </w:r>
      <w:r w:rsidRPr="00DB6A79" w:rsidR="00DB6A79">
        <w:t>CRDC</w:t>
      </w:r>
      <w:r w:rsidR="008D00E3">
        <w:t>)</w:t>
      </w:r>
      <w:r w:rsidR="00A05BAD">
        <w:t>, resulting in the</w:t>
      </w:r>
      <w:r w:rsidR="009D248C">
        <w:t xml:space="preserve"> establishment of SLFS as a mandatory data collection</w:t>
      </w:r>
      <w:r w:rsidR="00274FCD">
        <w:t>; this package was cleared in April 2023 (OMB# 1850-0930 v.4)</w:t>
      </w:r>
      <w:r w:rsidR="009D248C">
        <w:t>.</w:t>
      </w:r>
      <w:r w:rsidR="00226294">
        <w:t xml:space="preserve"> This was immediately followed by a change request </w:t>
      </w:r>
      <w:r w:rsidR="001F516B">
        <w:t xml:space="preserve">(OMB# 1850-0930 v.5) </w:t>
      </w:r>
      <w:r w:rsidR="00226294">
        <w:t xml:space="preserve">to add the NCES response to public comments that were submitted during the 30D public comment period. </w:t>
      </w:r>
      <w:r w:rsidR="00482246">
        <w:t xml:space="preserve"> </w:t>
      </w:r>
    </w:p>
    <w:p w:rsidR="006D151E" w:rsidP="47B4F56B" w14:paraId="5532D585" w14:textId="61741686">
      <w:pPr>
        <w:ind w:right="-10"/>
      </w:pPr>
      <w:r>
        <w:t xml:space="preserve">NCES is still working to </w:t>
      </w:r>
      <w:r w:rsidR="00980936">
        <w:t>e</w:t>
      </w:r>
      <w:r>
        <w:t xml:space="preserve">nsure that respondents are ready for the changes introduced in </w:t>
      </w:r>
      <w:r w:rsidR="007C1B81">
        <w:t>OMB# 1850-0930 v.4.</w:t>
      </w:r>
      <w:r w:rsidR="00C86057">
        <w:t xml:space="preserve"> This change request is to </w:t>
      </w:r>
      <w:r w:rsidR="007C1B81">
        <w:t xml:space="preserve">clear a letter to be sent </w:t>
      </w:r>
      <w:r w:rsidR="00593D5D">
        <w:t>in Summer 2023</w:t>
      </w:r>
      <w:r w:rsidR="00593D5D">
        <w:t xml:space="preserve"> </w:t>
      </w:r>
      <w:r w:rsidR="007C1B81">
        <w:t>to</w:t>
      </w:r>
      <w:r w:rsidR="00593D5D">
        <w:t xml:space="preserve"> the Fiscal Coordinators of</w:t>
      </w:r>
      <w:r w:rsidR="007C1B81">
        <w:t xml:space="preserve"> State </w:t>
      </w:r>
      <w:r w:rsidR="00593D5D">
        <w:t>Education Agencies who are not currently participating in SLFS</w:t>
      </w:r>
      <w:r w:rsidR="00980936">
        <w:t xml:space="preserve">, ensuring that they’re aware of </w:t>
      </w:r>
      <w:r w:rsidR="00E90840">
        <w:t>how NCES plans to work with states and respondents to facilitate state data submissions. The letter has been added to Appendix A, and</w:t>
      </w:r>
      <w:r w:rsidR="001F516B">
        <w:t xml:space="preserve"> the </w:t>
      </w:r>
      <w:r w:rsidR="001F516B">
        <w:t>full-text</w:t>
      </w:r>
      <w:r w:rsidR="001F516B">
        <w:t xml:space="preserve"> is included below. </w:t>
      </w:r>
      <w:r w:rsidR="007C1B81">
        <w:t xml:space="preserve"> </w:t>
      </w:r>
    </w:p>
    <w:p w:rsidR="001F516B" w:rsidP="47B4F56B" w14:paraId="05A61F87" w14:textId="725FA1DD">
      <w:pPr>
        <w:ind w:right="-10"/>
      </w:pPr>
    </w:p>
    <w:p w:rsidR="001F516B" w14:paraId="59D193EB" w14:textId="0397C8BD">
      <w:pPr>
        <w:spacing w:after="160" w:line="259" w:lineRule="auto"/>
      </w:pPr>
      <w:r>
        <w:br w:type="page"/>
      </w:r>
    </w:p>
    <w:p w:rsidR="00E85D68" w:rsidP="00E85D68" w14:paraId="24C7FF06" w14:textId="7777777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July 5, 2023</w:t>
      </w:r>
    </w:p>
    <w:p w:rsidR="00E85D68" w:rsidP="00E85D68" w14:paraId="278F408E" w14:textId="77777777">
      <w:pPr>
        <w:rPr>
          <w:sz w:val="24"/>
          <w:szCs w:val="24"/>
        </w:rPr>
      </w:pPr>
      <w:r>
        <w:rPr>
          <w:sz w:val="24"/>
          <w:szCs w:val="24"/>
        </w:rPr>
        <w:t xml:space="preserve">Dear </w:t>
      </w:r>
      <w:r>
        <w:rPr>
          <w:sz w:val="24"/>
          <w:szCs w:val="24"/>
        </w:rPr>
        <w:t>State</w:t>
      </w:r>
      <w:r>
        <w:rPr>
          <w:sz w:val="24"/>
          <w:szCs w:val="24"/>
        </w:rPr>
        <w:t xml:space="preserve"> Fiscal Coordinator,</w:t>
      </w:r>
    </w:p>
    <w:p w:rsidR="00E85D68" w:rsidP="00E85D68" w14:paraId="3DAC43FB" w14:textId="77777777">
      <w:pPr>
        <w:ind w:firstLine="720"/>
        <w:rPr>
          <w:sz w:val="24"/>
          <w:szCs w:val="24"/>
        </w:rPr>
      </w:pPr>
      <w:r>
        <w:rPr>
          <w:sz w:val="24"/>
          <w:szCs w:val="24"/>
        </w:rPr>
        <w:t>As you are aware, t</w:t>
      </w:r>
      <w:r w:rsidRPr="008C4B03">
        <w:rPr>
          <w:sz w:val="24"/>
          <w:szCs w:val="24"/>
        </w:rPr>
        <w:t xml:space="preserve">he Office of Management and Budget (OMB) approved the Common Core of Data (CCD) School-Level Finance Survey (SLFS) 2022-2024 package on April 18, </w:t>
      </w:r>
      <w:r w:rsidRPr="008C4B03">
        <w:rPr>
          <w:sz w:val="24"/>
          <w:szCs w:val="24"/>
        </w:rPr>
        <w:t>2023</w:t>
      </w:r>
      <w:r w:rsidRPr="008C4B03">
        <w:rPr>
          <w:sz w:val="24"/>
          <w:szCs w:val="24"/>
        </w:rPr>
        <w:t xml:space="preserve"> and also approved adding the Responses to 30D Comments as a non-substantive change to a currently approved collection on May 19, 2023.</w:t>
      </w:r>
      <w:r>
        <w:rPr>
          <w:sz w:val="24"/>
          <w:szCs w:val="24"/>
        </w:rPr>
        <w:t xml:space="preserve"> </w:t>
      </w:r>
    </w:p>
    <w:p w:rsidR="00E85D68" w:rsidP="00E85D68" w14:paraId="14B8B719" w14:textId="77777777">
      <w:pPr>
        <w:ind w:firstLine="720"/>
        <w:rPr>
          <w:sz w:val="24"/>
          <w:szCs w:val="24"/>
        </w:rPr>
      </w:pPr>
      <w:r>
        <w:rPr>
          <w:sz w:val="24"/>
          <w:szCs w:val="24"/>
        </w:rPr>
        <w:t xml:space="preserve">The </w:t>
      </w:r>
      <w:r w:rsidRPr="000E18E5">
        <w:rPr>
          <w:sz w:val="24"/>
          <w:szCs w:val="24"/>
        </w:rPr>
        <w:t xml:space="preserve">proposal for NCES to assist </w:t>
      </w:r>
      <w:r>
        <w:rPr>
          <w:sz w:val="24"/>
          <w:szCs w:val="24"/>
        </w:rPr>
        <w:t>the Office of Civil Rights (</w:t>
      </w:r>
      <w:r w:rsidRPr="000E18E5">
        <w:rPr>
          <w:sz w:val="24"/>
          <w:szCs w:val="24"/>
        </w:rPr>
        <w:t>OCR</w:t>
      </w:r>
      <w:r>
        <w:rPr>
          <w:sz w:val="24"/>
          <w:szCs w:val="24"/>
        </w:rPr>
        <w:t>)</w:t>
      </w:r>
      <w:r w:rsidRPr="000E18E5">
        <w:rPr>
          <w:sz w:val="24"/>
          <w:szCs w:val="24"/>
        </w:rPr>
        <w:t xml:space="preserve"> with collecting school level finance data as part of the </w:t>
      </w:r>
      <w:r>
        <w:rPr>
          <w:sz w:val="24"/>
          <w:szCs w:val="24"/>
        </w:rPr>
        <w:t>Civil Rights Data Collection (</w:t>
      </w:r>
      <w:r w:rsidRPr="000E18E5">
        <w:rPr>
          <w:sz w:val="24"/>
          <w:szCs w:val="24"/>
        </w:rPr>
        <w:t>CRDC</w:t>
      </w:r>
      <w:r>
        <w:rPr>
          <w:sz w:val="24"/>
          <w:szCs w:val="24"/>
        </w:rPr>
        <w:t>)</w:t>
      </w:r>
      <w:r w:rsidRPr="000E18E5">
        <w:rPr>
          <w:sz w:val="24"/>
          <w:szCs w:val="24"/>
        </w:rPr>
        <w:t xml:space="preserve"> for fiscal years 2022 through 2024 requires the following</w:t>
      </w:r>
      <w:r>
        <w:rPr>
          <w:sz w:val="24"/>
          <w:szCs w:val="24"/>
        </w:rPr>
        <w:t xml:space="preserve"> under an incremental action plan</w:t>
      </w:r>
      <w:r w:rsidRPr="000E18E5">
        <w:rPr>
          <w:sz w:val="24"/>
          <w:szCs w:val="24"/>
        </w:rPr>
        <w:t>:</w:t>
      </w:r>
    </w:p>
    <w:p w:rsidR="00E85D68" w:rsidRPr="000E18E5" w:rsidP="00E85D68" w14:paraId="0D54F56E" w14:textId="77777777">
      <w:pPr>
        <w:numPr>
          <w:ilvl w:val="0"/>
          <w:numId w:val="48"/>
        </w:numPr>
        <w:spacing w:after="160"/>
        <w:rPr>
          <w:sz w:val="24"/>
          <w:szCs w:val="24"/>
        </w:rPr>
      </w:pPr>
      <w:r w:rsidRPr="000E18E5">
        <w:rPr>
          <w:sz w:val="24"/>
          <w:szCs w:val="24"/>
        </w:rPr>
        <w:t>SEAs to report total current expenditures for each public PK-12 school within the state in school year 2021-22;</w:t>
      </w:r>
      <w:r>
        <w:rPr>
          <w:sz w:val="24"/>
          <w:szCs w:val="24"/>
        </w:rPr>
        <w:t xml:space="preserve"> and</w:t>
      </w:r>
    </w:p>
    <w:p w:rsidR="00E85D68" w:rsidP="00E85D68" w14:paraId="0F582B0C" w14:textId="77777777">
      <w:pPr>
        <w:numPr>
          <w:ilvl w:val="0"/>
          <w:numId w:val="48"/>
        </w:numPr>
        <w:spacing w:after="160"/>
        <w:rPr>
          <w:sz w:val="24"/>
          <w:szCs w:val="24"/>
        </w:rPr>
      </w:pPr>
      <w:r w:rsidRPr="000E18E5">
        <w:rPr>
          <w:sz w:val="24"/>
          <w:szCs w:val="24"/>
        </w:rPr>
        <w:t xml:space="preserve">SEAs to report total current expenditures by four subfunctions and three exhibits in school years 2022-23 and 2023-24. </w:t>
      </w:r>
    </w:p>
    <w:p w:rsidR="00E85D68" w:rsidP="00E85D68" w14:paraId="447813AC" w14:textId="77777777">
      <w:pPr>
        <w:ind w:firstLine="720"/>
        <w:rPr>
          <w:sz w:val="24"/>
          <w:szCs w:val="24"/>
        </w:rPr>
      </w:pPr>
      <w:r w:rsidRPr="00701B2B">
        <w:rPr>
          <w:sz w:val="24"/>
          <w:szCs w:val="24"/>
        </w:rPr>
        <w:t>SEA respondents have the option – and are encouraged to – report additional expenditure data for each public (PK-12) school in the State as requested on the SLFS form for the FY 22, FY 23, and FY 24 data collections.</w:t>
      </w:r>
    </w:p>
    <w:p w:rsidR="00E85D68" w:rsidP="00E85D68" w14:paraId="4D977CAF" w14:textId="77777777">
      <w:pPr>
        <w:ind w:firstLine="720"/>
        <w:rPr>
          <w:sz w:val="24"/>
          <w:szCs w:val="24"/>
        </w:rPr>
      </w:pPr>
      <w:r>
        <w:rPr>
          <w:sz w:val="24"/>
          <w:szCs w:val="24"/>
        </w:rPr>
        <w:t xml:space="preserve">The purpose of this letter is to reiterate that NCES and the Census Bureau are flexible pertaining to the implementation of the SLFS incremental action plan. The </w:t>
      </w:r>
      <w:r w:rsidRPr="008C4B03">
        <w:rPr>
          <w:sz w:val="24"/>
          <w:szCs w:val="24"/>
        </w:rPr>
        <w:t>Responses to 30D Comments</w:t>
      </w:r>
      <w:r>
        <w:rPr>
          <w:sz w:val="24"/>
          <w:szCs w:val="24"/>
        </w:rPr>
        <w:t xml:space="preserve"> on the </w:t>
      </w:r>
      <w:r w:rsidRPr="008C4B03">
        <w:rPr>
          <w:sz w:val="24"/>
          <w:szCs w:val="24"/>
        </w:rPr>
        <w:t>SLFS 2022-2024 package</w:t>
      </w:r>
      <w:r>
        <w:rPr>
          <w:sz w:val="24"/>
          <w:szCs w:val="24"/>
        </w:rPr>
        <w:t xml:space="preserve"> states that, “NCES will carefully listen to the comments of State Fiscal Coordinators regarding whether the incremental action plan should be applied in a flexible manner. For example, is anticipated that schools will be able to collect and report </w:t>
      </w:r>
      <w:r w:rsidRPr="716ED7A9">
        <w:rPr>
          <w:sz w:val="24"/>
          <w:szCs w:val="24"/>
        </w:rPr>
        <w:t>total current expenditures for Instruction (function 1000)</w:t>
      </w:r>
      <w:r>
        <w:rPr>
          <w:sz w:val="24"/>
          <w:szCs w:val="24"/>
        </w:rPr>
        <w:t xml:space="preserve"> and </w:t>
      </w:r>
      <w:r w:rsidRPr="716ED7A9">
        <w:rPr>
          <w:sz w:val="24"/>
          <w:szCs w:val="24"/>
        </w:rPr>
        <w:t>Instructional Staff Support Services (function 2200)</w:t>
      </w:r>
      <w:r>
        <w:rPr>
          <w:sz w:val="24"/>
          <w:szCs w:val="24"/>
        </w:rPr>
        <w:t xml:space="preserve"> as that data includes </w:t>
      </w:r>
      <w:r w:rsidRPr="0528E49E">
        <w:rPr>
          <w:sz w:val="24"/>
          <w:szCs w:val="24"/>
        </w:rPr>
        <w:t xml:space="preserve">salaries and benefits for teachers, teaching assistants, librarians and library aides, </w:t>
      </w:r>
      <w:r>
        <w:rPr>
          <w:sz w:val="24"/>
          <w:szCs w:val="24"/>
        </w:rPr>
        <w:t xml:space="preserve">and </w:t>
      </w:r>
      <w:r w:rsidRPr="0528E49E">
        <w:rPr>
          <w:sz w:val="24"/>
          <w:szCs w:val="24"/>
        </w:rPr>
        <w:t>in-service teacher trainers</w:t>
      </w:r>
      <w:r>
        <w:rPr>
          <w:sz w:val="24"/>
          <w:szCs w:val="24"/>
        </w:rPr>
        <w:t>.</w:t>
      </w:r>
      <w:r w:rsidRPr="001E3D0F">
        <w:rPr>
          <w:sz w:val="24"/>
          <w:szCs w:val="24"/>
        </w:rPr>
        <w:t xml:space="preserve"> </w:t>
      </w:r>
      <w:r w:rsidRPr="0528E49E">
        <w:rPr>
          <w:sz w:val="24"/>
          <w:szCs w:val="24"/>
        </w:rPr>
        <w:t>(</w:t>
      </w:r>
      <w:r w:rsidRPr="0528E49E">
        <w:rPr>
          <w:color w:val="000000" w:themeColor="text1"/>
          <w:sz w:val="24"/>
          <w:szCs w:val="24"/>
        </w:rPr>
        <w:t xml:space="preserve">Cornman, Phillips, Howell, and Zhou, 2022, fn. </w:t>
      </w:r>
      <w:r>
        <w:rPr>
          <w:color w:val="000000" w:themeColor="text1"/>
          <w:sz w:val="24"/>
          <w:szCs w:val="24"/>
        </w:rPr>
        <w:t>5</w:t>
      </w:r>
      <w:r w:rsidRPr="0528E49E">
        <w:rPr>
          <w:color w:val="000000" w:themeColor="text1"/>
          <w:sz w:val="24"/>
          <w:szCs w:val="24"/>
        </w:rPr>
        <w:t>).</w:t>
      </w:r>
      <w:r>
        <w:rPr>
          <w:rStyle w:val="FootnoteReference"/>
          <w:color w:val="000000" w:themeColor="text1"/>
          <w:sz w:val="24"/>
          <w:szCs w:val="24"/>
        </w:rPr>
        <w:footnoteReference w:id="2"/>
      </w:r>
      <w:r>
        <w:rPr>
          <w:sz w:val="24"/>
          <w:szCs w:val="24"/>
        </w:rPr>
        <w:t xml:space="preserve"> Personnel at the school-level are cognizant of the </w:t>
      </w:r>
      <w:r w:rsidRPr="0528E49E">
        <w:rPr>
          <w:sz w:val="24"/>
          <w:szCs w:val="24"/>
        </w:rPr>
        <w:t>salaries and benefits for teachers</w:t>
      </w:r>
      <w:r>
        <w:rPr>
          <w:sz w:val="24"/>
          <w:szCs w:val="24"/>
        </w:rPr>
        <w:t xml:space="preserve"> as well as</w:t>
      </w:r>
      <w:r w:rsidRPr="0528E49E">
        <w:rPr>
          <w:sz w:val="24"/>
          <w:szCs w:val="24"/>
        </w:rPr>
        <w:t xml:space="preserve"> teaching assistants</w:t>
      </w:r>
      <w:r>
        <w:rPr>
          <w:sz w:val="24"/>
          <w:szCs w:val="24"/>
        </w:rPr>
        <w:t xml:space="preserve"> for their respective schools. School-level personnel also have access to</w:t>
      </w:r>
      <w:r w:rsidRPr="00DE7756">
        <w:rPr>
          <w:sz w:val="24"/>
          <w:szCs w:val="24"/>
        </w:rPr>
        <w:t xml:space="preserve"> </w:t>
      </w:r>
      <w:r>
        <w:rPr>
          <w:sz w:val="24"/>
          <w:szCs w:val="24"/>
        </w:rPr>
        <w:t xml:space="preserve">expenditures incurred for curriculum development, student assessment, technology, and </w:t>
      </w:r>
      <w:r w:rsidRPr="0528E49E">
        <w:rPr>
          <w:sz w:val="24"/>
          <w:szCs w:val="24"/>
        </w:rPr>
        <w:t>supplies and purchased services related to those activities</w:t>
      </w:r>
      <w:r>
        <w:rPr>
          <w:sz w:val="24"/>
          <w:szCs w:val="24"/>
        </w:rPr>
        <w:t>, which encompasses the balance of c</w:t>
      </w:r>
      <w:r w:rsidRPr="716ED7A9">
        <w:rPr>
          <w:sz w:val="24"/>
          <w:szCs w:val="24"/>
        </w:rPr>
        <w:t xml:space="preserve">urrent expenditures for Instruction </w:t>
      </w:r>
      <w:r>
        <w:rPr>
          <w:sz w:val="24"/>
          <w:szCs w:val="24"/>
        </w:rPr>
        <w:t xml:space="preserve">and </w:t>
      </w:r>
      <w:r w:rsidRPr="716ED7A9">
        <w:rPr>
          <w:sz w:val="24"/>
          <w:szCs w:val="24"/>
        </w:rPr>
        <w:t>Instructional Staff Support Services</w:t>
      </w:r>
      <w:r>
        <w:rPr>
          <w:sz w:val="24"/>
          <w:szCs w:val="24"/>
        </w:rPr>
        <w:t xml:space="preserve">. It is also anticipated that schools will be able to collect and report </w:t>
      </w:r>
      <w:r w:rsidRPr="008A1AAD">
        <w:rPr>
          <w:sz w:val="24"/>
          <w:szCs w:val="24"/>
        </w:rPr>
        <w:t>total current expenditures for School Administration Support Services (function 2400).</w:t>
      </w:r>
      <w:r>
        <w:rPr>
          <w:sz w:val="24"/>
          <w:szCs w:val="24"/>
        </w:rPr>
        <w:t xml:space="preserve">” (pg. 10-11).          </w:t>
      </w:r>
    </w:p>
    <w:p w:rsidR="00E85D68" w:rsidP="00E85D68" w14:paraId="47971F30" w14:textId="77777777">
      <w:pPr>
        <w:ind w:firstLine="720"/>
        <w:rPr>
          <w:color w:val="000000" w:themeColor="text1"/>
        </w:rPr>
      </w:pPr>
      <w:r>
        <w:rPr>
          <w:sz w:val="24"/>
          <w:szCs w:val="24"/>
        </w:rPr>
        <w:t xml:space="preserve">The </w:t>
      </w:r>
      <w:r w:rsidRPr="008C4B03">
        <w:rPr>
          <w:sz w:val="24"/>
          <w:szCs w:val="24"/>
        </w:rPr>
        <w:t>Responses to 30D Comments</w:t>
      </w:r>
      <w:r>
        <w:rPr>
          <w:sz w:val="24"/>
          <w:szCs w:val="24"/>
        </w:rPr>
        <w:t xml:space="preserve"> on the </w:t>
      </w:r>
      <w:r w:rsidRPr="008C4B03">
        <w:rPr>
          <w:sz w:val="24"/>
          <w:szCs w:val="24"/>
        </w:rPr>
        <w:t>SLFS 2022-2024 package</w:t>
      </w:r>
      <w:r>
        <w:rPr>
          <w:sz w:val="24"/>
          <w:szCs w:val="24"/>
        </w:rPr>
        <w:t xml:space="preserve"> further states that, “If SEAs cannot immediately report expenditures for </w:t>
      </w:r>
      <w:r w:rsidRPr="716ED7A9">
        <w:rPr>
          <w:sz w:val="24"/>
          <w:szCs w:val="24"/>
        </w:rPr>
        <w:t>Student Support Services (function 2100)</w:t>
      </w:r>
      <w:r>
        <w:rPr>
          <w:sz w:val="24"/>
          <w:szCs w:val="24"/>
        </w:rPr>
        <w:t xml:space="preserve">, which includes </w:t>
      </w:r>
      <w:r w:rsidRPr="0528E49E">
        <w:rPr>
          <w:sz w:val="24"/>
          <w:szCs w:val="24"/>
        </w:rPr>
        <w:t>activities designed to assess and improve the well-being of students</w:t>
      </w:r>
      <w:r>
        <w:rPr>
          <w:sz w:val="24"/>
          <w:szCs w:val="24"/>
        </w:rPr>
        <w:t xml:space="preserve"> </w:t>
      </w:r>
      <w:r w:rsidRPr="00D656C3">
        <w:rPr>
          <w:sz w:val="24"/>
          <w:szCs w:val="24"/>
        </w:rPr>
        <w:t>(</w:t>
      </w:r>
      <w:r w:rsidRPr="00D656C3">
        <w:rPr>
          <w:sz w:val="24"/>
          <w:szCs w:val="24"/>
        </w:rPr>
        <w:t>e.g.</w:t>
      </w:r>
      <w:r w:rsidRPr="00D656C3">
        <w:rPr>
          <w:sz w:val="24"/>
          <w:szCs w:val="24"/>
        </w:rPr>
        <w:t xml:space="preserve"> </w:t>
      </w:r>
      <w:r w:rsidRPr="00D656C3">
        <w:rPr>
          <w:color w:val="000000" w:themeColor="text1"/>
          <w:sz w:val="24"/>
          <w:szCs w:val="24"/>
        </w:rPr>
        <w:t xml:space="preserve">administrative, guidance, </w:t>
      </w:r>
      <w:r w:rsidRPr="00D656C3">
        <w:rPr>
          <w:color w:val="000000" w:themeColor="text1"/>
          <w:sz w:val="24"/>
          <w:szCs w:val="24"/>
        </w:rPr>
        <w:t xml:space="preserve">health, and logistical support), </w:t>
      </w:r>
      <w:r w:rsidRPr="00CA1D58">
        <w:rPr>
          <w:color w:val="000000" w:themeColor="text1"/>
          <w:sz w:val="24"/>
          <w:szCs w:val="24"/>
        </w:rPr>
        <w:t>NCES will be flexible and focus on developing the capacity of school-level personnel to collect and report these expenditures going forward.</w:t>
      </w:r>
      <w:r w:rsidRPr="008C69E8">
        <w:rPr>
          <w:sz w:val="24"/>
          <w:szCs w:val="24"/>
        </w:rPr>
        <w:t xml:space="preserve"> </w:t>
      </w:r>
      <w:r w:rsidRPr="0528E49E">
        <w:rPr>
          <w:sz w:val="24"/>
          <w:szCs w:val="24"/>
        </w:rPr>
        <w:t>(Allison, 2015, p. 123).</w:t>
      </w:r>
      <w:r>
        <w:rPr>
          <w:rStyle w:val="FootnoteReference"/>
          <w:sz w:val="24"/>
          <w:szCs w:val="24"/>
        </w:rPr>
        <w:footnoteReference w:id="3"/>
      </w:r>
      <w:r w:rsidRPr="0528E49E">
        <w:rPr>
          <w:sz w:val="24"/>
          <w:szCs w:val="24"/>
        </w:rPr>
        <w:t xml:space="preserve"> </w:t>
      </w:r>
      <w:r>
        <w:rPr>
          <w:color w:val="000000" w:themeColor="text1"/>
        </w:rPr>
        <w:t xml:space="preserve"> </w:t>
      </w:r>
      <w:r w:rsidRPr="00A378ED">
        <w:rPr>
          <w:sz w:val="24"/>
          <w:szCs w:val="24"/>
        </w:rPr>
        <w:t xml:space="preserve">NCES will </w:t>
      </w:r>
      <w:r>
        <w:rPr>
          <w:sz w:val="24"/>
          <w:szCs w:val="24"/>
        </w:rPr>
        <w:t>p</w:t>
      </w:r>
      <w:r w:rsidRPr="00A378ED">
        <w:rPr>
          <w:sz w:val="24"/>
          <w:szCs w:val="24"/>
        </w:rPr>
        <w:t>rovide technical support to State Fiscal Coordinators</w:t>
      </w:r>
      <w:r>
        <w:rPr>
          <w:sz w:val="24"/>
          <w:szCs w:val="24"/>
        </w:rPr>
        <w:t xml:space="preserve"> on how to collect and report expenditures related to student health and guidance by conducting quarterly </w:t>
      </w:r>
      <w:r w:rsidRPr="00A378ED">
        <w:rPr>
          <w:sz w:val="24"/>
          <w:szCs w:val="24"/>
        </w:rPr>
        <w:t>interactive webinars</w:t>
      </w:r>
      <w:r>
        <w:rPr>
          <w:sz w:val="24"/>
          <w:szCs w:val="24"/>
        </w:rPr>
        <w:t>, including cross-training by other SEAs.</w:t>
      </w:r>
      <w:r>
        <w:rPr>
          <w:rStyle w:val="FootnoteReference"/>
          <w:sz w:val="24"/>
          <w:szCs w:val="24"/>
        </w:rPr>
        <w:footnoteReference w:id="4"/>
      </w:r>
      <w:r>
        <w:rPr>
          <w:sz w:val="24"/>
          <w:szCs w:val="24"/>
        </w:rPr>
        <w:t xml:space="preserve"> Therefore, if SEAs cannot report expenditures for one of four data items in the SLFS incremental action plan, such as </w:t>
      </w:r>
      <w:r w:rsidRPr="716ED7A9">
        <w:rPr>
          <w:sz w:val="24"/>
          <w:szCs w:val="24"/>
        </w:rPr>
        <w:t>Student Support Services</w:t>
      </w:r>
      <w:r>
        <w:rPr>
          <w:sz w:val="24"/>
          <w:szCs w:val="24"/>
        </w:rPr>
        <w:t xml:space="preserve">, NCES will provide the opportunity for an extension of time the States to develop the ability to report the data.” (pg. 11).     </w:t>
      </w:r>
      <w:r>
        <w:rPr>
          <w:color w:val="000000" w:themeColor="text1"/>
        </w:rPr>
        <w:t xml:space="preserve">  </w:t>
      </w:r>
    </w:p>
    <w:p w:rsidR="00E85D68" w:rsidP="00E85D68" w14:paraId="0B945792" w14:textId="77777777">
      <w:pPr>
        <w:ind w:firstLine="720"/>
        <w:rPr>
          <w:sz w:val="24"/>
          <w:szCs w:val="24"/>
        </w:rPr>
      </w:pPr>
      <w:r w:rsidRPr="0036448B">
        <w:rPr>
          <w:sz w:val="24"/>
          <w:szCs w:val="24"/>
        </w:rPr>
        <w:t xml:space="preserve">The NCES Response to </w:t>
      </w:r>
      <w:r>
        <w:rPr>
          <w:sz w:val="24"/>
          <w:szCs w:val="24"/>
        </w:rPr>
        <w:t xml:space="preserve">the </w:t>
      </w:r>
      <w:r w:rsidRPr="008C4B03">
        <w:rPr>
          <w:sz w:val="24"/>
          <w:szCs w:val="24"/>
        </w:rPr>
        <w:t>30D Comments</w:t>
      </w:r>
      <w:r>
        <w:rPr>
          <w:sz w:val="24"/>
          <w:szCs w:val="24"/>
        </w:rPr>
        <w:t xml:space="preserve"> on the </w:t>
      </w:r>
      <w:r w:rsidRPr="008C4B03">
        <w:rPr>
          <w:sz w:val="24"/>
          <w:szCs w:val="24"/>
        </w:rPr>
        <w:t>SLFS 2022-2024 package</w:t>
      </w:r>
      <w:r w:rsidRPr="0036448B">
        <w:rPr>
          <w:sz w:val="24"/>
          <w:szCs w:val="24"/>
        </w:rPr>
        <w:t xml:space="preserve"> can be viewed at:</w:t>
      </w:r>
      <w:r>
        <w:rPr>
          <w:sz w:val="24"/>
          <w:szCs w:val="24"/>
        </w:rPr>
        <w:t xml:space="preserve"> </w:t>
      </w:r>
      <w:hyperlink r:id="rId6" w:history="1">
        <w:r>
          <w:rPr>
            <w:rStyle w:val="Hyperlink"/>
            <w:sz w:val="24"/>
            <w:szCs w:val="24"/>
          </w:rPr>
          <w:t>https://www.reginfo.gov/public/do/PRAViewDocument?ref_nbr=202305-1850-005</w:t>
        </w:r>
      </w:hyperlink>
      <w:r>
        <w:rPr>
          <w:rStyle w:val="Hyperlink"/>
          <w:color w:val="000000" w:themeColor="text1"/>
          <w:sz w:val="24"/>
          <w:szCs w:val="24"/>
        </w:rPr>
        <w:t>.</w:t>
      </w:r>
      <w:r>
        <w:rPr>
          <w:rStyle w:val="Hyperlink"/>
          <w:sz w:val="24"/>
          <w:szCs w:val="24"/>
        </w:rPr>
        <w:t xml:space="preserve">    </w:t>
      </w:r>
    </w:p>
    <w:p w:rsidR="00E85D68" w:rsidP="00E85D68" w14:paraId="54F03B6D" w14:textId="77777777">
      <w:pPr>
        <w:ind w:firstLine="720"/>
        <w:rPr>
          <w:sz w:val="24"/>
          <w:szCs w:val="24"/>
        </w:rPr>
      </w:pPr>
      <w:r>
        <w:rPr>
          <w:sz w:val="24"/>
          <w:szCs w:val="24"/>
        </w:rPr>
        <w:t>NCES and Census Bureau will conduct training on submission of the FY 22 SLFS data on August 10</w:t>
      </w:r>
      <w:r w:rsidRPr="005531F2">
        <w:rPr>
          <w:sz w:val="24"/>
          <w:szCs w:val="24"/>
          <w:vertAlign w:val="superscript"/>
        </w:rPr>
        <w:t>th</w:t>
      </w:r>
      <w:r>
        <w:rPr>
          <w:sz w:val="24"/>
          <w:szCs w:val="24"/>
        </w:rPr>
        <w:t xml:space="preserve"> at 9:00 AM during the 2023 STATS-DC data conference in Bethesda, Maryland. This training will be offered in-person for State Fiscal Coordinators and a virtual link will be provided in the immediate future. </w:t>
      </w:r>
    </w:p>
    <w:p w:rsidR="00E85D68" w:rsidRPr="00857968" w:rsidP="00E85D68" w14:paraId="1F24B811" w14:textId="77777777">
      <w:pPr>
        <w:ind w:firstLine="720"/>
        <w:rPr>
          <w:sz w:val="24"/>
          <w:szCs w:val="24"/>
        </w:rPr>
      </w:pPr>
      <w:r w:rsidRPr="00857968">
        <w:rPr>
          <w:sz w:val="24"/>
          <w:szCs w:val="24"/>
        </w:rPr>
        <w:t xml:space="preserve">NCES and Census Bureau staff members are ready to formally meet with your staff members pertaining to </w:t>
      </w:r>
      <w:r>
        <w:rPr>
          <w:sz w:val="24"/>
          <w:szCs w:val="24"/>
        </w:rPr>
        <w:t xml:space="preserve">questions about the </w:t>
      </w:r>
      <w:r w:rsidRPr="00857968">
        <w:rPr>
          <w:sz w:val="24"/>
          <w:szCs w:val="24"/>
        </w:rPr>
        <w:t>SLFS</w:t>
      </w:r>
      <w:r>
        <w:rPr>
          <w:sz w:val="24"/>
          <w:szCs w:val="24"/>
        </w:rPr>
        <w:t xml:space="preserve"> FY </w:t>
      </w:r>
      <w:r w:rsidRPr="00857968">
        <w:rPr>
          <w:sz w:val="24"/>
          <w:szCs w:val="24"/>
        </w:rPr>
        <w:t>2022-2024</w:t>
      </w:r>
      <w:r>
        <w:rPr>
          <w:sz w:val="24"/>
          <w:szCs w:val="24"/>
        </w:rPr>
        <w:t xml:space="preserve"> data collection</w:t>
      </w:r>
      <w:r w:rsidRPr="00857968">
        <w:rPr>
          <w:sz w:val="24"/>
          <w:szCs w:val="24"/>
        </w:rPr>
        <w:t>. I</w:t>
      </w:r>
      <w:r>
        <w:rPr>
          <w:sz w:val="24"/>
          <w:szCs w:val="24"/>
        </w:rPr>
        <w:t xml:space="preserve">f you would like to schedule a meeting or have any other questions or concerns, </w:t>
      </w:r>
      <w:r w:rsidRPr="00857968">
        <w:rPr>
          <w:sz w:val="24"/>
          <w:szCs w:val="24"/>
        </w:rPr>
        <w:t xml:space="preserve">I can be reached via email at </w:t>
      </w:r>
      <w:hyperlink r:id="rId7" w:history="1">
        <w:r w:rsidRPr="00857968">
          <w:rPr>
            <w:rStyle w:val="Hyperlink"/>
            <w:sz w:val="24"/>
            <w:szCs w:val="24"/>
          </w:rPr>
          <w:t>stephen.cornman@ed.gov</w:t>
        </w:r>
      </w:hyperlink>
      <w:r>
        <w:rPr>
          <w:sz w:val="24"/>
          <w:szCs w:val="24"/>
        </w:rPr>
        <w:t>.</w:t>
      </w:r>
      <w:r w:rsidRPr="00857968">
        <w:rPr>
          <w:sz w:val="24"/>
          <w:szCs w:val="24"/>
        </w:rPr>
        <w:t xml:space="preserve"> </w:t>
      </w:r>
    </w:p>
    <w:p w:rsidR="00E85D68" w:rsidP="00E85D68" w14:paraId="5EB61421" w14:textId="7777777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Sincerely,</w:t>
      </w:r>
    </w:p>
    <w:p w:rsidR="00E85D68" w:rsidP="00E85D68" w14:paraId="0A2F196C" w14:textId="7777777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1" w:name="_MailAutoSig"/>
      <w:r>
        <w:rPr>
          <w:noProof/>
          <w:sz w:val="24"/>
          <w:szCs w:val="24"/>
        </w:rPr>
        <w:drawing>
          <wp:inline distT="0" distB="0" distL="0" distR="0">
            <wp:extent cx="1657143" cy="504762"/>
            <wp:effectExtent l="0" t="0" r="635"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657143" cy="504762"/>
                    </a:xfrm>
                    <a:prstGeom prst="rect">
                      <a:avLst/>
                    </a:prstGeom>
                  </pic:spPr>
                </pic:pic>
              </a:graphicData>
            </a:graphic>
          </wp:inline>
        </w:drawing>
      </w:r>
    </w:p>
    <w:p w:rsidR="00E85D68" w:rsidRPr="00D83D76" w:rsidP="00E85D68" w14:paraId="4BEEF922" w14:textId="77777777">
      <w:pPr>
        <w:ind w:left="5040" w:firstLine="720"/>
        <w:rPr>
          <w:rFonts w:eastAsiaTheme="minorEastAsia"/>
          <w:noProof/>
          <w:color w:val="000000" w:themeColor="text1"/>
          <w:sz w:val="24"/>
          <w:szCs w:val="24"/>
        </w:rPr>
      </w:pPr>
      <w:r w:rsidRPr="00D83D76">
        <w:rPr>
          <w:rFonts w:eastAsiaTheme="minorEastAsia"/>
          <w:noProof/>
          <w:color w:val="000000" w:themeColor="text1"/>
          <w:sz w:val="24"/>
          <w:szCs w:val="24"/>
        </w:rPr>
        <w:t>Stephen Q. Cornman, Ph.D.</w:t>
      </w:r>
    </w:p>
    <w:p w:rsidR="00E85D68" w:rsidRPr="00D83D76" w:rsidP="00E85D68" w14:paraId="29D87055" w14:textId="77777777">
      <w:pPr>
        <w:spacing w:line="252" w:lineRule="auto"/>
        <w:ind w:left="5760"/>
        <w:rPr>
          <w:rFonts w:eastAsiaTheme="minorEastAsia"/>
          <w:noProof/>
          <w:color w:val="000000" w:themeColor="text1"/>
          <w:sz w:val="24"/>
          <w:szCs w:val="24"/>
        </w:rPr>
      </w:pPr>
      <w:r w:rsidRPr="00D83D76">
        <w:rPr>
          <w:rFonts w:eastAsiaTheme="minorEastAsia"/>
          <w:noProof/>
          <w:color w:val="000000" w:themeColor="text1"/>
          <w:sz w:val="24"/>
          <w:szCs w:val="24"/>
        </w:rPr>
        <w:t>Senior Survey Director, School Finance Surveys</w:t>
      </w:r>
      <w:r w:rsidRPr="00D83D76">
        <w:rPr>
          <w:rFonts w:eastAsiaTheme="minorEastAsia"/>
          <w:noProof/>
          <w:color w:val="000000" w:themeColor="text1"/>
          <w:sz w:val="24"/>
          <w:szCs w:val="24"/>
        </w:rPr>
        <w:br/>
        <w:t>550 12th Street SW</w:t>
      </w:r>
      <w:r w:rsidRPr="00D83D76">
        <w:rPr>
          <w:rFonts w:eastAsiaTheme="minorEastAsia"/>
          <w:noProof/>
          <w:color w:val="000000" w:themeColor="text1"/>
          <w:sz w:val="24"/>
          <w:szCs w:val="24"/>
        </w:rPr>
        <w:br/>
        <w:t>Washington, DC 20202</w:t>
      </w:r>
    </w:p>
    <w:p w:rsidR="00E85D68" w:rsidP="00E85D68" w14:paraId="6F5A44B1" w14:textId="77777777">
      <w:pPr>
        <w:spacing w:line="252" w:lineRule="auto"/>
        <w:ind w:left="5040" w:firstLine="720"/>
      </w:pPr>
      <w:r w:rsidRPr="00D83D76">
        <w:rPr>
          <w:rFonts w:eastAsiaTheme="minorEastAsia"/>
          <w:noProof/>
          <w:color w:val="000000" w:themeColor="text1"/>
          <w:sz w:val="24"/>
          <w:szCs w:val="24"/>
        </w:rPr>
        <w:t xml:space="preserve">U.S. Department of Education </w:t>
      </w:r>
      <w:bookmarkEnd w:id="1"/>
    </w:p>
    <w:p w:rsidR="001F516B" w:rsidP="47B4F56B" w14:paraId="70FCB64D" w14:textId="77777777">
      <w:pPr>
        <w:ind w:right="-10"/>
      </w:pPr>
    </w:p>
    <w:sectPr w:rsidSect="00A16855">
      <w:footerReference w:type="default" r:id="rId9"/>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1181699"/>
      <w:docPartObj>
        <w:docPartGallery w:val="Page Numbers (Bottom of Page)"/>
        <w:docPartUnique/>
      </w:docPartObj>
    </w:sdtPr>
    <w:sdtEndPr>
      <w:rPr>
        <w:noProof/>
      </w:rPr>
    </w:sdtEndPr>
    <w:sdtContent>
      <w:p w:rsidR="000D6A9C" w14:paraId="5AEDC867" w14:textId="625D7E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D7205" w:rsidP="00AA757B" w14:paraId="4C0340C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65D4A" w:rsidP="00AA757B" w14:paraId="3C9A7AE7" w14:textId="77777777">
      <w:r>
        <w:separator/>
      </w:r>
    </w:p>
  </w:footnote>
  <w:footnote w:type="continuationSeparator" w:id="1">
    <w:p w:rsidR="00865D4A" w:rsidP="00AA757B" w14:paraId="2FEC37F3" w14:textId="77777777">
      <w:r>
        <w:continuationSeparator/>
      </w:r>
    </w:p>
  </w:footnote>
  <w:footnote w:id="2">
    <w:p w:rsidR="00E85D68" w:rsidP="00E85D68" w14:paraId="1ACEC7AB" w14:textId="77777777">
      <w:pPr>
        <w:pStyle w:val="FootnoteText"/>
      </w:pPr>
      <w:r>
        <w:rPr>
          <w:rStyle w:val="FootnoteReference"/>
        </w:rPr>
        <w:footnoteRef/>
      </w:r>
      <w:r>
        <w:t xml:space="preserve"> </w:t>
      </w:r>
      <w:r w:rsidRPr="0528E49E">
        <w:rPr>
          <w:color w:val="000000" w:themeColor="text1"/>
        </w:rPr>
        <w:t xml:space="preserve">Cornman, S.Q., Phillips, J.J., Howell, M.R., and Zhou, L. (2022). </w:t>
      </w:r>
      <w:r w:rsidRPr="0528E49E">
        <w:rPr>
          <w:i/>
          <w:iCs/>
          <w:color w:val="000000" w:themeColor="text1"/>
        </w:rPr>
        <w:t xml:space="preserve">Revenues and Expenditures for Public Elementary and Secondary Education: FY 20 </w:t>
      </w:r>
      <w:r w:rsidRPr="0528E49E">
        <w:rPr>
          <w:color w:val="000000" w:themeColor="text1"/>
        </w:rPr>
        <w:t xml:space="preserve">(NCES 2022-301). U.S. Department of Education. Washington, DC: National Center for Education Statistics. Retrieved [date] from </w:t>
      </w:r>
      <w:hyperlink r:id="rId1">
        <w:r w:rsidRPr="0528E49E">
          <w:rPr>
            <w:rStyle w:val="Hyperlink"/>
          </w:rPr>
          <w:t>https://nces.ed.gov/pubsearch</w:t>
        </w:r>
      </w:hyperlink>
      <w:r w:rsidRPr="0528E49E">
        <w:rPr>
          <w:color w:val="000000" w:themeColor="text1"/>
        </w:rPr>
        <w:t>.</w:t>
      </w:r>
      <w:r w:rsidRPr="0528E49E">
        <w:rPr>
          <w:rFonts w:ascii="Calibri" w:eastAsia="Calibri" w:hAnsi="Calibri" w:cs="Calibri"/>
          <w:color w:val="000000" w:themeColor="text1"/>
          <w:szCs w:val="16"/>
        </w:rPr>
        <w:t xml:space="preserve"> </w:t>
      </w:r>
      <w:r w:rsidRPr="0528E49E">
        <w:rPr>
          <w:color w:val="000000" w:themeColor="text1"/>
          <w:sz w:val="24"/>
          <w:szCs w:val="24"/>
        </w:rPr>
        <w:t xml:space="preserve"> </w:t>
      </w:r>
    </w:p>
  </w:footnote>
  <w:footnote w:id="3">
    <w:p w:rsidR="00E85D68" w:rsidP="00E85D68" w14:paraId="09CEA5B8" w14:textId="77777777">
      <w:pPr>
        <w:pStyle w:val="FootnoteText"/>
      </w:pPr>
      <w:r>
        <w:rPr>
          <w:rStyle w:val="FootnoteReference"/>
        </w:rPr>
        <w:footnoteRef/>
      </w:r>
      <w:r>
        <w:t xml:space="preserve"> </w:t>
      </w:r>
      <w:r w:rsidRPr="0528E49E">
        <w:t xml:space="preserve">Allison, G.S. (2015). </w:t>
      </w:r>
      <w:r w:rsidRPr="0528E49E">
        <w:rPr>
          <w:i/>
          <w:iCs/>
        </w:rPr>
        <w:t xml:space="preserve">Financial Accounting for Local and State School Systems: 2014 Edition </w:t>
      </w:r>
      <w:r w:rsidRPr="0528E49E">
        <w:t xml:space="preserve">(NCES 2015- 347). National Center for Education Statistics, Institute of Education Sciences, U.S. Department of Education. Washington, DC. Retrieved January 2, 2023, from </w:t>
      </w:r>
      <w:hyperlink r:id="rId2">
        <w:r w:rsidRPr="0528E49E">
          <w:rPr>
            <w:rStyle w:val="Hyperlink"/>
          </w:rPr>
          <w:t>https://nces.ed.gov/pubsearch/pubsinfo.asp?pubid=2015347</w:t>
        </w:r>
      </w:hyperlink>
      <w:r w:rsidRPr="0528E49E">
        <w:rPr>
          <w:u w:val="single"/>
        </w:rPr>
        <w:t>.</w:t>
      </w:r>
    </w:p>
  </w:footnote>
  <w:footnote w:id="4">
    <w:p w:rsidR="00E85D68" w:rsidRPr="00AE7452" w:rsidP="00E85D68" w14:paraId="57B838F7" w14:textId="77777777">
      <w:pPr>
        <w:pStyle w:val="FootnoteText"/>
      </w:pPr>
      <w:r>
        <w:rPr>
          <w:rStyle w:val="FootnoteReference"/>
        </w:rPr>
        <w:footnoteRef/>
      </w:r>
      <w:r>
        <w:t xml:space="preserve"> T</w:t>
      </w:r>
      <w:r w:rsidRPr="00AE7452">
        <w:t xml:space="preserve">he </w:t>
      </w:r>
      <w:r w:rsidRPr="00AE7452">
        <w:rPr>
          <w:color w:val="000000" w:themeColor="text1"/>
        </w:rPr>
        <w:t xml:space="preserve">SLFS instructions </w:t>
      </w:r>
      <w:r w:rsidRPr="00AE7452">
        <w:t>for student support services</w:t>
      </w:r>
      <w:r w:rsidRPr="00AE7452">
        <w:rPr>
          <w:color w:val="000000" w:themeColor="text1"/>
        </w:rPr>
        <w:t xml:space="preserve"> provide that, “Report expenditures for administrative, guidance, health, and logistical support that enhance instruction. Include attendance, social work, student accounting, counseling, student appraisal, information, record maintenance, and placement services. Also include medical, dental, nursing, psychological, and speech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E7635"/>
    <w:multiLevelType w:val="hybridMultilevel"/>
    <w:tmpl w:val="D670394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AA2EA2"/>
    <w:multiLevelType w:val="hybridMultilevel"/>
    <w:tmpl w:val="7DE4F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C911F7"/>
    <w:multiLevelType w:val="hybridMultilevel"/>
    <w:tmpl w:val="B69C0F74"/>
    <w:lvl w:ilvl="0">
      <w:start w:val="1"/>
      <w:numFmt w:val="decimal"/>
      <w:lvlText w:val="%1."/>
      <w:lvlJc w:val="left"/>
      <w:pPr>
        <w:ind w:left="785"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2AE4C6F"/>
    <w:multiLevelType w:val="hybridMultilevel"/>
    <w:tmpl w:val="ED52E6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6B3B0B"/>
    <w:multiLevelType w:val="hybridMultilevel"/>
    <w:tmpl w:val="A1E43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46F199E"/>
    <w:multiLevelType w:val="multilevel"/>
    <w:tmpl w:val="14EC02D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77400A"/>
    <w:multiLevelType w:val="hybridMultilevel"/>
    <w:tmpl w:val="25ACBF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C63788"/>
    <w:multiLevelType w:val="hybridMultilevel"/>
    <w:tmpl w:val="5212CE8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FCD2E89"/>
    <w:multiLevelType w:val="hybridMultilevel"/>
    <w:tmpl w:val="90626DC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09B041A"/>
    <w:multiLevelType w:val="hybridMultilevel"/>
    <w:tmpl w:val="0D3624C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3E8431F"/>
    <w:multiLevelType w:val="hybridMultilevel"/>
    <w:tmpl w:val="B69C0F74"/>
    <w:lvl w:ilvl="0">
      <w:start w:val="1"/>
      <w:numFmt w:val="decimal"/>
      <w:lvlText w:val="%1."/>
      <w:lvlJc w:val="left"/>
      <w:pPr>
        <w:ind w:left="785"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42BA9C2"/>
    <w:multiLevelType w:val="hybridMultilevel"/>
    <w:tmpl w:val="3856A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DBA76B8"/>
    <w:multiLevelType w:val="multilevel"/>
    <w:tmpl w:val="601C68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34FB3877"/>
    <w:multiLevelType w:val="hybridMultilevel"/>
    <w:tmpl w:val="25ACBF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5A129D2"/>
    <w:multiLevelType w:val="hybridMultilevel"/>
    <w:tmpl w:val="B69C0F74"/>
    <w:lvl w:ilvl="0">
      <w:start w:val="1"/>
      <w:numFmt w:val="decimal"/>
      <w:lvlText w:val="%1."/>
      <w:lvlJc w:val="left"/>
      <w:pPr>
        <w:ind w:left="785"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5B64A97"/>
    <w:multiLevelType w:val="multilevel"/>
    <w:tmpl w:val="9CDE8CC6"/>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B93AF1"/>
    <w:multiLevelType w:val="hybridMultilevel"/>
    <w:tmpl w:val="F7EE1E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662DB9"/>
    <w:multiLevelType w:val="hybridMultilevel"/>
    <w:tmpl w:val="7A14E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C713CB"/>
    <w:multiLevelType w:val="hybridMultilevel"/>
    <w:tmpl w:val="0D0A8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BCD57EB"/>
    <w:multiLevelType w:val="hybridMultilevel"/>
    <w:tmpl w:val="10F4A97A"/>
    <w:lvl w:ilvl="0">
      <w:start w:val="25"/>
      <w:numFmt w:val="decimal"/>
      <w:lvlText w:val="%1."/>
      <w:lvlJc w:val="left"/>
      <w:pPr>
        <w:ind w:left="723" w:hanging="483"/>
      </w:pPr>
      <w:rPr>
        <w:rFonts w:ascii="Tahoma" w:eastAsia="Tahoma" w:hAnsi="Tahoma" w:cs="Tahoma" w:hint="default"/>
        <w:b/>
        <w:bCs/>
        <w:i w:val="0"/>
        <w:iCs w:val="0"/>
        <w:w w:val="99"/>
        <w:sz w:val="20"/>
        <w:szCs w:val="20"/>
        <w:lang w:val="en-US" w:eastAsia="en-US" w:bidi="ar-SA"/>
      </w:rPr>
    </w:lvl>
    <w:lvl w:ilvl="1">
      <w:start w:val="1"/>
      <w:numFmt w:val="lowerLetter"/>
      <w:lvlText w:val="%2)"/>
      <w:lvlJc w:val="left"/>
      <w:pPr>
        <w:ind w:left="1148" w:hanging="425"/>
      </w:pPr>
      <w:rPr>
        <w:rFonts w:ascii="Tahoma" w:eastAsia="Tahoma" w:hAnsi="Tahoma" w:cs="Tahoma" w:hint="default"/>
        <w:b w:val="0"/>
        <w:bCs w:val="0"/>
        <w:i w:val="0"/>
        <w:iCs w:val="0"/>
        <w:spacing w:val="0"/>
        <w:w w:val="99"/>
        <w:sz w:val="20"/>
        <w:szCs w:val="20"/>
        <w:lang w:val="en-US" w:eastAsia="en-US" w:bidi="ar-SA"/>
      </w:rPr>
    </w:lvl>
    <w:lvl w:ilvl="2">
      <w:start w:val="0"/>
      <w:numFmt w:val="bullet"/>
      <w:lvlText w:val="•"/>
      <w:lvlJc w:val="left"/>
      <w:pPr>
        <w:ind w:left="1544" w:hanging="425"/>
      </w:pPr>
      <w:rPr>
        <w:rFonts w:hint="default"/>
        <w:lang w:val="en-US" w:eastAsia="en-US" w:bidi="ar-SA"/>
      </w:rPr>
    </w:lvl>
    <w:lvl w:ilvl="3">
      <w:start w:val="0"/>
      <w:numFmt w:val="bullet"/>
      <w:lvlText w:val="•"/>
      <w:lvlJc w:val="left"/>
      <w:pPr>
        <w:ind w:left="1949" w:hanging="425"/>
      </w:pPr>
      <w:rPr>
        <w:rFonts w:hint="default"/>
        <w:lang w:val="en-US" w:eastAsia="en-US" w:bidi="ar-SA"/>
      </w:rPr>
    </w:lvl>
    <w:lvl w:ilvl="4">
      <w:start w:val="0"/>
      <w:numFmt w:val="bullet"/>
      <w:lvlText w:val="•"/>
      <w:lvlJc w:val="left"/>
      <w:pPr>
        <w:ind w:left="2353" w:hanging="425"/>
      </w:pPr>
      <w:rPr>
        <w:rFonts w:hint="default"/>
        <w:lang w:val="en-US" w:eastAsia="en-US" w:bidi="ar-SA"/>
      </w:rPr>
    </w:lvl>
    <w:lvl w:ilvl="5">
      <w:start w:val="0"/>
      <w:numFmt w:val="bullet"/>
      <w:lvlText w:val="•"/>
      <w:lvlJc w:val="left"/>
      <w:pPr>
        <w:ind w:left="2758" w:hanging="425"/>
      </w:pPr>
      <w:rPr>
        <w:rFonts w:hint="default"/>
        <w:lang w:val="en-US" w:eastAsia="en-US" w:bidi="ar-SA"/>
      </w:rPr>
    </w:lvl>
    <w:lvl w:ilvl="6">
      <w:start w:val="0"/>
      <w:numFmt w:val="bullet"/>
      <w:lvlText w:val="•"/>
      <w:lvlJc w:val="left"/>
      <w:pPr>
        <w:ind w:left="3163" w:hanging="425"/>
      </w:pPr>
      <w:rPr>
        <w:rFonts w:hint="default"/>
        <w:lang w:val="en-US" w:eastAsia="en-US" w:bidi="ar-SA"/>
      </w:rPr>
    </w:lvl>
    <w:lvl w:ilvl="7">
      <w:start w:val="0"/>
      <w:numFmt w:val="bullet"/>
      <w:lvlText w:val="•"/>
      <w:lvlJc w:val="left"/>
      <w:pPr>
        <w:ind w:left="3567" w:hanging="425"/>
      </w:pPr>
      <w:rPr>
        <w:rFonts w:hint="default"/>
        <w:lang w:val="en-US" w:eastAsia="en-US" w:bidi="ar-SA"/>
      </w:rPr>
    </w:lvl>
    <w:lvl w:ilvl="8">
      <w:start w:val="0"/>
      <w:numFmt w:val="bullet"/>
      <w:lvlText w:val="•"/>
      <w:lvlJc w:val="left"/>
      <w:pPr>
        <w:ind w:left="3972" w:hanging="425"/>
      </w:pPr>
      <w:rPr>
        <w:rFonts w:hint="default"/>
        <w:lang w:val="en-US" w:eastAsia="en-US" w:bidi="ar-SA"/>
      </w:rPr>
    </w:lvl>
  </w:abstractNum>
  <w:abstractNum w:abstractNumId="20">
    <w:nsid w:val="3CBA1D03"/>
    <w:multiLevelType w:val="hybridMultilevel"/>
    <w:tmpl w:val="06900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CF013C1"/>
    <w:multiLevelType w:val="hybridMultilevel"/>
    <w:tmpl w:val="0D92FC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3060A4E"/>
    <w:multiLevelType w:val="hybridMultilevel"/>
    <w:tmpl w:val="104210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5EC2A98"/>
    <w:multiLevelType w:val="hybridMultilevel"/>
    <w:tmpl w:val="6EF08B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5ED51AF"/>
    <w:multiLevelType w:val="hybridMultilevel"/>
    <w:tmpl w:val="F020A4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46741BB5"/>
    <w:multiLevelType w:val="hybridMultilevel"/>
    <w:tmpl w:val="0C4ACB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8330740"/>
    <w:multiLevelType w:val="hybridMultilevel"/>
    <w:tmpl w:val="92BC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CD72A1E"/>
    <w:multiLevelType w:val="hybridMultilevel"/>
    <w:tmpl w:val="10388D2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FD90EED"/>
    <w:multiLevelType w:val="hybridMultilevel"/>
    <w:tmpl w:val="8CC24F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086D32D"/>
    <w:multiLevelType w:val="hybridMultilevel"/>
    <w:tmpl w:val="1D768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7E6BB0"/>
    <w:multiLevelType w:val="hybridMultilevel"/>
    <w:tmpl w:val="BAB67BFE"/>
    <w:lvl w:ilvl="0">
      <w:start w:val="1"/>
      <w:numFmt w:val="decimal"/>
      <w:lvlText w:val="%1."/>
      <w:lvlJc w:val="left"/>
      <w:pPr>
        <w:ind w:left="507" w:hanging="417"/>
      </w:pPr>
      <w:rPr>
        <w:rFonts w:hint="default"/>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5090C10"/>
    <w:multiLevelType w:val="hybridMultilevel"/>
    <w:tmpl w:val="EB78E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7117101"/>
    <w:multiLevelType w:val="multilevel"/>
    <w:tmpl w:val="E49A840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090842"/>
    <w:multiLevelType w:val="hybridMultilevel"/>
    <w:tmpl w:val="D682B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BCB48A7"/>
    <w:multiLevelType w:val="multilevel"/>
    <w:tmpl w:val="CDFE074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BE645B2"/>
    <w:multiLevelType w:val="hybridMultilevel"/>
    <w:tmpl w:val="F5822D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20D5786"/>
    <w:multiLevelType w:val="hybridMultilevel"/>
    <w:tmpl w:val="FA36B1D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BB55221"/>
    <w:multiLevelType w:val="hybridMultilevel"/>
    <w:tmpl w:val="63F04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D21184D"/>
    <w:multiLevelType w:val="hybridMultilevel"/>
    <w:tmpl w:val="6680B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E7849E9"/>
    <w:multiLevelType w:val="hybridMultilevel"/>
    <w:tmpl w:val="17AECF9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EA5071D"/>
    <w:multiLevelType w:val="hybridMultilevel"/>
    <w:tmpl w:val="BC4E88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1E693AD"/>
    <w:multiLevelType w:val="hybridMultilevel"/>
    <w:tmpl w:val="13840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6305EA5"/>
    <w:multiLevelType w:val="hybridMultilevel"/>
    <w:tmpl w:val="9350D25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76D0597A"/>
    <w:multiLevelType w:val="hybridMultilevel"/>
    <w:tmpl w:val="D204A22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B1ADB3C"/>
    <w:multiLevelType w:val="hybridMultilevel"/>
    <w:tmpl w:val="26D87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B8FCBC2"/>
    <w:multiLevelType w:val="hybridMultilevel"/>
    <w:tmpl w:val="C87E0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7C3E1BDC"/>
    <w:multiLevelType w:val="multilevel"/>
    <w:tmpl w:val="01C401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nsid w:val="7E0423E3"/>
    <w:multiLevelType w:val="hybridMultilevel"/>
    <w:tmpl w:val="F120E5F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755123131">
    <w:abstractNumId w:val="11"/>
  </w:num>
  <w:num w:numId="2" w16cid:durableId="1790855882">
    <w:abstractNumId w:val="38"/>
  </w:num>
  <w:num w:numId="3" w16cid:durableId="288173493">
    <w:abstractNumId w:val="29"/>
  </w:num>
  <w:num w:numId="4" w16cid:durableId="431318330">
    <w:abstractNumId w:val="44"/>
  </w:num>
  <w:num w:numId="5" w16cid:durableId="1503668917">
    <w:abstractNumId w:val="45"/>
  </w:num>
  <w:num w:numId="6" w16cid:durableId="1336883670">
    <w:abstractNumId w:val="37"/>
  </w:num>
  <w:num w:numId="7" w16cid:durableId="826285794">
    <w:abstractNumId w:val="40"/>
  </w:num>
  <w:num w:numId="8" w16cid:durableId="564797712">
    <w:abstractNumId w:val="9"/>
  </w:num>
  <w:num w:numId="9" w16cid:durableId="656806384">
    <w:abstractNumId w:val="27"/>
  </w:num>
  <w:num w:numId="10" w16cid:durableId="1533298625">
    <w:abstractNumId w:val="18"/>
  </w:num>
  <w:num w:numId="11" w16cid:durableId="675888839">
    <w:abstractNumId w:val="35"/>
  </w:num>
  <w:num w:numId="12" w16cid:durableId="1789469105">
    <w:abstractNumId w:val="1"/>
  </w:num>
  <w:num w:numId="13" w16cid:durableId="200168474">
    <w:abstractNumId w:val="17"/>
  </w:num>
  <w:num w:numId="14" w16cid:durableId="1030834864">
    <w:abstractNumId w:val="3"/>
  </w:num>
  <w:num w:numId="15" w16cid:durableId="574314677">
    <w:abstractNumId w:val="31"/>
  </w:num>
  <w:num w:numId="16" w16cid:durableId="1355617823">
    <w:abstractNumId w:val="34"/>
  </w:num>
  <w:num w:numId="17" w16cid:durableId="1622298466">
    <w:abstractNumId w:val="28"/>
  </w:num>
  <w:num w:numId="18" w16cid:durableId="1436974347">
    <w:abstractNumId w:val="22"/>
  </w:num>
  <w:num w:numId="19" w16cid:durableId="1853644522">
    <w:abstractNumId w:val="23"/>
  </w:num>
  <w:num w:numId="20" w16cid:durableId="41297066">
    <w:abstractNumId w:val="24"/>
  </w:num>
  <w:num w:numId="21" w16cid:durableId="1350915338">
    <w:abstractNumId w:val="36"/>
  </w:num>
  <w:num w:numId="22" w16cid:durableId="2009668401">
    <w:abstractNumId w:val="25"/>
  </w:num>
  <w:num w:numId="23" w16cid:durableId="1309087152">
    <w:abstractNumId w:val="0"/>
  </w:num>
  <w:num w:numId="24" w16cid:durableId="1343311955">
    <w:abstractNumId w:val="6"/>
  </w:num>
  <w:num w:numId="25" w16cid:durableId="938106411">
    <w:abstractNumId w:val="13"/>
  </w:num>
  <w:num w:numId="26" w16cid:durableId="1952516825">
    <w:abstractNumId w:val="20"/>
  </w:num>
  <w:num w:numId="27" w16cid:durableId="1993869343">
    <w:abstractNumId w:val="4"/>
  </w:num>
  <w:num w:numId="28" w16cid:durableId="1306466837">
    <w:abstractNumId w:val="41"/>
  </w:num>
  <w:num w:numId="29" w16cid:durableId="1143549028">
    <w:abstractNumId w:val="16"/>
  </w:num>
  <w:num w:numId="30" w16cid:durableId="1935628493">
    <w:abstractNumId w:val="39"/>
  </w:num>
  <w:num w:numId="31" w16cid:durableId="378431782">
    <w:abstractNumId w:val="19"/>
  </w:num>
  <w:num w:numId="32" w16cid:durableId="711803655">
    <w:abstractNumId w:val="33"/>
  </w:num>
  <w:num w:numId="33" w16cid:durableId="1572231518">
    <w:abstractNumId w:val="47"/>
  </w:num>
  <w:num w:numId="34" w16cid:durableId="1600988132">
    <w:abstractNumId w:val="5"/>
  </w:num>
  <w:num w:numId="35" w16cid:durableId="1516073933">
    <w:abstractNumId w:val="15"/>
  </w:num>
  <w:num w:numId="36" w16cid:durableId="1787042114">
    <w:abstractNumId w:val="32"/>
  </w:num>
  <w:num w:numId="37" w16cid:durableId="1920287239">
    <w:abstractNumId w:val="42"/>
  </w:num>
  <w:num w:numId="38" w16cid:durableId="1531605308">
    <w:abstractNumId w:val="12"/>
  </w:num>
  <w:num w:numId="39" w16cid:durableId="1753045746">
    <w:abstractNumId w:val="46"/>
  </w:num>
  <w:num w:numId="40" w16cid:durableId="231044829">
    <w:abstractNumId w:val="43"/>
  </w:num>
  <w:num w:numId="41" w16cid:durableId="963343376">
    <w:abstractNumId w:val="8"/>
  </w:num>
  <w:num w:numId="42" w16cid:durableId="1683122748">
    <w:abstractNumId w:val="10"/>
  </w:num>
  <w:num w:numId="43" w16cid:durableId="1178423198">
    <w:abstractNumId w:val="2"/>
  </w:num>
  <w:num w:numId="44" w16cid:durableId="914896802">
    <w:abstractNumId w:val="14"/>
  </w:num>
  <w:num w:numId="45" w16cid:durableId="1069500422">
    <w:abstractNumId w:val="30"/>
  </w:num>
  <w:num w:numId="46" w16cid:durableId="705713726">
    <w:abstractNumId w:val="21"/>
  </w:num>
  <w:num w:numId="47" w16cid:durableId="898321207">
    <w:abstractNumId w:val="26"/>
  </w:num>
  <w:num w:numId="48" w16cid:durableId="1839995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efaultTableStyle w:val="GridTable4Accent1"/>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E4"/>
    <w:rsid w:val="000042E6"/>
    <w:rsid w:val="000204DC"/>
    <w:rsid w:val="00023996"/>
    <w:rsid w:val="00026FBE"/>
    <w:rsid w:val="00027AC2"/>
    <w:rsid w:val="000304A9"/>
    <w:rsid w:val="000355E6"/>
    <w:rsid w:val="000362E5"/>
    <w:rsid w:val="00036F96"/>
    <w:rsid w:val="00042F70"/>
    <w:rsid w:val="0004475D"/>
    <w:rsid w:val="000533BF"/>
    <w:rsid w:val="0006664E"/>
    <w:rsid w:val="00070275"/>
    <w:rsid w:val="00085EE4"/>
    <w:rsid w:val="000A0EA2"/>
    <w:rsid w:val="000B38D7"/>
    <w:rsid w:val="000B6141"/>
    <w:rsid w:val="000C1B55"/>
    <w:rsid w:val="000C7BF9"/>
    <w:rsid w:val="000D07AC"/>
    <w:rsid w:val="000D1EA3"/>
    <w:rsid w:val="000D6A9C"/>
    <w:rsid w:val="000D7205"/>
    <w:rsid w:val="000E08FF"/>
    <w:rsid w:val="000E18E5"/>
    <w:rsid w:val="000E3AFE"/>
    <w:rsid w:val="00106DB3"/>
    <w:rsid w:val="00116D95"/>
    <w:rsid w:val="00123A2B"/>
    <w:rsid w:val="00125B30"/>
    <w:rsid w:val="001319B1"/>
    <w:rsid w:val="001320D9"/>
    <w:rsid w:val="00137CDB"/>
    <w:rsid w:val="00141225"/>
    <w:rsid w:val="001448EB"/>
    <w:rsid w:val="0014570E"/>
    <w:rsid w:val="001551CD"/>
    <w:rsid w:val="00156270"/>
    <w:rsid w:val="001707E5"/>
    <w:rsid w:val="00174F75"/>
    <w:rsid w:val="00175BE8"/>
    <w:rsid w:val="00177281"/>
    <w:rsid w:val="00180005"/>
    <w:rsid w:val="001801B4"/>
    <w:rsid w:val="00180955"/>
    <w:rsid w:val="00184F02"/>
    <w:rsid w:val="00191F2C"/>
    <w:rsid w:val="00197793"/>
    <w:rsid w:val="001A78EF"/>
    <w:rsid w:val="001B2693"/>
    <w:rsid w:val="001C2BA4"/>
    <w:rsid w:val="001C470F"/>
    <w:rsid w:val="001D0CC9"/>
    <w:rsid w:val="001D3CDE"/>
    <w:rsid w:val="001E1F65"/>
    <w:rsid w:val="001E3D0F"/>
    <w:rsid w:val="001F32C2"/>
    <w:rsid w:val="001F3A77"/>
    <w:rsid w:val="001F3E83"/>
    <w:rsid w:val="001F516B"/>
    <w:rsid w:val="001F7E51"/>
    <w:rsid w:val="00201115"/>
    <w:rsid w:val="00217D7C"/>
    <w:rsid w:val="00217DD2"/>
    <w:rsid w:val="00222ADF"/>
    <w:rsid w:val="00223267"/>
    <w:rsid w:val="00224678"/>
    <w:rsid w:val="00226294"/>
    <w:rsid w:val="00233170"/>
    <w:rsid w:val="002350A0"/>
    <w:rsid w:val="00237E06"/>
    <w:rsid w:val="00240CFB"/>
    <w:rsid w:val="002421FA"/>
    <w:rsid w:val="00245B5F"/>
    <w:rsid w:val="00250520"/>
    <w:rsid w:val="0026650E"/>
    <w:rsid w:val="00270C04"/>
    <w:rsid w:val="00271DA3"/>
    <w:rsid w:val="00274414"/>
    <w:rsid w:val="00274FCD"/>
    <w:rsid w:val="00277EFA"/>
    <w:rsid w:val="0028392D"/>
    <w:rsid w:val="00294583"/>
    <w:rsid w:val="00295DF5"/>
    <w:rsid w:val="002A23CA"/>
    <w:rsid w:val="002B7DB5"/>
    <w:rsid w:val="002C5566"/>
    <w:rsid w:val="002C70FF"/>
    <w:rsid w:val="002D5DF8"/>
    <w:rsid w:val="002D7B00"/>
    <w:rsid w:val="002E2AE5"/>
    <w:rsid w:val="00301D0D"/>
    <w:rsid w:val="00304F51"/>
    <w:rsid w:val="003148B6"/>
    <w:rsid w:val="003176CE"/>
    <w:rsid w:val="00322055"/>
    <w:rsid w:val="003222D9"/>
    <w:rsid w:val="003264CC"/>
    <w:rsid w:val="00327054"/>
    <w:rsid w:val="00333307"/>
    <w:rsid w:val="003354F1"/>
    <w:rsid w:val="00337A55"/>
    <w:rsid w:val="003412A9"/>
    <w:rsid w:val="0034516C"/>
    <w:rsid w:val="0036051E"/>
    <w:rsid w:val="00363160"/>
    <w:rsid w:val="0036448B"/>
    <w:rsid w:val="00367A83"/>
    <w:rsid w:val="00370860"/>
    <w:rsid w:val="00374E49"/>
    <w:rsid w:val="003779A4"/>
    <w:rsid w:val="003833DD"/>
    <w:rsid w:val="00384D8C"/>
    <w:rsid w:val="00386580"/>
    <w:rsid w:val="003907BE"/>
    <w:rsid w:val="003A0865"/>
    <w:rsid w:val="003A6662"/>
    <w:rsid w:val="003A7136"/>
    <w:rsid w:val="003B0F62"/>
    <w:rsid w:val="003B113C"/>
    <w:rsid w:val="003C4581"/>
    <w:rsid w:val="003C6E5E"/>
    <w:rsid w:val="003E413B"/>
    <w:rsid w:val="003E6055"/>
    <w:rsid w:val="003F05E0"/>
    <w:rsid w:val="003F15E0"/>
    <w:rsid w:val="00400CF3"/>
    <w:rsid w:val="00402983"/>
    <w:rsid w:val="00406A59"/>
    <w:rsid w:val="00413FD6"/>
    <w:rsid w:val="00414330"/>
    <w:rsid w:val="00426F37"/>
    <w:rsid w:val="00452744"/>
    <w:rsid w:val="00454BB0"/>
    <w:rsid w:val="0045754F"/>
    <w:rsid w:val="00461BAC"/>
    <w:rsid w:val="00462913"/>
    <w:rsid w:val="0046307B"/>
    <w:rsid w:val="004706D9"/>
    <w:rsid w:val="004723EC"/>
    <w:rsid w:val="00475DD6"/>
    <w:rsid w:val="00477397"/>
    <w:rsid w:val="00482246"/>
    <w:rsid w:val="00483F40"/>
    <w:rsid w:val="004840DD"/>
    <w:rsid w:val="00485118"/>
    <w:rsid w:val="00496F5F"/>
    <w:rsid w:val="004A03E6"/>
    <w:rsid w:val="004A7992"/>
    <w:rsid w:val="004B15CD"/>
    <w:rsid w:val="004B6519"/>
    <w:rsid w:val="004C0AB7"/>
    <w:rsid w:val="004C457A"/>
    <w:rsid w:val="004C5A7F"/>
    <w:rsid w:val="004F102B"/>
    <w:rsid w:val="004F2137"/>
    <w:rsid w:val="004F21A6"/>
    <w:rsid w:val="004F2518"/>
    <w:rsid w:val="004F6AFD"/>
    <w:rsid w:val="00513527"/>
    <w:rsid w:val="0051694C"/>
    <w:rsid w:val="005170B7"/>
    <w:rsid w:val="005210CE"/>
    <w:rsid w:val="00522FC9"/>
    <w:rsid w:val="00541D6F"/>
    <w:rsid w:val="0054422B"/>
    <w:rsid w:val="005462BD"/>
    <w:rsid w:val="005531F2"/>
    <w:rsid w:val="00556A34"/>
    <w:rsid w:val="005604F3"/>
    <w:rsid w:val="00562160"/>
    <w:rsid w:val="0056480A"/>
    <w:rsid w:val="00567AA2"/>
    <w:rsid w:val="0057285F"/>
    <w:rsid w:val="00586679"/>
    <w:rsid w:val="0058790E"/>
    <w:rsid w:val="00593D5D"/>
    <w:rsid w:val="0059605D"/>
    <w:rsid w:val="00597B9A"/>
    <w:rsid w:val="005A521A"/>
    <w:rsid w:val="005D126C"/>
    <w:rsid w:val="005D5E2C"/>
    <w:rsid w:val="005D74A8"/>
    <w:rsid w:val="005E0722"/>
    <w:rsid w:val="00600D60"/>
    <w:rsid w:val="006053C6"/>
    <w:rsid w:val="00610CE3"/>
    <w:rsid w:val="006111AD"/>
    <w:rsid w:val="006144C8"/>
    <w:rsid w:val="006231A3"/>
    <w:rsid w:val="00624F8A"/>
    <w:rsid w:val="00632EF2"/>
    <w:rsid w:val="00633328"/>
    <w:rsid w:val="006333F8"/>
    <w:rsid w:val="00635A64"/>
    <w:rsid w:val="00637DFD"/>
    <w:rsid w:val="006403DE"/>
    <w:rsid w:val="0065324E"/>
    <w:rsid w:val="00655C26"/>
    <w:rsid w:val="00655C53"/>
    <w:rsid w:val="00662DD8"/>
    <w:rsid w:val="00670760"/>
    <w:rsid w:val="00681C35"/>
    <w:rsid w:val="0069017B"/>
    <w:rsid w:val="0069597C"/>
    <w:rsid w:val="006A2F8B"/>
    <w:rsid w:val="006B1057"/>
    <w:rsid w:val="006C51AB"/>
    <w:rsid w:val="006D151E"/>
    <w:rsid w:val="006D37FE"/>
    <w:rsid w:val="006D690A"/>
    <w:rsid w:val="006E2D0B"/>
    <w:rsid w:val="006E4D4A"/>
    <w:rsid w:val="006E6B60"/>
    <w:rsid w:val="006F1E03"/>
    <w:rsid w:val="006F715E"/>
    <w:rsid w:val="007012D2"/>
    <w:rsid w:val="00701B2B"/>
    <w:rsid w:val="0070318D"/>
    <w:rsid w:val="0070628E"/>
    <w:rsid w:val="00707E00"/>
    <w:rsid w:val="00710432"/>
    <w:rsid w:val="00712040"/>
    <w:rsid w:val="00712CBF"/>
    <w:rsid w:val="00722B0F"/>
    <w:rsid w:val="00733E0E"/>
    <w:rsid w:val="00736AA3"/>
    <w:rsid w:val="00740D36"/>
    <w:rsid w:val="00741ACD"/>
    <w:rsid w:val="00750563"/>
    <w:rsid w:val="00751AAB"/>
    <w:rsid w:val="00752C65"/>
    <w:rsid w:val="00755887"/>
    <w:rsid w:val="00774488"/>
    <w:rsid w:val="0077579A"/>
    <w:rsid w:val="007823CD"/>
    <w:rsid w:val="0079089F"/>
    <w:rsid w:val="00790AB0"/>
    <w:rsid w:val="00792109"/>
    <w:rsid w:val="00792936"/>
    <w:rsid w:val="007933DE"/>
    <w:rsid w:val="007A2787"/>
    <w:rsid w:val="007A3C2F"/>
    <w:rsid w:val="007B5280"/>
    <w:rsid w:val="007C1B81"/>
    <w:rsid w:val="007C258A"/>
    <w:rsid w:val="007D424E"/>
    <w:rsid w:val="007D53DB"/>
    <w:rsid w:val="007D5844"/>
    <w:rsid w:val="007D6E83"/>
    <w:rsid w:val="007E6D98"/>
    <w:rsid w:val="007F3076"/>
    <w:rsid w:val="007F3F53"/>
    <w:rsid w:val="007F414C"/>
    <w:rsid w:val="007F4EF3"/>
    <w:rsid w:val="007F683C"/>
    <w:rsid w:val="007F74F2"/>
    <w:rsid w:val="007F7563"/>
    <w:rsid w:val="00805BD0"/>
    <w:rsid w:val="00806B01"/>
    <w:rsid w:val="008121DF"/>
    <w:rsid w:val="00823556"/>
    <w:rsid w:val="00826930"/>
    <w:rsid w:val="0082795E"/>
    <w:rsid w:val="008422E3"/>
    <w:rsid w:val="0084761B"/>
    <w:rsid w:val="00854828"/>
    <w:rsid w:val="00857968"/>
    <w:rsid w:val="00865D4A"/>
    <w:rsid w:val="00872EBC"/>
    <w:rsid w:val="0087392C"/>
    <w:rsid w:val="0087497F"/>
    <w:rsid w:val="00877B85"/>
    <w:rsid w:val="00880178"/>
    <w:rsid w:val="008909A7"/>
    <w:rsid w:val="0089320C"/>
    <w:rsid w:val="008A01D8"/>
    <w:rsid w:val="008A15B3"/>
    <w:rsid w:val="008A1AAD"/>
    <w:rsid w:val="008B0B80"/>
    <w:rsid w:val="008B1363"/>
    <w:rsid w:val="008B1DFF"/>
    <w:rsid w:val="008B477A"/>
    <w:rsid w:val="008B77A1"/>
    <w:rsid w:val="008C2974"/>
    <w:rsid w:val="008C4B03"/>
    <w:rsid w:val="008C4F97"/>
    <w:rsid w:val="008C6911"/>
    <w:rsid w:val="008C69E8"/>
    <w:rsid w:val="008D00E3"/>
    <w:rsid w:val="008D03CF"/>
    <w:rsid w:val="008E4A4A"/>
    <w:rsid w:val="008E7B9B"/>
    <w:rsid w:val="008F5514"/>
    <w:rsid w:val="008F73E3"/>
    <w:rsid w:val="0091139B"/>
    <w:rsid w:val="009139CB"/>
    <w:rsid w:val="00915C2D"/>
    <w:rsid w:val="00916F37"/>
    <w:rsid w:val="009229E8"/>
    <w:rsid w:val="009266C2"/>
    <w:rsid w:val="00930186"/>
    <w:rsid w:val="00931425"/>
    <w:rsid w:val="00932A90"/>
    <w:rsid w:val="00936866"/>
    <w:rsid w:val="00937583"/>
    <w:rsid w:val="00945255"/>
    <w:rsid w:val="00945B01"/>
    <w:rsid w:val="00947A3A"/>
    <w:rsid w:val="009505A9"/>
    <w:rsid w:val="009628DD"/>
    <w:rsid w:val="00963D95"/>
    <w:rsid w:val="009643FE"/>
    <w:rsid w:val="009671EA"/>
    <w:rsid w:val="0097155A"/>
    <w:rsid w:val="00980936"/>
    <w:rsid w:val="00981988"/>
    <w:rsid w:val="0098646E"/>
    <w:rsid w:val="009915A6"/>
    <w:rsid w:val="00994968"/>
    <w:rsid w:val="0099554D"/>
    <w:rsid w:val="00997040"/>
    <w:rsid w:val="009A31EB"/>
    <w:rsid w:val="009B0A23"/>
    <w:rsid w:val="009B7181"/>
    <w:rsid w:val="009B7B7E"/>
    <w:rsid w:val="009C3D00"/>
    <w:rsid w:val="009C6613"/>
    <w:rsid w:val="009C73CE"/>
    <w:rsid w:val="009D248C"/>
    <w:rsid w:val="009D26A0"/>
    <w:rsid w:val="009E45F3"/>
    <w:rsid w:val="009E69E1"/>
    <w:rsid w:val="009F4BDC"/>
    <w:rsid w:val="00A00829"/>
    <w:rsid w:val="00A00F40"/>
    <w:rsid w:val="00A02D02"/>
    <w:rsid w:val="00A05BAD"/>
    <w:rsid w:val="00A11D2A"/>
    <w:rsid w:val="00A12397"/>
    <w:rsid w:val="00A16855"/>
    <w:rsid w:val="00A26D2F"/>
    <w:rsid w:val="00A3146D"/>
    <w:rsid w:val="00A378ED"/>
    <w:rsid w:val="00A4732C"/>
    <w:rsid w:val="00A55F93"/>
    <w:rsid w:val="00A575F5"/>
    <w:rsid w:val="00A62329"/>
    <w:rsid w:val="00A65F26"/>
    <w:rsid w:val="00A66A28"/>
    <w:rsid w:val="00A805DF"/>
    <w:rsid w:val="00A82CE4"/>
    <w:rsid w:val="00AA1191"/>
    <w:rsid w:val="00AA757B"/>
    <w:rsid w:val="00AB5DEA"/>
    <w:rsid w:val="00AC4B18"/>
    <w:rsid w:val="00AC5E7E"/>
    <w:rsid w:val="00AE3167"/>
    <w:rsid w:val="00AE3763"/>
    <w:rsid w:val="00AE568F"/>
    <w:rsid w:val="00AE7452"/>
    <w:rsid w:val="00AF6C03"/>
    <w:rsid w:val="00B1762F"/>
    <w:rsid w:val="00B200E2"/>
    <w:rsid w:val="00B21A17"/>
    <w:rsid w:val="00B24648"/>
    <w:rsid w:val="00B35020"/>
    <w:rsid w:val="00B41C72"/>
    <w:rsid w:val="00B52D29"/>
    <w:rsid w:val="00B55E0B"/>
    <w:rsid w:val="00B64615"/>
    <w:rsid w:val="00B65EA5"/>
    <w:rsid w:val="00B7041F"/>
    <w:rsid w:val="00B7117A"/>
    <w:rsid w:val="00B75CFA"/>
    <w:rsid w:val="00B823F0"/>
    <w:rsid w:val="00B847CF"/>
    <w:rsid w:val="00B86A60"/>
    <w:rsid w:val="00B970BA"/>
    <w:rsid w:val="00BA132A"/>
    <w:rsid w:val="00BA7279"/>
    <w:rsid w:val="00BB506F"/>
    <w:rsid w:val="00BB521C"/>
    <w:rsid w:val="00BB71FC"/>
    <w:rsid w:val="00BC13E3"/>
    <w:rsid w:val="00BC1784"/>
    <w:rsid w:val="00BC7345"/>
    <w:rsid w:val="00BD03CF"/>
    <w:rsid w:val="00BD40F1"/>
    <w:rsid w:val="00BF2A69"/>
    <w:rsid w:val="00C012F5"/>
    <w:rsid w:val="00C02610"/>
    <w:rsid w:val="00C12418"/>
    <w:rsid w:val="00C26713"/>
    <w:rsid w:val="00C3110A"/>
    <w:rsid w:val="00C3515D"/>
    <w:rsid w:val="00C354C9"/>
    <w:rsid w:val="00C41365"/>
    <w:rsid w:val="00C42A88"/>
    <w:rsid w:val="00C46BBD"/>
    <w:rsid w:val="00C47BF0"/>
    <w:rsid w:val="00C526AF"/>
    <w:rsid w:val="00C52992"/>
    <w:rsid w:val="00C5628C"/>
    <w:rsid w:val="00C63B17"/>
    <w:rsid w:val="00C66830"/>
    <w:rsid w:val="00C8429D"/>
    <w:rsid w:val="00C86057"/>
    <w:rsid w:val="00C866CE"/>
    <w:rsid w:val="00C94A16"/>
    <w:rsid w:val="00CA1D58"/>
    <w:rsid w:val="00CA2626"/>
    <w:rsid w:val="00CA364F"/>
    <w:rsid w:val="00CA45B6"/>
    <w:rsid w:val="00CA6EE5"/>
    <w:rsid w:val="00CB0438"/>
    <w:rsid w:val="00CD008F"/>
    <w:rsid w:val="00CD39FB"/>
    <w:rsid w:val="00CE3A53"/>
    <w:rsid w:val="00CE605D"/>
    <w:rsid w:val="00CF2286"/>
    <w:rsid w:val="00CF7182"/>
    <w:rsid w:val="00D00E95"/>
    <w:rsid w:val="00D04FC0"/>
    <w:rsid w:val="00D136D1"/>
    <w:rsid w:val="00D160FD"/>
    <w:rsid w:val="00D16D38"/>
    <w:rsid w:val="00D17F7F"/>
    <w:rsid w:val="00D21650"/>
    <w:rsid w:val="00D2508B"/>
    <w:rsid w:val="00D323E6"/>
    <w:rsid w:val="00D3555A"/>
    <w:rsid w:val="00D37B0A"/>
    <w:rsid w:val="00D42C66"/>
    <w:rsid w:val="00D4421E"/>
    <w:rsid w:val="00D45B55"/>
    <w:rsid w:val="00D575BC"/>
    <w:rsid w:val="00D57E0F"/>
    <w:rsid w:val="00D656C3"/>
    <w:rsid w:val="00D7136B"/>
    <w:rsid w:val="00D806E5"/>
    <w:rsid w:val="00D807A2"/>
    <w:rsid w:val="00D82FFB"/>
    <w:rsid w:val="00D83D76"/>
    <w:rsid w:val="00D85124"/>
    <w:rsid w:val="00D914B8"/>
    <w:rsid w:val="00D931ED"/>
    <w:rsid w:val="00D955FD"/>
    <w:rsid w:val="00DA35C8"/>
    <w:rsid w:val="00DA7703"/>
    <w:rsid w:val="00DB6126"/>
    <w:rsid w:val="00DB6A79"/>
    <w:rsid w:val="00DC4AB5"/>
    <w:rsid w:val="00DC5419"/>
    <w:rsid w:val="00DD1729"/>
    <w:rsid w:val="00DD2098"/>
    <w:rsid w:val="00DD2AB3"/>
    <w:rsid w:val="00DD4B2E"/>
    <w:rsid w:val="00DD507A"/>
    <w:rsid w:val="00DD62B4"/>
    <w:rsid w:val="00DE1DB4"/>
    <w:rsid w:val="00DE7756"/>
    <w:rsid w:val="00DF23F7"/>
    <w:rsid w:val="00DF287D"/>
    <w:rsid w:val="00E13585"/>
    <w:rsid w:val="00E20419"/>
    <w:rsid w:val="00E2132B"/>
    <w:rsid w:val="00E3098B"/>
    <w:rsid w:val="00E314DF"/>
    <w:rsid w:val="00E32FF5"/>
    <w:rsid w:val="00E41C10"/>
    <w:rsid w:val="00E42CCD"/>
    <w:rsid w:val="00E64FCF"/>
    <w:rsid w:val="00E65759"/>
    <w:rsid w:val="00E675CE"/>
    <w:rsid w:val="00E67D38"/>
    <w:rsid w:val="00E71493"/>
    <w:rsid w:val="00E82AEA"/>
    <w:rsid w:val="00E85D68"/>
    <w:rsid w:val="00E90834"/>
    <w:rsid w:val="00E90840"/>
    <w:rsid w:val="00E94690"/>
    <w:rsid w:val="00EB16B9"/>
    <w:rsid w:val="00EB7126"/>
    <w:rsid w:val="00EC3777"/>
    <w:rsid w:val="00ED69E4"/>
    <w:rsid w:val="00EE2B2C"/>
    <w:rsid w:val="00EE4B70"/>
    <w:rsid w:val="00EE6133"/>
    <w:rsid w:val="00EE679C"/>
    <w:rsid w:val="00EE73C5"/>
    <w:rsid w:val="00EF1D82"/>
    <w:rsid w:val="00EF43D8"/>
    <w:rsid w:val="00EF7AB6"/>
    <w:rsid w:val="00F01AB9"/>
    <w:rsid w:val="00F04DE0"/>
    <w:rsid w:val="00F05194"/>
    <w:rsid w:val="00F0674A"/>
    <w:rsid w:val="00F101E3"/>
    <w:rsid w:val="00F11C19"/>
    <w:rsid w:val="00F11D65"/>
    <w:rsid w:val="00F126D7"/>
    <w:rsid w:val="00F17629"/>
    <w:rsid w:val="00F274DE"/>
    <w:rsid w:val="00F34429"/>
    <w:rsid w:val="00F423C2"/>
    <w:rsid w:val="00F430FC"/>
    <w:rsid w:val="00F54038"/>
    <w:rsid w:val="00F549AD"/>
    <w:rsid w:val="00F56493"/>
    <w:rsid w:val="00F7210B"/>
    <w:rsid w:val="00F73CE1"/>
    <w:rsid w:val="00F75ECF"/>
    <w:rsid w:val="00F76689"/>
    <w:rsid w:val="00F91B10"/>
    <w:rsid w:val="00F91D50"/>
    <w:rsid w:val="00F92475"/>
    <w:rsid w:val="00FA095B"/>
    <w:rsid w:val="00FA38BF"/>
    <w:rsid w:val="00FA4C5C"/>
    <w:rsid w:val="00FA4CE6"/>
    <w:rsid w:val="00FA7903"/>
    <w:rsid w:val="00FB6B6C"/>
    <w:rsid w:val="00FC0070"/>
    <w:rsid w:val="00FD2331"/>
    <w:rsid w:val="00FE250E"/>
    <w:rsid w:val="00FE77CA"/>
    <w:rsid w:val="00FF22F9"/>
    <w:rsid w:val="00FF2CE3"/>
    <w:rsid w:val="00FF3AAF"/>
    <w:rsid w:val="00FF4FDC"/>
    <w:rsid w:val="00FF500B"/>
    <w:rsid w:val="00FF55E6"/>
    <w:rsid w:val="00FF56C2"/>
    <w:rsid w:val="00FF65A5"/>
    <w:rsid w:val="0528E49E"/>
    <w:rsid w:val="06C5B61D"/>
    <w:rsid w:val="0A1BCA03"/>
    <w:rsid w:val="0E0EEABB"/>
    <w:rsid w:val="133365B3"/>
    <w:rsid w:val="15A780BB"/>
    <w:rsid w:val="1C40C0CC"/>
    <w:rsid w:val="1EA3E808"/>
    <w:rsid w:val="283240B0"/>
    <w:rsid w:val="3647002D"/>
    <w:rsid w:val="3655FB78"/>
    <w:rsid w:val="395563C1"/>
    <w:rsid w:val="3E417359"/>
    <w:rsid w:val="42803F92"/>
    <w:rsid w:val="47B4F56B"/>
    <w:rsid w:val="4818FF1F"/>
    <w:rsid w:val="57AE8AE1"/>
    <w:rsid w:val="622DC372"/>
    <w:rsid w:val="62606764"/>
    <w:rsid w:val="6F5628E4"/>
    <w:rsid w:val="716ED7A9"/>
    <w:rsid w:val="75AD24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C590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57B"/>
    <w:pPr>
      <w:spacing w:after="240" w:line="276" w:lineRule="auto"/>
    </w:pPr>
    <w:rPr>
      <w:rFonts w:ascii="Times New Roman" w:eastAsia="Times New Roman" w:hAnsi="Times New Roman" w:cs="Times New Roman"/>
    </w:rPr>
  </w:style>
  <w:style w:type="paragraph" w:styleId="Heading1">
    <w:name w:val="heading 1"/>
    <w:basedOn w:val="ListParagraph"/>
    <w:next w:val="Normal"/>
    <w:link w:val="Heading1Char"/>
    <w:uiPriority w:val="9"/>
    <w:qFormat/>
    <w:rsid w:val="006D151E"/>
    <w:pPr>
      <w:ind w:left="0"/>
      <w:outlineLvl w:val="0"/>
    </w:pPr>
    <w:rPr>
      <w:rFonts w:ascii="Arial" w:hAnsi="Arial" w:cs="Arial"/>
      <w:b/>
      <w:bCs/>
    </w:rPr>
  </w:style>
  <w:style w:type="paragraph" w:styleId="Heading2">
    <w:name w:val="heading 2"/>
    <w:basedOn w:val="Normal"/>
    <w:next w:val="Normal"/>
    <w:link w:val="Heading2Char"/>
    <w:uiPriority w:val="9"/>
    <w:unhideWhenUsed/>
    <w:qFormat/>
    <w:rsid w:val="000362E5"/>
    <w:pPr>
      <w:outlineLvl w:val="1"/>
    </w:pPr>
    <w:rPr>
      <w:b/>
      <w:bCs/>
      <w:sz w:val="24"/>
      <w:szCs w:val="24"/>
    </w:rPr>
  </w:style>
  <w:style w:type="paragraph" w:styleId="Heading3">
    <w:name w:val="heading 3"/>
    <w:basedOn w:val="Normal"/>
    <w:next w:val="Normal"/>
    <w:link w:val="Heading3Char"/>
    <w:uiPriority w:val="9"/>
    <w:unhideWhenUsed/>
    <w:qFormat/>
    <w:rsid w:val="00752C65"/>
    <w:pPr>
      <w:keepNext/>
      <w:keepLines/>
      <w:spacing w:before="40" w:after="0"/>
      <w:outlineLvl w:val="2"/>
    </w:pPr>
    <w:rPr>
      <w:rFonts w:eastAsiaTheme="majorEastAsia"/>
      <w:color w:val="1F3763" w:themeColor="accent1" w:themeShade="7F"/>
      <w:sz w:val="24"/>
      <w:szCs w:val="24"/>
    </w:rPr>
  </w:style>
  <w:style w:type="paragraph" w:styleId="Heading4">
    <w:name w:val="heading 4"/>
    <w:basedOn w:val="Normal"/>
    <w:next w:val="Normal"/>
    <w:link w:val="Heading4Char"/>
    <w:uiPriority w:val="9"/>
    <w:unhideWhenUsed/>
    <w:qFormat/>
    <w:rsid w:val="00F344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085EE4"/>
    <w:pPr>
      <w:keepNext/>
      <w:keepLines/>
      <w:spacing w:before="200" w:after="0" w:line="256"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085EE4"/>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uiPriority w:val="99"/>
    <w:unhideWhenUsed/>
    <w:rsid w:val="00085EE4"/>
    <w:pPr>
      <w:spacing w:after="120" w:line="25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085EE4"/>
    <w:rPr>
      <w:sz w:val="16"/>
      <w:szCs w:val="16"/>
    </w:rPr>
  </w:style>
  <w:style w:type="character" w:customStyle="1" w:styleId="BodyTextChar">
    <w:name w:val="BodyText Char"/>
    <w:link w:val="BodyText"/>
    <w:locked/>
    <w:rsid w:val="00085EE4"/>
    <w:rPr>
      <w:rFonts w:ascii="SimSun" w:eastAsia="SimSun" w:hAnsi="SimSun" w:cs="Times New Roman"/>
    </w:rPr>
  </w:style>
  <w:style w:type="paragraph" w:customStyle="1" w:styleId="BodyText">
    <w:name w:val="BodyText"/>
    <w:basedOn w:val="Normal"/>
    <w:link w:val="BodyTextChar"/>
    <w:qFormat/>
    <w:rsid w:val="00085EE4"/>
    <w:pPr>
      <w:spacing w:after="200"/>
    </w:pPr>
    <w:rPr>
      <w:rFonts w:ascii="SimSun" w:eastAsia="SimSun" w:hAnsi="SimSun"/>
    </w:rPr>
  </w:style>
  <w:style w:type="paragraph" w:customStyle="1" w:styleId="P1-StandPara">
    <w:name w:val="P1-Stand Para"/>
    <w:uiPriority w:val="99"/>
    <w:rsid w:val="00085EE4"/>
    <w:pPr>
      <w:spacing w:after="0" w:line="360" w:lineRule="atLeast"/>
      <w:ind w:firstLine="1152"/>
      <w:jc w:val="both"/>
    </w:pPr>
    <w:rPr>
      <w:rFonts w:ascii="Times New Roman" w:eastAsia="Times New Roman" w:hAnsi="Times New Roman" w:cs="Times New Roman"/>
      <w:szCs w:val="20"/>
    </w:rPr>
  </w:style>
  <w:style w:type="paragraph" w:customStyle="1" w:styleId="Cov-Title">
    <w:name w:val="Cov-Title"/>
    <w:basedOn w:val="Normal"/>
    <w:uiPriority w:val="99"/>
    <w:rsid w:val="00085EE4"/>
    <w:pPr>
      <w:spacing w:after="0" w:line="240" w:lineRule="auto"/>
      <w:jc w:val="right"/>
    </w:pPr>
    <w:rPr>
      <w:rFonts w:ascii="Arial Black" w:hAnsi="Arial Black"/>
      <w:sz w:val="40"/>
      <w:szCs w:val="20"/>
    </w:rPr>
  </w:style>
  <w:style w:type="character" w:customStyle="1" w:styleId="StyleTimesNewRoman">
    <w:name w:val="Style Times New Roman"/>
    <w:uiPriority w:val="99"/>
    <w:rsid w:val="00085EE4"/>
    <w:rPr>
      <w:color w:val="000000"/>
      <w:sz w:val="24"/>
    </w:rPr>
  </w:style>
  <w:style w:type="character" w:customStyle="1" w:styleId="FootnoteTextChar">
    <w:name w:val="Footnote Text Char"/>
    <w:aliases w:val="F1 Char"/>
    <w:basedOn w:val="DefaultParagraphFont"/>
    <w:link w:val="FootnoteText"/>
    <w:uiPriority w:val="99"/>
    <w:locked/>
    <w:rsid w:val="00085EE4"/>
    <w:rPr>
      <w:rFonts w:ascii="Times New Roman" w:eastAsia="Times New Roman" w:hAnsi="Times New Roman" w:cs="Times New Roman"/>
      <w:sz w:val="16"/>
      <w:szCs w:val="20"/>
    </w:rPr>
  </w:style>
  <w:style w:type="paragraph" w:styleId="FootnoteText">
    <w:name w:val="footnote text"/>
    <w:aliases w:val="F1"/>
    <w:basedOn w:val="Normal"/>
    <w:link w:val="FootnoteTextChar"/>
    <w:uiPriority w:val="99"/>
    <w:unhideWhenUsed/>
    <w:rsid w:val="00085EE4"/>
    <w:pPr>
      <w:tabs>
        <w:tab w:val="left" w:pos="120"/>
      </w:tabs>
      <w:spacing w:before="120" w:after="0" w:line="200" w:lineRule="atLeast"/>
      <w:ind w:left="115" w:hanging="115"/>
      <w:jc w:val="both"/>
    </w:pPr>
    <w:rPr>
      <w:sz w:val="16"/>
      <w:szCs w:val="20"/>
    </w:rPr>
  </w:style>
  <w:style w:type="character" w:customStyle="1" w:styleId="FootnoteTextChar1">
    <w:name w:val="Footnote Text Char1"/>
    <w:basedOn w:val="DefaultParagraphFont"/>
    <w:uiPriority w:val="99"/>
    <w:semiHidden/>
    <w:rsid w:val="00085EE4"/>
    <w:rPr>
      <w:rFonts w:ascii="Calibri" w:eastAsia="Times New Roman" w:hAnsi="Calibri" w:cs="Times New Roman"/>
      <w:sz w:val="20"/>
      <w:szCs w:val="20"/>
    </w:rPr>
  </w:style>
  <w:style w:type="character" w:styleId="FootnoteReference">
    <w:name w:val="footnote reference"/>
    <w:basedOn w:val="DefaultParagraphFont"/>
    <w:uiPriority w:val="99"/>
    <w:unhideWhenUsed/>
    <w:rsid w:val="00085EE4"/>
    <w:rPr>
      <w:rFonts w:ascii="Times New Roman" w:hAnsi="Times New Roman" w:cs="Times New Roman" w:hint="default"/>
      <w:vertAlign w:val="superscript"/>
    </w:rPr>
  </w:style>
  <w:style w:type="paragraph" w:customStyle="1" w:styleId="xmsolistparagraph">
    <w:name w:val="x_msolistparagraph"/>
    <w:basedOn w:val="Normal"/>
    <w:rsid w:val="001319B1"/>
    <w:pPr>
      <w:spacing w:after="0" w:line="240" w:lineRule="auto"/>
    </w:pPr>
    <w:rPr>
      <w:rFonts w:eastAsiaTheme="minorHAnsi"/>
      <w:sz w:val="24"/>
      <w:szCs w:val="24"/>
    </w:rPr>
  </w:style>
  <w:style w:type="paragraph" w:styleId="ListParagraph">
    <w:name w:val="List Paragraph"/>
    <w:basedOn w:val="Normal"/>
    <w:uiPriority w:val="1"/>
    <w:qFormat/>
    <w:rsid w:val="008F73E3"/>
    <w:pPr>
      <w:ind w:left="720"/>
      <w:contextualSpacing/>
    </w:pPr>
  </w:style>
  <w:style w:type="character" w:styleId="CommentReference">
    <w:name w:val="annotation reference"/>
    <w:basedOn w:val="DefaultParagraphFont"/>
    <w:uiPriority w:val="99"/>
    <w:semiHidden/>
    <w:unhideWhenUsed/>
    <w:rsid w:val="008F73E3"/>
    <w:rPr>
      <w:sz w:val="16"/>
      <w:szCs w:val="16"/>
    </w:rPr>
  </w:style>
  <w:style w:type="paragraph" w:styleId="CommentText">
    <w:name w:val="annotation text"/>
    <w:basedOn w:val="Normal"/>
    <w:link w:val="CommentTextChar"/>
    <w:uiPriority w:val="99"/>
    <w:unhideWhenUsed/>
    <w:rsid w:val="008F73E3"/>
    <w:pPr>
      <w:spacing w:line="240" w:lineRule="auto"/>
    </w:pPr>
    <w:rPr>
      <w:sz w:val="20"/>
      <w:szCs w:val="20"/>
    </w:rPr>
  </w:style>
  <w:style w:type="character" w:customStyle="1" w:styleId="CommentTextChar">
    <w:name w:val="Comment Text Char"/>
    <w:basedOn w:val="DefaultParagraphFont"/>
    <w:link w:val="CommentText"/>
    <w:uiPriority w:val="99"/>
    <w:rsid w:val="008F73E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73E3"/>
    <w:rPr>
      <w:b/>
      <w:bCs/>
    </w:rPr>
  </w:style>
  <w:style w:type="character" w:customStyle="1" w:styleId="CommentSubjectChar">
    <w:name w:val="Comment Subject Char"/>
    <w:basedOn w:val="CommentTextChar"/>
    <w:link w:val="CommentSubject"/>
    <w:uiPriority w:val="99"/>
    <w:semiHidden/>
    <w:rsid w:val="008F73E3"/>
    <w:rPr>
      <w:rFonts w:ascii="Calibri" w:eastAsia="Times New Roman" w:hAnsi="Calibri" w:cs="Times New Roman"/>
      <w:b/>
      <w:bCs/>
      <w:sz w:val="20"/>
      <w:szCs w:val="20"/>
    </w:rPr>
  </w:style>
  <w:style w:type="paragraph" w:styleId="BodyText0">
    <w:name w:val="Body Text"/>
    <w:basedOn w:val="Normal"/>
    <w:link w:val="BodyTextChar0"/>
    <w:uiPriority w:val="99"/>
    <w:semiHidden/>
    <w:unhideWhenUsed/>
    <w:rsid w:val="00301D0D"/>
    <w:pPr>
      <w:spacing w:after="120"/>
    </w:pPr>
  </w:style>
  <w:style w:type="character" w:customStyle="1" w:styleId="BodyTextChar0">
    <w:name w:val="Body Text Char"/>
    <w:basedOn w:val="DefaultParagraphFont"/>
    <w:link w:val="BodyText0"/>
    <w:uiPriority w:val="99"/>
    <w:semiHidden/>
    <w:rsid w:val="00301D0D"/>
    <w:rPr>
      <w:rFonts w:ascii="Calibri" w:eastAsia="Times New Roman" w:hAnsi="Calibri" w:cs="Times New Roman"/>
    </w:rPr>
  </w:style>
  <w:style w:type="paragraph" w:styleId="NoSpacing">
    <w:name w:val="No Spacing"/>
    <w:link w:val="NoSpacingChar"/>
    <w:uiPriority w:val="1"/>
    <w:qFormat/>
    <w:rsid w:val="000E3AFE"/>
    <w:pPr>
      <w:spacing w:after="0" w:line="240" w:lineRule="auto"/>
    </w:pPr>
    <w:rPr>
      <w:rFonts w:eastAsiaTheme="minorEastAsia"/>
    </w:rPr>
  </w:style>
  <w:style w:type="character" w:customStyle="1" w:styleId="NoSpacingChar">
    <w:name w:val="No Spacing Char"/>
    <w:basedOn w:val="DefaultParagraphFont"/>
    <w:link w:val="NoSpacing"/>
    <w:uiPriority w:val="1"/>
    <w:rsid w:val="000E3AFE"/>
    <w:rPr>
      <w:rFonts w:eastAsiaTheme="minorEastAsia"/>
    </w:rPr>
  </w:style>
  <w:style w:type="table" w:styleId="TableGrid">
    <w:name w:val="Table Grid"/>
    <w:aliases w:val="DPC_Table Grid"/>
    <w:basedOn w:val="TableNormal"/>
    <w:uiPriority w:val="59"/>
    <w:rsid w:val="00546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2FC9"/>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C3515D"/>
    <w:rPr>
      <w:color w:val="0563C1" w:themeColor="hyperlink"/>
      <w:u w:val="single"/>
    </w:rPr>
  </w:style>
  <w:style w:type="character" w:styleId="UnresolvedMention">
    <w:name w:val="Unresolved Mention"/>
    <w:basedOn w:val="DefaultParagraphFont"/>
    <w:uiPriority w:val="99"/>
    <w:semiHidden/>
    <w:unhideWhenUsed/>
    <w:rsid w:val="00C3515D"/>
    <w:rPr>
      <w:color w:val="605E5C"/>
      <w:shd w:val="clear" w:color="auto" w:fill="E1DFDD"/>
    </w:rPr>
  </w:style>
  <w:style w:type="paragraph" w:styleId="Header">
    <w:name w:val="header"/>
    <w:basedOn w:val="Normal"/>
    <w:link w:val="HeaderChar"/>
    <w:uiPriority w:val="99"/>
    <w:unhideWhenUsed/>
    <w:rsid w:val="00ED6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9E4"/>
    <w:rPr>
      <w:rFonts w:ascii="Calibri" w:eastAsia="Times New Roman" w:hAnsi="Calibri" w:cs="Times New Roman"/>
    </w:rPr>
  </w:style>
  <w:style w:type="paragraph" w:styleId="Footer">
    <w:name w:val="footer"/>
    <w:basedOn w:val="Normal"/>
    <w:link w:val="FooterChar"/>
    <w:uiPriority w:val="99"/>
    <w:unhideWhenUsed/>
    <w:rsid w:val="00ED6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9E4"/>
    <w:rPr>
      <w:rFonts w:ascii="Calibri" w:eastAsia="Times New Roman" w:hAnsi="Calibri" w:cs="Times New Roman"/>
    </w:rPr>
  </w:style>
  <w:style w:type="character" w:customStyle="1" w:styleId="Heading1Char">
    <w:name w:val="Heading 1 Char"/>
    <w:basedOn w:val="DefaultParagraphFont"/>
    <w:link w:val="Heading1"/>
    <w:uiPriority w:val="9"/>
    <w:rsid w:val="006D151E"/>
    <w:rPr>
      <w:rFonts w:ascii="Arial" w:eastAsia="Times New Roman" w:hAnsi="Arial" w:cs="Arial"/>
      <w:b/>
      <w:bCs/>
    </w:rPr>
  </w:style>
  <w:style w:type="character" w:customStyle="1" w:styleId="Heading2Char">
    <w:name w:val="Heading 2 Char"/>
    <w:basedOn w:val="DefaultParagraphFont"/>
    <w:link w:val="Heading2"/>
    <w:uiPriority w:val="9"/>
    <w:rsid w:val="000362E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752C65"/>
    <w:rPr>
      <w:rFonts w:ascii="Times New Roman" w:hAnsi="Times New Roman" w:eastAsiaTheme="majorEastAsia" w:cs="Times New Roman"/>
      <w:color w:val="1F3763" w:themeColor="accent1" w:themeShade="7F"/>
      <w:sz w:val="24"/>
      <w:szCs w:val="24"/>
    </w:rPr>
  </w:style>
  <w:style w:type="table" w:styleId="GridTable4Accent1">
    <w:name w:val="Grid Table 4 Accent 1"/>
    <w:basedOn w:val="TableNormal"/>
    <w:uiPriority w:val="49"/>
    <w:rsid w:val="001F7E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4Char">
    <w:name w:val="Heading 4 Char"/>
    <w:basedOn w:val="DefaultParagraphFont"/>
    <w:link w:val="Heading4"/>
    <w:uiPriority w:val="9"/>
    <w:rsid w:val="00F34429"/>
    <w:rPr>
      <w:rFonts w:asciiTheme="majorHAnsi" w:eastAsiaTheme="majorEastAsia" w:hAnsiTheme="majorHAnsi" w:cstheme="majorBidi"/>
      <w:i/>
      <w:iCs/>
      <w:color w:val="2F5496" w:themeColor="accent1" w:themeShade="BF"/>
    </w:rPr>
  </w:style>
  <w:style w:type="table" w:styleId="GridTable2Accent1">
    <w:name w:val="Grid Table 2 Accent 1"/>
    <w:basedOn w:val="TableNormal"/>
    <w:uiPriority w:val="47"/>
    <w:rsid w:val="0067076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67076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1">
    <w:name w:val="List Table 4 Accent 1"/>
    <w:basedOn w:val="TableNormal"/>
    <w:uiPriority w:val="49"/>
    <w:rsid w:val="0067076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odyText1">
    <w:name w:val="Body Text1"/>
    <w:basedOn w:val="Normal"/>
    <w:uiPriority w:val="99"/>
    <w:rsid w:val="007F3076"/>
    <w:pPr>
      <w:spacing w:before="120" w:after="120" w:line="300" w:lineRule="atLeast"/>
    </w:pPr>
    <w:rPr>
      <w:rFonts w:ascii="Garamond" w:hAnsi="Garamond"/>
      <w:sz w:val="24"/>
      <w:szCs w:val="24"/>
    </w:rPr>
  </w:style>
  <w:style w:type="paragraph" w:customStyle="1" w:styleId="TableParagraph">
    <w:name w:val="Table Paragraph"/>
    <w:basedOn w:val="Normal"/>
    <w:uiPriority w:val="1"/>
    <w:qFormat/>
    <w:rsid w:val="00736AA3"/>
    <w:pPr>
      <w:widowControl w:val="0"/>
      <w:autoSpaceDE w:val="0"/>
      <w:autoSpaceDN w:val="0"/>
      <w:spacing w:after="0" w:line="240" w:lineRule="auto"/>
    </w:pPr>
    <w:rPr>
      <w:rFonts w:ascii="Tahoma" w:eastAsia="Tahoma" w:hAnsi="Tahoma" w:cs="Tahoma"/>
    </w:rPr>
  </w:style>
  <w:style w:type="character" w:customStyle="1" w:styleId="spellingerror">
    <w:name w:val="spellingerror"/>
    <w:basedOn w:val="DefaultParagraphFont"/>
    <w:rsid w:val="0046307B"/>
  </w:style>
  <w:style w:type="character" w:customStyle="1" w:styleId="eop">
    <w:name w:val="eop"/>
    <w:basedOn w:val="DefaultParagraphFont"/>
    <w:rsid w:val="0046307B"/>
  </w:style>
  <w:style w:type="character" w:customStyle="1" w:styleId="normaltextrun">
    <w:name w:val="normaltextrun"/>
    <w:basedOn w:val="DefaultParagraphFont"/>
    <w:rsid w:val="0046307B"/>
  </w:style>
  <w:style w:type="paragraph" w:customStyle="1" w:styleId="paragraph">
    <w:name w:val="paragraph"/>
    <w:basedOn w:val="Normal"/>
    <w:rsid w:val="0046307B"/>
    <w:pPr>
      <w:spacing w:before="100" w:beforeAutospacing="1" w:after="100" w:afterAutospacing="1" w:line="240" w:lineRule="auto"/>
    </w:pPr>
    <w:rPr>
      <w:sz w:val="24"/>
      <w:szCs w:val="24"/>
      <w:lang w:eastAsia="ko-KR"/>
    </w:rPr>
  </w:style>
  <w:style w:type="character" w:customStyle="1" w:styleId="tabchar">
    <w:name w:val="tabchar"/>
    <w:basedOn w:val="DefaultParagraphFont"/>
    <w:rsid w:val="0046307B"/>
  </w:style>
  <w:style w:type="paragraph" w:customStyle="1" w:styleId="TALISDimensionOrCategoryText">
    <w:name w:val="_TALIS_DimensionOrCategoryText"/>
    <w:basedOn w:val="Normal"/>
    <w:link w:val="TALISDimensionOrCategoryTextChar"/>
    <w:rsid w:val="0046307B"/>
    <w:pPr>
      <w:keepNext/>
      <w:keepLines/>
      <w:widowControl w:val="0"/>
      <w:tabs>
        <w:tab w:val="right" w:leader="dot" w:pos="7938"/>
      </w:tabs>
      <w:suppressAutoHyphens/>
      <w:spacing w:before="80" w:after="80" w:line="240" w:lineRule="auto"/>
    </w:pPr>
    <w:rPr>
      <w:rFonts w:ascii="Tahoma" w:eastAsia="PMingLiU" w:hAnsi="Tahoma" w:cs="Tahoma"/>
      <w:kern w:val="1"/>
      <w:sz w:val="20"/>
      <w:szCs w:val="20"/>
      <w:lang w:val="en-GB" w:eastAsia="hi-IN" w:bidi="hi-IN"/>
    </w:rPr>
  </w:style>
  <w:style w:type="character" w:customStyle="1" w:styleId="TALISDimensionOrCategoryTextChar">
    <w:name w:val="_TALIS_DimensionOrCategoryText Char"/>
    <w:link w:val="TALISDimensionOrCategoryText"/>
    <w:rsid w:val="0046307B"/>
    <w:rPr>
      <w:rFonts w:ascii="Tahoma" w:eastAsia="PMingLiU" w:hAnsi="Tahoma" w:cs="Tahoma"/>
      <w:kern w:val="1"/>
      <w:sz w:val="20"/>
      <w:szCs w:val="20"/>
      <w:lang w:val="en-GB" w:eastAsia="hi-IN" w:bidi="hi-IN"/>
    </w:rPr>
  </w:style>
  <w:style w:type="character" w:customStyle="1" w:styleId="scxw191614979">
    <w:name w:val="scxw191614979"/>
    <w:basedOn w:val="DefaultParagraphFont"/>
    <w:rsid w:val="0046307B"/>
  </w:style>
  <w:style w:type="paragraph" w:styleId="EndnoteText">
    <w:name w:val="endnote text"/>
    <w:basedOn w:val="Normal"/>
    <w:link w:val="EndnoteTextChar"/>
    <w:uiPriority w:val="99"/>
    <w:semiHidden/>
    <w:unhideWhenUsed/>
    <w:rsid w:val="0046307B"/>
    <w:pPr>
      <w:spacing w:after="0" w:line="240" w:lineRule="auto"/>
    </w:pPr>
    <w:rPr>
      <w:sz w:val="20"/>
      <w:szCs w:val="20"/>
      <w:lang w:eastAsia="ko-KR"/>
    </w:rPr>
  </w:style>
  <w:style w:type="character" w:customStyle="1" w:styleId="EndnoteTextChar">
    <w:name w:val="Endnote Text Char"/>
    <w:basedOn w:val="DefaultParagraphFont"/>
    <w:link w:val="EndnoteText"/>
    <w:uiPriority w:val="99"/>
    <w:semiHidden/>
    <w:rsid w:val="0046307B"/>
    <w:rPr>
      <w:rFonts w:ascii="Times New Roman" w:eastAsia="Times New Roman" w:hAnsi="Times New Roman" w:cs="Times New Roman"/>
      <w:sz w:val="20"/>
      <w:szCs w:val="20"/>
      <w:lang w:eastAsia="ko-KR"/>
    </w:rPr>
  </w:style>
  <w:style w:type="character" w:styleId="EndnoteReference">
    <w:name w:val="endnote reference"/>
    <w:basedOn w:val="DefaultParagraphFont"/>
    <w:uiPriority w:val="99"/>
    <w:semiHidden/>
    <w:unhideWhenUsed/>
    <w:rsid w:val="0046307B"/>
    <w:rPr>
      <w:vertAlign w:val="superscript"/>
    </w:rPr>
  </w:style>
  <w:style w:type="paragraph" w:customStyle="1" w:styleId="TALISInstruction">
    <w:name w:val="_TALIS_Instruction"/>
    <w:basedOn w:val="Normal"/>
    <w:link w:val="TALISInstructionCharChar"/>
    <w:rsid w:val="0046307B"/>
    <w:pPr>
      <w:widowControl w:val="0"/>
      <w:suppressAutoHyphens/>
      <w:spacing w:before="80" w:after="80" w:line="240" w:lineRule="auto"/>
    </w:pPr>
    <w:rPr>
      <w:rFonts w:ascii="Tahoma" w:eastAsia="Arial Unicode MS" w:hAnsi="Tahoma" w:cs="Tahoma"/>
      <w:i/>
      <w:kern w:val="1"/>
      <w:sz w:val="20"/>
      <w:szCs w:val="20"/>
      <w:lang w:val="en-GB" w:eastAsia="hi-IN" w:bidi="hi-IN"/>
    </w:rPr>
  </w:style>
  <w:style w:type="character" w:customStyle="1" w:styleId="TALISInstructionCharChar">
    <w:name w:val="_TALIS_Instruction Char Char"/>
    <w:basedOn w:val="DefaultParagraphFont"/>
    <w:link w:val="TALISInstruction"/>
    <w:rsid w:val="0046307B"/>
    <w:rPr>
      <w:rFonts w:ascii="Tahoma" w:eastAsia="Arial Unicode MS" w:hAnsi="Tahoma" w:cs="Tahoma"/>
      <w:i/>
      <w:kern w:val="1"/>
      <w:sz w:val="20"/>
      <w:szCs w:val="20"/>
      <w:lang w:val="en-GB" w:eastAsia="hi-IN" w:bidi="hi-IN"/>
    </w:rPr>
  </w:style>
  <w:style w:type="character" w:customStyle="1" w:styleId="TALISCode">
    <w:name w:val="_TALIS_Code"/>
    <w:basedOn w:val="DefaultParagraphFont"/>
    <w:rsid w:val="0046307B"/>
    <w:rPr>
      <w:rFonts w:ascii="Tahoma" w:hAnsi="Tahoma"/>
      <w:color w:val="auto"/>
      <w:sz w:val="16"/>
      <w:vertAlign w:val="subscript"/>
    </w:rPr>
  </w:style>
  <w:style w:type="paragraph" w:customStyle="1" w:styleId="TALISQuestionNumber">
    <w:name w:val="_TALIS_QuestionNumber"/>
    <w:basedOn w:val="Normal"/>
    <w:autoRedefine/>
    <w:qFormat/>
    <w:rsid w:val="0046307B"/>
    <w:pPr>
      <w:framePr w:hSpace="141" w:wrap="around" w:vAnchor="text" w:hAnchor="margin" w:y="135"/>
      <w:widowControl w:val="0"/>
      <w:tabs>
        <w:tab w:val="left" w:pos="452"/>
      </w:tabs>
      <w:suppressAutoHyphens/>
      <w:spacing w:before="80" w:after="80"/>
    </w:pPr>
    <w:rPr>
      <w:rFonts w:ascii="Tahoma" w:eastAsia="Arial Unicode MS" w:hAnsi="Tahoma" w:cs="Tahoma"/>
      <w:b/>
      <w:bCs/>
      <w:kern w:val="1"/>
      <w:sz w:val="20"/>
      <w:szCs w:val="24"/>
      <w:lang w:val="en-GB" w:eastAsia="hi-IN" w:bidi="hi-IN"/>
    </w:rPr>
  </w:style>
  <w:style w:type="paragraph" w:customStyle="1" w:styleId="TALISQuestionText">
    <w:name w:val="_TALIS_QuestionText"/>
    <w:basedOn w:val="Normal"/>
    <w:rsid w:val="0046307B"/>
    <w:pPr>
      <w:widowControl w:val="0"/>
      <w:suppressAutoHyphens/>
      <w:spacing w:before="80" w:after="80" w:line="240" w:lineRule="auto"/>
    </w:pPr>
    <w:rPr>
      <w:rFonts w:ascii="Tahoma" w:eastAsia="Arial Unicode MS" w:hAnsi="Tahoma" w:cs="Tahoma"/>
      <w:b/>
      <w:bCs/>
      <w:kern w:val="1"/>
      <w:sz w:val="20"/>
      <w:szCs w:val="24"/>
      <w:lang w:val="en-GB" w:eastAsia="hi-IN" w:bidi="hi-IN"/>
    </w:rPr>
  </w:style>
  <w:style w:type="paragraph" w:customStyle="1" w:styleId="TALISCheckboxList">
    <w:name w:val="_TALIS_CheckboxList"/>
    <w:basedOn w:val="Normal"/>
    <w:qFormat/>
    <w:rsid w:val="0046307B"/>
    <w:pPr>
      <w:widowControl w:val="0"/>
      <w:tabs>
        <w:tab w:val="right" w:leader="dot" w:pos="7938"/>
      </w:tabs>
      <w:suppressAutoHyphens/>
      <w:spacing w:before="60" w:after="0" w:line="240" w:lineRule="auto"/>
      <w:jc w:val="center"/>
    </w:pPr>
    <w:rPr>
      <w:rFonts w:ascii="Wingdings" w:eastAsia="Arial Unicode MS" w:hAnsi="Wingdings" w:cs="Tahoma"/>
      <w:kern w:val="32"/>
      <w:sz w:val="28"/>
      <w:szCs w:val="32"/>
      <w:lang w:val="en-GB" w:eastAsia="hi-IN" w:bidi="hi-IN"/>
    </w:rPr>
  </w:style>
  <w:style w:type="paragraph" w:customStyle="1" w:styleId="TALISCategory">
    <w:name w:val="_TALIS_Category"/>
    <w:basedOn w:val="Normal"/>
    <w:link w:val="TALISCategoryCharChar"/>
    <w:rsid w:val="0046307B"/>
    <w:pPr>
      <w:framePr w:wrap="around" w:vAnchor="text" w:hAnchor="text" w:y="1"/>
      <w:widowControl w:val="0"/>
      <w:suppressAutoHyphens/>
      <w:spacing w:before="80" w:after="80" w:line="240" w:lineRule="auto"/>
      <w:jc w:val="center"/>
    </w:pPr>
    <w:rPr>
      <w:rFonts w:ascii="Tahoma" w:eastAsia="Arial Unicode MS" w:hAnsi="Tahoma" w:cs="Tahoma"/>
      <w:bCs/>
      <w:kern w:val="1"/>
      <w:sz w:val="16"/>
      <w:szCs w:val="18"/>
      <w:lang w:val="en-GB" w:eastAsia="hi-IN" w:bidi="hi-IN"/>
    </w:rPr>
  </w:style>
  <w:style w:type="character" w:customStyle="1" w:styleId="TALISCategoryCharChar">
    <w:name w:val="_TALIS_Category Char Char"/>
    <w:basedOn w:val="DefaultParagraphFont"/>
    <w:link w:val="TALISCategory"/>
    <w:rsid w:val="0046307B"/>
    <w:rPr>
      <w:rFonts w:ascii="Tahoma" w:eastAsia="Arial Unicode MS" w:hAnsi="Tahoma" w:cs="Tahoma"/>
      <w:bCs/>
      <w:kern w:val="1"/>
      <w:sz w:val="16"/>
      <w:szCs w:val="18"/>
      <w:lang w:val="en-GB" w:eastAsia="hi-IN" w:bidi="hi-IN"/>
    </w:rPr>
  </w:style>
  <w:style w:type="paragraph" w:customStyle="1" w:styleId="TALISCheckboxMatrix">
    <w:name w:val="_TALIS_CheckboxMatrix"/>
    <w:basedOn w:val="Normal"/>
    <w:rsid w:val="0046307B"/>
    <w:pPr>
      <w:widowControl w:val="0"/>
      <w:suppressAutoHyphens/>
      <w:spacing w:after="80" w:line="240" w:lineRule="auto"/>
      <w:jc w:val="center"/>
    </w:pPr>
    <w:rPr>
      <w:rFonts w:ascii="Wingdings" w:eastAsia="Arial Unicode MS" w:hAnsi="Wingdings" w:cs="Tahoma"/>
      <w:kern w:val="32"/>
      <w:sz w:val="28"/>
      <w:szCs w:val="32"/>
      <w:lang w:val="en-GB" w:eastAsia="hi-IN" w:bidi="hi-IN"/>
    </w:rPr>
  </w:style>
  <w:style w:type="table" w:customStyle="1" w:styleId="DPCTableGrid16">
    <w:name w:val="DPC_Table Grid16"/>
    <w:basedOn w:val="TableNormal"/>
    <w:next w:val="TableGrid"/>
    <w:uiPriority w:val="59"/>
    <w:rsid w:val="0046307B"/>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mensionNumber">
    <w:name w:val="_DimensionNumber"/>
    <w:basedOn w:val="Normal"/>
    <w:rsid w:val="0046307B"/>
    <w:pPr>
      <w:widowControl w:val="0"/>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TALISDimensionNumber">
    <w:name w:val="_TALIS_DimensionNumber"/>
    <w:basedOn w:val="Normal"/>
    <w:rsid w:val="0046307B"/>
    <w:pPr>
      <w:widowControl w:val="0"/>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TALISSkipInstruction">
    <w:name w:val="_TALIS_SkipInstruction"/>
    <w:basedOn w:val="Normal"/>
    <w:link w:val="TALISSkipInstructionChar"/>
    <w:rsid w:val="0046307B"/>
    <w:pPr>
      <w:keepNext/>
      <w:keepLines/>
      <w:widowControl w:val="0"/>
      <w:tabs>
        <w:tab w:val="right" w:leader="dot" w:pos="7938"/>
      </w:tabs>
      <w:suppressAutoHyphens/>
      <w:spacing w:before="80" w:after="80" w:line="240" w:lineRule="auto"/>
    </w:pPr>
    <w:rPr>
      <w:rFonts w:ascii="Tahoma" w:eastAsia="PMingLiU" w:hAnsi="Tahoma" w:cs="Tahoma"/>
      <w:b/>
      <w:bCs/>
      <w:iCs/>
      <w:kern w:val="1"/>
      <w:sz w:val="20"/>
      <w:szCs w:val="20"/>
      <w:lang w:val="en-GB" w:eastAsia="hi-IN" w:bidi="hi-IN"/>
    </w:rPr>
  </w:style>
  <w:style w:type="character" w:customStyle="1" w:styleId="TALISSkipInstructionChar">
    <w:name w:val="_TALIS_SkipInstruction Char"/>
    <w:basedOn w:val="DefaultParagraphFont"/>
    <w:link w:val="TALISSkipInstruction"/>
    <w:rsid w:val="0046307B"/>
    <w:rPr>
      <w:rFonts w:ascii="Tahoma" w:eastAsia="PMingLiU" w:hAnsi="Tahoma" w:cs="Tahoma"/>
      <w:b/>
      <w:bCs/>
      <w:iCs/>
      <w:kern w:val="1"/>
      <w:sz w:val="20"/>
      <w:szCs w:val="20"/>
      <w:lang w:val="en-GB" w:eastAsia="hi-IN" w:bidi="hi-IN"/>
    </w:rPr>
  </w:style>
  <w:style w:type="table" w:customStyle="1" w:styleId="DPCTableGrid18">
    <w:name w:val="DPC_Table Grid18"/>
    <w:basedOn w:val="TableNormal"/>
    <w:next w:val="TableGrid"/>
    <w:uiPriority w:val="59"/>
    <w:rsid w:val="0046307B"/>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1D2A"/>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reginfo.gov/public/do/PRAViewDocument?ref_nbr=202305-1850-005" TargetMode="External" /><Relationship Id="rId7" Type="http://schemas.openxmlformats.org/officeDocument/2006/relationships/hyperlink" Target="mailto:stephen.cornman@ed.gov" TargetMode="External" /><Relationship Id="rId8" Type="http://schemas.openxmlformats.org/officeDocument/2006/relationships/image" Target="media/image1.png"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nces.ed.gov/pubsearch" TargetMode="External" /><Relationship Id="rId2" Type="http://schemas.openxmlformats.org/officeDocument/2006/relationships/hyperlink" Target="https://nces.ed.gov/pubsearch/pubsinfo.asp?pubid=201534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B0B77-7909-4864-931C-E89F7D5D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2023-05-17T20:57:00Z</dcterms:created>
  <dcterms:modified xsi:type="dcterms:W3CDTF">2023-07-06T21:34:00Z</dcterms:modified>
</cp:coreProperties>
</file>