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6E444933" w14:textId="77777777">
      <w:pPr>
        <w:jc w:val="center"/>
      </w:pPr>
      <w:smartTag w:uri="urn:schemas-microsoft-com:office:smarttags" w:element="place">
        <w:smartTag w:uri="urn:schemas-microsoft-com:office:smarttags" w:element="country-region">
          <w:r>
            <w:t>UNITED STATES OF AMERICA</w:t>
          </w:r>
        </w:smartTag>
      </w:smartTag>
    </w:p>
    <w:p w:rsidR="00A2604E" w:rsidP="00A2604E" w14:paraId="4CB90DC8" w14:textId="77777777">
      <w:pPr>
        <w:jc w:val="center"/>
      </w:pPr>
      <w:r>
        <w:t>FEDERAL ENERGY REGULATORY COMMISSION</w:t>
      </w:r>
    </w:p>
    <w:p w:rsidR="00A2604E" w:rsidP="00A2604E" w14:paraId="72528CFE" w14:textId="77777777"/>
    <w:p w:rsidR="00A2604E" w:rsidRPr="00AA4300" w:rsidP="00A2604E" w14:paraId="63F7D638" w14:textId="1E19CD7A">
      <w:pPr>
        <w:jc w:val="center"/>
      </w:pPr>
      <w:r>
        <w:t xml:space="preserve">[Docket No. </w:t>
      </w:r>
      <w:r w:rsidR="0099355F">
        <w:t>IC</w:t>
      </w:r>
      <w:r w:rsidR="1C2CB553">
        <w:t>23</w:t>
      </w:r>
      <w:r w:rsidR="0099355F">
        <w:t>-</w:t>
      </w:r>
      <w:r w:rsidR="45ACA4CE">
        <w:t>11-</w:t>
      </w:r>
      <w:r w:rsidR="0099355F">
        <w:t>000</w:t>
      </w:r>
      <w:r>
        <w:t>]</w:t>
      </w:r>
    </w:p>
    <w:p w:rsidR="00A2604E" w:rsidRPr="00426813" w:rsidP="00A2604E" w14:paraId="35E21C8D" w14:textId="77777777"/>
    <w:p w:rsidR="00A2604E" w:rsidRPr="00426813" w:rsidP="00A2604E" w14:paraId="3E6E30E1" w14:textId="4A1362CB">
      <w:pPr>
        <w:jc w:val="center"/>
      </w:pPr>
      <w:r w:rsidRPr="00426813">
        <w:t>COMMISSION INFORMATION COLLECTION ACTIVITIES (</w:t>
      </w:r>
      <w:r w:rsidRPr="00426813" w:rsidR="00AE5500">
        <w:t>FERC-510</w:t>
      </w:r>
      <w:r w:rsidRPr="00426813">
        <w:t>);</w:t>
      </w:r>
    </w:p>
    <w:p w:rsidR="00A2604E" w:rsidP="00A2604E" w14:paraId="2455F18B" w14:textId="77777777">
      <w:pPr>
        <w:jc w:val="center"/>
      </w:pPr>
      <w:r w:rsidRPr="00426813">
        <w:t>COMMENT REQUEST; EXTENSION</w:t>
      </w:r>
    </w:p>
    <w:p w:rsidR="00810D18" w:rsidP="00810D18" w14:paraId="1020381E" w14:textId="77777777"/>
    <w:p w:rsidR="002946DC" w:rsidP="00EF59BF" w14:paraId="72720B08" w14:textId="7FD65CA9">
      <w:pPr>
        <w:jc w:val="center"/>
      </w:pPr>
      <w:r w:rsidRPr="00EF59BF">
        <w:t>(</w:t>
      </w:r>
      <w:r w:rsidR="00521EEF">
        <w:t>DATE</w:t>
      </w:r>
      <w:r w:rsidRPr="00EF59BF">
        <w:t>)</w:t>
      </w:r>
    </w:p>
    <w:p w:rsidR="00EF59BF" w:rsidP="00EF59BF" w14:paraId="309D443F" w14:textId="20A73D19"/>
    <w:p w:rsidR="00EF59BF" w:rsidRPr="00EF59BF" w:rsidP="00EF59BF" w14:paraId="4ADFBDBA" w14:textId="77777777"/>
    <w:p w:rsidR="00A2604E" w:rsidP="00A2604E" w14:paraId="373A1B90" w14:textId="77777777">
      <w:r w:rsidRPr="00AB4DBF">
        <w:rPr>
          <w:b/>
        </w:rPr>
        <w:t>AGENCY:</w:t>
      </w:r>
      <w:r w:rsidRPr="00AB4DBF">
        <w:t xml:space="preserve">  Federal Energy Regulatory Commission.</w:t>
      </w:r>
    </w:p>
    <w:p w:rsidR="00A2604E" w:rsidRPr="00AB4DBF" w:rsidP="00A2604E" w14:paraId="4B402D0B" w14:textId="77777777"/>
    <w:p w:rsidR="00A2604E" w:rsidP="00A2604E" w14:paraId="780CCEA4" w14:textId="77777777">
      <w:pPr>
        <w:spacing w:line="480" w:lineRule="auto"/>
      </w:pPr>
      <w:r w:rsidRPr="00CE64F2">
        <w:rPr>
          <w:b/>
        </w:rPr>
        <w:t>ACTION:</w:t>
      </w:r>
      <w:r>
        <w:t xml:space="preserve">  Notice of information collection and request for comments.</w:t>
      </w:r>
    </w:p>
    <w:p w:rsidR="00A2604E" w:rsidP="00A2604E" w14:paraId="1E606D01" w14:textId="1D0FFA0D">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w:t>
      </w:r>
      <w:r w:rsidR="00C61E13">
        <w:t xml:space="preserve">proposed extension of </w:t>
      </w:r>
      <w:r>
        <w:t xml:space="preserve">currently approved information collection, </w:t>
      </w:r>
      <w:r w:rsidR="00AE5500">
        <w:t>FERC-510</w:t>
      </w:r>
      <w:r w:rsidRPr="00D36594" w:rsidR="00D36594">
        <w:t xml:space="preserve"> (</w:t>
      </w:r>
      <w:r w:rsidRPr="00AE5500" w:rsidR="00AE5500">
        <w:t>Application for Surrender of a Hydropower License</w:t>
      </w:r>
      <w:r w:rsidRPr="00D36594" w:rsidR="00D36594">
        <w:t>)</w:t>
      </w:r>
      <w:r w:rsidR="00D36594">
        <w:t>.</w:t>
      </w:r>
    </w:p>
    <w:p w:rsidR="00406260" w:rsidP="00406260" w14:paraId="54FEF51D" w14:textId="77777777">
      <w:pPr>
        <w:spacing w:line="480" w:lineRule="auto"/>
      </w:pPr>
      <w:r w:rsidRPr="00CE64F2">
        <w:rPr>
          <w:b/>
        </w:rPr>
        <w:t>DATES:</w:t>
      </w:r>
      <w:r>
        <w:t xml:space="preserve"> </w:t>
      </w:r>
      <w:r w:rsidRPr="00FE502E">
        <w:t xml:space="preserve">Comments on the collection of information are due </w:t>
      </w:r>
      <w:r w:rsidRPr="00FE502E">
        <w:rPr>
          <w:b/>
        </w:rPr>
        <w:t>[Insert Date 30 days after date of publication in the Federal Register].</w:t>
      </w:r>
      <w:r w:rsidRPr="00FE502E">
        <w:t xml:space="preserve">  </w:t>
      </w:r>
    </w:p>
    <w:p w:rsidR="00406260" w:rsidRPr="00FE502E" w:rsidP="00406260" w14:paraId="540E3B8A" w14:textId="2B74483D">
      <w:pPr>
        <w:spacing w:line="480" w:lineRule="auto"/>
      </w:pPr>
      <w:r w:rsidRPr="00DD40D0">
        <w:rPr>
          <w:b/>
        </w:rPr>
        <w:t>ADDRESSES:</w:t>
      </w:r>
      <w:r w:rsidRPr="00DD40D0">
        <w:t xml:space="preserve">  </w:t>
      </w:r>
      <w:r w:rsidRPr="00FE502E">
        <w:rPr>
          <w:iCs/>
        </w:rPr>
        <w:t xml:space="preserve">Send written comments on FERC </w:t>
      </w:r>
      <w:r>
        <w:rPr>
          <w:iCs/>
        </w:rPr>
        <w:t>510</w:t>
      </w:r>
      <w:r w:rsidRPr="00FE502E">
        <w:rPr>
          <w:iCs/>
        </w:rPr>
        <w:t xml:space="preserve"> to OMB through </w:t>
      </w:r>
      <w:hyperlink r:id="rId9" w:history="1">
        <w:r w:rsidRPr="00FE502E">
          <w:rPr>
            <w:rStyle w:val="Hyperlink"/>
          </w:rPr>
          <w:t>www.reginfo.gov/public/do/PRAMain</w:t>
        </w:r>
      </w:hyperlink>
      <w:r w:rsidRPr="00FE502E">
        <w:t>,</w:t>
      </w:r>
      <w:r w:rsidRPr="00FE502E">
        <w:rPr>
          <w:iCs/>
        </w:rPr>
        <w:t xml:space="preserve"> Attention: Federal Energy Regulatory Commission Desk Officer.  Please identify the OMB Control Number </w:t>
      </w:r>
      <w:r w:rsidRPr="00C0779C">
        <w:rPr>
          <w:iCs/>
        </w:rPr>
        <w:t xml:space="preserve">1902-0062 </w:t>
      </w:r>
      <w:r w:rsidRPr="00FE502E">
        <w:t>(</w:t>
      </w:r>
      <w:r w:rsidRPr="00381179">
        <w:t>Gas Pipeline Certificates: Import &amp; Export Related Applications</w:t>
      </w:r>
      <w:r w:rsidRPr="00FE502E">
        <w:t>) in the subject line.</w:t>
      </w:r>
      <w:r w:rsidRPr="00FE502E">
        <w:rPr>
          <w:iCs/>
        </w:rPr>
        <w:t xml:space="preserve">  Your comments </w:t>
      </w:r>
      <w:r w:rsidRPr="00FE502E">
        <w:t>should be sent within 30 days of publication of this notice in the Federal Register.</w:t>
      </w:r>
    </w:p>
    <w:p w:rsidR="00406260" w:rsidRPr="00FE502E" w:rsidP="00406260" w14:paraId="410F0D73" w14:textId="77777777">
      <w:pPr>
        <w:spacing w:line="480" w:lineRule="auto"/>
        <w:ind w:firstLine="720"/>
      </w:pPr>
      <w:r w:rsidRPr="00FE502E">
        <w:t>Please submit copies of your comments (identified by Docket No. IC22-</w:t>
      </w:r>
      <w:r>
        <w:t>22</w:t>
      </w:r>
      <w:r w:rsidRPr="00FE502E">
        <w:t xml:space="preserve">-000 and the form) to the Commission as noted below.  Electronic filing through </w:t>
      </w:r>
      <w:hyperlink r:id="rId10" w:history="1">
        <w:r w:rsidRPr="00B43901">
          <w:rPr>
            <w:rStyle w:val="Hyperlink"/>
          </w:rPr>
          <w:t>https://www.ferc.gov</w:t>
        </w:r>
      </w:hyperlink>
      <w:r w:rsidRPr="00FE502E">
        <w:t>, is preferred.</w:t>
      </w:r>
    </w:p>
    <w:p w:rsidR="00406260" w:rsidRPr="00FE502E" w:rsidP="00406260" w14:paraId="7983D954" w14:textId="77777777">
      <w:pPr>
        <w:numPr>
          <w:ilvl w:val="0"/>
          <w:numId w:val="2"/>
        </w:numPr>
        <w:spacing w:line="480" w:lineRule="auto"/>
      </w:pPr>
      <w:r w:rsidRPr="00FE502E">
        <w:t xml:space="preserve">Electronic Filing: Documents must be filed in acceptable native applications and print-to-PDF, but not in scanned or picture format. </w:t>
      </w:r>
    </w:p>
    <w:p w:rsidR="00406260" w:rsidRPr="00FE502E" w:rsidP="00406260" w14:paraId="52356293" w14:textId="77777777">
      <w:pPr>
        <w:numPr>
          <w:ilvl w:val="0"/>
          <w:numId w:val="2"/>
        </w:numPr>
        <w:spacing w:line="480" w:lineRule="auto"/>
      </w:pPr>
      <w:r w:rsidRPr="00FE502E">
        <w:t>For those unable to file electronically, comments may be filed by USPS mail or by hand (including courier) delivery.</w:t>
      </w:r>
    </w:p>
    <w:p w:rsidR="00406260" w:rsidRPr="00FE502E" w:rsidP="00406260" w14:paraId="6513935E" w14:textId="77777777">
      <w:pPr>
        <w:numPr>
          <w:ilvl w:val="1"/>
          <w:numId w:val="2"/>
        </w:numPr>
        <w:spacing w:line="480" w:lineRule="auto"/>
      </w:pPr>
      <w:r w:rsidRPr="00FE502E">
        <w:t>Mail via U.S. Postal Service only, addressed to: Federal Energy Regulatory Commission, Secretary of the Commission, 888 First Street, N.E., Washington, DC 20426.</w:t>
      </w:r>
    </w:p>
    <w:p w:rsidR="00406260" w:rsidRPr="00FE502E" w:rsidP="00406260" w14:paraId="3B09618E" w14:textId="77777777">
      <w:pPr>
        <w:numPr>
          <w:ilvl w:val="1"/>
          <w:numId w:val="2"/>
        </w:numPr>
        <w:spacing w:line="480" w:lineRule="auto"/>
      </w:pPr>
      <w:r w:rsidRPr="00FE502E">
        <w:t xml:space="preserve">Hand (including courier) delivery to: Federal Energy Regulatory Commission, </w:t>
      </w:r>
      <w:r>
        <w:t xml:space="preserve">Secretary of the Commission, </w:t>
      </w:r>
      <w:r w:rsidRPr="00FE502E">
        <w:t>12225 Wilkins Avenue, Rockville, MD 20852.</w:t>
      </w:r>
    </w:p>
    <w:p w:rsidR="00406260" w:rsidRPr="00FE502E" w:rsidP="00406260" w14:paraId="71F04758" w14:textId="77777777">
      <w:pPr>
        <w:spacing w:line="480" w:lineRule="auto"/>
      </w:pPr>
      <w:r w:rsidRPr="00FE502E">
        <w:t>Please reference the specific collection number(s) and/or title(s) in your comments.</w:t>
      </w:r>
    </w:p>
    <w:p w:rsidR="00406260" w:rsidRPr="00FE502E" w:rsidP="00406260" w14:paraId="29EDF51B" w14:textId="77777777">
      <w:pPr>
        <w:spacing w:line="480" w:lineRule="auto"/>
      </w:pPr>
      <w:r w:rsidRPr="00FE502E">
        <w:rPr>
          <w:i/>
        </w:rPr>
        <w:t xml:space="preserve">Instructions: </w:t>
      </w:r>
      <w:r w:rsidRPr="00FE502E">
        <w:t xml:space="preserve">OMB submissions must be formatted and filed in accordance with submission guidelines at: </w:t>
      </w:r>
      <w:hyperlink r:id="rId9" w:history="1">
        <w:r w:rsidRPr="00FE502E">
          <w:rPr>
            <w:rStyle w:val="Hyperlink"/>
          </w:rPr>
          <w:t>www.reginfo.gov/public/do/PRAMain</w:t>
        </w:r>
      </w:hyperlink>
      <w:r w:rsidRPr="00FE502E">
        <w:t xml:space="preserve">.  Using the search function under the “Currently Under Review field,” select Federal Energy Regulatory Commission; click “submit” and select “comment” to the right of the subject collection.  FERC submissions must be formatted and filed in accordance with submission guidelines at: </w:t>
      </w:r>
      <w:hyperlink r:id="rId10" w:history="1">
        <w:r w:rsidRPr="00B43901">
          <w:rPr>
            <w:rStyle w:val="Hyperlink"/>
          </w:rPr>
          <w:t>https://www.ferc.gov</w:t>
        </w:r>
      </w:hyperlink>
      <w:r w:rsidRPr="00FE502E">
        <w:t>.  For user assistance contact FERC Online Support by e-mail at ferconlinesupport@ferc.gov, or by phone at (866) 208-3676 (toll-free).</w:t>
      </w:r>
    </w:p>
    <w:p w:rsidR="00406260" w:rsidRPr="00FE502E" w:rsidP="00406260" w14:paraId="28E0C348" w14:textId="77777777">
      <w:pPr>
        <w:spacing w:line="480" w:lineRule="auto"/>
      </w:pPr>
      <w:r w:rsidRPr="00FE502E">
        <w:rPr>
          <w:i/>
        </w:rPr>
        <w:t>Docket:</w:t>
      </w:r>
      <w:r w:rsidRPr="00FE502E">
        <w:t xml:space="preserve"> Users interested in receiving automatic notification of activity in this docket or in viewing/downloading comments and issuances in this docket may do so at </w:t>
      </w:r>
      <w:hyperlink r:id="rId10" w:history="1">
        <w:r w:rsidRPr="000A779F">
          <w:rPr>
            <w:rStyle w:val="Hyperlink"/>
          </w:rPr>
          <w:t>https://www.ferc.gov</w:t>
        </w:r>
      </w:hyperlink>
      <w:r w:rsidRPr="00FE502E">
        <w:t xml:space="preserve">. </w:t>
      </w:r>
    </w:p>
    <w:p w:rsidR="00406260" w:rsidRPr="00FE502E" w:rsidP="00406260" w14:paraId="51B07D05" w14:textId="77777777">
      <w:pPr>
        <w:spacing w:line="480" w:lineRule="auto"/>
      </w:pPr>
      <w:r w:rsidRPr="00FE502E">
        <w:rPr>
          <w:b/>
        </w:rPr>
        <w:t>FOR FURTHER INFORMATION:</w:t>
      </w:r>
      <w:r w:rsidRPr="00FE502E">
        <w:t xml:space="preserve">  Ellen Brown may be reached by e-mail at </w:t>
      </w:r>
      <w:hyperlink r:id="rId11" w:history="1">
        <w:r w:rsidRPr="00FE502E">
          <w:rPr>
            <w:rStyle w:val="Hyperlink"/>
          </w:rPr>
          <w:t>DataClearance@FERC.gov</w:t>
        </w:r>
      </w:hyperlink>
      <w:r w:rsidRPr="00FE502E">
        <w:t xml:space="preserve"> and telephone at (202) 502-8663.</w:t>
      </w:r>
    </w:p>
    <w:p w:rsidR="00A2604E" w:rsidRPr="00853ABC" w:rsidP="00C1124F" w14:paraId="1EFC842C" w14:textId="10985643">
      <w:pPr>
        <w:tabs>
          <w:tab w:val="left" w:pos="7880"/>
        </w:tabs>
        <w:spacing w:line="480" w:lineRule="auto"/>
      </w:pPr>
      <w:r w:rsidRPr="001C3703">
        <w:rPr>
          <w:b/>
        </w:rPr>
        <w:t>SUPPLEMENTARY INFORMATION:</w:t>
      </w:r>
      <w:r>
        <w:t xml:space="preserve">  </w:t>
      </w:r>
    </w:p>
    <w:p w:rsidR="00B01B16" w:rsidP="00B01B16" w14:paraId="58675FAE" w14:textId="7E621264">
      <w:pPr>
        <w:spacing w:line="480" w:lineRule="auto"/>
        <w:rPr>
          <w:i/>
        </w:rPr>
      </w:pPr>
      <w:r>
        <w:rPr>
          <w:i/>
        </w:rPr>
        <w:t xml:space="preserve">Title: </w:t>
      </w:r>
      <w:r w:rsidR="00AE5500">
        <w:t>FERC-510</w:t>
      </w:r>
      <w:r w:rsidR="006765C9">
        <w:t>,</w:t>
      </w:r>
      <w:r w:rsidRPr="006765C9" w:rsidR="006765C9">
        <w:t xml:space="preserve"> </w:t>
      </w:r>
      <w:r w:rsidRPr="00AE5500" w:rsidR="00AE5500">
        <w:t>Application for Surrender of a Hydropower License</w:t>
      </w:r>
      <w:r w:rsidR="00AE5500">
        <w:t xml:space="preserve"> </w:t>
      </w:r>
    </w:p>
    <w:p w:rsidR="00B01B16" w:rsidP="00B01B16" w14:paraId="10CE6BEF" w14:textId="2D5F7153">
      <w:pPr>
        <w:spacing w:line="480" w:lineRule="auto"/>
      </w:pPr>
      <w:r>
        <w:rPr>
          <w:i/>
        </w:rPr>
        <w:t>OMB Control No.:</w:t>
      </w:r>
      <w:r w:rsidRPr="00F50EDA">
        <w:t xml:space="preserve"> </w:t>
      </w:r>
      <w:r w:rsidR="00AE5500">
        <w:t>1902-0068</w:t>
      </w:r>
    </w:p>
    <w:p w:rsidR="00B01B16" w:rsidRPr="00B5364C" w:rsidP="00B01B16" w14:paraId="5A0F5B82" w14:textId="66C03524">
      <w:pPr>
        <w:spacing w:line="480" w:lineRule="auto"/>
      </w:pPr>
      <w:r>
        <w:rPr>
          <w:i/>
        </w:rPr>
        <w:t>Type of Request:</w:t>
      </w:r>
      <w:r>
        <w:t xml:space="preserve"> Three-year extension of the </w:t>
      </w:r>
      <w:r w:rsidR="00AE5500">
        <w:t>FERC-510</w:t>
      </w:r>
      <w:r>
        <w:t xml:space="preserve"> information collection requirements with no changes to the current reporting </w:t>
      </w:r>
      <w:r w:rsidR="00C36799">
        <w:t xml:space="preserve">and recordkeeping </w:t>
      </w:r>
      <w:r>
        <w:t xml:space="preserve">requirements. </w:t>
      </w:r>
    </w:p>
    <w:p w:rsidR="00AE5500" w:rsidP="00AE5500" w14:paraId="4EBFA384" w14:textId="252C4C64">
      <w:pPr>
        <w:spacing w:line="480" w:lineRule="auto"/>
      </w:pPr>
      <w:r>
        <w:rPr>
          <w:i/>
          <w:iCs/>
        </w:rPr>
        <w:t xml:space="preserve">Abstract:  </w:t>
      </w:r>
      <w:r>
        <w:t xml:space="preserve">The </w:t>
      </w:r>
      <w:r w:rsidR="00AD5DE1">
        <w:t xml:space="preserve">purpose of FERC-510 is to implement information collections pursuant to </w:t>
      </w:r>
      <w:r>
        <w:t>sections 4(e), 6</w:t>
      </w:r>
      <w:r w:rsidR="005820DE">
        <w:t>,</w:t>
      </w:r>
      <w:r>
        <w:t xml:space="preserve"> and 13 of the Federal Power Act (FPA) (16 U.S.C. sections 797(e), 799 and 806).  Section 4(e) gives the Commission authority to issue licenses for the purposes of constructing, operating and maintaining dams, water conduits, reservoirs, powerhouses, transmission lines or other power project works necessary or convenient for developing and improving navigation, transmission and utilization of power using bodies of water over which Congress has jurisdiction.   Section 6 gives the Commission the authority to prescribe the conditions of licenses including the revocation or surrender of the license.  Section 13</w:t>
      </w:r>
      <w:r w:rsidR="00FA5626">
        <w:t xml:space="preserve"> </w:t>
      </w:r>
      <w:r>
        <w:t xml:space="preserve">defines the Commission’s authority to delegate time periods for when a license must be terminated if project construction has not begun.  Surrender of a license may be desired by a licensee when a licensed project is retired or not constructed or natural catastrophes have damaged or destroyed the project facilities.  </w:t>
      </w:r>
    </w:p>
    <w:p w:rsidR="00AE5500" w:rsidP="00AE5500" w14:paraId="28F0EA67" w14:textId="41545FE8">
      <w:pPr>
        <w:spacing w:line="480" w:lineRule="auto"/>
      </w:pPr>
      <w:r>
        <w:tab/>
        <w:t>FERC-510 is the application for the surrender of a hydropower license.</w:t>
      </w:r>
      <w:r>
        <w:rPr>
          <w:rStyle w:val="FootnoteReference"/>
        </w:rPr>
        <w:footnoteReference w:id="3"/>
      </w:r>
      <w:r>
        <w:t xml:space="preserve">  The information is used by Commission staff to determine the broad impact of such surrender.  The Commission will issue a notice soliciting comments from the public and other agencies and conduct a review of the application before issuing an order for Surrender of a License.  The order is the result of an analysis of the information produced (i.e., dam safety, public safety, and environmental concerns, etc.), which is examined to determine whether any conditions must be satisfied before granting the surrender.  The order implements the existing regulations and is inclusive for surrender of all types of hydropower licenses issued by FERC and its predecessor, the Federal Power Commission.  </w:t>
      </w:r>
    </w:p>
    <w:p w:rsidR="00AE5500" w:rsidP="00AE5500" w14:paraId="3D5D3707" w14:textId="77777777">
      <w:pPr>
        <w:spacing w:line="480" w:lineRule="auto"/>
      </w:pPr>
      <w:r>
        <w:rPr>
          <w:i/>
        </w:rPr>
        <w:t xml:space="preserve">Type of Respondent: </w:t>
      </w:r>
      <w:r>
        <w:t>Private or Municipal Hydropower Licensees.</w:t>
      </w:r>
    </w:p>
    <w:p w:rsidR="00F84A61" w:rsidP="00EF59BF" w14:paraId="0ADCF534" w14:textId="62DD7C63">
      <w:pPr>
        <w:spacing w:line="480" w:lineRule="auto"/>
      </w:pPr>
      <w:r>
        <w:rPr>
          <w:i/>
        </w:rPr>
        <w:t>Estimate of Annual Burden</w:t>
      </w:r>
      <w:bookmarkStart w:id="0" w:name="_Ref478121945"/>
      <w:r>
        <w:rPr>
          <w:rStyle w:val="FootnoteReference"/>
          <w:i/>
        </w:rPr>
        <w:footnoteReference w:id="4"/>
      </w:r>
      <w:bookmarkEnd w:id="0"/>
      <w:r>
        <w:rPr>
          <w:i/>
        </w:rPr>
        <w:t xml:space="preserve">: </w:t>
      </w:r>
      <w:r>
        <w:t>The Commission estimates the total annual burden and cost</w:t>
      </w:r>
      <w:bookmarkStart w:id="1" w:name="_Ref478118998"/>
      <w:r>
        <w:rPr>
          <w:rStyle w:val="FootnoteReference"/>
        </w:rPr>
        <w:footnoteReference w:id="5"/>
      </w:r>
      <w:bookmarkEnd w:id="1"/>
      <w:r>
        <w:t xml:space="preserve"> for this information collection as follows:</w:t>
      </w:r>
      <w:r w:rsidRPr="00A45F7D" w:rsidR="00A45F7D">
        <w:t xml:space="preserve"> </w:t>
      </w:r>
    </w:p>
    <w:p w:rsidR="00EF59BF" w:rsidP="00EF59BF" w14:paraId="65F9BDD3" w14:textId="77777777">
      <w:pPr>
        <w:tabs>
          <w:tab w:val="left" w:pos="5040"/>
        </w:tabs>
        <w:spacing w:line="480" w:lineRule="auto"/>
      </w:pPr>
    </w:p>
    <w:tbl>
      <w:tblPr>
        <w:tblW w:w="48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1476"/>
        <w:gridCol w:w="1391"/>
        <w:gridCol w:w="1293"/>
        <w:gridCol w:w="1739"/>
        <w:gridCol w:w="1648"/>
      </w:tblGrid>
      <w:tr w14:paraId="10B4AD25" w14:textId="77777777" w:rsidTr="00AE5500">
        <w:tblPrEx>
          <w:tblW w:w="48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rsidR="00AE5500" w:rsidRPr="00C57CA4" w14:paraId="069EAF38" w14:textId="7AAE0E0C">
            <w:pPr>
              <w:jc w:val="center"/>
              <w:rPr>
                <w:rFonts w:eastAsia="Calibri"/>
                <w:b/>
                <w:sz w:val="24"/>
              </w:rPr>
            </w:pPr>
            <w:r w:rsidRPr="00C57CA4">
              <w:rPr>
                <w:rFonts w:eastAsia="Calibri"/>
                <w:b/>
                <w:sz w:val="24"/>
              </w:rPr>
              <w:t>FERC-510</w:t>
            </w:r>
          </w:p>
        </w:tc>
      </w:tr>
      <w:tr w14:paraId="51B28349" w14:textId="77777777" w:rsidTr="00AE5500">
        <w:tblPrEx>
          <w:tblW w:w="4850" w:type="pct"/>
          <w:tblInd w:w="-72" w:type="dxa"/>
          <w:tblLook w:val="01E0"/>
        </w:tblPrEx>
        <w:trPr>
          <w:cantSplit/>
        </w:trPr>
        <w:tc>
          <w:tcPr>
            <w:tcW w:w="81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AE5500" w:rsidRPr="00C57CA4" w14:paraId="7E6327F3" w14:textId="77777777">
            <w:pPr>
              <w:jc w:val="center"/>
              <w:rPr>
                <w:rFonts w:eastAsia="Calibri"/>
                <w:b/>
                <w:sz w:val="24"/>
              </w:rPr>
            </w:pPr>
            <w:r w:rsidRPr="00C57CA4">
              <w:rPr>
                <w:rFonts w:eastAsia="Calibri"/>
                <w:b/>
                <w:sz w:val="24"/>
              </w:rPr>
              <w:t>Number of Respondents</w:t>
            </w:r>
            <w:r w:rsidRPr="00C57CA4">
              <w:rPr>
                <w:rFonts w:eastAsia="Calibri"/>
                <w:b/>
                <w:sz w:val="24"/>
              </w:rPr>
              <w:br/>
              <w:t>(1)</w:t>
            </w:r>
          </w:p>
        </w:tc>
        <w:tc>
          <w:tcPr>
            <w:tcW w:w="81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AE5500" w:rsidRPr="00C57CA4" w14:paraId="3D00885E" w14:textId="77777777">
            <w:pPr>
              <w:jc w:val="center"/>
              <w:rPr>
                <w:rFonts w:eastAsia="Calibri"/>
                <w:b/>
                <w:sz w:val="24"/>
              </w:rPr>
            </w:pPr>
            <w:r w:rsidRPr="00C57CA4">
              <w:rPr>
                <w:rFonts w:eastAsia="Calibri"/>
                <w:b/>
                <w:sz w:val="24"/>
              </w:rPr>
              <w:t>Annual Number of Responses per Respondent</w:t>
            </w:r>
          </w:p>
          <w:p w:rsidR="00AE5500" w:rsidRPr="00C57CA4" w14:paraId="587C57FC" w14:textId="77777777">
            <w:pPr>
              <w:jc w:val="center"/>
              <w:rPr>
                <w:rFonts w:eastAsia="Calibri"/>
                <w:b/>
                <w:sz w:val="24"/>
              </w:rPr>
            </w:pPr>
            <w:r w:rsidRPr="00C57CA4">
              <w:rPr>
                <w:rFonts w:eastAsia="Calibri"/>
                <w:b/>
                <w:sz w:val="24"/>
              </w:rPr>
              <w:t>(2)</w:t>
            </w:r>
          </w:p>
        </w:tc>
        <w:tc>
          <w:tcPr>
            <w:tcW w:w="77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125D3" w14:paraId="6ACD63D7" w14:textId="77777777">
            <w:pPr>
              <w:jc w:val="center"/>
              <w:rPr>
                <w:rFonts w:eastAsia="Calibri"/>
                <w:b/>
                <w:sz w:val="24"/>
              </w:rPr>
            </w:pPr>
            <w:r w:rsidRPr="00C57CA4">
              <w:rPr>
                <w:rFonts w:eastAsia="Calibri"/>
                <w:b/>
                <w:sz w:val="24"/>
              </w:rPr>
              <w:t>Total Number of Responses</w:t>
            </w:r>
          </w:p>
          <w:p w:rsidR="00AE5500" w:rsidRPr="00C57CA4" w14:paraId="35485695" w14:textId="782EA152">
            <w:pPr>
              <w:jc w:val="center"/>
              <w:rPr>
                <w:rFonts w:eastAsia="Calibri"/>
                <w:b/>
                <w:sz w:val="24"/>
              </w:rPr>
            </w:pPr>
            <w:r w:rsidRPr="00C57CA4">
              <w:rPr>
                <w:rFonts w:eastAsia="Calibri"/>
                <w:b/>
                <w:sz w:val="24"/>
              </w:rPr>
              <w:t>(1)*(2)=(3)</w:t>
            </w:r>
          </w:p>
        </w:tc>
        <w:tc>
          <w:tcPr>
            <w:tcW w:w="71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AE5500" w:rsidRPr="00C57CA4" w14:paraId="332E6B85" w14:textId="762A77AF">
            <w:pPr>
              <w:jc w:val="center"/>
              <w:rPr>
                <w:rFonts w:eastAsia="Calibri"/>
                <w:b/>
                <w:sz w:val="24"/>
              </w:rPr>
            </w:pPr>
            <w:r w:rsidRPr="00C57CA4">
              <w:rPr>
                <w:rFonts w:eastAsia="Calibri"/>
                <w:b/>
                <w:sz w:val="24"/>
              </w:rPr>
              <w:t xml:space="preserve">Average Burden </w:t>
            </w:r>
            <w:r w:rsidRPr="00C57CA4" w:rsidR="005820DE">
              <w:rPr>
                <w:rFonts w:eastAsia="Calibri"/>
                <w:b/>
                <w:sz w:val="24"/>
              </w:rPr>
              <w:t xml:space="preserve">Hrs. </w:t>
            </w:r>
            <w:r w:rsidRPr="00C57CA4">
              <w:rPr>
                <w:rFonts w:eastAsia="Calibri"/>
                <w:b/>
                <w:sz w:val="24"/>
              </w:rPr>
              <w:t xml:space="preserve">&amp; Cost </w:t>
            </w:r>
            <w:r w:rsidRPr="00C57CA4" w:rsidR="005820DE">
              <w:rPr>
                <w:rFonts w:eastAsia="Calibri"/>
                <w:b/>
                <w:sz w:val="24"/>
              </w:rPr>
              <w:t xml:space="preserve">($) </w:t>
            </w:r>
            <w:r w:rsidRPr="00C57CA4">
              <w:rPr>
                <w:rFonts w:eastAsia="Calibri"/>
                <w:b/>
                <w:sz w:val="24"/>
              </w:rPr>
              <w:t>Per Response</w:t>
            </w:r>
          </w:p>
          <w:p w:rsidR="00AE5500" w:rsidRPr="00C57CA4" w14:paraId="16DF9B8B" w14:textId="77777777">
            <w:pPr>
              <w:jc w:val="center"/>
              <w:rPr>
                <w:rFonts w:eastAsia="Calibri"/>
                <w:b/>
                <w:sz w:val="24"/>
              </w:rPr>
            </w:pPr>
            <w:r w:rsidRPr="00C57CA4">
              <w:rPr>
                <w:rFonts w:eastAsia="Calibri"/>
                <w:b/>
                <w:sz w:val="24"/>
              </w:rPr>
              <w:t>(4)</w:t>
            </w:r>
          </w:p>
        </w:tc>
        <w:tc>
          <w:tcPr>
            <w:tcW w:w="96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AE5500" w:rsidRPr="00C57CA4" w14:paraId="1B5EEF40" w14:textId="131CC486">
            <w:pPr>
              <w:jc w:val="center"/>
              <w:rPr>
                <w:rFonts w:eastAsia="Calibri"/>
                <w:b/>
                <w:sz w:val="24"/>
              </w:rPr>
            </w:pPr>
            <w:r w:rsidRPr="00C57CA4">
              <w:rPr>
                <w:rFonts w:eastAsia="Calibri"/>
                <w:b/>
                <w:sz w:val="24"/>
              </w:rPr>
              <w:t>Total Annual Burden Hrs</w:t>
            </w:r>
            <w:r w:rsidRPr="00C57CA4" w:rsidR="005820DE">
              <w:rPr>
                <w:rFonts w:eastAsia="Calibri"/>
                <w:b/>
                <w:sz w:val="24"/>
              </w:rPr>
              <w:t>.</w:t>
            </w:r>
            <w:r w:rsidRPr="00C57CA4">
              <w:rPr>
                <w:rFonts w:eastAsia="Calibri"/>
                <w:b/>
                <w:sz w:val="24"/>
              </w:rPr>
              <w:t xml:space="preserve"> &amp; Total Annual Cost</w:t>
            </w:r>
            <w:r w:rsidRPr="00C57CA4" w:rsidR="005820DE">
              <w:rPr>
                <w:rFonts w:eastAsia="Calibri"/>
                <w:b/>
                <w:sz w:val="24"/>
              </w:rPr>
              <w:t xml:space="preserve"> ($)</w:t>
            </w:r>
          </w:p>
          <w:p w:rsidR="00AE5500" w:rsidRPr="00C57CA4" w14:paraId="240D363B" w14:textId="77777777">
            <w:pPr>
              <w:jc w:val="center"/>
              <w:rPr>
                <w:rFonts w:eastAsia="Calibri"/>
                <w:b/>
                <w:sz w:val="24"/>
              </w:rPr>
            </w:pPr>
            <w:r w:rsidRPr="00C57CA4">
              <w:rPr>
                <w:rFonts w:eastAsia="Calibri"/>
                <w:b/>
                <w:sz w:val="24"/>
              </w:rPr>
              <w:t>(3)*(4)=(5)</w:t>
            </w:r>
          </w:p>
        </w:tc>
        <w:tc>
          <w:tcPr>
            <w:tcW w:w="91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AE5500" w:rsidRPr="00C57CA4" w14:paraId="29E62FF4" w14:textId="77777777">
            <w:pPr>
              <w:jc w:val="center"/>
              <w:rPr>
                <w:rFonts w:eastAsia="Calibri"/>
                <w:b/>
                <w:sz w:val="24"/>
              </w:rPr>
            </w:pPr>
            <w:r w:rsidRPr="00C57CA4">
              <w:rPr>
                <w:rFonts w:eastAsia="Calibri"/>
                <w:b/>
                <w:sz w:val="24"/>
              </w:rPr>
              <w:t>Cost per Respondent</w:t>
            </w:r>
          </w:p>
          <w:p w:rsidR="00AE5500" w:rsidRPr="00C57CA4" w14:paraId="7ECA7828" w14:textId="77777777">
            <w:pPr>
              <w:jc w:val="center"/>
              <w:rPr>
                <w:rFonts w:eastAsia="Calibri"/>
                <w:b/>
                <w:sz w:val="24"/>
              </w:rPr>
            </w:pPr>
            <w:r w:rsidRPr="00C57CA4">
              <w:rPr>
                <w:rFonts w:eastAsia="Calibri"/>
                <w:b/>
                <w:sz w:val="24"/>
              </w:rPr>
              <w:t xml:space="preserve"> ($)</w:t>
            </w:r>
          </w:p>
          <w:p w:rsidR="00AE5500" w:rsidRPr="00C57CA4" w14:paraId="3870928A" w14:textId="77777777">
            <w:pPr>
              <w:jc w:val="center"/>
              <w:rPr>
                <w:rFonts w:eastAsia="Calibri"/>
                <w:b/>
                <w:sz w:val="24"/>
              </w:rPr>
            </w:pPr>
            <w:r w:rsidRPr="00C57CA4">
              <w:rPr>
                <w:rFonts w:eastAsia="Calibri"/>
                <w:b/>
                <w:sz w:val="24"/>
              </w:rPr>
              <w:t>(5)÷(1)</w:t>
            </w:r>
          </w:p>
        </w:tc>
      </w:tr>
      <w:tr w14:paraId="017E9529" w14:textId="77777777" w:rsidTr="00A45F7D">
        <w:tblPrEx>
          <w:tblW w:w="4850" w:type="pct"/>
          <w:tblInd w:w="-72" w:type="dxa"/>
          <w:tblLook w:val="01E0"/>
        </w:tblPrEx>
        <w:trPr>
          <w:cantSplit/>
        </w:trPr>
        <w:tc>
          <w:tcPr>
            <w:tcW w:w="818" w:type="pct"/>
            <w:tcBorders>
              <w:top w:val="single" w:sz="4" w:space="0" w:color="auto"/>
              <w:left w:val="single" w:sz="4" w:space="0" w:color="auto"/>
              <w:bottom w:val="single" w:sz="4" w:space="0" w:color="auto"/>
              <w:right w:val="single" w:sz="4" w:space="0" w:color="auto"/>
            </w:tcBorders>
            <w:vAlign w:val="bottom"/>
          </w:tcPr>
          <w:p w:rsidR="00AE5500" w:rsidRPr="00C57CA4" w:rsidP="00A45F7D" w14:paraId="28ABEBCF" w14:textId="0FD06EAA">
            <w:pPr>
              <w:jc w:val="right"/>
              <w:rPr>
                <w:rFonts w:eastAsia="Calibri"/>
                <w:sz w:val="24"/>
              </w:rPr>
            </w:pPr>
            <w:r>
              <w:rPr>
                <w:rFonts w:eastAsia="Calibri"/>
                <w:sz w:val="24"/>
              </w:rPr>
              <w:t>7</w:t>
            </w:r>
          </w:p>
        </w:tc>
        <w:tc>
          <w:tcPr>
            <w:tcW w:w="818" w:type="pct"/>
            <w:tcBorders>
              <w:top w:val="single" w:sz="4" w:space="0" w:color="auto"/>
              <w:left w:val="single" w:sz="4" w:space="0" w:color="auto"/>
              <w:bottom w:val="single" w:sz="4" w:space="0" w:color="auto"/>
              <w:right w:val="single" w:sz="4" w:space="0" w:color="auto"/>
            </w:tcBorders>
            <w:vAlign w:val="bottom"/>
            <w:hideMark/>
          </w:tcPr>
          <w:p w:rsidR="00AE5500" w:rsidRPr="00C57CA4" w14:paraId="668235B8" w14:textId="77777777">
            <w:pPr>
              <w:jc w:val="right"/>
              <w:rPr>
                <w:rFonts w:eastAsia="Calibri"/>
                <w:sz w:val="24"/>
              </w:rPr>
            </w:pPr>
            <w:r w:rsidRPr="00C57CA4">
              <w:rPr>
                <w:rFonts w:eastAsia="Calibri"/>
                <w:sz w:val="24"/>
              </w:rPr>
              <w:t>1</w:t>
            </w:r>
          </w:p>
        </w:tc>
        <w:tc>
          <w:tcPr>
            <w:tcW w:w="771" w:type="pct"/>
            <w:tcBorders>
              <w:top w:val="single" w:sz="4" w:space="0" w:color="auto"/>
              <w:left w:val="single" w:sz="4" w:space="0" w:color="auto"/>
              <w:bottom w:val="single" w:sz="4" w:space="0" w:color="auto"/>
              <w:right w:val="single" w:sz="4" w:space="0" w:color="auto"/>
            </w:tcBorders>
            <w:vAlign w:val="bottom"/>
            <w:hideMark/>
          </w:tcPr>
          <w:p w:rsidR="00AE5500" w:rsidRPr="00C57CA4" w14:paraId="2C53C5A9" w14:textId="4A321D64">
            <w:pPr>
              <w:jc w:val="right"/>
              <w:rPr>
                <w:rFonts w:eastAsia="Calibri"/>
                <w:sz w:val="24"/>
              </w:rPr>
            </w:pPr>
            <w:r>
              <w:rPr>
                <w:rFonts w:eastAsia="Calibri"/>
                <w:sz w:val="24"/>
              </w:rPr>
              <w:t>7</w:t>
            </w:r>
          </w:p>
        </w:tc>
        <w:tc>
          <w:tcPr>
            <w:tcW w:w="717" w:type="pct"/>
            <w:tcBorders>
              <w:top w:val="single" w:sz="4" w:space="0" w:color="auto"/>
              <w:left w:val="single" w:sz="4" w:space="0" w:color="auto"/>
              <w:bottom w:val="single" w:sz="4" w:space="0" w:color="auto"/>
              <w:right w:val="single" w:sz="4" w:space="0" w:color="auto"/>
            </w:tcBorders>
            <w:vAlign w:val="bottom"/>
            <w:hideMark/>
          </w:tcPr>
          <w:p w:rsidR="00AE5500" w:rsidRPr="00C57CA4" w:rsidP="00A45F7D" w14:paraId="43577B4A" w14:textId="7F9E508D">
            <w:pPr>
              <w:jc w:val="right"/>
              <w:rPr>
                <w:rFonts w:eastAsia="Calibri"/>
                <w:sz w:val="24"/>
              </w:rPr>
            </w:pPr>
            <w:r w:rsidRPr="00C57CA4">
              <w:rPr>
                <w:rFonts w:eastAsia="Calibri"/>
                <w:sz w:val="24"/>
              </w:rPr>
              <w:t>80 hrs.;</w:t>
            </w:r>
            <w:r w:rsidRPr="00C57CA4" w:rsidR="005820DE">
              <w:rPr>
                <w:rFonts w:eastAsia="Calibri"/>
                <w:sz w:val="24"/>
              </w:rPr>
              <w:t xml:space="preserve"> </w:t>
            </w:r>
            <w:r w:rsidRPr="00C57CA4">
              <w:rPr>
                <w:rFonts w:eastAsia="Calibri"/>
                <w:sz w:val="24"/>
              </w:rPr>
              <w:t>$</w:t>
            </w:r>
            <w:r w:rsidR="008E642B">
              <w:rPr>
                <w:rFonts w:eastAsia="Calibri"/>
                <w:sz w:val="24"/>
              </w:rPr>
              <w:t>7,280</w:t>
            </w:r>
          </w:p>
        </w:tc>
        <w:tc>
          <w:tcPr>
            <w:tcW w:w="963" w:type="pct"/>
            <w:tcBorders>
              <w:top w:val="single" w:sz="4" w:space="0" w:color="auto"/>
              <w:left w:val="single" w:sz="4" w:space="0" w:color="auto"/>
              <w:bottom w:val="single" w:sz="4" w:space="0" w:color="auto"/>
              <w:right w:val="single" w:sz="4" w:space="0" w:color="auto"/>
            </w:tcBorders>
            <w:vAlign w:val="bottom"/>
            <w:hideMark/>
          </w:tcPr>
          <w:p w:rsidR="00AE5500" w:rsidRPr="00C57CA4" w:rsidP="00A45F7D" w14:paraId="39F3B9A6" w14:textId="7FF177D8">
            <w:pPr>
              <w:jc w:val="right"/>
              <w:rPr>
                <w:rFonts w:eastAsia="Calibri"/>
                <w:sz w:val="24"/>
              </w:rPr>
            </w:pPr>
            <w:r>
              <w:rPr>
                <w:rFonts w:eastAsia="Calibri"/>
                <w:sz w:val="24"/>
              </w:rPr>
              <w:t>560</w:t>
            </w:r>
            <w:r w:rsidRPr="00C57CA4">
              <w:rPr>
                <w:rFonts w:eastAsia="Calibri"/>
                <w:sz w:val="24"/>
              </w:rPr>
              <w:t xml:space="preserve"> </w:t>
            </w:r>
            <w:r w:rsidRPr="00C57CA4">
              <w:rPr>
                <w:rFonts w:eastAsia="Calibri"/>
                <w:sz w:val="24"/>
              </w:rPr>
              <w:t>hrs.;</w:t>
            </w:r>
            <w:r w:rsidRPr="00C57CA4" w:rsidR="005820DE">
              <w:rPr>
                <w:rFonts w:eastAsia="Calibri"/>
                <w:sz w:val="24"/>
              </w:rPr>
              <w:t xml:space="preserve"> </w:t>
            </w:r>
            <w:r w:rsidRPr="00C57CA4">
              <w:rPr>
                <w:rFonts w:eastAsia="Calibri"/>
                <w:sz w:val="24"/>
              </w:rPr>
              <w:t>$</w:t>
            </w:r>
            <w:r>
              <w:rPr>
                <w:rFonts w:eastAsia="Calibri"/>
                <w:sz w:val="24"/>
              </w:rPr>
              <w:t>50,960</w:t>
            </w:r>
          </w:p>
        </w:tc>
        <w:tc>
          <w:tcPr>
            <w:tcW w:w="913" w:type="pct"/>
            <w:tcBorders>
              <w:top w:val="single" w:sz="4" w:space="0" w:color="auto"/>
              <w:left w:val="single" w:sz="4" w:space="0" w:color="auto"/>
              <w:bottom w:val="single" w:sz="4" w:space="0" w:color="auto"/>
              <w:right w:val="single" w:sz="4" w:space="0" w:color="auto"/>
            </w:tcBorders>
            <w:vAlign w:val="bottom"/>
          </w:tcPr>
          <w:p w:rsidR="00AE5500" w:rsidRPr="00C57CA4" w:rsidP="00A45F7D" w14:paraId="06F85FC4" w14:textId="6D8F8A9C">
            <w:pPr>
              <w:jc w:val="right"/>
              <w:rPr>
                <w:rFonts w:eastAsia="Calibri"/>
                <w:sz w:val="24"/>
              </w:rPr>
            </w:pPr>
            <w:r w:rsidRPr="00C57CA4">
              <w:rPr>
                <w:rFonts w:eastAsia="Calibri"/>
                <w:sz w:val="24"/>
              </w:rPr>
              <w:t>$</w:t>
            </w:r>
            <w:r w:rsidR="008E642B">
              <w:rPr>
                <w:rFonts w:eastAsia="Calibri"/>
                <w:sz w:val="24"/>
              </w:rPr>
              <w:t>7,280</w:t>
            </w:r>
          </w:p>
        </w:tc>
      </w:tr>
    </w:tbl>
    <w:p w:rsidR="005820DE" w:rsidP="00AE1F12" w14:paraId="01785E85" w14:textId="77777777">
      <w:pPr>
        <w:spacing w:line="480" w:lineRule="auto"/>
        <w:rPr>
          <w:szCs w:val="26"/>
        </w:rPr>
      </w:pPr>
    </w:p>
    <w:p w:rsidR="00AE1F12" w:rsidP="00AE1F12" w14:paraId="06D77A52" w14:textId="40D824A9">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w:t>
      </w:r>
      <w:r w:rsidR="00384731">
        <w:t>,</w:t>
      </w:r>
      <w:r>
        <w:t xml:space="preserve"> and clarity of the information collection; and (4) ways to minimize the burden of the collection of information on those who are to respond, including the use of automated collection techniques or other forms of information technology.  </w:t>
      </w:r>
    </w:p>
    <w:p w:rsidR="002946DC" w:rsidP="002946DC" w14:paraId="09B2342A" w14:textId="3D93F46C"/>
    <w:p w:rsidR="002946DC" w:rsidP="002946DC" w14:paraId="7C5DCEFC" w14:textId="1E136935"/>
    <w:p w:rsidR="002946DC" w:rsidP="002946DC" w14:paraId="69B7D86A" w14:textId="3B0C44CA"/>
    <w:p w:rsidR="002946DC" w:rsidRPr="002946DC" w:rsidP="00EF59BF" w14:paraId="60B7C9C7" w14:textId="784C8EE1">
      <w:pPr>
        <w:tabs>
          <w:tab w:val="left" w:pos="5040"/>
        </w:tabs>
        <w:ind w:firstLine="2174"/>
        <w:jc w:val="center"/>
      </w:pPr>
      <w:r>
        <w:t xml:space="preserve">       </w:t>
      </w:r>
      <w:r w:rsidRPr="002946DC">
        <w:t>Kimberly D. Bose,</w:t>
      </w:r>
    </w:p>
    <w:p w:rsidR="002946DC" w:rsidRPr="002946DC" w:rsidP="002946DC" w14:paraId="6A5B1900" w14:textId="3D39BFD9">
      <w:pPr>
        <w:ind w:firstLine="2174"/>
        <w:jc w:val="center"/>
      </w:pPr>
      <w:r>
        <w:t xml:space="preserve">        </w:t>
      </w:r>
      <w:r w:rsidRPr="002946DC">
        <w:t>Secretary.</w:t>
      </w:r>
    </w:p>
    <w:p w:rsidR="002946DC" w:rsidP="002946DC" w14:paraId="0F67FB0C" w14:textId="77777777"/>
    <w:sectPr w:rsidSect="00BF2D74">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42709E0" w14:textId="77777777" w:rsidTr="3FB3E838">
      <w:tblPrEx>
        <w:tblW w:w="0" w:type="auto"/>
        <w:tblLayout w:type="fixed"/>
        <w:tblLook w:val="06A0"/>
      </w:tblPrEx>
      <w:trPr>
        <w:trHeight w:val="300"/>
      </w:trPr>
      <w:tc>
        <w:tcPr>
          <w:tcW w:w="3120" w:type="dxa"/>
        </w:tcPr>
        <w:p w:rsidR="3FB3E838" w:rsidP="3FB3E838" w14:paraId="24BB149A" w14:textId="0AE44B95">
          <w:pPr>
            <w:pStyle w:val="Header"/>
            <w:ind w:left="-115"/>
          </w:pPr>
        </w:p>
      </w:tc>
      <w:tc>
        <w:tcPr>
          <w:tcW w:w="3120" w:type="dxa"/>
        </w:tcPr>
        <w:p w:rsidR="3FB3E838" w:rsidP="3FB3E838" w14:paraId="5A3992FA" w14:textId="2DCB77B5">
          <w:pPr>
            <w:pStyle w:val="Header"/>
            <w:jc w:val="center"/>
          </w:pPr>
        </w:p>
      </w:tc>
      <w:tc>
        <w:tcPr>
          <w:tcW w:w="3120" w:type="dxa"/>
        </w:tcPr>
        <w:p w:rsidR="3FB3E838" w:rsidP="3FB3E838" w14:paraId="79DCE64E" w14:textId="7302F6F3">
          <w:pPr>
            <w:pStyle w:val="Header"/>
            <w:ind w:right="-115"/>
            <w:jc w:val="right"/>
          </w:pPr>
        </w:p>
      </w:tc>
    </w:tr>
  </w:tbl>
  <w:p w:rsidR="3FB3E838" w:rsidP="3FB3E838" w14:paraId="02CF5A3F" w14:textId="66F25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6DE4A9C" w14:textId="77777777" w:rsidTr="3FB3E838">
      <w:tblPrEx>
        <w:tblW w:w="0" w:type="auto"/>
        <w:tblLayout w:type="fixed"/>
        <w:tblLook w:val="06A0"/>
      </w:tblPrEx>
      <w:trPr>
        <w:trHeight w:val="300"/>
      </w:trPr>
      <w:tc>
        <w:tcPr>
          <w:tcW w:w="3120" w:type="dxa"/>
        </w:tcPr>
        <w:p w:rsidR="3FB3E838" w:rsidP="3FB3E838" w14:paraId="591AF603" w14:textId="717477FD">
          <w:pPr>
            <w:pStyle w:val="Header"/>
            <w:ind w:left="-115"/>
          </w:pPr>
        </w:p>
      </w:tc>
      <w:tc>
        <w:tcPr>
          <w:tcW w:w="3120" w:type="dxa"/>
        </w:tcPr>
        <w:p w:rsidR="3FB3E838" w:rsidP="3FB3E838" w14:paraId="508B68AB" w14:textId="2ED2FD16">
          <w:pPr>
            <w:pStyle w:val="Header"/>
            <w:jc w:val="center"/>
          </w:pPr>
        </w:p>
      </w:tc>
      <w:tc>
        <w:tcPr>
          <w:tcW w:w="3120" w:type="dxa"/>
        </w:tcPr>
        <w:p w:rsidR="3FB3E838" w:rsidP="3FB3E838" w14:paraId="7818667E" w14:textId="6DA1B9F8">
          <w:pPr>
            <w:pStyle w:val="Header"/>
            <w:ind w:right="-115"/>
            <w:jc w:val="right"/>
          </w:pPr>
        </w:p>
      </w:tc>
    </w:tr>
  </w:tbl>
  <w:p w:rsidR="3FB3E838" w:rsidP="3FB3E838" w14:paraId="6B8B418D" w14:textId="5DBBE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1483D" w:rsidP="00B01B16" w14:paraId="04D0D379" w14:textId="77777777">
      <w:r>
        <w:separator/>
      </w:r>
    </w:p>
  </w:footnote>
  <w:footnote w:type="continuationSeparator" w:id="1">
    <w:p w:rsidR="0041483D" w:rsidP="00B01B16" w14:paraId="690A873C" w14:textId="77777777">
      <w:r>
        <w:continuationSeparator/>
      </w:r>
    </w:p>
  </w:footnote>
  <w:footnote w:type="continuationNotice" w:id="2">
    <w:p w:rsidR="0041483D" w14:paraId="2DB2D66A" w14:textId="77777777"/>
  </w:footnote>
  <w:footnote w:id="3">
    <w:p w:rsidR="000C0EBB" w14:paraId="5CF027DD" w14:textId="377B1D68">
      <w:pPr>
        <w:pStyle w:val="FootnoteText"/>
      </w:pPr>
      <w:r>
        <w:rPr>
          <w:rStyle w:val="FootnoteReference"/>
        </w:rPr>
        <w:footnoteRef/>
      </w:r>
      <w:r>
        <w:t xml:space="preserve"> 18 CFR </w:t>
      </w:r>
      <w:r w:rsidR="003C7DB7">
        <w:t>6.1 – 6.4</w:t>
      </w:r>
    </w:p>
  </w:footnote>
  <w:footnote w:id="4">
    <w:p w:rsidR="008E642B" w:rsidP="00AE5500" w14:paraId="56B266E6" w14:textId="70D58450">
      <w:pPr>
        <w:pStyle w:val="FootnoteText"/>
        <w:rPr>
          <w:sz w:val="26"/>
          <w:szCs w:val="26"/>
        </w:rPr>
      </w:pPr>
      <w:r>
        <w:rPr>
          <w:rStyle w:val="FootnoteReference"/>
        </w:rPr>
        <w:footnoteRef/>
      </w:r>
      <w:r>
        <w:rPr>
          <w:sz w:val="26"/>
          <w:szCs w:val="26"/>
        </w:rPr>
        <w:t xml:space="preserve"> “Burden” is the total time, effort, or financial resources expended by persons to generate, maintain, retain, or disclose or provide information to or for a Federal agency. For additional information, refer to Title 5 Code of Federal Regulations 1320.3.</w:t>
      </w:r>
      <w:r>
        <w:rPr>
          <w:sz w:val="26"/>
          <w:szCs w:val="26"/>
        </w:rPr>
        <w:t xml:space="preserve">  The number of respondents is based on the average number of respondents over the last three years.</w:t>
      </w:r>
    </w:p>
  </w:footnote>
  <w:footnote w:id="5">
    <w:p w:rsidR="00AE5500" w:rsidP="00AE5500" w14:paraId="059EA343" w14:textId="32DF03AB">
      <w:pPr>
        <w:pStyle w:val="FootnoteText"/>
        <w:rPr>
          <w:sz w:val="26"/>
          <w:szCs w:val="26"/>
        </w:rPr>
      </w:pPr>
      <w:r>
        <w:rPr>
          <w:rStyle w:val="FootnoteReference"/>
        </w:rPr>
        <w:footnoteRef/>
      </w:r>
      <w:r>
        <w:rPr>
          <w:sz w:val="26"/>
          <w:szCs w:val="26"/>
        </w:rPr>
        <w:t xml:space="preserve"> The Commission staff thinks that the average respondent for this collection is similarly situated to the Commission, in terms of salary plus benefits.   </w:t>
      </w:r>
      <w:r w:rsidRPr="00A45F7D" w:rsidR="00A45F7D">
        <w:rPr>
          <w:sz w:val="26"/>
          <w:szCs w:val="26"/>
        </w:rPr>
        <w:t>The FERC 20</w:t>
      </w:r>
      <w:r w:rsidR="006F7D27">
        <w:rPr>
          <w:sz w:val="26"/>
          <w:szCs w:val="26"/>
        </w:rPr>
        <w:t>22</w:t>
      </w:r>
      <w:r w:rsidRPr="00A45F7D" w:rsidR="00A45F7D">
        <w:rPr>
          <w:sz w:val="26"/>
          <w:szCs w:val="26"/>
        </w:rPr>
        <w:t xml:space="preserve"> average salary plus benefits for one FERC full-time equivalent (FTE) is $</w:t>
      </w:r>
      <w:r w:rsidR="006F7D27">
        <w:rPr>
          <w:sz w:val="26"/>
          <w:szCs w:val="26"/>
        </w:rPr>
        <w:t>188</w:t>
      </w:r>
      <w:r w:rsidRPr="00A45F7D" w:rsidR="00A45F7D">
        <w:rPr>
          <w:sz w:val="26"/>
          <w:szCs w:val="26"/>
        </w:rPr>
        <w:t>,</w:t>
      </w:r>
      <w:r w:rsidR="006F7D27">
        <w:rPr>
          <w:sz w:val="26"/>
          <w:szCs w:val="26"/>
        </w:rPr>
        <w:t>922</w:t>
      </w:r>
      <w:r w:rsidRPr="00A45F7D" w:rsidR="00A45F7D">
        <w:rPr>
          <w:sz w:val="26"/>
          <w:szCs w:val="26"/>
        </w:rPr>
        <w:t>/year (or $</w:t>
      </w:r>
      <w:r w:rsidR="006F7D27">
        <w:rPr>
          <w:sz w:val="26"/>
          <w:szCs w:val="26"/>
        </w:rPr>
        <w:t>91</w:t>
      </w:r>
      <w:r w:rsidRPr="00A45F7D" w:rsidR="00A45F7D">
        <w:rPr>
          <w:sz w:val="26"/>
          <w:szCs w:val="26"/>
        </w:rPr>
        <w:t>.00/hour).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6F59" w:rsidP="007B4B70" w14:paraId="03E20AF7" w14:textId="75E3D557">
    <w:pPr>
      <w:pStyle w:val="Header"/>
    </w:pPr>
    <w:r>
      <w:t>Renewal in Docket No. IC23-11-000</w:t>
    </w:r>
    <w:r w:rsidR="00190D8A">
      <w:tab/>
    </w:r>
    <w:sdt>
      <w:sdtPr>
        <w:id w:val="1068755000"/>
        <w:docPartObj>
          <w:docPartGallery w:val="Page Numbers (Top of Page)"/>
          <w:docPartUnique/>
        </w:docPartObj>
      </w:sdtPr>
      <w:sdtEndPr>
        <w:rPr>
          <w:noProof/>
        </w:rPr>
      </w:sdtEndPr>
      <w:sdtContent>
        <w:r w:rsidRPr="3FB3E838" w:rsidR="00190D8A">
          <w:rPr>
            <w:noProof/>
          </w:rPr>
          <w:fldChar w:fldCharType="begin"/>
        </w:r>
        <w:r w:rsidR="00190D8A">
          <w:instrText xml:space="preserve"> PAGE   \* MERGEFORMAT </w:instrText>
        </w:r>
        <w:r w:rsidRPr="3FB3E838" w:rsidR="00190D8A">
          <w:fldChar w:fldCharType="separate"/>
        </w:r>
        <w:r w:rsidRPr="3FB3E838">
          <w:rPr>
            <w:noProof/>
          </w:rPr>
          <w:t>3</w:t>
        </w:r>
        <w:r w:rsidRPr="3FB3E838" w:rsidR="00190D8A">
          <w:rPr>
            <w:noProof/>
          </w:rPr>
          <w:fldChar w:fldCharType="end"/>
        </w:r>
      </w:sdtContent>
    </w:sdt>
  </w:p>
  <w:p w:rsidR="00C96F59" w14:paraId="11CB63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3103587" w14:textId="77777777" w:rsidTr="3FB3E838">
      <w:tblPrEx>
        <w:tblW w:w="0" w:type="auto"/>
        <w:tblLayout w:type="fixed"/>
        <w:tblLook w:val="06A0"/>
      </w:tblPrEx>
      <w:trPr>
        <w:trHeight w:val="300"/>
      </w:trPr>
      <w:tc>
        <w:tcPr>
          <w:tcW w:w="3120" w:type="dxa"/>
        </w:tcPr>
        <w:p w:rsidR="3FB3E838" w:rsidP="3FB3E838" w14:paraId="7CF12BB2" w14:textId="73A93F18">
          <w:pPr>
            <w:pStyle w:val="Header"/>
            <w:ind w:left="-115"/>
          </w:pPr>
        </w:p>
      </w:tc>
      <w:tc>
        <w:tcPr>
          <w:tcW w:w="3120" w:type="dxa"/>
        </w:tcPr>
        <w:p w:rsidR="3FB3E838" w:rsidP="3FB3E838" w14:paraId="38537766" w14:textId="31E014E3">
          <w:pPr>
            <w:pStyle w:val="Header"/>
            <w:jc w:val="center"/>
          </w:pPr>
        </w:p>
      </w:tc>
      <w:tc>
        <w:tcPr>
          <w:tcW w:w="3120" w:type="dxa"/>
        </w:tcPr>
        <w:p w:rsidR="3FB3E838" w:rsidP="3FB3E838" w14:paraId="7589FD17" w14:textId="2E8D9029">
          <w:pPr>
            <w:pStyle w:val="Header"/>
            <w:ind w:right="-115"/>
            <w:jc w:val="right"/>
          </w:pPr>
        </w:p>
      </w:tc>
    </w:tr>
  </w:tbl>
  <w:p w:rsidR="3FB3E838" w:rsidP="3FB3E838" w14:paraId="54A498D8" w14:textId="15531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351F2C5F"/>
    <w:multiLevelType w:val="hybridMultilevel"/>
    <w:tmpl w:val="D10A2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1521"/>
    <w:rsid w:val="000174B2"/>
    <w:rsid w:val="00034749"/>
    <w:rsid w:val="00045594"/>
    <w:rsid w:val="000459B6"/>
    <w:rsid w:val="000508F2"/>
    <w:rsid w:val="00062427"/>
    <w:rsid w:val="0006263D"/>
    <w:rsid w:val="000828DD"/>
    <w:rsid w:val="00090FE1"/>
    <w:rsid w:val="0009244C"/>
    <w:rsid w:val="000936AF"/>
    <w:rsid w:val="00094D37"/>
    <w:rsid w:val="000A0250"/>
    <w:rsid w:val="000A779F"/>
    <w:rsid w:val="000A7E68"/>
    <w:rsid w:val="000B1CE7"/>
    <w:rsid w:val="000C0EBB"/>
    <w:rsid w:val="000C29B1"/>
    <w:rsid w:val="000D4154"/>
    <w:rsid w:val="000E2568"/>
    <w:rsid w:val="0011340B"/>
    <w:rsid w:val="00113EE6"/>
    <w:rsid w:val="00153546"/>
    <w:rsid w:val="00156BBB"/>
    <w:rsid w:val="001600DF"/>
    <w:rsid w:val="00162E44"/>
    <w:rsid w:val="00171725"/>
    <w:rsid w:val="00181BF7"/>
    <w:rsid w:val="00182C90"/>
    <w:rsid w:val="001850F9"/>
    <w:rsid w:val="001872E9"/>
    <w:rsid w:val="00190D8A"/>
    <w:rsid w:val="001A6AD6"/>
    <w:rsid w:val="001B1EB4"/>
    <w:rsid w:val="001B78B8"/>
    <w:rsid w:val="001C3703"/>
    <w:rsid w:val="001C3865"/>
    <w:rsid w:val="001D11FD"/>
    <w:rsid w:val="001D18E9"/>
    <w:rsid w:val="002041AF"/>
    <w:rsid w:val="0024011F"/>
    <w:rsid w:val="002474DE"/>
    <w:rsid w:val="00251BE0"/>
    <w:rsid w:val="00252438"/>
    <w:rsid w:val="00263EC6"/>
    <w:rsid w:val="00273866"/>
    <w:rsid w:val="00273ED7"/>
    <w:rsid w:val="002767A5"/>
    <w:rsid w:val="0028362A"/>
    <w:rsid w:val="002849BF"/>
    <w:rsid w:val="002926AE"/>
    <w:rsid w:val="002946DC"/>
    <w:rsid w:val="002A61B6"/>
    <w:rsid w:val="002A796B"/>
    <w:rsid w:val="002B1897"/>
    <w:rsid w:val="002B530C"/>
    <w:rsid w:val="002D3CFE"/>
    <w:rsid w:val="002D457B"/>
    <w:rsid w:val="002E43AC"/>
    <w:rsid w:val="002F5D6F"/>
    <w:rsid w:val="003017CB"/>
    <w:rsid w:val="00311D90"/>
    <w:rsid w:val="003149BC"/>
    <w:rsid w:val="0034094B"/>
    <w:rsid w:val="003673EC"/>
    <w:rsid w:val="00376525"/>
    <w:rsid w:val="00381179"/>
    <w:rsid w:val="00384731"/>
    <w:rsid w:val="003962E1"/>
    <w:rsid w:val="003C218F"/>
    <w:rsid w:val="003C3E7A"/>
    <w:rsid w:val="003C7DB7"/>
    <w:rsid w:val="003D25C9"/>
    <w:rsid w:val="003E44AD"/>
    <w:rsid w:val="003F2CBD"/>
    <w:rsid w:val="00406260"/>
    <w:rsid w:val="0041483D"/>
    <w:rsid w:val="00426813"/>
    <w:rsid w:val="00436866"/>
    <w:rsid w:val="00443282"/>
    <w:rsid w:val="004559FF"/>
    <w:rsid w:val="00494C21"/>
    <w:rsid w:val="004C70C8"/>
    <w:rsid w:val="004E2C78"/>
    <w:rsid w:val="0050354D"/>
    <w:rsid w:val="00510FCF"/>
    <w:rsid w:val="00514539"/>
    <w:rsid w:val="00521EEF"/>
    <w:rsid w:val="00530876"/>
    <w:rsid w:val="0054746C"/>
    <w:rsid w:val="00567282"/>
    <w:rsid w:val="005707FD"/>
    <w:rsid w:val="00577D25"/>
    <w:rsid w:val="005820DE"/>
    <w:rsid w:val="00583984"/>
    <w:rsid w:val="00583C5F"/>
    <w:rsid w:val="0058544A"/>
    <w:rsid w:val="005A2F24"/>
    <w:rsid w:val="005A6A4C"/>
    <w:rsid w:val="005B3D2A"/>
    <w:rsid w:val="005B4DA4"/>
    <w:rsid w:val="005D58B8"/>
    <w:rsid w:val="005E020A"/>
    <w:rsid w:val="005E1FA1"/>
    <w:rsid w:val="005F5AFD"/>
    <w:rsid w:val="005F6B16"/>
    <w:rsid w:val="005F6C40"/>
    <w:rsid w:val="00605F00"/>
    <w:rsid w:val="00606F0E"/>
    <w:rsid w:val="0061198F"/>
    <w:rsid w:val="006128A5"/>
    <w:rsid w:val="0061661C"/>
    <w:rsid w:val="00637F43"/>
    <w:rsid w:val="00644A1B"/>
    <w:rsid w:val="006536D8"/>
    <w:rsid w:val="00653732"/>
    <w:rsid w:val="00654BA4"/>
    <w:rsid w:val="00675781"/>
    <w:rsid w:val="006765C9"/>
    <w:rsid w:val="00681A35"/>
    <w:rsid w:val="006825C4"/>
    <w:rsid w:val="00691D97"/>
    <w:rsid w:val="00692902"/>
    <w:rsid w:val="006963BC"/>
    <w:rsid w:val="00696469"/>
    <w:rsid w:val="006970D7"/>
    <w:rsid w:val="006A1CFC"/>
    <w:rsid w:val="006B4B0B"/>
    <w:rsid w:val="006B744D"/>
    <w:rsid w:val="006D0105"/>
    <w:rsid w:val="006D0E2D"/>
    <w:rsid w:val="006D236D"/>
    <w:rsid w:val="006E7CBB"/>
    <w:rsid w:val="006F7D27"/>
    <w:rsid w:val="007340DB"/>
    <w:rsid w:val="00742841"/>
    <w:rsid w:val="0074755F"/>
    <w:rsid w:val="0075009F"/>
    <w:rsid w:val="00750DF5"/>
    <w:rsid w:val="00753DD8"/>
    <w:rsid w:val="00763112"/>
    <w:rsid w:val="00795F4D"/>
    <w:rsid w:val="00797B8B"/>
    <w:rsid w:val="007A1732"/>
    <w:rsid w:val="007A761E"/>
    <w:rsid w:val="007B4B70"/>
    <w:rsid w:val="007C3627"/>
    <w:rsid w:val="007F00CB"/>
    <w:rsid w:val="007F2159"/>
    <w:rsid w:val="007F55BA"/>
    <w:rsid w:val="008017C6"/>
    <w:rsid w:val="00803CA2"/>
    <w:rsid w:val="00807CAC"/>
    <w:rsid w:val="00810D18"/>
    <w:rsid w:val="008115BF"/>
    <w:rsid w:val="00824D81"/>
    <w:rsid w:val="00835502"/>
    <w:rsid w:val="00835C3A"/>
    <w:rsid w:val="00846479"/>
    <w:rsid w:val="00853ABC"/>
    <w:rsid w:val="00860A08"/>
    <w:rsid w:val="008764F8"/>
    <w:rsid w:val="00881405"/>
    <w:rsid w:val="0089069F"/>
    <w:rsid w:val="00895D18"/>
    <w:rsid w:val="00895DA2"/>
    <w:rsid w:val="00897359"/>
    <w:rsid w:val="008A3CA6"/>
    <w:rsid w:val="008A5A8E"/>
    <w:rsid w:val="008B2BB6"/>
    <w:rsid w:val="008B3CDC"/>
    <w:rsid w:val="008D25B7"/>
    <w:rsid w:val="008D42FE"/>
    <w:rsid w:val="008D4891"/>
    <w:rsid w:val="008D5479"/>
    <w:rsid w:val="008E0DF5"/>
    <w:rsid w:val="008E145A"/>
    <w:rsid w:val="008E1E19"/>
    <w:rsid w:val="008E3273"/>
    <w:rsid w:val="008E642B"/>
    <w:rsid w:val="009171DB"/>
    <w:rsid w:val="00940C0F"/>
    <w:rsid w:val="00945F33"/>
    <w:rsid w:val="0095427A"/>
    <w:rsid w:val="009744C8"/>
    <w:rsid w:val="00981886"/>
    <w:rsid w:val="00990FEC"/>
    <w:rsid w:val="0099355F"/>
    <w:rsid w:val="009A1B08"/>
    <w:rsid w:val="009B525A"/>
    <w:rsid w:val="009C4A13"/>
    <w:rsid w:val="009D7120"/>
    <w:rsid w:val="009E1C9D"/>
    <w:rsid w:val="009F7DE3"/>
    <w:rsid w:val="00A1074A"/>
    <w:rsid w:val="00A132CA"/>
    <w:rsid w:val="00A139D3"/>
    <w:rsid w:val="00A2604E"/>
    <w:rsid w:val="00A45F7D"/>
    <w:rsid w:val="00A52CA7"/>
    <w:rsid w:val="00A569FC"/>
    <w:rsid w:val="00A61250"/>
    <w:rsid w:val="00A664DF"/>
    <w:rsid w:val="00A713D0"/>
    <w:rsid w:val="00A732AF"/>
    <w:rsid w:val="00A76D87"/>
    <w:rsid w:val="00A82A29"/>
    <w:rsid w:val="00A93FC7"/>
    <w:rsid w:val="00AA4300"/>
    <w:rsid w:val="00AA516A"/>
    <w:rsid w:val="00AA5B0E"/>
    <w:rsid w:val="00AB4DBF"/>
    <w:rsid w:val="00AC750B"/>
    <w:rsid w:val="00AD5DE1"/>
    <w:rsid w:val="00AE1F12"/>
    <w:rsid w:val="00AE4155"/>
    <w:rsid w:val="00AE4B7C"/>
    <w:rsid w:val="00AE5500"/>
    <w:rsid w:val="00AE5C8D"/>
    <w:rsid w:val="00AF349B"/>
    <w:rsid w:val="00AF5F86"/>
    <w:rsid w:val="00B01B16"/>
    <w:rsid w:val="00B125D3"/>
    <w:rsid w:val="00B23CCB"/>
    <w:rsid w:val="00B273D5"/>
    <w:rsid w:val="00B372FA"/>
    <w:rsid w:val="00B43901"/>
    <w:rsid w:val="00B447D7"/>
    <w:rsid w:val="00B4595E"/>
    <w:rsid w:val="00B4757E"/>
    <w:rsid w:val="00B5364C"/>
    <w:rsid w:val="00B65E34"/>
    <w:rsid w:val="00B76A1F"/>
    <w:rsid w:val="00B82F8C"/>
    <w:rsid w:val="00B86BF7"/>
    <w:rsid w:val="00B958F1"/>
    <w:rsid w:val="00B970FF"/>
    <w:rsid w:val="00BB41AE"/>
    <w:rsid w:val="00BD033D"/>
    <w:rsid w:val="00BD35C6"/>
    <w:rsid w:val="00BD74AE"/>
    <w:rsid w:val="00BD766E"/>
    <w:rsid w:val="00BE3FE7"/>
    <w:rsid w:val="00BF2D74"/>
    <w:rsid w:val="00BF3D51"/>
    <w:rsid w:val="00BF4CC8"/>
    <w:rsid w:val="00C0779C"/>
    <w:rsid w:val="00C1124F"/>
    <w:rsid w:val="00C13AB6"/>
    <w:rsid w:val="00C36799"/>
    <w:rsid w:val="00C36FDB"/>
    <w:rsid w:val="00C37BFF"/>
    <w:rsid w:val="00C51458"/>
    <w:rsid w:val="00C53580"/>
    <w:rsid w:val="00C55838"/>
    <w:rsid w:val="00C57CA4"/>
    <w:rsid w:val="00C61E13"/>
    <w:rsid w:val="00C64E8F"/>
    <w:rsid w:val="00C7636B"/>
    <w:rsid w:val="00C77EF7"/>
    <w:rsid w:val="00C820F1"/>
    <w:rsid w:val="00C91512"/>
    <w:rsid w:val="00C96F59"/>
    <w:rsid w:val="00CA6636"/>
    <w:rsid w:val="00CA6D76"/>
    <w:rsid w:val="00CB1515"/>
    <w:rsid w:val="00CB5083"/>
    <w:rsid w:val="00CE21CB"/>
    <w:rsid w:val="00CE64F2"/>
    <w:rsid w:val="00CF4753"/>
    <w:rsid w:val="00D0083B"/>
    <w:rsid w:val="00D027FE"/>
    <w:rsid w:val="00D36594"/>
    <w:rsid w:val="00D44183"/>
    <w:rsid w:val="00D6457E"/>
    <w:rsid w:val="00D86472"/>
    <w:rsid w:val="00D94108"/>
    <w:rsid w:val="00DA19FA"/>
    <w:rsid w:val="00DA529F"/>
    <w:rsid w:val="00DC5017"/>
    <w:rsid w:val="00DD40D0"/>
    <w:rsid w:val="00DD7F1B"/>
    <w:rsid w:val="00DF70F2"/>
    <w:rsid w:val="00E11C4A"/>
    <w:rsid w:val="00E13424"/>
    <w:rsid w:val="00E16CCC"/>
    <w:rsid w:val="00E22235"/>
    <w:rsid w:val="00E317B6"/>
    <w:rsid w:val="00E41DB9"/>
    <w:rsid w:val="00E42DBC"/>
    <w:rsid w:val="00E63EC8"/>
    <w:rsid w:val="00E762BB"/>
    <w:rsid w:val="00E8661B"/>
    <w:rsid w:val="00EA1FD2"/>
    <w:rsid w:val="00EA66F0"/>
    <w:rsid w:val="00EA689F"/>
    <w:rsid w:val="00EB6B68"/>
    <w:rsid w:val="00ED5F7E"/>
    <w:rsid w:val="00EF33BE"/>
    <w:rsid w:val="00EF59BF"/>
    <w:rsid w:val="00F012A1"/>
    <w:rsid w:val="00F034CD"/>
    <w:rsid w:val="00F309CB"/>
    <w:rsid w:val="00F44A0E"/>
    <w:rsid w:val="00F45E52"/>
    <w:rsid w:val="00F50EDA"/>
    <w:rsid w:val="00F53B91"/>
    <w:rsid w:val="00F61A05"/>
    <w:rsid w:val="00F666ED"/>
    <w:rsid w:val="00F84A61"/>
    <w:rsid w:val="00FA5626"/>
    <w:rsid w:val="00FB1D1B"/>
    <w:rsid w:val="00FB3EF0"/>
    <w:rsid w:val="00FC2537"/>
    <w:rsid w:val="00FC36CD"/>
    <w:rsid w:val="00FC3F00"/>
    <w:rsid w:val="00FD185A"/>
    <w:rsid w:val="00FE37BC"/>
    <w:rsid w:val="00FE502E"/>
    <w:rsid w:val="00FF1D71"/>
    <w:rsid w:val="1C09B794"/>
    <w:rsid w:val="1C2CB553"/>
    <w:rsid w:val="3FB3E838"/>
    <w:rsid w:val="45ACA4CE"/>
    <w:rsid w:val="5718942D"/>
    <w:rsid w:val="750952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390EE5"/>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3F2CBD"/>
    <w:rPr>
      <w:sz w:val="24"/>
    </w:rPr>
  </w:style>
  <w:style w:type="character" w:styleId="UnresolvedMention">
    <w:name w:val="Unresolved Mention"/>
    <w:basedOn w:val="DefaultParagraphFont"/>
    <w:uiPriority w:val="99"/>
    <w:semiHidden/>
    <w:unhideWhenUsed/>
    <w:rsid w:val="00D86472"/>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mailto:DataClearance@FER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reginfo.gov/public/do/PRAM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18731bc778eea8de2288fbf4fe3adf38">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26f0aea5e8766a8397a539b2540cdfb"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510</_x0031__x002e__x0020_Collection_x0020_Number>
    <Date xmlns="d6eefc7d-9817-4fa6-84d5-3bc009be21b8">2023-04-17T04:00:00+00:00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IC23-</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D93548D0-6744-4D77-A95B-33F8348E083E}">
  <ds:schemaRefs>
    <ds:schemaRef ds:uri="http://schemas.openxmlformats.org/officeDocument/2006/bibliography"/>
  </ds:schemaRefs>
</ds:datastoreItem>
</file>

<file path=customXml/itemProps3.xml><?xml version="1.0" encoding="utf-8"?>
<ds:datastoreItem xmlns:ds="http://schemas.openxmlformats.org/officeDocument/2006/customXml" ds:itemID="{BCBB1AA6-3AB6-4703-B9B3-A04C05E9C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Christopher Kozler</cp:lastModifiedBy>
  <cp:revision>3</cp:revision>
  <cp:lastPrinted>2018-09-20T20:23:00Z</cp:lastPrinted>
  <dcterms:created xsi:type="dcterms:W3CDTF">2023-04-21T14:01:00Z</dcterms:created>
  <dcterms:modified xsi:type="dcterms:W3CDTF">2023-05-31T17:24:00Z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3a7e1d54-6356-4e85-84a4-060065e21926</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2023-02-28T13:13:43Z</vt:lpwstr>
  </property>
  <property fmtid="{D5CDD505-2E9C-101B-9397-08002B2CF9AE}" pid="10" name="MSIP_Label_6155a89b-0f08-4a93-8ea2-8a916d6643b5_SiteId">
    <vt:lpwstr>19caa9e9-04ff-43fa-885f-d77fac387903</vt:lpwstr>
  </property>
</Properties>
</file>