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6717B" w:rsidRPr="00C036E1" w:rsidP="00F6717B" w14:paraId="270183E0" w14:textId="77777777">
      <w:pPr>
        <w:tabs>
          <w:tab w:val="left" w:pos="3320"/>
        </w:tabs>
        <w:spacing w:after="0" w:line="240" w:lineRule="auto"/>
        <w:jc w:val="center"/>
        <w:rPr>
          <w:rFonts w:ascii="Times New Roman" w:eastAsia="Calibri" w:hAnsi="Times New Roman" w:cs="Times New Roman"/>
          <w:sz w:val="24"/>
          <w:szCs w:val="24"/>
        </w:rPr>
      </w:pPr>
      <w:r w:rsidRPr="00C036E1">
        <w:rPr>
          <w:rFonts w:ascii="Times New Roman" w:eastAsia="Calibri" w:hAnsi="Times New Roman" w:cs="Times New Roman"/>
          <w:sz w:val="24"/>
          <w:szCs w:val="24"/>
        </w:rPr>
        <w:t>Supporting Statement for</w:t>
      </w:r>
    </w:p>
    <w:p w:rsidR="001F71D7" w:rsidP="001C4B50" w14:paraId="46DC3706" w14:textId="36F72368">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FERC-725, </w:t>
      </w:r>
      <w:r w:rsidRPr="001F71D7">
        <w:rPr>
          <w:rFonts w:ascii="Times New Roman" w:eastAsia="Calibri" w:hAnsi="Times New Roman" w:cs="Times New Roman"/>
          <w:b/>
          <w:sz w:val="24"/>
          <w:szCs w:val="24"/>
        </w:rPr>
        <w:t>Certification of Electric Reliability Organization; Procedures for Electric Reliability Standards, RM22-10</w:t>
      </w:r>
      <w:r>
        <w:rPr>
          <w:rFonts w:ascii="Times New Roman" w:eastAsia="Calibri" w:hAnsi="Times New Roman" w:cs="Times New Roman"/>
          <w:b/>
          <w:sz w:val="24"/>
          <w:szCs w:val="24"/>
        </w:rPr>
        <w:t>-000</w:t>
      </w:r>
      <w:r w:rsidRPr="001F71D7">
        <w:rPr>
          <w:rFonts w:ascii="Times New Roman" w:eastAsia="Calibri" w:hAnsi="Times New Roman" w:cs="Times New Roman"/>
          <w:b/>
          <w:sz w:val="24"/>
          <w:szCs w:val="24"/>
        </w:rPr>
        <w:t xml:space="preserve"> TPL-001-5.1</w:t>
      </w:r>
      <w:r>
        <w:rPr>
          <w:rFonts w:ascii="Times New Roman" w:eastAsia="Calibri" w:hAnsi="Times New Roman" w:cs="Times New Roman"/>
          <w:b/>
          <w:sz w:val="24"/>
          <w:szCs w:val="24"/>
        </w:rPr>
        <w:t>:</w:t>
      </w:r>
    </w:p>
    <w:p w:rsidR="00AF27E8" w:rsidRPr="00682AFB" w:rsidP="001C4B50" w14:paraId="58DD739C" w14:textId="45A06895">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sz w:val="24"/>
          <w:szCs w:val="24"/>
        </w:rPr>
        <w:t>N</w:t>
      </w:r>
      <w:r w:rsidRPr="001F71D7">
        <w:rPr>
          <w:rFonts w:ascii="Times New Roman" w:eastAsia="Calibri" w:hAnsi="Times New Roman" w:cs="Times New Roman"/>
          <w:b/>
          <w:sz w:val="24"/>
          <w:szCs w:val="24"/>
        </w:rPr>
        <w:t>on-</w:t>
      </w:r>
      <w:r>
        <w:rPr>
          <w:rFonts w:ascii="Times New Roman" w:eastAsia="Calibri" w:hAnsi="Times New Roman" w:cs="Times New Roman"/>
          <w:b/>
          <w:sz w:val="24"/>
          <w:szCs w:val="24"/>
        </w:rPr>
        <w:t>S</w:t>
      </w:r>
      <w:r w:rsidRPr="001F71D7">
        <w:rPr>
          <w:rFonts w:ascii="Times New Roman" w:eastAsia="Calibri" w:hAnsi="Times New Roman" w:cs="Times New Roman"/>
          <w:b/>
          <w:sz w:val="24"/>
          <w:szCs w:val="24"/>
        </w:rPr>
        <w:t xml:space="preserve">ubstantive </w:t>
      </w:r>
      <w:r>
        <w:rPr>
          <w:rFonts w:ascii="Times New Roman" w:eastAsia="Calibri" w:hAnsi="Times New Roman" w:cs="Times New Roman"/>
          <w:b/>
          <w:sz w:val="24"/>
          <w:szCs w:val="24"/>
        </w:rPr>
        <w:t>R</w:t>
      </w:r>
      <w:r w:rsidRPr="001F71D7">
        <w:rPr>
          <w:rFonts w:ascii="Times New Roman" w:eastAsia="Calibri" w:hAnsi="Times New Roman" w:cs="Times New Roman"/>
          <w:b/>
          <w:sz w:val="24"/>
          <w:szCs w:val="24"/>
        </w:rPr>
        <w:t xml:space="preserve">evision, </w:t>
      </w:r>
      <w:r>
        <w:rPr>
          <w:rFonts w:ascii="Times New Roman" w:eastAsia="Calibri" w:hAnsi="Times New Roman" w:cs="Times New Roman"/>
          <w:b/>
          <w:sz w:val="24"/>
          <w:szCs w:val="24"/>
        </w:rPr>
        <w:t>E</w:t>
      </w:r>
      <w:r w:rsidRPr="001F71D7">
        <w:rPr>
          <w:rFonts w:ascii="Times New Roman" w:eastAsia="Calibri" w:hAnsi="Times New Roman" w:cs="Times New Roman"/>
          <w:b/>
          <w:sz w:val="24"/>
          <w:szCs w:val="24"/>
        </w:rPr>
        <w:t xml:space="preserve">xtreme </w:t>
      </w:r>
      <w:r>
        <w:rPr>
          <w:rFonts w:ascii="Times New Roman" w:eastAsia="Calibri" w:hAnsi="Times New Roman" w:cs="Times New Roman"/>
          <w:b/>
          <w:sz w:val="24"/>
          <w:szCs w:val="24"/>
        </w:rPr>
        <w:t>H</w:t>
      </w:r>
      <w:r w:rsidRPr="001F71D7">
        <w:rPr>
          <w:rFonts w:ascii="Times New Roman" w:eastAsia="Calibri" w:hAnsi="Times New Roman" w:cs="Times New Roman"/>
          <w:b/>
          <w:sz w:val="24"/>
          <w:szCs w:val="24"/>
        </w:rPr>
        <w:t xml:space="preserve">eat and </w:t>
      </w:r>
      <w:r>
        <w:rPr>
          <w:rFonts w:ascii="Times New Roman" w:eastAsia="Calibri" w:hAnsi="Times New Roman" w:cs="Times New Roman"/>
          <w:b/>
          <w:sz w:val="24"/>
          <w:szCs w:val="24"/>
        </w:rPr>
        <w:t>C</w:t>
      </w:r>
      <w:r w:rsidRPr="001F71D7">
        <w:rPr>
          <w:rFonts w:ascii="Times New Roman" w:eastAsia="Calibri" w:hAnsi="Times New Roman" w:cs="Times New Roman"/>
          <w:b/>
          <w:sz w:val="24"/>
          <w:szCs w:val="24"/>
        </w:rPr>
        <w:t xml:space="preserve">old </w:t>
      </w:r>
      <w:r>
        <w:rPr>
          <w:rFonts w:ascii="Times New Roman" w:eastAsia="Calibri" w:hAnsi="Times New Roman" w:cs="Times New Roman"/>
          <w:b/>
          <w:sz w:val="24"/>
          <w:szCs w:val="24"/>
        </w:rPr>
        <w:t>W</w:t>
      </w:r>
      <w:r w:rsidRPr="001F71D7">
        <w:rPr>
          <w:rFonts w:ascii="Times New Roman" w:eastAsia="Calibri" w:hAnsi="Times New Roman" w:cs="Times New Roman"/>
          <w:b/>
          <w:sz w:val="24"/>
          <w:szCs w:val="24"/>
        </w:rPr>
        <w:t xml:space="preserve">eather </w:t>
      </w:r>
      <w:r>
        <w:rPr>
          <w:rFonts w:ascii="Times New Roman" w:eastAsia="Calibri" w:hAnsi="Times New Roman" w:cs="Times New Roman"/>
          <w:b/>
          <w:sz w:val="24"/>
          <w:szCs w:val="24"/>
        </w:rPr>
        <w:t>E</w:t>
      </w:r>
      <w:r w:rsidRPr="001F71D7">
        <w:rPr>
          <w:rFonts w:ascii="Times New Roman" w:eastAsia="Calibri" w:hAnsi="Times New Roman" w:cs="Times New Roman"/>
          <w:b/>
          <w:sz w:val="24"/>
          <w:szCs w:val="24"/>
        </w:rPr>
        <w:t>vents</w:t>
      </w:r>
    </w:p>
    <w:p w:rsidR="00F6717B" w:rsidRPr="00682AFB" w:rsidP="00F6717B" w14:paraId="42A90B7A" w14:textId="77777777">
      <w:pPr>
        <w:spacing w:after="0" w:line="240" w:lineRule="auto"/>
        <w:ind w:right="-180"/>
        <w:jc w:val="center"/>
        <w:rPr>
          <w:rFonts w:ascii="Times New Roman" w:eastAsia="Calibri" w:hAnsi="Times New Roman" w:cs="Times New Roman"/>
          <w:b/>
          <w:sz w:val="24"/>
          <w:szCs w:val="24"/>
        </w:rPr>
      </w:pPr>
    </w:p>
    <w:p w:rsidR="00F6717B" w:rsidRPr="001C4B50" w:rsidP="00D274D5" w14:paraId="6A2A2D72" w14:textId="723134BB">
      <w:pPr>
        <w:widowControl w:val="0"/>
        <w:autoSpaceDE w:val="0"/>
        <w:autoSpaceDN w:val="0"/>
        <w:adjustRightInd w:val="0"/>
        <w:spacing w:after="0" w:line="240" w:lineRule="auto"/>
        <w:rPr>
          <w:rFonts w:ascii="Times New Roman" w:eastAsia="Calibri" w:hAnsi="Times New Roman" w:cs="Times New Roman"/>
          <w:bCs/>
          <w:sz w:val="24"/>
          <w:szCs w:val="24"/>
        </w:rPr>
      </w:pPr>
      <w:r w:rsidRPr="00682AFB">
        <w:rPr>
          <w:rFonts w:ascii="Times New Roman" w:eastAsia="Calibri" w:hAnsi="Times New Roman" w:cs="Times New Roman"/>
          <w:sz w:val="24"/>
          <w:szCs w:val="24"/>
        </w:rPr>
        <w:t xml:space="preserve">The Federal Energy Regulatory Commission (Commission or FERC) requests that the Office of Management and Budget (OMB) review and approve </w:t>
      </w:r>
      <w:r w:rsidR="001F71D7">
        <w:rPr>
          <w:rFonts w:ascii="Times New Roman" w:eastAsia="Calibri" w:hAnsi="Times New Roman" w:cs="Times New Roman"/>
          <w:sz w:val="24"/>
          <w:szCs w:val="24"/>
        </w:rPr>
        <w:t xml:space="preserve">a non-substantive revision of </w:t>
      </w:r>
      <w:r w:rsidRPr="00682AFB">
        <w:rPr>
          <w:rFonts w:ascii="Times New Roman" w:eastAsia="Calibri" w:hAnsi="Times New Roman" w:cs="Times New Roman"/>
          <w:sz w:val="24"/>
          <w:szCs w:val="24"/>
        </w:rPr>
        <w:t>FERC-725</w:t>
      </w:r>
      <w:r w:rsidR="001F71D7">
        <w:rPr>
          <w:rFonts w:ascii="Times New Roman" w:eastAsia="Calibri" w:hAnsi="Times New Roman" w:cs="Times New Roman"/>
          <w:b/>
          <w:sz w:val="24"/>
          <w:szCs w:val="24"/>
        </w:rPr>
        <w:t>.</w:t>
      </w:r>
    </w:p>
    <w:p w:rsidR="00F6717B" w:rsidRPr="00682AFB" w:rsidP="00F6717B" w14:paraId="30964ABB" w14:textId="77777777">
      <w:pPr>
        <w:spacing w:after="0" w:line="240" w:lineRule="auto"/>
        <w:rPr>
          <w:rFonts w:ascii="Times New Roman" w:eastAsia="Calibri" w:hAnsi="Times New Roman" w:cs="Times New Roman"/>
          <w:sz w:val="24"/>
          <w:szCs w:val="24"/>
        </w:rPr>
      </w:pPr>
    </w:p>
    <w:p w:rsidR="00F6717B" w:rsidRPr="00682AFB" w:rsidP="00F6717B" w14:paraId="10BDB8A2" w14:textId="77777777">
      <w:pPr>
        <w:widowControl w:val="0"/>
        <w:numPr>
          <w:ilvl w:val="0"/>
          <w:numId w:val="1"/>
        </w:numPr>
        <w:autoSpaceDE w:val="0"/>
        <w:autoSpaceDN w:val="0"/>
        <w:adjustRightInd w:val="0"/>
        <w:spacing w:after="0" w:line="240" w:lineRule="auto"/>
        <w:ind w:left="360"/>
        <w:rPr>
          <w:rFonts w:ascii="Times New Roman" w:eastAsia="Calibri" w:hAnsi="Times New Roman" w:cs="Times New Roman"/>
          <w:b/>
          <w:bCs/>
          <w:sz w:val="24"/>
          <w:szCs w:val="24"/>
        </w:rPr>
      </w:pPr>
      <w:r w:rsidRPr="00682AFB">
        <w:rPr>
          <w:rFonts w:ascii="Times New Roman" w:eastAsia="Calibri" w:hAnsi="Times New Roman" w:cs="Times New Roman"/>
          <w:b/>
          <w:bCs/>
          <w:sz w:val="24"/>
          <w:szCs w:val="24"/>
        </w:rPr>
        <w:t>CIRCUMSTANCES THAT MAKE THE COLLECTION OF INFORMATION NECESSARY</w:t>
      </w:r>
    </w:p>
    <w:p w:rsidR="00F6717B" w:rsidRPr="00682AFB" w:rsidP="00F6717B" w14:paraId="5960EA61" w14:textId="77777777">
      <w:pPr>
        <w:widowControl w:val="0"/>
        <w:autoSpaceDE w:val="0"/>
        <w:autoSpaceDN w:val="0"/>
        <w:adjustRightInd w:val="0"/>
        <w:spacing w:after="0" w:line="240" w:lineRule="auto"/>
        <w:ind w:left="360"/>
        <w:rPr>
          <w:rFonts w:ascii="Times New Roman" w:eastAsia="Calibri" w:hAnsi="Times New Roman" w:cs="Times New Roman"/>
          <w:b/>
          <w:bCs/>
          <w:sz w:val="24"/>
          <w:szCs w:val="24"/>
        </w:rPr>
      </w:pPr>
    </w:p>
    <w:p w:rsidR="00D60424" w:rsidRPr="00682AFB" w:rsidP="001E62FB" w14:paraId="48D23037" w14:textId="03B6CD88">
      <w:pPr>
        <w:widowControl w:val="0"/>
        <w:autoSpaceDE w:val="0"/>
        <w:autoSpaceDN w:val="0"/>
        <w:adjustRightInd w:val="0"/>
        <w:spacing w:after="0" w:line="240" w:lineRule="auto"/>
        <w:rPr>
          <w:rFonts w:ascii="Times New Roman" w:eastAsia="Calibri" w:hAnsi="Times New Roman" w:cs="Times New Roman"/>
          <w:bCs/>
          <w:sz w:val="24"/>
          <w:szCs w:val="24"/>
          <w:lang w:val="en"/>
        </w:rPr>
      </w:pPr>
      <w:r>
        <w:rPr>
          <w:rFonts w:ascii="Times New Roman" w:eastAsia="Calibri" w:hAnsi="Times New Roman" w:cs="Times New Roman"/>
          <w:bCs/>
          <w:sz w:val="24"/>
          <w:szCs w:val="24"/>
          <w:lang w:val="en"/>
        </w:rPr>
        <w:t>In t</w:t>
      </w:r>
      <w:r>
        <w:rPr>
          <w:rFonts w:ascii="Times New Roman" w:eastAsia="Calibri" w:hAnsi="Times New Roman" w:cs="Times New Roman"/>
          <w:bCs/>
          <w:sz w:val="24"/>
          <w:szCs w:val="24"/>
          <w:lang w:val="en"/>
        </w:rPr>
        <w:t>he final rule in RM22-10-000</w:t>
      </w:r>
      <w:r>
        <w:rPr>
          <w:rFonts w:ascii="Times New Roman" w:eastAsia="Calibri" w:hAnsi="Times New Roman" w:cs="Times New Roman"/>
          <w:bCs/>
          <w:sz w:val="24"/>
          <w:szCs w:val="24"/>
          <w:lang w:val="en"/>
        </w:rPr>
        <w:t xml:space="preserve">, the Commission </w:t>
      </w:r>
      <w:r>
        <w:rPr>
          <w:rFonts w:ascii="Times New Roman" w:eastAsia="Calibri" w:hAnsi="Times New Roman" w:cs="Times New Roman"/>
          <w:bCs/>
          <w:sz w:val="24"/>
          <w:szCs w:val="24"/>
          <w:lang w:val="en"/>
        </w:rPr>
        <w:t xml:space="preserve">directs </w:t>
      </w:r>
      <w:r w:rsidR="00726ACB">
        <w:rPr>
          <w:rFonts w:ascii="Times New Roman" w:eastAsia="Calibri" w:hAnsi="Times New Roman" w:cs="Times New Roman"/>
          <w:bCs/>
          <w:sz w:val="24"/>
          <w:szCs w:val="24"/>
          <w:lang w:val="en"/>
        </w:rPr>
        <w:t>the North American Electric Reliability Corporation (</w:t>
      </w:r>
      <w:r>
        <w:rPr>
          <w:rFonts w:ascii="Times New Roman" w:eastAsia="Calibri" w:hAnsi="Times New Roman" w:cs="Times New Roman"/>
          <w:bCs/>
          <w:sz w:val="24"/>
          <w:szCs w:val="24"/>
          <w:lang w:val="en"/>
        </w:rPr>
        <w:t>NERC</w:t>
      </w:r>
      <w:r w:rsidR="00726ACB">
        <w:rPr>
          <w:rFonts w:ascii="Times New Roman" w:eastAsia="Calibri" w:hAnsi="Times New Roman" w:cs="Times New Roman"/>
          <w:bCs/>
          <w:sz w:val="24"/>
          <w:szCs w:val="24"/>
          <w:lang w:val="en"/>
        </w:rPr>
        <w:t>)</w:t>
      </w:r>
      <w:r>
        <w:rPr>
          <w:rFonts w:ascii="Times New Roman" w:eastAsia="Calibri" w:hAnsi="Times New Roman" w:cs="Times New Roman"/>
          <w:bCs/>
          <w:sz w:val="24"/>
          <w:szCs w:val="24"/>
          <w:lang w:val="en"/>
        </w:rPr>
        <w:t xml:space="preserve"> to develop a new</w:t>
      </w:r>
      <w:r w:rsidRPr="00F4335F">
        <w:rPr>
          <w:rFonts w:ascii="Times New Roman" w:eastAsia="Calibri" w:hAnsi="Times New Roman" w:cs="Times New Roman"/>
          <w:bCs/>
          <w:sz w:val="24"/>
          <w:szCs w:val="24"/>
        </w:rPr>
        <w:t xml:space="preserve"> Reliability Standard or modifications to </w:t>
      </w:r>
      <w:r w:rsidR="001F71D7">
        <w:rPr>
          <w:rFonts w:ascii="Times New Roman" w:eastAsia="Calibri" w:hAnsi="Times New Roman" w:cs="Times New Roman"/>
          <w:bCs/>
          <w:sz w:val="24"/>
          <w:szCs w:val="24"/>
        </w:rPr>
        <w:t xml:space="preserve">existing </w:t>
      </w:r>
      <w:r w:rsidRPr="00F4335F">
        <w:rPr>
          <w:rFonts w:ascii="Times New Roman" w:eastAsia="Calibri" w:hAnsi="Times New Roman" w:cs="Times New Roman"/>
          <w:bCs/>
          <w:sz w:val="24"/>
          <w:szCs w:val="24"/>
        </w:rPr>
        <w:t xml:space="preserve">Reliability Standard TPL-001-5.1 </w:t>
      </w:r>
      <w:r>
        <w:rPr>
          <w:rFonts w:ascii="Times New Roman" w:eastAsia="Calibri" w:hAnsi="Times New Roman" w:cs="Times New Roman"/>
          <w:bCs/>
          <w:sz w:val="24"/>
          <w:szCs w:val="24"/>
          <w:lang w:val="en"/>
        </w:rPr>
        <w:t>to address transmission system planning for extreme h</w:t>
      </w:r>
      <w:r>
        <w:rPr>
          <w:rFonts w:ascii="Times New Roman" w:eastAsia="Calibri" w:hAnsi="Times New Roman" w:cs="Times New Roman"/>
          <w:bCs/>
          <w:sz w:val="24"/>
          <w:szCs w:val="24"/>
          <w:lang w:val="en"/>
        </w:rPr>
        <w:t>eat a</w:t>
      </w:r>
      <w:r>
        <w:rPr>
          <w:rFonts w:ascii="Times New Roman" w:eastAsia="Calibri" w:hAnsi="Times New Roman" w:cs="Times New Roman"/>
          <w:bCs/>
          <w:sz w:val="24"/>
          <w:szCs w:val="24"/>
          <w:lang w:val="en"/>
        </w:rPr>
        <w:t>nd cold weather events that impact the reliable operation of the Bulk-Power System.</w:t>
      </w:r>
      <w:r>
        <w:rPr>
          <w:rStyle w:val="FootnoteReference"/>
          <w:rFonts w:ascii="Times New Roman" w:eastAsia="Calibri" w:hAnsi="Times New Roman" w:cs="Times New Roman"/>
          <w:bCs/>
          <w:sz w:val="24"/>
          <w:szCs w:val="24"/>
          <w:vertAlign w:val="superscript"/>
          <w:lang w:val="en"/>
        </w:rPr>
        <w:footnoteReference w:id="3"/>
      </w:r>
      <w:r w:rsidR="001E62FB">
        <w:rPr>
          <w:rFonts w:ascii="Times New Roman" w:eastAsia="Calibri" w:hAnsi="Times New Roman" w:cs="Times New Roman"/>
          <w:bCs/>
          <w:sz w:val="24"/>
          <w:szCs w:val="24"/>
          <w:lang w:val="en"/>
        </w:rPr>
        <w:t xml:space="preserve">  </w:t>
      </w:r>
      <w:r w:rsidR="001F71D7">
        <w:rPr>
          <w:rFonts w:ascii="Times New Roman" w:eastAsia="Calibri" w:hAnsi="Times New Roman" w:cs="Times New Roman"/>
          <w:bCs/>
          <w:sz w:val="24"/>
          <w:szCs w:val="24"/>
          <w:lang w:val="en"/>
        </w:rPr>
        <w:t xml:space="preserve">The effective date of the final rule is September </w:t>
      </w:r>
      <w:r w:rsidR="004369D6">
        <w:rPr>
          <w:rFonts w:ascii="Times New Roman" w:eastAsia="Calibri" w:hAnsi="Times New Roman" w:cs="Times New Roman"/>
          <w:bCs/>
          <w:sz w:val="24"/>
          <w:szCs w:val="24"/>
          <w:lang w:val="en"/>
        </w:rPr>
        <w:t>21, 2023.  NERC must submit t</w:t>
      </w:r>
      <w:r w:rsidR="001E62FB">
        <w:rPr>
          <w:rFonts w:ascii="Times New Roman" w:eastAsia="Calibri" w:hAnsi="Times New Roman" w:cs="Times New Roman"/>
          <w:bCs/>
          <w:sz w:val="24"/>
          <w:szCs w:val="24"/>
          <w:lang w:val="en"/>
        </w:rPr>
        <w:t xml:space="preserve">he </w:t>
      </w:r>
      <w:r w:rsidRPr="001E62FB" w:rsidR="001E62FB">
        <w:rPr>
          <w:rFonts w:ascii="Times New Roman" w:eastAsia="Calibri" w:hAnsi="Times New Roman" w:cs="Times New Roman"/>
          <w:bCs/>
          <w:sz w:val="24"/>
          <w:szCs w:val="24"/>
        </w:rPr>
        <w:t xml:space="preserve">new or modified Reliability Standard </w:t>
      </w:r>
      <w:r w:rsidR="004369D6">
        <w:rPr>
          <w:rFonts w:ascii="Times New Roman" w:eastAsia="Calibri" w:hAnsi="Times New Roman" w:cs="Times New Roman"/>
          <w:bCs/>
          <w:sz w:val="24"/>
          <w:szCs w:val="24"/>
        </w:rPr>
        <w:t xml:space="preserve">the Commission </w:t>
      </w:r>
      <w:r w:rsidRPr="001E62FB" w:rsidR="001E62FB">
        <w:rPr>
          <w:rFonts w:ascii="Times New Roman" w:eastAsia="Calibri" w:hAnsi="Times New Roman" w:cs="Times New Roman"/>
          <w:bCs/>
          <w:sz w:val="24"/>
          <w:szCs w:val="24"/>
        </w:rPr>
        <w:t>no later than 18 months from the publication of th</w:t>
      </w:r>
      <w:r w:rsidR="001E62FB">
        <w:rPr>
          <w:rFonts w:ascii="Times New Roman" w:eastAsia="Calibri" w:hAnsi="Times New Roman" w:cs="Times New Roman"/>
          <w:bCs/>
          <w:sz w:val="24"/>
          <w:szCs w:val="24"/>
        </w:rPr>
        <w:t>e</w:t>
      </w:r>
      <w:r w:rsidRPr="001E62FB" w:rsidR="001E62FB">
        <w:rPr>
          <w:rFonts w:ascii="Times New Roman" w:eastAsia="Calibri" w:hAnsi="Times New Roman" w:cs="Times New Roman"/>
          <w:bCs/>
          <w:sz w:val="24"/>
          <w:szCs w:val="24"/>
        </w:rPr>
        <w:t xml:space="preserve"> final rule in the Federal Register</w:t>
      </w:r>
      <w:r w:rsidR="001E62FB">
        <w:rPr>
          <w:rFonts w:ascii="Times New Roman" w:eastAsia="Calibri" w:hAnsi="Times New Roman" w:cs="Times New Roman"/>
          <w:bCs/>
          <w:sz w:val="24"/>
          <w:szCs w:val="24"/>
          <w:lang w:val="en"/>
        </w:rPr>
        <w:t xml:space="preserve"> (i.e., by </w:t>
      </w:r>
      <w:r w:rsidR="00AC2207">
        <w:rPr>
          <w:rFonts w:ascii="Times New Roman" w:eastAsia="Calibri" w:hAnsi="Times New Roman" w:cs="Times New Roman"/>
          <w:bCs/>
          <w:sz w:val="24"/>
          <w:szCs w:val="24"/>
          <w:lang w:val="en"/>
        </w:rPr>
        <w:t xml:space="preserve">December of 2024). </w:t>
      </w:r>
      <w:r w:rsidR="001F76F6">
        <w:rPr>
          <w:rFonts w:ascii="Times New Roman" w:eastAsia="Calibri" w:hAnsi="Times New Roman" w:cs="Times New Roman"/>
          <w:bCs/>
          <w:sz w:val="24"/>
          <w:szCs w:val="24"/>
          <w:lang w:val="en"/>
        </w:rPr>
        <w:t xml:space="preserve"> </w:t>
      </w:r>
      <w:r w:rsidRPr="001F76F6" w:rsidR="001F76F6">
        <w:rPr>
          <w:rFonts w:ascii="Times New Roman" w:eastAsia="Calibri" w:hAnsi="Times New Roman" w:cs="Times New Roman"/>
          <w:bCs/>
          <w:sz w:val="24"/>
          <w:szCs w:val="24"/>
        </w:rPr>
        <w:t>Further,</w:t>
      </w:r>
      <w:r w:rsidR="001F76F6">
        <w:rPr>
          <w:rFonts w:ascii="Times New Roman" w:eastAsia="Calibri" w:hAnsi="Times New Roman" w:cs="Times New Roman"/>
          <w:bCs/>
          <w:sz w:val="24"/>
          <w:szCs w:val="24"/>
        </w:rPr>
        <w:t xml:space="preserve"> </w:t>
      </w:r>
      <w:r w:rsidRPr="001F76F6" w:rsidR="001F76F6">
        <w:rPr>
          <w:rFonts w:ascii="Times New Roman" w:eastAsia="Calibri" w:hAnsi="Times New Roman" w:cs="Times New Roman"/>
          <w:bCs/>
          <w:sz w:val="24"/>
          <w:szCs w:val="24"/>
        </w:rPr>
        <w:t xml:space="preserve">NERC </w:t>
      </w:r>
      <w:r w:rsidR="004369D6">
        <w:rPr>
          <w:rFonts w:ascii="Times New Roman" w:eastAsia="Calibri" w:hAnsi="Times New Roman" w:cs="Times New Roman"/>
          <w:bCs/>
          <w:sz w:val="24"/>
          <w:szCs w:val="24"/>
        </w:rPr>
        <w:t>must</w:t>
      </w:r>
      <w:r w:rsidRPr="001F76F6" w:rsidR="001F76F6">
        <w:rPr>
          <w:rFonts w:ascii="Times New Roman" w:eastAsia="Calibri" w:hAnsi="Times New Roman" w:cs="Times New Roman"/>
          <w:bCs/>
          <w:sz w:val="24"/>
          <w:szCs w:val="24"/>
        </w:rPr>
        <w:t xml:space="preserve"> ensure that the proposed new or modified Reliability Standard becomes mandatory and enforceable beginning no later than 12 months from the effective date of Commission approval of the new or modified Reliability Standard</w:t>
      </w:r>
      <w:r w:rsidR="001F76F6">
        <w:rPr>
          <w:rFonts w:ascii="Times New Roman" w:eastAsia="Calibri" w:hAnsi="Times New Roman" w:cs="Times New Roman"/>
          <w:bCs/>
          <w:sz w:val="24"/>
          <w:szCs w:val="24"/>
        </w:rPr>
        <w:t xml:space="preserve"> in accordance with 18 CFR 39.5.</w:t>
      </w:r>
      <w:r w:rsidR="00AC2207">
        <w:rPr>
          <w:rFonts w:ascii="Times New Roman" w:eastAsia="Calibri" w:hAnsi="Times New Roman" w:cs="Times New Roman"/>
          <w:bCs/>
          <w:sz w:val="24"/>
          <w:szCs w:val="24"/>
          <w:lang w:val="en"/>
        </w:rPr>
        <w:t xml:space="preserve"> </w:t>
      </w:r>
    </w:p>
    <w:p w:rsidR="00B933CA" w:rsidP="00B933CA" w14:paraId="04A73E1E" w14:textId="77777777">
      <w:pPr>
        <w:widowControl w:val="0"/>
        <w:autoSpaceDE w:val="0"/>
        <w:autoSpaceDN w:val="0"/>
        <w:adjustRightInd w:val="0"/>
        <w:spacing w:after="0" w:line="240" w:lineRule="auto"/>
        <w:rPr>
          <w:rFonts w:ascii="Times New Roman" w:eastAsia="Calibri" w:hAnsi="Times New Roman" w:cs="Times New Roman"/>
          <w:bCs/>
          <w:sz w:val="24"/>
          <w:szCs w:val="24"/>
        </w:rPr>
      </w:pPr>
    </w:p>
    <w:p w:rsidR="00B933CA" w:rsidP="00F6717B" w14:paraId="1A0F23D4" w14:textId="4E232AAD">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245D76" w:rsidR="00F4335F">
        <w:rPr>
          <w:rFonts w:ascii="Times New Roman" w:hAnsi="Times New Roman" w:cs="Times New Roman"/>
          <w:sz w:val="24"/>
          <w:szCs w:val="24"/>
        </w:rPr>
        <w:t xml:space="preserve">final rule </w:t>
      </w:r>
      <w:r w:rsidR="00F4335F">
        <w:rPr>
          <w:rFonts w:ascii="Times New Roman" w:hAnsi="Times New Roman" w:cs="Times New Roman"/>
          <w:sz w:val="24"/>
          <w:szCs w:val="24"/>
        </w:rPr>
        <w:t xml:space="preserve">in RM22-10-000 </w:t>
      </w:r>
      <w:r w:rsidRPr="00245D76" w:rsidR="00F4335F">
        <w:rPr>
          <w:rFonts w:ascii="Times New Roman" w:hAnsi="Times New Roman" w:cs="Times New Roman"/>
          <w:sz w:val="24"/>
          <w:szCs w:val="24"/>
        </w:rPr>
        <w:t>will not result in a</w:t>
      </w:r>
      <w:r w:rsidR="00B323CD">
        <w:rPr>
          <w:rFonts w:ascii="Times New Roman" w:hAnsi="Times New Roman" w:cs="Times New Roman"/>
          <w:sz w:val="24"/>
          <w:szCs w:val="24"/>
        </w:rPr>
        <w:t xml:space="preserve">ny material or </w:t>
      </w:r>
      <w:r w:rsidRPr="00245D76" w:rsidR="00F4335F">
        <w:rPr>
          <w:rFonts w:ascii="Times New Roman" w:hAnsi="Times New Roman" w:cs="Times New Roman"/>
          <w:sz w:val="24"/>
          <w:szCs w:val="24"/>
        </w:rPr>
        <w:t xml:space="preserve">substantive </w:t>
      </w:r>
      <w:r w:rsidR="00B323CD">
        <w:rPr>
          <w:rFonts w:ascii="Times New Roman" w:hAnsi="Times New Roman" w:cs="Times New Roman"/>
          <w:sz w:val="24"/>
          <w:szCs w:val="24"/>
        </w:rPr>
        <w:t>change</w:t>
      </w:r>
      <w:r w:rsidRPr="00245D76" w:rsidR="00F4335F">
        <w:rPr>
          <w:rFonts w:ascii="Times New Roman" w:hAnsi="Times New Roman" w:cs="Times New Roman"/>
          <w:sz w:val="24"/>
          <w:szCs w:val="24"/>
        </w:rPr>
        <w:t xml:space="preserve"> in burden </w:t>
      </w:r>
      <w:r w:rsidR="00726ACB">
        <w:rPr>
          <w:rFonts w:ascii="Times New Roman" w:hAnsi="Times New Roman" w:cs="Times New Roman"/>
          <w:sz w:val="24"/>
          <w:szCs w:val="24"/>
        </w:rPr>
        <w:t xml:space="preserve">under FERC-725.  </w:t>
      </w:r>
      <w:r w:rsidRPr="00354422" w:rsidR="001626AE">
        <w:rPr>
          <w:rFonts w:ascii="Times New Roman" w:hAnsi="Times New Roman" w:cs="Times New Roman"/>
          <w:sz w:val="24"/>
          <w:szCs w:val="24"/>
        </w:rPr>
        <w:t xml:space="preserve">FERC-725 </w:t>
      </w:r>
      <w:r w:rsidR="00726ACB">
        <w:rPr>
          <w:rFonts w:ascii="Times New Roman" w:hAnsi="Times New Roman" w:cs="Times New Roman"/>
          <w:sz w:val="24"/>
          <w:szCs w:val="24"/>
        </w:rPr>
        <w:t xml:space="preserve">authorizes the collection of </w:t>
      </w:r>
      <w:r w:rsidRPr="00354422" w:rsidR="001626AE">
        <w:rPr>
          <w:rFonts w:ascii="Times New Roman" w:hAnsi="Times New Roman" w:cs="Times New Roman"/>
          <w:sz w:val="24"/>
          <w:szCs w:val="24"/>
        </w:rPr>
        <w:t xml:space="preserve">information used by the Commission to implement the </w:t>
      </w:r>
      <w:r w:rsidRPr="00245D76" w:rsidR="001626AE">
        <w:rPr>
          <w:rFonts w:ascii="Times New Roman" w:hAnsi="Times New Roman" w:cs="Times New Roman"/>
          <w:sz w:val="24"/>
          <w:szCs w:val="24"/>
        </w:rPr>
        <w:t>statutory provisions of section 215 of the FPA</w:t>
      </w:r>
      <w:r w:rsidR="001C4B50">
        <w:rPr>
          <w:rFonts w:ascii="Times New Roman" w:hAnsi="Times New Roman" w:cs="Times New Roman"/>
          <w:sz w:val="24"/>
          <w:szCs w:val="24"/>
        </w:rPr>
        <w:t xml:space="preserve"> (1</w:t>
      </w:r>
      <w:r>
        <w:rPr>
          <w:rFonts w:ascii="Times New Roman" w:hAnsi="Times New Roman" w:cs="Times New Roman"/>
          <w:sz w:val="24"/>
          <w:szCs w:val="24"/>
        </w:rPr>
        <w:t>6 U.S.C. 824</w:t>
      </w:r>
      <w:r w:rsidRPr="00B933CA">
        <w:rPr>
          <w:rFonts w:ascii="Times New Roman" w:hAnsi="Times New Roman" w:cs="Times New Roman"/>
          <w:i/>
          <w:iCs/>
          <w:sz w:val="24"/>
          <w:szCs w:val="24"/>
        </w:rPr>
        <w:t>o</w:t>
      </w:r>
      <w:r w:rsidRPr="00F43A02" w:rsidR="00F43A02">
        <w:rPr>
          <w:rFonts w:ascii="Times New Roman" w:hAnsi="Times New Roman" w:cs="Times New Roman"/>
          <w:sz w:val="24"/>
          <w:szCs w:val="24"/>
        </w:rPr>
        <w:t>)</w:t>
      </w:r>
      <w:r w:rsidR="00726ACB">
        <w:rPr>
          <w:rFonts w:ascii="Times New Roman" w:hAnsi="Times New Roman" w:cs="Times New Roman"/>
          <w:sz w:val="24"/>
          <w:szCs w:val="24"/>
        </w:rPr>
        <w:t xml:space="preserve">, and includes </w:t>
      </w:r>
      <w:r w:rsidRPr="00245D76" w:rsidR="001626AE">
        <w:rPr>
          <w:rFonts w:ascii="Times New Roman" w:hAnsi="Times New Roman" w:cs="Times New Roman"/>
          <w:sz w:val="24"/>
          <w:szCs w:val="24"/>
        </w:rPr>
        <w:t>the burden, reporting and keeping requirements associated with: (a) Self-Assessment and ERO Application, (b) Reliability Assessments, (c) Reliability Standards Development, (d) Reliability Compliance, (e) Stakeholder Survey, and (f) Other Reporting.</w:t>
      </w:r>
      <w:r w:rsidR="00B323CD">
        <w:rPr>
          <w:rFonts w:ascii="Times New Roman" w:hAnsi="Times New Roman" w:cs="Times New Roman"/>
          <w:sz w:val="24"/>
          <w:szCs w:val="24"/>
        </w:rPr>
        <w:t xml:space="preserve">  Th</w:t>
      </w:r>
      <w:r w:rsidRPr="00B323CD" w:rsidR="00B323CD">
        <w:rPr>
          <w:rFonts w:ascii="Times New Roman" w:hAnsi="Times New Roman" w:cs="Times New Roman"/>
          <w:bCs/>
          <w:sz w:val="24"/>
          <w:szCs w:val="24"/>
        </w:rPr>
        <w:t>e Commission estimates the annual reporting burden and cost due to Docket No. RM22-10-000 to be the same as those included in FERC-725 for the “Standards Development” activity by the Electric Reliability Organization (i.e., NERC):  1 response and 20,800 hours.</w:t>
      </w:r>
    </w:p>
    <w:p w:rsidR="00B933CA" w:rsidP="00F6717B" w14:paraId="56B944F3" w14:textId="77777777">
      <w:pPr>
        <w:widowControl w:val="0"/>
        <w:autoSpaceDE w:val="0"/>
        <w:autoSpaceDN w:val="0"/>
        <w:adjustRightInd w:val="0"/>
        <w:spacing w:after="0" w:line="240" w:lineRule="auto"/>
        <w:rPr>
          <w:rFonts w:ascii="Times New Roman" w:hAnsi="Times New Roman" w:cs="Times New Roman"/>
          <w:sz w:val="24"/>
          <w:szCs w:val="24"/>
        </w:rPr>
      </w:pPr>
    </w:p>
    <w:p w:rsidR="00F6717B" w:rsidRPr="00682AFB" w:rsidP="00F6717B" w14:paraId="4D9F1951" w14:textId="77777777">
      <w:pPr>
        <w:widowControl w:val="0"/>
        <w:numPr>
          <w:ilvl w:val="0"/>
          <w:numId w:val="1"/>
        </w:numPr>
        <w:autoSpaceDE w:val="0"/>
        <w:autoSpaceDN w:val="0"/>
        <w:adjustRightInd w:val="0"/>
        <w:spacing w:after="0" w:line="240" w:lineRule="auto"/>
        <w:ind w:left="360"/>
        <w:rPr>
          <w:rFonts w:ascii="Times New Roman" w:eastAsia="Calibri" w:hAnsi="Times New Roman" w:cs="Times New Roman"/>
          <w:b/>
          <w:bCs/>
          <w:sz w:val="24"/>
          <w:szCs w:val="24"/>
        </w:rPr>
      </w:pPr>
      <w:r w:rsidRPr="00682AFB">
        <w:rPr>
          <w:rFonts w:ascii="Times New Roman" w:eastAsia="Calibri" w:hAnsi="Times New Roman" w:cs="Times New Roman"/>
          <w:b/>
          <w:bCs/>
          <w:sz w:val="24"/>
          <w:szCs w:val="24"/>
        </w:rPr>
        <w:t>HOW, BY WHOM, AND FOR WHAT PURPOSE THE INFORMATION IS TO BE USED AND THE CONSEQUENCES OF NOT COLLECTING THE INFORMATION</w:t>
      </w:r>
    </w:p>
    <w:p w:rsidR="00F6717B" w:rsidRPr="00682AFB" w:rsidP="00F6717B" w14:paraId="6B9B1B41" w14:textId="77777777">
      <w:pPr>
        <w:widowControl w:val="0"/>
        <w:autoSpaceDE w:val="0"/>
        <w:autoSpaceDN w:val="0"/>
        <w:adjustRightInd w:val="0"/>
        <w:spacing w:after="0" w:line="240" w:lineRule="auto"/>
        <w:ind w:left="360"/>
        <w:rPr>
          <w:rFonts w:ascii="Times New Roman" w:eastAsia="Calibri" w:hAnsi="Times New Roman" w:cs="Times New Roman"/>
          <w:b/>
          <w:bCs/>
          <w:sz w:val="24"/>
          <w:szCs w:val="24"/>
        </w:rPr>
      </w:pPr>
    </w:p>
    <w:p w:rsidR="001E62FB" w:rsidP="00726ACB" w14:paraId="32DED34A" w14:textId="5D3980AC">
      <w:pPr>
        <w:widowControl w:val="0"/>
        <w:autoSpaceDE w:val="0"/>
        <w:autoSpaceDN w:val="0"/>
        <w:adjustRightInd w:val="0"/>
        <w:spacing w:after="0" w:line="240" w:lineRule="auto"/>
        <w:ind w:left="10"/>
        <w:rPr>
          <w:rFonts w:ascii="Times New Roman" w:eastAsia="Calibri" w:hAnsi="Times New Roman" w:cs="Times New Roman"/>
          <w:bCs/>
          <w:sz w:val="24"/>
          <w:szCs w:val="24"/>
        </w:rPr>
      </w:pPr>
      <w:r w:rsidRPr="00682AFB">
        <w:rPr>
          <w:rFonts w:ascii="Times New Roman" w:eastAsia="Calibri" w:hAnsi="Times New Roman" w:cs="Times New Roman"/>
          <w:sz w:val="24"/>
          <w:szCs w:val="24"/>
        </w:rPr>
        <w:t xml:space="preserve">Pursuant to section 215(d)(5) of </w:t>
      </w:r>
      <w:r w:rsidR="00D274D5">
        <w:rPr>
          <w:rFonts w:ascii="Times New Roman" w:eastAsia="Calibri" w:hAnsi="Times New Roman" w:cs="Times New Roman"/>
          <w:sz w:val="24"/>
          <w:szCs w:val="24"/>
        </w:rPr>
        <w:t>the Federal Power Act (</w:t>
      </w:r>
      <w:r w:rsidR="00912CA6">
        <w:rPr>
          <w:rFonts w:ascii="Times New Roman" w:eastAsia="Calibri" w:hAnsi="Times New Roman" w:cs="Times New Roman"/>
          <w:sz w:val="24"/>
          <w:szCs w:val="24"/>
        </w:rPr>
        <w:t>FPA</w:t>
      </w:r>
      <w:r w:rsidR="00D274D5">
        <w:rPr>
          <w:rFonts w:ascii="Times New Roman" w:eastAsia="Calibri" w:hAnsi="Times New Roman" w:cs="Times New Roman"/>
          <w:sz w:val="24"/>
          <w:szCs w:val="24"/>
        </w:rPr>
        <w:t>) (16 U.S.C.824</w:t>
      </w:r>
      <w:r w:rsidRPr="00D274D5" w:rsidR="00D274D5">
        <w:rPr>
          <w:rFonts w:ascii="Times New Roman" w:eastAsia="Calibri" w:hAnsi="Times New Roman" w:cs="Times New Roman"/>
          <w:i/>
          <w:iCs/>
          <w:sz w:val="24"/>
          <w:szCs w:val="24"/>
        </w:rPr>
        <w:t>o</w:t>
      </w:r>
      <w:r w:rsidR="00D274D5">
        <w:rPr>
          <w:rFonts w:ascii="Times New Roman" w:eastAsia="Calibri" w:hAnsi="Times New Roman" w:cs="Times New Roman"/>
          <w:sz w:val="24"/>
          <w:szCs w:val="24"/>
        </w:rPr>
        <w:t>(d)(5))</w:t>
      </w:r>
      <w:r w:rsidR="00912CA6">
        <w:rPr>
          <w:rFonts w:ascii="Times New Roman" w:eastAsia="Calibri" w:hAnsi="Times New Roman" w:cs="Times New Roman"/>
          <w:sz w:val="24"/>
          <w:szCs w:val="24"/>
        </w:rPr>
        <w:t xml:space="preserve"> and 18 CFR Part 39</w:t>
      </w:r>
      <w:r w:rsidRPr="00682AFB">
        <w:rPr>
          <w:rFonts w:ascii="Times New Roman" w:eastAsia="Calibri" w:hAnsi="Times New Roman" w:cs="Times New Roman"/>
          <w:sz w:val="24"/>
          <w:szCs w:val="24"/>
        </w:rPr>
        <w:t xml:space="preserve">, the </w:t>
      </w:r>
      <w:r w:rsidR="00912CA6">
        <w:rPr>
          <w:rFonts w:ascii="Times New Roman" w:eastAsia="Calibri" w:hAnsi="Times New Roman" w:cs="Times New Roman"/>
          <w:sz w:val="24"/>
          <w:szCs w:val="24"/>
        </w:rPr>
        <w:t xml:space="preserve">final rule </w:t>
      </w:r>
      <w:r w:rsidRPr="00682AFB">
        <w:rPr>
          <w:rFonts w:ascii="Times New Roman" w:eastAsia="Calibri" w:hAnsi="Times New Roman" w:cs="Times New Roman"/>
          <w:sz w:val="24"/>
          <w:szCs w:val="24"/>
        </w:rPr>
        <w:t>directs NERC to develop a new or modified Reliability Standard</w:t>
      </w:r>
      <w:r w:rsidR="00912CA6">
        <w:rPr>
          <w:rFonts w:ascii="Times New Roman" w:eastAsia="Calibri" w:hAnsi="Times New Roman" w:cs="Times New Roman"/>
          <w:sz w:val="24"/>
          <w:szCs w:val="24"/>
        </w:rPr>
        <w:t xml:space="preserve"> </w:t>
      </w:r>
      <w:r w:rsidR="00912CA6">
        <w:rPr>
          <w:rFonts w:ascii="Times New Roman" w:eastAsia="Calibri" w:hAnsi="Times New Roman" w:cs="Times New Roman"/>
          <w:bCs/>
          <w:sz w:val="24"/>
          <w:szCs w:val="24"/>
          <w:lang w:val="en"/>
        </w:rPr>
        <w:t>to address transmission system planning for extreme h</w:t>
      </w:r>
      <w:r>
        <w:rPr>
          <w:rFonts w:ascii="Times New Roman" w:eastAsia="Calibri" w:hAnsi="Times New Roman" w:cs="Times New Roman"/>
          <w:bCs/>
          <w:sz w:val="24"/>
          <w:szCs w:val="24"/>
          <w:lang w:val="en"/>
        </w:rPr>
        <w:t xml:space="preserve">eat </w:t>
      </w:r>
      <w:r w:rsidR="00912CA6">
        <w:rPr>
          <w:rFonts w:ascii="Times New Roman" w:eastAsia="Calibri" w:hAnsi="Times New Roman" w:cs="Times New Roman"/>
          <w:bCs/>
          <w:sz w:val="24"/>
          <w:szCs w:val="24"/>
          <w:lang w:val="en"/>
        </w:rPr>
        <w:t xml:space="preserve">and cold weather events that impact the reliable operation of the </w:t>
      </w:r>
      <w:r w:rsidR="00726ACB">
        <w:rPr>
          <w:rFonts w:ascii="Times New Roman" w:eastAsia="Calibri" w:hAnsi="Times New Roman" w:cs="Times New Roman"/>
          <w:bCs/>
          <w:sz w:val="24"/>
          <w:szCs w:val="24"/>
          <w:lang w:val="en"/>
        </w:rPr>
        <w:t>B</w:t>
      </w:r>
      <w:r w:rsidR="00912CA6">
        <w:rPr>
          <w:rFonts w:ascii="Times New Roman" w:eastAsia="Calibri" w:hAnsi="Times New Roman" w:cs="Times New Roman"/>
          <w:bCs/>
          <w:sz w:val="24"/>
          <w:szCs w:val="24"/>
          <w:lang w:val="en"/>
        </w:rPr>
        <w:t>ulk-</w:t>
      </w:r>
      <w:r w:rsidR="00726ACB">
        <w:rPr>
          <w:rFonts w:ascii="Times New Roman" w:eastAsia="Calibri" w:hAnsi="Times New Roman" w:cs="Times New Roman"/>
          <w:bCs/>
          <w:sz w:val="24"/>
          <w:szCs w:val="24"/>
          <w:lang w:val="en"/>
        </w:rPr>
        <w:t>P</w:t>
      </w:r>
      <w:r w:rsidR="00912CA6">
        <w:rPr>
          <w:rFonts w:ascii="Times New Roman" w:eastAsia="Calibri" w:hAnsi="Times New Roman" w:cs="Times New Roman"/>
          <w:bCs/>
          <w:sz w:val="24"/>
          <w:szCs w:val="24"/>
          <w:lang w:val="en"/>
        </w:rPr>
        <w:t xml:space="preserve">ower System.  </w:t>
      </w:r>
      <w:r w:rsidR="00726ACB">
        <w:rPr>
          <w:rFonts w:ascii="Times New Roman" w:eastAsia="Calibri" w:hAnsi="Times New Roman" w:cs="Times New Roman"/>
          <w:bCs/>
          <w:sz w:val="24"/>
          <w:szCs w:val="24"/>
          <w:lang w:val="en"/>
        </w:rPr>
        <w:t xml:space="preserve">The Commission has taken </w:t>
      </w:r>
      <w:r w:rsidRPr="00726ACB" w:rsidR="00726ACB">
        <w:rPr>
          <w:rFonts w:ascii="Times New Roman" w:eastAsia="Calibri" w:hAnsi="Times New Roman" w:cs="Times New Roman"/>
          <w:bCs/>
          <w:sz w:val="24"/>
          <w:szCs w:val="24"/>
        </w:rPr>
        <w:t xml:space="preserve">this action to address challenges associated with planning for extreme heat and cold weather events, particularly those </w:t>
      </w:r>
      <w:r w:rsidRPr="00726ACB" w:rsidR="00726ACB">
        <w:rPr>
          <w:rFonts w:ascii="Times New Roman" w:eastAsia="Calibri" w:hAnsi="Times New Roman" w:cs="Times New Roman"/>
          <w:bCs/>
          <w:sz w:val="24"/>
          <w:szCs w:val="24"/>
        </w:rPr>
        <w:t>that occur during periods when the Bulk</w:t>
      </w:r>
      <w:r w:rsidR="00726ACB">
        <w:rPr>
          <w:rFonts w:ascii="Times New Roman" w:eastAsia="Calibri" w:hAnsi="Times New Roman" w:cs="Times New Roman"/>
          <w:bCs/>
          <w:sz w:val="24"/>
          <w:szCs w:val="24"/>
        </w:rPr>
        <w:t xml:space="preserve"> P</w:t>
      </w:r>
      <w:r w:rsidRPr="00726ACB" w:rsidR="00726ACB">
        <w:rPr>
          <w:rFonts w:ascii="Times New Roman" w:eastAsia="Calibri" w:hAnsi="Times New Roman" w:cs="Times New Roman"/>
          <w:bCs/>
          <w:sz w:val="24"/>
          <w:szCs w:val="24"/>
        </w:rPr>
        <w:t>ower System must meet unexpectedly high demand.</w:t>
      </w:r>
      <w:r w:rsidR="00726ACB">
        <w:rPr>
          <w:rFonts w:ascii="Times New Roman" w:eastAsia="Calibri" w:hAnsi="Times New Roman" w:cs="Times New Roman"/>
          <w:bCs/>
          <w:sz w:val="24"/>
          <w:szCs w:val="24"/>
        </w:rPr>
        <w:t xml:space="preserve">  </w:t>
      </w:r>
      <w:r w:rsidRPr="00726ACB" w:rsidR="00726ACB">
        <w:rPr>
          <w:rFonts w:ascii="Times New Roman" w:eastAsia="Calibri" w:hAnsi="Times New Roman" w:cs="Times New Roman"/>
          <w:bCs/>
          <w:sz w:val="24"/>
          <w:szCs w:val="24"/>
        </w:rPr>
        <w:t>Extreme heat and cold weather events have occurred with greater frequency in recent years, and are projected to occur with even greater frequency in the future.</w:t>
      </w:r>
      <w:r>
        <w:rPr>
          <w:rFonts w:ascii="Times New Roman" w:eastAsia="Calibri" w:hAnsi="Times New Roman" w:cs="Times New Roman"/>
          <w:bCs/>
          <w:sz w:val="24"/>
          <w:szCs w:val="24"/>
        </w:rPr>
        <w:t xml:space="preserve">  </w:t>
      </w:r>
      <w:r w:rsidRPr="00726ACB" w:rsidR="00726ACB">
        <w:rPr>
          <w:rFonts w:ascii="Times New Roman" w:eastAsia="Calibri" w:hAnsi="Times New Roman" w:cs="Times New Roman"/>
          <w:bCs/>
          <w:sz w:val="24"/>
          <w:szCs w:val="24"/>
        </w:rPr>
        <w:t>These events have shown that load shed during extreme temperature</w:t>
      </w:r>
      <w:r w:rsidR="00783E62">
        <w:rPr>
          <w:rFonts w:ascii="Times New Roman" w:eastAsia="Calibri" w:hAnsi="Times New Roman" w:cs="Times New Roman"/>
          <w:bCs/>
          <w:sz w:val="24"/>
          <w:szCs w:val="24"/>
        </w:rPr>
        <w:t>s</w:t>
      </w:r>
      <w:r w:rsidRPr="00726ACB" w:rsidR="00726ACB">
        <w:rPr>
          <w:rFonts w:ascii="Times New Roman" w:eastAsia="Calibri" w:hAnsi="Times New Roman" w:cs="Times New Roman"/>
          <w:bCs/>
          <w:sz w:val="24"/>
          <w:szCs w:val="24"/>
        </w:rPr>
        <w:t xml:space="preserve"> result in unacceptable risk to life and have</w:t>
      </w:r>
      <w:r w:rsidR="00D95C91">
        <w:rPr>
          <w:rFonts w:ascii="Times New Roman" w:eastAsia="Calibri" w:hAnsi="Times New Roman" w:cs="Times New Roman"/>
          <w:bCs/>
          <w:sz w:val="24"/>
          <w:szCs w:val="24"/>
        </w:rPr>
        <w:t xml:space="preserve"> an</w:t>
      </w:r>
      <w:r w:rsidRPr="00726ACB" w:rsidR="00726ACB">
        <w:rPr>
          <w:rFonts w:ascii="Times New Roman" w:eastAsia="Calibri" w:hAnsi="Times New Roman" w:cs="Times New Roman"/>
          <w:bCs/>
          <w:sz w:val="24"/>
          <w:szCs w:val="24"/>
        </w:rPr>
        <w:t xml:space="preserve"> extreme economic impact.  As such, </w:t>
      </w:r>
      <w:r>
        <w:rPr>
          <w:rFonts w:ascii="Times New Roman" w:eastAsia="Calibri" w:hAnsi="Times New Roman" w:cs="Times New Roman"/>
          <w:bCs/>
          <w:sz w:val="24"/>
          <w:szCs w:val="24"/>
        </w:rPr>
        <w:t xml:space="preserve">the Commission has determined that </w:t>
      </w:r>
      <w:r w:rsidRPr="00726ACB" w:rsidR="00726ACB">
        <w:rPr>
          <w:rFonts w:ascii="Times New Roman" w:eastAsia="Calibri" w:hAnsi="Times New Roman" w:cs="Times New Roman"/>
          <w:bCs/>
          <w:sz w:val="24"/>
          <w:szCs w:val="24"/>
        </w:rPr>
        <w:t>the impact of concurrent failures of Bulk-Power System generation and transmission equipment and the potential for cascading outages that may be caused by extreme heat and cold weather events should be studied and corrective actions should be identified and implemented.</w:t>
      </w:r>
    </w:p>
    <w:p w:rsidR="001E62FB" w:rsidP="00726ACB" w14:paraId="5CD2BCDF" w14:textId="77777777">
      <w:pPr>
        <w:widowControl w:val="0"/>
        <w:autoSpaceDE w:val="0"/>
        <w:autoSpaceDN w:val="0"/>
        <w:adjustRightInd w:val="0"/>
        <w:spacing w:after="0" w:line="240" w:lineRule="auto"/>
        <w:ind w:left="10"/>
        <w:rPr>
          <w:rFonts w:ascii="Times New Roman" w:eastAsia="Calibri" w:hAnsi="Times New Roman" w:cs="Times New Roman"/>
          <w:bCs/>
          <w:sz w:val="24"/>
          <w:szCs w:val="24"/>
        </w:rPr>
      </w:pPr>
    </w:p>
    <w:p w:rsidR="001E62FB" w:rsidP="001E62FB" w14:paraId="2A6C2036" w14:textId="74267114">
      <w:pPr>
        <w:widowControl w:val="0"/>
        <w:autoSpaceDE w:val="0"/>
        <w:autoSpaceDN w:val="0"/>
        <w:adjustRightInd w:val="0"/>
        <w:spacing w:after="0" w:line="240" w:lineRule="auto"/>
        <w:ind w:left="10"/>
        <w:rPr>
          <w:rFonts w:ascii="Times New Roman" w:eastAsia="Calibri" w:hAnsi="Times New Roman" w:cs="Times New Roman"/>
          <w:bCs/>
          <w:sz w:val="24"/>
          <w:szCs w:val="24"/>
        </w:rPr>
      </w:pPr>
      <w:r w:rsidRPr="001E62FB">
        <w:rPr>
          <w:rFonts w:ascii="Times New Roman" w:eastAsia="Calibri" w:hAnsi="Times New Roman" w:cs="Times New Roman"/>
          <w:bCs/>
          <w:sz w:val="24"/>
          <w:szCs w:val="24"/>
        </w:rPr>
        <w:t xml:space="preserve">To address this reliability gap, </w:t>
      </w:r>
      <w:r w:rsidR="00AC2207">
        <w:rPr>
          <w:rFonts w:ascii="Times New Roman" w:eastAsia="Calibri" w:hAnsi="Times New Roman" w:cs="Times New Roman"/>
          <w:bCs/>
          <w:sz w:val="24"/>
          <w:szCs w:val="24"/>
        </w:rPr>
        <w:t xml:space="preserve">the Commission </w:t>
      </w:r>
      <w:r w:rsidRPr="001E62FB">
        <w:rPr>
          <w:rFonts w:ascii="Times New Roman" w:eastAsia="Calibri" w:hAnsi="Times New Roman" w:cs="Times New Roman"/>
          <w:bCs/>
          <w:sz w:val="24"/>
          <w:szCs w:val="24"/>
        </w:rPr>
        <w:t>direct</w:t>
      </w:r>
      <w:r w:rsidR="00AC2207">
        <w:rPr>
          <w:rFonts w:ascii="Times New Roman" w:eastAsia="Calibri" w:hAnsi="Times New Roman" w:cs="Times New Roman"/>
          <w:bCs/>
          <w:sz w:val="24"/>
          <w:szCs w:val="24"/>
        </w:rPr>
        <w:t>s</w:t>
      </w:r>
      <w:r w:rsidRPr="001E62FB">
        <w:rPr>
          <w:rFonts w:ascii="Times New Roman" w:eastAsia="Calibri" w:hAnsi="Times New Roman" w:cs="Times New Roman"/>
          <w:bCs/>
          <w:sz w:val="24"/>
          <w:szCs w:val="24"/>
        </w:rPr>
        <w:t xml:space="preserve"> NERC to develop a new or modified Reliability Standard that requires the following:  (1) the development of benchmark planning cases based on information such as major prior extreme heat and cold weather events and/or future meteorological projections; (2) planning for extreme heat and cold weather events using steady state and transient stability analyses expanded to cover a range of extreme weather scenarios, including expected availability of the resource mix during extreme heat and cold weather conditions, and including the broad area impacts of extreme heat and cold weather; and (3) the development of corrective action plans that mitigate specified instances where performance requirements during extreme heat and cold weather events are not met.</w:t>
      </w:r>
    </w:p>
    <w:p w:rsidR="001E62FB" w:rsidP="001E62FB" w14:paraId="0BFFF57A" w14:textId="77777777">
      <w:pPr>
        <w:widowControl w:val="0"/>
        <w:autoSpaceDE w:val="0"/>
        <w:autoSpaceDN w:val="0"/>
        <w:adjustRightInd w:val="0"/>
        <w:spacing w:after="0" w:line="240" w:lineRule="auto"/>
        <w:ind w:left="10"/>
        <w:rPr>
          <w:rFonts w:ascii="Times New Roman" w:eastAsia="Calibri" w:hAnsi="Times New Roman" w:cs="Times New Roman"/>
          <w:bCs/>
          <w:sz w:val="24"/>
          <w:szCs w:val="24"/>
        </w:rPr>
      </w:pPr>
    </w:p>
    <w:p w:rsidR="00306730" w:rsidRPr="00682AFB" w:rsidP="00AC2207" w14:paraId="4FF1DA85" w14:textId="6B217337">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bCs/>
          <w:sz w:val="24"/>
          <w:szCs w:val="24"/>
        </w:rPr>
        <w:t xml:space="preserve">After NERC files its proposal, the Commission will </w:t>
      </w:r>
      <w:r w:rsidR="0023624A">
        <w:rPr>
          <w:rFonts w:ascii="Times New Roman" w:eastAsia="Calibri" w:hAnsi="Times New Roman" w:cs="Times New Roman"/>
          <w:bCs/>
          <w:sz w:val="24"/>
          <w:szCs w:val="24"/>
        </w:rPr>
        <w:t xml:space="preserve">review </w:t>
      </w:r>
      <w:r w:rsidR="002538AE">
        <w:rPr>
          <w:rFonts w:ascii="Times New Roman" w:eastAsia="Calibri" w:hAnsi="Times New Roman" w:cs="Times New Roman"/>
          <w:bCs/>
          <w:sz w:val="24"/>
          <w:szCs w:val="24"/>
        </w:rPr>
        <w:t xml:space="preserve">it </w:t>
      </w:r>
      <w:r w:rsidR="0023624A">
        <w:rPr>
          <w:rFonts w:ascii="Times New Roman" w:eastAsia="Calibri" w:hAnsi="Times New Roman" w:cs="Times New Roman"/>
          <w:bCs/>
          <w:sz w:val="24"/>
          <w:szCs w:val="24"/>
        </w:rPr>
        <w:t xml:space="preserve">and </w:t>
      </w:r>
      <w:r w:rsidR="002538AE">
        <w:rPr>
          <w:rFonts w:ascii="Times New Roman" w:eastAsia="Calibri" w:hAnsi="Times New Roman" w:cs="Times New Roman"/>
          <w:bCs/>
          <w:sz w:val="24"/>
          <w:szCs w:val="24"/>
        </w:rPr>
        <w:t xml:space="preserve">decide whether to approve it </w:t>
      </w:r>
      <w:r>
        <w:rPr>
          <w:rFonts w:ascii="Times New Roman" w:eastAsia="Calibri" w:hAnsi="Times New Roman" w:cs="Times New Roman"/>
          <w:bCs/>
          <w:sz w:val="24"/>
          <w:szCs w:val="24"/>
        </w:rPr>
        <w:t>in accordance with 18 CFR 39.5.  That process is not included in this information collection request, but may become relevant to a future information collection request.</w:t>
      </w:r>
      <w:r w:rsidRPr="00682AFB">
        <w:rPr>
          <w:rFonts w:ascii="Times New Roman" w:eastAsia="Calibri" w:hAnsi="Times New Roman" w:cs="Times New Roman"/>
          <w:sz w:val="24"/>
          <w:szCs w:val="24"/>
        </w:rPr>
        <w:t xml:space="preserve"> </w:t>
      </w:r>
    </w:p>
    <w:p w:rsidR="0099527A" w:rsidRPr="00682AFB" w:rsidP="00F6717B" w14:paraId="38607001" w14:textId="77777777">
      <w:pPr>
        <w:spacing w:after="0" w:line="240" w:lineRule="auto"/>
        <w:rPr>
          <w:rFonts w:ascii="Times New Roman" w:eastAsia="Calibri" w:hAnsi="Times New Roman" w:cs="Times New Roman"/>
          <w:sz w:val="24"/>
          <w:szCs w:val="24"/>
        </w:rPr>
      </w:pPr>
    </w:p>
    <w:p w:rsidR="00F6717B" w:rsidRPr="000234EE" w:rsidP="00214AA0" w14:paraId="64635EFB" w14:textId="550BA8EC">
      <w:pPr>
        <w:widowControl w:val="0"/>
        <w:numPr>
          <w:ilvl w:val="0"/>
          <w:numId w:val="1"/>
        </w:numPr>
        <w:autoSpaceDE w:val="0"/>
        <w:autoSpaceDN w:val="0"/>
        <w:adjustRightInd w:val="0"/>
        <w:spacing w:after="0" w:line="240" w:lineRule="auto"/>
        <w:ind w:left="360"/>
        <w:rPr>
          <w:rFonts w:ascii="Times New Roman" w:eastAsia="Calibri" w:hAnsi="Times New Roman" w:cs="Times New Roman"/>
          <w:b/>
          <w:bCs/>
          <w:sz w:val="24"/>
          <w:szCs w:val="24"/>
        </w:rPr>
      </w:pPr>
      <w:r w:rsidRPr="00C45878">
        <w:rPr>
          <w:rFonts w:ascii="Times New Roman" w:eastAsia="Calibri" w:hAnsi="Times New Roman" w:cs="Times New Roman"/>
          <w:b/>
          <w:bCs/>
          <w:sz w:val="24"/>
          <w:szCs w:val="24"/>
        </w:rPr>
        <w:t>DESCRIBE ANY CONSIDERATION OF THE USE OF IMPROVED INFORMATION TECHNOLOGY TO REDUCE BURDEN AND THE TECHNI</w:t>
      </w:r>
      <w:r w:rsidRPr="00C45878" w:rsidR="00C45878">
        <w:rPr>
          <w:rFonts w:ascii="Times New Roman" w:eastAsia="Calibri" w:hAnsi="Times New Roman" w:cs="Times New Roman"/>
          <w:b/>
          <w:bCs/>
          <w:sz w:val="24"/>
          <w:szCs w:val="24"/>
        </w:rPr>
        <w:t>CAL OR LEGAL OBSTACLES TO REDUCING BURDEN</w:t>
      </w:r>
    </w:p>
    <w:p w:rsidR="000234EE" w:rsidP="000234EE" w14:paraId="3B5C3B74" w14:textId="2A4DF0AC">
      <w:pPr>
        <w:widowControl w:val="0"/>
        <w:autoSpaceDE w:val="0"/>
        <w:autoSpaceDN w:val="0"/>
        <w:adjustRightInd w:val="0"/>
        <w:spacing w:after="0" w:line="240" w:lineRule="auto"/>
        <w:rPr>
          <w:rFonts w:ascii="Times New Roman" w:eastAsia="Calibri" w:hAnsi="Times New Roman" w:cs="Times New Roman"/>
          <w:sz w:val="24"/>
          <w:szCs w:val="24"/>
        </w:rPr>
      </w:pPr>
    </w:p>
    <w:p w:rsidR="00A56CEA" w:rsidRPr="00CC48C0" w:rsidP="000234EE" w14:paraId="0B16CFE1" w14:textId="57A79386">
      <w:pPr>
        <w:widowControl w:val="0"/>
        <w:autoSpaceDE w:val="0"/>
        <w:autoSpaceDN w:val="0"/>
        <w:adjustRightInd w:val="0"/>
        <w:spacing w:after="0" w:line="240" w:lineRule="auto"/>
        <w:rPr>
          <w:rFonts w:ascii="Times New Roman" w:eastAsia="Calibri" w:hAnsi="Times New Roman" w:cs="Times New Roman"/>
          <w:sz w:val="24"/>
          <w:szCs w:val="24"/>
        </w:rPr>
      </w:pPr>
      <w:r w:rsidRPr="00CC48C0">
        <w:rPr>
          <w:rFonts w:ascii="Times New Roman" w:eastAsia="Calibri" w:hAnsi="Times New Roman" w:cs="Times New Roman"/>
          <w:sz w:val="24"/>
          <w:szCs w:val="24"/>
        </w:rPr>
        <w:t xml:space="preserve">All of the information that is reported to the Commission in this collection may be submitted electronically, through the Commission’s eFiling system (as described at </w:t>
      </w:r>
      <w:hyperlink r:id="rId9" w:history="1">
        <w:r w:rsidRPr="00CC48C0">
          <w:rPr>
            <w:rStyle w:val="Hyperlink"/>
            <w:rFonts w:ascii="Times New Roman" w:eastAsia="Calibri" w:hAnsi="Times New Roman" w:cs="Times New Roman"/>
            <w:sz w:val="24"/>
            <w:szCs w:val="24"/>
          </w:rPr>
          <w:t>http://www.ferc.gov/docs-filing/efiling.asp</w:t>
        </w:r>
      </w:hyperlink>
      <w:r w:rsidRPr="00CC48C0">
        <w:rPr>
          <w:rFonts w:ascii="Times New Roman" w:eastAsia="Calibri" w:hAnsi="Times New Roman" w:cs="Times New Roman"/>
          <w:sz w:val="24"/>
          <w:szCs w:val="24"/>
        </w:rPr>
        <w:t>).</w:t>
      </w:r>
    </w:p>
    <w:p w:rsidR="00F6717B" w:rsidP="00F6717B" w14:paraId="0A3FB653" w14:textId="44DE7C87">
      <w:pPr>
        <w:spacing w:after="0" w:line="240" w:lineRule="auto"/>
        <w:rPr>
          <w:rFonts w:ascii="Times New Roman" w:eastAsia="Calibri" w:hAnsi="Times New Roman" w:cs="Times New Roman"/>
          <w:sz w:val="24"/>
          <w:szCs w:val="24"/>
        </w:rPr>
      </w:pPr>
    </w:p>
    <w:p w:rsidR="007D7C25" w:rsidRPr="001D57E2" w:rsidP="001D57E2" w14:paraId="108770AC" w14:textId="1C68832E">
      <w:pPr>
        <w:pStyle w:val="ListParagraph"/>
        <w:numPr>
          <w:ilvl w:val="0"/>
          <w:numId w:val="1"/>
        </w:numPr>
        <w:spacing w:after="0" w:line="240" w:lineRule="auto"/>
        <w:ind w:left="360"/>
        <w:rPr>
          <w:rFonts w:ascii="Times New Roman" w:eastAsia="Calibri" w:hAnsi="Times New Roman" w:cs="Times New Roman"/>
          <w:b/>
          <w:sz w:val="24"/>
          <w:szCs w:val="24"/>
        </w:rPr>
      </w:pPr>
      <w:r w:rsidRPr="001D57E2">
        <w:rPr>
          <w:rFonts w:ascii="Times New Roman" w:eastAsia="Calibri" w:hAnsi="Times New Roman" w:cs="Times New Roman"/>
          <w:b/>
          <w:sz w:val="24"/>
          <w:szCs w:val="24"/>
        </w:rPr>
        <w:t>DESCRIBE EFFORTS TO IDENTIFY DUPLICATION AND SHOW SPECIFICALLY WHY ANY SIMILAR INFORMATION ALREADY AVAILABLE CANNOT BE USED OR MODIFIED FOR USE FOR THE PURPOSE(S) DESCRIBED IN INSTRUCTION NO. 2.</w:t>
      </w:r>
    </w:p>
    <w:p w:rsidR="007D7C25" w:rsidRPr="007D7C25" w:rsidP="007D7C25" w14:paraId="36FA40F7" w14:textId="77777777">
      <w:pPr>
        <w:spacing w:after="0" w:line="240" w:lineRule="auto"/>
        <w:rPr>
          <w:rFonts w:ascii="Times New Roman" w:eastAsia="Calibri" w:hAnsi="Times New Roman" w:cs="Times New Roman"/>
          <w:b/>
          <w:sz w:val="24"/>
          <w:szCs w:val="24"/>
        </w:rPr>
      </w:pPr>
    </w:p>
    <w:p w:rsidR="000C0296" w:rsidP="00321C0B" w14:paraId="02E2C23D" w14:textId="77777777">
      <w:pPr>
        <w:spacing w:after="0" w:line="240" w:lineRule="auto"/>
        <w:rPr>
          <w:rFonts w:ascii="Times New Roman" w:eastAsia="Calibri" w:hAnsi="Times New Roman" w:cs="Times New Roman"/>
          <w:sz w:val="24"/>
          <w:szCs w:val="24"/>
        </w:rPr>
      </w:pPr>
      <w:r w:rsidRPr="007D7C25">
        <w:rPr>
          <w:rFonts w:ascii="Times New Roman" w:eastAsia="Calibri" w:hAnsi="Times New Roman" w:cs="Times New Roman"/>
          <w:sz w:val="24"/>
          <w:szCs w:val="24"/>
        </w:rPr>
        <w:t>Filing requirements are periodically reviewed as OMB review dates arise, or as the Commission may deem necessary in carrying out its responsibilities, in order to eliminate duplication and ensure that filing burden is minimized.  The</w:t>
      </w:r>
      <w:r w:rsidR="00A01430">
        <w:rPr>
          <w:rFonts w:ascii="Times New Roman" w:eastAsia="Calibri" w:hAnsi="Times New Roman" w:cs="Times New Roman"/>
          <w:sz w:val="24"/>
          <w:szCs w:val="24"/>
        </w:rPr>
        <w:t>re</w:t>
      </w:r>
      <w:r w:rsidRPr="007D7C25">
        <w:rPr>
          <w:rFonts w:ascii="Times New Roman" w:eastAsia="Calibri" w:hAnsi="Times New Roman" w:cs="Times New Roman"/>
          <w:sz w:val="24"/>
          <w:szCs w:val="24"/>
        </w:rPr>
        <w:t xml:space="preserve"> are no similar sources of information available that can be used or modified for the purposes</w:t>
      </w:r>
      <w:r w:rsidR="00CC7DE2">
        <w:rPr>
          <w:rFonts w:ascii="Times New Roman" w:eastAsia="Calibri" w:hAnsi="Times New Roman" w:cs="Times New Roman"/>
          <w:sz w:val="24"/>
          <w:szCs w:val="24"/>
        </w:rPr>
        <w:t xml:space="preserve"> described in Instruction No. 2</w:t>
      </w:r>
      <w:r w:rsidRPr="007D7C25">
        <w:rPr>
          <w:rFonts w:ascii="Times New Roman" w:eastAsia="Calibri" w:hAnsi="Times New Roman" w:cs="Times New Roman"/>
          <w:sz w:val="24"/>
          <w:szCs w:val="24"/>
        </w:rPr>
        <w:t>.</w:t>
      </w:r>
    </w:p>
    <w:p w:rsidR="000C0296" w:rsidP="00321C0B" w14:paraId="1B59AADB" w14:textId="77777777">
      <w:pPr>
        <w:spacing w:after="0" w:line="240" w:lineRule="auto"/>
        <w:rPr>
          <w:rFonts w:ascii="Times New Roman" w:eastAsia="Calibri" w:hAnsi="Times New Roman" w:cs="Times New Roman"/>
          <w:sz w:val="24"/>
          <w:szCs w:val="24"/>
        </w:rPr>
      </w:pPr>
    </w:p>
    <w:p w:rsidR="00321C0B" w:rsidRPr="000C0296" w:rsidP="000C0296" w14:paraId="61E10814" w14:textId="76358268">
      <w:pPr>
        <w:pStyle w:val="ListParagraph"/>
        <w:numPr>
          <w:ilvl w:val="0"/>
          <w:numId w:val="1"/>
        </w:numPr>
        <w:spacing w:after="0" w:line="240" w:lineRule="auto"/>
        <w:ind w:left="360"/>
        <w:rPr>
          <w:rFonts w:ascii="Times New Roman" w:eastAsia="Calibri" w:hAnsi="Times New Roman" w:cs="Times New Roman"/>
          <w:sz w:val="24"/>
          <w:szCs w:val="24"/>
        </w:rPr>
      </w:pPr>
      <w:r w:rsidRPr="000C0296">
        <w:rPr>
          <w:rFonts w:ascii="Times New Roman" w:eastAsia="Calibri" w:hAnsi="Times New Roman" w:cs="Times New Roman"/>
          <w:b/>
          <w:sz w:val="24"/>
          <w:szCs w:val="24"/>
        </w:rPr>
        <w:t>METHODS USED TO MINIMIZE BURDEN IN COLLECTION OF INFORMATION INVOLVING SMALL ENTITIES</w:t>
      </w:r>
      <w:r w:rsidRPr="000C0296">
        <w:rPr>
          <w:rFonts w:ascii="Times New Roman" w:eastAsia="Calibri" w:hAnsi="Times New Roman" w:cs="Times New Roman"/>
          <w:sz w:val="24"/>
          <w:szCs w:val="24"/>
        </w:rPr>
        <w:t xml:space="preserve"> </w:t>
      </w:r>
    </w:p>
    <w:p w:rsidR="00321C0B" w:rsidRPr="00321C0B" w:rsidP="00321C0B" w14:paraId="10FFD0FE" w14:textId="77777777">
      <w:pPr>
        <w:spacing w:after="0" w:line="240" w:lineRule="auto"/>
        <w:rPr>
          <w:rFonts w:ascii="Times New Roman" w:eastAsia="Calibri" w:hAnsi="Times New Roman" w:cs="Times New Roman"/>
          <w:sz w:val="24"/>
          <w:szCs w:val="24"/>
        </w:rPr>
      </w:pPr>
    </w:p>
    <w:p w:rsidR="000C0296" w:rsidP="000C0296" w14:paraId="33A6C622" w14:textId="77777777">
      <w:pPr>
        <w:spacing w:after="0" w:line="240" w:lineRule="auto"/>
        <w:rPr>
          <w:rFonts w:ascii="Times New Roman" w:eastAsia="Calibri" w:hAnsi="Times New Roman" w:cs="Times New Roman"/>
          <w:sz w:val="24"/>
          <w:szCs w:val="24"/>
        </w:rPr>
      </w:pPr>
      <w:r w:rsidRPr="00321C0B">
        <w:rPr>
          <w:rFonts w:ascii="Times New Roman" w:eastAsia="Calibri" w:hAnsi="Times New Roman" w:cs="Times New Roman"/>
          <w:sz w:val="24"/>
          <w:szCs w:val="24"/>
        </w:rPr>
        <w:t xml:space="preserve">This collection </w:t>
      </w:r>
      <w:r w:rsidR="006B6956">
        <w:rPr>
          <w:rFonts w:ascii="Times New Roman" w:eastAsia="Calibri" w:hAnsi="Times New Roman" w:cs="Times New Roman"/>
          <w:sz w:val="24"/>
          <w:szCs w:val="24"/>
        </w:rPr>
        <w:t xml:space="preserve">only </w:t>
      </w:r>
      <w:r w:rsidRPr="00321C0B">
        <w:rPr>
          <w:rFonts w:ascii="Times New Roman" w:eastAsia="Calibri" w:hAnsi="Times New Roman" w:cs="Times New Roman"/>
          <w:sz w:val="24"/>
          <w:szCs w:val="24"/>
        </w:rPr>
        <w:t>affects NERC</w:t>
      </w:r>
      <w:r w:rsidR="00E01F87">
        <w:rPr>
          <w:rFonts w:ascii="Times New Roman" w:eastAsia="Calibri" w:hAnsi="Times New Roman" w:cs="Times New Roman"/>
          <w:sz w:val="24"/>
          <w:szCs w:val="24"/>
        </w:rPr>
        <w:t xml:space="preserve">, which is not a </w:t>
      </w:r>
      <w:r w:rsidR="00D3471E">
        <w:rPr>
          <w:rFonts w:ascii="Times New Roman" w:eastAsia="Calibri" w:hAnsi="Times New Roman" w:cs="Times New Roman"/>
          <w:sz w:val="24"/>
          <w:szCs w:val="24"/>
        </w:rPr>
        <w:t>small entity.</w:t>
      </w:r>
    </w:p>
    <w:p w:rsidR="000C0296" w:rsidP="000C0296" w14:paraId="7EC7B5F5" w14:textId="77777777">
      <w:pPr>
        <w:spacing w:after="0" w:line="240" w:lineRule="auto"/>
        <w:rPr>
          <w:rFonts w:ascii="Times New Roman" w:eastAsia="Calibri" w:hAnsi="Times New Roman" w:cs="Times New Roman"/>
          <w:sz w:val="24"/>
          <w:szCs w:val="24"/>
        </w:rPr>
      </w:pPr>
    </w:p>
    <w:p w:rsidR="00EC08B6" w:rsidRPr="000C0296" w:rsidP="000C0296" w14:paraId="6A9A255F" w14:textId="38290072">
      <w:pPr>
        <w:pStyle w:val="ListParagraph"/>
        <w:numPr>
          <w:ilvl w:val="0"/>
          <w:numId w:val="1"/>
        </w:numPr>
        <w:spacing w:after="0" w:line="240" w:lineRule="auto"/>
        <w:ind w:left="360"/>
        <w:rPr>
          <w:rFonts w:ascii="Times New Roman" w:eastAsia="Calibri" w:hAnsi="Times New Roman" w:cs="Times New Roman"/>
          <w:sz w:val="24"/>
          <w:szCs w:val="24"/>
        </w:rPr>
      </w:pPr>
      <w:r w:rsidRPr="000C0296">
        <w:rPr>
          <w:rFonts w:ascii="Times New Roman" w:eastAsia="Calibri" w:hAnsi="Times New Roman" w:cs="Times New Roman"/>
          <w:b/>
          <w:sz w:val="24"/>
          <w:szCs w:val="24"/>
        </w:rPr>
        <w:t>CONSEQUENCE TO FEDERAL PROGRAM IF COLLECTION WERE CONDUCTED LESS FREQUENTLY</w:t>
      </w:r>
    </w:p>
    <w:p w:rsidR="00EC08B6" w:rsidRPr="00EC08B6" w:rsidP="00EC08B6" w14:paraId="36988BFF" w14:textId="77777777">
      <w:pPr>
        <w:spacing w:after="0" w:line="240" w:lineRule="auto"/>
        <w:rPr>
          <w:rFonts w:ascii="Times New Roman" w:eastAsia="Calibri" w:hAnsi="Times New Roman" w:cs="Times New Roman"/>
          <w:b/>
          <w:sz w:val="24"/>
          <w:szCs w:val="24"/>
        </w:rPr>
      </w:pPr>
    </w:p>
    <w:p w:rsidR="000C0296" w:rsidP="000C0296" w14:paraId="2C93A3A1" w14:textId="04891865">
      <w:pPr>
        <w:spacing w:after="0" w:line="240" w:lineRule="auto"/>
        <w:rPr>
          <w:rFonts w:ascii="Times New Roman" w:eastAsia="Calibri" w:hAnsi="Times New Roman" w:cs="Times New Roman"/>
          <w:b/>
          <w:sz w:val="24"/>
          <w:szCs w:val="24"/>
        </w:rPr>
      </w:pPr>
      <w:r>
        <w:rPr>
          <w:rFonts w:ascii="Times New Roman" w:eastAsia="Calibri" w:hAnsi="Times New Roman" w:cs="Times New Roman"/>
          <w:sz w:val="24"/>
          <w:szCs w:val="24"/>
        </w:rPr>
        <w:t>This information collection is</w:t>
      </w:r>
      <w:r w:rsidRPr="00EC08B6" w:rsidR="00EC08B6">
        <w:rPr>
          <w:rFonts w:ascii="Times New Roman" w:eastAsia="Calibri" w:hAnsi="Times New Roman" w:cs="Times New Roman"/>
          <w:sz w:val="24"/>
          <w:szCs w:val="24"/>
        </w:rPr>
        <w:t xml:space="preserve"> necessary for the reliable operation and oversight of the </w:t>
      </w:r>
      <w:r w:rsidR="004C49A5">
        <w:rPr>
          <w:rFonts w:ascii="Times New Roman" w:eastAsia="Calibri" w:hAnsi="Times New Roman" w:cs="Times New Roman"/>
          <w:sz w:val="24"/>
          <w:szCs w:val="24"/>
        </w:rPr>
        <w:t>B</w:t>
      </w:r>
      <w:r w:rsidRPr="00EC08B6" w:rsidR="004C49A5">
        <w:rPr>
          <w:rFonts w:ascii="Times New Roman" w:eastAsia="Calibri" w:hAnsi="Times New Roman" w:cs="Times New Roman"/>
          <w:sz w:val="24"/>
          <w:szCs w:val="24"/>
        </w:rPr>
        <w:t>ulk</w:t>
      </w:r>
      <w:r w:rsidR="004C49A5">
        <w:rPr>
          <w:rFonts w:ascii="Times New Roman" w:eastAsia="Calibri" w:hAnsi="Times New Roman" w:cs="Times New Roman"/>
          <w:sz w:val="24"/>
          <w:szCs w:val="24"/>
        </w:rPr>
        <w:t>-Power</w:t>
      </w:r>
      <w:r w:rsidRPr="00EC08B6" w:rsidR="004C49A5">
        <w:rPr>
          <w:rFonts w:ascii="Times New Roman" w:eastAsia="Calibri" w:hAnsi="Times New Roman" w:cs="Times New Roman"/>
          <w:sz w:val="24"/>
          <w:szCs w:val="24"/>
        </w:rPr>
        <w:t xml:space="preserve"> </w:t>
      </w:r>
      <w:r w:rsidR="004C49A5">
        <w:rPr>
          <w:rFonts w:ascii="Times New Roman" w:eastAsia="Calibri" w:hAnsi="Times New Roman" w:cs="Times New Roman"/>
          <w:sz w:val="24"/>
          <w:szCs w:val="24"/>
        </w:rPr>
        <w:t>S</w:t>
      </w:r>
      <w:r w:rsidRPr="00EC08B6" w:rsidR="004C49A5">
        <w:rPr>
          <w:rFonts w:ascii="Times New Roman" w:eastAsia="Calibri" w:hAnsi="Times New Roman" w:cs="Times New Roman"/>
          <w:sz w:val="24"/>
          <w:szCs w:val="24"/>
        </w:rPr>
        <w:t>ystem</w:t>
      </w:r>
      <w:r w:rsidRPr="00EC08B6" w:rsidR="00EC08B6">
        <w:rPr>
          <w:rFonts w:ascii="Times New Roman" w:eastAsia="Calibri" w:hAnsi="Times New Roman" w:cs="Times New Roman"/>
          <w:sz w:val="24"/>
          <w:szCs w:val="24"/>
        </w:rPr>
        <w:t xml:space="preserve">.  Any reduction in frequency may diminish the ability of NERC, Regional Entities, or FERC in maintaining reliability on the </w:t>
      </w:r>
      <w:r w:rsidR="004C49A5">
        <w:rPr>
          <w:rFonts w:ascii="Times New Roman" w:eastAsia="Calibri" w:hAnsi="Times New Roman" w:cs="Times New Roman"/>
          <w:sz w:val="24"/>
          <w:szCs w:val="24"/>
        </w:rPr>
        <w:t>B</w:t>
      </w:r>
      <w:r w:rsidRPr="00EC08B6" w:rsidR="004C49A5">
        <w:rPr>
          <w:rFonts w:ascii="Times New Roman" w:eastAsia="Calibri" w:hAnsi="Times New Roman" w:cs="Times New Roman"/>
          <w:sz w:val="24"/>
          <w:szCs w:val="24"/>
        </w:rPr>
        <w:t>ulk</w:t>
      </w:r>
      <w:r w:rsidR="004C49A5">
        <w:rPr>
          <w:rFonts w:ascii="Times New Roman" w:eastAsia="Calibri" w:hAnsi="Times New Roman" w:cs="Times New Roman"/>
          <w:sz w:val="24"/>
          <w:szCs w:val="24"/>
        </w:rPr>
        <w:t>-Power</w:t>
      </w:r>
      <w:r w:rsidRPr="00EC08B6" w:rsidR="00EC08B6">
        <w:rPr>
          <w:rFonts w:ascii="Times New Roman" w:eastAsia="Calibri" w:hAnsi="Times New Roman" w:cs="Times New Roman"/>
          <w:sz w:val="24"/>
          <w:szCs w:val="24"/>
        </w:rPr>
        <w:t xml:space="preserve"> </w:t>
      </w:r>
      <w:r w:rsidR="004C49A5">
        <w:rPr>
          <w:rFonts w:ascii="Times New Roman" w:eastAsia="Calibri" w:hAnsi="Times New Roman" w:cs="Times New Roman"/>
          <w:sz w:val="24"/>
          <w:szCs w:val="24"/>
        </w:rPr>
        <w:t>S</w:t>
      </w:r>
      <w:r w:rsidRPr="00EC08B6" w:rsidR="004C49A5">
        <w:rPr>
          <w:rFonts w:ascii="Times New Roman" w:eastAsia="Calibri" w:hAnsi="Times New Roman" w:cs="Times New Roman"/>
          <w:sz w:val="24"/>
          <w:szCs w:val="24"/>
        </w:rPr>
        <w:t>ystem</w:t>
      </w:r>
      <w:r w:rsidRPr="00EC08B6" w:rsidR="00EC08B6">
        <w:rPr>
          <w:rFonts w:ascii="Times New Roman" w:eastAsia="Calibri" w:hAnsi="Times New Roman" w:cs="Times New Roman"/>
          <w:bCs/>
          <w:sz w:val="24"/>
          <w:szCs w:val="24"/>
        </w:rPr>
        <w:t>.</w:t>
      </w:r>
    </w:p>
    <w:p w:rsidR="000C0296" w:rsidP="000C0296" w14:paraId="1061FB24" w14:textId="77777777">
      <w:pPr>
        <w:spacing w:after="0" w:line="240" w:lineRule="auto"/>
        <w:rPr>
          <w:rFonts w:ascii="Times New Roman" w:eastAsia="Calibri" w:hAnsi="Times New Roman" w:cs="Times New Roman"/>
          <w:b/>
          <w:sz w:val="24"/>
          <w:szCs w:val="24"/>
        </w:rPr>
      </w:pPr>
    </w:p>
    <w:p w:rsidR="00F90EDD" w:rsidRPr="000C0296" w:rsidP="000C0296" w14:paraId="6D46AED6" w14:textId="1B004A14">
      <w:pPr>
        <w:pStyle w:val="ListParagraph"/>
        <w:numPr>
          <w:ilvl w:val="0"/>
          <w:numId w:val="1"/>
        </w:numPr>
        <w:spacing w:after="0" w:line="240" w:lineRule="auto"/>
        <w:ind w:left="360"/>
        <w:rPr>
          <w:rFonts w:ascii="Times New Roman" w:eastAsia="Calibri" w:hAnsi="Times New Roman" w:cs="Times New Roman"/>
          <w:b/>
          <w:sz w:val="24"/>
          <w:szCs w:val="24"/>
        </w:rPr>
      </w:pPr>
      <w:r w:rsidRPr="000C0296">
        <w:rPr>
          <w:rFonts w:ascii="Times New Roman" w:eastAsia="Times New Roman" w:hAnsi="Times New Roman" w:cs="Times New Roman"/>
          <w:b/>
          <w:bCs/>
          <w:sz w:val="24"/>
          <w:szCs w:val="24"/>
        </w:rPr>
        <w:t>EXPLAIN ANY SPECIAL CIRCUMSTANCES RELATING TO THE INFORMATION COLLECTION</w:t>
      </w:r>
    </w:p>
    <w:p w:rsidR="00F90EDD" w:rsidRPr="00C45878" w:rsidP="00F90EDD" w14:paraId="4BAE3E94" w14:textId="77777777">
      <w:pPr>
        <w:widowControl w:val="0"/>
        <w:autoSpaceDE w:val="0"/>
        <w:autoSpaceDN w:val="0"/>
        <w:adjustRightInd w:val="0"/>
        <w:spacing w:after="0" w:line="240" w:lineRule="auto"/>
        <w:rPr>
          <w:rFonts w:ascii="Times New Roman" w:eastAsia="Calibri" w:hAnsi="Times New Roman" w:cs="Times New Roman"/>
          <w:b/>
          <w:bCs/>
          <w:sz w:val="24"/>
          <w:szCs w:val="24"/>
        </w:rPr>
      </w:pPr>
    </w:p>
    <w:p w:rsidR="000C0296" w:rsidP="000C0296" w14:paraId="7E4C0ED4" w14:textId="77777777">
      <w:pPr>
        <w:spacing w:after="0" w:line="240" w:lineRule="auto"/>
        <w:rPr>
          <w:rFonts w:ascii="Times New Roman" w:eastAsia="Calibri" w:hAnsi="Times New Roman" w:cs="Times New Roman"/>
          <w:sz w:val="24"/>
          <w:szCs w:val="24"/>
        </w:rPr>
      </w:pPr>
      <w:r w:rsidRPr="00682AFB">
        <w:rPr>
          <w:rFonts w:ascii="Times New Roman" w:eastAsia="Calibri" w:hAnsi="Times New Roman" w:cs="Times New Roman"/>
          <w:sz w:val="24"/>
          <w:szCs w:val="24"/>
        </w:rPr>
        <w:t>The Commission does not require NERC to impose any specific controls nor does the Commission require NERC to propose “one-size-fits-all” requirements.  There are no special circumstances as described in 5 CFR 1320.5(d)(2) relating to this information collection.</w:t>
      </w:r>
    </w:p>
    <w:p w:rsidR="000C0296" w:rsidP="000C0296" w14:paraId="5E79298F" w14:textId="77777777">
      <w:pPr>
        <w:spacing w:after="0" w:line="240" w:lineRule="auto"/>
        <w:rPr>
          <w:rFonts w:ascii="Times New Roman" w:eastAsia="Calibri" w:hAnsi="Times New Roman" w:cs="Times New Roman"/>
          <w:sz w:val="24"/>
          <w:szCs w:val="24"/>
        </w:rPr>
      </w:pPr>
    </w:p>
    <w:p w:rsidR="00F6717B" w:rsidRPr="000C0296" w:rsidP="000C0296" w14:paraId="49424D8B" w14:textId="577C2B9A">
      <w:pPr>
        <w:pStyle w:val="ListParagraph"/>
        <w:numPr>
          <w:ilvl w:val="0"/>
          <w:numId w:val="1"/>
        </w:numPr>
        <w:spacing w:after="0" w:line="240" w:lineRule="auto"/>
        <w:ind w:left="360"/>
        <w:rPr>
          <w:rFonts w:ascii="Times New Roman" w:eastAsia="Calibri" w:hAnsi="Times New Roman" w:cs="Times New Roman"/>
          <w:sz w:val="24"/>
          <w:szCs w:val="24"/>
        </w:rPr>
      </w:pPr>
      <w:r w:rsidRPr="000C0296">
        <w:rPr>
          <w:rFonts w:ascii="Times New Roman" w:eastAsia="Calibri" w:hAnsi="Times New Roman" w:cs="Times New Roman"/>
          <w:b/>
          <w:bCs/>
          <w:sz w:val="24"/>
          <w:szCs w:val="24"/>
        </w:rPr>
        <w:t>DESCRIBE EFFORTS TO CONSULT OUTSIDE THE AGENCY: SUMMARIZE PUBLIC COMMENTS AND THE AGENCY'S RESPONSE TO THESE COMMENTS</w:t>
      </w:r>
    </w:p>
    <w:p w:rsidR="00F6717B" w:rsidRPr="00682AFB" w:rsidP="00F6717B" w14:paraId="0FA59A9A" w14:textId="77777777">
      <w:pPr>
        <w:spacing w:after="0" w:line="240" w:lineRule="auto"/>
        <w:rPr>
          <w:rFonts w:ascii="Times New Roman" w:eastAsia="Calibri" w:hAnsi="Times New Roman" w:cs="Times New Roman"/>
          <w:b/>
          <w:bCs/>
          <w:sz w:val="24"/>
          <w:szCs w:val="24"/>
        </w:rPr>
      </w:pPr>
    </w:p>
    <w:p w:rsidR="009570DA" w:rsidP="00F6717B" w14:paraId="3145AD72" w14:textId="50C9E242">
      <w:pPr>
        <w:spacing w:after="0" w:line="240" w:lineRule="auto"/>
        <w:rPr>
          <w:rFonts w:ascii="Times New Roman" w:eastAsia="Calibri" w:hAnsi="Times New Roman" w:cs="Times New Roman"/>
          <w:sz w:val="24"/>
          <w:szCs w:val="24"/>
        </w:rPr>
      </w:pPr>
      <w:r w:rsidRPr="00682AFB">
        <w:rPr>
          <w:rFonts w:ascii="Times New Roman" w:eastAsia="Calibri" w:hAnsi="Times New Roman" w:cs="Times New Roman"/>
          <w:sz w:val="24"/>
          <w:szCs w:val="24"/>
        </w:rPr>
        <w:t>Each FERC rulemaking (both proposed and final rules) is published in the Federal Register thereby providing public utilities and licensees, state commissions, Federal agencies, and other interested parties an opportunity to submit data, views, comments or suggestions concerning the proposed collections of data.</w:t>
      </w:r>
      <w:r>
        <w:rPr>
          <w:rFonts w:ascii="Times New Roman" w:eastAsia="Calibri" w:hAnsi="Times New Roman" w:cs="Times New Roman"/>
          <w:sz w:val="24"/>
          <w:szCs w:val="24"/>
        </w:rPr>
        <w:t xml:space="preserve">  The Commission published a notice of proposed rule</w:t>
      </w:r>
      <w:r w:rsidR="000431FE">
        <w:rPr>
          <w:rFonts w:ascii="Times New Roman" w:eastAsia="Calibri" w:hAnsi="Times New Roman" w:cs="Times New Roman"/>
          <w:sz w:val="24"/>
          <w:szCs w:val="24"/>
        </w:rPr>
        <w:t>making</w:t>
      </w:r>
      <w:r>
        <w:rPr>
          <w:rFonts w:ascii="Times New Roman" w:eastAsia="Calibri" w:hAnsi="Times New Roman" w:cs="Times New Roman"/>
          <w:sz w:val="24"/>
          <w:szCs w:val="24"/>
        </w:rPr>
        <w:t xml:space="preserve"> </w:t>
      </w:r>
      <w:r w:rsidR="00780A71">
        <w:rPr>
          <w:rFonts w:ascii="Times New Roman" w:eastAsia="Calibri" w:hAnsi="Times New Roman" w:cs="Times New Roman"/>
          <w:sz w:val="24"/>
          <w:szCs w:val="24"/>
        </w:rPr>
        <w:t xml:space="preserve">(NOPR) </w:t>
      </w:r>
      <w:r>
        <w:rPr>
          <w:rFonts w:ascii="Times New Roman" w:eastAsia="Calibri" w:hAnsi="Times New Roman" w:cs="Times New Roman"/>
          <w:sz w:val="24"/>
          <w:szCs w:val="24"/>
        </w:rPr>
        <w:t xml:space="preserve">on June 27, 2022 (87 FR </w:t>
      </w:r>
      <w:r w:rsidR="000431FE">
        <w:rPr>
          <w:rFonts w:ascii="Times New Roman" w:eastAsia="Calibri" w:hAnsi="Times New Roman" w:cs="Times New Roman"/>
          <w:sz w:val="24"/>
          <w:szCs w:val="24"/>
        </w:rPr>
        <w:t>38020</w:t>
      </w:r>
      <w:r>
        <w:rPr>
          <w:rFonts w:ascii="Times New Roman" w:eastAsia="Calibri" w:hAnsi="Times New Roman" w:cs="Times New Roman"/>
          <w:sz w:val="24"/>
          <w:szCs w:val="24"/>
        </w:rPr>
        <w:t>) and invited public comments</w:t>
      </w:r>
      <w:r w:rsidR="00780A71">
        <w:rPr>
          <w:rFonts w:ascii="Times New Roman" w:eastAsia="Calibri" w:hAnsi="Times New Roman" w:cs="Times New Roman"/>
          <w:sz w:val="24"/>
          <w:szCs w:val="24"/>
        </w:rPr>
        <w:t>.</w:t>
      </w:r>
    </w:p>
    <w:p w:rsidR="00A519FA" w:rsidP="00F6717B" w14:paraId="32BFC032" w14:textId="7978247D">
      <w:pPr>
        <w:spacing w:after="0" w:line="240" w:lineRule="auto"/>
        <w:rPr>
          <w:rFonts w:ascii="Times New Roman" w:eastAsia="Calibri" w:hAnsi="Times New Roman" w:cs="Times New Roman"/>
          <w:sz w:val="24"/>
          <w:szCs w:val="24"/>
        </w:rPr>
      </w:pPr>
    </w:p>
    <w:p w:rsidR="00863E97" w:rsidP="00C05553" w14:paraId="087D5FC0" w14:textId="49C04CF0">
      <w:pPr>
        <w:spacing w:after="0" w:line="240" w:lineRule="auto"/>
        <w:rPr>
          <w:rFonts w:ascii="Times New Roman" w:eastAsia="Calibri" w:hAnsi="Times New Roman" w:cs="Times New Roman"/>
          <w:sz w:val="24"/>
          <w:szCs w:val="24"/>
        </w:rPr>
      </w:pPr>
      <w:r w:rsidRPr="00701E25">
        <w:rPr>
          <w:rFonts w:ascii="Times New Roman" w:eastAsia="Calibri" w:hAnsi="Times New Roman" w:cs="Times New Roman"/>
          <w:sz w:val="24"/>
          <w:szCs w:val="24"/>
        </w:rPr>
        <w:t>The Commission received 33 sets of comments in response to the NOPR</w:t>
      </w:r>
      <w:r w:rsidRPr="00701E25" w:rsidR="00701E25">
        <w:rPr>
          <w:rFonts w:ascii="Times New Roman" w:eastAsia="Calibri" w:hAnsi="Times New Roman" w:cs="Times New Roman"/>
          <w:sz w:val="24"/>
          <w:szCs w:val="24"/>
        </w:rPr>
        <w:t>.</w:t>
      </w:r>
      <w:r w:rsidR="00087296">
        <w:rPr>
          <w:rFonts w:ascii="Times New Roman" w:eastAsia="Calibri" w:hAnsi="Times New Roman" w:cs="Times New Roman"/>
          <w:sz w:val="24"/>
          <w:szCs w:val="24"/>
        </w:rPr>
        <w:t xml:space="preserve">  </w:t>
      </w:r>
      <w:r>
        <w:rPr>
          <w:rFonts w:ascii="Times New Roman" w:eastAsia="Calibri" w:hAnsi="Times New Roman" w:cs="Times New Roman"/>
          <w:sz w:val="24"/>
          <w:szCs w:val="24"/>
        </w:rPr>
        <w:t>The following comments pertained to FERC-725.</w:t>
      </w:r>
    </w:p>
    <w:p w:rsidR="00210444" w:rsidP="00C05553" w14:paraId="4B15FE7F" w14:textId="7BD9C51D">
      <w:pPr>
        <w:spacing w:after="0" w:line="240" w:lineRule="auto"/>
        <w:rPr>
          <w:rFonts w:ascii="Times New Roman" w:eastAsia="Calibri" w:hAnsi="Times New Roman" w:cs="Times New Roman"/>
          <w:sz w:val="24"/>
          <w:szCs w:val="24"/>
        </w:rPr>
      </w:pPr>
    </w:p>
    <w:p w:rsidR="00732DB6" w:rsidP="000B7202" w14:paraId="68FDDB21" w14:textId="0AC4EACD">
      <w:pPr>
        <w:pStyle w:val="ListParagraph"/>
        <w:numPr>
          <w:ilvl w:val="0"/>
          <w:numId w:val="13"/>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Many commenters </w:t>
      </w:r>
      <w:r w:rsidR="00DA6E6B">
        <w:rPr>
          <w:rFonts w:ascii="Times New Roman" w:eastAsia="Calibri" w:hAnsi="Times New Roman" w:cs="Times New Roman"/>
          <w:sz w:val="24"/>
          <w:szCs w:val="24"/>
        </w:rPr>
        <w:t xml:space="preserve">agreed that </w:t>
      </w:r>
      <w:r w:rsidR="006004E9">
        <w:rPr>
          <w:rFonts w:ascii="Times New Roman" w:eastAsia="Calibri" w:hAnsi="Times New Roman" w:cs="Times New Roman"/>
          <w:sz w:val="24"/>
          <w:szCs w:val="24"/>
        </w:rPr>
        <w:t xml:space="preserve">corrective action plans were necessary in </w:t>
      </w:r>
      <w:r w:rsidR="00DA6E6B">
        <w:rPr>
          <w:rFonts w:ascii="Times New Roman" w:eastAsia="Calibri" w:hAnsi="Times New Roman" w:cs="Times New Roman"/>
          <w:sz w:val="24"/>
          <w:szCs w:val="24"/>
        </w:rPr>
        <w:t xml:space="preserve">a new or modified Reliability Standard </w:t>
      </w:r>
      <w:r w:rsidR="00670400">
        <w:rPr>
          <w:rFonts w:ascii="Times New Roman" w:eastAsia="Calibri" w:hAnsi="Times New Roman" w:cs="Times New Roman"/>
          <w:sz w:val="24"/>
          <w:szCs w:val="24"/>
        </w:rPr>
        <w:t xml:space="preserve">to </w:t>
      </w:r>
      <w:r w:rsidRPr="00D75725" w:rsidR="00D75725">
        <w:rPr>
          <w:rFonts w:ascii="Times New Roman" w:eastAsia="Calibri" w:hAnsi="Times New Roman" w:cs="Times New Roman"/>
          <w:sz w:val="24"/>
          <w:szCs w:val="24"/>
        </w:rPr>
        <w:t>mitigate specified instances where performance requirements during extreme heat and cold weather events are not met.</w:t>
      </w:r>
      <w:r w:rsidR="00D75725">
        <w:rPr>
          <w:rFonts w:ascii="Times New Roman" w:eastAsia="Calibri" w:hAnsi="Times New Roman" w:cs="Times New Roman"/>
          <w:sz w:val="24"/>
          <w:szCs w:val="24"/>
        </w:rPr>
        <w:t xml:space="preserve">  However, some of these commenters </w:t>
      </w:r>
      <w:r w:rsidR="00C40130">
        <w:rPr>
          <w:rFonts w:ascii="Times New Roman" w:eastAsia="Calibri" w:hAnsi="Times New Roman" w:cs="Times New Roman"/>
          <w:sz w:val="24"/>
          <w:szCs w:val="24"/>
        </w:rPr>
        <w:t>expressed concerns</w:t>
      </w:r>
      <w:r w:rsidR="007C1F25">
        <w:rPr>
          <w:rFonts w:ascii="Times New Roman" w:eastAsia="Calibri" w:hAnsi="Times New Roman" w:cs="Times New Roman"/>
          <w:sz w:val="24"/>
          <w:szCs w:val="24"/>
        </w:rPr>
        <w:t xml:space="preserve"> about </w:t>
      </w:r>
      <w:r w:rsidR="007840DD">
        <w:rPr>
          <w:rFonts w:ascii="Times New Roman" w:eastAsia="Calibri" w:hAnsi="Times New Roman" w:cs="Times New Roman"/>
          <w:sz w:val="24"/>
          <w:szCs w:val="24"/>
        </w:rPr>
        <w:t xml:space="preserve">corrective action </w:t>
      </w:r>
      <w:r w:rsidR="007C1F25">
        <w:rPr>
          <w:rFonts w:ascii="Times New Roman" w:eastAsia="Calibri" w:hAnsi="Times New Roman" w:cs="Times New Roman"/>
          <w:sz w:val="24"/>
          <w:szCs w:val="24"/>
        </w:rPr>
        <w:t xml:space="preserve">plans as they were described in the NOPR.  </w:t>
      </w:r>
      <w:r>
        <w:rPr>
          <w:rFonts w:ascii="Times New Roman" w:eastAsia="Calibri" w:hAnsi="Times New Roman" w:cs="Times New Roman"/>
          <w:sz w:val="24"/>
          <w:szCs w:val="24"/>
        </w:rPr>
        <w:t xml:space="preserve">The Commission responded to each </w:t>
      </w:r>
      <w:r w:rsidR="007840DD">
        <w:rPr>
          <w:rFonts w:ascii="Times New Roman" w:eastAsia="Calibri" w:hAnsi="Times New Roman" w:cs="Times New Roman"/>
          <w:sz w:val="24"/>
          <w:szCs w:val="24"/>
        </w:rPr>
        <w:t xml:space="preserve">such </w:t>
      </w:r>
      <w:r>
        <w:rPr>
          <w:rFonts w:ascii="Times New Roman" w:eastAsia="Calibri" w:hAnsi="Times New Roman" w:cs="Times New Roman"/>
          <w:sz w:val="24"/>
          <w:szCs w:val="24"/>
        </w:rPr>
        <w:t>concern as follows:</w:t>
      </w:r>
    </w:p>
    <w:p w:rsidR="00732DB6" w:rsidP="00732DB6" w14:paraId="1ED79FD6" w14:textId="77777777">
      <w:pPr>
        <w:pStyle w:val="ListParagraph"/>
        <w:spacing w:after="0" w:line="240" w:lineRule="auto"/>
        <w:rPr>
          <w:rFonts w:ascii="Times New Roman" w:eastAsia="Calibri" w:hAnsi="Times New Roman" w:cs="Times New Roman"/>
          <w:sz w:val="24"/>
          <w:szCs w:val="24"/>
        </w:rPr>
      </w:pPr>
    </w:p>
    <w:p w:rsidR="00732DB6" w:rsidRPr="00732DB6" w:rsidP="00732DB6" w14:paraId="36AC6337" w14:textId="484C67F1">
      <w:pPr>
        <w:pStyle w:val="ListParagraph"/>
        <w:numPr>
          <w:ilvl w:val="0"/>
          <w:numId w:val="14"/>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O</w:t>
      </w:r>
      <w:r w:rsidR="00D75725">
        <w:rPr>
          <w:rFonts w:ascii="Times New Roman" w:eastAsia="Calibri" w:hAnsi="Times New Roman" w:cs="Times New Roman"/>
          <w:sz w:val="24"/>
          <w:szCs w:val="24"/>
        </w:rPr>
        <w:t xml:space="preserve">ne commenter stated that </w:t>
      </w:r>
      <w:r w:rsidRPr="00D75725" w:rsidR="00D75725">
        <w:rPr>
          <w:rFonts w:ascii="Times New Roman" w:eastAsia="Calibri" w:hAnsi="Times New Roman" w:cs="Times New Roman"/>
          <w:sz w:val="24"/>
          <w:szCs w:val="24"/>
        </w:rPr>
        <w:t xml:space="preserve">certain examples of potential corrective action plans mentioned in the </w:t>
      </w:r>
      <w:r w:rsidR="00D75725">
        <w:rPr>
          <w:rFonts w:ascii="Times New Roman" w:eastAsia="Calibri" w:hAnsi="Times New Roman" w:cs="Times New Roman"/>
          <w:sz w:val="24"/>
          <w:szCs w:val="24"/>
        </w:rPr>
        <w:t>proposed rule e</w:t>
      </w:r>
      <w:r w:rsidRPr="00D75725" w:rsidR="00D75725">
        <w:rPr>
          <w:rFonts w:ascii="Times New Roman" w:eastAsia="Calibri" w:hAnsi="Times New Roman" w:cs="Times New Roman"/>
          <w:sz w:val="24"/>
          <w:szCs w:val="24"/>
        </w:rPr>
        <w:t>xceed the Commission’s authority under section 215 of the FPA.</w:t>
      </w:r>
      <w:r>
        <w:rPr>
          <w:rFonts w:ascii="Times New Roman" w:eastAsia="Calibri" w:hAnsi="Times New Roman" w:cs="Times New Roman"/>
          <w:sz w:val="24"/>
          <w:szCs w:val="24"/>
        </w:rPr>
        <w:t xml:space="preserve">  The Commission rejected </w:t>
      </w:r>
      <w:r w:rsidRPr="00732DB6">
        <w:rPr>
          <w:rFonts w:ascii="Times New Roman" w:eastAsia="Calibri" w:hAnsi="Times New Roman" w:cs="Times New Roman"/>
          <w:sz w:val="24"/>
          <w:szCs w:val="24"/>
        </w:rPr>
        <w:t xml:space="preserve">arguments that </w:t>
      </w:r>
      <w:r>
        <w:rPr>
          <w:rFonts w:ascii="Times New Roman" w:eastAsia="Calibri" w:hAnsi="Times New Roman" w:cs="Times New Roman"/>
          <w:sz w:val="24"/>
          <w:szCs w:val="24"/>
        </w:rPr>
        <w:t xml:space="preserve">the instructions in the final rule </w:t>
      </w:r>
      <w:r w:rsidRPr="00732DB6">
        <w:rPr>
          <w:rFonts w:ascii="Times New Roman" w:eastAsia="Calibri" w:hAnsi="Times New Roman" w:cs="Times New Roman"/>
          <w:sz w:val="24"/>
          <w:szCs w:val="24"/>
        </w:rPr>
        <w:t xml:space="preserve">require responsible entities to develop corrective action plans may exceed the Commission’s jurisdiction.  Consistent with </w:t>
      </w:r>
      <w:r>
        <w:rPr>
          <w:rFonts w:ascii="Times New Roman" w:eastAsia="Calibri" w:hAnsi="Times New Roman" w:cs="Times New Roman"/>
          <w:sz w:val="24"/>
          <w:szCs w:val="24"/>
        </w:rPr>
        <w:t xml:space="preserve">section 215 of the FPA, </w:t>
      </w:r>
      <w:r w:rsidRPr="00732DB6">
        <w:rPr>
          <w:rFonts w:ascii="Times New Roman" w:eastAsia="Calibri" w:hAnsi="Times New Roman" w:cs="Times New Roman"/>
          <w:sz w:val="24"/>
          <w:szCs w:val="24"/>
        </w:rPr>
        <w:t>the final rule does not require any responsible entity to engage in the construction of additional generation or transmission capacity.  Moreover, while the final rule directs NERC to include in a new or modified Reliability Standard a requirement for entities to develop a corrective action plan to address extreme heat and cold weather events during the transmission planning process, the final rule does not mandate the use of any specific mitigation measure.</w:t>
      </w:r>
    </w:p>
    <w:p w:rsidR="00732DB6" w:rsidP="00732DB6" w14:paraId="55680921" w14:textId="0E66F32D">
      <w:pPr>
        <w:pStyle w:val="ListParagraph"/>
        <w:spacing w:after="0" w:line="240" w:lineRule="auto"/>
        <w:ind w:left="1080"/>
        <w:rPr>
          <w:rFonts w:ascii="Times New Roman" w:eastAsia="Calibri" w:hAnsi="Times New Roman" w:cs="Times New Roman"/>
          <w:sz w:val="24"/>
          <w:szCs w:val="24"/>
        </w:rPr>
      </w:pPr>
    </w:p>
    <w:p w:rsidR="00732DB6" w:rsidRPr="00732DB6" w:rsidP="00732DB6" w14:paraId="0554BA52" w14:textId="512372AD">
      <w:pPr>
        <w:pStyle w:val="ListParagraph"/>
        <w:numPr>
          <w:ilvl w:val="0"/>
          <w:numId w:val="14"/>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w:t>
      </w:r>
      <w:r w:rsidR="00D75725">
        <w:rPr>
          <w:rFonts w:ascii="Times New Roman" w:eastAsia="Calibri" w:hAnsi="Times New Roman" w:cs="Times New Roman"/>
          <w:sz w:val="24"/>
          <w:szCs w:val="24"/>
        </w:rPr>
        <w:t xml:space="preserve">nother commenter stated </w:t>
      </w:r>
      <w:r w:rsidRPr="00D75725" w:rsidR="00D75725">
        <w:rPr>
          <w:rFonts w:ascii="Times New Roman" w:eastAsia="Calibri" w:hAnsi="Times New Roman" w:cs="Times New Roman"/>
          <w:sz w:val="24"/>
          <w:szCs w:val="24"/>
        </w:rPr>
        <w:t xml:space="preserve">that the transmission planning process </w:t>
      </w:r>
      <w:r>
        <w:rPr>
          <w:rFonts w:ascii="Times New Roman" w:eastAsia="Calibri" w:hAnsi="Times New Roman" w:cs="Times New Roman"/>
          <w:sz w:val="24"/>
          <w:szCs w:val="24"/>
        </w:rPr>
        <w:t xml:space="preserve">described in the NOPR </w:t>
      </w:r>
      <w:r w:rsidRPr="00D75725" w:rsidR="00D75725">
        <w:rPr>
          <w:rFonts w:ascii="Times New Roman" w:eastAsia="Calibri" w:hAnsi="Times New Roman" w:cs="Times New Roman"/>
          <w:sz w:val="24"/>
          <w:szCs w:val="24"/>
        </w:rPr>
        <w:t>would usurp the authority of the states</w:t>
      </w:r>
      <w:r w:rsidR="00D20F5C">
        <w:rPr>
          <w:rFonts w:ascii="Times New Roman" w:eastAsia="Calibri" w:hAnsi="Times New Roman" w:cs="Times New Roman"/>
          <w:sz w:val="24"/>
          <w:szCs w:val="24"/>
        </w:rPr>
        <w:t xml:space="preserve"> to </w:t>
      </w:r>
      <w:r w:rsidRPr="00D75725" w:rsidR="00D75725">
        <w:rPr>
          <w:rFonts w:ascii="Times New Roman" w:eastAsia="Calibri" w:hAnsi="Times New Roman" w:cs="Times New Roman"/>
          <w:sz w:val="24"/>
          <w:szCs w:val="24"/>
        </w:rPr>
        <w:t>ensur</w:t>
      </w:r>
      <w:r w:rsidR="00D20F5C">
        <w:rPr>
          <w:rFonts w:ascii="Times New Roman" w:eastAsia="Calibri" w:hAnsi="Times New Roman" w:cs="Times New Roman"/>
          <w:sz w:val="24"/>
          <w:szCs w:val="24"/>
        </w:rPr>
        <w:t>e</w:t>
      </w:r>
      <w:r w:rsidRPr="00D75725" w:rsidR="00D75725">
        <w:rPr>
          <w:rFonts w:ascii="Times New Roman" w:eastAsia="Calibri" w:hAnsi="Times New Roman" w:cs="Times New Roman"/>
          <w:sz w:val="24"/>
          <w:szCs w:val="24"/>
        </w:rPr>
        <w:t xml:space="preserve"> the adequacy of the </w:t>
      </w:r>
      <w:r w:rsidRPr="00D75725" w:rsidR="00D75725">
        <w:rPr>
          <w:rFonts w:ascii="Times New Roman" w:eastAsia="Calibri" w:hAnsi="Times New Roman" w:cs="Times New Roman"/>
          <w:sz w:val="24"/>
          <w:szCs w:val="24"/>
        </w:rPr>
        <w:t>generation supply.</w:t>
      </w:r>
      <w:r w:rsidR="00D75725">
        <w:rPr>
          <w:rFonts w:ascii="Times New Roman" w:eastAsia="Calibri" w:hAnsi="Times New Roman" w:cs="Times New Roman"/>
          <w:sz w:val="24"/>
          <w:szCs w:val="24"/>
        </w:rPr>
        <w:t xml:space="preserve">  </w:t>
      </w:r>
      <w:r>
        <w:rPr>
          <w:rFonts w:ascii="Times New Roman" w:eastAsia="Calibri" w:hAnsi="Times New Roman" w:cs="Times New Roman"/>
          <w:sz w:val="24"/>
          <w:szCs w:val="24"/>
        </w:rPr>
        <w:t>T</w:t>
      </w:r>
      <w:r w:rsidRPr="00732DB6">
        <w:rPr>
          <w:rFonts w:ascii="Times New Roman" w:eastAsia="Calibri" w:hAnsi="Times New Roman" w:cs="Times New Roman"/>
          <w:sz w:val="24"/>
          <w:szCs w:val="24"/>
        </w:rPr>
        <w:t>he Commission</w:t>
      </w:r>
      <w:r>
        <w:rPr>
          <w:rFonts w:ascii="Times New Roman" w:eastAsia="Calibri" w:hAnsi="Times New Roman" w:cs="Times New Roman"/>
          <w:sz w:val="24"/>
          <w:szCs w:val="24"/>
        </w:rPr>
        <w:t xml:space="preserve"> responded that </w:t>
      </w:r>
      <w:r w:rsidR="00D20F5C">
        <w:rPr>
          <w:rFonts w:ascii="Times New Roman" w:eastAsia="Calibri" w:hAnsi="Times New Roman" w:cs="Times New Roman"/>
          <w:sz w:val="24"/>
          <w:szCs w:val="24"/>
        </w:rPr>
        <w:t xml:space="preserve">that the rule </w:t>
      </w:r>
      <w:r w:rsidRPr="00732DB6">
        <w:rPr>
          <w:rFonts w:ascii="Times New Roman" w:eastAsia="Calibri" w:hAnsi="Times New Roman" w:cs="Times New Roman"/>
          <w:sz w:val="24"/>
          <w:szCs w:val="24"/>
        </w:rPr>
        <w:t xml:space="preserve">does not usurp state authority with regard to resource adequacy.  </w:t>
      </w:r>
      <w:r w:rsidR="00D20F5C">
        <w:rPr>
          <w:rFonts w:ascii="Times New Roman" w:eastAsia="Calibri" w:hAnsi="Times New Roman" w:cs="Times New Roman"/>
          <w:sz w:val="24"/>
          <w:szCs w:val="24"/>
        </w:rPr>
        <w:t xml:space="preserve">Requiring </w:t>
      </w:r>
      <w:r w:rsidRPr="00732DB6">
        <w:rPr>
          <w:rFonts w:ascii="Times New Roman" w:eastAsia="Calibri" w:hAnsi="Times New Roman" w:cs="Times New Roman"/>
          <w:sz w:val="24"/>
          <w:szCs w:val="24"/>
        </w:rPr>
        <w:t xml:space="preserve">responsible entities </w:t>
      </w:r>
      <w:r w:rsidR="00D20F5C">
        <w:rPr>
          <w:rFonts w:ascii="Times New Roman" w:eastAsia="Calibri" w:hAnsi="Times New Roman" w:cs="Times New Roman"/>
          <w:sz w:val="24"/>
          <w:szCs w:val="24"/>
        </w:rPr>
        <w:t xml:space="preserve">to </w:t>
      </w:r>
      <w:r w:rsidRPr="00732DB6">
        <w:rPr>
          <w:rFonts w:ascii="Times New Roman" w:eastAsia="Calibri" w:hAnsi="Times New Roman" w:cs="Times New Roman"/>
          <w:sz w:val="24"/>
          <w:szCs w:val="24"/>
        </w:rPr>
        <w:t xml:space="preserve">develop corrective action plans in certain circumstances does not require the construction of additional generation or transmission capacity.  </w:t>
      </w:r>
      <w:r w:rsidR="00D20F5C">
        <w:rPr>
          <w:rFonts w:ascii="Times New Roman" w:eastAsia="Calibri" w:hAnsi="Times New Roman" w:cs="Times New Roman"/>
          <w:sz w:val="24"/>
          <w:szCs w:val="24"/>
        </w:rPr>
        <w:t xml:space="preserve">The Commission also observed that </w:t>
      </w:r>
      <w:r w:rsidRPr="00732DB6">
        <w:rPr>
          <w:rFonts w:ascii="Times New Roman" w:eastAsia="Calibri" w:hAnsi="Times New Roman" w:cs="Times New Roman"/>
          <w:sz w:val="24"/>
          <w:szCs w:val="24"/>
        </w:rPr>
        <w:t xml:space="preserve">responsible entities that </w:t>
      </w:r>
      <w:r w:rsidRPr="00732DB6">
        <w:rPr>
          <w:rFonts w:ascii="Times New Roman" w:eastAsia="Calibri" w:hAnsi="Times New Roman" w:cs="Times New Roman"/>
          <w:i/>
          <w:sz w:val="24"/>
          <w:szCs w:val="24"/>
        </w:rPr>
        <w:t>elect</w:t>
      </w:r>
      <w:r w:rsidRPr="00732DB6">
        <w:rPr>
          <w:rFonts w:ascii="Times New Roman" w:eastAsia="Calibri" w:hAnsi="Times New Roman" w:cs="Times New Roman"/>
          <w:sz w:val="24"/>
          <w:szCs w:val="24"/>
        </w:rPr>
        <w:t xml:space="preserve"> mitigation activities that involve increased transmission or generation capacity will  be subject to the authority of such state agencies or others with legal jurisdiction over the construction of transmission or generation facilities. </w:t>
      </w:r>
    </w:p>
    <w:p w:rsidR="00210444" w:rsidP="00D20F5C" w14:paraId="6C6BDDBF" w14:textId="05445754">
      <w:pPr>
        <w:pStyle w:val="ListParagraph"/>
        <w:spacing w:after="0" w:line="240" w:lineRule="auto"/>
        <w:rPr>
          <w:rFonts w:ascii="Times New Roman" w:eastAsia="Calibri" w:hAnsi="Times New Roman" w:cs="Times New Roman"/>
          <w:sz w:val="24"/>
          <w:szCs w:val="24"/>
        </w:rPr>
      </w:pPr>
    </w:p>
    <w:p w:rsidR="00D20F5C" w:rsidRPr="007840DD" w:rsidP="007C0CFC" w14:paraId="29D6D87B" w14:textId="22E0271B">
      <w:pPr>
        <w:pStyle w:val="ListParagraph"/>
        <w:numPr>
          <w:ilvl w:val="0"/>
          <w:numId w:val="14"/>
        </w:numPr>
        <w:spacing w:after="0" w:line="240" w:lineRule="auto"/>
        <w:rPr>
          <w:rFonts w:ascii="Times New Roman" w:eastAsia="Calibri" w:hAnsi="Times New Roman" w:cs="Times New Roman"/>
          <w:sz w:val="24"/>
          <w:szCs w:val="24"/>
        </w:rPr>
      </w:pPr>
      <w:r w:rsidRPr="007840DD">
        <w:rPr>
          <w:rFonts w:ascii="Times New Roman" w:eastAsia="Calibri" w:hAnsi="Times New Roman" w:cs="Times New Roman"/>
          <w:sz w:val="24"/>
          <w:szCs w:val="24"/>
        </w:rPr>
        <w:t xml:space="preserve">Some commenters </w:t>
      </w:r>
      <w:r w:rsidRPr="007840DD" w:rsidR="007840DD">
        <w:rPr>
          <w:rFonts w:ascii="Times New Roman" w:eastAsia="Calibri" w:hAnsi="Times New Roman" w:cs="Times New Roman"/>
          <w:sz w:val="24"/>
          <w:szCs w:val="24"/>
        </w:rPr>
        <w:t xml:space="preserve">did not support the NOPR proposal to require the development and implementation of corrective action plans for all instances where performance requirements for extreme heat and cold events are not met.  They stated that corrective action plans should be focused on the most likely and impactful events, which may not include extreme weather scenarios.  </w:t>
      </w:r>
      <w:r w:rsidRPr="007840DD">
        <w:rPr>
          <w:rFonts w:ascii="Times New Roman" w:eastAsia="Calibri" w:hAnsi="Times New Roman" w:cs="Times New Roman"/>
          <w:sz w:val="24"/>
          <w:szCs w:val="24"/>
        </w:rPr>
        <w:t>The Commission responded by modifying the NOPR proposal by direct NERC to require in the new or modified Reliability Standard the development of corrective action plans that include mitigation for specified instances where performance requirements for extreme heat and cold events are not met—i.e., when certain studies conducted under the Standard show that an extreme heat or cold event would result in cascading outages, uncontrolled separation, or instability.</w:t>
      </w:r>
    </w:p>
    <w:p w:rsidR="00863E97" w:rsidP="00C05553" w14:paraId="3BB4CE7C" w14:textId="77777777">
      <w:pPr>
        <w:spacing w:after="0" w:line="240" w:lineRule="auto"/>
        <w:rPr>
          <w:rFonts w:ascii="Times New Roman" w:eastAsia="Calibri" w:hAnsi="Times New Roman" w:cs="Times New Roman"/>
          <w:sz w:val="24"/>
          <w:szCs w:val="24"/>
        </w:rPr>
      </w:pPr>
    </w:p>
    <w:p w:rsidR="00701E25" w:rsidRPr="008328B7" w:rsidP="00FD1B7B" w14:paraId="443BA2B8" w14:textId="020A3FF3">
      <w:pPr>
        <w:pStyle w:val="ListParagraph"/>
        <w:numPr>
          <w:ilvl w:val="0"/>
          <w:numId w:val="12"/>
        </w:numPr>
        <w:spacing w:after="0" w:line="240" w:lineRule="auto"/>
        <w:rPr>
          <w:rFonts w:ascii="Times New Roman" w:eastAsia="Calibri" w:hAnsi="Times New Roman" w:cs="Times New Roman"/>
          <w:sz w:val="24"/>
          <w:szCs w:val="24"/>
        </w:rPr>
      </w:pPr>
      <w:r w:rsidRPr="008328B7">
        <w:rPr>
          <w:rFonts w:ascii="Times New Roman" w:eastAsia="Calibri" w:hAnsi="Times New Roman" w:cs="Times New Roman"/>
          <w:sz w:val="24"/>
          <w:szCs w:val="24"/>
        </w:rPr>
        <w:t xml:space="preserve">NERC requested that the Commission consider coordinating the timing of the final rule in Docket No. RM22-10-000 with the </w:t>
      </w:r>
      <w:r w:rsidRPr="008328B7" w:rsidR="00087296">
        <w:rPr>
          <w:rFonts w:ascii="Times New Roman" w:eastAsia="Calibri" w:hAnsi="Times New Roman" w:cs="Times New Roman"/>
          <w:sz w:val="24"/>
          <w:szCs w:val="24"/>
        </w:rPr>
        <w:t xml:space="preserve">extreme weather one-time informational reports required under Docket Nos. RM22-16-000 and AD21-13-000.  </w:t>
      </w:r>
      <w:r w:rsidRPr="008328B7" w:rsidR="00C05553">
        <w:rPr>
          <w:rFonts w:ascii="Times New Roman" w:eastAsia="Calibri" w:hAnsi="Times New Roman" w:cs="Times New Roman"/>
          <w:sz w:val="24"/>
          <w:szCs w:val="24"/>
        </w:rPr>
        <w:t>Some other commenters stated that a year is not long enough to modify or create a Reliability Standards.</w:t>
      </w:r>
      <w:r w:rsidRPr="008328B7" w:rsidR="008328B7">
        <w:rPr>
          <w:rFonts w:ascii="Times New Roman" w:eastAsia="Calibri" w:hAnsi="Times New Roman" w:cs="Times New Roman"/>
          <w:sz w:val="24"/>
          <w:szCs w:val="24"/>
        </w:rPr>
        <w:t xml:space="preserve">  </w:t>
      </w:r>
      <w:r w:rsidRPr="008328B7" w:rsidR="00087296">
        <w:rPr>
          <w:rFonts w:ascii="Times New Roman" w:eastAsia="Calibri" w:hAnsi="Times New Roman" w:cs="Times New Roman"/>
          <w:sz w:val="24"/>
          <w:szCs w:val="24"/>
        </w:rPr>
        <w:t xml:space="preserve">The Commission agreed </w:t>
      </w:r>
      <w:r w:rsidRPr="008328B7">
        <w:rPr>
          <w:rFonts w:ascii="Times New Roman" w:eastAsia="Calibri" w:hAnsi="Times New Roman" w:cs="Times New Roman"/>
          <w:sz w:val="24"/>
          <w:szCs w:val="24"/>
        </w:rPr>
        <w:t>with NERC</w:t>
      </w:r>
      <w:r w:rsidRPr="008328B7" w:rsidR="00087296">
        <w:rPr>
          <w:rFonts w:ascii="Times New Roman" w:eastAsia="Calibri" w:hAnsi="Times New Roman" w:cs="Times New Roman"/>
          <w:sz w:val="24"/>
          <w:szCs w:val="24"/>
        </w:rPr>
        <w:t xml:space="preserve"> that the standard drafting team should have an extended development timeline to take advantage of the one-time reports required by the Commission under Docket Nos. RM22-16-000 and AD21-13-000.  </w:t>
      </w:r>
      <w:r w:rsidR="00ED7618">
        <w:rPr>
          <w:rFonts w:ascii="Times New Roman" w:eastAsia="Calibri" w:hAnsi="Times New Roman" w:cs="Times New Roman"/>
          <w:sz w:val="24"/>
          <w:szCs w:val="24"/>
        </w:rPr>
        <w:t xml:space="preserve">However, the Commission </w:t>
      </w:r>
      <w:r w:rsidR="00FB7F59">
        <w:rPr>
          <w:rFonts w:ascii="Times New Roman" w:eastAsia="Calibri" w:hAnsi="Times New Roman" w:cs="Times New Roman"/>
          <w:sz w:val="24"/>
          <w:szCs w:val="24"/>
        </w:rPr>
        <w:t xml:space="preserve">disagreed with other commenters’ views that </w:t>
      </w:r>
      <w:r w:rsidR="005728B8">
        <w:rPr>
          <w:rFonts w:ascii="Times New Roman" w:eastAsia="Calibri" w:hAnsi="Times New Roman" w:cs="Times New Roman"/>
          <w:sz w:val="24"/>
          <w:szCs w:val="24"/>
        </w:rPr>
        <w:t xml:space="preserve">an extension of time was necessary for NERC to complete its work.  </w:t>
      </w:r>
      <w:r w:rsidRPr="008328B7" w:rsidR="00087296">
        <w:rPr>
          <w:rFonts w:ascii="Times New Roman" w:eastAsia="Calibri" w:hAnsi="Times New Roman" w:cs="Times New Roman"/>
          <w:sz w:val="24"/>
          <w:szCs w:val="24"/>
        </w:rPr>
        <w:t xml:space="preserve">Thus, the final rule </w:t>
      </w:r>
      <w:r w:rsidR="0072673B">
        <w:rPr>
          <w:rFonts w:ascii="Times New Roman" w:eastAsia="Calibri" w:hAnsi="Times New Roman" w:cs="Times New Roman"/>
          <w:sz w:val="24"/>
          <w:szCs w:val="24"/>
        </w:rPr>
        <w:t xml:space="preserve">allows an extension of time </w:t>
      </w:r>
      <w:r w:rsidR="006A7B2B">
        <w:rPr>
          <w:rFonts w:ascii="Times New Roman" w:eastAsia="Calibri" w:hAnsi="Times New Roman" w:cs="Times New Roman"/>
          <w:sz w:val="24"/>
          <w:szCs w:val="24"/>
        </w:rPr>
        <w:t xml:space="preserve">solely to permit </w:t>
      </w:r>
      <w:r w:rsidRPr="008328B7" w:rsidR="006A7B2B">
        <w:rPr>
          <w:rFonts w:ascii="Times New Roman" w:eastAsia="Calibri" w:hAnsi="Times New Roman" w:cs="Times New Roman"/>
          <w:sz w:val="24"/>
          <w:szCs w:val="24"/>
        </w:rPr>
        <w:t>coordinating the timing of the final rule in Docket No. RM22-10-000 with the extreme weather one-time informational reports required under Docket Nos. RM22-16-000 and AD21-13-000</w:t>
      </w:r>
      <w:r w:rsidR="006A7B2B">
        <w:rPr>
          <w:rFonts w:ascii="Times New Roman" w:eastAsia="Calibri" w:hAnsi="Times New Roman" w:cs="Times New Roman"/>
          <w:sz w:val="24"/>
          <w:szCs w:val="24"/>
        </w:rPr>
        <w:t xml:space="preserve">.  </w:t>
      </w:r>
      <w:r w:rsidR="004D4FDA">
        <w:rPr>
          <w:rFonts w:ascii="Times New Roman" w:eastAsia="Calibri" w:hAnsi="Times New Roman" w:cs="Times New Roman"/>
          <w:sz w:val="24"/>
          <w:szCs w:val="24"/>
        </w:rPr>
        <w:t xml:space="preserve">The deadline for </w:t>
      </w:r>
      <w:r w:rsidRPr="008328B7" w:rsidR="00087296">
        <w:rPr>
          <w:rFonts w:ascii="Times New Roman" w:eastAsia="Calibri" w:hAnsi="Times New Roman" w:cs="Times New Roman"/>
          <w:sz w:val="24"/>
          <w:szCs w:val="24"/>
        </w:rPr>
        <w:t xml:space="preserve">NERC to submit a proposed Reliability Standard </w:t>
      </w:r>
      <w:r w:rsidR="004D4FDA">
        <w:rPr>
          <w:rFonts w:ascii="Times New Roman" w:eastAsia="Calibri" w:hAnsi="Times New Roman" w:cs="Times New Roman"/>
          <w:sz w:val="24"/>
          <w:szCs w:val="24"/>
        </w:rPr>
        <w:t xml:space="preserve">has been extended to </w:t>
      </w:r>
      <w:r w:rsidRPr="008328B7" w:rsidR="00087296">
        <w:rPr>
          <w:rFonts w:ascii="Times New Roman" w:eastAsia="Calibri" w:hAnsi="Times New Roman" w:cs="Times New Roman"/>
          <w:sz w:val="24"/>
          <w:szCs w:val="24"/>
        </w:rPr>
        <w:t>18 months (instead of 12 months, as proposed in the NOPR) of the date of publication of the Docket No. RM22-10-000 final rule.</w:t>
      </w:r>
    </w:p>
    <w:p w:rsidR="00A519FA" w:rsidP="002B34C7" w14:paraId="111CCE7E" w14:textId="7822483F">
      <w:pPr>
        <w:pStyle w:val="ListParagraph"/>
        <w:spacing w:after="0" w:line="240" w:lineRule="auto"/>
        <w:rPr>
          <w:rFonts w:ascii="Times New Roman" w:eastAsia="Calibri" w:hAnsi="Times New Roman" w:cs="Times New Roman"/>
          <w:sz w:val="24"/>
          <w:szCs w:val="24"/>
        </w:rPr>
      </w:pPr>
    </w:p>
    <w:p w:rsidR="000C0296" w:rsidP="000C0296" w14:paraId="51DBC143" w14:textId="1A799AE8">
      <w:pPr>
        <w:pStyle w:val="ListParagraph"/>
        <w:numPr>
          <w:ilvl w:val="0"/>
          <w:numId w:val="12"/>
        </w:numPr>
        <w:spacing w:after="0" w:line="240" w:lineRule="auto"/>
        <w:rPr>
          <w:rFonts w:ascii="Times New Roman" w:eastAsia="Calibri" w:hAnsi="Times New Roman" w:cs="Times New Roman"/>
          <w:sz w:val="24"/>
          <w:szCs w:val="24"/>
        </w:rPr>
      </w:pPr>
      <w:r w:rsidRPr="00A955EF">
        <w:rPr>
          <w:rFonts w:ascii="Times New Roman" w:eastAsia="Calibri" w:hAnsi="Times New Roman" w:cs="Times New Roman"/>
          <w:sz w:val="24"/>
          <w:szCs w:val="24"/>
        </w:rPr>
        <w:t>Some commen</w:t>
      </w:r>
      <w:r w:rsidRPr="00A955EF" w:rsidR="00563FD4">
        <w:rPr>
          <w:rFonts w:ascii="Times New Roman" w:eastAsia="Calibri" w:hAnsi="Times New Roman" w:cs="Times New Roman"/>
          <w:sz w:val="24"/>
          <w:szCs w:val="24"/>
        </w:rPr>
        <w:t xml:space="preserve">ters </w:t>
      </w:r>
      <w:r w:rsidRPr="00A955EF" w:rsidR="00D307DB">
        <w:rPr>
          <w:rFonts w:ascii="Times New Roman" w:eastAsia="Calibri" w:hAnsi="Times New Roman" w:cs="Times New Roman"/>
          <w:sz w:val="24"/>
          <w:szCs w:val="24"/>
        </w:rPr>
        <w:t xml:space="preserve">recommended that </w:t>
      </w:r>
      <w:r w:rsidRPr="00A955EF" w:rsidR="00563FD4">
        <w:rPr>
          <w:rFonts w:ascii="Times New Roman" w:eastAsia="Calibri" w:hAnsi="Times New Roman" w:cs="Times New Roman"/>
          <w:sz w:val="24"/>
          <w:szCs w:val="24"/>
        </w:rPr>
        <w:t xml:space="preserve">the Commission direct NERC to create or modify a Reliability Standard </w:t>
      </w:r>
      <w:r w:rsidR="00982F4F">
        <w:rPr>
          <w:rFonts w:ascii="Times New Roman" w:eastAsia="Calibri" w:hAnsi="Times New Roman" w:cs="Times New Roman"/>
          <w:sz w:val="24"/>
          <w:szCs w:val="24"/>
        </w:rPr>
        <w:t xml:space="preserve">that addresses </w:t>
      </w:r>
      <w:r w:rsidRPr="00A955EF" w:rsidR="00563FD4">
        <w:rPr>
          <w:rFonts w:ascii="Times New Roman" w:eastAsia="Calibri" w:hAnsi="Times New Roman" w:cs="Times New Roman"/>
          <w:sz w:val="24"/>
          <w:szCs w:val="24"/>
        </w:rPr>
        <w:t>the impacts of drought conditions</w:t>
      </w:r>
      <w:r w:rsidRPr="00A955EF" w:rsidR="00D53E26">
        <w:rPr>
          <w:rFonts w:ascii="Times New Roman" w:eastAsia="Calibri" w:hAnsi="Times New Roman" w:cs="Times New Roman"/>
          <w:sz w:val="24"/>
          <w:szCs w:val="24"/>
        </w:rPr>
        <w:t xml:space="preserve"> </w:t>
      </w:r>
      <w:r w:rsidR="00983290">
        <w:rPr>
          <w:rFonts w:ascii="Times New Roman" w:eastAsia="Calibri" w:hAnsi="Times New Roman" w:cs="Times New Roman"/>
          <w:sz w:val="24"/>
          <w:szCs w:val="24"/>
        </w:rPr>
        <w:t xml:space="preserve">(as well as </w:t>
      </w:r>
      <w:r w:rsidR="00982F4F">
        <w:rPr>
          <w:rFonts w:ascii="Times New Roman" w:eastAsia="Calibri" w:hAnsi="Times New Roman" w:cs="Times New Roman"/>
          <w:sz w:val="24"/>
          <w:szCs w:val="24"/>
        </w:rPr>
        <w:t xml:space="preserve">other </w:t>
      </w:r>
      <w:r w:rsidR="00223531">
        <w:rPr>
          <w:rFonts w:ascii="Times New Roman" w:eastAsia="Calibri" w:hAnsi="Times New Roman" w:cs="Times New Roman"/>
          <w:sz w:val="24"/>
          <w:szCs w:val="24"/>
        </w:rPr>
        <w:t>events beyond heat and cold</w:t>
      </w:r>
      <w:r w:rsidR="002F1893">
        <w:rPr>
          <w:rFonts w:ascii="Times New Roman" w:eastAsia="Calibri" w:hAnsi="Times New Roman" w:cs="Times New Roman"/>
          <w:sz w:val="24"/>
          <w:szCs w:val="24"/>
        </w:rPr>
        <w:t xml:space="preserve">, such as wildfires, hurricanes, and tornadoes) </w:t>
      </w:r>
      <w:r w:rsidRPr="00A955EF" w:rsidR="00563FD4">
        <w:rPr>
          <w:rFonts w:ascii="Times New Roman" w:eastAsia="Calibri" w:hAnsi="Times New Roman" w:cs="Times New Roman"/>
          <w:sz w:val="24"/>
          <w:szCs w:val="24"/>
        </w:rPr>
        <w:t>as part of extreme heat and cold transmission system planning</w:t>
      </w:r>
      <w:r w:rsidRPr="00A955EF" w:rsidR="00F679F7">
        <w:rPr>
          <w:rFonts w:ascii="Times New Roman" w:eastAsia="Calibri" w:hAnsi="Times New Roman" w:cs="Times New Roman"/>
          <w:sz w:val="24"/>
          <w:szCs w:val="24"/>
        </w:rPr>
        <w:t>, on grounds that drought</w:t>
      </w:r>
      <w:r w:rsidRPr="00A955EF" w:rsidR="00915F63">
        <w:rPr>
          <w:rFonts w:ascii="Times New Roman" w:eastAsia="Calibri" w:hAnsi="Times New Roman" w:cs="Times New Roman"/>
          <w:sz w:val="24"/>
          <w:szCs w:val="24"/>
        </w:rPr>
        <w:t xml:space="preserve">s can affect the capacity and operation of water-cooled </w:t>
      </w:r>
      <w:r w:rsidRPr="00A955EF" w:rsidR="00822D29">
        <w:rPr>
          <w:rFonts w:ascii="Times New Roman" w:eastAsia="Calibri" w:hAnsi="Times New Roman" w:cs="Times New Roman"/>
          <w:sz w:val="24"/>
          <w:szCs w:val="24"/>
        </w:rPr>
        <w:t xml:space="preserve">equipment and hydroelectric generators.  </w:t>
      </w:r>
      <w:r w:rsidRPr="00A955EF" w:rsidR="00DA7CCA">
        <w:rPr>
          <w:rFonts w:ascii="Times New Roman" w:eastAsia="Calibri" w:hAnsi="Times New Roman" w:cs="Times New Roman"/>
          <w:sz w:val="24"/>
          <w:szCs w:val="24"/>
        </w:rPr>
        <w:t>Other</w:t>
      </w:r>
      <w:r w:rsidRPr="00A955EF" w:rsidR="00296F2D">
        <w:rPr>
          <w:rFonts w:ascii="Times New Roman" w:eastAsia="Calibri" w:hAnsi="Times New Roman" w:cs="Times New Roman"/>
          <w:sz w:val="24"/>
          <w:szCs w:val="24"/>
        </w:rPr>
        <w:t>s advocated limiting the new or modified Reliability Standard to extreme heat and cold events</w:t>
      </w:r>
      <w:r w:rsidRPr="00A955EF" w:rsidR="00500D0E">
        <w:rPr>
          <w:rFonts w:ascii="Times New Roman" w:eastAsia="Calibri" w:hAnsi="Times New Roman" w:cs="Times New Roman"/>
          <w:sz w:val="24"/>
          <w:szCs w:val="24"/>
        </w:rPr>
        <w:t xml:space="preserve"> on grounds that such events </w:t>
      </w:r>
      <w:r w:rsidRPr="00A955EF" w:rsidR="001233F0">
        <w:rPr>
          <w:rFonts w:ascii="Times New Roman" w:eastAsia="Calibri" w:hAnsi="Times New Roman" w:cs="Times New Roman"/>
          <w:sz w:val="24"/>
          <w:szCs w:val="24"/>
        </w:rPr>
        <w:t>likely results in the load increasing</w:t>
      </w:r>
      <w:r w:rsidRPr="00A955EF" w:rsidR="003C19EC">
        <w:rPr>
          <w:rFonts w:ascii="Times New Roman" w:eastAsia="Calibri" w:hAnsi="Times New Roman" w:cs="Times New Roman"/>
          <w:sz w:val="24"/>
          <w:szCs w:val="24"/>
        </w:rPr>
        <w:t xml:space="preserve"> while drought may have the opposite effect.  The Commission agrees that </w:t>
      </w:r>
      <w:r w:rsidRPr="00563FD4" w:rsidR="00563FD4">
        <w:rPr>
          <w:rFonts w:ascii="Times New Roman" w:eastAsia="Calibri" w:hAnsi="Times New Roman" w:cs="Times New Roman"/>
          <w:sz w:val="24"/>
          <w:szCs w:val="24"/>
        </w:rPr>
        <w:t>drought conditions may impact reliability,</w:t>
      </w:r>
      <w:r w:rsidRPr="00A955EF" w:rsidR="008510A8">
        <w:rPr>
          <w:rFonts w:ascii="Times New Roman" w:eastAsia="Calibri" w:hAnsi="Times New Roman" w:cs="Times New Roman"/>
          <w:sz w:val="24"/>
          <w:szCs w:val="24"/>
        </w:rPr>
        <w:t xml:space="preserve"> and notes that </w:t>
      </w:r>
      <w:r w:rsidRPr="00563FD4" w:rsidR="00563FD4">
        <w:rPr>
          <w:rFonts w:ascii="Times New Roman" w:eastAsia="Calibri" w:hAnsi="Times New Roman" w:cs="Times New Roman"/>
          <w:sz w:val="24"/>
          <w:szCs w:val="24"/>
        </w:rPr>
        <w:t xml:space="preserve">drought impacts on generation are already studied in the resource forecasts developed by resource planners and mitigated by operating procedures.  However, </w:t>
      </w:r>
      <w:r w:rsidR="00A955EF">
        <w:rPr>
          <w:rFonts w:ascii="Times New Roman" w:eastAsia="Calibri" w:hAnsi="Times New Roman" w:cs="Times New Roman"/>
          <w:sz w:val="24"/>
          <w:szCs w:val="24"/>
        </w:rPr>
        <w:t xml:space="preserve">the Commission </w:t>
      </w:r>
      <w:r w:rsidR="00D94A85">
        <w:rPr>
          <w:rFonts w:ascii="Times New Roman" w:eastAsia="Calibri" w:hAnsi="Times New Roman" w:cs="Times New Roman"/>
          <w:sz w:val="24"/>
          <w:szCs w:val="24"/>
        </w:rPr>
        <w:t xml:space="preserve">was </w:t>
      </w:r>
      <w:r w:rsidRPr="00563FD4" w:rsidR="00563FD4">
        <w:rPr>
          <w:rFonts w:ascii="Times New Roman" w:eastAsia="Calibri" w:hAnsi="Times New Roman" w:cs="Times New Roman"/>
          <w:sz w:val="24"/>
          <w:szCs w:val="24"/>
        </w:rPr>
        <w:t xml:space="preserve">not persuaded that a directive to address </w:t>
      </w:r>
      <w:r w:rsidR="00D94A85">
        <w:rPr>
          <w:rFonts w:ascii="Times New Roman" w:eastAsia="Calibri" w:hAnsi="Times New Roman" w:cs="Times New Roman"/>
          <w:sz w:val="24"/>
          <w:szCs w:val="24"/>
        </w:rPr>
        <w:t xml:space="preserve">drought </w:t>
      </w:r>
      <w:r w:rsidRPr="00563FD4" w:rsidR="00563FD4">
        <w:rPr>
          <w:rFonts w:ascii="Times New Roman" w:eastAsia="Calibri" w:hAnsi="Times New Roman" w:cs="Times New Roman"/>
          <w:sz w:val="24"/>
          <w:szCs w:val="24"/>
        </w:rPr>
        <w:t xml:space="preserve">events </w:t>
      </w:r>
      <w:r w:rsidR="003C7D32">
        <w:rPr>
          <w:rFonts w:ascii="Times New Roman" w:eastAsia="Calibri" w:hAnsi="Times New Roman" w:cs="Times New Roman"/>
          <w:sz w:val="24"/>
          <w:szCs w:val="24"/>
        </w:rPr>
        <w:t xml:space="preserve">or other extreme events </w:t>
      </w:r>
      <w:r w:rsidRPr="00563FD4" w:rsidR="00563FD4">
        <w:rPr>
          <w:rFonts w:ascii="Times New Roman" w:eastAsia="Calibri" w:hAnsi="Times New Roman" w:cs="Times New Roman"/>
          <w:sz w:val="24"/>
          <w:szCs w:val="24"/>
        </w:rPr>
        <w:t>in the new or modified Reliability Standard is warranted at this time</w:t>
      </w:r>
      <w:r w:rsidR="00142488">
        <w:rPr>
          <w:rFonts w:ascii="Times New Roman" w:eastAsia="Calibri" w:hAnsi="Times New Roman" w:cs="Times New Roman"/>
          <w:sz w:val="24"/>
          <w:szCs w:val="24"/>
        </w:rPr>
        <w:t xml:space="preserve">, in large part because </w:t>
      </w:r>
      <w:r w:rsidR="001319F2">
        <w:rPr>
          <w:rFonts w:ascii="Times New Roman" w:eastAsia="Calibri" w:hAnsi="Times New Roman" w:cs="Times New Roman"/>
          <w:sz w:val="24"/>
          <w:szCs w:val="24"/>
        </w:rPr>
        <w:t xml:space="preserve">the new or modified </w:t>
      </w:r>
      <w:r w:rsidR="00142488">
        <w:rPr>
          <w:rFonts w:ascii="Times New Roman" w:eastAsia="Calibri" w:hAnsi="Times New Roman" w:cs="Times New Roman"/>
          <w:sz w:val="24"/>
          <w:szCs w:val="24"/>
        </w:rPr>
        <w:t xml:space="preserve">Reliability Standard is not necessarily the best vehicle to </w:t>
      </w:r>
      <w:r w:rsidR="003C7D32">
        <w:rPr>
          <w:rFonts w:ascii="Times New Roman" w:eastAsia="Calibri" w:hAnsi="Times New Roman" w:cs="Times New Roman"/>
          <w:sz w:val="24"/>
          <w:szCs w:val="24"/>
        </w:rPr>
        <w:t xml:space="preserve">address other extreme events.  </w:t>
      </w:r>
      <w:r w:rsidR="00A03C76">
        <w:rPr>
          <w:rFonts w:ascii="Times New Roman" w:eastAsia="Calibri" w:hAnsi="Times New Roman" w:cs="Times New Roman"/>
          <w:sz w:val="24"/>
          <w:szCs w:val="24"/>
        </w:rPr>
        <w:t>E</w:t>
      </w:r>
      <w:r w:rsidRPr="002F1893" w:rsidR="002F1893">
        <w:rPr>
          <w:rFonts w:ascii="Times New Roman" w:eastAsia="Calibri" w:hAnsi="Times New Roman" w:cs="Times New Roman"/>
          <w:sz w:val="24"/>
          <w:szCs w:val="24"/>
        </w:rPr>
        <w:t>xtreme heat and cold events generally affect large geographic areas, while other extreme weather and adjacent events such as tornadoes, hurricanes, storms, floods, and wildfires tend to have more localized impacts.</w:t>
      </w:r>
    </w:p>
    <w:p w:rsidR="000C0296" w:rsidP="000C0296" w14:paraId="5DBC4B6B" w14:textId="77777777">
      <w:pPr>
        <w:pStyle w:val="ListParagraph"/>
        <w:spacing w:after="0" w:line="240" w:lineRule="auto"/>
        <w:rPr>
          <w:rFonts w:ascii="Times New Roman" w:eastAsia="Calibri" w:hAnsi="Times New Roman" w:cs="Times New Roman"/>
          <w:sz w:val="24"/>
          <w:szCs w:val="24"/>
        </w:rPr>
      </w:pPr>
    </w:p>
    <w:p w:rsidR="00F6717B" w:rsidRPr="000C0296" w:rsidP="000C0296" w14:paraId="22DEBABE" w14:textId="3D63E6E2">
      <w:pPr>
        <w:pStyle w:val="ListParagraph"/>
        <w:numPr>
          <w:ilvl w:val="0"/>
          <w:numId w:val="1"/>
        </w:numPr>
        <w:spacing w:after="0" w:line="240" w:lineRule="auto"/>
        <w:ind w:left="360"/>
        <w:rPr>
          <w:rFonts w:ascii="Times New Roman" w:eastAsia="Calibri" w:hAnsi="Times New Roman" w:cs="Times New Roman"/>
          <w:sz w:val="24"/>
          <w:szCs w:val="24"/>
        </w:rPr>
      </w:pPr>
      <w:r w:rsidRPr="000C0296">
        <w:rPr>
          <w:rFonts w:ascii="Times New Roman" w:eastAsia="Calibri" w:hAnsi="Times New Roman" w:cs="Times New Roman"/>
          <w:b/>
          <w:bCs/>
          <w:sz w:val="24"/>
          <w:szCs w:val="24"/>
        </w:rPr>
        <w:t>EXPLAIN ANY PAYMENT OR GIFTS TO RESPONDENTS</w:t>
      </w:r>
    </w:p>
    <w:p w:rsidR="00F6717B" w:rsidRPr="00682AFB" w:rsidP="00F6717B" w14:paraId="55AEC458" w14:textId="77777777">
      <w:pPr>
        <w:spacing w:after="0" w:line="240" w:lineRule="auto"/>
        <w:rPr>
          <w:rFonts w:ascii="Times New Roman" w:eastAsia="Calibri" w:hAnsi="Times New Roman" w:cs="Times New Roman"/>
          <w:b/>
          <w:bCs/>
          <w:sz w:val="24"/>
          <w:szCs w:val="24"/>
        </w:rPr>
      </w:pPr>
    </w:p>
    <w:p w:rsidR="000C0296" w:rsidP="000C0296" w14:paraId="1C7D7260" w14:textId="77777777">
      <w:pPr>
        <w:spacing w:after="0" w:line="240" w:lineRule="auto"/>
        <w:rPr>
          <w:rFonts w:ascii="Times New Roman" w:eastAsia="Calibri" w:hAnsi="Times New Roman" w:cs="Times New Roman"/>
          <w:sz w:val="24"/>
          <w:szCs w:val="24"/>
        </w:rPr>
      </w:pPr>
      <w:r w:rsidRPr="00682AFB">
        <w:rPr>
          <w:rFonts w:ascii="Times New Roman" w:eastAsia="Calibri" w:hAnsi="Times New Roman" w:cs="Times New Roman"/>
          <w:sz w:val="24"/>
          <w:szCs w:val="24"/>
        </w:rPr>
        <w:t xml:space="preserve">The Commission </w:t>
      </w:r>
      <w:r w:rsidRPr="00682AFB" w:rsidR="00A76895">
        <w:rPr>
          <w:rFonts w:ascii="Times New Roman" w:eastAsia="Calibri" w:hAnsi="Times New Roman" w:cs="Times New Roman"/>
          <w:sz w:val="24"/>
          <w:szCs w:val="24"/>
        </w:rPr>
        <w:t xml:space="preserve">does not </w:t>
      </w:r>
      <w:r w:rsidRPr="00682AFB">
        <w:rPr>
          <w:rFonts w:ascii="Times New Roman" w:eastAsia="Calibri" w:hAnsi="Times New Roman" w:cs="Times New Roman"/>
          <w:sz w:val="24"/>
          <w:szCs w:val="24"/>
        </w:rPr>
        <w:t xml:space="preserve">make payments or </w:t>
      </w:r>
      <w:r w:rsidRPr="00682AFB" w:rsidR="00A76895">
        <w:rPr>
          <w:rFonts w:ascii="Times New Roman" w:eastAsia="Calibri" w:hAnsi="Times New Roman" w:cs="Times New Roman"/>
          <w:sz w:val="24"/>
          <w:szCs w:val="24"/>
        </w:rPr>
        <w:t xml:space="preserve">provide </w:t>
      </w:r>
      <w:r w:rsidRPr="00682AFB">
        <w:rPr>
          <w:rFonts w:ascii="Times New Roman" w:eastAsia="Calibri" w:hAnsi="Times New Roman" w:cs="Times New Roman"/>
          <w:sz w:val="24"/>
          <w:szCs w:val="24"/>
        </w:rPr>
        <w:t xml:space="preserve">gifts to respondents </w:t>
      </w:r>
      <w:r w:rsidRPr="00682AFB" w:rsidR="00A76895">
        <w:rPr>
          <w:rFonts w:ascii="Times New Roman" w:eastAsia="Calibri" w:hAnsi="Times New Roman" w:cs="Times New Roman"/>
          <w:sz w:val="24"/>
          <w:szCs w:val="24"/>
        </w:rPr>
        <w:t>related to this collection.</w:t>
      </w:r>
    </w:p>
    <w:p w:rsidR="000C0296" w:rsidP="000C0296" w14:paraId="05D78C1A" w14:textId="77777777">
      <w:pPr>
        <w:spacing w:after="0" w:line="240" w:lineRule="auto"/>
        <w:rPr>
          <w:rFonts w:ascii="Times New Roman" w:eastAsia="Calibri" w:hAnsi="Times New Roman" w:cs="Times New Roman"/>
          <w:sz w:val="24"/>
          <w:szCs w:val="24"/>
        </w:rPr>
      </w:pPr>
    </w:p>
    <w:p w:rsidR="00F6717B" w:rsidRPr="000C0296" w:rsidP="000C0296" w14:paraId="77A4F3FA" w14:textId="1D5699F8">
      <w:pPr>
        <w:pStyle w:val="ListParagraph"/>
        <w:numPr>
          <w:ilvl w:val="0"/>
          <w:numId w:val="1"/>
        </w:numPr>
        <w:spacing w:after="0" w:line="240" w:lineRule="auto"/>
        <w:ind w:left="360"/>
        <w:rPr>
          <w:rFonts w:ascii="Times New Roman" w:eastAsia="Calibri" w:hAnsi="Times New Roman" w:cs="Times New Roman"/>
          <w:sz w:val="24"/>
          <w:szCs w:val="24"/>
        </w:rPr>
      </w:pPr>
      <w:r w:rsidRPr="000C0296">
        <w:rPr>
          <w:rFonts w:ascii="Times New Roman" w:eastAsia="Calibri" w:hAnsi="Times New Roman" w:cs="Times New Roman"/>
          <w:b/>
          <w:bCs/>
          <w:sz w:val="24"/>
          <w:szCs w:val="24"/>
        </w:rPr>
        <w:t>DESCRIBE ANY ASSURANCE OF CONFIDENTIALITY PROVIDED TO RESPONDENTS</w:t>
      </w:r>
    </w:p>
    <w:p w:rsidR="00F6717B" w:rsidRPr="00682AFB" w:rsidP="00F6717B" w14:paraId="0E30B436" w14:textId="77777777">
      <w:pPr>
        <w:spacing w:after="0" w:line="240" w:lineRule="auto"/>
        <w:rPr>
          <w:rFonts w:ascii="Times New Roman" w:eastAsia="Calibri" w:hAnsi="Times New Roman" w:cs="Times New Roman"/>
          <w:b/>
          <w:bCs/>
          <w:sz w:val="24"/>
          <w:szCs w:val="24"/>
        </w:rPr>
      </w:pPr>
    </w:p>
    <w:p w:rsidR="001B2C9E" w:rsidRPr="001B2C9E" w:rsidP="001B2C9E" w14:paraId="127E7B7F" w14:textId="07CE87B2">
      <w:pPr>
        <w:widowControl w:val="0"/>
        <w:autoSpaceDE w:val="0"/>
        <w:autoSpaceDN w:val="0"/>
        <w:adjustRightInd w:val="0"/>
        <w:spacing w:after="0" w:line="240" w:lineRule="auto"/>
        <w:rPr>
          <w:rFonts w:ascii="Times New Roman" w:eastAsia="Times New Roman" w:hAnsi="Times New Roman" w:cs="Times New Roman"/>
          <w:sz w:val="24"/>
          <w:szCs w:val="24"/>
        </w:rPr>
      </w:pPr>
      <w:r w:rsidRPr="008B4546">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fter completion of the </w:t>
      </w:r>
      <w:r w:rsidRPr="008B4546">
        <w:rPr>
          <w:rFonts w:ascii="Times New Roman" w:eastAsia="Times New Roman" w:hAnsi="Times New Roman" w:cs="Times New Roman"/>
          <w:sz w:val="24"/>
          <w:szCs w:val="24"/>
        </w:rPr>
        <w:t xml:space="preserve">standards development and approval process, NERC will submit the proposed standard to the Commission for review and approval, </w:t>
      </w:r>
      <w:r>
        <w:rPr>
          <w:rFonts w:ascii="Times New Roman" w:eastAsia="Times New Roman" w:hAnsi="Times New Roman" w:cs="Times New Roman"/>
          <w:sz w:val="24"/>
          <w:szCs w:val="24"/>
        </w:rPr>
        <w:t xml:space="preserve">a submittal which is </w:t>
      </w:r>
      <w:r w:rsidRPr="008B4546">
        <w:rPr>
          <w:rFonts w:ascii="Times New Roman" w:eastAsia="Times New Roman" w:hAnsi="Times New Roman" w:cs="Times New Roman"/>
          <w:sz w:val="24"/>
          <w:szCs w:val="24"/>
        </w:rPr>
        <w:t>normally publicly available.</w:t>
      </w:r>
      <w:r w:rsidR="009570DA">
        <w:rPr>
          <w:rFonts w:ascii="Times New Roman" w:eastAsia="Times New Roman" w:hAnsi="Times New Roman" w:cs="Times New Roman"/>
          <w:sz w:val="24"/>
          <w:szCs w:val="24"/>
        </w:rPr>
        <w:t xml:space="preserve">  </w:t>
      </w:r>
      <w:r w:rsidRPr="001B2C9E">
        <w:rPr>
          <w:rFonts w:ascii="Times New Roman" w:eastAsia="Times New Roman" w:hAnsi="Times New Roman" w:cs="Times New Roman"/>
          <w:sz w:val="24"/>
          <w:szCs w:val="24"/>
        </w:rPr>
        <w:t xml:space="preserve">The Commission generally does not consider the </w:t>
      </w:r>
      <w:r w:rsidR="0023519E">
        <w:rPr>
          <w:rFonts w:ascii="Times New Roman" w:eastAsia="Times New Roman" w:hAnsi="Times New Roman" w:cs="Times New Roman"/>
          <w:sz w:val="24"/>
          <w:szCs w:val="24"/>
        </w:rPr>
        <w:t>proposed standard which NERC is being required to develop or modify</w:t>
      </w:r>
      <w:r w:rsidRPr="001B2C9E" w:rsidR="0023519E">
        <w:rPr>
          <w:rFonts w:ascii="Times New Roman" w:eastAsia="Times New Roman" w:hAnsi="Times New Roman" w:cs="Times New Roman"/>
          <w:sz w:val="24"/>
          <w:szCs w:val="24"/>
        </w:rPr>
        <w:t xml:space="preserve"> </w:t>
      </w:r>
      <w:r w:rsidRPr="001B2C9E">
        <w:rPr>
          <w:rFonts w:ascii="Times New Roman" w:eastAsia="Times New Roman" w:hAnsi="Times New Roman" w:cs="Times New Roman"/>
          <w:sz w:val="24"/>
          <w:szCs w:val="24"/>
        </w:rPr>
        <w:t xml:space="preserve">to be confidential. However, certain actions have confidentiality provisions which prevent the disclosure of information relating to enforcement actions and critical energy infrastructure information.  </w:t>
      </w:r>
      <w:r w:rsidR="009570DA">
        <w:rPr>
          <w:rFonts w:ascii="Times New Roman" w:eastAsia="Times New Roman" w:hAnsi="Times New Roman" w:cs="Times New Roman"/>
          <w:sz w:val="24"/>
          <w:szCs w:val="24"/>
        </w:rPr>
        <w:t xml:space="preserve">Any person seeking to </w:t>
      </w:r>
      <w:r w:rsidRPr="001B2C9E">
        <w:rPr>
          <w:rFonts w:ascii="Times New Roman" w:eastAsia="Times New Roman" w:hAnsi="Times New Roman" w:cs="Times New Roman"/>
          <w:sz w:val="24"/>
          <w:szCs w:val="24"/>
        </w:rPr>
        <w:t>prevent disclosure of confidential information</w:t>
      </w:r>
      <w:r w:rsidR="009570DA">
        <w:rPr>
          <w:rFonts w:ascii="Times New Roman" w:eastAsia="Times New Roman" w:hAnsi="Times New Roman" w:cs="Times New Roman"/>
          <w:sz w:val="24"/>
          <w:szCs w:val="24"/>
        </w:rPr>
        <w:t xml:space="preserve"> may invoke </w:t>
      </w:r>
      <w:r w:rsidRPr="001B2C9E">
        <w:rPr>
          <w:rFonts w:ascii="Times New Roman" w:eastAsia="Times New Roman" w:hAnsi="Times New Roman" w:cs="Times New Roman"/>
          <w:sz w:val="24"/>
          <w:szCs w:val="24"/>
        </w:rPr>
        <w:t>18 CFR 388.112.</w:t>
      </w:r>
    </w:p>
    <w:p w:rsidR="001B2C9E" w:rsidRPr="001B2C9E" w:rsidP="001B2C9E" w14:paraId="19547841"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1B2C9E" w:rsidRPr="001B2C9E" w:rsidP="001B2C9E" w14:paraId="5896032B" w14:textId="7DD0B51D">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regulation at </w:t>
      </w:r>
      <w:r w:rsidRPr="001B2C9E">
        <w:rPr>
          <w:rFonts w:ascii="Times New Roman" w:eastAsia="Times New Roman" w:hAnsi="Times New Roman" w:cs="Times New Roman"/>
          <w:sz w:val="24"/>
          <w:szCs w:val="24"/>
        </w:rPr>
        <w:t xml:space="preserve">18 C.F.R. 388.112 provides that “any person submitting a document to the Commission may request privileged treatment by claiming that some or all of the information contained in a particular document is exempt from the mandatory public disclosure requirements of the Freedom of Information Act, 5 U.S.C. 552, and should be withheld from public disclosure.” </w:t>
      </w:r>
    </w:p>
    <w:p w:rsidR="001B2C9E" w:rsidRPr="001B2C9E" w:rsidP="001B2C9E" w14:paraId="0E04733F" w14:textId="77777777">
      <w:pPr>
        <w:widowControl w:val="0"/>
        <w:autoSpaceDE w:val="0"/>
        <w:autoSpaceDN w:val="0"/>
        <w:adjustRightInd w:val="0"/>
        <w:spacing w:after="0" w:line="240" w:lineRule="auto"/>
        <w:rPr>
          <w:rFonts w:ascii="Times New Roman" w:eastAsia="Times New Roman" w:hAnsi="Times New Roman" w:cs="Times New Roman"/>
          <w:sz w:val="24"/>
          <w:szCs w:val="24"/>
        </w:rPr>
      </w:pPr>
    </w:p>
    <w:p w:rsidR="000C0296" w:rsidP="000C0296" w14:paraId="76C5C649" w14:textId="77777777">
      <w:p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In addition, </w:t>
      </w:r>
      <w:r w:rsidRPr="001B2C9E" w:rsidR="001B2C9E">
        <w:rPr>
          <w:rFonts w:ascii="Times New Roman" w:eastAsia="Times New Roman" w:hAnsi="Times New Roman" w:cs="Times New Roman"/>
          <w:sz w:val="24"/>
          <w:szCs w:val="24"/>
        </w:rPr>
        <w:t>18 CFR 388.113 of the Commission’s rules and regulations governs access to critical energy infrastructure information (CEII).  Under 18 CFR § 388.113(b), the Commission may restrict access to previously filed documents as well as Commission-generated documents which contain CEII information</w:t>
      </w:r>
      <w:r w:rsidR="001D5C9F">
        <w:rPr>
          <w:rFonts w:ascii="Times New Roman" w:eastAsia="Times New Roman" w:hAnsi="Times New Roman" w:cs="Times New Roman"/>
          <w:sz w:val="24"/>
          <w:szCs w:val="24"/>
        </w:rPr>
        <w:t>.</w:t>
      </w:r>
    </w:p>
    <w:p w:rsidR="000C0296" w:rsidP="000C0296" w14:paraId="7B98977D" w14:textId="77777777">
      <w:pPr>
        <w:spacing w:after="0" w:line="240" w:lineRule="auto"/>
        <w:rPr>
          <w:rFonts w:ascii="Times New Roman" w:eastAsia="Calibri" w:hAnsi="Times New Roman" w:cs="Times New Roman"/>
          <w:sz w:val="24"/>
          <w:szCs w:val="24"/>
        </w:rPr>
      </w:pPr>
    </w:p>
    <w:p w:rsidR="00F6717B" w:rsidRPr="000C0296" w:rsidP="000C0296" w14:paraId="1B378554" w14:textId="096EAD32">
      <w:pPr>
        <w:pStyle w:val="ListParagraph"/>
        <w:numPr>
          <w:ilvl w:val="0"/>
          <w:numId w:val="1"/>
        </w:numPr>
        <w:spacing w:after="0" w:line="240" w:lineRule="auto"/>
        <w:ind w:left="360"/>
        <w:rPr>
          <w:rFonts w:ascii="Times New Roman" w:eastAsia="Calibri" w:hAnsi="Times New Roman" w:cs="Times New Roman"/>
          <w:sz w:val="24"/>
          <w:szCs w:val="24"/>
        </w:rPr>
      </w:pPr>
      <w:r w:rsidRPr="000C0296">
        <w:rPr>
          <w:rFonts w:ascii="Times New Roman" w:eastAsia="Calibri" w:hAnsi="Times New Roman" w:cs="Times New Roman"/>
          <w:b/>
          <w:bCs/>
          <w:sz w:val="24"/>
          <w:szCs w:val="24"/>
        </w:rPr>
        <w:t>PROVIDE ADDITIONAL JUSTIFICATION FOR ANY QUESTIONS OF A SENSITIVE NATURE, SUCH AS SEXUAL BEHAVIOR AND ATTITUDES, RELIGIOUS BELIEFS, AND OTHER MATTERS THAT ARE COMMONLY CONSIDERED PRIVATE</w:t>
      </w:r>
    </w:p>
    <w:p w:rsidR="009570DA" w:rsidP="009570DA" w14:paraId="19045C3B" w14:textId="77777777">
      <w:pPr>
        <w:spacing w:after="0" w:line="240" w:lineRule="auto"/>
        <w:rPr>
          <w:rFonts w:ascii="Times New Roman" w:eastAsia="Calibri" w:hAnsi="Times New Roman" w:cs="Times New Roman"/>
          <w:sz w:val="24"/>
          <w:szCs w:val="24"/>
        </w:rPr>
      </w:pPr>
    </w:p>
    <w:p w:rsidR="000C0296" w:rsidP="000C0296" w14:paraId="17A36F7B" w14:textId="77777777">
      <w:pPr>
        <w:spacing w:after="200" w:line="240" w:lineRule="auto"/>
        <w:rPr>
          <w:rFonts w:ascii="Times New Roman" w:eastAsia="Calibri" w:hAnsi="Times New Roman" w:cs="Times New Roman"/>
          <w:sz w:val="24"/>
          <w:szCs w:val="24"/>
        </w:rPr>
      </w:pPr>
      <w:r w:rsidRPr="00682AFB">
        <w:rPr>
          <w:rFonts w:ascii="Times New Roman" w:eastAsia="Calibri" w:hAnsi="Times New Roman" w:cs="Times New Roman"/>
          <w:sz w:val="24"/>
          <w:szCs w:val="24"/>
        </w:rPr>
        <w:t>This collection does not contain any questions of a sensitive nature</w:t>
      </w:r>
      <w:r>
        <w:rPr>
          <w:rFonts w:ascii="Times New Roman" w:eastAsia="Calibri" w:hAnsi="Times New Roman" w:cs="Times New Roman"/>
          <w:sz w:val="24"/>
          <w:szCs w:val="24"/>
        </w:rPr>
        <w:t>.</w:t>
      </w:r>
    </w:p>
    <w:p w:rsidR="00F6717B" w:rsidRPr="000C0296" w:rsidP="000C0296" w14:paraId="2965F9DD" w14:textId="44536D7C">
      <w:pPr>
        <w:pStyle w:val="ListParagraph"/>
        <w:numPr>
          <w:ilvl w:val="0"/>
          <w:numId w:val="1"/>
        </w:numPr>
        <w:spacing w:after="0" w:line="240" w:lineRule="auto"/>
        <w:ind w:left="360"/>
        <w:rPr>
          <w:rFonts w:ascii="Times New Roman" w:eastAsia="Calibri" w:hAnsi="Times New Roman" w:cs="Times New Roman"/>
          <w:sz w:val="24"/>
          <w:szCs w:val="24"/>
        </w:rPr>
      </w:pPr>
      <w:r w:rsidRPr="000C0296">
        <w:rPr>
          <w:rFonts w:ascii="Times New Roman" w:hAnsi="Times New Roman" w:cs="Times New Roman"/>
          <w:b/>
          <w:bCs/>
          <w:sz w:val="24"/>
          <w:szCs w:val="24"/>
        </w:rPr>
        <w:t>ESTIMATED BURDEN OF COLLECTION OF INFORMATION</w:t>
      </w:r>
    </w:p>
    <w:p w:rsidR="00F6717B" w:rsidRPr="00354422" w:rsidP="00F6717B" w14:paraId="482F5359" w14:textId="77777777">
      <w:pPr>
        <w:widowControl w:val="0"/>
        <w:autoSpaceDE w:val="0"/>
        <w:autoSpaceDN w:val="0"/>
        <w:adjustRightInd w:val="0"/>
        <w:spacing w:after="0" w:line="240" w:lineRule="auto"/>
        <w:ind w:left="360"/>
        <w:rPr>
          <w:rFonts w:ascii="Times New Roman" w:hAnsi="Times New Roman" w:cs="Times New Roman"/>
          <w:sz w:val="24"/>
          <w:szCs w:val="24"/>
        </w:rPr>
      </w:pPr>
    </w:p>
    <w:p w:rsidR="006C685F" w:rsidP="00F6717B" w14:paraId="5A9D62C9" w14:textId="5C7FCF15">
      <w:pPr>
        <w:pStyle w:val="FERCparanumber"/>
        <w:numPr>
          <w:ilvl w:val="0"/>
          <w:numId w:val="0"/>
        </w:numPr>
        <w:tabs>
          <w:tab w:val="left" w:pos="720"/>
        </w:tabs>
        <w:rPr>
          <w:rFonts w:ascii="Times New Roman" w:hAnsi="Times New Roman" w:cs="Times New Roman"/>
        </w:rPr>
      </w:pPr>
      <w:r w:rsidRPr="00480BA2">
        <w:rPr>
          <w:rFonts w:ascii="Times New Roman" w:hAnsi="Times New Roman" w:cs="Times New Roman"/>
        </w:rPr>
        <w:t>The Commission estimates the annual reporting burden</w:t>
      </w:r>
      <w:r>
        <w:rPr>
          <w:rStyle w:val="FootnoteReference"/>
          <w:rFonts w:ascii="Times New Roman" w:hAnsi="Times New Roman" w:cs="Times New Roman"/>
          <w:sz w:val="26"/>
          <w:vertAlign w:val="superscript"/>
        </w:rPr>
        <w:footnoteReference w:id="4"/>
      </w:r>
      <w:r w:rsidRPr="00480BA2">
        <w:rPr>
          <w:rFonts w:ascii="Times New Roman" w:hAnsi="Times New Roman" w:cs="Times New Roman"/>
        </w:rPr>
        <w:t xml:space="preserve"> and cost</w:t>
      </w:r>
      <w:r>
        <w:rPr>
          <w:rStyle w:val="FootnoteReference"/>
          <w:rFonts w:ascii="Times New Roman" w:hAnsi="Times New Roman" w:cs="Times New Roman"/>
          <w:sz w:val="26"/>
          <w:vertAlign w:val="superscript"/>
        </w:rPr>
        <w:footnoteReference w:id="5"/>
      </w:r>
      <w:r w:rsidRPr="00480BA2">
        <w:rPr>
          <w:rFonts w:ascii="Times New Roman" w:hAnsi="Times New Roman" w:cs="Times New Roman"/>
        </w:rPr>
        <w:t xml:space="preserve"> </w:t>
      </w:r>
      <w:r>
        <w:rPr>
          <w:rFonts w:ascii="Times New Roman" w:hAnsi="Times New Roman" w:cs="Times New Roman"/>
        </w:rPr>
        <w:t xml:space="preserve">due to Docket No. RM22-10-000 </w:t>
      </w:r>
      <w:r w:rsidRPr="00480BA2">
        <w:rPr>
          <w:rFonts w:ascii="Times New Roman" w:hAnsi="Times New Roman" w:cs="Times New Roman"/>
        </w:rPr>
        <w:t xml:space="preserve">to be </w:t>
      </w:r>
      <w:r w:rsidR="00CE2D35">
        <w:rPr>
          <w:rFonts w:ascii="Times New Roman" w:hAnsi="Times New Roman" w:cs="Times New Roman"/>
        </w:rPr>
        <w:t xml:space="preserve">identical to </w:t>
      </w:r>
      <w:r w:rsidR="00982F4F">
        <w:rPr>
          <w:rFonts w:ascii="Times New Roman" w:hAnsi="Times New Roman" w:cs="Times New Roman"/>
        </w:rPr>
        <w:t xml:space="preserve">those </w:t>
      </w:r>
      <w:r w:rsidR="00F20017">
        <w:rPr>
          <w:rFonts w:ascii="Times New Roman" w:hAnsi="Times New Roman" w:cs="Times New Roman"/>
        </w:rPr>
        <w:t xml:space="preserve">approved by OMB in the year 2022 for </w:t>
      </w:r>
      <w:r w:rsidR="00982F4F">
        <w:rPr>
          <w:rFonts w:ascii="Times New Roman" w:hAnsi="Times New Roman" w:cs="Times New Roman"/>
        </w:rPr>
        <w:t xml:space="preserve">FERC-725 for the </w:t>
      </w:r>
      <w:r>
        <w:rPr>
          <w:rFonts w:ascii="Times New Roman" w:hAnsi="Times New Roman" w:cs="Times New Roman"/>
        </w:rPr>
        <w:t xml:space="preserve">“Standards Development” activity by the ERO (i.e., NERC).  The renewal request approved by OMB in 2022 </w:t>
      </w:r>
      <w:r w:rsidR="00692B17">
        <w:rPr>
          <w:rFonts w:ascii="Times New Roman" w:hAnsi="Times New Roman" w:cs="Times New Roman"/>
        </w:rPr>
        <w:t xml:space="preserve">included </w:t>
      </w:r>
      <w:r>
        <w:rPr>
          <w:rFonts w:ascii="Times New Roman" w:hAnsi="Times New Roman" w:cs="Times New Roman"/>
        </w:rPr>
        <w:t xml:space="preserve">the following </w:t>
      </w:r>
      <w:r w:rsidR="00A96677">
        <w:rPr>
          <w:rFonts w:ascii="Times New Roman" w:hAnsi="Times New Roman" w:cs="Times New Roman"/>
        </w:rPr>
        <w:t xml:space="preserve">annual </w:t>
      </w:r>
      <w:r>
        <w:rPr>
          <w:rFonts w:ascii="Times New Roman" w:hAnsi="Times New Roman" w:cs="Times New Roman"/>
        </w:rPr>
        <w:t>burdens for that activity</w:t>
      </w:r>
      <w:r w:rsidR="002D794B">
        <w:rPr>
          <w:rFonts w:ascii="Times New Roman" w:hAnsi="Times New Roman" w:cs="Times New Roman"/>
        </w:rPr>
        <w:t xml:space="preserve">: </w:t>
      </w:r>
      <w:r w:rsidR="00D86CF5">
        <w:rPr>
          <w:rFonts w:ascii="Times New Roman" w:hAnsi="Times New Roman" w:cs="Times New Roman"/>
        </w:rPr>
        <w:t>1 response</w:t>
      </w:r>
      <w:r w:rsidR="00A96677">
        <w:rPr>
          <w:rFonts w:ascii="Times New Roman" w:hAnsi="Times New Roman" w:cs="Times New Roman"/>
        </w:rPr>
        <w:t xml:space="preserve">, </w:t>
      </w:r>
      <w:r w:rsidR="004D5950">
        <w:rPr>
          <w:rFonts w:ascii="Times New Roman" w:hAnsi="Times New Roman" w:cs="Times New Roman"/>
        </w:rPr>
        <w:t>20,800 hours, and $1,734,720 in labor-related costs.</w:t>
      </w:r>
      <w:r w:rsidR="002D794B">
        <w:rPr>
          <w:rFonts w:ascii="Times New Roman" w:hAnsi="Times New Roman" w:cs="Times New Roman"/>
        </w:rPr>
        <w:t xml:space="preserve"> </w:t>
      </w:r>
      <w:r w:rsidR="0057761C">
        <w:rPr>
          <w:rFonts w:ascii="Times New Roman" w:hAnsi="Times New Roman" w:cs="Times New Roman"/>
        </w:rPr>
        <w:t>In addition, all of the remaining burdens approved in the year 2022 remain unchanged</w:t>
      </w:r>
      <w:r w:rsidR="00F62580">
        <w:rPr>
          <w:rFonts w:ascii="Times New Roman" w:hAnsi="Times New Roman" w:cs="Times New Roman"/>
        </w:rPr>
        <w:t>, as shown in the following table.</w:t>
      </w:r>
    </w:p>
    <w:p w:rsidR="00526AFA" w:rsidP="00F6717B" w14:paraId="4E70FB01" w14:textId="77777777">
      <w:pPr>
        <w:pStyle w:val="FERCparanumber"/>
        <w:numPr>
          <w:ilvl w:val="0"/>
          <w:numId w:val="0"/>
        </w:numPr>
        <w:tabs>
          <w:tab w:val="left" w:pos="720"/>
        </w:tabs>
        <w:rPr>
          <w:rFonts w:ascii="Times New Roman" w:hAnsi="Times New Roman" w:cs="Times New Roman"/>
        </w:rPr>
      </w:pPr>
    </w:p>
    <w:tbl>
      <w:tblPr>
        <w:tblpPr w:leftFromText="180" w:rightFromText="180" w:vertAnchor="text" w:horzAnchor="margin" w:tblpX="-707" w:tblpY="229"/>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52"/>
        <w:gridCol w:w="1534"/>
        <w:gridCol w:w="809"/>
        <w:gridCol w:w="1172"/>
        <w:gridCol w:w="1261"/>
        <w:gridCol w:w="1080"/>
        <w:gridCol w:w="1351"/>
        <w:gridCol w:w="1080"/>
        <w:gridCol w:w="1441"/>
      </w:tblGrid>
      <w:tr w14:paraId="38A21A7D" w14:textId="77777777" w:rsidTr="005552FF">
        <w:tblPrEx>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47"/>
        </w:trPr>
        <w:tc>
          <w:tcPr>
            <w:tcW w:w="1098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404D4" w:rsidRPr="00F404D4" w:rsidP="003321A2" w14:paraId="07D95BC4" w14:textId="7F91A363">
            <w:pPr>
              <w:jc w:val="center"/>
              <w:rPr>
                <w:rFonts w:ascii="Times New Roman" w:hAnsi="Times New Roman" w:cs="Times New Roman"/>
                <w:b/>
                <w:sz w:val="18"/>
              </w:rPr>
            </w:pPr>
            <w:r w:rsidRPr="00F404D4">
              <w:rPr>
                <w:rFonts w:ascii="Times New Roman" w:hAnsi="Times New Roman" w:cs="Times New Roman"/>
                <w:b/>
                <w:sz w:val="18"/>
              </w:rPr>
              <w:t>FERC-725,</w:t>
            </w:r>
            <w:r w:rsidRPr="00F404D4">
              <w:rPr>
                <w:rFonts w:ascii="Times New Roman" w:hAnsi="Times New Roman" w:cs="Times New Roman"/>
                <w:sz w:val="18"/>
              </w:rPr>
              <w:t xml:space="preserve"> </w:t>
            </w:r>
            <w:r w:rsidRPr="00F404D4">
              <w:rPr>
                <w:rFonts w:ascii="Times New Roman" w:hAnsi="Times New Roman" w:cs="Times New Roman"/>
                <w:b/>
                <w:sz w:val="18"/>
              </w:rPr>
              <w:t>Certification of Electric Reliability Organization; Procedures for Electric Reliability Standards</w:t>
            </w:r>
          </w:p>
        </w:tc>
      </w:tr>
      <w:tr w14:paraId="598C3F97" w14:textId="77777777" w:rsidTr="005552FF">
        <w:tblPrEx>
          <w:tblW w:w="10980" w:type="dxa"/>
          <w:tblLayout w:type="fixed"/>
          <w:tblLook w:val="01E0"/>
        </w:tblPrEx>
        <w:trPr>
          <w:trHeight w:val="1250"/>
        </w:trPr>
        <w:tc>
          <w:tcPr>
            <w:tcW w:w="1252"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F404D4" w:rsidRPr="00F404D4" w:rsidP="003321A2" w14:paraId="3DDEEE4C" w14:textId="77777777">
            <w:pPr>
              <w:jc w:val="center"/>
              <w:rPr>
                <w:rFonts w:ascii="Times New Roman" w:hAnsi="Times New Roman" w:cs="Times New Roman"/>
                <w:b/>
                <w:sz w:val="18"/>
              </w:rPr>
            </w:pPr>
            <w:r w:rsidRPr="00F404D4">
              <w:rPr>
                <w:rFonts w:ascii="Times New Roman" w:hAnsi="Times New Roman" w:cs="Times New Roman"/>
                <w:b/>
                <w:sz w:val="18"/>
              </w:rPr>
              <w:t>Type of Respondent</w:t>
            </w:r>
          </w:p>
        </w:tc>
        <w:tc>
          <w:tcPr>
            <w:tcW w:w="1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404D4" w:rsidRPr="00F404D4" w:rsidP="003321A2" w14:paraId="2C68BEFD" w14:textId="77777777">
            <w:pPr>
              <w:jc w:val="center"/>
              <w:rPr>
                <w:rFonts w:ascii="Times New Roman" w:hAnsi="Times New Roman" w:cs="Times New Roman"/>
                <w:b/>
                <w:sz w:val="18"/>
              </w:rPr>
            </w:pPr>
            <w:r w:rsidRPr="00F404D4">
              <w:rPr>
                <w:rFonts w:ascii="Times New Roman" w:hAnsi="Times New Roman" w:cs="Times New Roman"/>
                <w:b/>
                <w:sz w:val="18"/>
              </w:rPr>
              <w:t>Type of Reporting Requirement</w:t>
            </w:r>
          </w:p>
        </w:tc>
        <w:tc>
          <w:tcPr>
            <w:tcW w:w="8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404D4" w:rsidRPr="00F404D4" w:rsidP="003321A2" w14:paraId="4973C088" w14:textId="77777777">
            <w:pPr>
              <w:jc w:val="center"/>
              <w:rPr>
                <w:rFonts w:ascii="Times New Roman" w:hAnsi="Times New Roman" w:cs="Times New Roman"/>
                <w:b/>
                <w:sz w:val="18"/>
              </w:rPr>
            </w:pPr>
            <w:r w:rsidRPr="00F404D4">
              <w:rPr>
                <w:rFonts w:ascii="Times New Roman" w:hAnsi="Times New Roman" w:cs="Times New Roman"/>
                <w:b/>
                <w:sz w:val="18"/>
              </w:rPr>
              <w:t>No. of Respondents</w:t>
            </w:r>
          </w:p>
          <w:p w:rsidR="00F404D4" w:rsidRPr="00F404D4" w:rsidP="003321A2" w14:paraId="78AE0C53" w14:textId="77777777">
            <w:pPr>
              <w:jc w:val="center"/>
              <w:rPr>
                <w:rFonts w:ascii="Times New Roman" w:hAnsi="Times New Roman" w:cs="Times New Roman"/>
                <w:b/>
                <w:sz w:val="18"/>
              </w:rPr>
            </w:pPr>
            <w:r w:rsidRPr="00F404D4">
              <w:rPr>
                <w:rFonts w:ascii="Times New Roman" w:hAnsi="Times New Roman" w:cs="Times New Roman"/>
                <w:b/>
                <w:sz w:val="18"/>
              </w:rPr>
              <w:t>(A)</w:t>
            </w:r>
          </w:p>
        </w:tc>
        <w:tc>
          <w:tcPr>
            <w:tcW w:w="11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404D4" w:rsidRPr="00F404D4" w:rsidP="003321A2" w14:paraId="481BD412" w14:textId="77777777">
            <w:pPr>
              <w:jc w:val="center"/>
              <w:rPr>
                <w:rFonts w:ascii="Times New Roman" w:hAnsi="Times New Roman" w:cs="Times New Roman"/>
                <w:b/>
                <w:sz w:val="18"/>
              </w:rPr>
            </w:pPr>
            <w:r w:rsidRPr="00F404D4">
              <w:rPr>
                <w:rFonts w:ascii="Times New Roman" w:hAnsi="Times New Roman" w:cs="Times New Roman"/>
                <w:b/>
                <w:sz w:val="18"/>
              </w:rPr>
              <w:t>Annual No. of Responses Per Respondent</w:t>
            </w:r>
          </w:p>
          <w:p w:rsidR="00F404D4" w:rsidRPr="00F404D4" w:rsidP="003321A2" w14:paraId="6EA3A38F" w14:textId="77777777">
            <w:pPr>
              <w:jc w:val="center"/>
              <w:rPr>
                <w:rFonts w:ascii="Times New Roman" w:hAnsi="Times New Roman" w:cs="Times New Roman"/>
                <w:b/>
                <w:sz w:val="18"/>
              </w:rPr>
            </w:pPr>
            <w:r w:rsidRPr="00F404D4">
              <w:rPr>
                <w:rFonts w:ascii="Times New Roman" w:hAnsi="Times New Roman" w:cs="Times New Roman"/>
                <w:b/>
                <w:sz w:val="18"/>
              </w:rPr>
              <w:t>(B)</w:t>
            </w:r>
            <w:r>
              <w:rPr>
                <w:rFonts w:ascii="Times New Roman" w:hAnsi="Times New Roman" w:cs="Times New Roman"/>
                <w:sz w:val="18"/>
                <w:vertAlign w:val="superscript"/>
              </w:rPr>
              <w:footnoteReference w:id="6"/>
            </w:r>
          </w:p>
        </w:tc>
        <w:tc>
          <w:tcPr>
            <w:tcW w:w="1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404D4" w:rsidRPr="00F404D4" w:rsidP="003321A2" w14:paraId="16C689CE" w14:textId="77777777">
            <w:pPr>
              <w:jc w:val="center"/>
              <w:rPr>
                <w:rFonts w:ascii="Times New Roman" w:hAnsi="Times New Roman" w:cs="Times New Roman"/>
                <w:b/>
                <w:sz w:val="18"/>
              </w:rPr>
            </w:pPr>
            <w:r w:rsidRPr="00F404D4">
              <w:rPr>
                <w:rFonts w:ascii="Times New Roman" w:hAnsi="Times New Roman" w:cs="Times New Roman"/>
                <w:b/>
                <w:sz w:val="18"/>
              </w:rPr>
              <w:t>Total No. of Responses</w:t>
            </w:r>
          </w:p>
          <w:p w:rsidR="00F404D4" w:rsidRPr="00F404D4" w:rsidP="003321A2" w14:paraId="59A16A31" w14:textId="77777777">
            <w:pPr>
              <w:jc w:val="center"/>
              <w:rPr>
                <w:rFonts w:ascii="Times New Roman" w:hAnsi="Times New Roman" w:cs="Times New Roman"/>
                <w:b/>
                <w:sz w:val="18"/>
              </w:rPr>
            </w:pPr>
            <w:r w:rsidRPr="00F404D4">
              <w:rPr>
                <w:rFonts w:ascii="Times New Roman" w:hAnsi="Times New Roman" w:cs="Times New Roman"/>
                <w:b/>
                <w:sz w:val="18"/>
              </w:rPr>
              <w:t>(A)x(B)=(C)</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404D4" w:rsidRPr="00F404D4" w:rsidP="003321A2" w14:paraId="2073C925" w14:textId="4DEFB424">
            <w:pPr>
              <w:jc w:val="center"/>
              <w:rPr>
                <w:rFonts w:ascii="Times New Roman" w:hAnsi="Times New Roman" w:cs="Times New Roman"/>
                <w:b/>
                <w:sz w:val="18"/>
              </w:rPr>
            </w:pPr>
            <w:r w:rsidRPr="00F404D4">
              <w:rPr>
                <w:rFonts w:ascii="Times New Roman" w:hAnsi="Times New Roman" w:cs="Times New Roman"/>
                <w:b/>
                <w:sz w:val="18"/>
              </w:rPr>
              <w:t>Average Burden Hours</w:t>
            </w:r>
          </w:p>
          <w:p w:rsidR="00F404D4" w:rsidRPr="00F404D4" w:rsidP="003321A2" w14:paraId="14F86723" w14:textId="77777777">
            <w:pPr>
              <w:jc w:val="center"/>
              <w:rPr>
                <w:rFonts w:ascii="Times New Roman" w:hAnsi="Times New Roman" w:cs="Times New Roman"/>
                <w:b/>
                <w:sz w:val="18"/>
              </w:rPr>
            </w:pPr>
            <w:r w:rsidRPr="00F404D4">
              <w:rPr>
                <w:rFonts w:ascii="Times New Roman" w:hAnsi="Times New Roman" w:cs="Times New Roman"/>
                <w:b/>
                <w:sz w:val="18"/>
              </w:rPr>
              <w:t>(D)</w:t>
            </w:r>
          </w:p>
        </w:tc>
        <w:tc>
          <w:tcPr>
            <w:tcW w:w="1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404D4" w:rsidRPr="00F404D4" w:rsidP="003321A2" w14:paraId="18996343" w14:textId="77777777">
            <w:pPr>
              <w:jc w:val="center"/>
              <w:rPr>
                <w:rFonts w:ascii="Times New Roman" w:hAnsi="Times New Roman" w:cs="Times New Roman"/>
                <w:b/>
                <w:sz w:val="18"/>
              </w:rPr>
            </w:pPr>
            <w:r w:rsidRPr="00F404D4">
              <w:rPr>
                <w:rFonts w:ascii="Times New Roman" w:hAnsi="Times New Roman" w:cs="Times New Roman"/>
                <w:b/>
                <w:sz w:val="18"/>
              </w:rPr>
              <w:t>Cost ($) per Response  (Rounded)</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404D4" w:rsidRPr="00F404D4" w:rsidP="003321A2" w14:paraId="4F81C7FF" w14:textId="77777777">
            <w:pPr>
              <w:jc w:val="center"/>
              <w:rPr>
                <w:rFonts w:ascii="Times New Roman" w:hAnsi="Times New Roman" w:cs="Times New Roman"/>
                <w:b/>
                <w:sz w:val="18"/>
              </w:rPr>
            </w:pPr>
            <w:r w:rsidRPr="00F404D4">
              <w:rPr>
                <w:rFonts w:ascii="Times New Roman" w:hAnsi="Times New Roman" w:cs="Times New Roman"/>
                <w:b/>
                <w:sz w:val="18"/>
              </w:rPr>
              <w:t>Estimated Total Annual Burden Hrs. &amp; Cost ($) (rounded)</w:t>
            </w:r>
          </w:p>
          <w:p w:rsidR="00F404D4" w:rsidRPr="00F404D4" w:rsidP="003321A2" w14:paraId="40E2667E" w14:textId="77777777">
            <w:pPr>
              <w:jc w:val="center"/>
              <w:rPr>
                <w:rFonts w:ascii="Times New Roman" w:hAnsi="Times New Roman" w:cs="Times New Roman"/>
                <w:b/>
                <w:sz w:val="18"/>
              </w:rPr>
            </w:pPr>
            <w:r w:rsidRPr="00F404D4">
              <w:rPr>
                <w:rFonts w:ascii="Times New Roman" w:hAnsi="Times New Roman" w:cs="Times New Roman"/>
                <w:b/>
                <w:sz w:val="18"/>
              </w:rPr>
              <w:t>(C)x(D)</w:t>
            </w:r>
          </w:p>
        </w:tc>
        <w:tc>
          <w:tcPr>
            <w:tcW w:w="14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404D4" w:rsidRPr="00F404D4" w:rsidP="003321A2" w14:paraId="4882B5FB" w14:textId="77777777">
            <w:pPr>
              <w:jc w:val="center"/>
              <w:rPr>
                <w:rFonts w:ascii="Times New Roman" w:hAnsi="Times New Roman" w:cs="Times New Roman"/>
                <w:b/>
                <w:sz w:val="18"/>
              </w:rPr>
            </w:pPr>
            <w:r w:rsidRPr="00F404D4">
              <w:rPr>
                <w:rFonts w:ascii="Times New Roman" w:hAnsi="Times New Roman" w:cs="Times New Roman"/>
                <w:b/>
                <w:sz w:val="18"/>
              </w:rPr>
              <w:t>Annual Burden Cost ($) (Rounded)</w:t>
            </w:r>
          </w:p>
        </w:tc>
      </w:tr>
      <w:tr w14:paraId="4B456ED7" w14:textId="77777777" w:rsidTr="005552FF">
        <w:tblPrEx>
          <w:tblW w:w="10980" w:type="dxa"/>
          <w:tblLayout w:type="fixed"/>
          <w:tblLook w:val="01E0"/>
        </w:tblPrEx>
        <w:trPr>
          <w:trHeight w:val="252"/>
        </w:trPr>
        <w:tc>
          <w:tcPr>
            <w:tcW w:w="1252" w:type="dxa"/>
            <w:vMerge w:val="restart"/>
            <w:tcBorders>
              <w:top w:val="single" w:sz="4" w:space="0" w:color="auto"/>
              <w:left w:val="single" w:sz="4" w:space="0" w:color="auto"/>
              <w:bottom w:val="single" w:sz="4" w:space="0" w:color="auto"/>
              <w:right w:val="single" w:sz="4" w:space="0" w:color="auto"/>
            </w:tcBorders>
            <w:hideMark/>
          </w:tcPr>
          <w:p w:rsidR="00F404D4" w:rsidRPr="00F404D4" w:rsidP="00F404D4" w14:paraId="747062C9" w14:textId="77777777">
            <w:pPr>
              <w:rPr>
                <w:rFonts w:ascii="Times New Roman" w:hAnsi="Times New Roman" w:cs="Times New Roman"/>
                <w:sz w:val="18"/>
              </w:rPr>
            </w:pPr>
            <w:r w:rsidRPr="00F404D4">
              <w:rPr>
                <w:rFonts w:ascii="Times New Roman" w:hAnsi="Times New Roman" w:cs="Times New Roman"/>
                <w:sz w:val="18"/>
              </w:rPr>
              <w:t>Electric Reliability Organization (ERO)</w:t>
            </w:r>
          </w:p>
        </w:tc>
        <w:tc>
          <w:tcPr>
            <w:tcW w:w="1534" w:type="dxa"/>
            <w:tcBorders>
              <w:top w:val="single" w:sz="4" w:space="0" w:color="auto"/>
              <w:left w:val="single" w:sz="4" w:space="0" w:color="auto"/>
              <w:bottom w:val="single" w:sz="4" w:space="0" w:color="auto"/>
              <w:right w:val="single" w:sz="4" w:space="0" w:color="auto"/>
            </w:tcBorders>
            <w:hideMark/>
          </w:tcPr>
          <w:p w:rsidR="00F404D4" w:rsidRPr="00F404D4" w:rsidP="00F404D4" w14:paraId="168ABE8B" w14:textId="77777777">
            <w:pPr>
              <w:rPr>
                <w:rFonts w:ascii="Times New Roman" w:hAnsi="Times New Roman" w:cs="Times New Roman"/>
                <w:sz w:val="18"/>
              </w:rPr>
            </w:pPr>
            <w:r w:rsidRPr="00F404D4">
              <w:rPr>
                <w:rFonts w:ascii="Times New Roman" w:hAnsi="Times New Roman" w:cs="Times New Roman"/>
                <w:sz w:val="18"/>
              </w:rPr>
              <w:t>Self-Assessment</w:t>
            </w:r>
          </w:p>
        </w:tc>
        <w:tc>
          <w:tcPr>
            <w:tcW w:w="809" w:type="dxa"/>
            <w:vMerge w:val="restart"/>
            <w:tcBorders>
              <w:top w:val="single" w:sz="4" w:space="0" w:color="auto"/>
              <w:left w:val="single" w:sz="4" w:space="0" w:color="auto"/>
              <w:bottom w:val="single" w:sz="4" w:space="0" w:color="auto"/>
              <w:right w:val="single" w:sz="4" w:space="0" w:color="auto"/>
            </w:tcBorders>
            <w:vAlign w:val="bottom"/>
            <w:hideMark/>
          </w:tcPr>
          <w:p w:rsidR="00F404D4" w:rsidRPr="00F404D4" w:rsidP="00F404D4" w14:paraId="63BCA858" w14:textId="77777777">
            <w:pPr>
              <w:rPr>
                <w:rFonts w:ascii="Times New Roman" w:hAnsi="Times New Roman" w:cs="Times New Roman"/>
                <w:sz w:val="18"/>
              </w:rPr>
            </w:pPr>
            <w:r w:rsidRPr="00F404D4">
              <w:rPr>
                <w:rFonts w:ascii="Times New Roman" w:hAnsi="Times New Roman" w:cs="Times New Roman"/>
                <w:sz w:val="18"/>
              </w:rPr>
              <w:t>1</w:t>
            </w:r>
          </w:p>
        </w:tc>
        <w:tc>
          <w:tcPr>
            <w:tcW w:w="1172"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57932D9B" w14:textId="77777777">
            <w:pPr>
              <w:jc w:val="right"/>
              <w:rPr>
                <w:rFonts w:ascii="Times New Roman" w:hAnsi="Times New Roman" w:cs="Times New Roman"/>
                <w:sz w:val="18"/>
              </w:rPr>
            </w:pPr>
            <w:r w:rsidRPr="00F404D4">
              <w:rPr>
                <w:rFonts w:ascii="Times New Roman" w:hAnsi="Times New Roman" w:cs="Times New Roman"/>
                <w:sz w:val="18"/>
              </w:rPr>
              <w:t>.2</w:t>
            </w:r>
          </w:p>
        </w:tc>
        <w:tc>
          <w:tcPr>
            <w:tcW w:w="1261"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444973E4" w14:textId="77777777">
            <w:pPr>
              <w:jc w:val="right"/>
              <w:rPr>
                <w:rFonts w:ascii="Times New Roman" w:hAnsi="Times New Roman" w:cs="Times New Roman"/>
                <w:sz w:val="18"/>
              </w:rPr>
            </w:pPr>
            <w:r w:rsidRPr="00F404D4">
              <w:rPr>
                <w:rFonts w:ascii="Times New Roman" w:hAnsi="Times New Roman" w:cs="Times New Roman"/>
                <w:sz w:val="18"/>
              </w:rPr>
              <w:t>.2</w:t>
            </w:r>
          </w:p>
        </w:tc>
        <w:tc>
          <w:tcPr>
            <w:tcW w:w="1080"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50EFD0D6" w14:textId="77777777">
            <w:pPr>
              <w:jc w:val="right"/>
              <w:rPr>
                <w:rFonts w:ascii="Times New Roman" w:hAnsi="Times New Roman" w:cs="Times New Roman"/>
                <w:sz w:val="18"/>
              </w:rPr>
            </w:pPr>
            <w:r w:rsidRPr="00F404D4">
              <w:rPr>
                <w:rFonts w:ascii="Times New Roman" w:hAnsi="Times New Roman" w:cs="Times New Roman"/>
                <w:sz w:val="18"/>
              </w:rPr>
              <w:t>4,160 hrs.</w:t>
            </w:r>
          </w:p>
        </w:tc>
        <w:tc>
          <w:tcPr>
            <w:tcW w:w="1351"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1B2B87DF" w14:textId="77777777">
            <w:pPr>
              <w:jc w:val="right"/>
              <w:rPr>
                <w:rFonts w:ascii="Times New Roman" w:hAnsi="Times New Roman" w:cs="Times New Roman"/>
                <w:sz w:val="18"/>
              </w:rPr>
            </w:pPr>
            <w:r w:rsidRPr="00F404D4">
              <w:rPr>
                <w:rFonts w:ascii="Times New Roman" w:hAnsi="Times New Roman" w:cs="Times New Roman"/>
                <w:sz w:val="18"/>
              </w:rPr>
              <w:t>$346,944</w:t>
            </w:r>
          </w:p>
        </w:tc>
        <w:tc>
          <w:tcPr>
            <w:tcW w:w="1080"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70083F97" w14:textId="77777777">
            <w:pPr>
              <w:jc w:val="right"/>
              <w:rPr>
                <w:rFonts w:ascii="Times New Roman" w:hAnsi="Times New Roman" w:cs="Times New Roman"/>
                <w:sz w:val="18"/>
              </w:rPr>
            </w:pPr>
            <w:r w:rsidRPr="00F404D4">
              <w:rPr>
                <w:rFonts w:ascii="Times New Roman" w:hAnsi="Times New Roman" w:cs="Times New Roman"/>
                <w:sz w:val="18"/>
              </w:rPr>
              <w:t>832 hrs.</w:t>
            </w:r>
          </w:p>
        </w:tc>
        <w:tc>
          <w:tcPr>
            <w:tcW w:w="1441"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077C6BEF" w14:textId="77777777">
            <w:pPr>
              <w:jc w:val="right"/>
              <w:rPr>
                <w:rFonts w:ascii="Times New Roman" w:hAnsi="Times New Roman" w:cs="Times New Roman"/>
                <w:sz w:val="18"/>
              </w:rPr>
            </w:pPr>
            <w:r w:rsidRPr="00F404D4">
              <w:rPr>
                <w:rFonts w:ascii="Times New Roman" w:hAnsi="Times New Roman" w:cs="Times New Roman"/>
                <w:sz w:val="18"/>
              </w:rPr>
              <w:t>$69,388.88</w:t>
            </w:r>
          </w:p>
        </w:tc>
      </w:tr>
      <w:tr w14:paraId="775CF5BB" w14:textId="77777777" w:rsidTr="005552FF">
        <w:tblPrEx>
          <w:tblW w:w="10980" w:type="dxa"/>
          <w:tblLayout w:type="fixed"/>
          <w:tblLook w:val="01E0"/>
        </w:tblPrEx>
        <w:trPr>
          <w:trHeight w:val="251"/>
        </w:trPr>
        <w:tc>
          <w:tcPr>
            <w:tcW w:w="1252" w:type="dxa"/>
            <w:vMerge/>
            <w:tcBorders>
              <w:top w:val="single" w:sz="4" w:space="0" w:color="auto"/>
              <w:left w:val="single" w:sz="4" w:space="0" w:color="auto"/>
              <w:bottom w:val="single" w:sz="4" w:space="0" w:color="auto"/>
              <w:right w:val="single" w:sz="4" w:space="0" w:color="auto"/>
            </w:tcBorders>
            <w:vAlign w:val="center"/>
            <w:hideMark/>
          </w:tcPr>
          <w:p w:rsidR="00F404D4" w:rsidRPr="00F404D4" w:rsidP="00F404D4" w14:paraId="41B9FEBB" w14:textId="77777777">
            <w:pPr>
              <w:rPr>
                <w:rFonts w:ascii="Times New Roman" w:hAnsi="Times New Roman" w:cs="Times New Roman"/>
                <w:sz w:val="18"/>
              </w:rPr>
            </w:pPr>
          </w:p>
        </w:tc>
        <w:tc>
          <w:tcPr>
            <w:tcW w:w="1534" w:type="dxa"/>
            <w:tcBorders>
              <w:top w:val="single" w:sz="4" w:space="0" w:color="auto"/>
              <w:left w:val="single" w:sz="4" w:space="0" w:color="auto"/>
              <w:bottom w:val="single" w:sz="4" w:space="0" w:color="auto"/>
              <w:right w:val="single" w:sz="4" w:space="0" w:color="auto"/>
            </w:tcBorders>
            <w:hideMark/>
          </w:tcPr>
          <w:p w:rsidR="00F404D4" w:rsidRPr="00F404D4" w:rsidP="00F404D4" w14:paraId="176E107F" w14:textId="77777777">
            <w:pPr>
              <w:rPr>
                <w:rFonts w:ascii="Times New Roman" w:hAnsi="Times New Roman" w:cs="Times New Roman"/>
                <w:sz w:val="18"/>
              </w:rPr>
            </w:pPr>
            <w:r w:rsidRPr="00F404D4">
              <w:rPr>
                <w:rFonts w:ascii="Times New Roman" w:hAnsi="Times New Roman" w:cs="Times New Roman"/>
                <w:sz w:val="18"/>
              </w:rPr>
              <w:t>Reliability Assessments</w:t>
            </w:r>
          </w:p>
        </w:tc>
        <w:tc>
          <w:tcPr>
            <w:tcW w:w="809" w:type="dxa"/>
            <w:vMerge/>
            <w:tcBorders>
              <w:top w:val="single" w:sz="4" w:space="0" w:color="auto"/>
              <w:left w:val="single" w:sz="4" w:space="0" w:color="auto"/>
              <w:bottom w:val="single" w:sz="4" w:space="0" w:color="auto"/>
              <w:right w:val="single" w:sz="4" w:space="0" w:color="auto"/>
            </w:tcBorders>
            <w:vAlign w:val="center"/>
            <w:hideMark/>
          </w:tcPr>
          <w:p w:rsidR="00F404D4" w:rsidRPr="00F404D4" w:rsidP="00F404D4" w14:paraId="747B9354" w14:textId="77777777">
            <w:pPr>
              <w:rPr>
                <w:rFonts w:ascii="Times New Roman" w:hAnsi="Times New Roman" w:cs="Times New Roman"/>
                <w:sz w:val="18"/>
              </w:rPr>
            </w:pPr>
          </w:p>
        </w:tc>
        <w:tc>
          <w:tcPr>
            <w:tcW w:w="1172"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43CFEA63" w14:textId="77777777">
            <w:pPr>
              <w:jc w:val="right"/>
              <w:rPr>
                <w:rFonts w:ascii="Times New Roman" w:hAnsi="Times New Roman" w:cs="Times New Roman"/>
                <w:sz w:val="18"/>
              </w:rPr>
            </w:pPr>
            <w:r w:rsidRPr="00F404D4">
              <w:rPr>
                <w:rFonts w:ascii="Times New Roman" w:hAnsi="Times New Roman" w:cs="Times New Roman"/>
                <w:sz w:val="18"/>
              </w:rPr>
              <w:t>5.0</w:t>
            </w:r>
          </w:p>
        </w:tc>
        <w:tc>
          <w:tcPr>
            <w:tcW w:w="1261"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1A5FAEF6" w14:textId="77777777">
            <w:pPr>
              <w:jc w:val="right"/>
              <w:rPr>
                <w:rFonts w:ascii="Times New Roman" w:hAnsi="Times New Roman" w:cs="Times New Roman"/>
                <w:sz w:val="18"/>
              </w:rPr>
            </w:pPr>
            <w:r w:rsidRPr="00F404D4">
              <w:rPr>
                <w:rFonts w:ascii="Times New Roman" w:hAnsi="Times New Roman" w:cs="Times New Roman"/>
                <w:sz w:val="18"/>
              </w:rPr>
              <w:t>5.0</w:t>
            </w:r>
          </w:p>
        </w:tc>
        <w:tc>
          <w:tcPr>
            <w:tcW w:w="1080"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63C7C26C" w14:textId="77777777">
            <w:pPr>
              <w:jc w:val="right"/>
              <w:rPr>
                <w:rFonts w:ascii="Times New Roman" w:hAnsi="Times New Roman" w:cs="Times New Roman"/>
                <w:sz w:val="18"/>
              </w:rPr>
            </w:pPr>
            <w:r w:rsidRPr="00F404D4">
              <w:rPr>
                <w:rFonts w:ascii="Times New Roman" w:hAnsi="Times New Roman" w:cs="Times New Roman"/>
                <w:sz w:val="18"/>
              </w:rPr>
              <w:t>10,400 hrs.</w:t>
            </w:r>
          </w:p>
        </w:tc>
        <w:tc>
          <w:tcPr>
            <w:tcW w:w="1351"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017A85C6" w14:textId="77777777">
            <w:pPr>
              <w:jc w:val="right"/>
              <w:rPr>
                <w:rFonts w:ascii="Times New Roman" w:hAnsi="Times New Roman" w:cs="Times New Roman"/>
                <w:sz w:val="18"/>
              </w:rPr>
            </w:pPr>
            <w:r w:rsidRPr="00F404D4">
              <w:rPr>
                <w:rFonts w:ascii="Times New Roman" w:hAnsi="Times New Roman" w:cs="Times New Roman"/>
                <w:sz w:val="18"/>
              </w:rPr>
              <w:t>$867,360</w:t>
            </w:r>
          </w:p>
        </w:tc>
        <w:tc>
          <w:tcPr>
            <w:tcW w:w="1080"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546ABCEB" w14:textId="77777777">
            <w:pPr>
              <w:jc w:val="right"/>
              <w:rPr>
                <w:rFonts w:ascii="Times New Roman" w:hAnsi="Times New Roman" w:cs="Times New Roman"/>
                <w:sz w:val="18"/>
              </w:rPr>
            </w:pPr>
            <w:r w:rsidRPr="00F404D4">
              <w:rPr>
                <w:rFonts w:ascii="Times New Roman" w:hAnsi="Times New Roman" w:cs="Times New Roman"/>
                <w:sz w:val="18"/>
              </w:rPr>
              <w:t>52,000 hrs.</w:t>
            </w:r>
          </w:p>
        </w:tc>
        <w:tc>
          <w:tcPr>
            <w:tcW w:w="1441"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1DDE61DC" w14:textId="77777777">
            <w:pPr>
              <w:jc w:val="right"/>
              <w:rPr>
                <w:rFonts w:ascii="Times New Roman" w:hAnsi="Times New Roman" w:cs="Times New Roman"/>
                <w:sz w:val="18"/>
              </w:rPr>
            </w:pPr>
            <w:r w:rsidRPr="00F404D4">
              <w:rPr>
                <w:rFonts w:ascii="Times New Roman" w:hAnsi="Times New Roman" w:cs="Times New Roman"/>
                <w:sz w:val="18"/>
              </w:rPr>
              <w:t>$4,336,800</w:t>
            </w:r>
          </w:p>
        </w:tc>
      </w:tr>
      <w:tr w14:paraId="2A9B51C4" w14:textId="77777777" w:rsidTr="005552FF">
        <w:tblPrEx>
          <w:tblW w:w="10980" w:type="dxa"/>
          <w:tblLayout w:type="fixed"/>
          <w:tblLook w:val="01E0"/>
        </w:tblPrEx>
        <w:trPr>
          <w:trHeight w:val="251"/>
        </w:trPr>
        <w:tc>
          <w:tcPr>
            <w:tcW w:w="1252" w:type="dxa"/>
            <w:vMerge/>
            <w:tcBorders>
              <w:top w:val="single" w:sz="4" w:space="0" w:color="auto"/>
              <w:left w:val="single" w:sz="4" w:space="0" w:color="auto"/>
              <w:bottom w:val="single" w:sz="4" w:space="0" w:color="auto"/>
              <w:right w:val="single" w:sz="4" w:space="0" w:color="auto"/>
            </w:tcBorders>
            <w:vAlign w:val="center"/>
            <w:hideMark/>
          </w:tcPr>
          <w:p w:rsidR="00F404D4" w:rsidRPr="00F404D4" w:rsidP="00F404D4" w14:paraId="444C0BB5" w14:textId="77777777">
            <w:pPr>
              <w:rPr>
                <w:rFonts w:ascii="Times New Roman" w:hAnsi="Times New Roman" w:cs="Times New Roman"/>
                <w:sz w:val="18"/>
              </w:rPr>
            </w:pPr>
          </w:p>
        </w:tc>
        <w:tc>
          <w:tcPr>
            <w:tcW w:w="1534" w:type="dxa"/>
            <w:tcBorders>
              <w:top w:val="single" w:sz="4" w:space="0" w:color="auto"/>
              <w:left w:val="single" w:sz="4" w:space="0" w:color="auto"/>
              <w:bottom w:val="single" w:sz="4" w:space="0" w:color="auto"/>
              <w:right w:val="single" w:sz="4" w:space="0" w:color="auto"/>
            </w:tcBorders>
            <w:hideMark/>
          </w:tcPr>
          <w:p w:rsidR="00F404D4" w:rsidRPr="00F404D4" w:rsidP="00F404D4" w14:paraId="3469F380" w14:textId="77777777">
            <w:pPr>
              <w:rPr>
                <w:rFonts w:ascii="Times New Roman" w:hAnsi="Times New Roman" w:cs="Times New Roman"/>
                <w:sz w:val="18"/>
              </w:rPr>
            </w:pPr>
            <w:r w:rsidRPr="00F404D4">
              <w:rPr>
                <w:rFonts w:ascii="Times New Roman" w:hAnsi="Times New Roman" w:cs="Times New Roman"/>
                <w:sz w:val="18"/>
              </w:rPr>
              <w:t>Reliability Compliance</w:t>
            </w:r>
          </w:p>
        </w:tc>
        <w:tc>
          <w:tcPr>
            <w:tcW w:w="809" w:type="dxa"/>
            <w:vMerge/>
            <w:tcBorders>
              <w:top w:val="single" w:sz="4" w:space="0" w:color="auto"/>
              <w:left w:val="single" w:sz="4" w:space="0" w:color="auto"/>
              <w:bottom w:val="single" w:sz="4" w:space="0" w:color="auto"/>
              <w:right w:val="single" w:sz="4" w:space="0" w:color="auto"/>
            </w:tcBorders>
            <w:vAlign w:val="center"/>
            <w:hideMark/>
          </w:tcPr>
          <w:p w:rsidR="00F404D4" w:rsidRPr="00F404D4" w:rsidP="00F404D4" w14:paraId="5FAF39AF" w14:textId="77777777">
            <w:pPr>
              <w:rPr>
                <w:rFonts w:ascii="Times New Roman" w:hAnsi="Times New Roman" w:cs="Times New Roman"/>
                <w:sz w:val="18"/>
              </w:rPr>
            </w:pPr>
          </w:p>
        </w:tc>
        <w:tc>
          <w:tcPr>
            <w:tcW w:w="1172"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6044D3A7" w14:textId="77777777">
            <w:pPr>
              <w:jc w:val="right"/>
              <w:rPr>
                <w:rFonts w:ascii="Times New Roman" w:hAnsi="Times New Roman" w:cs="Times New Roman"/>
                <w:sz w:val="18"/>
              </w:rPr>
            </w:pPr>
            <w:r w:rsidRPr="00F404D4">
              <w:rPr>
                <w:rFonts w:ascii="Times New Roman" w:hAnsi="Times New Roman" w:cs="Times New Roman"/>
                <w:sz w:val="18"/>
              </w:rPr>
              <w:t>2</w:t>
            </w:r>
          </w:p>
        </w:tc>
        <w:tc>
          <w:tcPr>
            <w:tcW w:w="1261"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4B7888C8" w14:textId="77777777">
            <w:pPr>
              <w:jc w:val="right"/>
              <w:rPr>
                <w:rFonts w:ascii="Times New Roman" w:hAnsi="Times New Roman" w:cs="Times New Roman"/>
                <w:sz w:val="18"/>
              </w:rPr>
            </w:pPr>
            <w:r w:rsidRPr="00F404D4">
              <w:rPr>
                <w:rFonts w:ascii="Times New Roman" w:hAnsi="Times New Roman" w:cs="Times New Roman"/>
                <w:sz w:val="18"/>
              </w:rPr>
              <w:t>2</w:t>
            </w:r>
          </w:p>
        </w:tc>
        <w:tc>
          <w:tcPr>
            <w:tcW w:w="1080"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6A2435B3" w14:textId="77777777">
            <w:pPr>
              <w:jc w:val="right"/>
              <w:rPr>
                <w:rFonts w:ascii="Times New Roman" w:hAnsi="Times New Roman" w:cs="Times New Roman"/>
                <w:sz w:val="18"/>
              </w:rPr>
            </w:pPr>
            <w:r w:rsidRPr="00F404D4">
              <w:rPr>
                <w:rFonts w:ascii="Times New Roman" w:hAnsi="Times New Roman" w:cs="Times New Roman"/>
                <w:sz w:val="18"/>
              </w:rPr>
              <w:t>17,680 hrs.</w:t>
            </w:r>
          </w:p>
        </w:tc>
        <w:tc>
          <w:tcPr>
            <w:tcW w:w="1351"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0A2CF417" w14:textId="77777777">
            <w:pPr>
              <w:jc w:val="right"/>
              <w:rPr>
                <w:rFonts w:ascii="Times New Roman" w:hAnsi="Times New Roman" w:cs="Times New Roman"/>
                <w:sz w:val="18"/>
              </w:rPr>
            </w:pPr>
            <w:r w:rsidRPr="00F404D4">
              <w:rPr>
                <w:rFonts w:ascii="Times New Roman" w:hAnsi="Times New Roman" w:cs="Times New Roman"/>
                <w:sz w:val="18"/>
              </w:rPr>
              <w:t>$1,474,512</w:t>
            </w:r>
          </w:p>
        </w:tc>
        <w:tc>
          <w:tcPr>
            <w:tcW w:w="1080"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799CC495" w14:textId="77777777">
            <w:pPr>
              <w:jc w:val="right"/>
              <w:rPr>
                <w:rFonts w:ascii="Times New Roman" w:hAnsi="Times New Roman" w:cs="Times New Roman"/>
                <w:sz w:val="18"/>
              </w:rPr>
            </w:pPr>
            <w:r w:rsidRPr="00F404D4">
              <w:rPr>
                <w:rFonts w:ascii="Times New Roman" w:hAnsi="Times New Roman" w:cs="Times New Roman"/>
                <w:sz w:val="18"/>
              </w:rPr>
              <w:t>35,360 hrs.</w:t>
            </w:r>
          </w:p>
        </w:tc>
        <w:tc>
          <w:tcPr>
            <w:tcW w:w="1441"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0E2E8B1B" w14:textId="77777777">
            <w:pPr>
              <w:jc w:val="right"/>
              <w:rPr>
                <w:rFonts w:ascii="Times New Roman" w:hAnsi="Times New Roman" w:cs="Times New Roman"/>
                <w:sz w:val="18"/>
              </w:rPr>
            </w:pPr>
            <w:r w:rsidRPr="00F404D4">
              <w:rPr>
                <w:rFonts w:ascii="Times New Roman" w:hAnsi="Times New Roman" w:cs="Times New Roman"/>
                <w:sz w:val="18"/>
              </w:rPr>
              <w:t>$2,949,024</w:t>
            </w:r>
          </w:p>
        </w:tc>
      </w:tr>
      <w:tr w14:paraId="2EA553AA" w14:textId="77777777" w:rsidTr="005552FF">
        <w:tblPrEx>
          <w:tblW w:w="10980" w:type="dxa"/>
          <w:tblLayout w:type="fixed"/>
          <w:tblLook w:val="01E0"/>
        </w:tblPrEx>
        <w:trPr>
          <w:trHeight w:val="410"/>
        </w:trPr>
        <w:tc>
          <w:tcPr>
            <w:tcW w:w="1252" w:type="dxa"/>
            <w:vMerge/>
            <w:tcBorders>
              <w:top w:val="single" w:sz="4" w:space="0" w:color="auto"/>
              <w:left w:val="single" w:sz="4" w:space="0" w:color="auto"/>
              <w:bottom w:val="single" w:sz="4" w:space="0" w:color="auto"/>
              <w:right w:val="single" w:sz="4" w:space="0" w:color="auto"/>
            </w:tcBorders>
            <w:vAlign w:val="center"/>
            <w:hideMark/>
          </w:tcPr>
          <w:p w:rsidR="00F404D4" w:rsidRPr="00F404D4" w:rsidP="00F404D4" w14:paraId="239CA692" w14:textId="77777777">
            <w:pPr>
              <w:rPr>
                <w:rFonts w:ascii="Times New Roman" w:hAnsi="Times New Roman" w:cs="Times New Roman"/>
                <w:sz w:val="18"/>
              </w:rPr>
            </w:pPr>
          </w:p>
        </w:tc>
        <w:tc>
          <w:tcPr>
            <w:tcW w:w="1534" w:type="dxa"/>
            <w:tcBorders>
              <w:top w:val="single" w:sz="4" w:space="0" w:color="auto"/>
              <w:left w:val="single" w:sz="4" w:space="0" w:color="auto"/>
              <w:bottom w:val="single" w:sz="4" w:space="0" w:color="auto"/>
              <w:right w:val="single" w:sz="4" w:space="0" w:color="auto"/>
            </w:tcBorders>
            <w:hideMark/>
          </w:tcPr>
          <w:p w:rsidR="00F404D4" w:rsidRPr="00F404D4" w:rsidP="00F404D4" w14:paraId="4BAEE4C3" w14:textId="77777777">
            <w:pPr>
              <w:rPr>
                <w:rFonts w:ascii="Times New Roman" w:hAnsi="Times New Roman" w:cs="Times New Roman"/>
                <w:sz w:val="18"/>
              </w:rPr>
            </w:pPr>
            <w:r w:rsidRPr="00F404D4">
              <w:rPr>
                <w:rFonts w:ascii="Times New Roman" w:hAnsi="Times New Roman" w:cs="Times New Roman"/>
                <w:sz w:val="18"/>
              </w:rPr>
              <w:t>Standards Development</w:t>
            </w:r>
          </w:p>
        </w:tc>
        <w:tc>
          <w:tcPr>
            <w:tcW w:w="809" w:type="dxa"/>
            <w:vMerge/>
            <w:tcBorders>
              <w:top w:val="single" w:sz="4" w:space="0" w:color="auto"/>
              <w:left w:val="single" w:sz="4" w:space="0" w:color="auto"/>
              <w:bottom w:val="single" w:sz="4" w:space="0" w:color="auto"/>
              <w:right w:val="single" w:sz="4" w:space="0" w:color="auto"/>
            </w:tcBorders>
            <w:vAlign w:val="center"/>
            <w:hideMark/>
          </w:tcPr>
          <w:p w:rsidR="00F404D4" w:rsidRPr="00F404D4" w:rsidP="00F404D4" w14:paraId="0F8AEFC0" w14:textId="77777777">
            <w:pPr>
              <w:rPr>
                <w:rFonts w:ascii="Times New Roman" w:hAnsi="Times New Roman" w:cs="Times New Roman"/>
                <w:sz w:val="18"/>
              </w:rPr>
            </w:pPr>
          </w:p>
        </w:tc>
        <w:tc>
          <w:tcPr>
            <w:tcW w:w="1172"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601C433C" w14:textId="77777777">
            <w:pPr>
              <w:jc w:val="right"/>
              <w:rPr>
                <w:rFonts w:ascii="Times New Roman" w:hAnsi="Times New Roman" w:cs="Times New Roman"/>
                <w:sz w:val="18"/>
              </w:rPr>
            </w:pPr>
            <w:r w:rsidRPr="00F404D4">
              <w:rPr>
                <w:rFonts w:ascii="Times New Roman" w:hAnsi="Times New Roman" w:cs="Times New Roman"/>
                <w:sz w:val="18"/>
              </w:rPr>
              <w:t>1</w:t>
            </w:r>
          </w:p>
        </w:tc>
        <w:tc>
          <w:tcPr>
            <w:tcW w:w="1261"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374C2E43" w14:textId="77777777">
            <w:pPr>
              <w:jc w:val="right"/>
              <w:rPr>
                <w:rFonts w:ascii="Times New Roman" w:hAnsi="Times New Roman" w:cs="Times New Roman"/>
                <w:sz w:val="18"/>
              </w:rPr>
            </w:pPr>
            <w:r w:rsidRPr="00F404D4">
              <w:rPr>
                <w:rFonts w:ascii="Times New Roman" w:hAnsi="Times New Roman" w:cs="Times New Roman"/>
                <w:sz w:val="18"/>
              </w:rPr>
              <w:t>1</w:t>
            </w:r>
          </w:p>
        </w:tc>
        <w:tc>
          <w:tcPr>
            <w:tcW w:w="1080"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0097958A" w14:textId="77777777">
            <w:pPr>
              <w:jc w:val="right"/>
              <w:rPr>
                <w:rFonts w:ascii="Times New Roman" w:hAnsi="Times New Roman" w:cs="Times New Roman"/>
                <w:sz w:val="18"/>
              </w:rPr>
            </w:pPr>
            <w:r w:rsidRPr="00F404D4">
              <w:rPr>
                <w:rFonts w:ascii="Times New Roman" w:hAnsi="Times New Roman" w:cs="Times New Roman"/>
                <w:sz w:val="18"/>
              </w:rPr>
              <w:t>20,800 hrs.</w:t>
            </w:r>
          </w:p>
        </w:tc>
        <w:tc>
          <w:tcPr>
            <w:tcW w:w="1351"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52507066" w14:textId="77777777">
            <w:pPr>
              <w:jc w:val="right"/>
              <w:rPr>
                <w:rFonts w:ascii="Times New Roman" w:hAnsi="Times New Roman" w:cs="Times New Roman"/>
                <w:sz w:val="18"/>
              </w:rPr>
            </w:pPr>
            <w:r w:rsidRPr="00F404D4">
              <w:rPr>
                <w:rFonts w:ascii="Times New Roman" w:hAnsi="Times New Roman" w:cs="Times New Roman"/>
                <w:sz w:val="18"/>
              </w:rPr>
              <w:t>$1,734,720</w:t>
            </w:r>
          </w:p>
        </w:tc>
        <w:tc>
          <w:tcPr>
            <w:tcW w:w="1080"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72F4EBC5" w14:textId="77777777">
            <w:pPr>
              <w:jc w:val="right"/>
              <w:rPr>
                <w:rFonts w:ascii="Times New Roman" w:hAnsi="Times New Roman" w:cs="Times New Roman"/>
                <w:sz w:val="18"/>
              </w:rPr>
            </w:pPr>
            <w:r w:rsidRPr="00F404D4">
              <w:rPr>
                <w:rFonts w:ascii="Times New Roman" w:hAnsi="Times New Roman" w:cs="Times New Roman"/>
                <w:sz w:val="18"/>
              </w:rPr>
              <w:t>20,800 hrs.</w:t>
            </w:r>
          </w:p>
        </w:tc>
        <w:tc>
          <w:tcPr>
            <w:tcW w:w="1441"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3905CD64" w14:textId="77777777">
            <w:pPr>
              <w:jc w:val="right"/>
              <w:rPr>
                <w:rFonts w:ascii="Times New Roman" w:hAnsi="Times New Roman" w:cs="Times New Roman"/>
                <w:sz w:val="18"/>
              </w:rPr>
            </w:pPr>
            <w:r w:rsidRPr="00F404D4">
              <w:rPr>
                <w:rFonts w:ascii="Times New Roman" w:hAnsi="Times New Roman" w:cs="Times New Roman"/>
                <w:sz w:val="18"/>
              </w:rPr>
              <w:t>$1,734,720</w:t>
            </w:r>
          </w:p>
        </w:tc>
      </w:tr>
      <w:tr w14:paraId="1F8DB3C0" w14:textId="77777777" w:rsidTr="005552FF">
        <w:tblPrEx>
          <w:tblW w:w="10980" w:type="dxa"/>
          <w:tblLayout w:type="fixed"/>
          <w:tblLook w:val="01E0"/>
        </w:tblPrEx>
        <w:trPr>
          <w:trHeight w:val="255"/>
        </w:trPr>
        <w:tc>
          <w:tcPr>
            <w:tcW w:w="1252" w:type="dxa"/>
            <w:vMerge/>
            <w:tcBorders>
              <w:top w:val="single" w:sz="4" w:space="0" w:color="auto"/>
              <w:left w:val="single" w:sz="4" w:space="0" w:color="auto"/>
              <w:bottom w:val="single" w:sz="4" w:space="0" w:color="auto"/>
              <w:right w:val="single" w:sz="4" w:space="0" w:color="auto"/>
            </w:tcBorders>
            <w:vAlign w:val="center"/>
            <w:hideMark/>
          </w:tcPr>
          <w:p w:rsidR="00F404D4" w:rsidRPr="00F404D4" w:rsidP="00F404D4" w14:paraId="17876E89" w14:textId="77777777">
            <w:pPr>
              <w:rPr>
                <w:rFonts w:ascii="Times New Roman" w:hAnsi="Times New Roman" w:cs="Times New Roman"/>
                <w:sz w:val="18"/>
              </w:rPr>
            </w:pPr>
          </w:p>
        </w:tc>
        <w:tc>
          <w:tcPr>
            <w:tcW w:w="1534" w:type="dxa"/>
            <w:tcBorders>
              <w:top w:val="single" w:sz="4" w:space="0" w:color="auto"/>
              <w:left w:val="single" w:sz="4" w:space="0" w:color="auto"/>
              <w:bottom w:val="single" w:sz="4" w:space="0" w:color="auto"/>
              <w:right w:val="single" w:sz="4" w:space="0" w:color="auto"/>
            </w:tcBorders>
            <w:hideMark/>
          </w:tcPr>
          <w:p w:rsidR="00F404D4" w:rsidRPr="00F404D4" w:rsidP="00F404D4" w14:paraId="41A84613" w14:textId="77777777">
            <w:pPr>
              <w:rPr>
                <w:rFonts w:ascii="Times New Roman" w:hAnsi="Times New Roman" w:cs="Times New Roman"/>
                <w:sz w:val="18"/>
              </w:rPr>
            </w:pPr>
            <w:r w:rsidRPr="00F404D4">
              <w:rPr>
                <w:rFonts w:ascii="Times New Roman" w:hAnsi="Times New Roman" w:cs="Times New Roman"/>
                <w:sz w:val="18"/>
              </w:rPr>
              <w:t>Other Reporting</w:t>
            </w:r>
          </w:p>
        </w:tc>
        <w:tc>
          <w:tcPr>
            <w:tcW w:w="809" w:type="dxa"/>
            <w:vMerge/>
            <w:tcBorders>
              <w:top w:val="single" w:sz="4" w:space="0" w:color="auto"/>
              <w:left w:val="single" w:sz="4" w:space="0" w:color="auto"/>
              <w:bottom w:val="single" w:sz="4" w:space="0" w:color="auto"/>
              <w:right w:val="single" w:sz="4" w:space="0" w:color="auto"/>
            </w:tcBorders>
            <w:vAlign w:val="center"/>
            <w:hideMark/>
          </w:tcPr>
          <w:p w:rsidR="00F404D4" w:rsidRPr="00F404D4" w:rsidP="00F404D4" w14:paraId="6F952B9A" w14:textId="77777777">
            <w:pPr>
              <w:rPr>
                <w:rFonts w:ascii="Times New Roman" w:hAnsi="Times New Roman" w:cs="Times New Roman"/>
                <w:sz w:val="18"/>
              </w:rPr>
            </w:pPr>
          </w:p>
        </w:tc>
        <w:tc>
          <w:tcPr>
            <w:tcW w:w="1172"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48B6B7F1" w14:textId="77777777">
            <w:pPr>
              <w:jc w:val="right"/>
              <w:rPr>
                <w:rFonts w:ascii="Times New Roman" w:hAnsi="Times New Roman" w:cs="Times New Roman"/>
                <w:sz w:val="18"/>
              </w:rPr>
            </w:pPr>
            <w:r w:rsidRPr="00F404D4">
              <w:rPr>
                <w:rFonts w:ascii="Times New Roman" w:hAnsi="Times New Roman" w:cs="Times New Roman"/>
                <w:sz w:val="18"/>
              </w:rPr>
              <w:t>1</w:t>
            </w:r>
          </w:p>
        </w:tc>
        <w:tc>
          <w:tcPr>
            <w:tcW w:w="1261"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24BB8247" w14:textId="77777777">
            <w:pPr>
              <w:jc w:val="right"/>
              <w:rPr>
                <w:rFonts w:ascii="Times New Roman" w:hAnsi="Times New Roman" w:cs="Times New Roman"/>
                <w:sz w:val="18"/>
              </w:rPr>
            </w:pPr>
            <w:r w:rsidRPr="00F404D4">
              <w:rPr>
                <w:rFonts w:ascii="Times New Roman" w:hAnsi="Times New Roman" w:cs="Times New Roman"/>
                <w:sz w:val="18"/>
              </w:rPr>
              <w:t>1</w:t>
            </w:r>
          </w:p>
        </w:tc>
        <w:tc>
          <w:tcPr>
            <w:tcW w:w="1080"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48819C95" w14:textId="77777777">
            <w:pPr>
              <w:jc w:val="right"/>
              <w:rPr>
                <w:rFonts w:ascii="Times New Roman" w:hAnsi="Times New Roman" w:cs="Times New Roman"/>
                <w:sz w:val="18"/>
              </w:rPr>
            </w:pPr>
            <w:r w:rsidRPr="00F404D4">
              <w:rPr>
                <w:rFonts w:ascii="Times New Roman" w:hAnsi="Times New Roman" w:cs="Times New Roman"/>
                <w:sz w:val="18"/>
              </w:rPr>
              <w:t>4,160 hrs.</w:t>
            </w:r>
          </w:p>
        </w:tc>
        <w:tc>
          <w:tcPr>
            <w:tcW w:w="1351"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2F60E236" w14:textId="77777777">
            <w:pPr>
              <w:jc w:val="right"/>
              <w:rPr>
                <w:rFonts w:ascii="Times New Roman" w:hAnsi="Times New Roman" w:cs="Times New Roman"/>
                <w:sz w:val="18"/>
              </w:rPr>
            </w:pPr>
            <w:r w:rsidRPr="00F404D4">
              <w:rPr>
                <w:rFonts w:ascii="Times New Roman" w:hAnsi="Times New Roman" w:cs="Times New Roman"/>
                <w:sz w:val="18"/>
              </w:rPr>
              <w:t>$346,944</w:t>
            </w:r>
          </w:p>
        </w:tc>
        <w:tc>
          <w:tcPr>
            <w:tcW w:w="1080"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32D3028A" w14:textId="77777777">
            <w:pPr>
              <w:jc w:val="right"/>
              <w:rPr>
                <w:rFonts w:ascii="Times New Roman" w:hAnsi="Times New Roman" w:cs="Times New Roman"/>
                <w:sz w:val="18"/>
              </w:rPr>
            </w:pPr>
            <w:r w:rsidRPr="00F404D4">
              <w:rPr>
                <w:rFonts w:ascii="Times New Roman" w:hAnsi="Times New Roman" w:cs="Times New Roman"/>
                <w:sz w:val="18"/>
              </w:rPr>
              <w:t>4,160 hrs.</w:t>
            </w:r>
          </w:p>
        </w:tc>
        <w:tc>
          <w:tcPr>
            <w:tcW w:w="1441"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64154890" w14:textId="77777777">
            <w:pPr>
              <w:jc w:val="right"/>
              <w:rPr>
                <w:rFonts w:ascii="Times New Roman" w:hAnsi="Times New Roman" w:cs="Times New Roman"/>
                <w:sz w:val="18"/>
              </w:rPr>
            </w:pPr>
            <w:r w:rsidRPr="00F404D4">
              <w:rPr>
                <w:rFonts w:ascii="Times New Roman" w:hAnsi="Times New Roman" w:cs="Times New Roman"/>
                <w:sz w:val="18"/>
              </w:rPr>
              <w:t>$346,944</w:t>
            </w:r>
          </w:p>
        </w:tc>
      </w:tr>
      <w:tr w14:paraId="3B794D82" w14:textId="77777777" w:rsidTr="005552FF">
        <w:tblPrEx>
          <w:tblW w:w="10980" w:type="dxa"/>
          <w:tblLayout w:type="fixed"/>
          <w:tblLook w:val="01E0"/>
        </w:tblPrEx>
        <w:trPr>
          <w:trHeight w:val="255"/>
        </w:trPr>
        <w:tc>
          <w:tcPr>
            <w:tcW w:w="278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F404D4" w:rsidRPr="00F404D4" w:rsidP="00F404D4" w14:paraId="1A3594C2" w14:textId="77777777">
            <w:pPr>
              <w:rPr>
                <w:rFonts w:ascii="Times New Roman" w:hAnsi="Times New Roman" w:cs="Times New Roman"/>
                <w:sz w:val="18"/>
              </w:rPr>
            </w:pPr>
            <w:r w:rsidRPr="00F404D4">
              <w:rPr>
                <w:rFonts w:ascii="Times New Roman" w:hAnsi="Times New Roman" w:cs="Times New Roman"/>
                <w:i/>
                <w:sz w:val="18"/>
              </w:rPr>
              <w:t>ERO, Sub-Total</w:t>
            </w:r>
          </w:p>
        </w:tc>
        <w:tc>
          <w:tcPr>
            <w:tcW w:w="809" w:type="dxa"/>
            <w:tcBorders>
              <w:top w:val="single" w:sz="4" w:space="0" w:color="auto"/>
              <w:left w:val="single" w:sz="4" w:space="0" w:color="auto"/>
              <w:bottom w:val="single" w:sz="4" w:space="0" w:color="auto"/>
              <w:right w:val="single" w:sz="4" w:space="0" w:color="auto"/>
            </w:tcBorders>
            <w:shd w:val="clear" w:color="auto" w:fill="D9D9D9"/>
            <w:vAlign w:val="bottom"/>
          </w:tcPr>
          <w:p w:rsidR="00F404D4" w:rsidRPr="00F404D4" w:rsidP="00F404D4" w14:paraId="14989F4F" w14:textId="77777777">
            <w:pPr>
              <w:rPr>
                <w:rFonts w:ascii="Times New Roman" w:hAnsi="Times New Roman" w:cs="Times New Roman"/>
                <w:sz w:val="18"/>
              </w:rPr>
            </w:pPr>
          </w:p>
        </w:tc>
        <w:tc>
          <w:tcPr>
            <w:tcW w:w="1172" w:type="dxa"/>
            <w:tcBorders>
              <w:top w:val="single" w:sz="4" w:space="0" w:color="auto"/>
              <w:left w:val="single" w:sz="4" w:space="0" w:color="auto"/>
              <w:bottom w:val="single" w:sz="4" w:space="0" w:color="auto"/>
              <w:right w:val="single" w:sz="4" w:space="0" w:color="auto"/>
            </w:tcBorders>
            <w:shd w:val="clear" w:color="auto" w:fill="D9D9D9"/>
            <w:vAlign w:val="bottom"/>
          </w:tcPr>
          <w:p w:rsidR="00F404D4" w:rsidRPr="00F404D4" w:rsidP="005552FF" w14:paraId="3E246274" w14:textId="77777777">
            <w:pPr>
              <w:jc w:val="right"/>
              <w:rPr>
                <w:rFonts w:ascii="Times New Roman" w:hAnsi="Times New Roman" w:cs="Times New Roman"/>
                <w:sz w:val="18"/>
              </w:rPr>
            </w:pPr>
          </w:p>
        </w:tc>
        <w:tc>
          <w:tcPr>
            <w:tcW w:w="1261"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F404D4" w:rsidRPr="00F404D4" w:rsidP="005552FF" w14:paraId="14E1E44B" w14:textId="77777777">
            <w:pPr>
              <w:jc w:val="right"/>
              <w:rPr>
                <w:rFonts w:ascii="Times New Roman" w:hAnsi="Times New Roman" w:cs="Times New Roman"/>
                <w:sz w:val="18"/>
              </w:rPr>
            </w:pPr>
            <w:r w:rsidRPr="00F404D4">
              <w:rPr>
                <w:rFonts w:ascii="Times New Roman" w:hAnsi="Times New Roman" w:cs="Times New Roman"/>
                <w:sz w:val="18"/>
              </w:rPr>
              <w:t>9.2</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bottom"/>
          </w:tcPr>
          <w:p w:rsidR="00F404D4" w:rsidRPr="00F404D4" w:rsidP="005552FF" w14:paraId="38FFD728" w14:textId="77777777">
            <w:pPr>
              <w:jc w:val="right"/>
              <w:rPr>
                <w:rFonts w:ascii="Times New Roman" w:hAnsi="Times New Roman" w:cs="Times New Roman"/>
                <w:sz w:val="18"/>
              </w:rPr>
            </w:pPr>
          </w:p>
        </w:tc>
        <w:tc>
          <w:tcPr>
            <w:tcW w:w="1351" w:type="dxa"/>
            <w:tcBorders>
              <w:top w:val="single" w:sz="4" w:space="0" w:color="auto"/>
              <w:left w:val="single" w:sz="4" w:space="0" w:color="auto"/>
              <w:bottom w:val="single" w:sz="4" w:space="0" w:color="auto"/>
              <w:right w:val="single" w:sz="4" w:space="0" w:color="auto"/>
            </w:tcBorders>
            <w:shd w:val="clear" w:color="auto" w:fill="D9D9D9"/>
            <w:vAlign w:val="bottom"/>
          </w:tcPr>
          <w:p w:rsidR="00F404D4" w:rsidRPr="00F404D4" w:rsidP="005552FF" w14:paraId="49EDDF10" w14:textId="77777777">
            <w:pPr>
              <w:jc w:val="right"/>
              <w:rPr>
                <w:rFonts w:ascii="Times New Roman" w:hAnsi="Times New Roman" w:cs="Times New Roman"/>
                <w:i/>
                <w:sz w:val="18"/>
              </w:rPr>
            </w:pPr>
          </w:p>
        </w:tc>
        <w:tc>
          <w:tcPr>
            <w:tcW w:w="108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F404D4" w:rsidRPr="00F404D4" w:rsidP="005552FF" w14:paraId="4593583B" w14:textId="77777777">
            <w:pPr>
              <w:jc w:val="right"/>
              <w:rPr>
                <w:rFonts w:ascii="Times New Roman" w:hAnsi="Times New Roman" w:cs="Times New Roman"/>
                <w:i/>
                <w:sz w:val="18"/>
              </w:rPr>
            </w:pPr>
            <w:r w:rsidRPr="00F404D4">
              <w:rPr>
                <w:rFonts w:ascii="Times New Roman" w:hAnsi="Times New Roman" w:cs="Times New Roman"/>
                <w:i/>
                <w:sz w:val="18"/>
              </w:rPr>
              <w:t>113,152 hrs.</w:t>
            </w:r>
          </w:p>
        </w:tc>
        <w:tc>
          <w:tcPr>
            <w:tcW w:w="1441"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F404D4" w:rsidRPr="00F404D4" w:rsidP="005552FF" w14:paraId="40ACAD18" w14:textId="77777777">
            <w:pPr>
              <w:jc w:val="right"/>
              <w:rPr>
                <w:rFonts w:ascii="Times New Roman" w:hAnsi="Times New Roman" w:cs="Times New Roman"/>
                <w:i/>
                <w:sz w:val="18"/>
              </w:rPr>
            </w:pPr>
            <w:r w:rsidRPr="00F404D4">
              <w:rPr>
                <w:rFonts w:ascii="Times New Roman" w:hAnsi="Times New Roman" w:cs="Times New Roman"/>
                <w:i/>
                <w:sz w:val="18"/>
              </w:rPr>
              <w:t>$9,436,877</w:t>
            </w:r>
          </w:p>
        </w:tc>
      </w:tr>
      <w:tr w14:paraId="6B676FD3" w14:textId="77777777" w:rsidTr="005552FF">
        <w:tblPrEx>
          <w:tblW w:w="10980" w:type="dxa"/>
          <w:tblLayout w:type="fixed"/>
          <w:tblLook w:val="01E0"/>
        </w:tblPrEx>
        <w:trPr>
          <w:trHeight w:val="129"/>
        </w:trPr>
        <w:tc>
          <w:tcPr>
            <w:tcW w:w="1252" w:type="dxa"/>
            <w:vMerge w:val="restart"/>
            <w:tcBorders>
              <w:top w:val="single" w:sz="4" w:space="0" w:color="auto"/>
              <w:left w:val="single" w:sz="4" w:space="0" w:color="auto"/>
              <w:bottom w:val="single" w:sz="4" w:space="0" w:color="auto"/>
              <w:right w:val="single" w:sz="4" w:space="0" w:color="auto"/>
            </w:tcBorders>
            <w:hideMark/>
          </w:tcPr>
          <w:p w:rsidR="00F404D4" w:rsidRPr="00F404D4" w:rsidP="00F404D4" w14:paraId="379F3B42" w14:textId="77777777">
            <w:pPr>
              <w:rPr>
                <w:rFonts w:ascii="Times New Roman" w:hAnsi="Times New Roman" w:cs="Times New Roman"/>
                <w:sz w:val="18"/>
              </w:rPr>
            </w:pPr>
            <w:r w:rsidRPr="00F404D4">
              <w:rPr>
                <w:rFonts w:ascii="Times New Roman" w:hAnsi="Times New Roman" w:cs="Times New Roman"/>
                <w:sz w:val="18"/>
              </w:rPr>
              <w:t>Regional Entities</w:t>
            </w:r>
          </w:p>
        </w:tc>
        <w:tc>
          <w:tcPr>
            <w:tcW w:w="1534" w:type="dxa"/>
            <w:tcBorders>
              <w:top w:val="single" w:sz="4" w:space="0" w:color="auto"/>
              <w:left w:val="single" w:sz="4" w:space="0" w:color="auto"/>
              <w:bottom w:val="single" w:sz="4" w:space="0" w:color="auto"/>
              <w:right w:val="single" w:sz="4" w:space="0" w:color="auto"/>
            </w:tcBorders>
            <w:hideMark/>
          </w:tcPr>
          <w:p w:rsidR="00F404D4" w:rsidRPr="00F404D4" w:rsidP="00F404D4" w14:paraId="72B1344E" w14:textId="77777777">
            <w:pPr>
              <w:rPr>
                <w:rFonts w:ascii="Times New Roman" w:hAnsi="Times New Roman" w:cs="Times New Roman"/>
                <w:sz w:val="18"/>
              </w:rPr>
            </w:pPr>
            <w:r w:rsidRPr="00F404D4">
              <w:rPr>
                <w:rFonts w:ascii="Times New Roman" w:hAnsi="Times New Roman" w:cs="Times New Roman"/>
                <w:sz w:val="18"/>
              </w:rPr>
              <w:t>Self-Assessment</w:t>
            </w:r>
          </w:p>
        </w:tc>
        <w:tc>
          <w:tcPr>
            <w:tcW w:w="809" w:type="dxa"/>
            <w:vMerge w:val="restart"/>
            <w:tcBorders>
              <w:top w:val="single" w:sz="4" w:space="0" w:color="auto"/>
              <w:left w:val="single" w:sz="4" w:space="0" w:color="auto"/>
              <w:bottom w:val="single" w:sz="4" w:space="0" w:color="auto"/>
              <w:right w:val="single" w:sz="4" w:space="0" w:color="auto"/>
            </w:tcBorders>
            <w:vAlign w:val="bottom"/>
            <w:hideMark/>
          </w:tcPr>
          <w:p w:rsidR="00F404D4" w:rsidRPr="00F404D4" w:rsidP="00F404D4" w14:paraId="133092AB" w14:textId="77777777">
            <w:pPr>
              <w:rPr>
                <w:rFonts w:ascii="Times New Roman" w:hAnsi="Times New Roman" w:cs="Times New Roman"/>
                <w:sz w:val="18"/>
              </w:rPr>
            </w:pPr>
            <w:r w:rsidRPr="00F404D4">
              <w:rPr>
                <w:rFonts w:ascii="Times New Roman" w:hAnsi="Times New Roman" w:cs="Times New Roman"/>
                <w:sz w:val="18"/>
              </w:rPr>
              <w:t>6</w:t>
            </w:r>
          </w:p>
        </w:tc>
        <w:tc>
          <w:tcPr>
            <w:tcW w:w="1172"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49776730" w14:textId="77777777">
            <w:pPr>
              <w:jc w:val="right"/>
              <w:rPr>
                <w:rFonts w:ascii="Times New Roman" w:hAnsi="Times New Roman" w:cs="Times New Roman"/>
                <w:sz w:val="18"/>
              </w:rPr>
            </w:pPr>
            <w:r w:rsidRPr="00F404D4">
              <w:rPr>
                <w:rFonts w:ascii="Times New Roman" w:hAnsi="Times New Roman" w:cs="Times New Roman"/>
                <w:sz w:val="18"/>
              </w:rPr>
              <w:t>.2</w:t>
            </w:r>
          </w:p>
        </w:tc>
        <w:tc>
          <w:tcPr>
            <w:tcW w:w="1261"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04BE77B4" w14:textId="77777777">
            <w:pPr>
              <w:jc w:val="right"/>
              <w:rPr>
                <w:rFonts w:ascii="Times New Roman" w:hAnsi="Times New Roman" w:cs="Times New Roman"/>
                <w:sz w:val="18"/>
              </w:rPr>
            </w:pPr>
            <w:r w:rsidRPr="00F404D4">
              <w:rPr>
                <w:rFonts w:ascii="Times New Roman" w:hAnsi="Times New Roman" w:cs="Times New Roman"/>
                <w:sz w:val="18"/>
              </w:rPr>
              <w:t>1.2</w:t>
            </w:r>
          </w:p>
        </w:tc>
        <w:tc>
          <w:tcPr>
            <w:tcW w:w="1080"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1A02F103" w14:textId="77777777">
            <w:pPr>
              <w:jc w:val="right"/>
              <w:rPr>
                <w:rFonts w:ascii="Times New Roman" w:hAnsi="Times New Roman" w:cs="Times New Roman"/>
                <w:sz w:val="18"/>
              </w:rPr>
            </w:pPr>
            <w:r w:rsidRPr="00F404D4">
              <w:rPr>
                <w:rFonts w:ascii="Times New Roman" w:hAnsi="Times New Roman" w:cs="Times New Roman"/>
                <w:sz w:val="18"/>
              </w:rPr>
              <w:t>4,160 hrs.</w:t>
            </w:r>
          </w:p>
        </w:tc>
        <w:tc>
          <w:tcPr>
            <w:tcW w:w="1351"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7DE4B18A" w14:textId="77777777">
            <w:pPr>
              <w:jc w:val="right"/>
              <w:rPr>
                <w:rFonts w:ascii="Times New Roman" w:hAnsi="Times New Roman" w:cs="Times New Roman"/>
                <w:sz w:val="18"/>
              </w:rPr>
            </w:pPr>
            <w:r w:rsidRPr="00F404D4">
              <w:rPr>
                <w:rFonts w:ascii="Times New Roman" w:hAnsi="Times New Roman" w:cs="Times New Roman"/>
                <w:sz w:val="18"/>
              </w:rPr>
              <w:t>$346,944</w:t>
            </w:r>
          </w:p>
        </w:tc>
        <w:tc>
          <w:tcPr>
            <w:tcW w:w="1080"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497BF6D7" w14:textId="77777777">
            <w:pPr>
              <w:jc w:val="right"/>
              <w:rPr>
                <w:rFonts w:ascii="Times New Roman" w:hAnsi="Times New Roman" w:cs="Times New Roman"/>
                <w:sz w:val="18"/>
              </w:rPr>
            </w:pPr>
            <w:r w:rsidRPr="00F404D4">
              <w:rPr>
                <w:rFonts w:ascii="Times New Roman" w:hAnsi="Times New Roman" w:cs="Times New Roman"/>
                <w:sz w:val="18"/>
              </w:rPr>
              <w:t xml:space="preserve">4,992 hrs. </w:t>
            </w:r>
          </w:p>
        </w:tc>
        <w:tc>
          <w:tcPr>
            <w:tcW w:w="1441"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33B96BC0" w14:textId="77777777">
            <w:pPr>
              <w:jc w:val="right"/>
              <w:rPr>
                <w:rFonts w:ascii="Times New Roman" w:hAnsi="Times New Roman" w:cs="Times New Roman"/>
                <w:sz w:val="18"/>
              </w:rPr>
            </w:pPr>
            <w:r w:rsidRPr="00F404D4">
              <w:rPr>
                <w:rFonts w:ascii="Times New Roman" w:hAnsi="Times New Roman" w:cs="Times New Roman"/>
                <w:sz w:val="18"/>
              </w:rPr>
              <w:t>$416,332.80</w:t>
            </w:r>
          </w:p>
        </w:tc>
      </w:tr>
      <w:tr w14:paraId="7AD0A047" w14:textId="77777777" w:rsidTr="005552FF">
        <w:tblPrEx>
          <w:tblW w:w="10980" w:type="dxa"/>
          <w:tblLayout w:type="fixed"/>
          <w:tblLook w:val="01E0"/>
        </w:tblPrEx>
        <w:trPr>
          <w:trHeight w:val="127"/>
        </w:trPr>
        <w:tc>
          <w:tcPr>
            <w:tcW w:w="1252" w:type="dxa"/>
            <w:vMerge/>
            <w:tcBorders>
              <w:top w:val="single" w:sz="4" w:space="0" w:color="auto"/>
              <w:left w:val="single" w:sz="4" w:space="0" w:color="auto"/>
              <w:bottom w:val="single" w:sz="4" w:space="0" w:color="auto"/>
              <w:right w:val="single" w:sz="4" w:space="0" w:color="auto"/>
            </w:tcBorders>
            <w:vAlign w:val="center"/>
            <w:hideMark/>
          </w:tcPr>
          <w:p w:rsidR="00F404D4" w:rsidRPr="00F404D4" w:rsidP="00F404D4" w14:paraId="7A39F200" w14:textId="77777777">
            <w:pPr>
              <w:rPr>
                <w:rFonts w:ascii="Times New Roman" w:hAnsi="Times New Roman" w:cs="Times New Roman"/>
                <w:sz w:val="18"/>
              </w:rPr>
            </w:pPr>
          </w:p>
        </w:tc>
        <w:tc>
          <w:tcPr>
            <w:tcW w:w="1534" w:type="dxa"/>
            <w:tcBorders>
              <w:top w:val="single" w:sz="4" w:space="0" w:color="auto"/>
              <w:left w:val="single" w:sz="4" w:space="0" w:color="auto"/>
              <w:bottom w:val="single" w:sz="4" w:space="0" w:color="auto"/>
              <w:right w:val="single" w:sz="4" w:space="0" w:color="auto"/>
            </w:tcBorders>
            <w:hideMark/>
          </w:tcPr>
          <w:p w:rsidR="00F404D4" w:rsidRPr="00F404D4" w:rsidP="00F404D4" w14:paraId="1C05F00D" w14:textId="77777777">
            <w:pPr>
              <w:rPr>
                <w:rFonts w:ascii="Times New Roman" w:hAnsi="Times New Roman" w:cs="Times New Roman"/>
                <w:sz w:val="18"/>
              </w:rPr>
            </w:pPr>
            <w:r w:rsidRPr="00F404D4">
              <w:rPr>
                <w:rFonts w:ascii="Times New Roman" w:hAnsi="Times New Roman" w:cs="Times New Roman"/>
                <w:sz w:val="18"/>
              </w:rPr>
              <w:t>Reliability Assessments</w:t>
            </w:r>
          </w:p>
        </w:tc>
        <w:tc>
          <w:tcPr>
            <w:tcW w:w="809" w:type="dxa"/>
            <w:vMerge/>
            <w:tcBorders>
              <w:top w:val="single" w:sz="4" w:space="0" w:color="auto"/>
              <w:left w:val="single" w:sz="4" w:space="0" w:color="auto"/>
              <w:bottom w:val="single" w:sz="4" w:space="0" w:color="auto"/>
              <w:right w:val="single" w:sz="4" w:space="0" w:color="auto"/>
            </w:tcBorders>
            <w:vAlign w:val="center"/>
            <w:hideMark/>
          </w:tcPr>
          <w:p w:rsidR="00F404D4" w:rsidRPr="00F404D4" w:rsidP="00F404D4" w14:paraId="2AD6D48D" w14:textId="77777777">
            <w:pPr>
              <w:rPr>
                <w:rFonts w:ascii="Times New Roman" w:hAnsi="Times New Roman" w:cs="Times New Roman"/>
                <w:sz w:val="18"/>
              </w:rPr>
            </w:pPr>
          </w:p>
        </w:tc>
        <w:tc>
          <w:tcPr>
            <w:tcW w:w="1172"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0EA4F70C" w14:textId="77777777">
            <w:pPr>
              <w:jc w:val="right"/>
              <w:rPr>
                <w:rFonts w:ascii="Times New Roman" w:hAnsi="Times New Roman" w:cs="Times New Roman"/>
                <w:sz w:val="18"/>
              </w:rPr>
            </w:pPr>
            <w:r w:rsidRPr="00F404D4">
              <w:rPr>
                <w:rFonts w:ascii="Times New Roman" w:hAnsi="Times New Roman" w:cs="Times New Roman"/>
                <w:sz w:val="18"/>
              </w:rPr>
              <w:t>1</w:t>
            </w:r>
          </w:p>
        </w:tc>
        <w:tc>
          <w:tcPr>
            <w:tcW w:w="1261"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69A64852" w14:textId="77777777">
            <w:pPr>
              <w:jc w:val="right"/>
              <w:rPr>
                <w:rFonts w:ascii="Times New Roman" w:hAnsi="Times New Roman" w:cs="Times New Roman"/>
                <w:sz w:val="18"/>
              </w:rPr>
            </w:pPr>
            <w:r w:rsidRPr="00F404D4">
              <w:rPr>
                <w:rFonts w:ascii="Times New Roman" w:hAnsi="Times New Roman" w:cs="Times New Roman"/>
                <w:sz w:val="18"/>
              </w:rPr>
              <w:t>6</w:t>
            </w:r>
          </w:p>
        </w:tc>
        <w:tc>
          <w:tcPr>
            <w:tcW w:w="1080"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2B315E23" w14:textId="77777777">
            <w:pPr>
              <w:jc w:val="right"/>
              <w:rPr>
                <w:rFonts w:ascii="Times New Roman" w:hAnsi="Times New Roman" w:cs="Times New Roman"/>
                <w:sz w:val="18"/>
              </w:rPr>
            </w:pPr>
            <w:r w:rsidRPr="00F404D4">
              <w:rPr>
                <w:rFonts w:ascii="Times New Roman" w:hAnsi="Times New Roman" w:cs="Times New Roman"/>
                <w:sz w:val="18"/>
              </w:rPr>
              <w:t>15,600 hrs.</w:t>
            </w:r>
          </w:p>
        </w:tc>
        <w:tc>
          <w:tcPr>
            <w:tcW w:w="1351"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1FF53138" w14:textId="77777777">
            <w:pPr>
              <w:jc w:val="right"/>
              <w:rPr>
                <w:rFonts w:ascii="Times New Roman" w:hAnsi="Times New Roman" w:cs="Times New Roman"/>
                <w:sz w:val="18"/>
              </w:rPr>
            </w:pPr>
            <w:r w:rsidRPr="00F404D4">
              <w:rPr>
                <w:rFonts w:ascii="Times New Roman" w:hAnsi="Times New Roman" w:cs="Times New Roman"/>
                <w:sz w:val="18"/>
              </w:rPr>
              <w:t>$1,301,040</w:t>
            </w:r>
          </w:p>
        </w:tc>
        <w:tc>
          <w:tcPr>
            <w:tcW w:w="1080"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1C6DF648" w14:textId="77777777">
            <w:pPr>
              <w:jc w:val="right"/>
              <w:rPr>
                <w:rFonts w:ascii="Times New Roman" w:hAnsi="Times New Roman" w:cs="Times New Roman"/>
                <w:sz w:val="18"/>
              </w:rPr>
            </w:pPr>
            <w:r w:rsidRPr="00F404D4">
              <w:rPr>
                <w:rFonts w:ascii="Times New Roman" w:hAnsi="Times New Roman" w:cs="Times New Roman"/>
                <w:sz w:val="18"/>
              </w:rPr>
              <w:t>93,600 hrs.</w:t>
            </w:r>
          </w:p>
        </w:tc>
        <w:tc>
          <w:tcPr>
            <w:tcW w:w="1441"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418DDFD4" w14:textId="77777777">
            <w:pPr>
              <w:jc w:val="right"/>
              <w:rPr>
                <w:rFonts w:ascii="Times New Roman" w:hAnsi="Times New Roman" w:cs="Times New Roman"/>
                <w:sz w:val="18"/>
              </w:rPr>
            </w:pPr>
            <w:r w:rsidRPr="00F404D4">
              <w:rPr>
                <w:rFonts w:ascii="Times New Roman" w:hAnsi="Times New Roman" w:cs="Times New Roman"/>
                <w:sz w:val="18"/>
              </w:rPr>
              <w:t>$7,806,240</w:t>
            </w:r>
          </w:p>
        </w:tc>
      </w:tr>
      <w:tr w14:paraId="5153779B" w14:textId="77777777" w:rsidTr="005552FF">
        <w:tblPrEx>
          <w:tblW w:w="10980" w:type="dxa"/>
          <w:tblLayout w:type="fixed"/>
          <w:tblLook w:val="01E0"/>
        </w:tblPrEx>
        <w:trPr>
          <w:trHeight w:val="127"/>
        </w:trPr>
        <w:tc>
          <w:tcPr>
            <w:tcW w:w="1252" w:type="dxa"/>
            <w:vMerge/>
            <w:tcBorders>
              <w:top w:val="single" w:sz="4" w:space="0" w:color="auto"/>
              <w:left w:val="single" w:sz="4" w:space="0" w:color="auto"/>
              <w:bottom w:val="single" w:sz="4" w:space="0" w:color="auto"/>
              <w:right w:val="single" w:sz="4" w:space="0" w:color="auto"/>
            </w:tcBorders>
            <w:vAlign w:val="center"/>
            <w:hideMark/>
          </w:tcPr>
          <w:p w:rsidR="00F404D4" w:rsidRPr="00F404D4" w:rsidP="00F404D4" w14:paraId="30A1C2F3" w14:textId="77777777">
            <w:pPr>
              <w:rPr>
                <w:rFonts w:ascii="Times New Roman" w:hAnsi="Times New Roman" w:cs="Times New Roman"/>
                <w:sz w:val="18"/>
              </w:rPr>
            </w:pPr>
          </w:p>
        </w:tc>
        <w:tc>
          <w:tcPr>
            <w:tcW w:w="1534" w:type="dxa"/>
            <w:tcBorders>
              <w:top w:val="single" w:sz="4" w:space="0" w:color="auto"/>
              <w:left w:val="single" w:sz="4" w:space="0" w:color="auto"/>
              <w:bottom w:val="single" w:sz="4" w:space="0" w:color="auto"/>
              <w:right w:val="single" w:sz="4" w:space="0" w:color="auto"/>
            </w:tcBorders>
            <w:hideMark/>
          </w:tcPr>
          <w:p w:rsidR="00F404D4" w:rsidRPr="00F404D4" w:rsidP="00F404D4" w14:paraId="48C0A132" w14:textId="77777777">
            <w:pPr>
              <w:rPr>
                <w:rFonts w:ascii="Times New Roman" w:hAnsi="Times New Roman" w:cs="Times New Roman"/>
                <w:sz w:val="18"/>
              </w:rPr>
            </w:pPr>
            <w:r w:rsidRPr="00F404D4">
              <w:rPr>
                <w:rFonts w:ascii="Times New Roman" w:hAnsi="Times New Roman" w:cs="Times New Roman"/>
                <w:sz w:val="18"/>
              </w:rPr>
              <w:t>Reliability Compliance</w:t>
            </w:r>
          </w:p>
        </w:tc>
        <w:tc>
          <w:tcPr>
            <w:tcW w:w="809" w:type="dxa"/>
            <w:vMerge/>
            <w:tcBorders>
              <w:top w:val="single" w:sz="4" w:space="0" w:color="auto"/>
              <w:left w:val="single" w:sz="4" w:space="0" w:color="auto"/>
              <w:bottom w:val="single" w:sz="4" w:space="0" w:color="auto"/>
              <w:right w:val="single" w:sz="4" w:space="0" w:color="auto"/>
            </w:tcBorders>
            <w:vAlign w:val="center"/>
            <w:hideMark/>
          </w:tcPr>
          <w:p w:rsidR="00F404D4" w:rsidRPr="00F404D4" w:rsidP="00F404D4" w14:paraId="20F4C87E" w14:textId="77777777">
            <w:pPr>
              <w:rPr>
                <w:rFonts w:ascii="Times New Roman" w:hAnsi="Times New Roman" w:cs="Times New Roman"/>
                <w:sz w:val="18"/>
              </w:rPr>
            </w:pPr>
          </w:p>
        </w:tc>
        <w:tc>
          <w:tcPr>
            <w:tcW w:w="1172"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69BC4EA1" w14:textId="77777777">
            <w:pPr>
              <w:jc w:val="right"/>
              <w:rPr>
                <w:rFonts w:ascii="Times New Roman" w:hAnsi="Times New Roman" w:cs="Times New Roman"/>
                <w:sz w:val="18"/>
              </w:rPr>
            </w:pPr>
            <w:r w:rsidRPr="00F404D4">
              <w:rPr>
                <w:rFonts w:ascii="Times New Roman" w:hAnsi="Times New Roman" w:cs="Times New Roman"/>
                <w:sz w:val="18"/>
              </w:rPr>
              <w:t>1</w:t>
            </w:r>
          </w:p>
        </w:tc>
        <w:tc>
          <w:tcPr>
            <w:tcW w:w="1261"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782173EA" w14:textId="77777777">
            <w:pPr>
              <w:jc w:val="right"/>
              <w:rPr>
                <w:rFonts w:ascii="Times New Roman" w:hAnsi="Times New Roman" w:cs="Times New Roman"/>
                <w:sz w:val="18"/>
              </w:rPr>
            </w:pPr>
            <w:r w:rsidRPr="00F404D4">
              <w:rPr>
                <w:rFonts w:ascii="Times New Roman" w:hAnsi="Times New Roman" w:cs="Times New Roman"/>
                <w:sz w:val="18"/>
              </w:rPr>
              <w:t>6</w:t>
            </w:r>
          </w:p>
        </w:tc>
        <w:tc>
          <w:tcPr>
            <w:tcW w:w="1080"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3668DAC2" w14:textId="77777777">
            <w:pPr>
              <w:jc w:val="right"/>
              <w:rPr>
                <w:rFonts w:ascii="Times New Roman" w:hAnsi="Times New Roman" w:cs="Times New Roman"/>
                <w:sz w:val="18"/>
              </w:rPr>
            </w:pPr>
            <w:r w:rsidRPr="00F404D4">
              <w:rPr>
                <w:rFonts w:ascii="Times New Roman" w:hAnsi="Times New Roman" w:cs="Times New Roman"/>
                <w:sz w:val="18"/>
              </w:rPr>
              <w:t>47,840 hrs.</w:t>
            </w:r>
          </w:p>
        </w:tc>
        <w:tc>
          <w:tcPr>
            <w:tcW w:w="1351"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6F9D1CF7" w14:textId="77777777">
            <w:pPr>
              <w:jc w:val="right"/>
              <w:rPr>
                <w:rFonts w:ascii="Times New Roman" w:hAnsi="Times New Roman" w:cs="Times New Roman"/>
                <w:sz w:val="18"/>
              </w:rPr>
            </w:pPr>
            <w:r w:rsidRPr="00F404D4">
              <w:rPr>
                <w:rFonts w:ascii="Times New Roman" w:hAnsi="Times New Roman" w:cs="Times New Roman"/>
                <w:sz w:val="18"/>
              </w:rPr>
              <w:t>$3,989,856</w:t>
            </w:r>
          </w:p>
        </w:tc>
        <w:tc>
          <w:tcPr>
            <w:tcW w:w="1080"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796D1D6C" w14:textId="77777777">
            <w:pPr>
              <w:jc w:val="right"/>
              <w:rPr>
                <w:rFonts w:ascii="Times New Roman" w:hAnsi="Times New Roman" w:cs="Times New Roman"/>
                <w:sz w:val="18"/>
              </w:rPr>
            </w:pPr>
            <w:r w:rsidRPr="00F404D4">
              <w:rPr>
                <w:rFonts w:ascii="Times New Roman" w:hAnsi="Times New Roman" w:cs="Times New Roman"/>
                <w:sz w:val="18"/>
              </w:rPr>
              <w:t>287,040 hrs.</w:t>
            </w:r>
          </w:p>
        </w:tc>
        <w:tc>
          <w:tcPr>
            <w:tcW w:w="1441"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6A0EB570" w14:textId="77777777">
            <w:pPr>
              <w:jc w:val="right"/>
              <w:rPr>
                <w:rFonts w:ascii="Times New Roman" w:hAnsi="Times New Roman" w:cs="Times New Roman"/>
                <w:sz w:val="18"/>
              </w:rPr>
            </w:pPr>
            <w:r w:rsidRPr="00F404D4">
              <w:rPr>
                <w:rFonts w:ascii="Times New Roman" w:hAnsi="Times New Roman" w:cs="Times New Roman"/>
                <w:sz w:val="18"/>
              </w:rPr>
              <w:t>$23,939.13</w:t>
            </w:r>
          </w:p>
        </w:tc>
      </w:tr>
      <w:tr w14:paraId="03F13C12" w14:textId="77777777" w:rsidTr="005552FF">
        <w:tblPrEx>
          <w:tblW w:w="10980" w:type="dxa"/>
          <w:tblLayout w:type="fixed"/>
          <w:tblLook w:val="01E0"/>
        </w:tblPrEx>
        <w:trPr>
          <w:trHeight w:val="255"/>
        </w:trPr>
        <w:tc>
          <w:tcPr>
            <w:tcW w:w="1252" w:type="dxa"/>
            <w:vMerge/>
            <w:tcBorders>
              <w:top w:val="single" w:sz="4" w:space="0" w:color="auto"/>
              <w:left w:val="single" w:sz="4" w:space="0" w:color="auto"/>
              <w:bottom w:val="single" w:sz="4" w:space="0" w:color="auto"/>
              <w:right w:val="single" w:sz="4" w:space="0" w:color="auto"/>
            </w:tcBorders>
            <w:vAlign w:val="center"/>
            <w:hideMark/>
          </w:tcPr>
          <w:p w:rsidR="00F404D4" w:rsidRPr="00F404D4" w:rsidP="00F404D4" w14:paraId="0A20610F" w14:textId="77777777">
            <w:pPr>
              <w:rPr>
                <w:rFonts w:ascii="Times New Roman" w:hAnsi="Times New Roman" w:cs="Times New Roman"/>
                <w:sz w:val="18"/>
              </w:rPr>
            </w:pPr>
          </w:p>
        </w:tc>
        <w:tc>
          <w:tcPr>
            <w:tcW w:w="1534" w:type="dxa"/>
            <w:tcBorders>
              <w:top w:val="single" w:sz="4" w:space="0" w:color="auto"/>
              <w:left w:val="single" w:sz="4" w:space="0" w:color="auto"/>
              <w:bottom w:val="single" w:sz="4" w:space="0" w:color="auto"/>
              <w:right w:val="single" w:sz="4" w:space="0" w:color="auto"/>
            </w:tcBorders>
            <w:hideMark/>
          </w:tcPr>
          <w:p w:rsidR="00F404D4" w:rsidRPr="00F404D4" w:rsidP="00F404D4" w14:paraId="17383792" w14:textId="77777777">
            <w:pPr>
              <w:rPr>
                <w:rFonts w:ascii="Times New Roman" w:hAnsi="Times New Roman" w:cs="Times New Roman"/>
                <w:sz w:val="18"/>
              </w:rPr>
            </w:pPr>
            <w:r w:rsidRPr="00F404D4">
              <w:rPr>
                <w:rFonts w:ascii="Times New Roman" w:hAnsi="Times New Roman" w:cs="Times New Roman"/>
                <w:sz w:val="18"/>
              </w:rPr>
              <w:t>Standards Development</w:t>
            </w:r>
          </w:p>
        </w:tc>
        <w:tc>
          <w:tcPr>
            <w:tcW w:w="809" w:type="dxa"/>
            <w:vMerge/>
            <w:tcBorders>
              <w:top w:val="single" w:sz="4" w:space="0" w:color="auto"/>
              <w:left w:val="single" w:sz="4" w:space="0" w:color="auto"/>
              <w:bottom w:val="single" w:sz="4" w:space="0" w:color="auto"/>
              <w:right w:val="single" w:sz="4" w:space="0" w:color="auto"/>
            </w:tcBorders>
            <w:vAlign w:val="center"/>
            <w:hideMark/>
          </w:tcPr>
          <w:p w:rsidR="00F404D4" w:rsidRPr="00F404D4" w:rsidP="00F404D4" w14:paraId="62B89B94" w14:textId="77777777">
            <w:pPr>
              <w:rPr>
                <w:rFonts w:ascii="Times New Roman" w:hAnsi="Times New Roman" w:cs="Times New Roman"/>
                <w:sz w:val="18"/>
              </w:rPr>
            </w:pPr>
          </w:p>
        </w:tc>
        <w:tc>
          <w:tcPr>
            <w:tcW w:w="1172"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5F3557CD" w14:textId="77777777">
            <w:pPr>
              <w:jc w:val="right"/>
              <w:rPr>
                <w:rFonts w:ascii="Times New Roman" w:hAnsi="Times New Roman" w:cs="Times New Roman"/>
                <w:sz w:val="18"/>
              </w:rPr>
            </w:pPr>
            <w:r w:rsidRPr="00F404D4">
              <w:rPr>
                <w:rFonts w:ascii="Times New Roman" w:hAnsi="Times New Roman" w:cs="Times New Roman"/>
                <w:sz w:val="18"/>
              </w:rPr>
              <w:t>1</w:t>
            </w:r>
          </w:p>
        </w:tc>
        <w:tc>
          <w:tcPr>
            <w:tcW w:w="1261"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1C7647EA" w14:textId="77777777">
            <w:pPr>
              <w:jc w:val="right"/>
              <w:rPr>
                <w:rFonts w:ascii="Times New Roman" w:hAnsi="Times New Roman" w:cs="Times New Roman"/>
                <w:sz w:val="18"/>
              </w:rPr>
            </w:pPr>
            <w:r w:rsidRPr="00F404D4">
              <w:rPr>
                <w:rFonts w:ascii="Times New Roman" w:hAnsi="Times New Roman" w:cs="Times New Roman"/>
                <w:sz w:val="18"/>
              </w:rPr>
              <w:t>6</w:t>
            </w:r>
          </w:p>
        </w:tc>
        <w:tc>
          <w:tcPr>
            <w:tcW w:w="1080"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00B199D4" w14:textId="77777777">
            <w:pPr>
              <w:jc w:val="right"/>
              <w:rPr>
                <w:rFonts w:ascii="Times New Roman" w:hAnsi="Times New Roman" w:cs="Times New Roman"/>
                <w:sz w:val="18"/>
              </w:rPr>
            </w:pPr>
            <w:r w:rsidRPr="00F404D4">
              <w:rPr>
                <w:rFonts w:ascii="Times New Roman" w:hAnsi="Times New Roman" w:cs="Times New Roman"/>
                <w:sz w:val="18"/>
              </w:rPr>
              <w:t>4,680 hrs.</w:t>
            </w:r>
          </w:p>
        </w:tc>
        <w:tc>
          <w:tcPr>
            <w:tcW w:w="1351"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386707DF" w14:textId="77777777">
            <w:pPr>
              <w:jc w:val="right"/>
              <w:rPr>
                <w:rFonts w:ascii="Times New Roman" w:hAnsi="Times New Roman" w:cs="Times New Roman"/>
                <w:sz w:val="18"/>
              </w:rPr>
            </w:pPr>
            <w:r w:rsidRPr="00F404D4">
              <w:rPr>
                <w:rFonts w:ascii="Times New Roman" w:hAnsi="Times New Roman" w:cs="Times New Roman"/>
                <w:sz w:val="18"/>
              </w:rPr>
              <w:t>$390,312</w:t>
            </w:r>
          </w:p>
        </w:tc>
        <w:tc>
          <w:tcPr>
            <w:tcW w:w="1080"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63A5D625" w14:textId="77777777">
            <w:pPr>
              <w:jc w:val="right"/>
              <w:rPr>
                <w:rFonts w:ascii="Times New Roman" w:hAnsi="Times New Roman" w:cs="Times New Roman"/>
                <w:sz w:val="18"/>
              </w:rPr>
            </w:pPr>
            <w:r w:rsidRPr="00F404D4">
              <w:rPr>
                <w:rFonts w:ascii="Times New Roman" w:hAnsi="Times New Roman" w:cs="Times New Roman"/>
                <w:sz w:val="18"/>
              </w:rPr>
              <w:t xml:space="preserve">28,080 hrs. </w:t>
            </w:r>
          </w:p>
        </w:tc>
        <w:tc>
          <w:tcPr>
            <w:tcW w:w="1441"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6C153077" w14:textId="77777777">
            <w:pPr>
              <w:jc w:val="right"/>
              <w:rPr>
                <w:rFonts w:ascii="Times New Roman" w:hAnsi="Times New Roman" w:cs="Times New Roman"/>
                <w:sz w:val="18"/>
              </w:rPr>
            </w:pPr>
            <w:r w:rsidRPr="00F404D4">
              <w:rPr>
                <w:rFonts w:ascii="Times New Roman" w:hAnsi="Times New Roman" w:cs="Times New Roman"/>
                <w:sz w:val="18"/>
              </w:rPr>
              <w:t>$2,341,872</w:t>
            </w:r>
          </w:p>
        </w:tc>
      </w:tr>
      <w:tr w14:paraId="2A9553AB" w14:textId="77777777" w:rsidTr="005552FF">
        <w:tblPrEx>
          <w:tblW w:w="10980" w:type="dxa"/>
          <w:tblLayout w:type="fixed"/>
          <w:tblLook w:val="01E0"/>
        </w:tblPrEx>
        <w:trPr>
          <w:trHeight w:val="255"/>
        </w:trPr>
        <w:tc>
          <w:tcPr>
            <w:tcW w:w="1252" w:type="dxa"/>
            <w:vMerge/>
            <w:tcBorders>
              <w:top w:val="single" w:sz="4" w:space="0" w:color="auto"/>
              <w:left w:val="single" w:sz="4" w:space="0" w:color="auto"/>
              <w:bottom w:val="single" w:sz="4" w:space="0" w:color="auto"/>
              <w:right w:val="single" w:sz="4" w:space="0" w:color="auto"/>
            </w:tcBorders>
            <w:vAlign w:val="center"/>
            <w:hideMark/>
          </w:tcPr>
          <w:p w:rsidR="00F404D4" w:rsidRPr="00F404D4" w:rsidP="00F404D4" w14:paraId="589A354F" w14:textId="77777777">
            <w:pPr>
              <w:rPr>
                <w:rFonts w:ascii="Times New Roman" w:hAnsi="Times New Roman" w:cs="Times New Roman"/>
                <w:sz w:val="18"/>
              </w:rPr>
            </w:pPr>
          </w:p>
        </w:tc>
        <w:tc>
          <w:tcPr>
            <w:tcW w:w="1534" w:type="dxa"/>
            <w:tcBorders>
              <w:top w:val="single" w:sz="4" w:space="0" w:color="auto"/>
              <w:left w:val="single" w:sz="4" w:space="0" w:color="auto"/>
              <w:bottom w:val="single" w:sz="4" w:space="0" w:color="auto"/>
              <w:right w:val="single" w:sz="4" w:space="0" w:color="auto"/>
            </w:tcBorders>
            <w:hideMark/>
          </w:tcPr>
          <w:p w:rsidR="00F404D4" w:rsidRPr="00F404D4" w:rsidP="00F404D4" w14:paraId="2EFC0F70" w14:textId="77777777">
            <w:pPr>
              <w:rPr>
                <w:rFonts w:ascii="Times New Roman" w:hAnsi="Times New Roman" w:cs="Times New Roman"/>
                <w:sz w:val="18"/>
              </w:rPr>
            </w:pPr>
            <w:r w:rsidRPr="00F404D4">
              <w:rPr>
                <w:rFonts w:ascii="Times New Roman" w:hAnsi="Times New Roman" w:cs="Times New Roman"/>
                <w:sz w:val="18"/>
              </w:rPr>
              <w:t>Other Reporting</w:t>
            </w:r>
          </w:p>
        </w:tc>
        <w:tc>
          <w:tcPr>
            <w:tcW w:w="809" w:type="dxa"/>
            <w:vMerge/>
            <w:tcBorders>
              <w:top w:val="single" w:sz="4" w:space="0" w:color="auto"/>
              <w:left w:val="single" w:sz="4" w:space="0" w:color="auto"/>
              <w:bottom w:val="single" w:sz="4" w:space="0" w:color="auto"/>
              <w:right w:val="single" w:sz="4" w:space="0" w:color="auto"/>
            </w:tcBorders>
            <w:vAlign w:val="center"/>
            <w:hideMark/>
          </w:tcPr>
          <w:p w:rsidR="00F404D4" w:rsidRPr="00F404D4" w:rsidP="00F404D4" w14:paraId="16E8F935" w14:textId="77777777">
            <w:pPr>
              <w:rPr>
                <w:rFonts w:ascii="Times New Roman" w:hAnsi="Times New Roman" w:cs="Times New Roman"/>
                <w:sz w:val="18"/>
              </w:rPr>
            </w:pPr>
          </w:p>
        </w:tc>
        <w:tc>
          <w:tcPr>
            <w:tcW w:w="1172"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02AD1E9B" w14:textId="77777777">
            <w:pPr>
              <w:jc w:val="right"/>
              <w:rPr>
                <w:rFonts w:ascii="Times New Roman" w:hAnsi="Times New Roman" w:cs="Times New Roman"/>
                <w:sz w:val="18"/>
              </w:rPr>
            </w:pPr>
            <w:r w:rsidRPr="00F404D4">
              <w:rPr>
                <w:rFonts w:ascii="Times New Roman" w:hAnsi="Times New Roman" w:cs="Times New Roman"/>
                <w:sz w:val="18"/>
              </w:rPr>
              <w:t>1</w:t>
            </w:r>
          </w:p>
        </w:tc>
        <w:tc>
          <w:tcPr>
            <w:tcW w:w="1261"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467BC433" w14:textId="77777777">
            <w:pPr>
              <w:jc w:val="right"/>
              <w:rPr>
                <w:rFonts w:ascii="Times New Roman" w:hAnsi="Times New Roman" w:cs="Times New Roman"/>
                <w:sz w:val="18"/>
              </w:rPr>
            </w:pPr>
            <w:r w:rsidRPr="00F404D4">
              <w:rPr>
                <w:rFonts w:ascii="Times New Roman" w:hAnsi="Times New Roman" w:cs="Times New Roman"/>
                <w:sz w:val="18"/>
              </w:rPr>
              <w:t>6</w:t>
            </w:r>
          </w:p>
        </w:tc>
        <w:tc>
          <w:tcPr>
            <w:tcW w:w="1080"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1522B299" w14:textId="77777777">
            <w:pPr>
              <w:jc w:val="right"/>
              <w:rPr>
                <w:rFonts w:ascii="Times New Roman" w:hAnsi="Times New Roman" w:cs="Times New Roman"/>
                <w:sz w:val="18"/>
              </w:rPr>
            </w:pPr>
            <w:r w:rsidRPr="00F404D4">
              <w:rPr>
                <w:rFonts w:ascii="Times New Roman" w:hAnsi="Times New Roman" w:cs="Times New Roman"/>
                <w:sz w:val="18"/>
              </w:rPr>
              <w:t>1,040 hrs.</w:t>
            </w:r>
          </w:p>
        </w:tc>
        <w:tc>
          <w:tcPr>
            <w:tcW w:w="1351"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6F2A486F" w14:textId="77777777">
            <w:pPr>
              <w:jc w:val="right"/>
              <w:rPr>
                <w:rFonts w:ascii="Times New Roman" w:hAnsi="Times New Roman" w:cs="Times New Roman"/>
                <w:sz w:val="18"/>
              </w:rPr>
            </w:pPr>
            <w:r w:rsidRPr="00F404D4">
              <w:rPr>
                <w:rFonts w:ascii="Times New Roman" w:hAnsi="Times New Roman" w:cs="Times New Roman"/>
                <w:sz w:val="18"/>
              </w:rPr>
              <w:t>$86,736</w:t>
            </w:r>
          </w:p>
        </w:tc>
        <w:tc>
          <w:tcPr>
            <w:tcW w:w="1080"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4429B4A6" w14:textId="77777777">
            <w:pPr>
              <w:jc w:val="right"/>
              <w:rPr>
                <w:rFonts w:ascii="Times New Roman" w:hAnsi="Times New Roman" w:cs="Times New Roman"/>
                <w:sz w:val="18"/>
              </w:rPr>
            </w:pPr>
            <w:r w:rsidRPr="00F404D4">
              <w:rPr>
                <w:rFonts w:ascii="Times New Roman" w:hAnsi="Times New Roman" w:cs="Times New Roman"/>
                <w:sz w:val="18"/>
              </w:rPr>
              <w:t>7,280 hrs.</w:t>
            </w:r>
          </w:p>
        </w:tc>
        <w:tc>
          <w:tcPr>
            <w:tcW w:w="1441"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0F04148E" w14:textId="77777777">
            <w:pPr>
              <w:jc w:val="right"/>
              <w:rPr>
                <w:rFonts w:ascii="Times New Roman" w:hAnsi="Times New Roman" w:cs="Times New Roman"/>
                <w:sz w:val="18"/>
              </w:rPr>
            </w:pPr>
            <w:r w:rsidRPr="00F404D4">
              <w:rPr>
                <w:rFonts w:ascii="Times New Roman" w:hAnsi="Times New Roman" w:cs="Times New Roman"/>
                <w:sz w:val="18"/>
              </w:rPr>
              <w:t>$607,152</w:t>
            </w:r>
          </w:p>
        </w:tc>
      </w:tr>
      <w:tr w14:paraId="3088966E" w14:textId="77777777" w:rsidTr="005552FF">
        <w:tblPrEx>
          <w:tblW w:w="10980" w:type="dxa"/>
          <w:tblLayout w:type="fixed"/>
          <w:tblLook w:val="01E0"/>
        </w:tblPrEx>
        <w:trPr>
          <w:trHeight w:val="255"/>
        </w:trPr>
        <w:tc>
          <w:tcPr>
            <w:tcW w:w="278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F404D4" w:rsidRPr="00F404D4" w:rsidP="00F404D4" w14:paraId="3DB796EC" w14:textId="77777777">
            <w:pPr>
              <w:rPr>
                <w:rFonts w:ascii="Times New Roman" w:hAnsi="Times New Roman" w:cs="Times New Roman"/>
                <w:sz w:val="18"/>
              </w:rPr>
            </w:pPr>
            <w:r w:rsidRPr="00F404D4">
              <w:rPr>
                <w:rFonts w:ascii="Times New Roman" w:hAnsi="Times New Roman" w:cs="Times New Roman"/>
                <w:i/>
                <w:sz w:val="18"/>
              </w:rPr>
              <w:t>Regional Entities, Sub-Total</w:t>
            </w:r>
          </w:p>
        </w:tc>
        <w:tc>
          <w:tcPr>
            <w:tcW w:w="809" w:type="dxa"/>
            <w:tcBorders>
              <w:top w:val="single" w:sz="4" w:space="0" w:color="auto"/>
              <w:left w:val="single" w:sz="4" w:space="0" w:color="auto"/>
              <w:bottom w:val="single" w:sz="4" w:space="0" w:color="auto"/>
              <w:right w:val="single" w:sz="4" w:space="0" w:color="auto"/>
            </w:tcBorders>
            <w:shd w:val="clear" w:color="auto" w:fill="D9D9D9"/>
            <w:vAlign w:val="bottom"/>
          </w:tcPr>
          <w:p w:rsidR="00F404D4" w:rsidRPr="00F404D4" w:rsidP="00F404D4" w14:paraId="4725A05E" w14:textId="77777777">
            <w:pPr>
              <w:rPr>
                <w:rFonts w:ascii="Times New Roman" w:hAnsi="Times New Roman" w:cs="Times New Roman"/>
                <w:sz w:val="18"/>
              </w:rPr>
            </w:pPr>
          </w:p>
        </w:tc>
        <w:tc>
          <w:tcPr>
            <w:tcW w:w="1172" w:type="dxa"/>
            <w:tcBorders>
              <w:top w:val="single" w:sz="4" w:space="0" w:color="auto"/>
              <w:left w:val="single" w:sz="4" w:space="0" w:color="auto"/>
              <w:bottom w:val="single" w:sz="4" w:space="0" w:color="auto"/>
              <w:right w:val="single" w:sz="4" w:space="0" w:color="auto"/>
            </w:tcBorders>
            <w:shd w:val="clear" w:color="auto" w:fill="D9D9D9"/>
            <w:vAlign w:val="bottom"/>
          </w:tcPr>
          <w:p w:rsidR="00F404D4" w:rsidRPr="00F404D4" w:rsidP="005552FF" w14:paraId="09861EAD" w14:textId="77777777">
            <w:pPr>
              <w:jc w:val="right"/>
              <w:rPr>
                <w:rFonts w:ascii="Times New Roman" w:hAnsi="Times New Roman" w:cs="Times New Roman"/>
                <w:sz w:val="18"/>
              </w:rPr>
            </w:pPr>
          </w:p>
        </w:tc>
        <w:tc>
          <w:tcPr>
            <w:tcW w:w="1261"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F404D4" w:rsidRPr="00F404D4" w:rsidP="005552FF" w14:paraId="7953953B" w14:textId="77777777">
            <w:pPr>
              <w:jc w:val="right"/>
              <w:rPr>
                <w:rFonts w:ascii="Times New Roman" w:hAnsi="Times New Roman" w:cs="Times New Roman"/>
                <w:sz w:val="18"/>
              </w:rPr>
            </w:pPr>
            <w:r w:rsidRPr="00F404D4">
              <w:rPr>
                <w:rFonts w:ascii="Times New Roman" w:hAnsi="Times New Roman" w:cs="Times New Roman"/>
                <w:sz w:val="18"/>
              </w:rPr>
              <w:t>25.2</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bottom"/>
          </w:tcPr>
          <w:p w:rsidR="00F404D4" w:rsidRPr="00F404D4" w:rsidP="005552FF" w14:paraId="1690F617" w14:textId="77777777">
            <w:pPr>
              <w:jc w:val="right"/>
              <w:rPr>
                <w:rFonts w:ascii="Times New Roman" w:hAnsi="Times New Roman" w:cs="Times New Roman"/>
                <w:sz w:val="18"/>
              </w:rPr>
            </w:pPr>
          </w:p>
        </w:tc>
        <w:tc>
          <w:tcPr>
            <w:tcW w:w="1351" w:type="dxa"/>
            <w:tcBorders>
              <w:top w:val="single" w:sz="4" w:space="0" w:color="auto"/>
              <w:left w:val="single" w:sz="4" w:space="0" w:color="auto"/>
              <w:bottom w:val="single" w:sz="4" w:space="0" w:color="auto"/>
              <w:right w:val="single" w:sz="4" w:space="0" w:color="auto"/>
            </w:tcBorders>
            <w:shd w:val="clear" w:color="auto" w:fill="D9D9D9"/>
            <w:vAlign w:val="bottom"/>
          </w:tcPr>
          <w:p w:rsidR="00F404D4" w:rsidRPr="00F404D4" w:rsidP="005552FF" w14:paraId="523D9B5C" w14:textId="77777777">
            <w:pPr>
              <w:jc w:val="right"/>
              <w:rPr>
                <w:rFonts w:ascii="Times New Roman" w:hAnsi="Times New Roman" w:cs="Times New Roman"/>
                <w:i/>
                <w:sz w:val="18"/>
              </w:rPr>
            </w:pPr>
          </w:p>
        </w:tc>
        <w:tc>
          <w:tcPr>
            <w:tcW w:w="108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F404D4" w:rsidRPr="00F404D4" w:rsidP="005552FF" w14:paraId="207DEB72" w14:textId="77777777">
            <w:pPr>
              <w:jc w:val="right"/>
              <w:rPr>
                <w:rFonts w:ascii="Times New Roman" w:hAnsi="Times New Roman" w:cs="Times New Roman"/>
                <w:sz w:val="18"/>
              </w:rPr>
            </w:pPr>
            <w:r w:rsidRPr="00F404D4">
              <w:rPr>
                <w:rFonts w:ascii="Times New Roman" w:hAnsi="Times New Roman" w:cs="Times New Roman"/>
                <w:i/>
                <w:sz w:val="18"/>
              </w:rPr>
              <w:t>420,992 hrs.</w:t>
            </w:r>
          </w:p>
        </w:tc>
        <w:tc>
          <w:tcPr>
            <w:tcW w:w="1441"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F404D4" w:rsidRPr="00F404D4" w:rsidP="005552FF" w14:paraId="19BE31C8" w14:textId="77777777">
            <w:pPr>
              <w:jc w:val="right"/>
              <w:rPr>
                <w:rFonts w:ascii="Times New Roman" w:hAnsi="Times New Roman" w:cs="Times New Roman"/>
                <w:i/>
                <w:sz w:val="18"/>
              </w:rPr>
            </w:pPr>
            <w:r w:rsidRPr="00F404D4">
              <w:rPr>
                <w:rFonts w:ascii="Times New Roman" w:hAnsi="Times New Roman" w:cs="Times New Roman"/>
                <w:i/>
                <w:sz w:val="18"/>
              </w:rPr>
              <w:t>$35,110,732.60</w:t>
            </w:r>
          </w:p>
        </w:tc>
      </w:tr>
      <w:tr w14:paraId="0317A09B" w14:textId="77777777" w:rsidTr="005552FF">
        <w:tblPrEx>
          <w:tblW w:w="10980" w:type="dxa"/>
          <w:tblLayout w:type="fixed"/>
          <w:tblLook w:val="01E0"/>
        </w:tblPrEx>
        <w:trPr>
          <w:trHeight w:val="170"/>
        </w:trPr>
        <w:tc>
          <w:tcPr>
            <w:tcW w:w="1252" w:type="dxa"/>
            <w:vMerge w:val="restart"/>
            <w:tcBorders>
              <w:top w:val="single" w:sz="4" w:space="0" w:color="auto"/>
              <w:left w:val="single" w:sz="4" w:space="0" w:color="auto"/>
              <w:bottom w:val="single" w:sz="4" w:space="0" w:color="auto"/>
              <w:right w:val="single" w:sz="4" w:space="0" w:color="auto"/>
            </w:tcBorders>
            <w:hideMark/>
          </w:tcPr>
          <w:p w:rsidR="00F404D4" w:rsidRPr="00F404D4" w:rsidP="00F404D4" w14:paraId="02FFCC76" w14:textId="77777777">
            <w:pPr>
              <w:rPr>
                <w:rFonts w:ascii="Times New Roman" w:hAnsi="Times New Roman" w:cs="Times New Roman"/>
                <w:sz w:val="18"/>
              </w:rPr>
            </w:pPr>
            <w:r w:rsidRPr="00F404D4">
              <w:rPr>
                <w:rFonts w:ascii="Times New Roman" w:hAnsi="Times New Roman" w:cs="Times New Roman"/>
                <w:sz w:val="18"/>
              </w:rPr>
              <w:t>Registered Entities</w:t>
            </w:r>
          </w:p>
        </w:tc>
        <w:tc>
          <w:tcPr>
            <w:tcW w:w="1534" w:type="dxa"/>
            <w:tcBorders>
              <w:top w:val="single" w:sz="4" w:space="0" w:color="auto"/>
              <w:left w:val="single" w:sz="4" w:space="0" w:color="auto"/>
              <w:bottom w:val="single" w:sz="4" w:space="0" w:color="auto"/>
              <w:right w:val="single" w:sz="4" w:space="0" w:color="auto"/>
            </w:tcBorders>
            <w:hideMark/>
          </w:tcPr>
          <w:p w:rsidR="00F404D4" w:rsidRPr="00F404D4" w:rsidP="00F404D4" w14:paraId="2A537DD2" w14:textId="77777777">
            <w:pPr>
              <w:rPr>
                <w:rFonts w:ascii="Times New Roman" w:hAnsi="Times New Roman" w:cs="Times New Roman"/>
                <w:sz w:val="18"/>
              </w:rPr>
            </w:pPr>
            <w:r w:rsidRPr="00F404D4">
              <w:rPr>
                <w:rFonts w:ascii="Times New Roman" w:hAnsi="Times New Roman" w:cs="Times New Roman"/>
                <w:sz w:val="18"/>
              </w:rPr>
              <w:t>Stakeholder Survey</w:t>
            </w:r>
          </w:p>
        </w:tc>
        <w:tc>
          <w:tcPr>
            <w:tcW w:w="809" w:type="dxa"/>
            <w:vMerge w:val="restart"/>
            <w:tcBorders>
              <w:top w:val="single" w:sz="4" w:space="0" w:color="auto"/>
              <w:left w:val="single" w:sz="4" w:space="0" w:color="auto"/>
              <w:bottom w:val="single" w:sz="4" w:space="0" w:color="auto"/>
              <w:right w:val="single" w:sz="4" w:space="0" w:color="auto"/>
            </w:tcBorders>
            <w:vAlign w:val="bottom"/>
            <w:hideMark/>
          </w:tcPr>
          <w:p w:rsidR="00F404D4" w:rsidRPr="00F404D4" w:rsidP="00F404D4" w14:paraId="600EA88C" w14:textId="77777777">
            <w:pPr>
              <w:rPr>
                <w:rFonts w:ascii="Times New Roman" w:hAnsi="Times New Roman" w:cs="Times New Roman"/>
                <w:sz w:val="18"/>
              </w:rPr>
            </w:pPr>
            <w:r w:rsidRPr="00F404D4">
              <w:rPr>
                <w:rFonts w:ascii="Times New Roman" w:hAnsi="Times New Roman" w:cs="Times New Roman"/>
                <w:sz w:val="18"/>
              </w:rPr>
              <w:t>estimated 1,496</w:t>
            </w:r>
          </w:p>
        </w:tc>
        <w:tc>
          <w:tcPr>
            <w:tcW w:w="1172"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2D64E9BD" w14:textId="77777777">
            <w:pPr>
              <w:jc w:val="right"/>
              <w:rPr>
                <w:rFonts w:ascii="Times New Roman" w:hAnsi="Times New Roman" w:cs="Times New Roman"/>
                <w:sz w:val="18"/>
              </w:rPr>
            </w:pPr>
            <w:r w:rsidRPr="00F404D4">
              <w:rPr>
                <w:rFonts w:ascii="Times New Roman" w:hAnsi="Times New Roman" w:cs="Times New Roman"/>
                <w:sz w:val="18"/>
              </w:rPr>
              <w:t>.2</w:t>
            </w:r>
          </w:p>
        </w:tc>
        <w:tc>
          <w:tcPr>
            <w:tcW w:w="1261"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1367BA33" w14:textId="77777777">
            <w:pPr>
              <w:jc w:val="right"/>
              <w:rPr>
                <w:rFonts w:ascii="Times New Roman" w:hAnsi="Times New Roman" w:cs="Times New Roman"/>
                <w:sz w:val="18"/>
              </w:rPr>
            </w:pPr>
            <w:r w:rsidRPr="00F404D4">
              <w:rPr>
                <w:rFonts w:ascii="Times New Roman" w:hAnsi="Times New Roman" w:cs="Times New Roman"/>
                <w:sz w:val="18"/>
              </w:rPr>
              <w:t>299.2</w:t>
            </w:r>
          </w:p>
        </w:tc>
        <w:tc>
          <w:tcPr>
            <w:tcW w:w="1080"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0D5EF565" w14:textId="77777777">
            <w:pPr>
              <w:jc w:val="right"/>
              <w:rPr>
                <w:rFonts w:ascii="Times New Roman" w:hAnsi="Times New Roman" w:cs="Times New Roman"/>
                <w:sz w:val="18"/>
              </w:rPr>
            </w:pPr>
            <w:r w:rsidRPr="00F404D4">
              <w:rPr>
                <w:rFonts w:ascii="Times New Roman" w:hAnsi="Times New Roman" w:cs="Times New Roman"/>
                <w:sz w:val="18"/>
              </w:rPr>
              <w:t>8 hrs.</w:t>
            </w:r>
          </w:p>
        </w:tc>
        <w:tc>
          <w:tcPr>
            <w:tcW w:w="1351"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0EF8E662" w14:textId="77777777">
            <w:pPr>
              <w:jc w:val="right"/>
              <w:rPr>
                <w:rFonts w:ascii="Times New Roman" w:hAnsi="Times New Roman" w:cs="Times New Roman"/>
                <w:sz w:val="18"/>
              </w:rPr>
            </w:pPr>
            <w:r w:rsidRPr="00F404D4">
              <w:rPr>
                <w:rFonts w:ascii="Times New Roman" w:hAnsi="Times New Roman" w:cs="Times New Roman"/>
                <w:sz w:val="18"/>
              </w:rPr>
              <w:t>$667.20</w:t>
            </w:r>
          </w:p>
        </w:tc>
        <w:tc>
          <w:tcPr>
            <w:tcW w:w="1080"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7DAAE409" w14:textId="77777777">
            <w:pPr>
              <w:jc w:val="right"/>
              <w:rPr>
                <w:rFonts w:ascii="Times New Roman" w:hAnsi="Times New Roman" w:cs="Times New Roman"/>
                <w:sz w:val="18"/>
              </w:rPr>
            </w:pPr>
            <w:r w:rsidRPr="00F404D4">
              <w:rPr>
                <w:rFonts w:ascii="Times New Roman" w:hAnsi="Times New Roman" w:cs="Times New Roman"/>
                <w:sz w:val="18"/>
              </w:rPr>
              <w:t>2,393.6 hrs.</w:t>
            </w:r>
          </w:p>
        </w:tc>
        <w:tc>
          <w:tcPr>
            <w:tcW w:w="1441"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1FFB3471" w14:textId="77777777">
            <w:pPr>
              <w:jc w:val="right"/>
              <w:rPr>
                <w:rFonts w:ascii="Times New Roman" w:hAnsi="Times New Roman" w:cs="Times New Roman"/>
                <w:sz w:val="18"/>
              </w:rPr>
            </w:pPr>
            <w:r w:rsidRPr="00F404D4">
              <w:rPr>
                <w:rFonts w:ascii="Times New Roman" w:hAnsi="Times New Roman" w:cs="Times New Roman"/>
                <w:sz w:val="18"/>
              </w:rPr>
              <w:t>$199,626.20</w:t>
            </w:r>
          </w:p>
        </w:tc>
      </w:tr>
      <w:tr w14:paraId="3589808D" w14:textId="77777777" w:rsidTr="005552FF">
        <w:tblPrEx>
          <w:tblW w:w="10980" w:type="dxa"/>
          <w:tblLayout w:type="fixed"/>
          <w:tblLook w:val="01E0"/>
        </w:tblPrEx>
        <w:trPr>
          <w:trHeight w:val="170"/>
        </w:trPr>
        <w:tc>
          <w:tcPr>
            <w:tcW w:w="1252" w:type="dxa"/>
            <w:vMerge/>
            <w:tcBorders>
              <w:top w:val="single" w:sz="4" w:space="0" w:color="auto"/>
              <w:left w:val="single" w:sz="4" w:space="0" w:color="auto"/>
              <w:bottom w:val="single" w:sz="4" w:space="0" w:color="auto"/>
              <w:right w:val="single" w:sz="4" w:space="0" w:color="auto"/>
            </w:tcBorders>
            <w:vAlign w:val="center"/>
            <w:hideMark/>
          </w:tcPr>
          <w:p w:rsidR="00F404D4" w:rsidRPr="00F404D4" w:rsidP="00F404D4" w14:paraId="3C790DB6" w14:textId="77777777">
            <w:pPr>
              <w:rPr>
                <w:rFonts w:ascii="Times New Roman" w:hAnsi="Times New Roman" w:cs="Times New Roman"/>
                <w:sz w:val="18"/>
              </w:rPr>
            </w:pPr>
          </w:p>
        </w:tc>
        <w:tc>
          <w:tcPr>
            <w:tcW w:w="1534" w:type="dxa"/>
            <w:tcBorders>
              <w:top w:val="single" w:sz="4" w:space="0" w:color="auto"/>
              <w:left w:val="single" w:sz="4" w:space="0" w:color="auto"/>
              <w:bottom w:val="single" w:sz="4" w:space="0" w:color="auto"/>
              <w:right w:val="single" w:sz="4" w:space="0" w:color="auto"/>
            </w:tcBorders>
            <w:hideMark/>
          </w:tcPr>
          <w:p w:rsidR="00F404D4" w:rsidRPr="00F404D4" w:rsidP="00F404D4" w14:paraId="0B0FC9D4" w14:textId="77777777">
            <w:pPr>
              <w:rPr>
                <w:rFonts w:ascii="Times New Roman" w:hAnsi="Times New Roman" w:cs="Times New Roman"/>
                <w:sz w:val="18"/>
              </w:rPr>
            </w:pPr>
            <w:r w:rsidRPr="00F404D4">
              <w:rPr>
                <w:rFonts w:ascii="Times New Roman" w:hAnsi="Times New Roman" w:cs="Times New Roman"/>
                <w:sz w:val="18"/>
              </w:rPr>
              <w:t>Reliability Compliance</w:t>
            </w:r>
          </w:p>
        </w:tc>
        <w:tc>
          <w:tcPr>
            <w:tcW w:w="809" w:type="dxa"/>
            <w:vMerge/>
            <w:tcBorders>
              <w:top w:val="single" w:sz="4" w:space="0" w:color="auto"/>
              <w:left w:val="single" w:sz="4" w:space="0" w:color="auto"/>
              <w:bottom w:val="single" w:sz="4" w:space="0" w:color="auto"/>
              <w:right w:val="single" w:sz="4" w:space="0" w:color="auto"/>
            </w:tcBorders>
            <w:vAlign w:val="center"/>
            <w:hideMark/>
          </w:tcPr>
          <w:p w:rsidR="00F404D4" w:rsidRPr="00F404D4" w:rsidP="00F404D4" w14:paraId="77BE71CD" w14:textId="77777777">
            <w:pPr>
              <w:rPr>
                <w:rFonts w:ascii="Times New Roman" w:hAnsi="Times New Roman" w:cs="Times New Roman"/>
                <w:sz w:val="18"/>
              </w:rPr>
            </w:pPr>
          </w:p>
        </w:tc>
        <w:tc>
          <w:tcPr>
            <w:tcW w:w="1172"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6020B09E" w14:textId="77777777">
            <w:pPr>
              <w:jc w:val="right"/>
              <w:rPr>
                <w:rFonts w:ascii="Times New Roman" w:hAnsi="Times New Roman" w:cs="Times New Roman"/>
                <w:sz w:val="18"/>
              </w:rPr>
            </w:pPr>
            <w:r w:rsidRPr="00F404D4">
              <w:rPr>
                <w:rFonts w:ascii="Times New Roman" w:hAnsi="Times New Roman" w:cs="Times New Roman"/>
                <w:sz w:val="18"/>
              </w:rPr>
              <w:t>1</w:t>
            </w:r>
          </w:p>
        </w:tc>
        <w:tc>
          <w:tcPr>
            <w:tcW w:w="1261"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61249402" w14:textId="77777777">
            <w:pPr>
              <w:jc w:val="right"/>
              <w:rPr>
                <w:rFonts w:ascii="Times New Roman" w:hAnsi="Times New Roman" w:cs="Times New Roman"/>
                <w:sz w:val="18"/>
              </w:rPr>
            </w:pPr>
            <w:r w:rsidRPr="00F404D4">
              <w:rPr>
                <w:rFonts w:ascii="Times New Roman" w:hAnsi="Times New Roman" w:cs="Times New Roman"/>
                <w:sz w:val="18"/>
              </w:rPr>
              <w:t>1,496</w:t>
            </w:r>
          </w:p>
        </w:tc>
        <w:tc>
          <w:tcPr>
            <w:tcW w:w="1080"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534EFF2C" w14:textId="77777777">
            <w:pPr>
              <w:jc w:val="right"/>
              <w:rPr>
                <w:rFonts w:ascii="Times New Roman" w:hAnsi="Times New Roman" w:cs="Times New Roman"/>
                <w:sz w:val="18"/>
              </w:rPr>
            </w:pPr>
            <w:r w:rsidRPr="00F404D4">
              <w:rPr>
                <w:rFonts w:ascii="Times New Roman" w:hAnsi="Times New Roman" w:cs="Times New Roman"/>
                <w:sz w:val="18"/>
              </w:rPr>
              <w:t>400 hrs.</w:t>
            </w:r>
          </w:p>
        </w:tc>
        <w:tc>
          <w:tcPr>
            <w:tcW w:w="1351"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18A00AC9" w14:textId="77777777">
            <w:pPr>
              <w:jc w:val="right"/>
              <w:rPr>
                <w:rFonts w:ascii="Times New Roman" w:hAnsi="Times New Roman" w:cs="Times New Roman"/>
                <w:sz w:val="18"/>
              </w:rPr>
            </w:pPr>
            <w:r w:rsidRPr="00F404D4">
              <w:rPr>
                <w:rFonts w:ascii="Times New Roman" w:hAnsi="Times New Roman" w:cs="Times New Roman"/>
                <w:sz w:val="18"/>
              </w:rPr>
              <w:t>$33,360</w:t>
            </w:r>
          </w:p>
        </w:tc>
        <w:tc>
          <w:tcPr>
            <w:tcW w:w="1080"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4ECA85A7" w14:textId="77777777">
            <w:pPr>
              <w:jc w:val="right"/>
              <w:rPr>
                <w:rFonts w:ascii="Times New Roman" w:hAnsi="Times New Roman" w:cs="Times New Roman"/>
                <w:sz w:val="18"/>
              </w:rPr>
            </w:pPr>
            <w:r w:rsidRPr="00F404D4">
              <w:rPr>
                <w:rFonts w:ascii="Times New Roman" w:hAnsi="Times New Roman" w:cs="Times New Roman"/>
                <w:sz w:val="18"/>
              </w:rPr>
              <w:t>598,400 hrs.</w:t>
            </w:r>
          </w:p>
        </w:tc>
        <w:tc>
          <w:tcPr>
            <w:tcW w:w="1441" w:type="dxa"/>
            <w:tcBorders>
              <w:top w:val="single" w:sz="4" w:space="0" w:color="auto"/>
              <w:left w:val="single" w:sz="4" w:space="0" w:color="auto"/>
              <w:bottom w:val="single" w:sz="4" w:space="0" w:color="auto"/>
              <w:right w:val="single" w:sz="4" w:space="0" w:color="auto"/>
            </w:tcBorders>
            <w:vAlign w:val="bottom"/>
            <w:hideMark/>
          </w:tcPr>
          <w:p w:rsidR="00F404D4" w:rsidRPr="00F404D4" w:rsidP="005552FF" w14:paraId="4A764031" w14:textId="77777777">
            <w:pPr>
              <w:jc w:val="right"/>
              <w:rPr>
                <w:rFonts w:ascii="Times New Roman" w:hAnsi="Times New Roman" w:cs="Times New Roman"/>
                <w:sz w:val="18"/>
              </w:rPr>
            </w:pPr>
            <w:r w:rsidRPr="00F404D4">
              <w:rPr>
                <w:rFonts w:ascii="Times New Roman" w:hAnsi="Times New Roman" w:cs="Times New Roman"/>
                <w:sz w:val="18"/>
              </w:rPr>
              <w:t>$49,906,186</w:t>
            </w:r>
          </w:p>
        </w:tc>
      </w:tr>
      <w:tr w14:paraId="6E9F043B" w14:textId="77777777" w:rsidTr="005552FF">
        <w:tblPrEx>
          <w:tblW w:w="10980" w:type="dxa"/>
          <w:tblLayout w:type="fixed"/>
          <w:tblLook w:val="01E0"/>
        </w:tblPrEx>
        <w:trPr>
          <w:trHeight w:val="170"/>
        </w:trPr>
        <w:tc>
          <w:tcPr>
            <w:tcW w:w="2786" w:type="dxa"/>
            <w:gridSpan w:val="2"/>
            <w:tcBorders>
              <w:top w:val="single" w:sz="4" w:space="0" w:color="auto"/>
              <w:left w:val="single" w:sz="4" w:space="0" w:color="auto"/>
              <w:bottom w:val="single" w:sz="4" w:space="0" w:color="auto"/>
              <w:right w:val="single" w:sz="4" w:space="0" w:color="auto"/>
            </w:tcBorders>
            <w:shd w:val="clear" w:color="auto" w:fill="D9D9D9"/>
            <w:hideMark/>
          </w:tcPr>
          <w:p w:rsidR="00F404D4" w:rsidRPr="00F404D4" w:rsidP="00F404D4" w14:paraId="77157883" w14:textId="77777777">
            <w:pPr>
              <w:rPr>
                <w:rFonts w:ascii="Times New Roman" w:hAnsi="Times New Roman" w:cs="Times New Roman"/>
                <w:sz w:val="18"/>
              </w:rPr>
            </w:pPr>
            <w:r w:rsidRPr="00F404D4">
              <w:rPr>
                <w:rFonts w:ascii="Times New Roman" w:hAnsi="Times New Roman" w:cs="Times New Roman"/>
                <w:i/>
                <w:sz w:val="18"/>
              </w:rPr>
              <w:t>Registered Entities, Sub-Total</w:t>
            </w:r>
          </w:p>
        </w:tc>
        <w:tc>
          <w:tcPr>
            <w:tcW w:w="809" w:type="dxa"/>
            <w:tcBorders>
              <w:top w:val="single" w:sz="4" w:space="0" w:color="auto"/>
              <w:left w:val="single" w:sz="4" w:space="0" w:color="auto"/>
              <w:bottom w:val="single" w:sz="4" w:space="0" w:color="auto"/>
              <w:right w:val="single" w:sz="4" w:space="0" w:color="auto"/>
            </w:tcBorders>
            <w:shd w:val="clear" w:color="auto" w:fill="D9D9D9"/>
            <w:vAlign w:val="bottom"/>
          </w:tcPr>
          <w:p w:rsidR="00F404D4" w:rsidRPr="00F404D4" w:rsidP="00F404D4" w14:paraId="0DBD2AE3" w14:textId="77777777">
            <w:pPr>
              <w:rPr>
                <w:rFonts w:ascii="Times New Roman" w:hAnsi="Times New Roman" w:cs="Times New Roman"/>
                <w:sz w:val="18"/>
              </w:rPr>
            </w:pPr>
          </w:p>
        </w:tc>
        <w:tc>
          <w:tcPr>
            <w:tcW w:w="1172" w:type="dxa"/>
            <w:tcBorders>
              <w:top w:val="single" w:sz="4" w:space="0" w:color="auto"/>
              <w:left w:val="single" w:sz="4" w:space="0" w:color="auto"/>
              <w:bottom w:val="single" w:sz="4" w:space="0" w:color="auto"/>
              <w:right w:val="single" w:sz="4" w:space="0" w:color="auto"/>
            </w:tcBorders>
            <w:shd w:val="clear" w:color="auto" w:fill="D9D9D9"/>
            <w:vAlign w:val="bottom"/>
          </w:tcPr>
          <w:p w:rsidR="00F404D4" w:rsidRPr="00F404D4" w:rsidP="005552FF" w14:paraId="2D22EC28" w14:textId="77777777">
            <w:pPr>
              <w:jc w:val="right"/>
              <w:rPr>
                <w:rFonts w:ascii="Times New Roman" w:hAnsi="Times New Roman" w:cs="Times New Roman"/>
                <w:sz w:val="18"/>
              </w:rPr>
            </w:pPr>
          </w:p>
        </w:tc>
        <w:tc>
          <w:tcPr>
            <w:tcW w:w="1261"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F404D4" w:rsidRPr="00F404D4" w:rsidP="005552FF" w14:paraId="2FCA7C05" w14:textId="77777777">
            <w:pPr>
              <w:jc w:val="right"/>
              <w:rPr>
                <w:rFonts w:ascii="Times New Roman" w:hAnsi="Times New Roman" w:cs="Times New Roman"/>
                <w:sz w:val="18"/>
              </w:rPr>
            </w:pPr>
            <w:r w:rsidRPr="00F404D4">
              <w:rPr>
                <w:rFonts w:ascii="Times New Roman" w:hAnsi="Times New Roman" w:cs="Times New Roman"/>
                <w:sz w:val="18"/>
              </w:rPr>
              <w:t>1,795.2</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bottom"/>
          </w:tcPr>
          <w:p w:rsidR="00F404D4" w:rsidRPr="00F404D4" w:rsidP="005552FF" w14:paraId="06049C38" w14:textId="77777777">
            <w:pPr>
              <w:jc w:val="right"/>
              <w:rPr>
                <w:rFonts w:ascii="Times New Roman" w:hAnsi="Times New Roman" w:cs="Times New Roman"/>
                <w:sz w:val="18"/>
              </w:rPr>
            </w:pPr>
          </w:p>
        </w:tc>
        <w:tc>
          <w:tcPr>
            <w:tcW w:w="1351" w:type="dxa"/>
            <w:tcBorders>
              <w:top w:val="single" w:sz="4" w:space="0" w:color="auto"/>
              <w:left w:val="single" w:sz="4" w:space="0" w:color="auto"/>
              <w:bottom w:val="single" w:sz="4" w:space="0" w:color="auto"/>
              <w:right w:val="single" w:sz="4" w:space="0" w:color="auto"/>
            </w:tcBorders>
            <w:shd w:val="clear" w:color="auto" w:fill="D9D9D9"/>
            <w:vAlign w:val="bottom"/>
          </w:tcPr>
          <w:p w:rsidR="00F404D4" w:rsidRPr="00F404D4" w:rsidP="005552FF" w14:paraId="79E9BFFF" w14:textId="77777777">
            <w:pPr>
              <w:jc w:val="right"/>
              <w:rPr>
                <w:rFonts w:ascii="Times New Roman" w:hAnsi="Times New Roman" w:cs="Times New Roman"/>
                <w:i/>
                <w:sz w:val="18"/>
              </w:rPr>
            </w:pPr>
          </w:p>
        </w:tc>
        <w:tc>
          <w:tcPr>
            <w:tcW w:w="1080"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F404D4" w:rsidRPr="00F404D4" w:rsidP="005552FF" w14:paraId="1777878F" w14:textId="77777777">
            <w:pPr>
              <w:jc w:val="right"/>
              <w:rPr>
                <w:rFonts w:ascii="Times New Roman" w:hAnsi="Times New Roman" w:cs="Times New Roman"/>
                <w:sz w:val="18"/>
              </w:rPr>
            </w:pPr>
            <w:r w:rsidRPr="00F404D4">
              <w:rPr>
                <w:rFonts w:ascii="Times New Roman" w:hAnsi="Times New Roman" w:cs="Times New Roman"/>
                <w:i/>
                <w:sz w:val="18"/>
              </w:rPr>
              <w:t>600,793.60 hrs.</w:t>
            </w:r>
          </w:p>
        </w:tc>
        <w:tc>
          <w:tcPr>
            <w:tcW w:w="1441"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F404D4" w:rsidRPr="00F404D4" w:rsidP="005552FF" w14:paraId="5F983E68" w14:textId="77777777">
            <w:pPr>
              <w:jc w:val="right"/>
              <w:rPr>
                <w:rFonts w:ascii="Times New Roman" w:hAnsi="Times New Roman" w:cs="Times New Roman"/>
                <w:i/>
                <w:sz w:val="18"/>
              </w:rPr>
            </w:pPr>
            <w:r w:rsidRPr="00F404D4">
              <w:rPr>
                <w:rFonts w:ascii="Times New Roman" w:hAnsi="Times New Roman" w:cs="Times New Roman"/>
                <w:i/>
                <w:sz w:val="18"/>
              </w:rPr>
              <w:t>$50,106,186</w:t>
            </w:r>
          </w:p>
        </w:tc>
      </w:tr>
      <w:tr w14:paraId="1629F841" w14:textId="77777777" w:rsidTr="005552FF">
        <w:tblPrEx>
          <w:tblW w:w="10980" w:type="dxa"/>
          <w:tblLayout w:type="fixed"/>
          <w:tblLook w:val="01E0"/>
        </w:tblPrEx>
        <w:trPr>
          <w:trHeight w:val="158"/>
        </w:trPr>
        <w:tc>
          <w:tcPr>
            <w:tcW w:w="1252" w:type="dxa"/>
            <w:tcBorders>
              <w:top w:val="single" w:sz="4" w:space="0" w:color="auto"/>
              <w:left w:val="single" w:sz="4" w:space="0" w:color="auto"/>
              <w:bottom w:val="single" w:sz="4" w:space="0" w:color="auto"/>
              <w:right w:val="single" w:sz="4" w:space="0" w:color="auto"/>
            </w:tcBorders>
            <w:hideMark/>
          </w:tcPr>
          <w:p w:rsidR="00F404D4" w:rsidRPr="00F404D4" w:rsidP="00F404D4" w14:paraId="65722D37" w14:textId="77777777">
            <w:pPr>
              <w:rPr>
                <w:rFonts w:ascii="Times New Roman" w:hAnsi="Times New Roman" w:cs="Times New Roman"/>
                <w:b/>
                <w:sz w:val="18"/>
              </w:rPr>
            </w:pPr>
            <w:r w:rsidRPr="00F404D4">
              <w:rPr>
                <w:rFonts w:ascii="Times New Roman" w:hAnsi="Times New Roman" w:cs="Times New Roman"/>
                <w:b/>
                <w:sz w:val="18"/>
              </w:rPr>
              <w:t>Total Burden Hrs. and Cost</w:t>
            </w:r>
          </w:p>
        </w:tc>
        <w:tc>
          <w:tcPr>
            <w:tcW w:w="1534" w:type="dxa"/>
            <w:tcBorders>
              <w:top w:val="single" w:sz="4" w:space="0" w:color="auto"/>
              <w:left w:val="single" w:sz="4" w:space="0" w:color="auto"/>
              <w:bottom w:val="single" w:sz="4" w:space="0" w:color="auto"/>
              <w:right w:val="single" w:sz="4" w:space="0" w:color="auto"/>
            </w:tcBorders>
            <w:shd w:val="clear" w:color="auto" w:fill="D9D9D9"/>
          </w:tcPr>
          <w:p w:rsidR="00F404D4" w:rsidRPr="00F404D4" w:rsidP="00F404D4" w14:paraId="683D7277" w14:textId="77777777">
            <w:pPr>
              <w:rPr>
                <w:rFonts w:ascii="Times New Roman" w:hAnsi="Times New Roman" w:cs="Times New Roman"/>
                <w:b/>
                <w:sz w:val="18"/>
              </w:rPr>
            </w:pPr>
          </w:p>
        </w:tc>
        <w:tc>
          <w:tcPr>
            <w:tcW w:w="809" w:type="dxa"/>
            <w:tcBorders>
              <w:top w:val="single" w:sz="4" w:space="0" w:color="auto"/>
              <w:left w:val="single" w:sz="4" w:space="0" w:color="auto"/>
              <w:bottom w:val="single" w:sz="4" w:space="0" w:color="auto"/>
              <w:right w:val="single" w:sz="4" w:space="0" w:color="auto"/>
            </w:tcBorders>
            <w:shd w:val="clear" w:color="auto" w:fill="D9D9D9"/>
          </w:tcPr>
          <w:p w:rsidR="00F404D4" w:rsidRPr="00F404D4" w:rsidP="00F404D4" w14:paraId="185D371E" w14:textId="77777777">
            <w:pPr>
              <w:rPr>
                <w:rFonts w:ascii="Times New Roman" w:hAnsi="Times New Roman" w:cs="Times New Roman"/>
                <w:sz w:val="18"/>
              </w:rPr>
            </w:pPr>
          </w:p>
        </w:tc>
        <w:tc>
          <w:tcPr>
            <w:tcW w:w="1172" w:type="dxa"/>
            <w:tcBorders>
              <w:top w:val="single" w:sz="4" w:space="0" w:color="auto"/>
              <w:left w:val="single" w:sz="4" w:space="0" w:color="auto"/>
              <w:bottom w:val="single" w:sz="4" w:space="0" w:color="auto"/>
              <w:right w:val="single" w:sz="4" w:space="0" w:color="auto"/>
            </w:tcBorders>
            <w:shd w:val="clear" w:color="auto" w:fill="D9D9D9"/>
            <w:vAlign w:val="bottom"/>
          </w:tcPr>
          <w:p w:rsidR="00F404D4" w:rsidRPr="00F404D4" w:rsidP="005552FF" w14:paraId="4B18455A" w14:textId="77777777">
            <w:pPr>
              <w:jc w:val="right"/>
              <w:rPr>
                <w:rFonts w:ascii="Times New Roman" w:hAnsi="Times New Roman" w:cs="Times New Roman"/>
                <w:sz w:val="18"/>
              </w:rPr>
            </w:pPr>
          </w:p>
        </w:tc>
        <w:tc>
          <w:tcPr>
            <w:tcW w:w="1261" w:type="dxa"/>
            <w:tcBorders>
              <w:top w:val="single" w:sz="4" w:space="0" w:color="auto"/>
              <w:left w:val="single" w:sz="4" w:space="0" w:color="auto"/>
              <w:bottom w:val="single" w:sz="4" w:space="0" w:color="auto"/>
              <w:right w:val="single" w:sz="4" w:space="0" w:color="auto"/>
            </w:tcBorders>
            <w:shd w:val="clear" w:color="auto" w:fill="D9D9D9"/>
            <w:vAlign w:val="bottom"/>
            <w:hideMark/>
          </w:tcPr>
          <w:p w:rsidR="00F404D4" w:rsidRPr="00F404D4" w:rsidP="005552FF" w14:paraId="7D296429" w14:textId="77777777">
            <w:pPr>
              <w:jc w:val="right"/>
              <w:rPr>
                <w:rFonts w:ascii="Times New Roman" w:hAnsi="Times New Roman" w:cs="Times New Roman"/>
                <w:sz w:val="18"/>
              </w:rPr>
            </w:pPr>
            <w:r w:rsidRPr="00F404D4">
              <w:rPr>
                <w:rFonts w:ascii="Times New Roman" w:hAnsi="Times New Roman" w:cs="Times New Roman"/>
                <w:sz w:val="18"/>
              </w:rPr>
              <w:t>1,829.6</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F404D4" w:rsidRPr="00F404D4" w:rsidP="005552FF" w14:paraId="37F46A43" w14:textId="77777777">
            <w:pPr>
              <w:jc w:val="right"/>
              <w:rPr>
                <w:rFonts w:ascii="Times New Roman" w:hAnsi="Times New Roman" w:cs="Times New Roman"/>
                <w:sz w:val="18"/>
              </w:rPr>
            </w:pPr>
          </w:p>
        </w:tc>
        <w:tc>
          <w:tcPr>
            <w:tcW w:w="13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F404D4" w:rsidRPr="00F404D4" w:rsidP="005552FF" w14:paraId="369D5F70" w14:textId="77777777">
            <w:pPr>
              <w:jc w:val="right"/>
              <w:rPr>
                <w:rFonts w:ascii="Times New Roman" w:hAnsi="Times New Roman" w:cs="Times New Roman"/>
                <w:sz w:val="18"/>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404D4" w:rsidRPr="00F404D4" w:rsidP="005552FF" w14:paraId="4E631006" w14:textId="77777777">
            <w:pPr>
              <w:jc w:val="right"/>
              <w:rPr>
                <w:rFonts w:ascii="Times New Roman" w:hAnsi="Times New Roman" w:cs="Times New Roman"/>
                <w:sz w:val="18"/>
              </w:rPr>
            </w:pPr>
            <w:r w:rsidRPr="00F404D4">
              <w:rPr>
                <w:rFonts w:ascii="Times New Roman" w:hAnsi="Times New Roman" w:cs="Times New Roman"/>
                <w:sz w:val="18"/>
              </w:rPr>
              <w:t>1,134,938 hrs.</w:t>
            </w:r>
          </w:p>
        </w:tc>
        <w:tc>
          <w:tcPr>
            <w:tcW w:w="14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F404D4" w:rsidRPr="00F404D4" w:rsidP="005552FF" w14:paraId="496A82D5" w14:textId="77777777">
            <w:pPr>
              <w:jc w:val="right"/>
              <w:rPr>
                <w:rFonts w:ascii="Times New Roman" w:hAnsi="Times New Roman" w:cs="Times New Roman"/>
                <w:sz w:val="18"/>
              </w:rPr>
            </w:pPr>
            <w:r w:rsidRPr="00F404D4">
              <w:rPr>
                <w:rFonts w:ascii="Times New Roman" w:hAnsi="Times New Roman" w:cs="Times New Roman"/>
                <w:sz w:val="18"/>
              </w:rPr>
              <w:t>$94,653,796</w:t>
            </w:r>
          </w:p>
        </w:tc>
      </w:tr>
    </w:tbl>
    <w:p w:rsidR="000C0296" w:rsidRPr="00CF4443" w:rsidP="00CF4443" w14:paraId="319C82D6" w14:textId="3BCC9636">
      <w:pPr>
        <w:spacing w:after="0" w:line="240" w:lineRule="auto"/>
        <w:rPr>
          <w:rFonts w:ascii="Times New Roman" w:hAnsi="Times New Roman" w:cs="Times New Roman"/>
          <w:sz w:val="24"/>
          <w:szCs w:val="24"/>
        </w:rPr>
      </w:pPr>
    </w:p>
    <w:p w:rsidR="001074A9" w:rsidRPr="000C0296" w:rsidP="00B64A12" w14:paraId="07BD93D1" w14:textId="22BC17BE">
      <w:pPr>
        <w:pStyle w:val="ListParagraph"/>
        <w:numPr>
          <w:ilvl w:val="0"/>
          <w:numId w:val="1"/>
        </w:numPr>
        <w:tabs>
          <w:tab w:val="left" w:pos="-1440"/>
        </w:tabs>
        <w:autoSpaceDE w:val="0"/>
        <w:autoSpaceDN w:val="0"/>
        <w:adjustRightInd w:val="0"/>
        <w:spacing w:after="0" w:line="240" w:lineRule="auto"/>
        <w:ind w:left="360"/>
        <w:rPr>
          <w:rFonts w:ascii="Times New Roman" w:eastAsia="Times New Roman" w:hAnsi="Times New Roman" w:cs="Times New Roman"/>
          <w:sz w:val="24"/>
          <w:szCs w:val="24"/>
        </w:rPr>
      </w:pPr>
      <w:r w:rsidRPr="000C0296">
        <w:rPr>
          <w:rFonts w:ascii="Times New Roman" w:eastAsia="Calibri" w:hAnsi="Times New Roman" w:cs="Times New Roman"/>
          <w:b/>
          <w:bCs/>
          <w:sz w:val="24"/>
          <w:szCs w:val="24"/>
        </w:rPr>
        <w:t>ESTIMATE OF THE TOTAL ANNUAL COST BURDEN TO RESPONDENTS</w:t>
      </w:r>
    </w:p>
    <w:p w:rsidR="001074A9" w:rsidRPr="00682AFB" w:rsidP="001074A9" w14:paraId="0EDC7B64" w14:textId="77777777">
      <w:pPr>
        <w:spacing w:after="0" w:line="240" w:lineRule="auto"/>
        <w:rPr>
          <w:rFonts w:ascii="Times New Roman" w:eastAsia="Calibri" w:hAnsi="Times New Roman" w:cs="Times New Roman"/>
          <w:sz w:val="24"/>
          <w:szCs w:val="24"/>
        </w:rPr>
      </w:pPr>
    </w:p>
    <w:p w:rsidR="005D12D4" w:rsidRPr="005D12D4" w:rsidP="005D12D4" w14:paraId="45228C63" w14:textId="5314610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final rule </w:t>
      </w:r>
      <w:r w:rsidR="00C21F6C">
        <w:rPr>
          <w:rFonts w:ascii="Times New Roman" w:eastAsia="Calibri" w:hAnsi="Times New Roman" w:cs="Times New Roman"/>
          <w:sz w:val="24"/>
          <w:szCs w:val="24"/>
        </w:rPr>
        <w:t xml:space="preserve">does not change any of the estimated non-labor costs that OMB approved for FERC-725 in the year 2022.  </w:t>
      </w:r>
      <w:r w:rsidR="00B64A12">
        <w:rPr>
          <w:rFonts w:ascii="Times New Roman" w:eastAsia="Calibri" w:hAnsi="Times New Roman" w:cs="Times New Roman"/>
          <w:sz w:val="24"/>
          <w:szCs w:val="24"/>
        </w:rPr>
        <w:t xml:space="preserve">Thus, </w:t>
      </w:r>
      <w:r w:rsidRPr="005D12D4">
        <w:rPr>
          <w:rFonts w:ascii="Times New Roman" w:eastAsia="Calibri" w:hAnsi="Times New Roman" w:cs="Times New Roman"/>
          <w:sz w:val="24"/>
          <w:szCs w:val="24"/>
        </w:rPr>
        <w:t>Commission staff estimates annual non-labor related cost burden for the information collection remains unchanged from the last approval as:</w:t>
      </w:r>
    </w:p>
    <w:p w:rsidR="005D12D4" w:rsidRPr="005D12D4" w:rsidP="005D12D4" w14:paraId="59709192" w14:textId="77777777">
      <w:pPr>
        <w:spacing w:after="0" w:line="240" w:lineRule="auto"/>
        <w:rPr>
          <w:rFonts w:ascii="Times New Roman" w:eastAsia="Calibri" w:hAnsi="Times New Roman" w:cs="Times New Roman"/>
          <w:sz w:val="24"/>
          <w:szCs w:val="24"/>
        </w:rPr>
      </w:pPr>
    </w:p>
    <w:p w:rsidR="005D12D4" w:rsidRPr="005D12D4" w:rsidP="005D12D4" w14:paraId="4E8D858D" w14:textId="77777777">
      <w:pPr>
        <w:numPr>
          <w:ilvl w:val="0"/>
          <w:numId w:val="15"/>
        </w:numPr>
        <w:spacing w:after="0" w:line="240" w:lineRule="auto"/>
        <w:rPr>
          <w:rFonts w:ascii="Times New Roman" w:eastAsia="Calibri" w:hAnsi="Times New Roman" w:cs="Times New Roman"/>
          <w:sz w:val="24"/>
          <w:szCs w:val="24"/>
        </w:rPr>
      </w:pPr>
      <w:r w:rsidRPr="005D12D4">
        <w:rPr>
          <w:rFonts w:ascii="Times New Roman" w:eastAsia="Calibri" w:hAnsi="Times New Roman" w:cs="Times New Roman"/>
          <w:sz w:val="24"/>
          <w:szCs w:val="24"/>
        </w:rPr>
        <w:t>Software costs (ERO): $15,000/year</w:t>
      </w:r>
    </w:p>
    <w:p w:rsidR="005D12D4" w:rsidRPr="005D12D4" w:rsidP="005D12D4" w14:paraId="26494133" w14:textId="77777777">
      <w:pPr>
        <w:numPr>
          <w:ilvl w:val="0"/>
          <w:numId w:val="15"/>
        </w:numPr>
        <w:spacing w:after="0" w:line="240" w:lineRule="auto"/>
        <w:rPr>
          <w:rFonts w:ascii="Times New Roman" w:eastAsia="Calibri" w:hAnsi="Times New Roman" w:cs="Times New Roman"/>
          <w:sz w:val="24"/>
          <w:szCs w:val="24"/>
        </w:rPr>
      </w:pPr>
      <w:r w:rsidRPr="005D12D4">
        <w:rPr>
          <w:rFonts w:ascii="Times New Roman" w:eastAsia="Calibri" w:hAnsi="Times New Roman" w:cs="Times New Roman"/>
          <w:sz w:val="24"/>
          <w:szCs w:val="24"/>
        </w:rPr>
        <w:t>Software costs (Regional Entities): $50,000/year</w:t>
      </w:r>
    </w:p>
    <w:p w:rsidR="005D12D4" w:rsidRPr="005D12D4" w:rsidP="005D12D4" w14:paraId="6357063C" w14:textId="77777777">
      <w:pPr>
        <w:spacing w:after="0" w:line="240" w:lineRule="auto"/>
        <w:rPr>
          <w:rFonts w:ascii="Times New Roman" w:eastAsia="Calibri" w:hAnsi="Times New Roman" w:cs="Times New Roman"/>
          <w:sz w:val="24"/>
          <w:szCs w:val="24"/>
        </w:rPr>
      </w:pPr>
    </w:p>
    <w:p w:rsidR="005D12D4" w:rsidRPr="005D12D4" w:rsidP="005D12D4" w14:paraId="1C971B4B" w14:textId="77777777">
      <w:pPr>
        <w:spacing w:after="0" w:line="240" w:lineRule="auto"/>
        <w:rPr>
          <w:rFonts w:ascii="Times New Roman" w:eastAsia="Calibri" w:hAnsi="Times New Roman" w:cs="Times New Roman"/>
          <w:sz w:val="24"/>
          <w:szCs w:val="24"/>
        </w:rPr>
      </w:pPr>
      <w:r w:rsidRPr="005D12D4">
        <w:rPr>
          <w:rFonts w:ascii="Times New Roman" w:eastAsia="Calibri" w:hAnsi="Times New Roman" w:cs="Times New Roman"/>
          <w:sz w:val="24"/>
          <w:szCs w:val="24"/>
        </w:rPr>
        <w:t>Therefore, the total estimated annual non-labor related cost is $65,000 for the FERC-725.  All other costs are related to burden hours and are addressed in Questions #12 and #15.</w:t>
      </w:r>
    </w:p>
    <w:p w:rsidR="005D12D4" w:rsidRPr="005D12D4" w:rsidP="005D12D4" w14:paraId="6BFECA82" w14:textId="77777777">
      <w:pPr>
        <w:spacing w:after="0" w:line="240" w:lineRule="auto"/>
        <w:rPr>
          <w:rFonts w:ascii="Times New Roman" w:eastAsia="Calibri" w:hAnsi="Times New Roman" w:cs="Times New Roman"/>
          <w:b/>
          <w:sz w:val="24"/>
          <w:szCs w:val="24"/>
        </w:rPr>
      </w:pPr>
    </w:p>
    <w:p w:rsidR="005D12D4" w:rsidRPr="0075791A" w:rsidP="0075791A" w14:paraId="28ABDB42" w14:textId="542A46C4">
      <w:pPr>
        <w:pStyle w:val="ListParagraph"/>
        <w:numPr>
          <w:ilvl w:val="0"/>
          <w:numId w:val="1"/>
        </w:numPr>
        <w:spacing w:after="0" w:line="240" w:lineRule="auto"/>
        <w:ind w:left="360"/>
        <w:rPr>
          <w:rFonts w:ascii="Times New Roman" w:eastAsia="Calibri" w:hAnsi="Times New Roman" w:cs="Times New Roman"/>
          <w:b/>
          <w:sz w:val="24"/>
          <w:szCs w:val="24"/>
        </w:rPr>
      </w:pPr>
      <w:r w:rsidRPr="0075791A">
        <w:rPr>
          <w:rFonts w:ascii="Times New Roman" w:eastAsia="Calibri" w:hAnsi="Times New Roman" w:cs="Times New Roman"/>
          <w:b/>
          <w:sz w:val="24"/>
          <w:szCs w:val="24"/>
        </w:rPr>
        <w:t>ESTIMATED ANNUALIZED COST TO FEDERAL GOVERNMENT</w:t>
      </w:r>
    </w:p>
    <w:p w:rsidR="005D12D4" w:rsidRPr="005D12D4" w:rsidP="005D12D4" w14:paraId="64073A88" w14:textId="77777777">
      <w:pPr>
        <w:spacing w:after="0" w:line="240" w:lineRule="auto"/>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38"/>
        <w:gridCol w:w="2953"/>
        <w:gridCol w:w="2965"/>
      </w:tblGrid>
      <w:tr w14:paraId="0384D64C" w14:textId="77777777" w:rsidTr="005D12D4">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38"/>
        </w:trPr>
        <w:tc>
          <w:tcPr>
            <w:tcW w:w="2938" w:type="dxa"/>
            <w:tcBorders>
              <w:top w:val="single" w:sz="4" w:space="0" w:color="auto"/>
              <w:left w:val="single" w:sz="4" w:space="0" w:color="auto"/>
              <w:bottom w:val="single" w:sz="4" w:space="0" w:color="auto"/>
              <w:right w:val="single" w:sz="4" w:space="0" w:color="auto"/>
            </w:tcBorders>
            <w:shd w:val="clear" w:color="auto" w:fill="CCCCCC"/>
          </w:tcPr>
          <w:p w:rsidR="005D12D4" w:rsidRPr="005D12D4" w:rsidP="005D12D4" w14:paraId="045D5F28" w14:textId="77777777">
            <w:pPr>
              <w:spacing w:after="0" w:line="240" w:lineRule="auto"/>
              <w:rPr>
                <w:rFonts w:ascii="Times New Roman" w:eastAsia="Calibri" w:hAnsi="Times New Roman" w:cs="Times New Roman"/>
                <w:sz w:val="24"/>
                <w:szCs w:val="24"/>
              </w:rPr>
            </w:pPr>
          </w:p>
        </w:tc>
        <w:tc>
          <w:tcPr>
            <w:tcW w:w="2953" w:type="dxa"/>
            <w:tcBorders>
              <w:top w:val="single" w:sz="4" w:space="0" w:color="auto"/>
              <w:left w:val="single" w:sz="4" w:space="0" w:color="auto"/>
              <w:bottom w:val="single" w:sz="4" w:space="0" w:color="auto"/>
              <w:right w:val="single" w:sz="4" w:space="0" w:color="auto"/>
            </w:tcBorders>
            <w:shd w:val="clear" w:color="auto" w:fill="CCCCCC"/>
            <w:hideMark/>
          </w:tcPr>
          <w:p w:rsidR="005D12D4" w:rsidRPr="005D12D4" w:rsidP="005D12D4" w14:paraId="0D183CA7" w14:textId="77777777">
            <w:pPr>
              <w:spacing w:after="0" w:line="240" w:lineRule="auto"/>
              <w:rPr>
                <w:rFonts w:ascii="Times New Roman" w:eastAsia="Calibri" w:hAnsi="Times New Roman" w:cs="Times New Roman"/>
                <w:b/>
                <w:sz w:val="24"/>
                <w:szCs w:val="24"/>
              </w:rPr>
            </w:pPr>
            <w:r w:rsidRPr="005D12D4">
              <w:rPr>
                <w:rFonts w:ascii="Times New Roman" w:eastAsia="Calibri" w:hAnsi="Times New Roman" w:cs="Times New Roman"/>
                <w:b/>
                <w:sz w:val="24"/>
                <w:szCs w:val="24"/>
              </w:rPr>
              <w:t>Number of Employees (FTEs)</w:t>
            </w:r>
          </w:p>
        </w:tc>
        <w:tc>
          <w:tcPr>
            <w:tcW w:w="2965" w:type="dxa"/>
            <w:tcBorders>
              <w:top w:val="single" w:sz="4" w:space="0" w:color="auto"/>
              <w:left w:val="single" w:sz="4" w:space="0" w:color="auto"/>
              <w:bottom w:val="single" w:sz="4" w:space="0" w:color="auto"/>
              <w:right w:val="single" w:sz="4" w:space="0" w:color="auto"/>
            </w:tcBorders>
            <w:shd w:val="clear" w:color="auto" w:fill="CCCCCC"/>
            <w:hideMark/>
          </w:tcPr>
          <w:p w:rsidR="005D12D4" w:rsidRPr="005D12D4" w:rsidP="005D12D4" w14:paraId="75DB9234" w14:textId="77777777">
            <w:pPr>
              <w:spacing w:after="0" w:line="240" w:lineRule="auto"/>
              <w:rPr>
                <w:rFonts w:ascii="Times New Roman" w:eastAsia="Calibri" w:hAnsi="Times New Roman" w:cs="Times New Roman"/>
                <w:b/>
                <w:sz w:val="24"/>
                <w:szCs w:val="24"/>
              </w:rPr>
            </w:pPr>
            <w:r w:rsidRPr="005D12D4">
              <w:rPr>
                <w:rFonts w:ascii="Times New Roman" w:eastAsia="Calibri" w:hAnsi="Times New Roman" w:cs="Times New Roman"/>
                <w:b/>
                <w:sz w:val="24"/>
                <w:szCs w:val="24"/>
              </w:rPr>
              <w:t>Estimated Annual Federal Cost</w:t>
            </w:r>
          </w:p>
        </w:tc>
      </w:tr>
      <w:tr w14:paraId="4DDCB566" w14:textId="77777777" w:rsidTr="005D12D4">
        <w:tblPrEx>
          <w:tblW w:w="0" w:type="auto"/>
          <w:tblLook w:val="01E0"/>
        </w:tblPrEx>
        <w:tc>
          <w:tcPr>
            <w:tcW w:w="2938" w:type="dxa"/>
            <w:tcBorders>
              <w:top w:val="single" w:sz="4" w:space="0" w:color="auto"/>
              <w:left w:val="single" w:sz="4" w:space="0" w:color="auto"/>
              <w:bottom w:val="single" w:sz="4" w:space="0" w:color="auto"/>
              <w:right w:val="single" w:sz="4" w:space="0" w:color="auto"/>
            </w:tcBorders>
            <w:hideMark/>
          </w:tcPr>
          <w:p w:rsidR="005D12D4" w:rsidRPr="005D12D4" w:rsidP="005D12D4" w14:paraId="1A1DC966" w14:textId="77777777">
            <w:pPr>
              <w:spacing w:after="0" w:line="240" w:lineRule="auto"/>
              <w:rPr>
                <w:rFonts w:ascii="Times New Roman" w:eastAsia="Calibri" w:hAnsi="Times New Roman" w:cs="Times New Roman"/>
                <w:sz w:val="24"/>
                <w:szCs w:val="24"/>
              </w:rPr>
            </w:pPr>
            <w:r w:rsidRPr="005D12D4">
              <w:rPr>
                <w:rFonts w:ascii="Times New Roman" w:eastAsia="Calibri" w:hAnsi="Times New Roman" w:cs="Times New Roman"/>
                <w:sz w:val="24"/>
                <w:szCs w:val="24"/>
              </w:rPr>
              <w:t>PRA</w:t>
            </w:r>
            <w:r>
              <w:rPr>
                <w:rFonts w:ascii="Times New Roman" w:eastAsia="Calibri" w:hAnsi="Times New Roman" w:cs="Times New Roman"/>
                <w:b/>
                <w:sz w:val="24"/>
                <w:szCs w:val="24"/>
                <w:vertAlign w:val="superscript"/>
              </w:rPr>
              <w:footnoteReference w:id="7"/>
            </w:r>
            <w:r w:rsidRPr="005D12D4">
              <w:rPr>
                <w:rFonts w:ascii="Times New Roman" w:eastAsia="Calibri" w:hAnsi="Times New Roman" w:cs="Times New Roman"/>
                <w:b/>
                <w:sz w:val="24"/>
                <w:szCs w:val="24"/>
              </w:rPr>
              <w:t xml:space="preserve"> </w:t>
            </w:r>
            <w:r w:rsidRPr="005D12D4">
              <w:rPr>
                <w:rFonts w:ascii="Times New Roman" w:eastAsia="Calibri" w:hAnsi="Times New Roman" w:cs="Times New Roman"/>
                <w:sz w:val="24"/>
                <w:szCs w:val="24"/>
              </w:rPr>
              <w:t xml:space="preserve">Administration Cost </w:t>
            </w:r>
          </w:p>
        </w:tc>
        <w:tc>
          <w:tcPr>
            <w:tcW w:w="2953" w:type="dxa"/>
            <w:tcBorders>
              <w:top w:val="single" w:sz="4" w:space="0" w:color="auto"/>
              <w:left w:val="single" w:sz="4" w:space="0" w:color="auto"/>
              <w:bottom w:val="single" w:sz="4" w:space="0" w:color="auto"/>
              <w:right w:val="single" w:sz="4" w:space="0" w:color="auto"/>
            </w:tcBorders>
          </w:tcPr>
          <w:p w:rsidR="005D12D4" w:rsidRPr="005D12D4" w:rsidP="005D12D4" w14:paraId="03C412D8" w14:textId="77777777">
            <w:pPr>
              <w:spacing w:after="0" w:line="240" w:lineRule="auto"/>
              <w:rPr>
                <w:rFonts w:ascii="Times New Roman" w:eastAsia="Calibri" w:hAnsi="Times New Roman" w:cs="Times New Roman"/>
                <w:sz w:val="24"/>
                <w:szCs w:val="24"/>
              </w:rPr>
            </w:pPr>
          </w:p>
        </w:tc>
        <w:tc>
          <w:tcPr>
            <w:tcW w:w="2965" w:type="dxa"/>
            <w:tcBorders>
              <w:top w:val="single" w:sz="4" w:space="0" w:color="auto"/>
              <w:left w:val="single" w:sz="4" w:space="0" w:color="auto"/>
              <w:bottom w:val="single" w:sz="4" w:space="0" w:color="auto"/>
              <w:right w:val="single" w:sz="4" w:space="0" w:color="auto"/>
            </w:tcBorders>
            <w:hideMark/>
          </w:tcPr>
          <w:p w:rsidR="005D12D4" w:rsidRPr="005D12D4" w:rsidP="005D12D4" w14:paraId="14139235" w14:textId="77777777">
            <w:pPr>
              <w:spacing w:after="0" w:line="240" w:lineRule="auto"/>
              <w:rPr>
                <w:rFonts w:ascii="Times New Roman" w:eastAsia="Calibri" w:hAnsi="Times New Roman" w:cs="Times New Roman"/>
                <w:sz w:val="24"/>
                <w:szCs w:val="24"/>
              </w:rPr>
            </w:pPr>
            <w:r w:rsidRPr="005D12D4">
              <w:rPr>
                <w:rFonts w:ascii="Times New Roman" w:eastAsia="Calibri" w:hAnsi="Times New Roman" w:cs="Times New Roman"/>
                <w:sz w:val="24"/>
                <w:szCs w:val="24"/>
              </w:rPr>
              <w:t>$8,279</w:t>
            </w:r>
          </w:p>
        </w:tc>
      </w:tr>
      <w:tr w14:paraId="06971236" w14:textId="77777777" w:rsidTr="005D12D4">
        <w:tblPrEx>
          <w:tblW w:w="0" w:type="auto"/>
          <w:tblLook w:val="01E0"/>
        </w:tblPrEx>
        <w:tc>
          <w:tcPr>
            <w:tcW w:w="2938" w:type="dxa"/>
            <w:tcBorders>
              <w:top w:val="single" w:sz="4" w:space="0" w:color="auto"/>
              <w:left w:val="single" w:sz="4" w:space="0" w:color="auto"/>
              <w:bottom w:val="single" w:sz="4" w:space="0" w:color="auto"/>
              <w:right w:val="single" w:sz="4" w:space="0" w:color="auto"/>
            </w:tcBorders>
            <w:hideMark/>
          </w:tcPr>
          <w:p w:rsidR="005D12D4" w:rsidRPr="005D12D4" w:rsidP="005D12D4" w14:paraId="2727E219" w14:textId="77777777">
            <w:pPr>
              <w:spacing w:after="0" w:line="240" w:lineRule="auto"/>
              <w:rPr>
                <w:rFonts w:ascii="Times New Roman" w:eastAsia="Calibri" w:hAnsi="Times New Roman" w:cs="Times New Roman"/>
                <w:sz w:val="24"/>
                <w:szCs w:val="24"/>
              </w:rPr>
            </w:pPr>
            <w:r w:rsidRPr="005D12D4">
              <w:rPr>
                <w:rFonts w:ascii="Times New Roman" w:eastAsia="Calibri" w:hAnsi="Times New Roman" w:cs="Times New Roman"/>
                <w:sz w:val="24"/>
                <w:szCs w:val="24"/>
              </w:rPr>
              <w:t>Data Processing and Analysis</w:t>
            </w:r>
            <w:r>
              <w:rPr>
                <w:rFonts w:ascii="Times New Roman" w:eastAsia="Calibri" w:hAnsi="Times New Roman" w:cs="Times New Roman"/>
                <w:b/>
                <w:sz w:val="24"/>
                <w:szCs w:val="24"/>
                <w:vertAlign w:val="superscript"/>
              </w:rPr>
              <w:footnoteReference w:id="8"/>
            </w:r>
          </w:p>
        </w:tc>
        <w:tc>
          <w:tcPr>
            <w:tcW w:w="2953" w:type="dxa"/>
            <w:tcBorders>
              <w:top w:val="single" w:sz="4" w:space="0" w:color="auto"/>
              <w:left w:val="single" w:sz="4" w:space="0" w:color="auto"/>
              <w:bottom w:val="single" w:sz="4" w:space="0" w:color="auto"/>
              <w:right w:val="single" w:sz="4" w:space="0" w:color="auto"/>
            </w:tcBorders>
            <w:hideMark/>
          </w:tcPr>
          <w:p w:rsidR="005D12D4" w:rsidRPr="005D12D4" w:rsidP="005D12D4" w14:paraId="40199CF8" w14:textId="77777777">
            <w:pPr>
              <w:spacing w:after="0" w:line="240" w:lineRule="auto"/>
              <w:rPr>
                <w:rFonts w:ascii="Times New Roman" w:eastAsia="Calibri" w:hAnsi="Times New Roman" w:cs="Times New Roman"/>
                <w:sz w:val="24"/>
                <w:szCs w:val="24"/>
              </w:rPr>
            </w:pPr>
            <w:r w:rsidRPr="005D12D4">
              <w:rPr>
                <w:rFonts w:ascii="Times New Roman" w:eastAsia="Calibri" w:hAnsi="Times New Roman" w:cs="Times New Roman"/>
                <w:sz w:val="24"/>
                <w:szCs w:val="24"/>
              </w:rPr>
              <w:t>25</w:t>
            </w:r>
          </w:p>
        </w:tc>
        <w:tc>
          <w:tcPr>
            <w:tcW w:w="2965" w:type="dxa"/>
            <w:tcBorders>
              <w:top w:val="single" w:sz="4" w:space="0" w:color="auto"/>
              <w:left w:val="single" w:sz="4" w:space="0" w:color="auto"/>
              <w:bottom w:val="single" w:sz="4" w:space="0" w:color="auto"/>
              <w:right w:val="single" w:sz="4" w:space="0" w:color="auto"/>
            </w:tcBorders>
            <w:hideMark/>
          </w:tcPr>
          <w:p w:rsidR="005D12D4" w:rsidRPr="005D12D4" w:rsidP="005D12D4" w14:paraId="31A79F4D" w14:textId="77777777">
            <w:pPr>
              <w:spacing w:after="0" w:line="240" w:lineRule="auto"/>
              <w:rPr>
                <w:rFonts w:ascii="Times New Roman" w:eastAsia="Calibri" w:hAnsi="Times New Roman" w:cs="Times New Roman"/>
                <w:sz w:val="24"/>
                <w:szCs w:val="24"/>
              </w:rPr>
            </w:pPr>
            <w:r w:rsidRPr="005D12D4">
              <w:rPr>
                <w:rFonts w:ascii="Times New Roman" w:eastAsia="Calibri" w:hAnsi="Times New Roman" w:cs="Times New Roman"/>
                <w:sz w:val="24"/>
                <w:szCs w:val="24"/>
              </w:rPr>
              <w:t>$4,517,575</w:t>
            </w:r>
          </w:p>
        </w:tc>
      </w:tr>
      <w:tr w14:paraId="759713C6" w14:textId="77777777" w:rsidTr="005D12D4">
        <w:tblPrEx>
          <w:tblW w:w="0" w:type="auto"/>
          <w:tblLook w:val="01E0"/>
        </w:tblPrEx>
        <w:tc>
          <w:tcPr>
            <w:tcW w:w="2938" w:type="dxa"/>
            <w:tcBorders>
              <w:top w:val="single" w:sz="4" w:space="0" w:color="auto"/>
              <w:left w:val="single" w:sz="4" w:space="0" w:color="auto"/>
              <w:bottom w:val="single" w:sz="4" w:space="0" w:color="auto"/>
              <w:right w:val="single" w:sz="4" w:space="0" w:color="auto"/>
            </w:tcBorders>
            <w:hideMark/>
          </w:tcPr>
          <w:p w:rsidR="005D12D4" w:rsidRPr="005D12D4" w:rsidP="005D12D4" w14:paraId="6CA24ECC" w14:textId="77777777">
            <w:pPr>
              <w:spacing w:after="0" w:line="240" w:lineRule="auto"/>
              <w:rPr>
                <w:rFonts w:ascii="Times New Roman" w:eastAsia="Calibri" w:hAnsi="Times New Roman" w:cs="Times New Roman"/>
                <w:sz w:val="24"/>
                <w:szCs w:val="24"/>
              </w:rPr>
            </w:pPr>
            <w:r w:rsidRPr="005D12D4">
              <w:rPr>
                <w:rFonts w:ascii="Times New Roman" w:eastAsia="Calibri" w:hAnsi="Times New Roman" w:cs="Times New Roman"/>
                <w:sz w:val="24"/>
                <w:szCs w:val="24"/>
              </w:rPr>
              <w:t>FERC Total</w:t>
            </w:r>
          </w:p>
        </w:tc>
        <w:tc>
          <w:tcPr>
            <w:tcW w:w="2953" w:type="dxa"/>
            <w:tcBorders>
              <w:top w:val="single" w:sz="4" w:space="0" w:color="auto"/>
              <w:left w:val="single" w:sz="4" w:space="0" w:color="auto"/>
              <w:bottom w:val="single" w:sz="4" w:space="0" w:color="auto"/>
              <w:right w:val="single" w:sz="4" w:space="0" w:color="auto"/>
            </w:tcBorders>
            <w:shd w:val="clear" w:color="auto" w:fill="BFBFBF"/>
          </w:tcPr>
          <w:p w:rsidR="005D12D4" w:rsidRPr="005D12D4" w:rsidP="005D12D4" w14:paraId="29B5D641" w14:textId="77777777">
            <w:pPr>
              <w:spacing w:after="0" w:line="240" w:lineRule="auto"/>
              <w:rPr>
                <w:rFonts w:ascii="Times New Roman" w:eastAsia="Calibri" w:hAnsi="Times New Roman" w:cs="Times New Roman"/>
                <w:sz w:val="24"/>
                <w:szCs w:val="24"/>
              </w:rPr>
            </w:pPr>
          </w:p>
        </w:tc>
        <w:tc>
          <w:tcPr>
            <w:tcW w:w="2965" w:type="dxa"/>
            <w:tcBorders>
              <w:top w:val="single" w:sz="4" w:space="0" w:color="auto"/>
              <w:left w:val="single" w:sz="4" w:space="0" w:color="auto"/>
              <w:bottom w:val="single" w:sz="4" w:space="0" w:color="auto"/>
              <w:right w:val="single" w:sz="4" w:space="0" w:color="auto"/>
            </w:tcBorders>
            <w:hideMark/>
          </w:tcPr>
          <w:p w:rsidR="005D12D4" w:rsidRPr="005D12D4" w:rsidP="005D12D4" w14:paraId="3FE9560D" w14:textId="77777777">
            <w:pPr>
              <w:spacing w:after="0" w:line="240" w:lineRule="auto"/>
              <w:rPr>
                <w:rFonts w:ascii="Times New Roman" w:eastAsia="Calibri" w:hAnsi="Times New Roman" w:cs="Times New Roman"/>
                <w:sz w:val="24"/>
                <w:szCs w:val="24"/>
              </w:rPr>
            </w:pPr>
            <w:r w:rsidRPr="005D12D4">
              <w:rPr>
                <w:rFonts w:ascii="Times New Roman" w:eastAsia="Calibri" w:hAnsi="Times New Roman" w:cs="Times New Roman"/>
                <w:sz w:val="24"/>
                <w:szCs w:val="24"/>
              </w:rPr>
              <w:t>$4,525,854</w:t>
            </w:r>
          </w:p>
        </w:tc>
      </w:tr>
    </w:tbl>
    <w:p w:rsidR="005D12D4" w:rsidRPr="005D12D4" w:rsidP="005D12D4" w14:paraId="3FDE9814" w14:textId="77777777">
      <w:pPr>
        <w:spacing w:after="0" w:line="240" w:lineRule="auto"/>
        <w:rPr>
          <w:rFonts w:ascii="Times New Roman" w:eastAsia="Calibri" w:hAnsi="Times New Roman" w:cs="Times New Roman"/>
          <w:sz w:val="24"/>
          <w:szCs w:val="24"/>
        </w:rPr>
      </w:pPr>
    </w:p>
    <w:p w:rsidR="005D12D4" w:rsidRPr="005D12D4" w:rsidP="005D12D4" w14:paraId="597D0890" w14:textId="77777777">
      <w:pPr>
        <w:spacing w:after="0" w:line="240" w:lineRule="auto"/>
        <w:rPr>
          <w:rFonts w:ascii="Times New Roman" w:eastAsia="Calibri" w:hAnsi="Times New Roman" w:cs="Times New Roman"/>
          <w:sz w:val="24"/>
          <w:szCs w:val="24"/>
        </w:rPr>
      </w:pPr>
      <w:r w:rsidRPr="005D12D4">
        <w:rPr>
          <w:rFonts w:ascii="Times New Roman" w:eastAsia="Calibri" w:hAnsi="Times New Roman" w:cs="Times New Roman"/>
          <w:sz w:val="24"/>
          <w:szCs w:val="24"/>
        </w:rPr>
        <w:t xml:space="preserve">The Commission bases its estimate of the ‘Data Processing and Analysis’ cost to the Federal Government on salaries and benefits for professional and clerical support.  This estimated cost represents staff analysis, decision making, and review of actual filings.  </w:t>
      </w:r>
    </w:p>
    <w:p w:rsidR="005D12D4" w:rsidRPr="005D12D4" w:rsidP="005D12D4" w14:paraId="2CBE593A" w14:textId="77777777">
      <w:pPr>
        <w:spacing w:after="0" w:line="240" w:lineRule="auto"/>
        <w:rPr>
          <w:rFonts w:ascii="Times New Roman" w:eastAsia="Calibri" w:hAnsi="Times New Roman" w:cs="Times New Roman"/>
          <w:sz w:val="24"/>
          <w:szCs w:val="24"/>
        </w:rPr>
      </w:pPr>
    </w:p>
    <w:p w:rsidR="005D12D4" w:rsidP="005D12D4" w14:paraId="1D71C28A" w14:textId="65F2104A">
      <w:pPr>
        <w:spacing w:after="0" w:line="240" w:lineRule="auto"/>
        <w:rPr>
          <w:rFonts w:ascii="Times New Roman" w:eastAsia="Calibri" w:hAnsi="Times New Roman" w:cs="Times New Roman"/>
          <w:sz w:val="24"/>
          <w:szCs w:val="24"/>
        </w:rPr>
      </w:pPr>
      <w:r w:rsidRPr="005D12D4">
        <w:rPr>
          <w:rFonts w:ascii="Times New Roman" w:eastAsia="Calibri" w:hAnsi="Times New Roman" w:cs="Times New Roman"/>
          <w:sz w:val="24"/>
          <w:szCs w:val="24"/>
        </w:rPr>
        <w:t>The Paperwork Reduction Act (PRA) Administrative Cost (updated May 2021)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75791A" w:rsidRPr="005D12D4" w:rsidP="005D12D4" w14:paraId="1267D0D6" w14:textId="77777777">
      <w:pPr>
        <w:spacing w:after="0" w:line="240" w:lineRule="auto"/>
        <w:rPr>
          <w:rFonts w:ascii="Times New Roman" w:eastAsia="Calibri" w:hAnsi="Times New Roman" w:cs="Times New Roman"/>
          <w:sz w:val="24"/>
          <w:szCs w:val="24"/>
        </w:rPr>
      </w:pPr>
    </w:p>
    <w:p w:rsidR="00F43A02" w:rsidRPr="00212CA9" w:rsidP="00212CA9" w14:paraId="6B3F5A8B" w14:textId="12FB6879">
      <w:pPr>
        <w:pStyle w:val="ListParagraph"/>
        <w:widowControl w:val="0"/>
        <w:numPr>
          <w:ilvl w:val="0"/>
          <w:numId w:val="16"/>
        </w:numPr>
        <w:autoSpaceDE w:val="0"/>
        <w:autoSpaceDN w:val="0"/>
        <w:adjustRightInd w:val="0"/>
        <w:spacing w:after="0" w:line="240" w:lineRule="auto"/>
        <w:ind w:left="360"/>
        <w:rPr>
          <w:rFonts w:ascii="Times New Roman" w:eastAsia="Calibri" w:hAnsi="Times New Roman" w:cs="Times New Roman"/>
          <w:bCs/>
          <w:sz w:val="24"/>
          <w:szCs w:val="24"/>
        </w:rPr>
      </w:pPr>
      <w:r w:rsidRPr="00212CA9">
        <w:rPr>
          <w:rFonts w:ascii="Times New Roman" w:eastAsia="Calibri" w:hAnsi="Times New Roman" w:cs="Times New Roman"/>
          <w:b/>
          <w:bCs/>
          <w:sz w:val="24"/>
          <w:szCs w:val="24"/>
        </w:rPr>
        <w:t>REASONS FOR CHANGES IN BURDEN INCLUDING THE NEED FOR ANY INCREASE</w:t>
      </w:r>
    </w:p>
    <w:p w:rsidR="00780A71" w:rsidRPr="00A32E62" w:rsidP="00780A71" w14:paraId="67923856" w14:textId="77777777">
      <w:pPr>
        <w:widowControl w:val="0"/>
        <w:autoSpaceDE w:val="0"/>
        <w:autoSpaceDN w:val="0"/>
        <w:adjustRightInd w:val="0"/>
        <w:spacing w:after="0" w:line="240" w:lineRule="auto"/>
        <w:rPr>
          <w:rFonts w:ascii="Times New Roman" w:eastAsia="Calibri" w:hAnsi="Times New Roman" w:cs="Times New Roman"/>
          <w:bCs/>
          <w:sz w:val="24"/>
          <w:szCs w:val="24"/>
        </w:rPr>
      </w:pPr>
    </w:p>
    <w:p w:rsidR="009D05C5" w:rsidRPr="009D05C5" w:rsidP="009D05C5" w14:paraId="444A9269" w14:textId="1D006903">
      <w:pPr>
        <w:spacing w:after="0" w:line="240" w:lineRule="auto"/>
        <w:rPr>
          <w:rFonts w:ascii="Times New Roman" w:eastAsia="Calibri" w:hAnsi="Times New Roman" w:cs="Times New Roman"/>
          <w:sz w:val="24"/>
          <w:szCs w:val="24"/>
        </w:rPr>
      </w:pPr>
      <w:r w:rsidRPr="000431FE">
        <w:rPr>
          <w:rFonts w:ascii="Times New Roman" w:eastAsia="Calibri" w:hAnsi="Times New Roman" w:cs="Times New Roman"/>
          <w:bCs/>
          <w:sz w:val="24"/>
          <w:szCs w:val="24"/>
        </w:rPr>
        <w:t xml:space="preserve">The final rule does not impose a new mandate above and beyond </w:t>
      </w:r>
      <w:r w:rsidR="002C2C44">
        <w:rPr>
          <w:rFonts w:ascii="Times New Roman" w:eastAsia="Calibri" w:hAnsi="Times New Roman" w:cs="Times New Roman"/>
          <w:bCs/>
          <w:sz w:val="24"/>
          <w:szCs w:val="24"/>
        </w:rPr>
        <w:t xml:space="preserve">the </w:t>
      </w:r>
      <w:r w:rsidRPr="000431FE">
        <w:rPr>
          <w:rFonts w:ascii="Times New Roman" w:eastAsia="Calibri" w:hAnsi="Times New Roman" w:cs="Times New Roman"/>
          <w:bCs/>
          <w:sz w:val="24"/>
          <w:szCs w:val="24"/>
        </w:rPr>
        <w:t xml:space="preserve">Commission’s directive to NERC to address </w:t>
      </w:r>
      <w:r w:rsidRPr="000431FE">
        <w:rPr>
          <w:rFonts w:ascii="Times New Roman" w:eastAsia="Calibri" w:hAnsi="Times New Roman" w:cs="Times New Roman"/>
          <w:bCs/>
          <w:sz w:val="24"/>
          <w:szCs w:val="24"/>
          <w:lang w:val="en"/>
        </w:rPr>
        <w:t>transmission system planning for extreme heat and cold weather events that impact the reliable operation of the Bulk-Power System</w:t>
      </w:r>
      <w:r w:rsidR="00A96677">
        <w:rPr>
          <w:rFonts w:ascii="Times New Roman" w:eastAsia="Calibri" w:hAnsi="Times New Roman" w:cs="Times New Roman"/>
          <w:bCs/>
          <w:sz w:val="24"/>
          <w:szCs w:val="24"/>
          <w:lang w:val="en"/>
        </w:rPr>
        <w:t xml:space="preserve">.  That directive </w:t>
      </w:r>
      <w:r w:rsidRPr="000431FE">
        <w:rPr>
          <w:rFonts w:ascii="Times New Roman" w:eastAsia="Calibri" w:hAnsi="Times New Roman" w:cs="Times New Roman"/>
          <w:bCs/>
          <w:sz w:val="24"/>
          <w:szCs w:val="24"/>
        </w:rPr>
        <w:t>is meant to enhance Bulk-Power System resilience by addressing the gap in reliability identified in the NOPR and final rule.</w:t>
      </w:r>
      <w:r w:rsidR="00517BDB">
        <w:rPr>
          <w:rFonts w:ascii="Times New Roman" w:eastAsia="Calibri" w:hAnsi="Times New Roman" w:cs="Times New Roman"/>
          <w:bCs/>
          <w:sz w:val="24"/>
          <w:szCs w:val="24"/>
        </w:rPr>
        <w:t xml:space="preserve">  The directive’s burdens are identical to those approved by OMB </w:t>
      </w:r>
      <w:r w:rsidR="005F4016">
        <w:rPr>
          <w:rFonts w:ascii="Times New Roman" w:eastAsia="Calibri" w:hAnsi="Times New Roman" w:cs="Times New Roman"/>
          <w:bCs/>
          <w:sz w:val="24"/>
          <w:szCs w:val="24"/>
        </w:rPr>
        <w:t>for FERC-725 in the year</w:t>
      </w:r>
      <w:r w:rsidR="00517BDB">
        <w:rPr>
          <w:rFonts w:ascii="Times New Roman" w:eastAsia="Calibri" w:hAnsi="Times New Roman" w:cs="Times New Roman"/>
          <w:bCs/>
          <w:sz w:val="24"/>
          <w:szCs w:val="24"/>
        </w:rPr>
        <w:t xml:space="preserve"> 2022</w:t>
      </w:r>
      <w:r w:rsidR="005F4016">
        <w:rPr>
          <w:rFonts w:ascii="Times New Roman" w:eastAsia="Calibri" w:hAnsi="Times New Roman" w:cs="Times New Roman"/>
          <w:bCs/>
          <w:sz w:val="24"/>
          <w:szCs w:val="24"/>
        </w:rPr>
        <w:t>.  Thus there is no program change and there is no adjustment.</w:t>
      </w:r>
    </w:p>
    <w:p w:rsidR="00356CF6" w:rsidP="00356CF6" w14:paraId="7DDCCE21" w14:textId="77777777">
      <w:pPr>
        <w:widowControl w:val="0"/>
        <w:autoSpaceDE w:val="0"/>
        <w:autoSpaceDN w:val="0"/>
        <w:adjustRightInd w:val="0"/>
        <w:spacing w:after="0" w:line="240" w:lineRule="auto"/>
        <w:rPr>
          <w:rFonts w:ascii="Times New Roman" w:eastAsia="Calibri" w:hAnsi="Times New Roman" w:cs="Times New Roman"/>
          <w:b/>
          <w:bCs/>
          <w:sz w:val="24"/>
          <w:szCs w:val="24"/>
        </w:rPr>
      </w:pPr>
    </w:p>
    <w:p w:rsidR="00D8719B" w:rsidRPr="00356CF6" w:rsidP="00212CA9" w14:paraId="017D5A9A" w14:textId="64790CE4">
      <w:pPr>
        <w:pStyle w:val="ListParagraph"/>
        <w:widowControl w:val="0"/>
        <w:numPr>
          <w:ilvl w:val="0"/>
          <w:numId w:val="16"/>
        </w:numPr>
        <w:autoSpaceDE w:val="0"/>
        <w:autoSpaceDN w:val="0"/>
        <w:adjustRightInd w:val="0"/>
        <w:spacing w:after="0" w:line="240" w:lineRule="auto"/>
        <w:ind w:left="360"/>
        <w:rPr>
          <w:rFonts w:ascii="Times New Roman" w:eastAsia="Calibri" w:hAnsi="Times New Roman" w:cs="Times New Roman"/>
          <w:sz w:val="24"/>
          <w:szCs w:val="24"/>
        </w:rPr>
      </w:pPr>
      <w:r w:rsidRPr="00356CF6">
        <w:rPr>
          <w:rFonts w:ascii="Times New Roman" w:eastAsia="Calibri" w:hAnsi="Times New Roman" w:cs="Times New Roman"/>
          <w:b/>
          <w:bCs/>
          <w:sz w:val="24"/>
          <w:szCs w:val="24"/>
        </w:rPr>
        <w:t>TIME SCHEDULE FOR THE PUBLICATION OF DATA</w:t>
      </w:r>
    </w:p>
    <w:p w:rsidR="00D8719B" w:rsidRPr="00682AFB" w:rsidP="00D8719B" w14:paraId="41098124" w14:textId="77777777">
      <w:pPr>
        <w:spacing w:after="0" w:line="240" w:lineRule="auto"/>
        <w:rPr>
          <w:rFonts w:ascii="Times New Roman" w:eastAsia="Calibri" w:hAnsi="Times New Roman" w:cs="Times New Roman"/>
          <w:b/>
          <w:bCs/>
          <w:sz w:val="24"/>
          <w:szCs w:val="24"/>
        </w:rPr>
      </w:pPr>
    </w:p>
    <w:p w:rsidR="00D8719B" w:rsidP="00A32E62" w14:paraId="76D244DF" w14:textId="44D887E3">
      <w:pPr>
        <w:spacing w:after="0" w:line="240" w:lineRule="auto"/>
        <w:rPr>
          <w:rFonts w:ascii="Times New Roman" w:eastAsia="Calibri" w:hAnsi="Times New Roman" w:cs="Times New Roman"/>
          <w:sz w:val="24"/>
          <w:szCs w:val="24"/>
        </w:rPr>
      </w:pPr>
      <w:r w:rsidRPr="00682AFB">
        <w:rPr>
          <w:rFonts w:ascii="Times New Roman" w:eastAsia="Calibri" w:hAnsi="Times New Roman" w:cs="Times New Roman"/>
          <w:sz w:val="24"/>
          <w:szCs w:val="24"/>
        </w:rPr>
        <w:t>There are no publication plans for the collection of information.</w:t>
      </w:r>
    </w:p>
    <w:p w:rsidR="00A32E62" w:rsidRPr="00682AFB" w:rsidP="00A32E62" w14:paraId="41E1F3A5" w14:textId="77777777">
      <w:pPr>
        <w:spacing w:after="0" w:line="240" w:lineRule="auto"/>
        <w:rPr>
          <w:rFonts w:ascii="Times New Roman" w:eastAsia="Calibri" w:hAnsi="Times New Roman" w:cs="Times New Roman"/>
          <w:bCs/>
          <w:sz w:val="24"/>
          <w:szCs w:val="24"/>
        </w:rPr>
      </w:pPr>
    </w:p>
    <w:p w:rsidR="00D8719B" w:rsidRPr="00682AFB" w:rsidP="00212CA9" w14:paraId="7BA90BCE" w14:textId="77777777">
      <w:pPr>
        <w:widowControl w:val="0"/>
        <w:numPr>
          <w:ilvl w:val="0"/>
          <w:numId w:val="16"/>
        </w:numPr>
        <w:autoSpaceDE w:val="0"/>
        <w:autoSpaceDN w:val="0"/>
        <w:adjustRightInd w:val="0"/>
        <w:spacing w:after="0" w:line="240" w:lineRule="auto"/>
        <w:ind w:left="360"/>
        <w:rPr>
          <w:rFonts w:ascii="Times New Roman" w:eastAsia="Calibri" w:hAnsi="Times New Roman" w:cs="Times New Roman"/>
          <w:sz w:val="24"/>
          <w:szCs w:val="24"/>
        </w:rPr>
      </w:pPr>
      <w:r w:rsidRPr="00682AFB">
        <w:rPr>
          <w:rFonts w:ascii="Times New Roman" w:eastAsia="Calibri" w:hAnsi="Times New Roman" w:cs="Times New Roman"/>
          <w:b/>
          <w:bCs/>
          <w:sz w:val="24"/>
          <w:szCs w:val="24"/>
        </w:rPr>
        <w:t>DISPLAY OF THE EXPIRATION DATE</w:t>
      </w:r>
    </w:p>
    <w:p w:rsidR="00D8719B" w:rsidRPr="00682AFB" w:rsidP="00D8719B" w14:paraId="1F36D426" w14:textId="77777777">
      <w:pPr>
        <w:spacing w:after="0" w:line="240" w:lineRule="auto"/>
        <w:rPr>
          <w:rFonts w:ascii="Times New Roman" w:eastAsia="Calibri" w:hAnsi="Times New Roman" w:cs="Times New Roman"/>
          <w:b/>
          <w:bCs/>
          <w:sz w:val="24"/>
          <w:szCs w:val="24"/>
        </w:rPr>
      </w:pPr>
    </w:p>
    <w:p w:rsidR="00D8719B" w:rsidP="00A32E62" w14:paraId="59008B07" w14:textId="64539EFB">
      <w:pPr>
        <w:spacing w:after="0" w:line="240" w:lineRule="auto"/>
        <w:rPr>
          <w:rFonts w:ascii="Times New Roman" w:eastAsia="Calibri" w:hAnsi="Times New Roman" w:cs="Times New Roman"/>
          <w:sz w:val="24"/>
          <w:szCs w:val="24"/>
        </w:rPr>
      </w:pPr>
      <w:r w:rsidRPr="00682AFB">
        <w:rPr>
          <w:rFonts w:ascii="Times New Roman" w:eastAsia="Calibri" w:hAnsi="Times New Roman" w:cs="Times New Roman"/>
          <w:sz w:val="24"/>
          <w:szCs w:val="24"/>
        </w:rPr>
        <w:t xml:space="preserve">The expiration date is displayed in a table posted on ferc.gov at </w:t>
      </w:r>
      <w:hyperlink r:id="rId10" w:history="1">
        <w:r w:rsidRPr="00682AFB">
          <w:rPr>
            <w:rFonts w:ascii="Times New Roman" w:eastAsia="Calibri" w:hAnsi="Times New Roman" w:cs="Times New Roman"/>
            <w:color w:val="0000FF"/>
            <w:sz w:val="24"/>
            <w:szCs w:val="24"/>
            <w:u w:val="single"/>
          </w:rPr>
          <w:t>http://www.ferc.gov/docs-filing/info-collections.asp</w:t>
        </w:r>
      </w:hyperlink>
      <w:r w:rsidRPr="00682AFB">
        <w:rPr>
          <w:rFonts w:ascii="Times New Roman" w:eastAsia="Calibri" w:hAnsi="Times New Roman" w:cs="Times New Roman"/>
          <w:sz w:val="24"/>
          <w:szCs w:val="24"/>
        </w:rPr>
        <w:t>.</w:t>
      </w:r>
    </w:p>
    <w:p w:rsidR="00A32E62" w:rsidRPr="00682AFB" w:rsidP="00A32E62" w14:paraId="7706F8E5" w14:textId="77777777">
      <w:pPr>
        <w:spacing w:after="0" w:line="240" w:lineRule="auto"/>
        <w:rPr>
          <w:rFonts w:ascii="Times New Roman" w:eastAsia="Calibri" w:hAnsi="Times New Roman" w:cs="Times New Roman"/>
          <w:bCs/>
          <w:sz w:val="24"/>
          <w:szCs w:val="24"/>
        </w:rPr>
      </w:pPr>
    </w:p>
    <w:p w:rsidR="00D8719B" w:rsidRPr="00354422" w:rsidP="00212CA9" w14:paraId="04E270ED" w14:textId="77777777">
      <w:pPr>
        <w:widowControl w:val="0"/>
        <w:numPr>
          <w:ilvl w:val="0"/>
          <w:numId w:val="16"/>
        </w:numPr>
        <w:autoSpaceDE w:val="0"/>
        <w:autoSpaceDN w:val="0"/>
        <w:adjustRightInd w:val="0"/>
        <w:spacing w:after="0" w:line="240" w:lineRule="auto"/>
        <w:ind w:left="360"/>
        <w:rPr>
          <w:rFonts w:ascii="Times New Roman" w:eastAsia="Calibri" w:hAnsi="Times New Roman" w:cs="Times New Roman"/>
          <w:sz w:val="24"/>
          <w:szCs w:val="24"/>
        </w:rPr>
      </w:pPr>
      <w:r w:rsidRPr="00682AFB">
        <w:rPr>
          <w:rFonts w:ascii="Times New Roman" w:eastAsia="Calibri" w:hAnsi="Times New Roman" w:cs="Times New Roman"/>
          <w:b/>
          <w:bCs/>
          <w:sz w:val="24"/>
          <w:szCs w:val="24"/>
        </w:rPr>
        <w:t>EXCEPTIONS TO THE CERTIFICATION STATEMENT</w:t>
      </w:r>
    </w:p>
    <w:p w:rsidR="00D8719B" w:rsidRPr="00682AFB" w:rsidP="00D8719B" w14:paraId="7E12DE5B" w14:textId="77777777">
      <w:pPr>
        <w:spacing w:after="0" w:line="240" w:lineRule="auto"/>
        <w:rPr>
          <w:rFonts w:ascii="Times New Roman" w:eastAsia="Calibri" w:hAnsi="Times New Roman" w:cs="Times New Roman"/>
          <w:sz w:val="24"/>
          <w:szCs w:val="24"/>
        </w:rPr>
      </w:pPr>
    </w:p>
    <w:p w:rsidR="00D8719B" w:rsidP="00D8719B" w14:paraId="34E933FB" w14:textId="76C4CF85">
      <w:pPr>
        <w:spacing w:after="0" w:line="240" w:lineRule="auto"/>
        <w:rPr>
          <w:rFonts w:ascii="Times New Roman" w:eastAsia="Calibri" w:hAnsi="Times New Roman" w:cs="Times New Roman"/>
          <w:sz w:val="24"/>
          <w:szCs w:val="24"/>
        </w:rPr>
      </w:pPr>
      <w:r w:rsidRPr="00682AFB">
        <w:rPr>
          <w:rFonts w:ascii="Times New Roman" w:eastAsia="Calibri" w:hAnsi="Times New Roman" w:cs="Times New Roman"/>
          <w:sz w:val="24"/>
          <w:szCs w:val="24"/>
        </w:rPr>
        <w:t>There are no exceptions.</w:t>
      </w: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45941298"/>
      <w:docPartObj>
        <w:docPartGallery w:val="Page Numbers (Bottom of Page)"/>
        <w:docPartUnique/>
      </w:docPartObj>
    </w:sdtPr>
    <w:sdtEndPr>
      <w:rPr>
        <w:noProof/>
      </w:rPr>
    </w:sdtEndPr>
    <w:sdtContent>
      <w:p w:rsidR="000431FE" w14:paraId="3F3ABE6C" w14:textId="079991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431FE" w14:paraId="6A6DD5C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02F15" w:rsidP="00F6717B" w14:paraId="68964E0C" w14:textId="77777777">
      <w:pPr>
        <w:spacing w:after="0" w:line="240" w:lineRule="auto"/>
      </w:pPr>
      <w:r>
        <w:separator/>
      </w:r>
    </w:p>
  </w:footnote>
  <w:footnote w:type="continuationSeparator" w:id="1">
    <w:p w:rsidR="00902F15" w:rsidP="00F6717B" w14:paraId="66810138" w14:textId="77777777">
      <w:pPr>
        <w:spacing w:after="0" w:line="240" w:lineRule="auto"/>
      </w:pPr>
      <w:r>
        <w:continuationSeparator/>
      </w:r>
    </w:p>
  </w:footnote>
  <w:footnote w:type="continuationNotice" w:id="2">
    <w:p w:rsidR="00902F15" w14:paraId="1472E44E" w14:textId="77777777">
      <w:pPr>
        <w:spacing w:after="0" w:line="240" w:lineRule="auto"/>
      </w:pPr>
    </w:p>
  </w:footnote>
  <w:footnote w:id="3">
    <w:p w:rsidR="00D60424" w:rsidRPr="00912CA6" w14:paraId="4E34EF10" w14:textId="5A2A9D7A">
      <w:pPr>
        <w:pStyle w:val="FootnoteText"/>
        <w:rPr>
          <w:rFonts w:ascii="Times New Roman" w:hAnsi="Times New Roman"/>
          <w:sz w:val="24"/>
        </w:rPr>
      </w:pPr>
      <w:r w:rsidRPr="00912CA6">
        <w:rPr>
          <w:rStyle w:val="FootnoteReference"/>
          <w:rFonts w:ascii="Times New Roman" w:hAnsi="Times New Roman"/>
          <w:sz w:val="24"/>
          <w:vertAlign w:val="superscript"/>
        </w:rPr>
        <w:footnoteRef/>
      </w:r>
      <w:r w:rsidRPr="00912CA6">
        <w:rPr>
          <w:rFonts w:ascii="Times New Roman" w:hAnsi="Times New Roman"/>
          <w:sz w:val="24"/>
        </w:rPr>
        <w:t xml:space="preserve"> </w:t>
      </w:r>
      <w:r w:rsidRPr="00912CA6" w:rsidR="00912CA6">
        <w:rPr>
          <w:rFonts w:ascii="Times New Roman" w:hAnsi="Times New Roman"/>
          <w:sz w:val="24"/>
        </w:rPr>
        <w:t>As defined at 16 U.S.C. 824</w:t>
      </w:r>
      <w:r w:rsidRPr="00912CA6" w:rsidR="00912CA6">
        <w:rPr>
          <w:rFonts w:ascii="Times New Roman" w:hAnsi="Times New Roman"/>
          <w:iCs/>
          <w:sz w:val="24"/>
        </w:rPr>
        <w:t>o</w:t>
      </w:r>
      <w:r w:rsidRPr="00912CA6" w:rsidR="00912CA6">
        <w:rPr>
          <w:rFonts w:ascii="Times New Roman" w:hAnsi="Times New Roman"/>
          <w:sz w:val="24"/>
        </w:rPr>
        <w:t>(a)(1), the term “</w:t>
      </w:r>
      <w:r w:rsidR="00726ACB">
        <w:rPr>
          <w:rFonts w:ascii="Times New Roman" w:hAnsi="Times New Roman"/>
          <w:sz w:val="24"/>
        </w:rPr>
        <w:t>B</w:t>
      </w:r>
      <w:r w:rsidRPr="00912CA6" w:rsidR="00912CA6">
        <w:rPr>
          <w:rFonts w:ascii="Times New Roman" w:hAnsi="Times New Roman"/>
          <w:sz w:val="24"/>
        </w:rPr>
        <w:t>ulk-</w:t>
      </w:r>
      <w:r w:rsidR="00726ACB">
        <w:rPr>
          <w:rFonts w:ascii="Times New Roman" w:hAnsi="Times New Roman"/>
          <w:sz w:val="24"/>
        </w:rPr>
        <w:t>P</w:t>
      </w:r>
      <w:r w:rsidRPr="00912CA6" w:rsidR="00912CA6">
        <w:rPr>
          <w:rFonts w:ascii="Times New Roman" w:hAnsi="Times New Roman"/>
          <w:sz w:val="24"/>
        </w:rPr>
        <w:t xml:space="preserve">ower </w:t>
      </w:r>
      <w:r w:rsidR="00726ACB">
        <w:rPr>
          <w:rFonts w:ascii="Times New Roman" w:hAnsi="Times New Roman"/>
          <w:sz w:val="24"/>
        </w:rPr>
        <w:t>S</w:t>
      </w:r>
      <w:r w:rsidRPr="00912CA6" w:rsidR="00912CA6">
        <w:rPr>
          <w:rFonts w:ascii="Times New Roman" w:hAnsi="Times New Roman"/>
          <w:sz w:val="24"/>
        </w:rPr>
        <w:t>ystem” means— (A) facilities and control systems necessary for operating an interconnected electric energy transmission network (or any portion thereof); and (B) electric energy from generation facilities needed to maintain transmission system reliability. The term does not include facilities used in the local distribution of electric energy.</w:t>
      </w:r>
    </w:p>
  </w:footnote>
  <w:footnote w:id="4">
    <w:p w:rsidR="00A96677" w:rsidRPr="00A96677" w14:paraId="558C5CB4" w14:textId="59008937">
      <w:pPr>
        <w:pStyle w:val="FootnoteText"/>
        <w:rPr>
          <w:rFonts w:ascii="Times New Roman" w:hAnsi="Times New Roman"/>
          <w:sz w:val="26"/>
        </w:rPr>
      </w:pPr>
      <w:r w:rsidRPr="00A96677">
        <w:rPr>
          <w:rStyle w:val="FootnoteReference"/>
          <w:rFonts w:ascii="Times New Roman" w:hAnsi="Times New Roman"/>
          <w:sz w:val="26"/>
        </w:rPr>
        <w:footnoteRef/>
      </w:r>
      <w:r w:rsidRPr="00A96677">
        <w:rPr>
          <w:rFonts w:ascii="Times New Roman" w:hAnsi="Times New Roman"/>
          <w:sz w:val="26"/>
        </w:rPr>
        <w:t xml:space="preserve"> </w:t>
      </w:r>
      <w:r w:rsidRPr="00A96677">
        <w:rPr>
          <w:rFonts w:ascii="Times New Roman" w:hAnsi="Times New Roman"/>
          <w:sz w:val="26"/>
        </w:rPr>
        <w:t>“Burden” is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5">
    <w:p w:rsidR="00A96677" w:rsidRPr="00A96677" w14:paraId="2E384F04" w14:textId="0D1A824D">
      <w:pPr>
        <w:pStyle w:val="FootnoteText"/>
        <w:rPr>
          <w:rFonts w:ascii="Times New Roman" w:hAnsi="Times New Roman"/>
          <w:sz w:val="26"/>
        </w:rPr>
      </w:pPr>
      <w:r w:rsidRPr="00A96677">
        <w:rPr>
          <w:rStyle w:val="FootnoteReference"/>
          <w:rFonts w:ascii="Times New Roman" w:hAnsi="Times New Roman"/>
          <w:sz w:val="26"/>
        </w:rPr>
        <w:footnoteRef/>
      </w:r>
      <w:r w:rsidRPr="00A96677">
        <w:rPr>
          <w:rFonts w:ascii="Times New Roman" w:hAnsi="Times New Roman"/>
          <w:sz w:val="26"/>
        </w:rPr>
        <w:t xml:space="preserve"> </w:t>
      </w:r>
      <w:r w:rsidRPr="00A96677">
        <w:rPr>
          <w:rFonts w:ascii="Times New Roman" w:hAnsi="Times New Roman"/>
          <w:sz w:val="26"/>
        </w:rPr>
        <w:t xml:space="preserve">Labor-related costs (for wages and benefits) are based on wage figures from the Bureau of Labor Statistics (BLS) for May 2021 at </w:t>
      </w:r>
      <w:hyperlink r:id="rId1" w:history="1">
        <w:r w:rsidRPr="00A96677">
          <w:rPr>
            <w:rStyle w:val="Hyperlink"/>
            <w:rFonts w:ascii="Times New Roman" w:hAnsi="Times New Roman"/>
            <w:sz w:val="26"/>
          </w:rPr>
          <w:t>https://www.bls.gov/oes/2021/m</w:t>
        </w:r>
        <w:r w:rsidRPr="00A96677">
          <w:rPr>
            <w:rStyle w:val="Hyperlink"/>
            <w:rFonts w:ascii="Times New Roman" w:hAnsi="Times New Roman"/>
            <w:sz w:val="26"/>
          </w:rPr>
          <w:t>a</w:t>
        </w:r>
        <w:r w:rsidRPr="00A96677">
          <w:rPr>
            <w:rStyle w:val="Hyperlink"/>
            <w:rFonts w:ascii="Times New Roman" w:hAnsi="Times New Roman"/>
            <w:sz w:val="26"/>
          </w:rPr>
          <w:t>y/oes_nat.htm</w:t>
        </w:r>
      </w:hyperlink>
      <w:r w:rsidRPr="00A96677">
        <w:rPr>
          <w:rFonts w:ascii="Times New Roman" w:hAnsi="Times New Roman"/>
          <w:sz w:val="26"/>
        </w:rPr>
        <w:t xml:space="preserve"> and benefits information for March 2021</w:t>
      </w:r>
      <w:r w:rsidRPr="00A96677">
        <w:rPr>
          <w:rFonts w:ascii="Times New Roman" w:hAnsi="Times New Roman"/>
          <w:sz w:val="26"/>
        </w:rPr>
        <w:t xml:space="preserve"> </w:t>
      </w:r>
      <w:r w:rsidRPr="00A96677">
        <w:rPr>
          <w:rFonts w:ascii="Times New Roman" w:hAnsi="Times New Roman"/>
          <w:sz w:val="26"/>
        </w:rPr>
        <w:t xml:space="preserve">at </w:t>
      </w:r>
      <w:hyperlink r:id="rId2" w:history="1">
        <w:r w:rsidRPr="00A96677">
          <w:rPr>
            <w:rStyle w:val="Hyperlink"/>
            <w:rFonts w:ascii="Times New Roman" w:hAnsi="Times New Roman"/>
            <w:sz w:val="26"/>
          </w:rPr>
          <w:t>https://www.bls.gov/ebs/publications/se</w:t>
        </w:r>
        <w:r w:rsidRPr="00A96677">
          <w:rPr>
            <w:rStyle w:val="Hyperlink"/>
            <w:rFonts w:ascii="Times New Roman" w:hAnsi="Times New Roman"/>
            <w:sz w:val="26"/>
          </w:rPr>
          <w:t>p</w:t>
        </w:r>
        <w:r w:rsidRPr="00A96677">
          <w:rPr>
            <w:rStyle w:val="Hyperlink"/>
            <w:rFonts w:ascii="Times New Roman" w:hAnsi="Times New Roman"/>
            <w:sz w:val="26"/>
          </w:rPr>
          <w:t>tember-2021-landing-page-employee-benefits-in-the-united-states-march-2021.htm</w:t>
        </w:r>
      </w:hyperlink>
      <w:r w:rsidRPr="00A96677">
        <w:rPr>
          <w:rFonts w:ascii="Times New Roman" w:hAnsi="Times New Roman"/>
          <w:sz w:val="26"/>
        </w:rPr>
        <w:t>.</w:t>
      </w:r>
      <w:r w:rsidRPr="00A96677">
        <w:rPr>
          <w:rFonts w:ascii="Times New Roman" w:hAnsi="Times New Roman"/>
          <w:sz w:val="26"/>
        </w:rPr>
        <w:t xml:space="preserve">  </w:t>
      </w:r>
      <w:r w:rsidRPr="00A96677">
        <w:rPr>
          <w:rFonts w:ascii="Times New Roman" w:hAnsi="Times New Roman"/>
          <w:sz w:val="26"/>
        </w:rPr>
        <w:t>For hourly costs (for wages and benefits), we estimate that 70 percent  of the time is spent by Electrical Engineers (code 17-2071, at $72.15/hr.), 20 percent of the time is spent by Legal (code 23-0000, at $142.25/hr.), and 10 percent  by Office and Administrative Support (code 43-0000, at $44.47/hr.).   Therefore, we use the weighted hourly cost (for wages and benefits) of $ 83.40 (rounded) [or [(0.70) * ($72.15/hr.)] + [(0.20) * $142.25hr.] + [(0.10) * $44.47/hr.]</w:t>
      </w:r>
    </w:p>
  </w:footnote>
  <w:footnote w:id="6">
    <w:p w:rsidR="00F404D4" w:rsidP="00F404D4" w14:paraId="5CD1D4D6" w14:textId="4D058024">
      <w:pPr>
        <w:pStyle w:val="FootnoteText"/>
        <w:rPr>
          <w:sz w:val="26"/>
          <w:szCs w:val="26"/>
        </w:rPr>
      </w:pPr>
      <w:r w:rsidRPr="00A96677">
        <w:rPr>
          <w:rStyle w:val="FootnoteReference"/>
          <w:rFonts w:ascii="Times New Roman" w:hAnsi="Times New Roman"/>
          <w:sz w:val="26"/>
        </w:rPr>
        <w:footnoteRef/>
      </w:r>
      <w:r w:rsidRPr="00A96677">
        <w:rPr>
          <w:rFonts w:ascii="Times New Roman" w:hAnsi="Times New Roman"/>
          <w:sz w:val="26"/>
          <w:szCs w:val="26"/>
        </w:rPr>
        <w:t xml:space="preserve"> In instances where the number of responses per respondent is “1,” the Commission Staff thinks that the actual number of responses varies and cannot be estimated accurately.</w:t>
      </w:r>
      <w:r>
        <w:rPr>
          <w:sz w:val="26"/>
          <w:szCs w:val="26"/>
        </w:rPr>
        <w:t xml:space="preserve"> </w:t>
      </w:r>
    </w:p>
  </w:footnote>
  <w:footnote w:id="7">
    <w:p w:rsidR="005D12D4" w:rsidRPr="00D565B8" w:rsidP="005D12D4" w14:paraId="3040F203" w14:textId="77777777">
      <w:pPr>
        <w:pStyle w:val="FootnoteText"/>
        <w:rPr>
          <w:rFonts w:ascii="Times New Roman" w:hAnsi="Times New Roman"/>
          <w:sz w:val="26"/>
          <w:szCs w:val="24"/>
        </w:rPr>
      </w:pPr>
      <w:r w:rsidRPr="00D565B8">
        <w:rPr>
          <w:rStyle w:val="FootnoteReference"/>
          <w:bCs/>
          <w:sz w:val="26"/>
          <w:szCs w:val="24"/>
          <w:vertAlign w:val="superscript"/>
        </w:rPr>
        <w:footnoteRef/>
      </w:r>
      <w:r>
        <w:rPr>
          <w:bCs/>
          <w:szCs w:val="24"/>
        </w:rPr>
        <w:t xml:space="preserve"> </w:t>
      </w:r>
      <w:r w:rsidRPr="00D565B8">
        <w:rPr>
          <w:rFonts w:ascii="Times New Roman" w:hAnsi="Times New Roman"/>
          <w:sz w:val="26"/>
          <w:szCs w:val="24"/>
        </w:rPr>
        <w:t>Paperwork Reduction Act of 1995 (PRA).</w:t>
      </w:r>
    </w:p>
  </w:footnote>
  <w:footnote w:id="8">
    <w:p w:rsidR="005D12D4" w:rsidP="005D12D4" w14:paraId="46913AAD" w14:textId="77777777">
      <w:pPr>
        <w:pStyle w:val="FootnoteText"/>
      </w:pPr>
      <w:r w:rsidRPr="00D565B8">
        <w:rPr>
          <w:rStyle w:val="FootnoteReference"/>
          <w:rFonts w:ascii="Times New Roman" w:hAnsi="Times New Roman"/>
          <w:sz w:val="26"/>
          <w:szCs w:val="24"/>
          <w:vertAlign w:val="superscript"/>
        </w:rPr>
        <w:footnoteRef/>
      </w:r>
      <w:r w:rsidRPr="00D565B8">
        <w:rPr>
          <w:rFonts w:ascii="Times New Roman" w:hAnsi="Times New Roman"/>
          <w:sz w:val="26"/>
          <w:szCs w:val="24"/>
        </w:rPr>
        <w:t xml:space="preserve"> The cost estimate is based upon FERC’s FY2021 average annual salary plus benefits per FTE (full-time equivalent) of $180,703.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2283" w:rsidRPr="001F71D7" w14:paraId="0A5A5706" w14:textId="5414B9AF">
    <w:pPr>
      <w:pStyle w:val="Header"/>
      <w:rPr>
        <w:rFonts w:ascii="Times New Roman" w:hAnsi="Times New Roman"/>
        <w:sz w:val="26"/>
      </w:rPr>
    </w:pPr>
    <w:r w:rsidRPr="001F71D7">
      <w:rPr>
        <w:rFonts w:ascii="Times New Roman" w:hAnsi="Times New Roman"/>
        <w:sz w:val="26"/>
      </w:rPr>
      <w:t>FERC-725</w:t>
    </w:r>
    <w:r w:rsidRPr="001F71D7" w:rsidR="001F71D7">
      <w:rPr>
        <w:rFonts w:ascii="Times New Roman" w:hAnsi="Times New Roman"/>
        <w:sz w:val="26"/>
      </w:rPr>
      <w:t xml:space="preserve"> </w:t>
    </w:r>
    <w:r w:rsidRPr="001F71D7">
      <w:rPr>
        <w:rFonts w:ascii="Times New Roman" w:hAnsi="Times New Roman"/>
        <w:sz w:val="26"/>
      </w:rPr>
      <w:t>(</w:t>
    </w:r>
    <w:r w:rsidRPr="001F71D7" w:rsidR="001626AE">
      <w:rPr>
        <w:rFonts w:ascii="Times New Roman" w:hAnsi="Times New Roman"/>
        <w:sz w:val="26"/>
      </w:rPr>
      <w:t>OMB No. 1902-02</w:t>
    </w:r>
    <w:r w:rsidRPr="001F71D7" w:rsidR="001F71D7">
      <w:rPr>
        <w:rFonts w:ascii="Times New Roman" w:hAnsi="Times New Roman"/>
        <w:sz w:val="26"/>
      </w:rPr>
      <w:t>25</w:t>
    </w:r>
    <w:r w:rsidRPr="001F71D7">
      <w:rPr>
        <w:rFonts w:ascii="Times New Roman" w:hAnsi="Times New Roman"/>
        <w:sz w:val="26"/>
      </w:rPr>
      <w:t>)</w:t>
    </w:r>
  </w:p>
  <w:p w:rsidR="001626AE" w:rsidRPr="001F71D7" w14:paraId="69294FA5" w14:textId="5AFC90EA">
    <w:pPr>
      <w:pStyle w:val="Header"/>
      <w:rPr>
        <w:rFonts w:ascii="Times New Roman" w:hAnsi="Times New Roman"/>
        <w:sz w:val="26"/>
      </w:rPr>
    </w:pPr>
    <w:r w:rsidRPr="001F71D7">
      <w:rPr>
        <w:rFonts w:ascii="Times New Roman" w:hAnsi="Times New Roman"/>
        <w:sz w:val="26"/>
      </w:rPr>
      <w:t>Final Rule in Docket No. RM</w:t>
    </w:r>
    <w:r w:rsidRPr="001F71D7" w:rsidR="001C4B50">
      <w:rPr>
        <w:rFonts w:ascii="Times New Roman" w:hAnsi="Times New Roman"/>
        <w:sz w:val="26"/>
      </w:rPr>
      <w:t>22-10-000</w:t>
    </w:r>
    <w:r w:rsidRPr="001F71D7">
      <w:rPr>
        <w:rFonts w:ascii="Times New Roman" w:hAnsi="Times New Roman"/>
        <w:sz w:val="26"/>
      </w:rPr>
      <w:t>; RIN: 1902-A</w:t>
    </w:r>
    <w:r w:rsidRPr="001F71D7" w:rsidR="001C4B50">
      <w:rPr>
        <w:rFonts w:ascii="Times New Roman" w:hAnsi="Times New Roman"/>
        <w:sz w:val="26"/>
      </w:rPr>
      <w:t>G01</w:t>
    </w:r>
  </w:p>
  <w:p w:rsidR="001626AE" w14:paraId="70E1565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B464B5"/>
    <w:multiLevelType w:val="hybridMultilevel"/>
    <w:tmpl w:val="9CA625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061F65"/>
    <w:multiLevelType w:val="hybridMultilevel"/>
    <w:tmpl w:val="57BE72F6"/>
    <w:lvl w:ilvl="0">
      <w:start w:val="1"/>
      <w:numFmt w:val="decimal"/>
      <w:lvlText w:val="%1."/>
      <w:lvlJc w:val="left"/>
      <w:pPr>
        <w:tabs>
          <w:tab w:val="num" w:pos="1080"/>
        </w:tabs>
        <w:ind w:left="1080" w:hanging="360"/>
      </w:pPr>
      <w:rPr>
        <w:b w:val="0"/>
        <w:sz w:val="26"/>
        <w:szCs w:val="26"/>
      </w:rPr>
    </w:lvl>
    <w:lvl w:ilvl="1">
      <w:start w:val="1"/>
      <w:numFmt w:val="bullet"/>
      <w:lvlText w:val=""/>
      <w:lvlJc w:val="left"/>
      <w:pPr>
        <w:tabs>
          <w:tab w:val="num" w:pos="1800"/>
        </w:tabs>
        <w:ind w:left="1800" w:hanging="360"/>
      </w:pPr>
      <w:rPr>
        <w:rFonts w:ascii="Symbol" w:hAnsi="Symbol"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28B72C72"/>
    <w:multiLevelType w:val="hybridMultilevel"/>
    <w:tmpl w:val="24983B7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3840276"/>
    <w:multiLevelType w:val="hybridMultilevel"/>
    <w:tmpl w:val="25E64D0E"/>
    <w:lvl w:ilvl="0">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2"/>
      <w:lvlJc w:val="left"/>
      <w:pPr>
        <w:ind w:left="3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superscript"/>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superscript"/>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superscript"/>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superscript"/>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superscript"/>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superscript"/>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superscript"/>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superscript"/>
      </w:rPr>
    </w:lvl>
  </w:abstractNum>
  <w:abstractNum w:abstractNumId="4">
    <w:nsid w:val="404A0AB5"/>
    <w:multiLevelType w:val="hybridMultilevel"/>
    <w:tmpl w:val="A35440B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ACA64B9"/>
    <w:multiLevelType w:val="hybridMultilevel"/>
    <w:tmpl w:val="AAA60C4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B582FE5"/>
    <w:multiLevelType w:val="hybridMultilevel"/>
    <w:tmpl w:val="531CD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C534B3C"/>
    <w:multiLevelType w:val="hybridMultilevel"/>
    <w:tmpl w:val="119AC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DC709B0"/>
    <w:multiLevelType w:val="hybridMultilevel"/>
    <w:tmpl w:val="BCB06340"/>
    <w:lvl w:ilvl="0">
      <w:start w:val="1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1E32729"/>
    <w:multiLevelType w:val="hybridMultilevel"/>
    <w:tmpl w:val="3F5C1CB0"/>
    <w:lvl w:ilvl="0">
      <w:start w:val="15"/>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7105410"/>
    <w:multiLevelType w:val="hybridMultilevel"/>
    <w:tmpl w:val="ABD4554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9E7312B"/>
    <w:multiLevelType w:val="hybridMultilevel"/>
    <w:tmpl w:val="2EA4D23E"/>
    <w:lvl w:ilvl="0">
      <w:start w:val="6"/>
      <w:numFmt w:val="decimal"/>
      <w:lvlText w:val="%1."/>
      <w:lvlJc w:val="left"/>
      <w:pPr>
        <w:tabs>
          <w:tab w:val="num" w:pos="1080"/>
        </w:tabs>
        <w:ind w:left="1080" w:hanging="360"/>
      </w:pPr>
      <w:rPr>
        <w:rFonts w:hint="default"/>
        <w:b/>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5EE719D3"/>
    <w:multiLevelType w:val="hybridMultilevel"/>
    <w:tmpl w:val="B9A2F77C"/>
    <w:lvl w:ilvl="0">
      <w:start w:val="1"/>
      <w:numFmt w:val="decimal"/>
      <w:pStyle w:val="FERCparanumber"/>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B160A5A"/>
    <w:multiLevelType w:val="hybridMultilevel"/>
    <w:tmpl w:val="57BE72F6"/>
    <w:lvl w:ilvl="0">
      <w:start w:val="1"/>
      <w:numFmt w:val="decimal"/>
      <w:lvlText w:val="%1."/>
      <w:lvlJc w:val="left"/>
      <w:pPr>
        <w:tabs>
          <w:tab w:val="num" w:pos="1080"/>
        </w:tabs>
        <w:ind w:left="1080" w:hanging="360"/>
      </w:pPr>
      <w:rPr>
        <w:b w:val="0"/>
        <w:sz w:val="26"/>
        <w:szCs w:val="26"/>
      </w:rPr>
    </w:lvl>
    <w:lvl w:ilvl="1">
      <w:start w:val="0"/>
      <w:numFmt w:val="decimal"/>
      <w:lvlText w:val=""/>
      <w:lvlJc w:val="left"/>
      <w:pPr>
        <w:tabs>
          <w:tab w:val="num" w:pos="1800"/>
        </w:tabs>
        <w:ind w:left="1800" w:hanging="360"/>
      </w:pPr>
      <w:rPr>
        <w:rFonts w:ascii="Symbol" w:hAnsi="Symbol"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6DEC56C1"/>
    <w:multiLevelType w:val="hybridMultilevel"/>
    <w:tmpl w:val="DDC8DF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10"/>
  </w:num>
  <w:num w:numId="6">
    <w:abstractNumId w:val="3"/>
  </w:num>
  <w:num w:numId="7">
    <w:abstractNumId w:val="13"/>
  </w:num>
  <w:num w:numId="8">
    <w:abstractNumId w:val="8"/>
  </w:num>
  <w:num w:numId="9">
    <w:abstractNumId w:val="11"/>
  </w:num>
  <w:num w:numId="10">
    <w:abstractNumId w:val="1"/>
  </w:num>
  <w:num w:numId="11">
    <w:abstractNumId w:val="0"/>
  </w:num>
  <w:num w:numId="12">
    <w:abstractNumId w:val="14"/>
  </w:num>
  <w:num w:numId="13">
    <w:abstractNumId w:val="7"/>
  </w:num>
  <w:num w:numId="14">
    <w:abstractNumId w:val="2"/>
  </w:num>
  <w:num w:numId="15">
    <w:abstractNumId w:val="6"/>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17B"/>
    <w:rsid w:val="000020CF"/>
    <w:rsid w:val="000234EE"/>
    <w:rsid w:val="00042999"/>
    <w:rsid w:val="000431FE"/>
    <w:rsid w:val="00044BB2"/>
    <w:rsid w:val="00082D7D"/>
    <w:rsid w:val="000842C6"/>
    <w:rsid w:val="000863F6"/>
    <w:rsid w:val="00087296"/>
    <w:rsid w:val="00090426"/>
    <w:rsid w:val="0009244D"/>
    <w:rsid w:val="0009416A"/>
    <w:rsid w:val="000A6999"/>
    <w:rsid w:val="000B7202"/>
    <w:rsid w:val="000C0296"/>
    <w:rsid w:val="000D17CE"/>
    <w:rsid w:val="000E33DF"/>
    <w:rsid w:val="000F121D"/>
    <w:rsid w:val="001074A9"/>
    <w:rsid w:val="00112283"/>
    <w:rsid w:val="00122085"/>
    <w:rsid w:val="001233F0"/>
    <w:rsid w:val="001319F2"/>
    <w:rsid w:val="001401F9"/>
    <w:rsid w:val="00142488"/>
    <w:rsid w:val="00143DDB"/>
    <w:rsid w:val="001626AE"/>
    <w:rsid w:val="0018465B"/>
    <w:rsid w:val="001A1103"/>
    <w:rsid w:val="001A4C21"/>
    <w:rsid w:val="001B2C9E"/>
    <w:rsid w:val="001C4B01"/>
    <w:rsid w:val="001C4B50"/>
    <w:rsid w:val="001D57E2"/>
    <w:rsid w:val="001D5C9F"/>
    <w:rsid w:val="001E62FB"/>
    <w:rsid w:val="001F27EE"/>
    <w:rsid w:val="001F71D7"/>
    <w:rsid w:val="001F76F6"/>
    <w:rsid w:val="00210444"/>
    <w:rsid w:val="00212CA9"/>
    <w:rsid w:val="00214AA0"/>
    <w:rsid w:val="00223531"/>
    <w:rsid w:val="0023519E"/>
    <w:rsid w:val="0023624A"/>
    <w:rsid w:val="00245D76"/>
    <w:rsid w:val="002538AE"/>
    <w:rsid w:val="0025475C"/>
    <w:rsid w:val="002751D4"/>
    <w:rsid w:val="0028741E"/>
    <w:rsid w:val="00296F2D"/>
    <w:rsid w:val="002A1B86"/>
    <w:rsid w:val="002A44E2"/>
    <w:rsid w:val="002B13B8"/>
    <w:rsid w:val="002B34C7"/>
    <w:rsid w:val="002B7A4E"/>
    <w:rsid w:val="002C2C44"/>
    <w:rsid w:val="002D14DD"/>
    <w:rsid w:val="002D794B"/>
    <w:rsid w:val="002F1893"/>
    <w:rsid w:val="002F2730"/>
    <w:rsid w:val="00306730"/>
    <w:rsid w:val="00321C0B"/>
    <w:rsid w:val="00324918"/>
    <w:rsid w:val="00332104"/>
    <w:rsid w:val="003321A2"/>
    <w:rsid w:val="00333E98"/>
    <w:rsid w:val="00345E7E"/>
    <w:rsid w:val="003474E4"/>
    <w:rsid w:val="00354422"/>
    <w:rsid w:val="00356CF6"/>
    <w:rsid w:val="00357321"/>
    <w:rsid w:val="00370E79"/>
    <w:rsid w:val="003A211F"/>
    <w:rsid w:val="003B7A84"/>
    <w:rsid w:val="003C19EC"/>
    <w:rsid w:val="003C7D32"/>
    <w:rsid w:val="003F22D0"/>
    <w:rsid w:val="0040416C"/>
    <w:rsid w:val="0041667E"/>
    <w:rsid w:val="00420625"/>
    <w:rsid w:val="004321BC"/>
    <w:rsid w:val="004369D6"/>
    <w:rsid w:val="00461C91"/>
    <w:rsid w:val="00480BA2"/>
    <w:rsid w:val="004A11C4"/>
    <w:rsid w:val="004C08FA"/>
    <w:rsid w:val="004C49A5"/>
    <w:rsid w:val="004D4FDA"/>
    <w:rsid w:val="004D5950"/>
    <w:rsid w:val="004E142A"/>
    <w:rsid w:val="004E2DC7"/>
    <w:rsid w:val="00500D0E"/>
    <w:rsid w:val="00517BDB"/>
    <w:rsid w:val="00517D86"/>
    <w:rsid w:val="00521194"/>
    <w:rsid w:val="00526AFA"/>
    <w:rsid w:val="005300DA"/>
    <w:rsid w:val="005552FF"/>
    <w:rsid w:val="00556B07"/>
    <w:rsid w:val="00563FD4"/>
    <w:rsid w:val="005728B8"/>
    <w:rsid w:val="0057761C"/>
    <w:rsid w:val="00592AB7"/>
    <w:rsid w:val="005B76B1"/>
    <w:rsid w:val="005C760D"/>
    <w:rsid w:val="005D12D4"/>
    <w:rsid w:val="005E658F"/>
    <w:rsid w:val="005F4016"/>
    <w:rsid w:val="006004E9"/>
    <w:rsid w:val="00615A6B"/>
    <w:rsid w:val="0061679A"/>
    <w:rsid w:val="006316A0"/>
    <w:rsid w:val="00646CD1"/>
    <w:rsid w:val="00670400"/>
    <w:rsid w:val="00682AFB"/>
    <w:rsid w:val="00684822"/>
    <w:rsid w:val="00692B17"/>
    <w:rsid w:val="006A7B2B"/>
    <w:rsid w:val="006B6956"/>
    <w:rsid w:val="006C183A"/>
    <w:rsid w:val="006C685F"/>
    <w:rsid w:val="006E6906"/>
    <w:rsid w:val="00701E25"/>
    <w:rsid w:val="00724E18"/>
    <w:rsid w:val="0072673B"/>
    <w:rsid w:val="00726ACB"/>
    <w:rsid w:val="00732DB6"/>
    <w:rsid w:val="00747BF0"/>
    <w:rsid w:val="00755CD7"/>
    <w:rsid w:val="0075791A"/>
    <w:rsid w:val="00764689"/>
    <w:rsid w:val="00780A71"/>
    <w:rsid w:val="00781059"/>
    <w:rsid w:val="00783E62"/>
    <w:rsid w:val="007840DD"/>
    <w:rsid w:val="007924C4"/>
    <w:rsid w:val="007A705B"/>
    <w:rsid w:val="007C0CFC"/>
    <w:rsid w:val="007C1F25"/>
    <w:rsid w:val="007D516D"/>
    <w:rsid w:val="007D7C25"/>
    <w:rsid w:val="007E6024"/>
    <w:rsid w:val="00802B72"/>
    <w:rsid w:val="008127E9"/>
    <w:rsid w:val="00822D29"/>
    <w:rsid w:val="008266D6"/>
    <w:rsid w:val="008328B7"/>
    <w:rsid w:val="00847CD9"/>
    <w:rsid w:val="008510A8"/>
    <w:rsid w:val="00851BF3"/>
    <w:rsid w:val="00855D3F"/>
    <w:rsid w:val="008578EB"/>
    <w:rsid w:val="00863E97"/>
    <w:rsid w:val="00881D04"/>
    <w:rsid w:val="00891E7C"/>
    <w:rsid w:val="008A36AB"/>
    <w:rsid w:val="008A6281"/>
    <w:rsid w:val="008B4546"/>
    <w:rsid w:val="008C24B1"/>
    <w:rsid w:val="008C5F41"/>
    <w:rsid w:val="008D2E57"/>
    <w:rsid w:val="008E5BBE"/>
    <w:rsid w:val="00902F15"/>
    <w:rsid w:val="00912CA6"/>
    <w:rsid w:val="00915F63"/>
    <w:rsid w:val="009273AD"/>
    <w:rsid w:val="00950646"/>
    <w:rsid w:val="009570DA"/>
    <w:rsid w:val="00962F3C"/>
    <w:rsid w:val="00982F4F"/>
    <w:rsid w:val="00983290"/>
    <w:rsid w:val="0099527A"/>
    <w:rsid w:val="009C441D"/>
    <w:rsid w:val="009D05C5"/>
    <w:rsid w:val="00A01430"/>
    <w:rsid w:val="00A03C76"/>
    <w:rsid w:val="00A1201F"/>
    <w:rsid w:val="00A30665"/>
    <w:rsid w:val="00A30C22"/>
    <w:rsid w:val="00A32E62"/>
    <w:rsid w:val="00A401C2"/>
    <w:rsid w:val="00A519FA"/>
    <w:rsid w:val="00A56CEA"/>
    <w:rsid w:val="00A5732B"/>
    <w:rsid w:val="00A643D9"/>
    <w:rsid w:val="00A76895"/>
    <w:rsid w:val="00A92B96"/>
    <w:rsid w:val="00A93960"/>
    <w:rsid w:val="00A955EF"/>
    <w:rsid w:val="00A96677"/>
    <w:rsid w:val="00AA0CEC"/>
    <w:rsid w:val="00AA1FB1"/>
    <w:rsid w:val="00AC2207"/>
    <w:rsid w:val="00AF27E8"/>
    <w:rsid w:val="00AF728A"/>
    <w:rsid w:val="00B2284C"/>
    <w:rsid w:val="00B323CD"/>
    <w:rsid w:val="00B423A9"/>
    <w:rsid w:val="00B46BC5"/>
    <w:rsid w:val="00B64A12"/>
    <w:rsid w:val="00B65D6B"/>
    <w:rsid w:val="00B933CA"/>
    <w:rsid w:val="00BD5FC3"/>
    <w:rsid w:val="00BD6A31"/>
    <w:rsid w:val="00C036E1"/>
    <w:rsid w:val="00C05553"/>
    <w:rsid w:val="00C21F6C"/>
    <w:rsid w:val="00C250E1"/>
    <w:rsid w:val="00C40130"/>
    <w:rsid w:val="00C413F0"/>
    <w:rsid w:val="00C42DD9"/>
    <w:rsid w:val="00C45878"/>
    <w:rsid w:val="00C84E26"/>
    <w:rsid w:val="00C9585D"/>
    <w:rsid w:val="00CC0E97"/>
    <w:rsid w:val="00CC48C0"/>
    <w:rsid w:val="00CC7DE2"/>
    <w:rsid w:val="00CD297E"/>
    <w:rsid w:val="00CE1AF2"/>
    <w:rsid w:val="00CE2D35"/>
    <w:rsid w:val="00CF09B9"/>
    <w:rsid w:val="00CF4443"/>
    <w:rsid w:val="00CF52EB"/>
    <w:rsid w:val="00D20F5C"/>
    <w:rsid w:val="00D258F9"/>
    <w:rsid w:val="00D274D5"/>
    <w:rsid w:val="00D307DB"/>
    <w:rsid w:val="00D3471E"/>
    <w:rsid w:val="00D53E26"/>
    <w:rsid w:val="00D565B8"/>
    <w:rsid w:val="00D60424"/>
    <w:rsid w:val="00D678DA"/>
    <w:rsid w:val="00D706F2"/>
    <w:rsid w:val="00D75725"/>
    <w:rsid w:val="00D86CF5"/>
    <w:rsid w:val="00D8719B"/>
    <w:rsid w:val="00D94A85"/>
    <w:rsid w:val="00D95C91"/>
    <w:rsid w:val="00DA30C2"/>
    <w:rsid w:val="00DA6E6B"/>
    <w:rsid w:val="00DA7CCA"/>
    <w:rsid w:val="00DD5348"/>
    <w:rsid w:val="00DF047E"/>
    <w:rsid w:val="00E01F87"/>
    <w:rsid w:val="00E05303"/>
    <w:rsid w:val="00E67DF4"/>
    <w:rsid w:val="00EC08B6"/>
    <w:rsid w:val="00EC1554"/>
    <w:rsid w:val="00EC592D"/>
    <w:rsid w:val="00EC6F5F"/>
    <w:rsid w:val="00ED7618"/>
    <w:rsid w:val="00F20017"/>
    <w:rsid w:val="00F32B93"/>
    <w:rsid w:val="00F404D4"/>
    <w:rsid w:val="00F4335F"/>
    <w:rsid w:val="00F43A02"/>
    <w:rsid w:val="00F54B5C"/>
    <w:rsid w:val="00F62580"/>
    <w:rsid w:val="00F6717B"/>
    <w:rsid w:val="00F679F7"/>
    <w:rsid w:val="00F840FB"/>
    <w:rsid w:val="00F90EDD"/>
    <w:rsid w:val="00FA01D8"/>
    <w:rsid w:val="00FB686C"/>
    <w:rsid w:val="00FB7F59"/>
    <w:rsid w:val="00FD073B"/>
    <w:rsid w:val="00FD1B7B"/>
    <w:rsid w:val="00FD3E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97C38E"/>
  <w15:chartTrackingRefBased/>
  <w15:docId w15:val="{A4E21572-6122-4DB0-9CBF-28C4B319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ootnote Text MRP,fn,ft"/>
    <w:basedOn w:val="Normal"/>
    <w:link w:val="FootnoteTextChar"/>
    <w:unhideWhenUsed/>
    <w:rsid w:val="00F6717B"/>
    <w:pPr>
      <w:spacing w:after="0" w:line="240" w:lineRule="auto"/>
    </w:pPr>
    <w:rPr>
      <w:sz w:val="20"/>
      <w:szCs w:val="20"/>
    </w:rPr>
  </w:style>
  <w:style w:type="character" w:customStyle="1" w:styleId="FootnoteTextChar">
    <w:name w:val="Footnote Text Char"/>
    <w:aliases w:val="Footnote Text Char Char Char Char Char Char1,Footnote Text Char Char1 Char Char1,Footnote Text Char1 Char Char Char Char Char Char Char Char1,Footnote Text Char1 Char Char Char Char1,Footnote Text Char2 Char Char1,fn Char1,ft Char1"/>
    <w:basedOn w:val="DefaultParagraphFont"/>
    <w:link w:val="FootnoteText"/>
    <w:uiPriority w:val="99"/>
    <w:semiHidden/>
    <w:rsid w:val="00F6717B"/>
    <w:rPr>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F6717B"/>
  </w:style>
  <w:style w:type="character" w:styleId="Hyperlink">
    <w:name w:val="Hyperlink"/>
    <w:basedOn w:val="DefaultParagraphFont"/>
    <w:unhideWhenUsed/>
    <w:rsid w:val="00F6717B"/>
    <w:rPr>
      <w:color w:val="0000FF"/>
      <w:u w:val="single"/>
    </w:rPr>
  </w:style>
  <w:style w:type="paragraph" w:styleId="ListParagraph">
    <w:name w:val="List Paragraph"/>
    <w:basedOn w:val="Normal"/>
    <w:uiPriority w:val="34"/>
    <w:qFormat/>
    <w:rsid w:val="00F6717B"/>
    <w:pPr>
      <w:ind w:left="720"/>
      <w:contextualSpacing/>
    </w:pPr>
  </w:style>
  <w:style w:type="character" w:customStyle="1" w:styleId="FERCparanumberChar1">
    <w:name w:val="FERC paranumber Char1"/>
    <w:basedOn w:val="DefaultParagraphFont"/>
    <w:link w:val="FERCparanumber"/>
    <w:locked/>
    <w:rsid w:val="00F6717B"/>
    <w:rPr>
      <w:sz w:val="24"/>
      <w:szCs w:val="24"/>
    </w:rPr>
  </w:style>
  <w:style w:type="paragraph" w:customStyle="1" w:styleId="FERCparanumber">
    <w:name w:val="FERC paranumber"/>
    <w:basedOn w:val="Normal"/>
    <w:link w:val="FERCparanumberChar1"/>
    <w:qFormat/>
    <w:rsid w:val="00F6717B"/>
    <w:pPr>
      <w:widowControl w:val="0"/>
      <w:numPr>
        <w:numId w:val="2"/>
      </w:numPr>
      <w:autoSpaceDE w:val="0"/>
      <w:autoSpaceDN w:val="0"/>
      <w:adjustRightInd w:val="0"/>
      <w:spacing w:after="0" w:line="240" w:lineRule="auto"/>
    </w:pPr>
    <w:rPr>
      <w:sz w:val="24"/>
      <w:szCs w:val="24"/>
    </w:rPr>
  </w:style>
  <w:style w:type="paragraph" w:styleId="Header">
    <w:name w:val="header"/>
    <w:basedOn w:val="Normal"/>
    <w:link w:val="HeaderChar"/>
    <w:uiPriority w:val="99"/>
    <w:unhideWhenUsed/>
    <w:rsid w:val="006E6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906"/>
  </w:style>
  <w:style w:type="paragraph" w:styleId="Footer">
    <w:name w:val="footer"/>
    <w:basedOn w:val="Normal"/>
    <w:link w:val="FooterChar"/>
    <w:uiPriority w:val="99"/>
    <w:unhideWhenUsed/>
    <w:rsid w:val="006E6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906"/>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2 Char Char,fn Char,ft Char"/>
    <w:rsid w:val="00B423A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54B5C"/>
    <w:rPr>
      <w:sz w:val="16"/>
      <w:szCs w:val="16"/>
    </w:rPr>
  </w:style>
  <w:style w:type="paragraph" w:styleId="CommentText">
    <w:name w:val="annotation text"/>
    <w:basedOn w:val="Normal"/>
    <w:link w:val="CommentTextChar"/>
    <w:uiPriority w:val="99"/>
    <w:semiHidden/>
    <w:unhideWhenUsed/>
    <w:rsid w:val="00F54B5C"/>
    <w:pPr>
      <w:spacing w:line="240" w:lineRule="auto"/>
    </w:pPr>
    <w:rPr>
      <w:sz w:val="20"/>
      <w:szCs w:val="20"/>
    </w:rPr>
  </w:style>
  <w:style w:type="character" w:customStyle="1" w:styleId="CommentTextChar">
    <w:name w:val="Comment Text Char"/>
    <w:basedOn w:val="DefaultParagraphFont"/>
    <w:link w:val="CommentText"/>
    <w:uiPriority w:val="99"/>
    <w:semiHidden/>
    <w:rsid w:val="00F54B5C"/>
    <w:rPr>
      <w:sz w:val="20"/>
      <w:szCs w:val="20"/>
    </w:rPr>
  </w:style>
  <w:style w:type="paragraph" w:styleId="CommentSubject">
    <w:name w:val="annotation subject"/>
    <w:basedOn w:val="CommentText"/>
    <w:next w:val="CommentText"/>
    <w:link w:val="CommentSubjectChar"/>
    <w:uiPriority w:val="99"/>
    <w:semiHidden/>
    <w:unhideWhenUsed/>
    <w:rsid w:val="00F54B5C"/>
    <w:rPr>
      <w:b/>
      <w:bCs/>
    </w:rPr>
  </w:style>
  <w:style w:type="character" w:customStyle="1" w:styleId="CommentSubjectChar">
    <w:name w:val="Comment Subject Char"/>
    <w:basedOn w:val="CommentTextChar"/>
    <w:link w:val="CommentSubject"/>
    <w:uiPriority w:val="99"/>
    <w:semiHidden/>
    <w:rsid w:val="00F54B5C"/>
    <w:rPr>
      <w:b/>
      <w:bCs/>
      <w:sz w:val="20"/>
      <w:szCs w:val="20"/>
    </w:rPr>
  </w:style>
  <w:style w:type="paragraph" w:styleId="BalloonText">
    <w:name w:val="Balloon Text"/>
    <w:basedOn w:val="Normal"/>
    <w:link w:val="BalloonTextChar"/>
    <w:uiPriority w:val="99"/>
    <w:semiHidden/>
    <w:unhideWhenUsed/>
    <w:rsid w:val="00F54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4B5C"/>
    <w:rPr>
      <w:rFonts w:ascii="Segoe UI" w:hAnsi="Segoe UI" w:cs="Segoe UI"/>
      <w:sz w:val="18"/>
      <w:szCs w:val="18"/>
    </w:rPr>
  </w:style>
  <w:style w:type="character" w:styleId="UnresolvedMention">
    <w:name w:val="Unresolved Mention"/>
    <w:basedOn w:val="DefaultParagraphFont"/>
    <w:uiPriority w:val="99"/>
    <w:semiHidden/>
    <w:unhideWhenUsed/>
    <w:rsid w:val="00A32E62"/>
    <w:rPr>
      <w:color w:val="605E5C"/>
      <w:shd w:val="clear" w:color="auto" w:fill="E1DFDD"/>
    </w:rPr>
  </w:style>
  <w:style w:type="character" w:styleId="FollowedHyperlink">
    <w:name w:val="FollowedHyperlink"/>
    <w:basedOn w:val="DefaultParagraphFont"/>
    <w:uiPriority w:val="99"/>
    <w:semiHidden/>
    <w:unhideWhenUsed/>
    <w:rsid w:val="00CC48C0"/>
    <w:rPr>
      <w:color w:val="954F72" w:themeColor="followedHyperlink"/>
      <w:u w:val="single"/>
    </w:rPr>
  </w:style>
  <w:style w:type="table" w:styleId="TableGrid">
    <w:name w:val="Table Grid"/>
    <w:basedOn w:val="TableNormal"/>
    <w:uiPriority w:val="39"/>
    <w:rsid w:val="006C6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erc.gov/docs-filing/info-collections.asp"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ferc.gov/docs-filing/efiling.asp"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1/may/oes_nat.htm" TargetMode="External" /><Relationship Id="rId2" Type="http://schemas.openxmlformats.org/officeDocument/2006/relationships/hyperlink" Target="https://www.bls.gov/ebs/publications/september-2021-landing-page-employee-benefits-in-the-united-states-march-202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725(1A)</_x0031__x002e__x0020_Collection_x0020_Number>
    <Date xmlns="d6eefc7d-9817-4fa6-84d5-3bc009be21b8">2016-07-29T04:00:00+00:00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RM15-14-002</_x0031__x002e__x0020_Docket_x0020_Number>
    <_x0033__x002e__x0020_Collection_x0020_Number xmlns="d6eefc7d-9817-4fa6-84d5-3bc009be21b8" xsi:nil="true"/>
    <TaxCatchAll xmlns="5a7c6213-c3f8-4376-93f2-dc58e5c51d54" xsi:nil="true"/>
    <lcf76f155ced4ddcb4097134ff3c332f xmlns="e029e753-062b-49ce-baa7-feb352134f8f">
      <Terms xmlns="http://schemas.microsoft.com/office/infopath/2007/PartnerControls"/>
    </lcf76f155ced4ddcb4097134ff3c332f>
    <SharedWithUsers xmlns="5a7c6213-c3f8-4376-93f2-dc58e5c51d54">
      <UserInfo>
        <DisplayName>Jean Sonneman</DisplayName>
        <AccountId>551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3" ma:contentTypeDescription="Create a new document." ma:contentTypeScope="" ma:versionID="7010ecebb87f544f498b764781a18605">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1c56056e4e4a02b5dcf955ef79a612c0"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EBC4BB-E819-404F-B0E9-29C0E00659DC}">
  <ds:schemaRefs>
    <ds:schemaRef ds:uri="http://schemas.microsoft.com/sharepoint/v3/contenttype/forms"/>
  </ds:schemaRefs>
</ds:datastoreItem>
</file>

<file path=customXml/itemProps2.xml><?xml version="1.0" encoding="utf-8"?>
<ds:datastoreItem xmlns:ds="http://schemas.openxmlformats.org/officeDocument/2006/customXml" ds:itemID="{30855B8F-3F43-4306-B31C-DBB32020C727}">
  <ds:schemaRefs>
    <ds:schemaRef ds:uri="http://schemas.openxmlformats.org/officeDocument/2006/bibliography"/>
  </ds:schemaRefs>
</ds:datastoreItem>
</file>

<file path=customXml/itemProps3.xml><?xml version="1.0" encoding="utf-8"?>
<ds:datastoreItem xmlns:ds="http://schemas.openxmlformats.org/officeDocument/2006/customXml" ds:itemID="{DAD47EBA-A0C5-418F-BD21-04DEB06EE565}">
  <ds:schemaRefs>
    <ds:schemaRef ds:uri="http://schemas.microsoft.com/office/2006/metadata/properties"/>
    <ds:schemaRef ds:uri="http://schemas.microsoft.com/office/infopath/2007/PartnerControls"/>
    <ds:schemaRef ds:uri="d6eefc7d-9817-4fa6-84d5-3bc009be21b8"/>
    <ds:schemaRef ds:uri="5a7c6213-c3f8-4376-93f2-dc58e5c51d54"/>
    <ds:schemaRef ds:uri="e029e753-062b-49ce-baa7-feb352134f8f"/>
  </ds:schemaRefs>
</ds:datastoreItem>
</file>

<file path=customXml/itemProps4.xml><?xml version="1.0" encoding="utf-8"?>
<ds:datastoreItem xmlns:ds="http://schemas.openxmlformats.org/officeDocument/2006/customXml" ds:itemID="{C55A12DF-EF99-4300-B743-E50492F86C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2815</Words>
  <Characters>16048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Final Supporting Statement</vt:lpstr>
    </vt:vector>
  </TitlesOfParts>
  <Company>FERC</Company>
  <LinksUpToDate>false</LinksUpToDate>
  <CharactersWithSpaces>18826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dc:title>
  <dc:creator>Michele Chambers</dc:creator>
  <cp:lastModifiedBy>Jean Sonneman</cp:lastModifiedBy>
  <cp:revision>3</cp:revision>
  <cp:lastPrinted>2023-06-23T16:43:00Z</cp:lastPrinted>
  <dcterms:created xsi:type="dcterms:W3CDTF">2023-07-25T17:24:00Z</dcterms:created>
  <dcterms:modified xsi:type="dcterms:W3CDTF">2023-07-25T17:35:00Z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6155a89b-0f08-4a93-8ea2-8a916d6643b5_ActionId">
    <vt:lpwstr>e47a9cc7-04db-4fb0-b9eb-19da4a616740</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2023-06-23T20:51:38Z</vt:lpwstr>
  </property>
  <property fmtid="{D5CDD505-2E9C-101B-9397-08002B2CF9AE}" pid="10" name="MSIP_Label_6155a89b-0f08-4a93-8ea2-8a916d6643b5_SiteId">
    <vt:lpwstr>19caa9e9-04ff-43fa-885f-d77fac387903</vt:lpwstr>
  </property>
</Properties>
</file>