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A72DE" w:rsidP="008A72DE" w14:paraId="4339D31D" w14:textId="77777777">
      <w:pPr>
        <w:jc w:val="center"/>
      </w:pPr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</w:p>
    <w:p w:rsidR="008A72DE" w:rsidP="008A72DE" w14:paraId="1C64DC4D" w14:textId="77777777">
      <w:pPr>
        <w:jc w:val="center"/>
      </w:pPr>
      <w:r>
        <w:t>FEDERAL ENERGY REGULATORY COMMISSION</w:t>
      </w:r>
    </w:p>
    <w:p w:rsidR="008A72DE" w:rsidP="008A72DE" w14:paraId="64642480" w14:textId="77777777"/>
    <w:p w:rsidR="008A72DE" w:rsidRPr="0064790A" w:rsidP="008A72DE" w14:paraId="70D93AFB" w14:textId="42D38932">
      <w:pPr>
        <w:jc w:val="center"/>
      </w:pPr>
      <w:r>
        <w:t>[Docket No</w:t>
      </w:r>
      <w:r w:rsidRPr="0064790A">
        <w:t xml:space="preserve">. </w:t>
      </w:r>
      <w:r w:rsidRPr="001F2C4B">
        <w:t>IC</w:t>
      </w:r>
      <w:r w:rsidRPr="001F2C4B" w:rsidR="001F2C4B">
        <w:t>23</w:t>
      </w:r>
      <w:r w:rsidRPr="001F2C4B">
        <w:t>-</w:t>
      </w:r>
      <w:r w:rsidRPr="001F2C4B" w:rsidR="001F2C4B">
        <w:t>12</w:t>
      </w:r>
      <w:r w:rsidRPr="001F2C4B">
        <w:t>-000]</w:t>
      </w:r>
    </w:p>
    <w:p w:rsidR="008A72DE" w:rsidRPr="0064790A" w:rsidP="008A72DE" w14:paraId="58B8B262" w14:textId="77777777"/>
    <w:p w:rsidR="008A72DE" w:rsidRPr="0064790A" w:rsidP="008A72DE" w14:paraId="40A0358A" w14:textId="77777777">
      <w:pPr>
        <w:jc w:val="center"/>
      </w:pPr>
      <w:r w:rsidRPr="0064790A">
        <w:t>COMMISSION INFORMATION COLLECTION ACTIVITIES (FERC-521);</w:t>
      </w:r>
    </w:p>
    <w:p w:rsidR="008A72DE" w:rsidRPr="0064790A" w:rsidP="008A72DE" w14:paraId="5D32C41A" w14:textId="77777777">
      <w:pPr>
        <w:jc w:val="center"/>
      </w:pPr>
      <w:r w:rsidRPr="0064790A">
        <w:t>COMMENT REQUEST; EXTENSION</w:t>
      </w:r>
    </w:p>
    <w:p w:rsidR="008A72DE" w:rsidRPr="0064790A" w:rsidP="008A72DE" w14:paraId="7F99F288" w14:textId="77777777"/>
    <w:p w:rsidR="00411AAB" w:rsidP="00D13314" w14:paraId="012B714B" w14:textId="789A116C">
      <w:pPr>
        <w:jc w:val="center"/>
      </w:pPr>
      <w:r w:rsidRPr="00D13314">
        <w:t>(August 3, 2023)</w:t>
      </w:r>
    </w:p>
    <w:p w:rsidR="00D13314" w:rsidRPr="00D13314" w:rsidP="00D13314" w14:paraId="499B4715" w14:textId="77777777"/>
    <w:p w:rsidR="008A72DE" w:rsidP="008A72DE" w14:paraId="6A6FE1FF" w14:textId="77777777">
      <w:r w:rsidRPr="00383A37">
        <w:rPr>
          <w:b/>
        </w:rPr>
        <w:t>AGENCY:</w:t>
      </w:r>
      <w:r w:rsidRPr="00383A37">
        <w:t xml:space="preserve">  Federal Energy Regulatory Commission.</w:t>
      </w:r>
    </w:p>
    <w:p w:rsidR="008A72DE" w:rsidRPr="00383A37" w:rsidP="008A72DE" w14:paraId="613DE29B" w14:textId="77777777"/>
    <w:p w:rsidR="008A72DE" w:rsidP="008A72DE" w14:paraId="1E2B2E86" w14:textId="77777777">
      <w:pPr>
        <w:spacing w:line="480" w:lineRule="auto"/>
      </w:pPr>
      <w:r w:rsidRPr="00CE64F2">
        <w:rPr>
          <w:b/>
        </w:rPr>
        <w:t>ACTION:</w:t>
      </w:r>
      <w:r>
        <w:t xml:space="preserve">  Notice of information collection and request for comments.</w:t>
      </w:r>
    </w:p>
    <w:p w:rsidR="008A72DE" w:rsidP="008A72DE" w14:paraId="79A498D4" w14:textId="3879C049">
      <w:pPr>
        <w:spacing w:line="480" w:lineRule="auto"/>
      </w:pPr>
      <w:r w:rsidRPr="00CE64F2">
        <w:rPr>
          <w:b/>
        </w:rPr>
        <w:t>SUMMARY:</w:t>
      </w:r>
      <w:r>
        <w:t xml:space="preserve"> </w:t>
      </w:r>
      <w:r w:rsidRPr="0059645A">
        <w:t>In compliance with the requirements of the Paperwork Reduction Act of 1995</w:t>
      </w:r>
      <w:r w:rsidR="0047667D">
        <w:t xml:space="preserve"> (PRA)</w:t>
      </w:r>
      <w:r w:rsidRPr="0059645A">
        <w:t>,</w:t>
      </w:r>
      <w:r w:rsidRPr="0059645A">
        <w:rPr>
          <w:szCs w:val="26"/>
        </w:rPr>
        <w:t xml:space="preserve"> </w:t>
      </w:r>
      <w:r w:rsidRPr="0059645A">
        <w:t>the Federal Energy Regulatory Commission (Commission or FERC) is</w:t>
      </w:r>
      <w:r>
        <w:t xml:space="preserve"> soliciting public comment on FERC-521 (Payments for Benefits from Headwater Improvements)</w:t>
      </w:r>
      <w:r w:rsidRPr="0059645A">
        <w:t xml:space="preserve">.    </w:t>
      </w:r>
    </w:p>
    <w:p w:rsidR="00E53F60" w:rsidRPr="00E53F60" w:rsidP="00E53F60" w14:paraId="5C0368D7" w14:textId="77777777">
      <w:pPr>
        <w:spacing w:line="480" w:lineRule="auto"/>
      </w:pPr>
      <w:r w:rsidRPr="00E53F60">
        <w:rPr>
          <w:b/>
        </w:rPr>
        <w:t>DATES:</w:t>
      </w:r>
      <w:r w:rsidRPr="00E53F60">
        <w:t xml:space="preserve"> Comments on the collection of information are due </w:t>
      </w:r>
      <w:r w:rsidRPr="00E53F60">
        <w:rPr>
          <w:b/>
        </w:rPr>
        <w:t>[Insert Date 30 days after date of publication in the Federal Register].</w:t>
      </w:r>
      <w:r w:rsidRPr="00E53F60">
        <w:t xml:space="preserve">  </w:t>
      </w:r>
    </w:p>
    <w:p w:rsidR="00E53F60" w:rsidRPr="00E53F60" w:rsidP="00E53F60" w14:paraId="09D9EB55" w14:textId="7585F668">
      <w:pPr>
        <w:spacing w:line="480" w:lineRule="auto"/>
      </w:pPr>
      <w:r w:rsidRPr="00E53F60">
        <w:rPr>
          <w:b/>
        </w:rPr>
        <w:t>ADDRESSES:</w:t>
      </w:r>
      <w:r w:rsidRPr="00E53F60">
        <w:t xml:space="preserve">  </w:t>
      </w:r>
      <w:r w:rsidRPr="00E53F60">
        <w:rPr>
          <w:iCs/>
        </w:rPr>
        <w:t>Send written comments on FERC-5</w:t>
      </w:r>
      <w:r>
        <w:rPr>
          <w:iCs/>
        </w:rPr>
        <w:t>21</w:t>
      </w:r>
      <w:r w:rsidRPr="00E53F60">
        <w:rPr>
          <w:iCs/>
        </w:rPr>
        <w:t xml:space="preserve"> to OMB through </w:t>
      </w:r>
      <w:hyperlink r:id="rId10" w:history="1">
        <w:r w:rsidRPr="00E53F60">
          <w:rPr>
            <w:color w:val="0000FF"/>
            <w:u w:val="single"/>
          </w:rPr>
          <w:t>www.reginfo.gov/public/do/PRAMain</w:t>
        </w:r>
      </w:hyperlink>
      <w:r w:rsidRPr="00E53F60">
        <w:t>,</w:t>
      </w:r>
      <w:r w:rsidRPr="00E53F60">
        <w:rPr>
          <w:iCs/>
        </w:rPr>
        <w:t xml:space="preserve"> Attention: Federal Energy Regulatory Commission Desk Officer.  Please identify the OMB Control Number </w:t>
      </w:r>
      <w:r w:rsidRPr="00E53F60">
        <w:t>1902-00</w:t>
      </w:r>
      <w:r>
        <w:t>87</w:t>
      </w:r>
      <w:r w:rsidRPr="00E53F60">
        <w:t xml:space="preserve"> (</w:t>
      </w:r>
      <w:r>
        <w:t>Payments for Benefits from Headwater Improvements</w:t>
      </w:r>
      <w:r w:rsidRPr="00E53F60">
        <w:t>) in the subject line.</w:t>
      </w:r>
      <w:r w:rsidRPr="00E53F60">
        <w:rPr>
          <w:iCs/>
        </w:rPr>
        <w:t xml:space="preserve">  Your comments </w:t>
      </w:r>
      <w:r w:rsidRPr="00E53F60">
        <w:t>should be sent within 30 days of publication of this notice in the Federal Register.</w:t>
      </w:r>
    </w:p>
    <w:p w:rsidR="00E53F60" w:rsidRPr="00E53F60" w:rsidP="00E53F60" w14:paraId="0825CC96" w14:textId="21AF9C21">
      <w:pPr>
        <w:spacing w:line="480" w:lineRule="auto"/>
        <w:ind w:firstLine="720"/>
      </w:pPr>
      <w:r w:rsidRPr="00E53F60">
        <w:t>Please submit copies of your comments (identified by Docket No. IC23-1</w:t>
      </w:r>
      <w:r>
        <w:t>2</w:t>
      </w:r>
      <w:r w:rsidRPr="00E53F60">
        <w:t xml:space="preserve">-000 and the form) to the Commission as noted below.  Electronic filing through </w:t>
      </w:r>
      <w:hyperlink r:id="rId11" w:history="1">
        <w:r w:rsidRPr="00E53F60">
          <w:rPr>
            <w:color w:val="0000FF"/>
            <w:u w:val="single"/>
          </w:rPr>
          <w:t>https://www.ferc.gov</w:t>
        </w:r>
      </w:hyperlink>
      <w:r w:rsidRPr="00E53F60">
        <w:t>, is preferred.</w:t>
      </w:r>
    </w:p>
    <w:p w:rsidR="00E53F60" w:rsidRPr="00E53F60" w:rsidP="00E53F60" w14:paraId="2D264C84" w14:textId="77777777">
      <w:pPr>
        <w:numPr>
          <w:ilvl w:val="0"/>
          <w:numId w:val="1"/>
        </w:numPr>
        <w:spacing w:line="480" w:lineRule="auto"/>
      </w:pPr>
      <w:r w:rsidRPr="00E53F60">
        <w:t xml:space="preserve">Electronic Filing: Documents must be filed in acceptable native applications and print-to-PDF, but not in scanned or picture format. </w:t>
      </w:r>
    </w:p>
    <w:p w:rsidR="00E53F60" w:rsidRPr="00E53F60" w:rsidP="00E53F60" w14:paraId="31523C5F" w14:textId="77777777">
      <w:pPr>
        <w:numPr>
          <w:ilvl w:val="0"/>
          <w:numId w:val="1"/>
        </w:numPr>
        <w:spacing w:line="480" w:lineRule="auto"/>
      </w:pPr>
      <w:r w:rsidRPr="00E53F60">
        <w:t>For those unable to file electronically, comments may be filed by USPS mail or by hand (including courier) delivery.</w:t>
      </w:r>
    </w:p>
    <w:p w:rsidR="00E53F60" w:rsidRPr="00E53F60" w:rsidP="00E53F60" w14:paraId="3AE2C8E0" w14:textId="77777777">
      <w:pPr>
        <w:numPr>
          <w:ilvl w:val="1"/>
          <w:numId w:val="1"/>
        </w:numPr>
        <w:spacing w:line="480" w:lineRule="auto"/>
      </w:pPr>
      <w:r w:rsidRPr="00E53F60">
        <w:t>Mail via U.S. Postal Service only, addressed to: Federal Energy Regulatory Commission, Secretary of the Commission, 888 First Street, N.E., Washington, DC 20426.</w:t>
      </w:r>
    </w:p>
    <w:p w:rsidR="00E53F60" w:rsidRPr="00E53F60" w:rsidP="00E53F60" w14:paraId="29411457" w14:textId="77777777">
      <w:pPr>
        <w:numPr>
          <w:ilvl w:val="1"/>
          <w:numId w:val="1"/>
        </w:numPr>
        <w:spacing w:line="480" w:lineRule="auto"/>
      </w:pPr>
      <w:r w:rsidRPr="00E53F60">
        <w:t>Mail via any other service (including courier delivery): Federal Energy Regulatory Commission, Secretary of the Commission, 12225 Wilkins Avenue, Rockville, MD 20852.</w:t>
      </w:r>
    </w:p>
    <w:p w:rsidR="00E53F60" w:rsidRPr="00E53F60" w:rsidP="00E53F60" w14:paraId="40B614B6" w14:textId="77777777">
      <w:pPr>
        <w:spacing w:line="480" w:lineRule="auto"/>
      </w:pPr>
      <w:r w:rsidRPr="00E53F60">
        <w:t>Please reference the specific collection number(s) and/or title(s) in your comments.</w:t>
      </w:r>
    </w:p>
    <w:p w:rsidR="00E53F60" w:rsidRPr="00E53F60" w:rsidP="00E53F60" w14:paraId="2445726B" w14:textId="77777777">
      <w:pPr>
        <w:spacing w:line="480" w:lineRule="auto"/>
      </w:pPr>
      <w:r w:rsidRPr="00E53F60">
        <w:rPr>
          <w:i/>
        </w:rPr>
        <w:t xml:space="preserve">Instructions: </w:t>
      </w:r>
      <w:r w:rsidRPr="00E53F60">
        <w:t xml:space="preserve">OMB submissions must be formatted and filed in accordance with submission guidelines at: </w:t>
      </w:r>
      <w:hyperlink r:id="rId10" w:history="1">
        <w:r w:rsidRPr="00E53F60">
          <w:rPr>
            <w:color w:val="0000FF"/>
            <w:u w:val="single"/>
          </w:rPr>
          <w:t>www.reginfo.gov/public/do/PRAMain</w:t>
        </w:r>
      </w:hyperlink>
      <w:r w:rsidRPr="00E53F60">
        <w:t xml:space="preserve">.  Using the search function under the “Currently Under Review field,” select Federal Energy Regulatory Commission; click “submit” and select “comment” to the right of the subject collection.  FERC submissions must be formatted and filed in accordance with submission guidelines at: </w:t>
      </w:r>
      <w:hyperlink r:id="rId11" w:history="1">
        <w:r w:rsidRPr="00E53F60">
          <w:rPr>
            <w:color w:val="0000FF"/>
            <w:u w:val="single"/>
          </w:rPr>
          <w:t>https://www.ferc.gov</w:t>
        </w:r>
      </w:hyperlink>
      <w:r w:rsidRPr="00E53F60">
        <w:t>.  For user assistance contact FERC Online Support by e-mail at ferconlinesupport@ferc.gov, or by phone at (866) 208-3676 (toll-free).</w:t>
      </w:r>
    </w:p>
    <w:p w:rsidR="00E53F60" w:rsidRPr="00E53F60" w:rsidP="00E53F60" w14:paraId="174346B8" w14:textId="77777777">
      <w:pPr>
        <w:spacing w:line="480" w:lineRule="auto"/>
      </w:pPr>
      <w:r w:rsidRPr="00E53F60">
        <w:rPr>
          <w:i/>
        </w:rPr>
        <w:t>Docket:</w:t>
      </w:r>
      <w:r w:rsidRPr="00E53F60">
        <w:t xml:space="preserve"> Users interested in receiving automatic notification of activity in this docket or in viewing/downloading comments and issuances in this docket may do so at </w:t>
      </w:r>
      <w:hyperlink r:id="rId11" w:history="1">
        <w:r w:rsidRPr="00E53F60">
          <w:rPr>
            <w:color w:val="0000FF"/>
            <w:u w:val="single"/>
          </w:rPr>
          <w:t>https://www.ferc.gov</w:t>
        </w:r>
      </w:hyperlink>
      <w:r w:rsidRPr="00E53F60">
        <w:t xml:space="preserve">. </w:t>
      </w:r>
    </w:p>
    <w:p w:rsidR="00E53F60" w:rsidP="00E53F60" w14:paraId="40E363E2" w14:textId="6E7BB681">
      <w:pPr>
        <w:spacing w:line="480" w:lineRule="auto"/>
      </w:pPr>
      <w:r w:rsidRPr="00E53F60">
        <w:rPr>
          <w:b/>
        </w:rPr>
        <w:t>FOR FURTHER INFORMATION:</w:t>
      </w:r>
      <w:r w:rsidRPr="00E53F60">
        <w:t xml:space="preserve">  Ellen Brown may be reached by e-mail at </w:t>
      </w:r>
      <w:hyperlink r:id="rId12" w:history="1">
        <w:r w:rsidRPr="00E53F60">
          <w:rPr>
            <w:color w:val="0000FF"/>
            <w:u w:val="single"/>
          </w:rPr>
          <w:t>DataClearance@FERC.gov</w:t>
        </w:r>
      </w:hyperlink>
      <w:r w:rsidRPr="00E53F60">
        <w:t xml:space="preserve"> and telephone at (202) 502-8663</w:t>
      </w:r>
      <w:r>
        <w:t>.</w:t>
      </w:r>
    </w:p>
    <w:p w:rsidR="008A72DE" w:rsidP="00E53F60" w14:paraId="4430EBEB" w14:textId="28903F91">
      <w:pPr>
        <w:spacing w:line="480" w:lineRule="auto"/>
      </w:pPr>
      <w:r w:rsidRPr="001C3703">
        <w:rPr>
          <w:b/>
        </w:rPr>
        <w:t>SUPPLEMENTARY INFORMATION:</w:t>
      </w:r>
      <w:r>
        <w:t xml:space="preserve">  </w:t>
      </w:r>
    </w:p>
    <w:p w:rsidR="008A72DE" w:rsidP="008A72DE" w14:paraId="23D7614D" w14:textId="77777777">
      <w:pPr>
        <w:spacing w:line="480" w:lineRule="auto"/>
        <w:rPr>
          <w:i/>
        </w:rPr>
      </w:pPr>
      <w:r>
        <w:rPr>
          <w:i/>
        </w:rPr>
        <w:t xml:space="preserve">Title: </w:t>
      </w:r>
      <w:r>
        <w:t>FERC-521,</w:t>
      </w:r>
      <w:r w:rsidRPr="00B6316C">
        <w:t xml:space="preserve"> </w:t>
      </w:r>
      <w:r>
        <w:t>Payments for Benefits from Headwater Improvements</w:t>
      </w:r>
    </w:p>
    <w:p w:rsidR="008A72DE" w:rsidP="008A72DE" w14:paraId="18BC9307" w14:textId="77777777">
      <w:pPr>
        <w:spacing w:line="480" w:lineRule="auto"/>
      </w:pPr>
      <w:r>
        <w:rPr>
          <w:i/>
        </w:rPr>
        <w:t>OMB Control No.:</w:t>
      </w:r>
      <w:r>
        <w:t xml:space="preserve"> 1902-0087</w:t>
      </w:r>
    </w:p>
    <w:p w:rsidR="008A72DE" w:rsidP="008A72DE" w14:paraId="15613509" w14:textId="77777777">
      <w:pPr>
        <w:spacing w:line="480" w:lineRule="auto"/>
      </w:pPr>
      <w:r>
        <w:rPr>
          <w:i/>
        </w:rPr>
        <w:t>Type of Request:</w:t>
      </w:r>
      <w:r>
        <w:t xml:space="preserve"> Three-year extension of the FERC-521 information collection requirements with </w:t>
      </w:r>
      <w:r w:rsidRPr="007E0E40">
        <w:t>no changes</w:t>
      </w:r>
      <w:r>
        <w:t xml:space="preserve"> to the reporting requirements. </w:t>
      </w:r>
    </w:p>
    <w:p w:rsidR="005A7BF0" w:rsidP="006A26AB" w14:paraId="6F34162C" w14:textId="347DCED2">
      <w:pPr>
        <w:spacing w:line="480" w:lineRule="auto"/>
      </w:pPr>
      <w:r>
        <w:rPr>
          <w:i/>
        </w:rPr>
        <w:t xml:space="preserve">Abstract: </w:t>
      </w:r>
      <w:r w:rsidRPr="001F2C4B" w:rsidR="00EF7616">
        <w:rPr>
          <w:iCs/>
        </w:rPr>
        <w:t xml:space="preserve">The purpose of FERC-521 is to implement </w:t>
      </w:r>
      <w:r w:rsidR="00D62233">
        <w:rPr>
          <w:iCs/>
        </w:rPr>
        <w:t xml:space="preserve">the </w:t>
      </w:r>
      <w:r w:rsidRPr="001F2C4B" w:rsidR="00EF7616">
        <w:rPr>
          <w:iCs/>
        </w:rPr>
        <w:t xml:space="preserve">information collection </w:t>
      </w:r>
      <w:r w:rsidR="001227EA">
        <w:rPr>
          <w:iCs/>
        </w:rPr>
        <w:t xml:space="preserve">regarding “headwater benefits” </w:t>
      </w:r>
      <w:r w:rsidRPr="001F2C4B" w:rsidR="00EF7616">
        <w:rPr>
          <w:iCs/>
        </w:rPr>
        <w:t xml:space="preserve">pursuant to </w:t>
      </w:r>
      <w:r>
        <w:t xml:space="preserve"> Section</w:t>
      </w:r>
      <w:r w:rsidR="00A27353">
        <w:t xml:space="preserve"> 10(f)</w:t>
      </w:r>
      <w:r>
        <w:t xml:space="preserve"> of the Federal Power Act (FPA)</w:t>
      </w:r>
      <w:r w:rsidR="000A5902">
        <w:t>.</w:t>
      </w:r>
      <w:r>
        <w:rPr>
          <w:rStyle w:val="FootnoteReference"/>
        </w:rPr>
        <w:footnoteReference w:id="2"/>
      </w:r>
      <w:r w:rsidR="000A5902">
        <w:t xml:space="preserve">  </w:t>
      </w:r>
      <w:r w:rsidR="001227EA">
        <w:t xml:space="preserve">As defined at </w:t>
      </w:r>
      <w:r w:rsidR="001901BF">
        <w:t xml:space="preserve">18 CFR 11.10(a)(2), headwater benefits </w:t>
      </w:r>
      <w:r w:rsidR="00892D02">
        <w:t xml:space="preserve">consist of the additional electric generation of a downstream project that results from regulation of the flow of a river by </w:t>
      </w:r>
      <w:r w:rsidR="00464691">
        <w:t xml:space="preserve">a </w:t>
      </w:r>
      <w:r w:rsidR="00892D02">
        <w:t xml:space="preserve"> headwater (i.e. upstream) </w:t>
      </w:r>
      <w:r w:rsidR="00464691">
        <w:t xml:space="preserve">project, usually by increasing or decreasing the release </w:t>
      </w:r>
      <w:r w:rsidR="007763A3">
        <w:t>of water from a storage reservoir.</w:t>
      </w:r>
      <w:r w:rsidR="00D019D4">
        <w:t xml:space="preserve">  </w:t>
      </w:r>
      <w:r w:rsidR="00866372">
        <w:t xml:space="preserve">The respondents </w:t>
      </w:r>
      <w:r w:rsidR="00661023">
        <w:t xml:space="preserve">of this information collection are owners of </w:t>
      </w:r>
      <w:r w:rsidR="004179C5">
        <w:t xml:space="preserve">headwater projects constructed by the United States, by licensees, and pre-1920 permittees.  </w:t>
      </w:r>
      <w:r w:rsidR="0090041B">
        <w:t>18 CFR 11.16(b)</w:t>
      </w:r>
      <w:r w:rsidR="00EF4A9A">
        <w:t xml:space="preserve">.  </w:t>
      </w:r>
      <w:r w:rsidR="00F612FD">
        <w:t xml:space="preserve">The Commission requires </w:t>
      </w:r>
      <w:r>
        <w:t>basic project information including</w:t>
      </w:r>
      <w:r w:rsidR="00C7344E">
        <w:t xml:space="preserve"> </w:t>
      </w:r>
      <w:r w:rsidR="006F771B">
        <w:t>owner</w:t>
      </w:r>
      <w:r w:rsidR="00C7344E">
        <w:t xml:space="preserve"> information,</w:t>
      </w:r>
      <w:r>
        <w:t xml:space="preserve"> location</w:t>
      </w:r>
      <w:r w:rsidR="006F771B">
        <w:t>,</w:t>
      </w:r>
      <w:r>
        <w:t xml:space="preserve"> and storage capacity to be filed by the </w:t>
      </w:r>
      <w:r w:rsidR="006D6014">
        <w:t>respondents.</w:t>
      </w:r>
      <w:r w:rsidR="00353485">
        <w:t xml:space="preserve">  </w:t>
      </w:r>
    </w:p>
    <w:p w:rsidR="008A72DE" w:rsidRPr="009679E3" w:rsidP="008A72DE" w14:paraId="756C7C9D" w14:textId="0976061C">
      <w:pPr>
        <w:spacing w:line="480" w:lineRule="auto"/>
      </w:pPr>
      <w:r>
        <w:rPr>
          <w:i/>
        </w:rPr>
        <w:t xml:space="preserve">Type of Respondents: </w:t>
      </w:r>
      <w:r>
        <w:t xml:space="preserve">There are two types of entities that respond, Federal and Non-Federal </w:t>
      </w:r>
      <w:r w:rsidR="009A46C1">
        <w:t xml:space="preserve">storage and </w:t>
      </w:r>
      <w:r>
        <w:t xml:space="preserve">hydropower project owners.  The Federal entities that typically respond </w:t>
      </w:r>
      <w:r w:rsidR="009A46C1">
        <w:t xml:space="preserve">include </w:t>
      </w:r>
      <w:r>
        <w:t xml:space="preserve">the U.S. Army Corps of Engineers and the U.S. Department of Interior </w:t>
      </w:r>
      <w:r>
        <w:t xml:space="preserve">Bureau of Reclamation.  The Non-Federal entities may consist of any Municipal or Non-Municipal hydropower project owner.  </w:t>
      </w:r>
    </w:p>
    <w:p w:rsidR="00876014" w:rsidP="008A72DE" w14:paraId="2172222B" w14:textId="49A207B1">
      <w:pPr>
        <w:spacing w:line="480" w:lineRule="auto"/>
      </w:pPr>
      <w:r>
        <w:rPr>
          <w:i/>
        </w:rPr>
        <w:t>Estimate of Annual Burde</w:t>
      </w:r>
      <w:r w:rsidR="0047667D">
        <w:rPr>
          <w:i/>
        </w:rPr>
        <w:t>n</w:t>
      </w:r>
      <w:r>
        <w:rPr>
          <w:rStyle w:val="FootnoteReference"/>
          <w:i/>
        </w:rPr>
        <w:footnoteReference w:id="3"/>
      </w:r>
      <w:r w:rsidR="0047667D">
        <w:rPr>
          <w:i/>
        </w:rPr>
        <w:t>and cost</w:t>
      </w:r>
      <w:r>
        <w:rPr>
          <w:rStyle w:val="FootnoteReference"/>
          <w:i/>
        </w:rPr>
        <w:footnoteReference w:id="4"/>
      </w:r>
      <w:r w:rsidR="00794194">
        <w:rPr>
          <w:i/>
        </w:rPr>
        <w:t>:</w:t>
      </w:r>
      <w:r>
        <w:rPr>
          <w:i/>
        </w:rPr>
        <w:t xml:space="preserve"> </w:t>
      </w:r>
      <w:r>
        <w:t>The Commission estimates the total Public Reporting Burden for this information collection as:</w:t>
      </w:r>
    </w:p>
    <w:tbl>
      <w:tblPr>
        <w:tblW w:w="547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2"/>
        <w:gridCol w:w="1169"/>
        <w:gridCol w:w="1263"/>
        <w:gridCol w:w="1349"/>
        <w:gridCol w:w="1621"/>
        <w:gridCol w:w="1709"/>
        <w:gridCol w:w="1433"/>
      </w:tblGrid>
      <w:tr w14:paraId="16731038" w14:textId="77777777" w:rsidTr="00F22E78">
        <w:tblPrEx>
          <w:tblW w:w="5474" w:type="pct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8A72DE" w:rsidRPr="009B515F" w:rsidP="00F22E78" w14:paraId="2E0DA04A" w14:textId="7777777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8A72DE" w:rsidRPr="009B515F" w:rsidP="00F22E78" w14:paraId="5BCB045B" w14:textId="777777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B515F">
              <w:rPr>
                <w:rFonts w:eastAsia="Calibri"/>
                <w:b/>
                <w:sz w:val="28"/>
                <w:szCs w:val="28"/>
              </w:rPr>
              <w:t xml:space="preserve">FERC-521: Payments for Benefits from Headwater </w:t>
            </w:r>
            <w:r>
              <w:rPr>
                <w:rFonts w:eastAsia="Calibri"/>
                <w:b/>
                <w:sz w:val="28"/>
                <w:szCs w:val="28"/>
              </w:rPr>
              <w:t>Improvements</w:t>
            </w:r>
          </w:p>
        </w:tc>
      </w:tr>
      <w:tr w14:paraId="39D5989D" w14:textId="77777777" w:rsidTr="001F2C4B">
        <w:tblPrEx>
          <w:tblW w:w="5474" w:type="pct"/>
          <w:tblInd w:w="-72" w:type="dxa"/>
          <w:tblLayout w:type="fixed"/>
          <w:tblLook w:val="01E0"/>
        </w:tblPrEx>
        <w:trPr>
          <w:cantSplit/>
        </w:trPr>
        <w:tc>
          <w:tcPr>
            <w:tcW w:w="826" w:type="pct"/>
            <w:shd w:val="clear" w:color="auto" w:fill="D9D9D9"/>
          </w:tcPr>
          <w:p w:rsidR="008A72DE" w:rsidRPr="009B515F" w:rsidP="00F22E78" w14:paraId="5742032B" w14:textId="77777777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571" w:type="pct"/>
            <w:shd w:val="clear" w:color="auto" w:fill="D9D9D9"/>
            <w:vAlign w:val="bottom"/>
          </w:tcPr>
          <w:p w:rsidR="008A72DE" w:rsidRPr="009B515F" w:rsidP="00F22E78" w14:paraId="1A8065C2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Number of Respondents</w:t>
            </w:r>
            <w:r w:rsidRPr="009B515F">
              <w:rPr>
                <w:rFonts w:eastAsia="Calibri"/>
                <w:b/>
                <w:sz w:val="24"/>
              </w:rPr>
              <w:br/>
              <w:t>(1)</w:t>
            </w:r>
          </w:p>
        </w:tc>
        <w:tc>
          <w:tcPr>
            <w:tcW w:w="617" w:type="pct"/>
            <w:shd w:val="clear" w:color="auto" w:fill="D9D9D9"/>
            <w:vAlign w:val="bottom"/>
          </w:tcPr>
          <w:p w:rsidR="008A72DE" w:rsidRPr="009B515F" w:rsidP="00F22E78" w14:paraId="4ACC94D9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Annual Number of Responses per Respondent</w:t>
            </w:r>
          </w:p>
          <w:p w:rsidR="008A72DE" w:rsidRPr="009B515F" w:rsidP="00F22E78" w14:paraId="25772CB7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(2)</w:t>
            </w:r>
          </w:p>
        </w:tc>
        <w:tc>
          <w:tcPr>
            <w:tcW w:w="659" w:type="pct"/>
            <w:shd w:val="clear" w:color="auto" w:fill="D9D9D9"/>
            <w:vAlign w:val="bottom"/>
          </w:tcPr>
          <w:p w:rsidR="008A72DE" w:rsidRPr="009B515F" w:rsidP="00F22E78" w14:paraId="67FB20D3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Total Number of Responses (1)*(2)=(3)</w:t>
            </w:r>
          </w:p>
        </w:tc>
        <w:tc>
          <w:tcPr>
            <w:tcW w:w="792" w:type="pct"/>
            <w:shd w:val="clear" w:color="auto" w:fill="D9D9D9"/>
            <w:vAlign w:val="bottom"/>
          </w:tcPr>
          <w:p w:rsidR="008A72DE" w:rsidRPr="009B515F" w:rsidP="00F22E78" w14:paraId="28272F45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Average Burden &amp; Cost Per Response</w:t>
            </w:r>
          </w:p>
          <w:p w:rsidR="008A72DE" w:rsidRPr="009B515F" w:rsidP="00F22E78" w14:paraId="024D4422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(4)</w:t>
            </w:r>
          </w:p>
        </w:tc>
        <w:tc>
          <w:tcPr>
            <w:tcW w:w="835" w:type="pct"/>
            <w:shd w:val="clear" w:color="auto" w:fill="D9D9D9"/>
            <w:vAlign w:val="bottom"/>
          </w:tcPr>
          <w:p w:rsidR="008A72DE" w:rsidRPr="009B515F" w:rsidP="00F22E78" w14:paraId="693B8C90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Total Annual Burden Hours &amp; Total Annual Cost</w:t>
            </w:r>
          </w:p>
          <w:p w:rsidR="008A72DE" w:rsidRPr="009B515F" w:rsidP="00F22E78" w14:paraId="2C8C63B5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(3)*(4)=(5)</w:t>
            </w:r>
          </w:p>
        </w:tc>
        <w:tc>
          <w:tcPr>
            <w:tcW w:w="701" w:type="pct"/>
            <w:shd w:val="clear" w:color="auto" w:fill="D9D9D9"/>
            <w:vAlign w:val="bottom"/>
          </w:tcPr>
          <w:p w:rsidR="008A72DE" w:rsidRPr="009B515F" w:rsidP="00F22E78" w14:paraId="20D9D6BF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Cost per Respondent</w:t>
            </w:r>
          </w:p>
          <w:p w:rsidR="008A72DE" w:rsidRPr="009B515F" w:rsidP="00F22E78" w14:paraId="60101582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 xml:space="preserve"> ($)</w:t>
            </w:r>
          </w:p>
          <w:p w:rsidR="008A72DE" w:rsidRPr="009B515F" w:rsidP="00F22E78" w14:paraId="6415F7F0" w14:textId="77777777">
            <w:pPr>
              <w:jc w:val="center"/>
              <w:rPr>
                <w:rFonts w:eastAsia="Calibri"/>
                <w:b/>
                <w:sz w:val="24"/>
              </w:rPr>
            </w:pPr>
            <w:r w:rsidRPr="009B515F">
              <w:rPr>
                <w:rFonts w:eastAsia="Calibri"/>
                <w:b/>
                <w:sz w:val="24"/>
              </w:rPr>
              <w:t>(5)÷(1)</w:t>
            </w:r>
          </w:p>
        </w:tc>
      </w:tr>
      <w:tr w14:paraId="57530BF6" w14:textId="77777777" w:rsidTr="001F2C4B">
        <w:tblPrEx>
          <w:tblW w:w="5474" w:type="pct"/>
          <w:tblInd w:w="-72" w:type="dxa"/>
          <w:tblLayout w:type="fixed"/>
          <w:tblLook w:val="01E0"/>
        </w:tblPrEx>
        <w:trPr>
          <w:cantSplit/>
        </w:trPr>
        <w:tc>
          <w:tcPr>
            <w:tcW w:w="826" w:type="pct"/>
          </w:tcPr>
          <w:p w:rsidR="008A72DE" w:rsidRPr="00815AB2" w:rsidP="00F22E78" w14:paraId="524CA47D" w14:textId="006F06D7">
            <w:pPr>
              <w:jc w:val="righ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Federal and Non-Federal project owners</w:t>
            </w:r>
            <w:r w:rsidR="009A46C1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bottom"/>
          </w:tcPr>
          <w:p w:rsidR="008A72DE" w:rsidRPr="00815AB2" w:rsidP="00F22E78" w14:paraId="614F2700" w14:textId="6B7D96FE">
            <w:pPr>
              <w:jc w:val="right"/>
              <w:rPr>
                <w:rFonts w:eastAsia="Calibri"/>
                <w:sz w:val="24"/>
              </w:rPr>
            </w:pPr>
            <w:r>
              <w:t>3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bottom"/>
          </w:tcPr>
          <w:p w:rsidR="008A72DE" w:rsidRPr="00815AB2" w:rsidP="00F22E78" w14:paraId="349811CD" w14:textId="77777777">
            <w:pPr>
              <w:jc w:val="right"/>
              <w:rPr>
                <w:rFonts w:eastAsia="Calibri"/>
                <w:sz w:val="24"/>
              </w:rPr>
            </w:pPr>
            <w:r w:rsidRPr="00815AB2">
              <w:t>1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bottom"/>
          </w:tcPr>
          <w:p w:rsidR="008A72DE" w:rsidRPr="00815AB2" w:rsidP="00F22E78" w14:paraId="48EFC767" w14:textId="77777777">
            <w:pPr>
              <w:jc w:val="right"/>
              <w:rPr>
                <w:rFonts w:eastAsia="Calibri"/>
                <w:sz w:val="24"/>
              </w:rPr>
            </w:pPr>
            <w:r w:rsidRPr="00815AB2">
              <w:t>3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bottom"/>
          </w:tcPr>
          <w:p w:rsidR="008A72DE" w:rsidRPr="00815AB2" w:rsidP="00F22E78" w14:paraId="31C1A3C5" w14:textId="4C168329">
            <w:pPr>
              <w:jc w:val="right"/>
              <w:rPr>
                <w:rFonts w:eastAsia="Calibri"/>
                <w:sz w:val="24"/>
              </w:rPr>
            </w:pPr>
            <w:r w:rsidRPr="00815AB2">
              <w:t>40</w:t>
            </w:r>
            <w:r>
              <w:t xml:space="preserve"> hrs.; $3,</w:t>
            </w:r>
            <w:r w:rsidR="009A46C1">
              <w:t>640</w:t>
            </w:r>
          </w:p>
        </w:tc>
        <w:tc>
          <w:tcPr>
            <w:tcW w:w="835" w:type="pct"/>
            <w:vAlign w:val="bottom"/>
          </w:tcPr>
          <w:p w:rsidR="008A72DE" w:rsidP="00F22E78" w14:paraId="6CB47EE0" w14:textId="77777777">
            <w:pPr>
              <w:jc w:val="right"/>
              <w:rPr>
                <w:strike/>
              </w:rPr>
            </w:pPr>
            <w:r w:rsidRPr="00815AB2">
              <w:t>120</w:t>
            </w:r>
            <w:r>
              <w:t xml:space="preserve"> hrs.;  </w:t>
            </w:r>
          </w:p>
          <w:p w:rsidR="008A72DE" w:rsidRPr="000E44E6" w:rsidP="00F22E78" w14:paraId="63744E0F" w14:textId="5E38072C">
            <w:pPr>
              <w:jc w:val="right"/>
              <w:rPr>
                <w:rFonts w:eastAsia="Calibri"/>
                <w:sz w:val="24"/>
              </w:rPr>
            </w:pPr>
            <w:r w:rsidRPr="00F25C0A">
              <w:t>$</w:t>
            </w:r>
            <w:r w:rsidR="009A46C1">
              <w:t>10,920</w:t>
            </w:r>
          </w:p>
        </w:tc>
        <w:tc>
          <w:tcPr>
            <w:tcW w:w="701" w:type="pct"/>
            <w:vAlign w:val="bottom"/>
          </w:tcPr>
          <w:p w:rsidR="008A72DE" w:rsidRPr="00F25C0A" w:rsidP="00F22E78" w14:paraId="7FE38ADC" w14:textId="6572AD94">
            <w:pPr>
              <w:jc w:val="right"/>
              <w:rPr>
                <w:rFonts w:eastAsia="Calibri"/>
                <w:strike/>
                <w:sz w:val="24"/>
              </w:rPr>
            </w:pPr>
            <w:r>
              <w:rPr>
                <w:rFonts w:eastAsia="Calibri"/>
                <w:sz w:val="24"/>
              </w:rPr>
              <w:t>$3,</w:t>
            </w:r>
            <w:r w:rsidR="009A46C1">
              <w:rPr>
                <w:rFonts w:eastAsia="Calibri"/>
                <w:sz w:val="24"/>
              </w:rPr>
              <w:t>64</w:t>
            </w:r>
            <w:r>
              <w:rPr>
                <w:rFonts w:eastAsia="Calibri"/>
                <w:sz w:val="24"/>
              </w:rPr>
              <w:t>0</w:t>
            </w:r>
          </w:p>
        </w:tc>
      </w:tr>
    </w:tbl>
    <w:p w:rsidR="008A72DE" w:rsidRPr="00B66905" w:rsidP="008A72DE" w14:paraId="0A4F204F" w14:textId="77777777">
      <w:pPr>
        <w:spacing w:line="480" w:lineRule="auto"/>
        <w:rPr>
          <w:sz w:val="24"/>
        </w:rPr>
      </w:pPr>
    </w:p>
    <w:p w:rsidR="008A72DE" w:rsidP="008A72DE" w14:paraId="7A0BD416" w14:textId="77777777">
      <w:pPr>
        <w:spacing w:line="480" w:lineRule="auto"/>
      </w:pPr>
      <w:r>
        <w:rPr>
          <w:i/>
        </w:rPr>
        <w:t xml:space="preserve">Comments:  </w:t>
      </w:r>
      <w:r>
        <w:t xml:space="preserve">Comments are invited on:  (1) whether the collection of information is necessary for the proper performance of the functions of the Commission, including whether the information will have practical utility; (2) the accuracy of the agency's estimate of the burden and cost of the collection of information, including the validity of the methodology and assumptions used; (3) ways to enhance the quality, utility and clarity of the information collection; and (4) ways to minimize the burden of the </w:t>
      </w:r>
      <w:r>
        <w:t xml:space="preserve">collection of information on those who are to respond, including the use of automated collection techniques or other forms of information technology.  </w:t>
      </w:r>
    </w:p>
    <w:p w:rsidR="008A72DE" w:rsidP="008A72DE" w14:paraId="32D444F5" w14:textId="77777777"/>
    <w:p w:rsidR="008A72DE" w:rsidP="008A72DE" w14:paraId="14663350" w14:textId="77777777"/>
    <w:p w:rsidR="008A72DE" w:rsidRPr="009B7F9A" w:rsidP="008A72DE" w14:paraId="2FCB4267" w14:textId="77777777">
      <w:pPr>
        <w:ind w:firstLine="2174"/>
        <w:jc w:val="center"/>
      </w:pPr>
      <w:r w:rsidRPr="009B7F9A">
        <w:t>Kimberly D. Bose,</w:t>
      </w:r>
    </w:p>
    <w:p w:rsidR="008A72DE" w:rsidRPr="009B7F9A" w:rsidP="008A72DE" w14:paraId="23BF480E" w14:textId="77777777">
      <w:pPr>
        <w:ind w:firstLine="2174"/>
        <w:jc w:val="center"/>
      </w:pPr>
      <w:r w:rsidRPr="009B7F9A">
        <w:t>Secretary.</w:t>
      </w:r>
    </w:p>
    <w:p w:rsidR="00E704E3" w:rsidRPr="008A72DE" w:rsidP="008A72DE" w14:paraId="7C3C045E" w14:textId="77777777"/>
    <w:sectPr w:rsidSect="0003785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4879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852" w14:paraId="54D03ABB" w14:textId="2A8EF310">
        <w:pPr>
          <w:pStyle w:val="Footer"/>
          <w:jc w:val="center"/>
        </w:pPr>
      </w:p>
    </w:sdtContent>
  </w:sdt>
  <w:p w:rsidR="00037852" w14:paraId="5369F4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70098" w:rsidP="008A72DE" w14:paraId="7C9CC88C" w14:textId="77777777">
      <w:r>
        <w:separator/>
      </w:r>
    </w:p>
  </w:footnote>
  <w:footnote w:type="continuationSeparator" w:id="1">
    <w:p w:rsidR="00C70098" w:rsidP="008A72DE" w14:paraId="4FEEDF95" w14:textId="77777777">
      <w:r>
        <w:continuationSeparator/>
      </w:r>
    </w:p>
  </w:footnote>
  <w:footnote w:id="2">
    <w:p w:rsidR="005C5507" w:rsidRPr="005D403D" w:rsidP="005C5507" w14:paraId="5F2CB1D4" w14:textId="77777777">
      <w:pPr>
        <w:pStyle w:val="FootnoteText"/>
        <w:rPr>
          <w:sz w:val="26"/>
          <w:szCs w:val="26"/>
        </w:rPr>
      </w:pPr>
      <w:r w:rsidRPr="005D403D">
        <w:rPr>
          <w:rStyle w:val="FootnoteReference"/>
        </w:rPr>
        <w:footnoteRef/>
      </w:r>
      <w:r w:rsidRPr="005D403D">
        <w:rPr>
          <w:sz w:val="26"/>
          <w:szCs w:val="26"/>
        </w:rPr>
        <w:t xml:space="preserve"> 16 U</w:t>
      </w:r>
      <w:r>
        <w:rPr>
          <w:sz w:val="26"/>
          <w:szCs w:val="26"/>
        </w:rPr>
        <w:t>.</w:t>
      </w:r>
      <w:r w:rsidRPr="005D403D">
        <w:rPr>
          <w:sz w:val="26"/>
          <w:szCs w:val="26"/>
        </w:rPr>
        <w:t>S</w:t>
      </w:r>
      <w:r>
        <w:rPr>
          <w:sz w:val="26"/>
          <w:szCs w:val="26"/>
        </w:rPr>
        <w:t>.</w:t>
      </w:r>
      <w:r w:rsidRPr="005D403D">
        <w:rPr>
          <w:sz w:val="26"/>
          <w:szCs w:val="26"/>
        </w:rPr>
        <w:t>C</w:t>
      </w:r>
      <w:r>
        <w:rPr>
          <w:sz w:val="26"/>
          <w:szCs w:val="26"/>
        </w:rPr>
        <w:t>.</w:t>
      </w:r>
      <w:r w:rsidRPr="005D403D">
        <w:rPr>
          <w:sz w:val="26"/>
          <w:szCs w:val="26"/>
        </w:rPr>
        <w:t xml:space="preserve"> 803</w:t>
      </w:r>
      <w:r>
        <w:rPr>
          <w:sz w:val="26"/>
          <w:szCs w:val="26"/>
        </w:rPr>
        <w:t>(f).</w:t>
      </w:r>
    </w:p>
  </w:footnote>
  <w:footnote w:id="3">
    <w:p w:rsidR="009A46C1" w:rsidRPr="001F2C4B" w14:paraId="135FBCFF" w14:textId="7484420E">
      <w:pPr>
        <w:pStyle w:val="FootnoteText"/>
        <w:rPr>
          <w:sz w:val="26"/>
          <w:szCs w:val="26"/>
        </w:rPr>
      </w:pPr>
      <w:r w:rsidRPr="006A26AB">
        <w:rPr>
          <w:rStyle w:val="FootnoteReference"/>
        </w:rPr>
        <w:footnoteRef/>
      </w:r>
      <w:r w:rsidRPr="001F2C4B">
        <w:rPr>
          <w:sz w:val="26"/>
          <w:szCs w:val="26"/>
        </w:rPr>
        <w:t xml:space="preserve"> </w:t>
      </w:r>
      <w:r w:rsidRPr="001F2C4B">
        <w:rPr>
          <w:rFonts w:eastAsiaTheme="minorHAnsi"/>
          <w:sz w:val="26"/>
          <w:szCs w:val="26"/>
        </w:rPr>
        <w:t>Burden is defined as the total time, effort, or financial resources expended by persons to generate, maintain, retain, or disclose or provide information to or for a Federal agency. For further explanation of what is included in the information collection burden, refer to 5 Code of Federal Regulations 1320.3.</w:t>
      </w:r>
    </w:p>
  </w:footnote>
  <w:footnote w:id="4">
    <w:p w:rsidR="008A72DE" w:rsidRPr="00A3726A" w:rsidP="008A72DE" w14:paraId="25027D12" w14:textId="35FBF8DE">
      <w:pPr>
        <w:rPr>
          <w:sz w:val="20"/>
        </w:rPr>
      </w:pPr>
      <w:r w:rsidRPr="001F2C4B">
        <w:rPr>
          <w:rFonts w:eastAsiaTheme="minorHAnsi"/>
          <w:b/>
          <w:bCs/>
          <w:szCs w:val="26"/>
          <w:vertAlign w:val="superscript"/>
        </w:rPr>
        <w:footnoteRef/>
      </w:r>
      <w:r w:rsidRPr="001F2C4B">
        <w:rPr>
          <w:rFonts w:eastAsiaTheme="minorHAnsi"/>
          <w:szCs w:val="26"/>
        </w:rPr>
        <w:t xml:space="preserve"> The estimates for cost per response are derived using the 20</w:t>
      </w:r>
      <w:r w:rsidRPr="001F2C4B" w:rsidR="00860A15">
        <w:rPr>
          <w:rFonts w:eastAsiaTheme="minorHAnsi"/>
          <w:szCs w:val="26"/>
        </w:rPr>
        <w:t>22</w:t>
      </w:r>
      <w:r w:rsidRPr="001F2C4B">
        <w:rPr>
          <w:rFonts w:eastAsiaTheme="minorHAnsi"/>
          <w:szCs w:val="26"/>
        </w:rPr>
        <w:t xml:space="preserve"> FERC average salary plus benefits of $1</w:t>
      </w:r>
      <w:r w:rsidRPr="001F2C4B" w:rsidR="00860A15">
        <w:rPr>
          <w:rFonts w:eastAsiaTheme="minorHAnsi"/>
          <w:szCs w:val="26"/>
        </w:rPr>
        <w:t>88</w:t>
      </w:r>
      <w:r w:rsidRPr="001F2C4B">
        <w:rPr>
          <w:rFonts w:eastAsiaTheme="minorHAnsi"/>
          <w:szCs w:val="26"/>
        </w:rPr>
        <w:t>,</w:t>
      </w:r>
      <w:r w:rsidRPr="001F2C4B" w:rsidR="00860A15">
        <w:rPr>
          <w:rFonts w:eastAsiaTheme="minorHAnsi"/>
          <w:szCs w:val="26"/>
        </w:rPr>
        <w:t>922</w:t>
      </w:r>
      <w:r w:rsidRPr="001F2C4B">
        <w:rPr>
          <w:rFonts w:eastAsiaTheme="minorHAnsi"/>
          <w:szCs w:val="26"/>
        </w:rPr>
        <w:t>/year (or $</w:t>
      </w:r>
      <w:r w:rsidRPr="001F2C4B" w:rsidR="00860A15">
        <w:rPr>
          <w:rFonts w:eastAsiaTheme="minorHAnsi"/>
          <w:szCs w:val="26"/>
        </w:rPr>
        <w:t>91</w:t>
      </w:r>
      <w:r w:rsidRPr="001F2C4B">
        <w:rPr>
          <w:rFonts w:eastAsiaTheme="minorHAnsi"/>
          <w:szCs w:val="26"/>
        </w:rPr>
        <w:t>.00/hour). Commission staff finds that the work done for this information collection is typically done by wage categories similar to those at FERC.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81880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2C4B" w:rsidP="00A709D1" w14:paraId="6CCF39D1" w14:textId="3243AADD">
        <w:pPr>
          <w:pStyle w:val="Header"/>
        </w:pPr>
        <w:r>
          <w:rPr>
            <w:noProof/>
          </w:rPr>
          <w:t>Docket No. IC23-12-000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7852" w14:paraId="4BEE226B" w14:textId="37AC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F0CC7"/>
    <w:multiLevelType w:val="hybridMultilevel"/>
    <w:tmpl w:val="0DF61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02A8"/>
    <w:multiLevelType w:val="hybridMultilevel"/>
    <w:tmpl w:val="85A8091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4D875D6"/>
    <w:multiLevelType w:val="hybridMultilevel"/>
    <w:tmpl w:val="DC6CBC40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E"/>
    <w:rsid w:val="00037852"/>
    <w:rsid w:val="00056032"/>
    <w:rsid w:val="00060026"/>
    <w:rsid w:val="00090517"/>
    <w:rsid w:val="000A5902"/>
    <w:rsid w:val="000E44E6"/>
    <w:rsid w:val="00100B62"/>
    <w:rsid w:val="00100CAC"/>
    <w:rsid w:val="00111D43"/>
    <w:rsid w:val="001227EA"/>
    <w:rsid w:val="00171C12"/>
    <w:rsid w:val="00184858"/>
    <w:rsid w:val="001901BF"/>
    <w:rsid w:val="00191726"/>
    <w:rsid w:val="001B7426"/>
    <w:rsid w:val="001C3703"/>
    <w:rsid w:val="001E0427"/>
    <w:rsid w:val="001E3CC9"/>
    <w:rsid w:val="001F2C4B"/>
    <w:rsid w:val="001F322E"/>
    <w:rsid w:val="00201D91"/>
    <w:rsid w:val="00205737"/>
    <w:rsid w:val="00205E26"/>
    <w:rsid w:val="00214313"/>
    <w:rsid w:val="00251561"/>
    <w:rsid w:val="00265098"/>
    <w:rsid w:val="00281637"/>
    <w:rsid w:val="00295DFE"/>
    <w:rsid w:val="002A3126"/>
    <w:rsid w:val="002C6254"/>
    <w:rsid w:val="002E13F9"/>
    <w:rsid w:val="00323FEF"/>
    <w:rsid w:val="00353485"/>
    <w:rsid w:val="003619A5"/>
    <w:rsid w:val="00383A37"/>
    <w:rsid w:val="0039478A"/>
    <w:rsid w:val="00411AAB"/>
    <w:rsid w:val="004144D7"/>
    <w:rsid w:val="004179C5"/>
    <w:rsid w:val="00464691"/>
    <w:rsid w:val="0047667D"/>
    <w:rsid w:val="004973F6"/>
    <w:rsid w:val="004A6D2C"/>
    <w:rsid w:val="004D18BF"/>
    <w:rsid w:val="004D2F1C"/>
    <w:rsid w:val="004D5A57"/>
    <w:rsid w:val="004E52C1"/>
    <w:rsid w:val="005101E8"/>
    <w:rsid w:val="00542F72"/>
    <w:rsid w:val="00557CF8"/>
    <w:rsid w:val="0056419C"/>
    <w:rsid w:val="0059645A"/>
    <w:rsid w:val="005A1DF9"/>
    <w:rsid w:val="005A7BF0"/>
    <w:rsid w:val="005C5507"/>
    <w:rsid w:val="005D403D"/>
    <w:rsid w:val="00603FE4"/>
    <w:rsid w:val="0061698C"/>
    <w:rsid w:val="006230F6"/>
    <w:rsid w:val="0064487E"/>
    <w:rsid w:val="0064790A"/>
    <w:rsid w:val="00661023"/>
    <w:rsid w:val="006A26AB"/>
    <w:rsid w:val="006B78FE"/>
    <w:rsid w:val="006D6014"/>
    <w:rsid w:val="006E7FAB"/>
    <w:rsid w:val="006F1768"/>
    <w:rsid w:val="006F225B"/>
    <w:rsid w:val="006F771B"/>
    <w:rsid w:val="00764246"/>
    <w:rsid w:val="007763A3"/>
    <w:rsid w:val="00780660"/>
    <w:rsid w:val="00794194"/>
    <w:rsid w:val="007A2A31"/>
    <w:rsid w:val="007C6224"/>
    <w:rsid w:val="007D6EE5"/>
    <w:rsid w:val="007E0E40"/>
    <w:rsid w:val="00815AB2"/>
    <w:rsid w:val="00860A15"/>
    <w:rsid w:val="008633B8"/>
    <w:rsid w:val="00866372"/>
    <w:rsid w:val="00876014"/>
    <w:rsid w:val="00892D02"/>
    <w:rsid w:val="008A72DE"/>
    <w:rsid w:val="0090041B"/>
    <w:rsid w:val="00914C3F"/>
    <w:rsid w:val="009163EF"/>
    <w:rsid w:val="00964781"/>
    <w:rsid w:val="009679E3"/>
    <w:rsid w:val="009777D7"/>
    <w:rsid w:val="009A46C1"/>
    <w:rsid w:val="009B515F"/>
    <w:rsid w:val="009B7F9A"/>
    <w:rsid w:val="009E4E17"/>
    <w:rsid w:val="00A27353"/>
    <w:rsid w:val="00A3726A"/>
    <w:rsid w:val="00A63218"/>
    <w:rsid w:val="00A64240"/>
    <w:rsid w:val="00A709D1"/>
    <w:rsid w:val="00AC220E"/>
    <w:rsid w:val="00AC4258"/>
    <w:rsid w:val="00AE11F7"/>
    <w:rsid w:val="00B04692"/>
    <w:rsid w:val="00B10C5F"/>
    <w:rsid w:val="00B12516"/>
    <w:rsid w:val="00B45A7B"/>
    <w:rsid w:val="00B51EE3"/>
    <w:rsid w:val="00B6316C"/>
    <w:rsid w:val="00B66905"/>
    <w:rsid w:val="00B91731"/>
    <w:rsid w:val="00B924D8"/>
    <w:rsid w:val="00BC59E5"/>
    <w:rsid w:val="00BE72EC"/>
    <w:rsid w:val="00C03214"/>
    <w:rsid w:val="00C61EBE"/>
    <w:rsid w:val="00C63527"/>
    <w:rsid w:val="00C70098"/>
    <w:rsid w:val="00C7344E"/>
    <w:rsid w:val="00CD7523"/>
    <w:rsid w:val="00CE61D6"/>
    <w:rsid w:val="00CE64F2"/>
    <w:rsid w:val="00D0047C"/>
    <w:rsid w:val="00D019D4"/>
    <w:rsid w:val="00D13314"/>
    <w:rsid w:val="00D221B4"/>
    <w:rsid w:val="00D4061C"/>
    <w:rsid w:val="00D45DFC"/>
    <w:rsid w:val="00D62233"/>
    <w:rsid w:val="00D7686E"/>
    <w:rsid w:val="00D80D42"/>
    <w:rsid w:val="00DA05C8"/>
    <w:rsid w:val="00DB5ABA"/>
    <w:rsid w:val="00E35054"/>
    <w:rsid w:val="00E4400C"/>
    <w:rsid w:val="00E53742"/>
    <w:rsid w:val="00E53F60"/>
    <w:rsid w:val="00E65FEE"/>
    <w:rsid w:val="00E704E3"/>
    <w:rsid w:val="00EB316D"/>
    <w:rsid w:val="00EB349B"/>
    <w:rsid w:val="00EE348C"/>
    <w:rsid w:val="00EF4A9A"/>
    <w:rsid w:val="00EF7616"/>
    <w:rsid w:val="00F025C9"/>
    <w:rsid w:val="00F105ED"/>
    <w:rsid w:val="00F22E78"/>
    <w:rsid w:val="00F25984"/>
    <w:rsid w:val="00F25C0A"/>
    <w:rsid w:val="00F612FD"/>
    <w:rsid w:val="00F96A00"/>
    <w:rsid w:val="00FC4B39"/>
    <w:rsid w:val="00FC761B"/>
    <w:rsid w:val="00FE3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382EB6"/>
  <w15:chartTrackingRefBased/>
  <w15:docId w15:val="{D0B46F7F-86A3-4BA2-9076-07C86D8B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2D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(NECG) Footnote Reference,Styl,Style 11,Style 12,Style 13,Style 15,Style 16,Style 17,Style 18,Style 19,Style 20,Style 28,Style 7,Style 8,Style 9,fr,fr1,fr2,fr3,o,o1,o2,o3"/>
    <w:rsid w:val="008A72DE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 Char,Char,Footnote Text Char Char,Footnote Text Char Char Char,Footnote Text Char Char Char Char Char1,Footnote Text Char Char1,Footnote Text Char1,Footnote Text Char1 Char,Footnote Text Char1 Char Char Char1,fn"/>
    <w:basedOn w:val="Normal"/>
    <w:link w:val="FootnoteTextChar2"/>
    <w:rsid w:val="008A72DE"/>
    <w:rPr>
      <w:sz w:val="22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A72D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8A72DE"/>
    <w:rPr>
      <w:color w:val="0000FF"/>
      <w:u w:val="single"/>
    </w:rPr>
  </w:style>
  <w:style w:type="character" w:customStyle="1" w:styleId="FootnoteTextChar2">
    <w:name w:val="Footnote Text Char2"/>
    <w:aliases w:val=" Char Char,Char Char,Footnote Text Char Char Char Char,Footnote Text Char Char Char1,Footnote Text Char Char1 Char,Footnote Text Char1 Char Char,Footnote Text Char1 Char Char Char1 Char,Footnote Text Char1 Char1,fn Char"/>
    <w:link w:val="FootnoteText"/>
    <w:rsid w:val="008A72DE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852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852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5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A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A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61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22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601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reginfo.gov/public/do/PRAMain" TargetMode="External" /><Relationship Id="rId11" Type="http://schemas.openxmlformats.org/officeDocument/2006/relationships/hyperlink" Target="https://www.ferc.gov" TargetMode="External" /><Relationship Id="rId12" Type="http://schemas.openxmlformats.org/officeDocument/2006/relationships/hyperlink" Target="mailto:DataClearance@FERC.gov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28286-4661-453B-9955-13285D57A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183C-9271-406D-BA3C-6F0ECC13D86A}">
  <ds:schemaRefs>
    <ds:schemaRef ds:uri="http://purl.org/dc/dcmitype/"/>
    <ds:schemaRef ds:uri="http://schemas.microsoft.com/office/infopath/2007/PartnerControls"/>
    <ds:schemaRef ds:uri="5e8733a2-e908-454b-85cf-c9d17e1d094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BD36986-3B88-456E-9511-4B22521153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04F076F-52EF-4EB1-BBA9-28BB693E8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A3BE84-75DD-4E9A-B5BF-8D7C841B1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Kozler</dc:creator>
  <cp:lastModifiedBy>Christopher Kozler</cp:lastModifiedBy>
  <cp:revision>2</cp:revision>
  <dcterms:created xsi:type="dcterms:W3CDTF">2023-08-11T17:10:00Z</dcterms:created>
  <dcterms:modified xsi:type="dcterms:W3CDTF">2023-08-11T17:10:00Z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ActionId">
    <vt:lpwstr>c5b670ce-1952-4049-acd4-1d4220f0062f</vt:lpwstr>
  </property>
  <property fmtid="{D5CDD505-2E9C-101B-9397-08002B2CF9AE}" pid="3" name="MSIP_Label_6155a89b-0f08-4a93-8ea2-8a916d6643b5_ContentBits">
    <vt:lpwstr>0</vt:lpwstr>
  </property>
  <property fmtid="{D5CDD505-2E9C-101B-9397-08002B2CF9AE}" pid="4" name="MSIP_Label_6155a89b-0f08-4a93-8ea2-8a916d6643b5_Enabled">
    <vt:lpwstr>true</vt:lpwstr>
  </property>
  <property fmtid="{D5CDD505-2E9C-101B-9397-08002B2CF9AE}" pid="5" name="MSIP_Label_6155a89b-0f08-4a93-8ea2-8a916d6643b5_Method">
    <vt:lpwstr>Privileged</vt:lpwstr>
  </property>
  <property fmtid="{D5CDD505-2E9C-101B-9397-08002B2CF9AE}" pid="6" name="MSIP_Label_6155a89b-0f08-4a93-8ea2-8a916d6643b5_Name">
    <vt:lpwstr>6155a89b-0f08-4a93-8ea2-8a916d6643b5</vt:lpwstr>
  </property>
  <property fmtid="{D5CDD505-2E9C-101B-9397-08002B2CF9AE}" pid="7" name="MSIP_Label_6155a89b-0f08-4a93-8ea2-8a916d6643b5_SetDate">
    <vt:lpwstr>2023-08-11T17:09:58Z</vt:lpwstr>
  </property>
  <property fmtid="{D5CDD505-2E9C-101B-9397-08002B2CF9AE}" pid="8" name="MSIP_Label_6155a89b-0f08-4a93-8ea2-8a916d6643b5_SiteId">
    <vt:lpwstr>19caa9e9-04ff-43fa-885f-d77fac387903</vt:lpwstr>
  </property>
</Properties>
</file>