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915327" w:rsidP="005D5B95" w14:paraId="6631DB95" w14:textId="77777777">
      <w:pPr>
        <w:spacing w:after="0"/>
        <w:jc w:val="center"/>
        <w:rPr>
          <w:rFonts w:ascii="Times New Roman" w:hAnsi="Times New Roman" w:cs="Times New Roman"/>
          <w:sz w:val="24"/>
          <w:szCs w:val="24"/>
        </w:rPr>
      </w:pPr>
    </w:p>
    <w:p w:rsidR="005D5B95" w:rsidRPr="00CB5F94" w:rsidP="005D5B95" w14:paraId="21C1DFBD" w14:textId="77777777">
      <w:pPr>
        <w:spacing w:after="0"/>
        <w:jc w:val="center"/>
        <w:rPr>
          <w:rFonts w:ascii="Times New Roman" w:hAnsi="Times New Roman" w:cs="Times New Roman"/>
          <w:sz w:val="26"/>
          <w:szCs w:val="26"/>
        </w:rPr>
      </w:pPr>
      <w:r w:rsidRPr="00CB5F94">
        <w:rPr>
          <w:rFonts w:ascii="Times New Roman" w:hAnsi="Times New Roman" w:cs="Times New Roman"/>
          <w:sz w:val="26"/>
          <w:szCs w:val="26"/>
        </w:rPr>
        <w:t>Supporting Statement</w:t>
      </w:r>
    </w:p>
    <w:p w:rsidR="005D5B95" w:rsidRPr="00CB5F94" w:rsidP="005D5B95" w14:paraId="25B10BC3" w14:textId="77777777">
      <w:pPr>
        <w:spacing w:after="0"/>
        <w:jc w:val="center"/>
        <w:rPr>
          <w:rFonts w:ascii="Times New Roman" w:hAnsi="Times New Roman" w:cs="Times New Roman"/>
          <w:b/>
          <w:sz w:val="26"/>
          <w:szCs w:val="26"/>
        </w:rPr>
      </w:pPr>
      <w:r w:rsidRPr="00CB5F94">
        <w:rPr>
          <w:rFonts w:ascii="Times New Roman" w:hAnsi="Times New Roman" w:cs="Times New Roman"/>
          <w:b/>
          <w:sz w:val="26"/>
          <w:szCs w:val="26"/>
        </w:rPr>
        <w:t>FERC-521, Payments for Benefits from Headwater Improvements</w:t>
      </w:r>
    </w:p>
    <w:p w:rsidR="005D5B95" w:rsidRPr="00CB5F94" w:rsidP="005D5B95" w14:paraId="141CF0DD" w14:textId="5A1BA792">
      <w:pPr>
        <w:spacing w:after="0"/>
        <w:jc w:val="center"/>
        <w:rPr>
          <w:rFonts w:ascii="Times New Roman" w:hAnsi="Times New Roman" w:cs="Times New Roman"/>
          <w:sz w:val="26"/>
          <w:szCs w:val="26"/>
        </w:rPr>
      </w:pPr>
      <w:r w:rsidRPr="00CB5F94">
        <w:rPr>
          <w:rFonts w:ascii="Times New Roman" w:hAnsi="Times New Roman" w:cs="Times New Roman"/>
          <w:sz w:val="26"/>
          <w:szCs w:val="26"/>
        </w:rPr>
        <w:t>(Three-year extension requested)</w:t>
      </w:r>
    </w:p>
    <w:p w:rsidR="00796BEC" w:rsidRPr="00CB5F94" w:rsidP="005D5B95" w14:paraId="71F879CE" w14:textId="77777777">
      <w:pPr>
        <w:spacing w:after="0"/>
        <w:jc w:val="center"/>
        <w:rPr>
          <w:rFonts w:ascii="Times New Roman" w:hAnsi="Times New Roman" w:cs="Times New Roman"/>
          <w:sz w:val="26"/>
          <w:szCs w:val="26"/>
        </w:rPr>
      </w:pPr>
    </w:p>
    <w:p w:rsidR="005D5B95" w:rsidRPr="00CB5F94" w:rsidP="005D5B95" w14:paraId="35510A87" w14:textId="6F821BD7">
      <w:pPr>
        <w:spacing w:after="0"/>
        <w:rPr>
          <w:rFonts w:ascii="Times New Roman" w:hAnsi="Times New Roman" w:cs="Times New Roman"/>
          <w:sz w:val="26"/>
          <w:szCs w:val="26"/>
        </w:rPr>
      </w:pPr>
      <w:r w:rsidRPr="00CB5F94">
        <w:rPr>
          <w:rFonts w:ascii="Times New Roman" w:hAnsi="Times New Roman" w:cs="Times New Roman"/>
          <w:sz w:val="26"/>
          <w:szCs w:val="26"/>
        </w:rPr>
        <w:t>The Federal Energy Regulatory Commission (FERC or Commission) requests the Office of Management and Budget (OMB)</w:t>
      </w:r>
      <w:r w:rsidRPr="00CB5F94" w:rsidR="00796BEC">
        <w:rPr>
          <w:rFonts w:ascii="Times New Roman" w:hAnsi="Times New Roman" w:cs="Times New Roman"/>
          <w:sz w:val="26"/>
          <w:szCs w:val="26"/>
        </w:rPr>
        <w:t xml:space="preserve"> to</w:t>
      </w:r>
      <w:r w:rsidRPr="00CB5F94">
        <w:rPr>
          <w:rFonts w:ascii="Times New Roman" w:hAnsi="Times New Roman" w:cs="Times New Roman"/>
          <w:sz w:val="26"/>
          <w:szCs w:val="26"/>
        </w:rPr>
        <w:t xml:space="preserve"> review and approve the </w:t>
      </w:r>
      <w:r w:rsidRPr="00CB5F94" w:rsidR="00915327">
        <w:rPr>
          <w:rFonts w:ascii="Times New Roman" w:hAnsi="Times New Roman" w:cs="Times New Roman"/>
          <w:sz w:val="26"/>
          <w:szCs w:val="26"/>
        </w:rPr>
        <w:t xml:space="preserve">information collection </w:t>
      </w:r>
      <w:r w:rsidRPr="00CB5F94">
        <w:rPr>
          <w:rFonts w:ascii="Times New Roman" w:hAnsi="Times New Roman" w:cs="Times New Roman"/>
          <w:sz w:val="26"/>
          <w:szCs w:val="26"/>
        </w:rPr>
        <w:t>FERC-521 (Payments for Benefits from Headwater Improvements) for a three-year period.</w:t>
      </w:r>
      <w:r w:rsidR="005423BA">
        <w:rPr>
          <w:rFonts w:ascii="Times New Roman" w:hAnsi="Times New Roman" w:cs="Times New Roman"/>
          <w:sz w:val="26"/>
          <w:szCs w:val="26"/>
        </w:rPr>
        <w:t xml:space="preserve"> There is no change to the reporting or recordkeeping requirements. </w:t>
      </w:r>
    </w:p>
    <w:p w:rsidR="005D5B95" w:rsidRPr="00CB5F94" w:rsidP="005D5B95" w14:paraId="010DB862" w14:textId="77777777">
      <w:pPr>
        <w:spacing w:after="0"/>
        <w:rPr>
          <w:rFonts w:ascii="Times New Roman" w:hAnsi="Times New Roman" w:cs="Times New Roman"/>
          <w:sz w:val="26"/>
          <w:szCs w:val="26"/>
        </w:rPr>
      </w:pPr>
    </w:p>
    <w:p w:rsidR="005D5B95" w:rsidRPr="00CB5F94" w:rsidP="005D5B95" w14:paraId="06674B31"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CIRCUMSTANCES THAT MAKE THE COLLECTION OF INFORMATION NECESSARY</w:t>
      </w:r>
    </w:p>
    <w:p w:rsidR="005D5B95" w:rsidRPr="00CB5F94" w:rsidP="005D5B95" w14:paraId="43BC4422" w14:textId="77777777">
      <w:pPr>
        <w:spacing w:after="0"/>
        <w:rPr>
          <w:rFonts w:ascii="Times New Roman" w:hAnsi="Times New Roman" w:cs="Times New Roman"/>
          <w:sz w:val="26"/>
          <w:szCs w:val="26"/>
        </w:rPr>
      </w:pPr>
    </w:p>
    <w:p w:rsidR="00AD04CC" w:rsidRPr="00AD04CC" w:rsidP="00AD04CC" w14:paraId="59850F8D" w14:textId="1596FD35">
      <w:pPr>
        <w:spacing w:after="0"/>
        <w:rPr>
          <w:rFonts w:ascii="Times New Roman" w:hAnsi="Times New Roman" w:cs="Times New Roman"/>
          <w:sz w:val="26"/>
          <w:szCs w:val="26"/>
        </w:rPr>
      </w:pPr>
      <w:r w:rsidRPr="00AD04CC">
        <w:rPr>
          <w:rFonts w:ascii="Times New Roman" w:hAnsi="Times New Roman" w:cs="Times New Roman"/>
          <w:iCs/>
          <w:sz w:val="26"/>
          <w:szCs w:val="26"/>
        </w:rPr>
        <w:t xml:space="preserve">The purpose of FERC-521 is to implement information collections pursuant to </w:t>
      </w:r>
      <w:r w:rsidRPr="00AD04CC">
        <w:rPr>
          <w:rFonts w:ascii="Times New Roman" w:hAnsi="Times New Roman" w:cs="Times New Roman"/>
          <w:sz w:val="26"/>
          <w:szCs w:val="26"/>
        </w:rPr>
        <w:t>Section 10(f) of the Federal Power Act (FPA).</w:t>
      </w:r>
      <w:r>
        <w:rPr>
          <w:rFonts w:ascii="Times New Roman" w:hAnsi="Times New Roman" w:cs="Times New Roman"/>
          <w:b/>
          <w:sz w:val="26"/>
          <w:szCs w:val="26"/>
          <w:vertAlign w:val="superscript"/>
        </w:rPr>
        <w:footnoteReference w:id="3"/>
      </w:r>
      <w:r w:rsidRPr="00AD04CC">
        <w:rPr>
          <w:rFonts w:ascii="Times New Roman" w:hAnsi="Times New Roman" w:cs="Times New Roman"/>
          <w:sz w:val="26"/>
          <w:szCs w:val="26"/>
        </w:rPr>
        <w:t xml:space="preserve">  Under Section 10(f) licensees of unlicensed non-Federal hydroelectric power projects that are directly benefited by a headwater project must pay an equitable portion of the annual costs of interest, maintenance, and depreciation of the headwater project.  This payment is called the headwater benefit payment.  The Commission requires basic project information including location and storage capacity to be filed by the owner of any headwater project constructed by the United States, a licensee, or a pre-1920 permittee that is upstream from a non-Federal hydroelectric project.  </w:t>
      </w:r>
    </w:p>
    <w:p w:rsidR="005D5B95" w:rsidRPr="00CB5F94" w:rsidP="005D5B95" w14:paraId="184DDA9C" w14:textId="77777777">
      <w:pPr>
        <w:spacing w:after="0"/>
        <w:rPr>
          <w:rFonts w:ascii="Times New Roman" w:hAnsi="Times New Roman" w:cs="Times New Roman"/>
          <w:sz w:val="26"/>
          <w:szCs w:val="26"/>
        </w:rPr>
      </w:pPr>
    </w:p>
    <w:p w:rsidR="005D5B95" w:rsidRPr="00CB5F94" w:rsidP="005D5B95" w14:paraId="7DC85D26"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HOW, BY WHOM, AND FOR WHAT PURPOSE THE INFORMATION IS TO BE USED AND THE CONSEQUENCES OF NOT COLLECTING THE INFORMATION</w:t>
      </w:r>
    </w:p>
    <w:p w:rsidR="005D5B95" w:rsidRPr="00CB5F94" w:rsidP="005D5B95" w14:paraId="0AAA69C7" w14:textId="77777777">
      <w:pPr>
        <w:spacing w:after="0"/>
        <w:rPr>
          <w:rFonts w:ascii="Times New Roman" w:hAnsi="Times New Roman" w:cs="Times New Roman"/>
          <w:sz w:val="26"/>
          <w:szCs w:val="26"/>
        </w:rPr>
      </w:pPr>
    </w:p>
    <w:p w:rsidR="005D5B95" w:rsidRPr="00EF37CA" w:rsidP="005D5B95" w14:paraId="46A8AB38" w14:textId="492A9DEF">
      <w:pPr>
        <w:spacing w:after="0"/>
        <w:rPr>
          <w:rFonts w:ascii="Times New Roman" w:hAnsi="Times New Roman" w:cs="Times New Roman"/>
          <w:sz w:val="26"/>
          <w:szCs w:val="26"/>
        </w:rPr>
      </w:pPr>
      <w:r w:rsidRPr="00CB5F94">
        <w:rPr>
          <w:rFonts w:ascii="Times New Roman" w:hAnsi="Times New Roman" w:cs="Times New Roman"/>
          <w:sz w:val="26"/>
          <w:szCs w:val="26"/>
        </w:rPr>
        <w:t>FERC-521 implements the existing regulations and is necessary for the determination of headwater benefits derived by downstream parties.  The regulations set forth a formula</w:t>
      </w:r>
      <w:r>
        <w:rPr>
          <w:rStyle w:val="FootnoteReference"/>
          <w:rFonts w:ascii="Times New Roman" w:hAnsi="Times New Roman" w:cs="Times New Roman"/>
          <w:sz w:val="26"/>
          <w:szCs w:val="26"/>
          <w:vertAlign w:val="superscript"/>
        </w:rPr>
        <w:footnoteReference w:id="4"/>
      </w:r>
      <w:r w:rsidRPr="00CB5F94">
        <w:rPr>
          <w:rFonts w:ascii="Times New Roman" w:hAnsi="Times New Roman" w:cs="Times New Roman"/>
          <w:sz w:val="26"/>
          <w:szCs w:val="26"/>
          <w:vertAlign w:val="superscript"/>
        </w:rPr>
        <w:t xml:space="preserve"> </w:t>
      </w:r>
      <w:r w:rsidRPr="00CB5F94">
        <w:rPr>
          <w:rFonts w:ascii="Times New Roman" w:hAnsi="Times New Roman" w:cs="Times New Roman"/>
          <w:sz w:val="26"/>
          <w:szCs w:val="26"/>
        </w:rPr>
        <w:t xml:space="preserve">for determining an equitable apportionment of the annual charges for interest, maintenance, and depreciation for a storage reservoir or other headwater improvement owned by the United States, a licensee, or a pre-1920 permittee.  Energy gains are determined by FERC using various analytical methods.  The method chosen depends upon the complexity of the river basin and the potential headwater benefits.  Complex river basins that include a large number of headwater and downstream projects often require a detailed computer analysis using FERC’s computer modeling simulation program </w:t>
      </w:r>
      <w:r w:rsidRPr="00571D2A">
        <w:rPr>
          <w:rFonts w:ascii="Times New Roman" w:hAnsi="Times New Roman" w:cs="Times New Roman"/>
          <w:i/>
          <w:iCs/>
          <w:sz w:val="26"/>
          <w:szCs w:val="26"/>
        </w:rPr>
        <w:t>Headwater Benefits Energy Gain Model (HWBEG).</w:t>
      </w:r>
      <w:r w:rsidRPr="00CB5F94">
        <w:rPr>
          <w:rFonts w:ascii="Times New Roman" w:hAnsi="Times New Roman" w:cs="Times New Roman"/>
          <w:sz w:val="26"/>
          <w:szCs w:val="26"/>
        </w:rPr>
        <w:t xml:space="preserve">  For river basins that are not </w:t>
      </w:r>
      <w:r w:rsidRPr="00EF37CA">
        <w:rPr>
          <w:rFonts w:ascii="Times New Roman" w:hAnsi="Times New Roman" w:cs="Times New Roman"/>
          <w:sz w:val="26"/>
          <w:szCs w:val="26"/>
        </w:rPr>
        <w:t>complex or in which the headwater benefits are expected to be small, the Commission relies on a flow duration methodology to determine energy gains.</w:t>
      </w:r>
      <w:r w:rsidRPr="00EF37CA" w:rsidR="00EF37CA">
        <w:rPr>
          <w:rFonts w:ascii="Times New Roman" w:hAnsi="Times New Roman" w:cs="Times New Roman"/>
          <w:sz w:val="26"/>
          <w:szCs w:val="26"/>
        </w:rPr>
        <w:t xml:space="preserve">  Headwater benefit determinations are based on the calculation of the average energy gains of a project.</w:t>
      </w:r>
      <w:r w:rsidRPr="00EF37CA">
        <w:rPr>
          <w:rFonts w:ascii="Times New Roman" w:hAnsi="Times New Roman" w:cs="Times New Roman"/>
          <w:sz w:val="26"/>
          <w:szCs w:val="26"/>
        </w:rPr>
        <w:t xml:space="preserve">  To determine how much annual energy is produced, it is necessary to calculate how much energy the downstream project would have produced if the upstream projects did not exist.  The amount of energy that a hydropower project produces </w:t>
      </w:r>
      <w:r w:rsidRPr="00EF37CA" w:rsidR="00413DD5">
        <w:rPr>
          <w:rFonts w:ascii="Times New Roman" w:hAnsi="Times New Roman" w:cs="Times New Roman"/>
          <w:sz w:val="26"/>
          <w:szCs w:val="26"/>
        </w:rPr>
        <w:t>depends primarily on</w:t>
      </w:r>
      <w:r w:rsidRPr="00EF37CA">
        <w:rPr>
          <w:rFonts w:ascii="Times New Roman" w:hAnsi="Times New Roman" w:cs="Times New Roman"/>
          <w:sz w:val="26"/>
          <w:szCs w:val="26"/>
        </w:rPr>
        <w:t xml:space="preserve"> </w:t>
      </w:r>
      <w:r w:rsidRPr="00EF37CA" w:rsidR="00413DD5">
        <w:rPr>
          <w:rFonts w:ascii="Times New Roman" w:hAnsi="Times New Roman" w:cs="Times New Roman"/>
          <w:sz w:val="26"/>
          <w:szCs w:val="26"/>
        </w:rPr>
        <w:t>on-stream</w:t>
      </w:r>
      <w:r w:rsidRPr="00EF37CA" w:rsidR="00EF37CA">
        <w:rPr>
          <w:rFonts w:ascii="Times New Roman" w:hAnsi="Times New Roman" w:cs="Times New Roman"/>
          <w:sz w:val="26"/>
          <w:szCs w:val="26"/>
        </w:rPr>
        <w:t xml:space="preserve"> flow, reservoir storage, head, size and efficiency of turbines and generators, and load to be served.  </w:t>
      </w:r>
    </w:p>
    <w:p w:rsidR="005D5B95" w:rsidRPr="00EF37CA" w:rsidP="005D5B95" w14:paraId="4FBD5876" w14:textId="77777777">
      <w:pPr>
        <w:spacing w:after="0"/>
        <w:rPr>
          <w:rFonts w:ascii="Times New Roman" w:hAnsi="Times New Roman" w:cs="Times New Roman"/>
          <w:sz w:val="26"/>
          <w:szCs w:val="26"/>
        </w:rPr>
      </w:pPr>
    </w:p>
    <w:p w:rsidR="005D5B95" w:rsidRPr="00CB5F94" w:rsidP="005D5B95" w14:paraId="79E1A4F9" w14:textId="77777777">
      <w:pPr>
        <w:spacing w:after="0"/>
        <w:rPr>
          <w:rFonts w:ascii="Times New Roman" w:hAnsi="Times New Roman" w:cs="Times New Roman"/>
          <w:sz w:val="26"/>
          <w:szCs w:val="26"/>
        </w:rPr>
      </w:pPr>
      <w:r w:rsidRPr="00EF37CA">
        <w:rPr>
          <w:rFonts w:ascii="Times New Roman" w:hAnsi="Times New Roman" w:cs="Times New Roman"/>
          <w:sz w:val="26"/>
          <w:szCs w:val="26"/>
        </w:rPr>
        <w:t>In determining energy gains, the size and efficiency of the turbines and the generators, and the load to be served will remain constant, while stream flow, reservoir storage, and head will vary depending on the operation conditions of the upstream reservoirs.  Because head and stream flow determine the amount of energy produced at the hydropower project, a relationship of generation as a function of the head and stream flow can be developed.  Commission experience has shown that the relationship between generation and stream flow is an adequate tool for estimating generation in calculating gains.</w:t>
      </w:r>
    </w:p>
    <w:p w:rsidR="005D5B95" w:rsidRPr="00CB5F94" w:rsidP="005D5B95" w14:paraId="6082E39C" w14:textId="77777777">
      <w:pPr>
        <w:spacing w:after="0"/>
        <w:rPr>
          <w:rFonts w:ascii="Times New Roman" w:hAnsi="Times New Roman" w:cs="Times New Roman"/>
          <w:sz w:val="26"/>
          <w:szCs w:val="26"/>
        </w:rPr>
      </w:pPr>
    </w:p>
    <w:p w:rsidR="005D5B95" w:rsidRPr="00CB5F94" w:rsidP="005D5B95" w14:paraId="1862BAF4" w14:textId="77777777">
      <w:pPr>
        <w:spacing w:after="0"/>
        <w:rPr>
          <w:rFonts w:ascii="Times New Roman" w:hAnsi="Times New Roman" w:cs="Times New Roman"/>
          <w:sz w:val="26"/>
          <w:szCs w:val="26"/>
        </w:rPr>
      </w:pPr>
      <w:r w:rsidRPr="00CB5F94">
        <w:rPr>
          <w:rFonts w:ascii="Times New Roman" w:hAnsi="Times New Roman" w:cs="Times New Roman"/>
          <w:sz w:val="26"/>
          <w:szCs w:val="26"/>
        </w:rPr>
        <w:t>If the information were not collected, there would be no data available to determine the benefits received from downstream parties from the operation of storage reservoirs, or other headwater improvements.</w:t>
      </w:r>
    </w:p>
    <w:p w:rsidR="005D5B95" w:rsidRPr="00CB5F94" w:rsidP="005D5B95" w14:paraId="1EAAEFF8" w14:textId="77777777">
      <w:pPr>
        <w:spacing w:after="0"/>
        <w:rPr>
          <w:rFonts w:ascii="Times New Roman" w:hAnsi="Times New Roman" w:cs="Times New Roman"/>
          <w:sz w:val="26"/>
          <w:szCs w:val="26"/>
        </w:rPr>
      </w:pPr>
    </w:p>
    <w:p w:rsidR="005D5B95" w:rsidRPr="00CB5F94" w:rsidP="005D5B95" w14:paraId="1EC4C1F5"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ANY CONSIDERATION OF THE USE OF IMPROVED INFORMATION TECHNOLOGY TO REDUCE THE BURDEN AND TECHNICAL OR LEGAL OBSTACLES TO REDUCING BURDEN</w:t>
      </w:r>
    </w:p>
    <w:p w:rsidR="005D5B95" w:rsidRPr="00CB5F94" w:rsidP="005D5B95" w14:paraId="7D5184B4" w14:textId="77777777">
      <w:pPr>
        <w:spacing w:after="0"/>
        <w:rPr>
          <w:rFonts w:ascii="Times New Roman" w:hAnsi="Times New Roman" w:cs="Times New Roman"/>
          <w:sz w:val="26"/>
          <w:szCs w:val="26"/>
        </w:rPr>
      </w:pPr>
    </w:p>
    <w:p w:rsidR="005D5B95" w:rsidRPr="00CB5F94" w:rsidP="005D5B95" w14:paraId="3B5CF024" w14:textId="26101805">
      <w:pPr>
        <w:spacing w:after="0"/>
        <w:rPr>
          <w:rFonts w:ascii="Times New Roman" w:hAnsi="Times New Roman" w:cs="Times New Roman"/>
          <w:sz w:val="26"/>
          <w:szCs w:val="26"/>
        </w:rPr>
      </w:pPr>
      <w:r w:rsidRPr="00CB5F94">
        <w:rPr>
          <w:rFonts w:ascii="Times New Roman" w:hAnsi="Times New Roman" w:cs="Times New Roman"/>
          <w:sz w:val="26"/>
          <w:szCs w:val="26"/>
        </w:rPr>
        <w:t>FERC continually considers the use of improved information technology to reduce burden in the filing requirements for submission of information concerning headwater benefits.</w:t>
      </w:r>
      <w:r w:rsidRPr="00CB5F94" w:rsidR="006F2E26">
        <w:rPr>
          <w:rFonts w:ascii="Times New Roman" w:hAnsi="Times New Roman" w:cs="Times New Roman"/>
          <w:sz w:val="26"/>
          <w:szCs w:val="26"/>
        </w:rPr>
        <w:t xml:space="preserve">  FERC-521 may be eFiled</w:t>
      </w:r>
      <w:r w:rsidRPr="00CB5F94" w:rsidR="005A41D3">
        <w:rPr>
          <w:rFonts w:ascii="Times New Roman" w:hAnsi="Times New Roman" w:cs="Times New Roman"/>
          <w:sz w:val="26"/>
          <w:szCs w:val="26"/>
        </w:rPr>
        <w:t xml:space="preserve"> </w:t>
      </w:r>
      <w:r w:rsidR="009E08EE">
        <w:rPr>
          <w:rFonts w:ascii="Times New Roman" w:hAnsi="Times New Roman" w:cs="Times New Roman"/>
          <w:sz w:val="26"/>
          <w:szCs w:val="26"/>
        </w:rPr>
        <w:t xml:space="preserve">through FERC’s eFiling system. </w:t>
      </w:r>
    </w:p>
    <w:p w:rsidR="005D5B95" w:rsidRPr="00CB5F94" w:rsidP="005D5B95" w14:paraId="77756D91" w14:textId="77777777">
      <w:pPr>
        <w:spacing w:after="0"/>
        <w:rPr>
          <w:rFonts w:ascii="Times New Roman" w:hAnsi="Times New Roman" w:cs="Times New Roman"/>
          <w:sz w:val="26"/>
          <w:szCs w:val="26"/>
        </w:rPr>
      </w:pPr>
    </w:p>
    <w:p w:rsidR="005D5B95" w:rsidRPr="00CB5F94" w:rsidP="005D5B95" w14:paraId="6EF9415E" w14:textId="4D52CAD6">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EFFORTS TO IDENTIFY DUPLICATION AND SHOW SPECIFICALLY WHY ANY SIMILAR INFORMATION ALREADY AVAILABLE CANNOT BE USED OR MODIFIED FOR USE FOR THE PURPOSE(S) DESCRIBED IN INSTRUCTION NO. 2</w:t>
      </w:r>
    </w:p>
    <w:p w:rsidR="005D5B95" w:rsidRPr="00CB5F94" w:rsidP="005D5B95" w14:paraId="6B4DB05A" w14:textId="77777777">
      <w:pPr>
        <w:spacing w:after="0"/>
        <w:rPr>
          <w:rFonts w:ascii="Times New Roman" w:hAnsi="Times New Roman" w:cs="Times New Roman"/>
          <w:sz w:val="26"/>
          <w:szCs w:val="26"/>
        </w:rPr>
      </w:pPr>
    </w:p>
    <w:p w:rsidR="005D5B95" w:rsidRPr="00CB5F94" w:rsidP="005D5B95" w14:paraId="185ACE03" w14:textId="32CE3BB8">
      <w:pPr>
        <w:spacing w:after="0"/>
        <w:rPr>
          <w:rFonts w:ascii="Times New Roman" w:hAnsi="Times New Roman" w:cs="Times New Roman"/>
          <w:sz w:val="26"/>
          <w:szCs w:val="26"/>
        </w:rPr>
      </w:pPr>
      <w:r w:rsidRPr="00CB5F94">
        <w:rPr>
          <w:rFonts w:ascii="Times New Roman" w:hAnsi="Times New Roman" w:cs="Times New Roman"/>
          <w:sz w:val="26"/>
          <w:szCs w:val="26"/>
        </w:rPr>
        <w:t>In an effort to alleviate duplication, filing requirements are periodically reviewed as OMB review dates arise, or as the Commission may deem necessary in carrying out its regulatory responsibilities.  The reporting requirements associated with FERC-521 are basic filing requirements pertaining to headwater benefits.  There are no similar sources of information available.</w:t>
      </w:r>
    </w:p>
    <w:p w:rsidR="005D5B95" w:rsidRPr="00CB5F94" w:rsidP="005D5B95" w14:paraId="6E9E0481" w14:textId="77777777">
      <w:pPr>
        <w:spacing w:after="0"/>
        <w:rPr>
          <w:rFonts w:ascii="Times New Roman" w:hAnsi="Times New Roman" w:cs="Times New Roman"/>
          <w:sz w:val="26"/>
          <w:szCs w:val="26"/>
        </w:rPr>
      </w:pPr>
    </w:p>
    <w:p w:rsidR="005D5B95" w:rsidRPr="00CB5F94" w:rsidP="005D5B95" w14:paraId="3F1FCAA4"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METHODS USED TO MINIMIZE THE BURDEN IN COLLECTION OF INFORMATION INVOLVING SMALL ENTITIES</w:t>
      </w:r>
    </w:p>
    <w:p w:rsidR="005D5B95" w:rsidRPr="00CB5F94" w:rsidP="005D5B95" w14:paraId="41ADC022" w14:textId="77777777">
      <w:pPr>
        <w:spacing w:after="0"/>
        <w:rPr>
          <w:rFonts w:ascii="Times New Roman" w:hAnsi="Times New Roman" w:cs="Times New Roman"/>
          <w:sz w:val="26"/>
          <w:szCs w:val="26"/>
        </w:rPr>
      </w:pPr>
    </w:p>
    <w:p w:rsidR="005D5B95" w:rsidRPr="00CB5F94" w:rsidP="005D5B95" w14:paraId="41B0A7ED"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filing requirements are imposed on both large and small entities.  Specific efforts have been made to minimize the burden imposed on small entities who file the data.  For example, only those hydropower projects with an installed generating capacity greater than 1.5 MW are subject to headwater benefits charges.  No final charge assessed may exceed 85 percent of the value of the energy gains for the assessment period.  The data required is specific to each respondent. Therefore, the reporting burden varies between each respondent.</w:t>
      </w:r>
    </w:p>
    <w:p w:rsidR="005D5B95" w:rsidRPr="00CB5F94" w:rsidP="005D5B95" w14:paraId="31270531" w14:textId="77777777">
      <w:pPr>
        <w:spacing w:after="0"/>
        <w:rPr>
          <w:rFonts w:ascii="Times New Roman" w:hAnsi="Times New Roman" w:cs="Times New Roman"/>
          <w:sz w:val="26"/>
          <w:szCs w:val="26"/>
        </w:rPr>
      </w:pPr>
    </w:p>
    <w:p w:rsidR="005D5B95" w:rsidRPr="00CB5F94" w:rsidP="005D5B95" w14:paraId="40FEF753"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CONSEQUENCE TO FEDERAL PROGRAM IF COLLECTION WERE CONDUCTED LESS FREQUENTLY</w:t>
      </w:r>
    </w:p>
    <w:p w:rsidR="005D5B95" w:rsidRPr="00CB5F94" w:rsidP="005D5B95" w14:paraId="106312C8" w14:textId="77777777">
      <w:pPr>
        <w:spacing w:after="0"/>
        <w:rPr>
          <w:rFonts w:ascii="Times New Roman" w:hAnsi="Times New Roman" w:cs="Times New Roman"/>
          <w:sz w:val="26"/>
          <w:szCs w:val="26"/>
        </w:rPr>
      </w:pPr>
    </w:p>
    <w:p w:rsidR="005D5B95" w:rsidRPr="00CB5F94" w:rsidP="005D5B95" w14:paraId="43D43E26" w14:textId="77777777">
      <w:pPr>
        <w:spacing w:after="0"/>
        <w:rPr>
          <w:rFonts w:ascii="Times New Roman" w:hAnsi="Times New Roman" w:cs="Times New Roman"/>
          <w:sz w:val="26"/>
          <w:szCs w:val="26"/>
        </w:rPr>
      </w:pPr>
      <w:r w:rsidRPr="00CB5F94">
        <w:rPr>
          <w:rFonts w:ascii="Times New Roman" w:hAnsi="Times New Roman" w:cs="Times New Roman"/>
          <w:sz w:val="26"/>
          <w:szCs w:val="26"/>
        </w:rPr>
        <w:t>If the information were collected less frequently, the Commission would be placed at a disadvantage due to not having available data for determining the benefits from headwater improvements.</w:t>
      </w:r>
    </w:p>
    <w:p w:rsidR="005D5B95" w:rsidRPr="00CB5F94" w:rsidP="005D5B95" w14:paraId="40611A30" w14:textId="77777777">
      <w:pPr>
        <w:spacing w:after="0"/>
        <w:rPr>
          <w:rFonts w:ascii="Times New Roman" w:hAnsi="Times New Roman" w:cs="Times New Roman"/>
          <w:sz w:val="26"/>
          <w:szCs w:val="26"/>
        </w:rPr>
      </w:pPr>
    </w:p>
    <w:p w:rsidR="005D5B95" w:rsidRPr="00CB5F94" w:rsidP="005D5B95" w14:paraId="683669D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EXPLAIN ANY SPECIAL CIRCUMSTANCES RELATING TO THE INFORMATION COLLECTION</w:t>
      </w:r>
    </w:p>
    <w:p w:rsidR="005D5B95" w:rsidRPr="00CB5F94" w:rsidP="005D5B95" w14:paraId="0A885FF7" w14:textId="77777777">
      <w:pPr>
        <w:spacing w:after="0"/>
        <w:rPr>
          <w:rFonts w:ascii="Times New Roman" w:hAnsi="Times New Roman" w:cs="Times New Roman"/>
          <w:sz w:val="26"/>
          <w:szCs w:val="26"/>
        </w:rPr>
      </w:pPr>
    </w:p>
    <w:p w:rsidR="005D5B95" w:rsidRPr="00CB5F94" w:rsidP="005D5B95" w14:paraId="2CD632F1" w14:textId="2E1D926B">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There are no special circumstances </w:t>
      </w:r>
      <w:r w:rsidRPr="00CB5F94" w:rsidR="00BA4A4A">
        <w:rPr>
          <w:rFonts w:ascii="Times New Roman" w:hAnsi="Times New Roman" w:cs="Times New Roman"/>
          <w:sz w:val="26"/>
          <w:szCs w:val="26"/>
        </w:rPr>
        <w:t xml:space="preserve">as described in 5 CFR 1320.5(d)(2) related to FERC-521. </w:t>
      </w:r>
    </w:p>
    <w:p w:rsidR="005D5B95" w:rsidRPr="00CB5F94" w:rsidP="005D5B95" w14:paraId="306D0179" w14:textId="77777777">
      <w:pPr>
        <w:spacing w:after="0"/>
        <w:rPr>
          <w:rFonts w:ascii="Times New Roman" w:hAnsi="Times New Roman" w:cs="Times New Roman"/>
          <w:sz w:val="26"/>
          <w:szCs w:val="26"/>
        </w:rPr>
      </w:pPr>
    </w:p>
    <w:p w:rsidR="005D5B95" w:rsidRPr="00CB5F94" w:rsidP="005D5B95" w14:paraId="60DE4217"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EFFORTS TO CONSULT OUTSIDE THE AGENCY: SUMMARIZE PUBLIC COMMENTS AND THE AGENCY’S RESPONSE</w:t>
      </w:r>
    </w:p>
    <w:p w:rsidR="005D5B95" w:rsidRPr="00CB5F94" w:rsidP="005D5B95" w14:paraId="499A62F7" w14:textId="77777777">
      <w:pPr>
        <w:spacing w:after="0"/>
        <w:rPr>
          <w:rFonts w:ascii="Times New Roman" w:hAnsi="Times New Roman" w:cs="Times New Roman"/>
          <w:sz w:val="26"/>
          <w:szCs w:val="26"/>
        </w:rPr>
      </w:pPr>
    </w:p>
    <w:p w:rsidR="005D5B95" w:rsidRPr="00CB5F94" w:rsidP="005D5B95" w14:paraId="72B5F870" w14:textId="02F9ADD3">
      <w:pPr>
        <w:spacing w:after="0"/>
        <w:rPr>
          <w:rFonts w:ascii="Times New Roman" w:hAnsi="Times New Roman" w:cs="Times New Roman"/>
          <w:sz w:val="26"/>
          <w:szCs w:val="26"/>
        </w:rPr>
      </w:pPr>
      <w:r w:rsidRPr="00CB5F94">
        <w:rPr>
          <w:rFonts w:ascii="Times New Roman" w:hAnsi="Times New Roman" w:cs="Times New Roman"/>
          <w:sz w:val="26"/>
          <w:szCs w:val="26"/>
        </w:rPr>
        <w:t>In accordance with OMB requirements</w:t>
      </w:r>
      <w:r w:rsidR="00B31D64">
        <w:rPr>
          <w:rFonts w:ascii="Times New Roman" w:hAnsi="Times New Roman" w:cs="Times New Roman"/>
          <w:sz w:val="26"/>
          <w:szCs w:val="26"/>
        </w:rPr>
        <w:t xml:space="preserve"> the</w:t>
      </w:r>
      <w:r w:rsidRPr="00CB5F94" w:rsidR="00F30D96">
        <w:rPr>
          <w:rFonts w:ascii="Times New Roman" w:hAnsi="Times New Roman" w:cs="Times New Roman"/>
          <w:sz w:val="26"/>
          <w:szCs w:val="26"/>
        </w:rPr>
        <w:t xml:space="preserve"> information collection renewals are</w:t>
      </w:r>
      <w:r w:rsidRPr="00CB5F94" w:rsidR="00681082">
        <w:rPr>
          <w:rFonts w:ascii="Times New Roman" w:hAnsi="Times New Roman" w:cs="Times New Roman"/>
          <w:sz w:val="26"/>
          <w:szCs w:val="26"/>
        </w:rPr>
        <w:t xml:space="preserve"> published in the Federal Register thereby providing public utilities and licensees, state commissions, Federal agencies, and other interested parties an opportunity to submit data, views, </w:t>
      </w:r>
      <w:r w:rsidRPr="00CB5F94" w:rsidR="00413DD5">
        <w:rPr>
          <w:rFonts w:ascii="Times New Roman" w:hAnsi="Times New Roman" w:cs="Times New Roman"/>
          <w:sz w:val="26"/>
          <w:szCs w:val="26"/>
        </w:rPr>
        <w:t>comments,</w:t>
      </w:r>
      <w:r w:rsidRPr="00CB5F94" w:rsidR="00681082">
        <w:rPr>
          <w:rFonts w:ascii="Times New Roman" w:hAnsi="Times New Roman" w:cs="Times New Roman"/>
          <w:sz w:val="26"/>
          <w:szCs w:val="26"/>
        </w:rPr>
        <w:t xml:space="preserve"> or suggestions concerning the collection of data. </w:t>
      </w:r>
      <w:r w:rsidRPr="00CB5F94">
        <w:rPr>
          <w:rFonts w:ascii="Times New Roman" w:hAnsi="Times New Roman" w:cs="Times New Roman"/>
          <w:sz w:val="26"/>
          <w:szCs w:val="26"/>
        </w:rPr>
        <w:t xml:space="preserve"> </w:t>
      </w:r>
      <w:r w:rsidRPr="00CB5F94" w:rsidR="00681082">
        <w:rPr>
          <w:rFonts w:ascii="Times New Roman" w:hAnsi="Times New Roman" w:cs="Times New Roman"/>
          <w:sz w:val="26"/>
          <w:szCs w:val="26"/>
        </w:rPr>
        <w:t>T</w:t>
      </w:r>
      <w:r w:rsidRPr="00CB5F94">
        <w:rPr>
          <w:rFonts w:ascii="Times New Roman" w:hAnsi="Times New Roman" w:cs="Times New Roman"/>
          <w:sz w:val="26"/>
          <w:szCs w:val="26"/>
        </w:rPr>
        <w:t>he Commission published a 60-day notice</w:t>
      </w:r>
      <w:r>
        <w:rPr>
          <w:rStyle w:val="FootnoteReference"/>
          <w:rFonts w:ascii="Times New Roman" w:hAnsi="Times New Roman" w:cs="Times New Roman"/>
          <w:sz w:val="26"/>
          <w:szCs w:val="26"/>
          <w:vertAlign w:val="superscript"/>
        </w:rPr>
        <w:footnoteReference w:id="5"/>
      </w:r>
      <w:r w:rsidR="00B31D64">
        <w:rPr>
          <w:rFonts w:ascii="Times New Roman" w:hAnsi="Times New Roman" w:cs="Times New Roman"/>
          <w:sz w:val="26"/>
          <w:szCs w:val="26"/>
        </w:rPr>
        <w:t xml:space="preserve"> and 30-day notice</w:t>
      </w:r>
      <w:r>
        <w:rPr>
          <w:rStyle w:val="FootnoteReference"/>
          <w:rFonts w:ascii="Times New Roman" w:hAnsi="Times New Roman" w:cs="Times New Roman"/>
          <w:sz w:val="26"/>
          <w:szCs w:val="26"/>
          <w:vertAlign w:val="superscript"/>
        </w:rPr>
        <w:footnoteReference w:id="6"/>
      </w:r>
      <w:r w:rsidR="00B31D64">
        <w:rPr>
          <w:rFonts w:ascii="Times New Roman" w:hAnsi="Times New Roman" w:cs="Times New Roman"/>
          <w:sz w:val="26"/>
          <w:szCs w:val="26"/>
        </w:rPr>
        <w:t xml:space="preserve"> in the Federal Register </w:t>
      </w:r>
      <w:r w:rsidRPr="00CB5F94" w:rsidR="00CA4566">
        <w:rPr>
          <w:rFonts w:ascii="Times New Roman" w:hAnsi="Times New Roman" w:cs="Times New Roman"/>
          <w:sz w:val="26"/>
          <w:szCs w:val="26"/>
        </w:rPr>
        <w:t>in Docket No. IC</w:t>
      </w:r>
      <w:r w:rsidR="00CF1B31">
        <w:rPr>
          <w:rFonts w:ascii="Times New Roman" w:hAnsi="Times New Roman" w:cs="Times New Roman"/>
          <w:sz w:val="26"/>
          <w:szCs w:val="26"/>
        </w:rPr>
        <w:t>23-12-00</w:t>
      </w:r>
      <w:r w:rsidR="00B31D64">
        <w:rPr>
          <w:rFonts w:ascii="Times New Roman" w:hAnsi="Times New Roman" w:cs="Times New Roman"/>
          <w:sz w:val="26"/>
          <w:szCs w:val="26"/>
        </w:rPr>
        <w:t>0</w:t>
      </w:r>
      <w:r w:rsidRPr="00CB5F94">
        <w:rPr>
          <w:rFonts w:ascii="Times New Roman" w:hAnsi="Times New Roman" w:cs="Times New Roman"/>
          <w:sz w:val="26"/>
          <w:szCs w:val="26"/>
        </w:rPr>
        <w:t xml:space="preserve"> regarding </w:t>
      </w:r>
      <w:r w:rsidR="00B31D64">
        <w:rPr>
          <w:rFonts w:ascii="Times New Roman" w:hAnsi="Times New Roman" w:cs="Times New Roman"/>
          <w:sz w:val="26"/>
          <w:szCs w:val="26"/>
        </w:rPr>
        <w:t>FERC-521. No public comments were received</w:t>
      </w:r>
      <w:r w:rsidRPr="00CB5F94" w:rsidR="00681082">
        <w:rPr>
          <w:rFonts w:ascii="Times New Roman" w:hAnsi="Times New Roman" w:cs="Times New Roman"/>
          <w:sz w:val="26"/>
          <w:szCs w:val="26"/>
        </w:rPr>
        <w:t xml:space="preserve">.  </w:t>
      </w:r>
    </w:p>
    <w:p w:rsidR="009018B5" w:rsidRPr="00CB5F94" w:rsidP="005D5B95" w14:paraId="4A08C936" w14:textId="77777777">
      <w:pPr>
        <w:spacing w:after="0"/>
        <w:rPr>
          <w:rFonts w:ascii="Times New Roman" w:hAnsi="Times New Roman" w:cs="Times New Roman"/>
          <w:sz w:val="26"/>
          <w:szCs w:val="26"/>
        </w:rPr>
      </w:pPr>
    </w:p>
    <w:p w:rsidR="005D5B95" w:rsidRPr="00CB5F94" w:rsidP="005D5B95" w14:paraId="67521C70"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EXPLAIN ANY PAYMENT OR GIFTS TO RESPONDENTS</w:t>
      </w:r>
    </w:p>
    <w:p w:rsidR="005D5B95" w:rsidRPr="00CB5F94" w:rsidP="005D5B95" w14:paraId="5419D904" w14:textId="77777777">
      <w:pPr>
        <w:spacing w:after="0"/>
        <w:rPr>
          <w:rFonts w:ascii="Times New Roman" w:hAnsi="Times New Roman" w:cs="Times New Roman"/>
          <w:sz w:val="26"/>
          <w:szCs w:val="26"/>
        </w:rPr>
      </w:pPr>
    </w:p>
    <w:p w:rsidR="005D5B95" w:rsidRPr="00CB5F94" w:rsidP="005D5B95" w14:paraId="7EA7509B" w14:textId="77777777">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 Commission does not make payments or provide gifts for respondents related to </w:t>
      </w:r>
      <w:r w:rsidRPr="00CB5F94">
        <w:rPr>
          <w:rFonts w:ascii="Times New Roman" w:hAnsi="Times New Roman" w:cs="Times New Roman"/>
          <w:sz w:val="26"/>
          <w:szCs w:val="26"/>
        </w:rPr>
        <w:t>FERC-521.</w:t>
      </w:r>
    </w:p>
    <w:p w:rsidR="005D5B95" w:rsidRPr="00CB5F94" w:rsidP="005D5B95" w14:paraId="73CC488F" w14:textId="77777777">
      <w:pPr>
        <w:spacing w:after="0"/>
        <w:rPr>
          <w:rFonts w:ascii="Times New Roman" w:hAnsi="Times New Roman" w:cs="Times New Roman"/>
          <w:sz w:val="26"/>
          <w:szCs w:val="26"/>
        </w:rPr>
      </w:pPr>
    </w:p>
    <w:p w:rsidR="005D5B95" w:rsidRPr="00CB5F94" w:rsidP="005D5B95" w14:paraId="7F0898B2"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DESCRIBE ANY ASSURANCE OF CONFIDENTIALITY PROVIDED TO RESPONDENTS</w:t>
      </w:r>
      <w:r w:rsidRPr="00CB5F94" w:rsidR="007E2D75">
        <w:rPr>
          <w:rFonts w:ascii="Times New Roman" w:hAnsi="Times New Roman" w:cs="Times New Roman"/>
          <w:b/>
          <w:sz w:val="26"/>
          <w:szCs w:val="26"/>
        </w:rPr>
        <w:t xml:space="preserve">  </w:t>
      </w:r>
    </w:p>
    <w:p w:rsidR="007F791D" w:rsidRPr="00CB5F94" w:rsidP="005D5B95" w14:paraId="07D6E385" w14:textId="77777777">
      <w:pPr>
        <w:spacing w:after="0"/>
        <w:rPr>
          <w:rFonts w:ascii="Times New Roman" w:hAnsi="Times New Roman" w:cs="Times New Roman"/>
          <w:sz w:val="26"/>
          <w:szCs w:val="26"/>
        </w:rPr>
      </w:pPr>
    </w:p>
    <w:p w:rsidR="005D5B95" w:rsidRPr="00CB5F94" w:rsidP="005D5B95" w14:paraId="59E32CB9" w14:textId="0D8293B1">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 information submitted to the Commission is public, therefore, the information is not considered confidential.  Specific requests for </w:t>
      </w:r>
      <w:r w:rsidR="00D211FA">
        <w:rPr>
          <w:rFonts w:ascii="Times New Roman" w:hAnsi="Times New Roman" w:cs="Times New Roman"/>
          <w:sz w:val="26"/>
          <w:szCs w:val="26"/>
        </w:rPr>
        <w:t xml:space="preserve">privileged </w:t>
      </w:r>
      <w:r w:rsidRPr="00CB5F94">
        <w:rPr>
          <w:rFonts w:ascii="Times New Roman" w:hAnsi="Times New Roman" w:cs="Times New Roman"/>
          <w:sz w:val="26"/>
          <w:szCs w:val="26"/>
        </w:rPr>
        <w:t>treatment will be considered pursuant to 18 C.F.R. Section 388.112.</w:t>
      </w:r>
    </w:p>
    <w:p w:rsidR="005D5B95" w:rsidRPr="00CB5F94" w:rsidP="005D5B95" w14:paraId="7B379304" w14:textId="77777777">
      <w:pPr>
        <w:spacing w:after="0"/>
        <w:rPr>
          <w:rFonts w:ascii="Times New Roman" w:hAnsi="Times New Roman" w:cs="Times New Roman"/>
          <w:sz w:val="26"/>
          <w:szCs w:val="26"/>
        </w:rPr>
      </w:pPr>
    </w:p>
    <w:p w:rsidR="005D5B95" w:rsidRPr="00CB5F94" w:rsidP="005D5B95" w14:paraId="1E0FEA2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PROVIDE ADDITIONAL JUSTIFICATION FOR ANY QUESTIONS OF A SENSITIVE NATURE</w:t>
      </w:r>
      <w:r w:rsidRPr="00CB5F94" w:rsidR="007E2D75">
        <w:rPr>
          <w:rFonts w:ascii="Times New Roman" w:hAnsi="Times New Roman" w:cs="Times New Roman"/>
          <w:b/>
          <w:sz w:val="26"/>
          <w:szCs w:val="26"/>
        </w:rPr>
        <w:t>, SUCH AS SEXUAL BEHAVIOR AND ATTITUDES, RELIGIOUS BELIEFS, AND OTHER MATTERS THAT ARE COMMONLY CONSIDERED PRIVATE.</w:t>
      </w:r>
    </w:p>
    <w:p w:rsidR="005D5B95" w:rsidRPr="00CB5F94" w:rsidP="005D5B95" w14:paraId="6397A593" w14:textId="77777777">
      <w:pPr>
        <w:spacing w:after="0"/>
        <w:rPr>
          <w:rFonts w:ascii="Times New Roman" w:hAnsi="Times New Roman" w:cs="Times New Roman"/>
          <w:sz w:val="26"/>
          <w:szCs w:val="26"/>
        </w:rPr>
      </w:pPr>
    </w:p>
    <w:p w:rsidR="005D5B95" w:rsidRPr="00CB5F94" w:rsidP="005D5B95" w14:paraId="4BB7E174"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There are no questions of a sensitive nature associated with the FERC-521 reporting requirements.</w:t>
      </w:r>
    </w:p>
    <w:p w:rsidR="005D5B95" w:rsidRPr="00CB5F94" w:rsidP="005D5B95" w14:paraId="6850EBF1" w14:textId="77777777">
      <w:pPr>
        <w:spacing w:after="0"/>
        <w:rPr>
          <w:rFonts w:ascii="Times New Roman" w:hAnsi="Times New Roman" w:cs="Times New Roman"/>
          <w:sz w:val="26"/>
          <w:szCs w:val="26"/>
        </w:rPr>
      </w:pPr>
    </w:p>
    <w:p w:rsidR="005D5B95" w:rsidRPr="00CB5F94" w:rsidP="005D5B95" w14:paraId="03785D5D"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ESTIMATED BURDEN OF COLLECTION OF INFORMATION</w:t>
      </w:r>
    </w:p>
    <w:p w:rsidR="00FB62EB" w:rsidP="005D5B95" w14:paraId="5E7716ED" w14:textId="77777777">
      <w:pPr>
        <w:spacing w:after="0"/>
        <w:rPr>
          <w:rFonts w:ascii="Times New Roman" w:hAnsi="Times New Roman" w:cs="Times New Roman"/>
          <w:sz w:val="26"/>
          <w:szCs w:val="26"/>
        </w:rPr>
      </w:pPr>
    </w:p>
    <w:p w:rsidR="005D5B95" w:rsidRPr="00CB5F94" w:rsidP="005D5B95" w14:paraId="5F48AD38" w14:textId="02AF617F">
      <w:pPr>
        <w:spacing w:after="0"/>
        <w:rPr>
          <w:rFonts w:ascii="Times New Roman" w:hAnsi="Times New Roman" w:cs="Times New Roman"/>
          <w:sz w:val="26"/>
          <w:szCs w:val="26"/>
        </w:rPr>
      </w:pPr>
      <w:r w:rsidRPr="00FB62EB">
        <w:rPr>
          <w:rFonts w:ascii="Times New Roman" w:hAnsi="Times New Roman" w:cs="Times New Roman"/>
          <w:sz w:val="26"/>
          <w:szCs w:val="26"/>
        </w:rPr>
        <w:t>There are no changes to the reporting requirements</w:t>
      </w:r>
      <w:r w:rsidR="00F709BD">
        <w:rPr>
          <w:rFonts w:ascii="Times New Roman" w:hAnsi="Times New Roman" w:cs="Times New Roman"/>
          <w:sz w:val="26"/>
          <w:szCs w:val="26"/>
        </w:rPr>
        <w:t>.</w:t>
      </w:r>
      <w:r w:rsidRPr="00FB62EB">
        <w:rPr>
          <w:rFonts w:ascii="Times New Roman" w:hAnsi="Times New Roman" w:cs="Times New Roman"/>
          <w:sz w:val="26"/>
          <w:szCs w:val="26"/>
        </w:rPr>
        <w:t xml:space="preserve"> The estimated average annual burden and cost</w:t>
      </w:r>
      <w:r>
        <w:rPr>
          <w:rStyle w:val="FootnoteReference"/>
          <w:rFonts w:ascii="Times New Roman" w:hAnsi="Times New Roman" w:cs="Times New Roman"/>
          <w:sz w:val="26"/>
          <w:szCs w:val="26"/>
        </w:rPr>
        <w:footnoteReference w:id="7"/>
      </w:r>
      <w:r w:rsidRPr="00FB62EB">
        <w:rPr>
          <w:rFonts w:ascii="Times New Roman" w:hAnsi="Times New Roman" w:cs="Times New Roman"/>
          <w:sz w:val="26"/>
          <w:szCs w:val="26"/>
        </w:rPr>
        <w:t xml:space="preserve"> follow</w:t>
      </w:r>
      <w:r>
        <w:rPr>
          <w:rFonts w:ascii="Times New Roman" w:hAnsi="Times New Roman" w:cs="Times New Roman"/>
          <w:sz w:val="26"/>
          <w:szCs w:val="26"/>
        </w:rPr>
        <w:t xml:space="preserve"> </w:t>
      </w:r>
      <w:r w:rsidRPr="00CB5F94">
        <w:rPr>
          <w:rFonts w:ascii="Times New Roman" w:hAnsi="Times New Roman" w:cs="Times New Roman"/>
          <w:sz w:val="26"/>
          <w:szCs w:val="26"/>
        </w:rPr>
        <w:t>for the FERC-521 information collection as follows:</w:t>
      </w:r>
    </w:p>
    <w:p w:rsidR="00092396" w:rsidRPr="00CB5F94" w:rsidP="005D5B95" w14:paraId="022A2E6A" w14:textId="77777777">
      <w:pPr>
        <w:spacing w:after="0"/>
        <w:rPr>
          <w:rFonts w:ascii="Times New Roman" w:hAnsi="Times New Roman" w:cs="Times New Roman"/>
          <w:sz w:val="26"/>
          <w:szCs w:val="26"/>
        </w:rPr>
      </w:pPr>
    </w:p>
    <w:tbl>
      <w:tblPr>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692"/>
        <w:gridCol w:w="1169"/>
        <w:gridCol w:w="1263"/>
        <w:gridCol w:w="1349"/>
        <w:gridCol w:w="1621"/>
        <w:gridCol w:w="1709"/>
        <w:gridCol w:w="1433"/>
      </w:tblGrid>
      <w:tr w14:paraId="75020756" w14:textId="77777777" w:rsidTr="007428B8">
        <w:tblPrEx>
          <w:tblW w:w="5474" w:type="pct"/>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Ex>
        <w:trPr>
          <w:cantSplit/>
        </w:trPr>
        <w:tc>
          <w:tcPr>
            <w:tcW w:w="5000" w:type="pct"/>
            <w:gridSpan w:val="7"/>
            <w:tcBorders>
              <w:bottom w:val="single" w:sz="4" w:space="0" w:color="auto"/>
            </w:tcBorders>
            <w:shd w:val="clear" w:color="auto" w:fill="D9D9D9"/>
          </w:tcPr>
          <w:p w:rsidR="003870CD" w:rsidRPr="003870CD" w:rsidP="003870CD" w14:paraId="726CA383" w14:textId="77777777">
            <w:pPr>
              <w:spacing w:after="0"/>
              <w:rPr>
                <w:rFonts w:ascii="Times New Roman" w:hAnsi="Times New Roman" w:cs="Times New Roman"/>
                <w:b/>
                <w:sz w:val="26"/>
                <w:szCs w:val="26"/>
              </w:rPr>
            </w:pPr>
          </w:p>
          <w:p w:rsidR="003870CD" w:rsidRPr="003870CD" w:rsidP="003870CD" w14:paraId="4CC9CE74" w14:textId="77777777">
            <w:pPr>
              <w:spacing w:after="0"/>
              <w:jc w:val="center"/>
              <w:rPr>
                <w:rFonts w:ascii="Times New Roman" w:hAnsi="Times New Roman" w:cs="Times New Roman"/>
                <w:b/>
                <w:sz w:val="26"/>
                <w:szCs w:val="26"/>
              </w:rPr>
            </w:pPr>
            <w:r w:rsidRPr="003870CD">
              <w:rPr>
                <w:rFonts w:ascii="Times New Roman" w:hAnsi="Times New Roman" w:cs="Times New Roman"/>
                <w:b/>
                <w:sz w:val="26"/>
                <w:szCs w:val="26"/>
              </w:rPr>
              <w:t>FERC-521: Payments for Benefits from Headwater Improvements</w:t>
            </w:r>
          </w:p>
        </w:tc>
      </w:tr>
      <w:tr w14:paraId="5E036251" w14:textId="77777777" w:rsidTr="007428B8">
        <w:tblPrEx>
          <w:tblW w:w="5474" w:type="pct"/>
          <w:tblInd w:w="-72" w:type="dxa"/>
          <w:tblLayout w:type="fixed"/>
          <w:tblLook w:val="01E0"/>
        </w:tblPrEx>
        <w:trPr>
          <w:cantSplit/>
        </w:trPr>
        <w:tc>
          <w:tcPr>
            <w:tcW w:w="826" w:type="pct"/>
            <w:shd w:val="clear" w:color="auto" w:fill="D9D9D9"/>
          </w:tcPr>
          <w:p w:rsidR="003870CD" w:rsidRPr="003870CD" w:rsidP="003870CD" w14:paraId="69E06E38" w14:textId="77777777">
            <w:pPr>
              <w:spacing w:after="0"/>
              <w:rPr>
                <w:rFonts w:ascii="Times New Roman" w:hAnsi="Times New Roman" w:cs="Times New Roman"/>
                <w:b/>
                <w:sz w:val="26"/>
                <w:szCs w:val="26"/>
              </w:rPr>
            </w:pPr>
          </w:p>
        </w:tc>
        <w:tc>
          <w:tcPr>
            <w:tcW w:w="571" w:type="pct"/>
            <w:shd w:val="clear" w:color="auto" w:fill="D9D9D9"/>
            <w:vAlign w:val="bottom"/>
          </w:tcPr>
          <w:p w:rsidR="003870CD" w:rsidRPr="003870CD" w:rsidP="003870CD" w14:paraId="61F13D79"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Number of Respondents</w:t>
            </w:r>
            <w:r w:rsidRPr="003870CD">
              <w:rPr>
                <w:rFonts w:ascii="Times New Roman" w:hAnsi="Times New Roman" w:cs="Times New Roman"/>
                <w:b/>
                <w:sz w:val="26"/>
                <w:szCs w:val="26"/>
              </w:rPr>
              <w:br/>
              <w:t>(1)</w:t>
            </w:r>
          </w:p>
        </w:tc>
        <w:tc>
          <w:tcPr>
            <w:tcW w:w="617" w:type="pct"/>
            <w:shd w:val="clear" w:color="auto" w:fill="D9D9D9"/>
            <w:vAlign w:val="bottom"/>
          </w:tcPr>
          <w:p w:rsidR="003870CD" w:rsidRPr="003870CD" w:rsidP="003870CD" w14:paraId="7ED030B5"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Annual Number of Responses per Respondent</w:t>
            </w:r>
          </w:p>
          <w:p w:rsidR="003870CD" w:rsidRPr="003870CD" w:rsidP="003870CD" w14:paraId="13E98339"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(2)</w:t>
            </w:r>
          </w:p>
        </w:tc>
        <w:tc>
          <w:tcPr>
            <w:tcW w:w="659" w:type="pct"/>
            <w:shd w:val="clear" w:color="auto" w:fill="D9D9D9"/>
            <w:vAlign w:val="bottom"/>
          </w:tcPr>
          <w:p w:rsidR="003870CD" w:rsidRPr="003870CD" w:rsidP="003870CD" w14:paraId="005BD1BE"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Total Number of Responses (1)*(2)=(3)</w:t>
            </w:r>
          </w:p>
        </w:tc>
        <w:tc>
          <w:tcPr>
            <w:tcW w:w="792" w:type="pct"/>
            <w:shd w:val="clear" w:color="auto" w:fill="D9D9D9"/>
            <w:vAlign w:val="bottom"/>
          </w:tcPr>
          <w:p w:rsidR="003870CD" w:rsidRPr="003870CD" w:rsidP="003870CD" w14:paraId="5D8A03B2"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Average Burden &amp; Cost Per Response</w:t>
            </w:r>
          </w:p>
          <w:p w:rsidR="003870CD" w:rsidRPr="003870CD" w:rsidP="003870CD" w14:paraId="12BC9ACF"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(4)</w:t>
            </w:r>
          </w:p>
        </w:tc>
        <w:tc>
          <w:tcPr>
            <w:tcW w:w="835" w:type="pct"/>
            <w:shd w:val="clear" w:color="auto" w:fill="D9D9D9"/>
            <w:vAlign w:val="bottom"/>
          </w:tcPr>
          <w:p w:rsidR="003870CD" w:rsidRPr="003870CD" w:rsidP="003870CD" w14:paraId="688BC293"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Total Annual Burden Hours &amp; Total Annual Cost</w:t>
            </w:r>
          </w:p>
          <w:p w:rsidR="003870CD" w:rsidRPr="003870CD" w:rsidP="003870CD" w14:paraId="54B47743"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(3)*(4)=(5)</w:t>
            </w:r>
          </w:p>
        </w:tc>
        <w:tc>
          <w:tcPr>
            <w:tcW w:w="701" w:type="pct"/>
            <w:shd w:val="clear" w:color="auto" w:fill="D9D9D9"/>
            <w:vAlign w:val="bottom"/>
          </w:tcPr>
          <w:p w:rsidR="003870CD" w:rsidRPr="003870CD" w:rsidP="003870CD" w14:paraId="2A503AD4"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Cost per Respondent</w:t>
            </w:r>
          </w:p>
          <w:p w:rsidR="003870CD" w:rsidRPr="003870CD" w:rsidP="003870CD" w14:paraId="62EDA9A9"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 xml:space="preserve"> ($)</w:t>
            </w:r>
          </w:p>
          <w:p w:rsidR="003870CD" w:rsidRPr="003870CD" w:rsidP="003870CD" w14:paraId="52929FA5" w14:textId="77777777">
            <w:pPr>
              <w:spacing w:after="0"/>
              <w:rPr>
                <w:rFonts w:ascii="Times New Roman" w:hAnsi="Times New Roman" w:cs="Times New Roman"/>
                <w:b/>
                <w:sz w:val="26"/>
                <w:szCs w:val="26"/>
              </w:rPr>
            </w:pPr>
            <w:r w:rsidRPr="003870CD">
              <w:rPr>
                <w:rFonts w:ascii="Times New Roman" w:hAnsi="Times New Roman" w:cs="Times New Roman"/>
                <w:b/>
                <w:sz w:val="26"/>
                <w:szCs w:val="26"/>
              </w:rPr>
              <w:t>(5)÷(1)</w:t>
            </w:r>
          </w:p>
        </w:tc>
      </w:tr>
      <w:tr w14:paraId="7C17758B" w14:textId="77777777" w:rsidTr="007428B8">
        <w:tblPrEx>
          <w:tblW w:w="5474" w:type="pct"/>
          <w:tblInd w:w="-72" w:type="dxa"/>
          <w:tblLayout w:type="fixed"/>
          <w:tblLook w:val="01E0"/>
        </w:tblPrEx>
        <w:trPr>
          <w:cantSplit/>
        </w:trPr>
        <w:tc>
          <w:tcPr>
            <w:tcW w:w="826" w:type="pct"/>
          </w:tcPr>
          <w:p w:rsidR="003870CD" w:rsidRPr="003870CD" w:rsidP="003870CD" w14:paraId="42DFB469" w14:textId="77777777">
            <w:pPr>
              <w:spacing w:after="0"/>
              <w:rPr>
                <w:rFonts w:ascii="Times New Roman" w:hAnsi="Times New Roman" w:cs="Times New Roman"/>
                <w:sz w:val="26"/>
                <w:szCs w:val="26"/>
              </w:rPr>
            </w:pPr>
            <w:r w:rsidRPr="003870CD">
              <w:rPr>
                <w:rFonts w:ascii="Times New Roman" w:hAnsi="Times New Roman" w:cs="Times New Roman"/>
                <w:sz w:val="26"/>
                <w:szCs w:val="26"/>
              </w:rPr>
              <w:t xml:space="preserve">Federal and Non-Federal project owners </w:t>
            </w:r>
          </w:p>
        </w:tc>
        <w:tc>
          <w:tcPr>
            <w:tcW w:w="571" w:type="pct"/>
            <w:tcBorders>
              <w:bottom w:val="single" w:sz="4" w:space="0" w:color="auto"/>
            </w:tcBorders>
            <w:vAlign w:val="bottom"/>
          </w:tcPr>
          <w:p w:rsidR="003870CD" w:rsidRPr="003870CD" w:rsidP="003870CD" w14:paraId="1B190B12" w14:textId="77777777">
            <w:pPr>
              <w:spacing w:after="0"/>
              <w:rPr>
                <w:rFonts w:ascii="Times New Roman" w:hAnsi="Times New Roman" w:cs="Times New Roman"/>
                <w:sz w:val="26"/>
                <w:szCs w:val="26"/>
              </w:rPr>
            </w:pPr>
            <w:r w:rsidRPr="003870CD">
              <w:rPr>
                <w:rFonts w:ascii="Times New Roman" w:hAnsi="Times New Roman" w:cs="Times New Roman"/>
                <w:sz w:val="26"/>
                <w:szCs w:val="26"/>
              </w:rPr>
              <w:t>3</w:t>
            </w:r>
          </w:p>
        </w:tc>
        <w:tc>
          <w:tcPr>
            <w:tcW w:w="617" w:type="pct"/>
            <w:tcBorders>
              <w:bottom w:val="single" w:sz="4" w:space="0" w:color="auto"/>
            </w:tcBorders>
            <w:vAlign w:val="bottom"/>
          </w:tcPr>
          <w:p w:rsidR="003870CD" w:rsidRPr="003870CD" w:rsidP="003870CD" w14:paraId="2ACA6CBC" w14:textId="77777777">
            <w:pPr>
              <w:spacing w:after="0"/>
              <w:rPr>
                <w:rFonts w:ascii="Times New Roman" w:hAnsi="Times New Roman" w:cs="Times New Roman"/>
                <w:sz w:val="26"/>
                <w:szCs w:val="26"/>
              </w:rPr>
            </w:pPr>
            <w:r w:rsidRPr="003870CD">
              <w:rPr>
                <w:rFonts w:ascii="Times New Roman" w:hAnsi="Times New Roman" w:cs="Times New Roman"/>
                <w:sz w:val="26"/>
                <w:szCs w:val="26"/>
              </w:rPr>
              <w:t>1</w:t>
            </w:r>
          </w:p>
        </w:tc>
        <w:tc>
          <w:tcPr>
            <w:tcW w:w="659" w:type="pct"/>
            <w:tcBorders>
              <w:bottom w:val="single" w:sz="4" w:space="0" w:color="auto"/>
            </w:tcBorders>
            <w:vAlign w:val="bottom"/>
          </w:tcPr>
          <w:p w:rsidR="003870CD" w:rsidRPr="003870CD" w:rsidP="003870CD" w14:paraId="32BA2ECE" w14:textId="77777777">
            <w:pPr>
              <w:spacing w:after="0"/>
              <w:rPr>
                <w:rFonts w:ascii="Times New Roman" w:hAnsi="Times New Roman" w:cs="Times New Roman"/>
                <w:sz w:val="26"/>
                <w:szCs w:val="26"/>
              </w:rPr>
            </w:pPr>
            <w:r w:rsidRPr="003870CD">
              <w:rPr>
                <w:rFonts w:ascii="Times New Roman" w:hAnsi="Times New Roman" w:cs="Times New Roman"/>
                <w:sz w:val="26"/>
                <w:szCs w:val="26"/>
              </w:rPr>
              <w:t>3</w:t>
            </w:r>
          </w:p>
        </w:tc>
        <w:tc>
          <w:tcPr>
            <w:tcW w:w="792" w:type="pct"/>
            <w:tcBorders>
              <w:bottom w:val="single" w:sz="4" w:space="0" w:color="auto"/>
            </w:tcBorders>
            <w:vAlign w:val="bottom"/>
          </w:tcPr>
          <w:p w:rsidR="003870CD" w:rsidRPr="003870CD" w:rsidP="003870CD" w14:paraId="2BA26BC1" w14:textId="77777777">
            <w:pPr>
              <w:spacing w:after="0"/>
              <w:rPr>
                <w:rFonts w:ascii="Times New Roman" w:hAnsi="Times New Roman" w:cs="Times New Roman"/>
                <w:sz w:val="26"/>
                <w:szCs w:val="26"/>
              </w:rPr>
            </w:pPr>
            <w:r w:rsidRPr="003870CD">
              <w:rPr>
                <w:rFonts w:ascii="Times New Roman" w:hAnsi="Times New Roman" w:cs="Times New Roman"/>
                <w:sz w:val="26"/>
                <w:szCs w:val="26"/>
              </w:rPr>
              <w:t>40 hrs.; $3,640</w:t>
            </w:r>
          </w:p>
        </w:tc>
        <w:tc>
          <w:tcPr>
            <w:tcW w:w="835" w:type="pct"/>
            <w:vAlign w:val="bottom"/>
          </w:tcPr>
          <w:p w:rsidR="003870CD" w:rsidRPr="003870CD" w:rsidP="003870CD" w14:paraId="110C9991" w14:textId="77777777">
            <w:pPr>
              <w:spacing w:after="0"/>
              <w:rPr>
                <w:rFonts w:ascii="Times New Roman" w:hAnsi="Times New Roman" w:cs="Times New Roman"/>
                <w:sz w:val="26"/>
                <w:szCs w:val="26"/>
              </w:rPr>
            </w:pPr>
            <w:r w:rsidRPr="003870CD">
              <w:rPr>
                <w:rFonts w:ascii="Times New Roman" w:hAnsi="Times New Roman" w:cs="Times New Roman"/>
                <w:sz w:val="26"/>
                <w:szCs w:val="26"/>
              </w:rPr>
              <w:t xml:space="preserve">120 hrs.;  </w:t>
            </w:r>
          </w:p>
          <w:p w:rsidR="003870CD" w:rsidRPr="003870CD" w:rsidP="003870CD" w14:paraId="2B6C09F9" w14:textId="77777777">
            <w:pPr>
              <w:spacing w:after="0"/>
              <w:rPr>
                <w:rFonts w:ascii="Times New Roman" w:hAnsi="Times New Roman" w:cs="Times New Roman"/>
                <w:sz w:val="26"/>
                <w:szCs w:val="26"/>
              </w:rPr>
            </w:pPr>
            <w:r w:rsidRPr="003870CD">
              <w:rPr>
                <w:rFonts w:ascii="Times New Roman" w:hAnsi="Times New Roman" w:cs="Times New Roman"/>
                <w:sz w:val="26"/>
                <w:szCs w:val="26"/>
              </w:rPr>
              <w:t>$10,920</w:t>
            </w:r>
          </w:p>
        </w:tc>
        <w:tc>
          <w:tcPr>
            <w:tcW w:w="701" w:type="pct"/>
            <w:vAlign w:val="bottom"/>
          </w:tcPr>
          <w:p w:rsidR="003870CD" w:rsidRPr="003870CD" w:rsidP="003870CD" w14:paraId="6AC75512" w14:textId="77777777">
            <w:pPr>
              <w:spacing w:after="0"/>
              <w:rPr>
                <w:rFonts w:ascii="Times New Roman" w:hAnsi="Times New Roman" w:cs="Times New Roman"/>
                <w:sz w:val="26"/>
                <w:szCs w:val="26"/>
              </w:rPr>
            </w:pPr>
            <w:r w:rsidRPr="003870CD">
              <w:rPr>
                <w:rFonts w:ascii="Times New Roman" w:hAnsi="Times New Roman" w:cs="Times New Roman"/>
                <w:sz w:val="26"/>
                <w:szCs w:val="26"/>
              </w:rPr>
              <w:t>$3,640</w:t>
            </w:r>
          </w:p>
        </w:tc>
      </w:tr>
    </w:tbl>
    <w:p w:rsidR="005D5B95" w:rsidP="005D5B95" w14:paraId="1D1CED22" w14:textId="4521D7BE">
      <w:pPr>
        <w:spacing w:after="0"/>
        <w:rPr>
          <w:rFonts w:ascii="Times New Roman" w:hAnsi="Times New Roman" w:cs="Times New Roman"/>
          <w:sz w:val="26"/>
          <w:szCs w:val="26"/>
        </w:rPr>
      </w:pPr>
    </w:p>
    <w:p w:rsidR="00FF58D1" w:rsidRPr="00FF58D1" w:rsidP="00FF58D1" w14:paraId="0BDDFE52" w14:textId="77777777">
      <w:pPr>
        <w:spacing w:after="0"/>
        <w:rPr>
          <w:rFonts w:ascii="Times New Roman" w:hAnsi="Times New Roman" w:cs="Times New Roman"/>
          <w:sz w:val="26"/>
          <w:szCs w:val="26"/>
        </w:rPr>
      </w:pPr>
      <w:r w:rsidRPr="00FF58D1">
        <w:rPr>
          <w:rFonts w:ascii="Times New Roman" w:hAnsi="Times New Roman" w:cs="Times New Roman"/>
          <w:sz w:val="26"/>
          <w:szCs w:val="26"/>
        </w:rPr>
        <w:t>The total estimated annual cost burden to each respondent is $3,640 [40 hours * $91.00/hour = $3,640].</w:t>
      </w:r>
    </w:p>
    <w:p w:rsidR="00FF58D1" w:rsidRPr="00CB5F94" w:rsidP="005D5B95" w14:paraId="3E5E66D2" w14:textId="77777777">
      <w:pPr>
        <w:spacing w:after="0"/>
        <w:rPr>
          <w:rFonts w:ascii="Times New Roman" w:hAnsi="Times New Roman" w:cs="Times New Roman"/>
          <w:sz w:val="26"/>
          <w:szCs w:val="26"/>
        </w:rPr>
      </w:pPr>
    </w:p>
    <w:p w:rsidR="005D5B95" w:rsidRPr="00CB5F94" w:rsidP="005D5B95" w14:paraId="79C1EE57"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 OF THE TOTAL ANNUAL COST BURDEN TO RESPONDENTS</w:t>
      </w:r>
    </w:p>
    <w:p w:rsidR="005D5B95" w:rsidRPr="00CB5F94" w:rsidP="005D5B95" w14:paraId="1FE17A44" w14:textId="087E0FEE">
      <w:pPr>
        <w:spacing w:after="0"/>
        <w:rPr>
          <w:rFonts w:ascii="Times New Roman" w:hAnsi="Times New Roman" w:cs="Times New Roman"/>
          <w:sz w:val="26"/>
          <w:szCs w:val="26"/>
        </w:rPr>
      </w:pPr>
    </w:p>
    <w:p w:rsidR="005D5B95" w:rsidRPr="00CB5F94" w:rsidP="005D5B95" w14:paraId="281C4385" w14:textId="719A1157">
      <w:pPr>
        <w:spacing w:after="0"/>
        <w:rPr>
          <w:rFonts w:ascii="Times New Roman" w:hAnsi="Times New Roman" w:cs="Times New Roman"/>
          <w:sz w:val="26"/>
          <w:szCs w:val="26"/>
        </w:rPr>
      </w:pPr>
      <w:r w:rsidRPr="00CB5F94">
        <w:rPr>
          <w:rFonts w:ascii="Times New Roman" w:hAnsi="Times New Roman" w:cs="Times New Roman"/>
          <w:sz w:val="26"/>
          <w:szCs w:val="26"/>
        </w:rPr>
        <w:t>The costs for this collection are entirely related to burden hours and are provided in</w:t>
      </w:r>
      <w:r w:rsidRPr="00CB5F94">
        <w:rPr>
          <w:rFonts w:ascii="Times New Roman" w:hAnsi="Times New Roman" w:cs="Times New Roman"/>
          <w:sz w:val="26"/>
          <w:szCs w:val="26"/>
        </w:rPr>
        <w:t xml:space="preserve"> Question</w:t>
      </w:r>
      <w:r w:rsidRPr="00CB5F94" w:rsidR="00801648">
        <w:rPr>
          <w:rFonts w:ascii="Times New Roman" w:hAnsi="Times New Roman" w:cs="Times New Roman"/>
          <w:sz w:val="26"/>
          <w:szCs w:val="26"/>
        </w:rPr>
        <w:t>s</w:t>
      </w:r>
      <w:r w:rsidRPr="00CB5F94">
        <w:rPr>
          <w:rFonts w:ascii="Times New Roman" w:hAnsi="Times New Roman" w:cs="Times New Roman"/>
          <w:sz w:val="26"/>
          <w:szCs w:val="26"/>
        </w:rPr>
        <w:t xml:space="preserve"> #12</w:t>
      </w:r>
      <w:r w:rsidRPr="00CB5F94" w:rsidR="00681082">
        <w:rPr>
          <w:rFonts w:ascii="Times New Roman" w:hAnsi="Times New Roman" w:cs="Times New Roman"/>
          <w:sz w:val="26"/>
          <w:szCs w:val="26"/>
        </w:rPr>
        <w:t xml:space="preserve"> and #15.</w:t>
      </w:r>
    </w:p>
    <w:p w:rsidR="005D5B95" w:rsidRPr="00CB5F94" w:rsidP="005D5B95" w14:paraId="5F56FD5C" w14:textId="77777777">
      <w:pPr>
        <w:spacing w:after="0"/>
        <w:rPr>
          <w:rFonts w:ascii="Times New Roman" w:hAnsi="Times New Roman" w:cs="Times New Roman"/>
          <w:sz w:val="26"/>
          <w:szCs w:val="26"/>
        </w:rPr>
      </w:pPr>
    </w:p>
    <w:p w:rsidR="005D5B95" w:rsidRPr="00CB5F94" w:rsidP="005D5B95" w14:paraId="2742AD88"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ESTIMATED ANNUALIZED COST TO FEDERAL GOVERNMENT</w:t>
      </w:r>
    </w:p>
    <w:p w:rsidR="00681082" w:rsidRPr="00CB5F94" w:rsidP="00681082" w14:paraId="4407FE97" w14:textId="77777777">
      <w:pPr>
        <w:spacing w:after="0"/>
        <w:rPr>
          <w:rFonts w:ascii="Times New Roman" w:hAnsi="Times New Roman" w:cs="Times New Roman"/>
          <w:sz w:val="26"/>
          <w:szCs w:val="26"/>
        </w:rPr>
      </w:pPr>
    </w:p>
    <w:p w:rsidR="00FB62EB" w:rsidRPr="00FB62EB" w:rsidP="00FB62EB" w14:paraId="3022B064" w14:textId="2F3302AD">
      <w:pPr>
        <w:widowControl w:val="0"/>
        <w:autoSpaceDE w:val="0"/>
        <w:autoSpaceDN w:val="0"/>
        <w:adjustRightInd w:val="0"/>
        <w:spacing w:after="0" w:line="240" w:lineRule="auto"/>
        <w:rPr>
          <w:rFonts w:ascii="Times New Roman" w:eastAsia="Times New Roman" w:hAnsi="Times New Roman" w:cs="Times New Roman"/>
          <w:sz w:val="26"/>
          <w:szCs w:val="26"/>
        </w:rPr>
      </w:pPr>
      <w:r w:rsidRPr="00FB62EB">
        <w:rPr>
          <w:rFonts w:ascii="Times New Roman" w:eastAsia="Times New Roman" w:hAnsi="Times New Roman" w:cs="Times New Roman"/>
          <w:sz w:val="26"/>
          <w:szCs w:val="26"/>
        </w:rPr>
        <w:t xml:space="preserve">The Commission bases its estimate for “Analysis and Processing of filings” on FERC’s </w:t>
      </w:r>
      <w:r w:rsidRPr="00FB62EB">
        <w:rPr>
          <w:rFonts w:ascii="Times New Roman" w:eastAsia="Times New Roman" w:hAnsi="Times New Roman" w:cs="Times New Roman"/>
          <w:sz w:val="26"/>
          <w:szCs w:val="26"/>
        </w:rPr>
        <w:t xml:space="preserve">salaries and benefits for professional and clerical support.  </w:t>
      </w:r>
    </w:p>
    <w:p w:rsidR="00FB62EB" w:rsidRPr="00FB62EB" w:rsidP="00FB62EB" w14:paraId="3DD5CB0A" w14:textId="77777777">
      <w:pPr>
        <w:widowControl w:val="0"/>
        <w:autoSpaceDE w:val="0"/>
        <w:autoSpaceDN w:val="0"/>
        <w:adjustRightInd w:val="0"/>
        <w:spacing w:after="0" w:line="240" w:lineRule="auto"/>
        <w:rPr>
          <w:rFonts w:ascii="Times New Roman" w:eastAsia="Times New Roman" w:hAnsi="Times New Roman" w:cs="Times New Roman"/>
          <w:sz w:val="26"/>
          <w:szCs w:val="26"/>
        </w:rPr>
      </w:pPr>
    </w:p>
    <w:p w:rsidR="00FB62EB" w:rsidRPr="00FB62EB" w:rsidP="00FB62EB" w14:paraId="4DDB08E3" w14:textId="084A7B6F">
      <w:pPr>
        <w:widowControl w:val="0"/>
        <w:autoSpaceDE w:val="0"/>
        <w:autoSpaceDN w:val="0"/>
        <w:adjustRightInd w:val="0"/>
        <w:spacing w:after="0" w:line="240" w:lineRule="auto"/>
        <w:rPr>
          <w:rFonts w:ascii="Times New Roman" w:eastAsia="Times New Roman" w:hAnsi="Times New Roman" w:cs="Times New Roman"/>
          <w:sz w:val="26"/>
          <w:szCs w:val="26"/>
        </w:rPr>
      </w:pPr>
      <w:r w:rsidRPr="00FB62EB">
        <w:rPr>
          <w:rFonts w:ascii="Times New Roman" w:eastAsia="Times New Roman" w:hAnsi="Times New Roman" w:cs="Times New Roman"/>
          <w:sz w:val="26"/>
          <w:szCs w:val="26"/>
        </w:rPr>
        <w:t xml:space="preserve">The Commission bases the cost associated with the Paperwork Reduction Act of 1995 (PRA) administration on staff time, and other costs related to compliance with the PRA.  These costs include reviewing and analyzing the reporting/recordkeeping/posting </w:t>
      </w:r>
      <w:r w:rsidRPr="00FB62EB" w:rsidR="00413DD5">
        <w:rPr>
          <w:rFonts w:ascii="Times New Roman" w:eastAsia="Times New Roman" w:hAnsi="Times New Roman" w:cs="Times New Roman"/>
          <w:sz w:val="26"/>
          <w:szCs w:val="26"/>
        </w:rPr>
        <w:t>requirements,</w:t>
      </w:r>
      <w:r w:rsidRPr="00FB62EB">
        <w:rPr>
          <w:rFonts w:ascii="Times New Roman" w:eastAsia="Times New Roman" w:hAnsi="Times New Roman" w:cs="Times New Roman"/>
          <w:sz w:val="26"/>
          <w:szCs w:val="26"/>
        </w:rPr>
        <w:t xml:space="preserve"> developing, processing, and issuing the public notices and PRA supporting statement and materials, </w:t>
      </w:r>
      <w:r w:rsidRPr="00FB62EB" w:rsidR="00413DD5">
        <w:rPr>
          <w:rFonts w:ascii="Times New Roman" w:eastAsia="Times New Roman" w:hAnsi="Times New Roman" w:cs="Times New Roman"/>
          <w:sz w:val="26"/>
          <w:szCs w:val="26"/>
        </w:rPr>
        <w:t>analyzing,</w:t>
      </w:r>
      <w:r w:rsidRPr="00FB62EB">
        <w:rPr>
          <w:rFonts w:ascii="Times New Roman" w:eastAsia="Times New Roman" w:hAnsi="Times New Roman" w:cs="Times New Roman"/>
          <w:sz w:val="26"/>
          <w:szCs w:val="26"/>
        </w:rPr>
        <w:t xml:space="preserve"> and addressing any public comments, and publishing notices in the Federal Register.</w:t>
      </w:r>
    </w:p>
    <w:p w:rsidR="002E44CC" w:rsidRPr="00CB5F94" w:rsidP="00681082" w14:paraId="0FA26AF1" w14:textId="77777777">
      <w:pPr>
        <w:spacing w:after="0"/>
        <w:rPr>
          <w:rFonts w:ascii="Times New Roman" w:hAnsi="Times New Roman" w:cs="Times New Roman"/>
          <w:sz w:val="26"/>
          <w:szCs w:val="26"/>
        </w:rPr>
      </w:pPr>
    </w:p>
    <w:p w:rsidR="00681082" w:rsidRPr="00CB5F94" w:rsidP="00681082" w14:paraId="64ED4E3B"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 estimated annualized cost to the Federal Government for FERC-521 is:</w:t>
      </w:r>
    </w:p>
    <w:p w:rsidR="005D5B95" w:rsidRPr="00CB5F94" w:rsidP="005D5B95" w14:paraId="7EDF247E" w14:textId="77777777">
      <w:pPr>
        <w:spacing w:after="0"/>
        <w:rPr>
          <w:rFonts w:ascii="Times New Roman" w:hAnsi="Times New Roman" w:cs="Times New Roman"/>
          <w:sz w:val="26"/>
          <w:szCs w:val="26"/>
        </w:rPr>
      </w:pPr>
    </w:p>
    <w:tbl>
      <w:tblPr>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3182"/>
        <w:gridCol w:w="3201"/>
        <w:gridCol w:w="2995"/>
      </w:tblGrid>
      <w:tr w14:paraId="251E82C2" w14:textId="77777777" w:rsidTr="00CF4F49">
        <w:tblPrEx>
          <w:tblW w:w="9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c>
          <w:tcPr>
            <w:tcW w:w="3182" w:type="dxa"/>
            <w:shd w:val="clear" w:color="auto" w:fill="CCCCCC"/>
          </w:tcPr>
          <w:p w:rsidR="005D5B95" w:rsidRPr="00CB5F94" w:rsidP="00CF4F49" w14:paraId="5187E7AA" w14:textId="77777777">
            <w:pPr>
              <w:spacing w:after="0" w:line="240" w:lineRule="auto"/>
              <w:rPr>
                <w:rFonts w:ascii="Times New Roman" w:hAnsi="Times New Roman" w:cs="Times New Roman"/>
                <w:sz w:val="26"/>
                <w:szCs w:val="26"/>
              </w:rPr>
            </w:pPr>
          </w:p>
        </w:tc>
        <w:tc>
          <w:tcPr>
            <w:tcW w:w="3201" w:type="dxa"/>
            <w:shd w:val="clear" w:color="auto" w:fill="CCCCCC"/>
          </w:tcPr>
          <w:p w:rsidR="005D5B95" w:rsidRPr="00CB5F94" w:rsidP="00CF4F49" w14:paraId="65CF4231"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Number of Employees (FTEs)</w:t>
            </w:r>
          </w:p>
        </w:tc>
        <w:tc>
          <w:tcPr>
            <w:tcW w:w="2995" w:type="dxa"/>
            <w:shd w:val="clear" w:color="auto" w:fill="CCCCCC"/>
          </w:tcPr>
          <w:p w:rsidR="005D5B95" w:rsidRPr="00CB5F94" w:rsidP="00CF4F49" w14:paraId="5B2B3F0B"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Estimated Annual Federal Cost</w:t>
            </w:r>
          </w:p>
        </w:tc>
      </w:tr>
      <w:tr w14:paraId="054D7C9B" w14:textId="77777777" w:rsidTr="00CF4F49">
        <w:tblPrEx>
          <w:tblW w:w="9378" w:type="dxa"/>
          <w:tblLook w:val="01E0"/>
        </w:tblPrEx>
        <w:tc>
          <w:tcPr>
            <w:tcW w:w="3182" w:type="dxa"/>
            <w:shd w:val="clear" w:color="auto" w:fill="auto"/>
          </w:tcPr>
          <w:p w:rsidR="005D5B95" w:rsidRPr="00CB5F94" w:rsidP="00CF4F49" w14:paraId="1E8B0653" w14:textId="77777777">
            <w:pPr>
              <w:spacing w:after="0" w:line="240" w:lineRule="auto"/>
              <w:rPr>
                <w:rFonts w:ascii="Times New Roman" w:hAnsi="Times New Roman" w:cs="Times New Roman"/>
                <w:sz w:val="26"/>
                <w:szCs w:val="26"/>
              </w:rPr>
            </w:pPr>
            <w:r w:rsidRPr="00CB5F94">
              <w:rPr>
                <w:rFonts w:ascii="Times New Roman" w:hAnsi="Times New Roman" w:cs="Times New Roman"/>
                <w:sz w:val="26"/>
                <w:szCs w:val="26"/>
              </w:rPr>
              <w:t>Analysis and Processing of filings</w:t>
            </w:r>
            <w:r>
              <w:rPr>
                <w:rStyle w:val="FootnoteReference"/>
                <w:rFonts w:ascii="Times New Roman" w:hAnsi="Times New Roman" w:cs="Times New Roman"/>
                <w:sz w:val="26"/>
                <w:szCs w:val="26"/>
                <w:vertAlign w:val="superscript"/>
              </w:rPr>
              <w:footnoteReference w:id="8"/>
            </w:r>
          </w:p>
        </w:tc>
        <w:tc>
          <w:tcPr>
            <w:tcW w:w="3201" w:type="dxa"/>
            <w:tcBorders>
              <w:bottom w:val="single" w:sz="4" w:space="0" w:color="auto"/>
            </w:tcBorders>
            <w:shd w:val="clear" w:color="auto" w:fill="auto"/>
            <w:vAlign w:val="center"/>
          </w:tcPr>
          <w:p w:rsidR="005D5B95" w:rsidRPr="00CB5F94" w:rsidP="00CF4F49" w14:paraId="567E5A52" w14:textId="77777777">
            <w:pPr>
              <w:spacing w:after="0" w:line="240" w:lineRule="auto"/>
              <w:jc w:val="right"/>
              <w:rPr>
                <w:rFonts w:ascii="Times New Roman" w:hAnsi="Times New Roman" w:cs="Times New Roman"/>
                <w:sz w:val="26"/>
                <w:szCs w:val="26"/>
              </w:rPr>
            </w:pPr>
            <w:r w:rsidRPr="00CA3E58">
              <w:rPr>
                <w:rFonts w:ascii="Times New Roman" w:hAnsi="Times New Roman" w:cs="Times New Roman"/>
                <w:sz w:val="26"/>
                <w:szCs w:val="26"/>
              </w:rPr>
              <w:t>0.12</w:t>
            </w:r>
          </w:p>
        </w:tc>
        <w:tc>
          <w:tcPr>
            <w:tcW w:w="2995" w:type="dxa"/>
            <w:shd w:val="clear" w:color="auto" w:fill="auto"/>
            <w:vAlign w:val="center"/>
          </w:tcPr>
          <w:p w:rsidR="005D5B95" w:rsidRPr="00CB5F94" w:rsidP="005D2364" w14:paraId="485BD028" w14:textId="4DABFD50">
            <w:pPr>
              <w:spacing w:after="0" w:line="240" w:lineRule="auto"/>
              <w:jc w:val="right"/>
              <w:rPr>
                <w:rFonts w:ascii="Times New Roman" w:hAnsi="Times New Roman" w:cs="Times New Roman"/>
                <w:sz w:val="26"/>
                <w:szCs w:val="26"/>
              </w:rPr>
            </w:pPr>
            <w:r>
              <w:rPr>
                <w:rFonts w:ascii="Times New Roman" w:hAnsi="Times New Roman" w:cs="Times New Roman"/>
                <w:sz w:val="26"/>
                <w:szCs w:val="26"/>
              </w:rPr>
              <w:t>$</w:t>
            </w:r>
            <w:r w:rsidRPr="003C235F" w:rsidR="003C235F">
              <w:rPr>
                <w:rFonts w:ascii="Times New Roman" w:hAnsi="Times New Roman" w:cs="Times New Roman"/>
                <w:sz w:val="26"/>
                <w:szCs w:val="26"/>
              </w:rPr>
              <w:t>22,67</w:t>
            </w:r>
            <w:r w:rsidR="001561BF">
              <w:rPr>
                <w:rFonts w:ascii="Times New Roman" w:hAnsi="Times New Roman" w:cs="Times New Roman"/>
                <w:sz w:val="26"/>
                <w:szCs w:val="26"/>
              </w:rPr>
              <w:t>1</w:t>
            </w:r>
          </w:p>
        </w:tc>
      </w:tr>
      <w:tr w14:paraId="3A87E2E3" w14:textId="77777777" w:rsidTr="00CF4F49">
        <w:tblPrEx>
          <w:tblW w:w="9378" w:type="dxa"/>
          <w:tblLook w:val="01E0"/>
        </w:tblPrEx>
        <w:tc>
          <w:tcPr>
            <w:tcW w:w="3182" w:type="dxa"/>
            <w:shd w:val="clear" w:color="auto" w:fill="auto"/>
          </w:tcPr>
          <w:p w:rsidR="005D5B95" w:rsidRPr="00CB5F94" w:rsidP="00CF4F49" w14:paraId="08B1F345" w14:textId="77777777">
            <w:pPr>
              <w:rPr>
                <w:rFonts w:ascii="Times New Roman" w:hAnsi="Times New Roman" w:cs="Times New Roman"/>
                <w:sz w:val="26"/>
                <w:szCs w:val="26"/>
              </w:rPr>
            </w:pPr>
            <w:r w:rsidRPr="00CB5F94">
              <w:rPr>
                <w:rFonts w:ascii="Times New Roman" w:hAnsi="Times New Roman" w:cs="Times New Roman"/>
                <w:sz w:val="26"/>
                <w:szCs w:val="26"/>
              </w:rPr>
              <w:t>PRA</w:t>
            </w:r>
            <w:r>
              <w:rPr>
                <w:rStyle w:val="FootnoteReference"/>
                <w:rFonts w:ascii="Times New Roman" w:hAnsi="Times New Roman" w:cs="Times New Roman"/>
                <w:sz w:val="26"/>
                <w:szCs w:val="26"/>
                <w:vertAlign w:val="superscript"/>
              </w:rPr>
              <w:footnoteReference w:id="9"/>
            </w:r>
            <w:r w:rsidRPr="00CB5F94">
              <w:rPr>
                <w:rFonts w:ascii="Times New Roman" w:hAnsi="Times New Roman" w:cs="Times New Roman"/>
                <w:sz w:val="26"/>
                <w:szCs w:val="26"/>
              </w:rPr>
              <w:t xml:space="preserve"> Administrative Cost</w:t>
            </w:r>
            <w:r>
              <w:rPr>
                <w:rFonts w:ascii="Times New Roman" w:hAnsi="Times New Roman" w:cs="Times New Roman"/>
                <w:sz w:val="26"/>
                <w:szCs w:val="26"/>
                <w:vertAlign w:val="superscript"/>
              </w:rPr>
              <w:footnoteReference w:id="10"/>
            </w:r>
            <w:r w:rsidRPr="00CB5F94">
              <w:rPr>
                <w:rFonts w:ascii="Times New Roman" w:hAnsi="Times New Roman" w:cs="Times New Roman"/>
                <w:sz w:val="26"/>
                <w:szCs w:val="26"/>
              </w:rPr>
              <w:t xml:space="preserve"> </w:t>
            </w:r>
          </w:p>
        </w:tc>
        <w:tc>
          <w:tcPr>
            <w:tcW w:w="3201" w:type="dxa"/>
            <w:vMerge w:val="restart"/>
            <w:shd w:val="clear" w:color="auto" w:fill="D9D9D9" w:themeFill="background1" w:themeFillShade="D9"/>
            <w:vAlign w:val="center"/>
          </w:tcPr>
          <w:p w:rsidR="005D5B95" w:rsidRPr="00CB5F94" w:rsidP="00CF4F49" w14:paraId="2DCE50F2"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005D5B95" w:rsidRPr="00235075" w:rsidP="00542937" w14:paraId="5F041433" w14:textId="0682308E">
            <w:pPr>
              <w:spacing w:after="0" w:line="240" w:lineRule="auto"/>
              <w:jc w:val="right"/>
              <w:rPr>
                <w:rFonts w:ascii="Times New Roman" w:hAnsi="Times New Roman" w:cs="Times New Roman"/>
                <w:sz w:val="26"/>
                <w:szCs w:val="26"/>
              </w:rPr>
            </w:pPr>
            <w:r w:rsidRPr="00235075">
              <w:rPr>
                <w:rFonts w:ascii="Times New Roman" w:hAnsi="Times New Roman" w:cs="Times New Roman"/>
                <w:sz w:val="26"/>
                <w:szCs w:val="26"/>
              </w:rPr>
              <w:t>$</w:t>
            </w:r>
            <w:r w:rsidRPr="00235075" w:rsidR="00235075">
              <w:rPr>
                <w:rFonts w:ascii="Times New Roman" w:hAnsi="Times New Roman" w:cs="Times New Roman"/>
                <w:sz w:val="26"/>
                <w:szCs w:val="26"/>
              </w:rPr>
              <w:t>7</w:t>
            </w:r>
            <w:r w:rsidRPr="00235075" w:rsidR="00353047">
              <w:rPr>
                <w:rFonts w:ascii="Times New Roman" w:hAnsi="Times New Roman" w:cs="Times New Roman"/>
                <w:sz w:val="26"/>
                <w:szCs w:val="26"/>
              </w:rPr>
              <w:t>,</w:t>
            </w:r>
            <w:r w:rsidRPr="00235075" w:rsidR="00235075">
              <w:rPr>
                <w:rFonts w:ascii="Times New Roman" w:hAnsi="Times New Roman" w:cs="Times New Roman"/>
                <w:sz w:val="26"/>
                <w:szCs w:val="26"/>
              </w:rPr>
              <w:t>694</w:t>
            </w:r>
          </w:p>
        </w:tc>
      </w:tr>
      <w:tr w14:paraId="0FCAED96" w14:textId="77777777" w:rsidTr="00CF4F49">
        <w:tblPrEx>
          <w:tblW w:w="9378" w:type="dxa"/>
          <w:tblLook w:val="01E0"/>
        </w:tblPrEx>
        <w:tc>
          <w:tcPr>
            <w:tcW w:w="3182" w:type="dxa"/>
            <w:shd w:val="clear" w:color="auto" w:fill="auto"/>
          </w:tcPr>
          <w:p w:rsidR="005D5B95" w:rsidRPr="00CB5F94" w:rsidP="00CF4F49" w14:paraId="0A17E9B2" w14:textId="77777777">
            <w:pPr>
              <w:spacing w:after="0" w:line="240" w:lineRule="auto"/>
              <w:rPr>
                <w:rFonts w:ascii="Times New Roman" w:hAnsi="Times New Roman" w:cs="Times New Roman"/>
                <w:b/>
                <w:sz w:val="26"/>
                <w:szCs w:val="26"/>
              </w:rPr>
            </w:pPr>
            <w:r w:rsidRPr="00CB5F94">
              <w:rPr>
                <w:rFonts w:ascii="Times New Roman" w:hAnsi="Times New Roman" w:cs="Times New Roman"/>
                <w:b/>
                <w:sz w:val="26"/>
                <w:szCs w:val="26"/>
              </w:rPr>
              <w:t>FERC Total</w:t>
            </w:r>
          </w:p>
        </w:tc>
        <w:tc>
          <w:tcPr>
            <w:tcW w:w="3201" w:type="dxa"/>
            <w:vMerge/>
            <w:shd w:val="clear" w:color="auto" w:fill="D9D9D9" w:themeFill="background1" w:themeFillShade="D9"/>
            <w:vAlign w:val="center"/>
          </w:tcPr>
          <w:p w:rsidR="005D5B95" w:rsidRPr="00CB5F94" w:rsidP="00CF4F49" w14:paraId="526D133A" w14:textId="77777777">
            <w:pPr>
              <w:spacing w:after="0" w:line="240" w:lineRule="auto"/>
              <w:jc w:val="right"/>
              <w:rPr>
                <w:rFonts w:ascii="Times New Roman" w:hAnsi="Times New Roman" w:cs="Times New Roman"/>
                <w:sz w:val="26"/>
                <w:szCs w:val="26"/>
              </w:rPr>
            </w:pPr>
          </w:p>
        </w:tc>
        <w:tc>
          <w:tcPr>
            <w:tcW w:w="2995" w:type="dxa"/>
            <w:shd w:val="clear" w:color="auto" w:fill="auto"/>
            <w:vAlign w:val="center"/>
          </w:tcPr>
          <w:p w:rsidR="005D5B95" w:rsidRPr="00CB5F94" w:rsidP="00CF4F49" w14:paraId="3D876F70" w14:textId="39FE5EE4">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w:t>
            </w:r>
            <w:r w:rsidRPr="003C235F" w:rsidR="003C235F">
              <w:rPr>
                <w:rFonts w:ascii="Times New Roman" w:hAnsi="Times New Roman" w:cs="Times New Roman"/>
                <w:sz w:val="26"/>
                <w:szCs w:val="26"/>
              </w:rPr>
              <w:t>30,36</w:t>
            </w:r>
            <w:r w:rsidR="001561BF">
              <w:rPr>
                <w:rFonts w:ascii="Times New Roman" w:hAnsi="Times New Roman" w:cs="Times New Roman"/>
                <w:sz w:val="26"/>
                <w:szCs w:val="26"/>
              </w:rPr>
              <w:t>5</w:t>
            </w:r>
          </w:p>
        </w:tc>
      </w:tr>
    </w:tbl>
    <w:p w:rsidR="005D5B95" w:rsidRPr="00CB5F94" w:rsidP="005D5B95" w14:paraId="77095B6C" w14:textId="77777777">
      <w:pPr>
        <w:spacing w:after="0"/>
        <w:rPr>
          <w:rFonts w:ascii="Times New Roman" w:hAnsi="Times New Roman" w:cs="Times New Roman"/>
          <w:sz w:val="26"/>
          <w:szCs w:val="26"/>
        </w:rPr>
      </w:pPr>
    </w:p>
    <w:p w:rsidR="005D5B95" w:rsidRPr="00CB5F94" w:rsidP="005D5B95" w14:paraId="3D052676" w14:textId="77777777">
      <w:pPr>
        <w:spacing w:after="0"/>
        <w:rPr>
          <w:rFonts w:ascii="Times New Roman" w:hAnsi="Times New Roman" w:cs="Times New Roman"/>
          <w:sz w:val="26"/>
          <w:szCs w:val="26"/>
        </w:rPr>
      </w:pPr>
    </w:p>
    <w:p w:rsidR="005D5B95" w:rsidRPr="00CB5F94" w:rsidP="005D5B95" w14:paraId="09A149D2"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REASONS FOR CHANGES IN BURDEN INCLUDING THE NEED FOR ANY INCREASE</w:t>
      </w:r>
    </w:p>
    <w:p w:rsidR="005D5B95" w:rsidRPr="00CB5F94" w:rsidP="005D5B95" w14:paraId="0B99C5AC" w14:textId="77777777">
      <w:pPr>
        <w:spacing w:after="0"/>
        <w:rPr>
          <w:rFonts w:ascii="Times New Roman" w:hAnsi="Times New Roman" w:cs="Times New Roman"/>
          <w:sz w:val="26"/>
          <w:szCs w:val="26"/>
        </w:rPr>
      </w:pPr>
    </w:p>
    <w:p w:rsidR="005D5B95" w:rsidRPr="00CB5F94" w:rsidP="005D5B95" w14:paraId="25411CCC" w14:textId="77777777">
      <w:pPr>
        <w:spacing w:after="0"/>
        <w:rPr>
          <w:rFonts w:ascii="Times New Roman" w:hAnsi="Times New Roman" w:cs="Times New Roman"/>
          <w:sz w:val="26"/>
          <w:szCs w:val="26"/>
        </w:rPr>
      </w:pPr>
      <w:r w:rsidRPr="00CB5F94">
        <w:rPr>
          <w:rFonts w:ascii="Times New Roman" w:hAnsi="Times New Roman" w:cs="Times New Roman"/>
          <w:sz w:val="26"/>
          <w:szCs w:val="26"/>
        </w:rPr>
        <w:t>There are no changes to reporting requirements.  Moreover, there is no foreseeable change in either the number of respondents or the frequency with which they must respond. Therefore, there is no change to the estimated reporting burden.</w:t>
      </w:r>
    </w:p>
    <w:p w:rsidR="005D5B95" w:rsidRPr="00CB5F94" w:rsidP="005D5B95" w14:paraId="4DFA7242" w14:textId="77777777">
      <w:pPr>
        <w:spacing w:after="0"/>
        <w:rPr>
          <w:rFonts w:ascii="Times New Roman" w:hAnsi="Times New Roman" w:cs="Times New Roman"/>
          <w:sz w:val="26"/>
          <w:szCs w:val="26"/>
        </w:rPr>
      </w:pPr>
    </w:p>
    <w:tbl>
      <w:tblPr>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79"/>
        <w:gridCol w:w="1461"/>
        <w:gridCol w:w="1620"/>
        <w:gridCol w:w="1800"/>
        <w:gridCol w:w="1800"/>
      </w:tblGrid>
      <w:tr w14:paraId="27AD3995" w14:textId="77777777" w:rsidTr="00CF4F49">
        <w:tblPrEx>
          <w:tblW w:w="936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Ex>
        <w:trPr>
          <w:trHeight w:val="870"/>
        </w:trPr>
        <w:tc>
          <w:tcPr>
            <w:tcW w:w="2679" w:type="dxa"/>
            <w:shd w:val="clear" w:color="auto" w:fill="D9D9D9"/>
            <w:vAlign w:val="bottom"/>
          </w:tcPr>
          <w:p w:rsidR="005D5B95" w:rsidRPr="00CB5F94" w:rsidP="00CF4F49" w14:paraId="1BFE3801"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FERC-521</w:t>
            </w:r>
          </w:p>
        </w:tc>
        <w:tc>
          <w:tcPr>
            <w:tcW w:w="1461" w:type="dxa"/>
            <w:shd w:val="clear" w:color="auto" w:fill="D9D9D9"/>
            <w:vAlign w:val="bottom"/>
          </w:tcPr>
          <w:p w:rsidR="005D5B95" w:rsidRPr="00CB5F94" w:rsidP="00CF4F49" w14:paraId="02B732A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Total Request</w:t>
            </w:r>
          </w:p>
        </w:tc>
        <w:tc>
          <w:tcPr>
            <w:tcW w:w="1620" w:type="dxa"/>
            <w:shd w:val="clear" w:color="auto" w:fill="D9D9D9"/>
            <w:vAlign w:val="bottom"/>
          </w:tcPr>
          <w:p w:rsidR="005D5B95" w:rsidRPr="00CB5F94" w:rsidP="00CF4F49" w14:paraId="491F755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Previously Approved</w:t>
            </w:r>
          </w:p>
        </w:tc>
        <w:tc>
          <w:tcPr>
            <w:tcW w:w="1800" w:type="dxa"/>
            <w:shd w:val="clear" w:color="auto" w:fill="D9D9D9"/>
            <w:vAlign w:val="bottom"/>
          </w:tcPr>
          <w:p w:rsidR="005D5B95" w:rsidRPr="00CB5F94" w:rsidP="00CF4F49" w14:paraId="56E5F67B" w14:textId="77777777">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 xml:space="preserve">Change due to </w:t>
            </w:r>
            <w:r w:rsidRPr="00CB5F94">
              <w:rPr>
                <w:rFonts w:ascii="Times New Roman" w:hAnsi="Times New Roman" w:cs="Times New Roman"/>
                <w:b/>
                <w:sz w:val="26"/>
                <w:szCs w:val="26"/>
              </w:rPr>
              <w:t>Adjustment in Estimate</w:t>
            </w:r>
          </w:p>
        </w:tc>
        <w:tc>
          <w:tcPr>
            <w:tcW w:w="1800" w:type="dxa"/>
            <w:shd w:val="clear" w:color="auto" w:fill="D9D9D9"/>
            <w:vAlign w:val="bottom"/>
          </w:tcPr>
          <w:p w:rsidR="005D5B95" w:rsidRPr="00CB5F94" w:rsidP="00CF4F49" w14:paraId="4F2DB608" w14:textId="5A2FD490">
            <w:pPr>
              <w:spacing w:after="0" w:line="240" w:lineRule="auto"/>
              <w:jc w:val="center"/>
              <w:rPr>
                <w:rFonts w:ascii="Times New Roman" w:hAnsi="Times New Roman" w:cs="Times New Roman"/>
                <w:b/>
                <w:sz w:val="26"/>
                <w:szCs w:val="26"/>
              </w:rPr>
            </w:pPr>
            <w:r w:rsidRPr="00CB5F94">
              <w:rPr>
                <w:rFonts w:ascii="Times New Roman" w:hAnsi="Times New Roman" w:cs="Times New Roman"/>
                <w:b/>
                <w:sz w:val="26"/>
                <w:szCs w:val="26"/>
              </w:rPr>
              <w:t xml:space="preserve">Program </w:t>
            </w:r>
            <w:r w:rsidRPr="00CB5F94">
              <w:rPr>
                <w:rFonts w:ascii="Times New Roman" w:hAnsi="Times New Roman" w:cs="Times New Roman"/>
                <w:b/>
                <w:sz w:val="26"/>
                <w:szCs w:val="26"/>
              </w:rPr>
              <w:t xml:space="preserve">Change Due </w:t>
            </w:r>
            <w:r w:rsidRPr="00CB5F94">
              <w:rPr>
                <w:rFonts w:ascii="Times New Roman" w:hAnsi="Times New Roman" w:cs="Times New Roman"/>
                <w:b/>
                <w:sz w:val="26"/>
                <w:szCs w:val="26"/>
              </w:rPr>
              <w:t>to Agency Discretion</w:t>
            </w:r>
          </w:p>
        </w:tc>
      </w:tr>
      <w:tr w14:paraId="59BF037B" w14:textId="77777777" w:rsidTr="00CF4F49">
        <w:tblPrEx>
          <w:tblW w:w="9360" w:type="dxa"/>
          <w:tblInd w:w="18" w:type="dxa"/>
          <w:tblLook w:val="01E0"/>
        </w:tblPrEx>
        <w:trPr>
          <w:trHeight w:val="591"/>
        </w:trPr>
        <w:tc>
          <w:tcPr>
            <w:tcW w:w="2679" w:type="dxa"/>
            <w:shd w:val="clear" w:color="auto" w:fill="auto"/>
          </w:tcPr>
          <w:p w:rsidR="005D5B95" w:rsidRPr="00CB5F94" w:rsidP="00CF4F49" w14:paraId="3B86D974" w14:textId="77777777">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Number of Responses</w:t>
            </w:r>
          </w:p>
        </w:tc>
        <w:tc>
          <w:tcPr>
            <w:tcW w:w="1461" w:type="dxa"/>
            <w:shd w:val="clear" w:color="auto" w:fill="auto"/>
            <w:vAlign w:val="center"/>
          </w:tcPr>
          <w:p w:rsidR="005D5B95" w:rsidRPr="00CB5F94" w:rsidP="00CF4F49" w14:paraId="3F510631"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3</w:t>
            </w:r>
          </w:p>
        </w:tc>
        <w:tc>
          <w:tcPr>
            <w:tcW w:w="1620" w:type="dxa"/>
            <w:shd w:val="clear" w:color="auto" w:fill="auto"/>
            <w:vAlign w:val="center"/>
          </w:tcPr>
          <w:p w:rsidR="005D5B95" w:rsidRPr="00CB5F94" w:rsidP="00CF4F49" w14:paraId="2267517B"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3</w:t>
            </w:r>
          </w:p>
        </w:tc>
        <w:tc>
          <w:tcPr>
            <w:tcW w:w="1800" w:type="dxa"/>
            <w:shd w:val="clear" w:color="auto" w:fill="auto"/>
            <w:vAlign w:val="center"/>
          </w:tcPr>
          <w:p w:rsidR="005D5B95" w:rsidRPr="00CB5F94" w:rsidP="00CF4F49" w14:paraId="70ADA0B1"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c>
          <w:tcPr>
            <w:tcW w:w="1800" w:type="dxa"/>
            <w:shd w:val="clear" w:color="auto" w:fill="auto"/>
            <w:vAlign w:val="center"/>
          </w:tcPr>
          <w:p w:rsidR="005D5B95" w:rsidRPr="00CB5F94" w:rsidP="00CF4F49" w14:paraId="4FFA8B4E"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r>
      <w:tr w14:paraId="3D2771E7" w14:textId="77777777" w:rsidTr="00CF4F49">
        <w:tblPrEx>
          <w:tblW w:w="9360" w:type="dxa"/>
          <w:tblInd w:w="18" w:type="dxa"/>
          <w:tblLook w:val="01E0"/>
        </w:tblPrEx>
        <w:trPr>
          <w:trHeight w:val="575"/>
        </w:trPr>
        <w:tc>
          <w:tcPr>
            <w:tcW w:w="2679" w:type="dxa"/>
            <w:shd w:val="clear" w:color="auto" w:fill="auto"/>
          </w:tcPr>
          <w:p w:rsidR="005D5B95" w:rsidRPr="00CB5F94" w:rsidP="00CF4F49" w14:paraId="0FF55EDA" w14:textId="70FCFB20">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Time Burden (Hr</w:t>
            </w:r>
            <w:r w:rsidRPr="00CB5F94" w:rsidR="00F67FD5">
              <w:rPr>
                <w:rFonts w:ascii="Times New Roman" w:hAnsi="Times New Roman" w:cs="Times New Roman"/>
                <w:sz w:val="26"/>
                <w:szCs w:val="26"/>
              </w:rPr>
              <w:t>.</w:t>
            </w:r>
            <w:r w:rsidRPr="00CB5F94">
              <w:rPr>
                <w:rFonts w:ascii="Times New Roman" w:hAnsi="Times New Roman" w:cs="Times New Roman"/>
                <w:sz w:val="26"/>
                <w:szCs w:val="26"/>
              </w:rPr>
              <w:t>)</w:t>
            </w:r>
          </w:p>
        </w:tc>
        <w:tc>
          <w:tcPr>
            <w:tcW w:w="1461" w:type="dxa"/>
            <w:shd w:val="clear" w:color="auto" w:fill="auto"/>
            <w:vAlign w:val="center"/>
          </w:tcPr>
          <w:p w:rsidR="005D5B95" w:rsidRPr="00CB5F94" w:rsidP="00CF4F49" w14:paraId="53448A84"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120</w:t>
            </w:r>
          </w:p>
        </w:tc>
        <w:tc>
          <w:tcPr>
            <w:tcW w:w="1620" w:type="dxa"/>
            <w:shd w:val="clear" w:color="auto" w:fill="auto"/>
            <w:vAlign w:val="center"/>
          </w:tcPr>
          <w:p w:rsidR="005D5B95" w:rsidRPr="00CB5F94" w:rsidP="00CF4F49" w14:paraId="0782C213"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120</w:t>
            </w:r>
          </w:p>
        </w:tc>
        <w:tc>
          <w:tcPr>
            <w:tcW w:w="1800" w:type="dxa"/>
            <w:shd w:val="clear" w:color="auto" w:fill="auto"/>
            <w:vAlign w:val="center"/>
          </w:tcPr>
          <w:p w:rsidR="005D5B95" w:rsidRPr="00CB5F94" w:rsidP="00CF4F49" w14:paraId="3E5BF765"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c>
          <w:tcPr>
            <w:tcW w:w="1800" w:type="dxa"/>
            <w:shd w:val="clear" w:color="auto" w:fill="auto"/>
            <w:vAlign w:val="center"/>
          </w:tcPr>
          <w:p w:rsidR="005D5B95" w:rsidRPr="00CB5F94" w:rsidP="00CF4F49" w14:paraId="692EA2C6"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0</w:t>
            </w:r>
          </w:p>
        </w:tc>
      </w:tr>
      <w:tr w14:paraId="15FEEBCC" w14:textId="77777777" w:rsidTr="00CF4F49">
        <w:tblPrEx>
          <w:tblW w:w="9360" w:type="dxa"/>
          <w:tblInd w:w="18" w:type="dxa"/>
          <w:tblLook w:val="01E0"/>
        </w:tblPrEx>
        <w:trPr>
          <w:trHeight w:val="295"/>
        </w:trPr>
        <w:tc>
          <w:tcPr>
            <w:tcW w:w="2679" w:type="dxa"/>
            <w:tcBorders>
              <w:bottom w:val="single" w:sz="4" w:space="0" w:color="auto"/>
            </w:tcBorders>
            <w:shd w:val="clear" w:color="auto" w:fill="auto"/>
          </w:tcPr>
          <w:p w:rsidR="005D5B95" w:rsidRPr="00CB5F94" w:rsidP="00CF4F49" w14:paraId="2D497AF1" w14:textId="77777777">
            <w:pPr>
              <w:spacing w:after="0" w:line="240" w:lineRule="auto"/>
              <w:jc w:val="center"/>
              <w:rPr>
                <w:rFonts w:ascii="Times New Roman" w:hAnsi="Times New Roman" w:cs="Times New Roman"/>
                <w:sz w:val="26"/>
                <w:szCs w:val="26"/>
              </w:rPr>
            </w:pPr>
            <w:r w:rsidRPr="00CB5F94">
              <w:rPr>
                <w:rFonts w:ascii="Times New Roman" w:hAnsi="Times New Roman" w:cs="Times New Roman"/>
                <w:sz w:val="26"/>
                <w:szCs w:val="26"/>
              </w:rPr>
              <w:t>Annual Cost Burden ($)</w:t>
            </w:r>
          </w:p>
        </w:tc>
        <w:tc>
          <w:tcPr>
            <w:tcW w:w="1461" w:type="dxa"/>
            <w:tcBorders>
              <w:bottom w:val="single" w:sz="4" w:space="0" w:color="auto"/>
            </w:tcBorders>
            <w:shd w:val="clear" w:color="auto" w:fill="auto"/>
            <w:vAlign w:val="center"/>
          </w:tcPr>
          <w:p w:rsidR="005D5B95" w:rsidRPr="00CB5F94" w:rsidP="00CF4F49" w14:paraId="76FE4916"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620" w:type="dxa"/>
            <w:tcBorders>
              <w:bottom w:val="single" w:sz="4" w:space="0" w:color="auto"/>
            </w:tcBorders>
            <w:shd w:val="clear" w:color="auto" w:fill="auto"/>
            <w:vAlign w:val="center"/>
          </w:tcPr>
          <w:p w:rsidR="005D5B95" w:rsidRPr="00CB5F94" w:rsidP="00CF4F49" w14:paraId="1446D385"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rsidR="005D5B95" w:rsidRPr="00CB5F94" w:rsidP="00CF4F49" w14:paraId="7C2D58F9"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c>
          <w:tcPr>
            <w:tcW w:w="1800" w:type="dxa"/>
            <w:tcBorders>
              <w:bottom w:val="single" w:sz="4" w:space="0" w:color="auto"/>
            </w:tcBorders>
            <w:shd w:val="clear" w:color="auto" w:fill="auto"/>
            <w:vAlign w:val="center"/>
          </w:tcPr>
          <w:p w:rsidR="005D5B95" w:rsidRPr="00CB5F94" w:rsidP="00CF4F49" w14:paraId="72BB497B" w14:textId="77777777">
            <w:pPr>
              <w:spacing w:after="0" w:line="240" w:lineRule="auto"/>
              <w:jc w:val="right"/>
              <w:rPr>
                <w:rFonts w:ascii="Times New Roman" w:hAnsi="Times New Roman" w:cs="Times New Roman"/>
                <w:sz w:val="26"/>
                <w:szCs w:val="26"/>
              </w:rPr>
            </w:pPr>
            <w:r w:rsidRPr="00CB5F94">
              <w:rPr>
                <w:rFonts w:ascii="Times New Roman" w:hAnsi="Times New Roman" w:cs="Times New Roman"/>
                <w:sz w:val="26"/>
                <w:szCs w:val="26"/>
              </w:rPr>
              <w:t>$ 0</w:t>
            </w:r>
          </w:p>
        </w:tc>
      </w:tr>
    </w:tbl>
    <w:p w:rsidR="005D5B95" w:rsidRPr="00CB5F94" w:rsidP="005D5B95" w14:paraId="6FA8AB2D" w14:textId="77777777">
      <w:pPr>
        <w:spacing w:after="0"/>
        <w:rPr>
          <w:rFonts w:ascii="Times New Roman" w:hAnsi="Times New Roman" w:cs="Times New Roman"/>
          <w:sz w:val="26"/>
          <w:szCs w:val="26"/>
        </w:rPr>
      </w:pPr>
    </w:p>
    <w:p w:rsidR="005D5B95" w:rsidRPr="00CB5F94" w:rsidP="005D5B95" w14:paraId="34BBD4C9" w14:textId="77777777">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 format, label, and definitions of the table above follow the Office of Management and Budget’s online submittal system for information collection requests. </w:t>
      </w:r>
    </w:p>
    <w:p w:rsidR="005D5B95" w:rsidRPr="00CB5F94" w:rsidP="005D5B95" w14:paraId="24DEEB2D" w14:textId="77777777">
      <w:pPr>
        <w:spacing w:after="0"/>
        <w:rPr>
          <w:rFonts w:ascii="Times New Roman" w:hAnsi="Times New Roman" w:cs="Times New Roman"/>
          <w:sz w:val="26"/>
          <w:szCs w:val="26"/>
        </w:rPr>
      </w:pPr>
    </w:p>
    <w:p w:rsidR="005D5B95" w:rsidRPr="00CB5F94" w:rsidP="005D5B95" w14:paraId="16F0F41E"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TIME SCHEDULE FOR PUBLICATION OF DATA</w:t>
      </w:r>
    </w:p>
    <w:p w:rsidR="005D5B95" w:rsidRPr="00CB5F94" w:rsidP="005D5B95" w14:paraId="34D1E36A" w14:textId="77777777">
      <w:pPr>
        <w:spacing w:after="0"/>
        <w:rPr>
          <w:rFonts w:ascii="Times New Roman" w:hAnsi="Times New Roman" w:cs="Times New Roman"/>
          <w:sz w:val="26"/>
          <w:szCs w:val="26"/>
        </w:rPr>
      </w:pPr>
    </w:p>
    <w:p w:rsidR="004E07F7" w:rsidRPr="00CB5F94" w:rsidP="004E07F7" w14:paraId="730E1C0B" w14:textId="77777777">
      <w:pPr>
        <w:spacing w:after="0"/>
        <w:rPr>
          <w:rFonts w:ascii="Times New Roman" w:hAnsi="Times New Roman" w:cs="Times New Roman"/>
          <w:sz w:val="26"/>
          <w:szCs w:val="26"/>
        </w:rPr>
      </w:pPr>
      <w:r w:rsidRPr="00CB5F94">
        <w:rPr>
          <w:rFonts w:ascii="Times New Roman" w:hAnsi="Times New Roman" w:cs="Times New Roman"/>
          <w:sz w:val="26"/>
          <w:szCs w:val="26"/>
        </w:rPr>
        <w:t xml:space="preserve">There is no plan for publication of this information collection.  </w:t>
      </w:r>
    </w:p>
    <w:p w:rsidR="005D5B95" w:rsidRPr="00CB5F94" w:rsidP="005D5B95" w14:paraId="7F56B738" w14:textId="77777777">
      <w:pPr>
        <w:spacing w:after="0"/>
        <w:rPr>
          <w:rFonts w:ascii="Times New Roman" w:hAnsi="Times New Roman" w:cs="Times New Roman"/>
          <w:sz w:val="26"/>
          <w:szCs w:val="26"/>
        </w:rPr>
      </w:pPr>
    </w:p>
    <w:p w:rsidR="005D5B95" w:rsidRPr="00CB5F94" w:rsidP="005D5B95" w14:paraId="3CBFEED5"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DISPLAY OF EXPIRATION DATE</w:t>
      </w:r>
    </w:p>
    <w:p w:rsidR="00CB5F94" w:rsidRPr="00CB5F94" w:rsidP="00CB5F94" w14:paraId="0E10C29C" w14:textId="77777777">
      <w:pPr>
        <w:spacing w:after="0"/>
        <w:rPr>
          <w:rFonts w:ascii="Times New Roman" w:hAnsi="Times New Roman" w:cs="Times New Roman"/>
          <w:sz w:val="26"/>
          <w:szCs w:val="26"/>
        </w:rPr>
      </w:pPr>
    </w:p>
    <w:p w:rsidR="005D5B95" w:rsidRPr="00CB5F94" w:rsidP="00CB5F94" w14:paraId="2A3A353A" w14:textId="3406A00E">
      <w:pPr>
        <w:spacing w:after="0"/>
        <w:rPr>
          <w:rFonts w:ascii="Times New Roman" w:hAnsi="Times New Roman" w:cs="Times New Roman"/>
          <w:sz w:val="26"/>
          <w:szCs w:val="26"/>
        </w:rPr>
      </w:pPr>
      <w:r w:rsidRPr="00CB5F94">
        <w:rPr>
          <w:rFonts w:ascii="Times New Roman" w:hAnsi="Times New Roman" w:cs="Times New Roman"/>
          <w:sz w:val="26"/>
          <w:szCs w:val="26"/>
        </w:rPr>
        <w:t>The PRA information (including expiration date and OMB Control No.) is available on www.ferc.gov</w:t>
      </w:r>
    </w:p>
    <w:p w:rsidR="005D5B95" w:rsidRPr="00CB5F94" w:rsidP="005D5B95" w14:paraId="4C0C4C97" w14:textId="77777777">
      <w:pPr>
        <w:spacing w:after="0"/>
        <w:rPr>
          <w:rFonts w:ascii="Times New Roman" w:hAnsi="Times New Roman" w:cs="Times New Roman"/>
          <w:sz w:val="26"/>
          <w:szCs w:val="26"/>
        </w:rPr>
      </w:pPr>
    </w:p>
    <w:p w:rsidR="005D5B95" w:rsidRPr="00CB5F94" w:rsidP="005D5B95" w14:paraId="0EE3137A" w14:textId="77777777">
      <w:pPr>
        <w:pStyle w:val="ListParagraph"/>
        <w:numPr>
          <w:ilvl w:val="0"/>
          <w:numId w:val="1"/>
        </w:numPr>
        <w:spacing w:after="0"/>
        <w:ind w:left="360"/>
        <w:rPr>
          <w:rFonts w:ascii="Times New Roman" w:hAnsi="Times New Roman" w:cs="Times New Roman"/>
          <w:b/>
          <w:sz w:val="26"/>
          <w:szCs w:val="26"/>
        </w:rPr>
      </w:pPr>
      <w:r w:rsidRPr="00CB5F94">
        <w:rPr>
          <w:rFonts w:ascii="Times New Roman" w:hAnsi="Times New Roman" w:cs="Times New Roman"/>
          <w:b/>
          <w:sz w:val="26"/>
          <w:szCs w:val="26"/>
        </w:rPr>
        <w:t>EXCEPTIONS TO THE CERTIFICATION STATEMENT</w:t>
      </w:r>
    </w:p>
    <w:p w:rsidR="005D5B95" w:rsidRPr="00CB5F94" w:rsidP="005D5B95" w14:paraId="386EE1E6" w14:textId="77777777">
      <w:pPr>
        <w:spacing w:after="0"/>
        <w:rPr>
          <w:rFonts w:ascii="Times New Roman" w:hAnsi="Times New Roman" w:cs="Times New Roman"/>
          <w:b/>
          <w:sz w:val="26"/>
          <w:szCs w:val="26"/>
        </w:rPr>
      </w:pPr>
    </w:p>
    <w:p w:rsidR="0052545C" w:rsidRPr="00CB5F94" w14:paraId="10DCFF56" w14:textId="77777777">
      <w:pPr>
        <w:rPr>
          <w:rFonts w:ascii="Times New Roman" w:hAnsi="Times New Roman" w:cs="Times New Roman"/>
          <w:sz w:val="26"/>
          <w:szCs w:val="26"/>
        </w:rPr>
      </w:pPr>
      <w:r w:rsidRPr="00CB5F94">
        <w:rPr>
          <w:rFonts w:ascii="Times New Roman" w:hAnsi="Times New Roman" w:cs="Times New Roman"/>
          <w:sz w:val="26"/>
          <w:szCs w:val="26"/>
        </w:rPr>
        <w:t>There are no exceptions.</w:t>
      </w:r>
    </w:p>
    <w:sectPr>
      <w:headerReference w:type="default" r:id="rId9"/>
      <w:footerReference w:type="default" r:id="rId1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822646847"/>
      <w:docPartObj>
        <w:docPartGallery w:val="Page Numbers (Bottom of Page)"/>
        <w:docPartUnique/>
      </w:docPartObj>
    </w:sdtPr>
    <w:sdtEndPr>
      <w:rPr>
        <w:noProof/>
      </w:rPr>
    </w:sdtEndPr>
    <w:sdtContent>
      <w:p w:rsidR="00EF2ABA" w14:paraId="5F7F0106" w14:textId="77777777">
        <w:pPr>
          <w:pStyle w:val="Footer"/>
          <w:jc w:val="right"/>
        </w:pPr>
        <w:r>
          <w:fldChar w:fldCharType="begin"/>
        </w:r>
        <w:r>
          <w:instrText xml:space="preserve"> PAGE   \* MERGEFORMAT </w:instrText>
        </w:r>
        <w:r>
          <w:fldChar w:fldCharType="separate"/>
        </w:r>
        <w:r w:rsidR="00501FFC">
          <w:rPr>
            <w:noProof/>
          </w:rPr>
          <w:t>7</w:t>
        </w:r>
        <w:r>
          <w:rPr>
            <w:noProof/>
          </w:rPr>
          <w:fldChar w:fldCharType="end"/>
        </w:r>
      </w:p>
    </w:sdtContent>
  </w:sdt>
  <w:p w:rsidR="00EF2ABA" w14:paraId="2657281C"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footnote w:type="separator" w:id="0">
    <w:p w:rsidR="001F1B66" w:rsidP="005D5B95" w14:paraId="5539C5C2" w14:textId="77777777">
      <w:pPr>
        <w:spacing w:after="0" w:line="240" w:lineRule="auto"/>
      </w:pPr>
      <w:r>
        <w:separator/>
      </w:r>
    </w:p>
  </w:footnote>
  <w:footnote w:type="continuationSeparator" w:id="1">
    <w:p w:rsidR="001F1B66" w:rsidP="005D5B95" w14:paraId="3F928DCE" w14:textId="77777777">
      <w:pPr>
        <w:spacing w:after="0" w:line="240" w:lineRule="auto"/>
      </w:pPr>
      <w:r>
        <w:continuationSeparator/>
      </w:r>
    </w:p>
  </w:footnote>
  <w:footnote w:type="continuationNotice" w:id="2">
    <w:p w:rsidR="00186350" w14:paraId="4569ACFC" w14:textId="77777777">
      <w:pPr>
        <w:spacing w:after="0" w:line="240" w:lineRule="auto"/>
      </w:pPr>
    </w:p>
  </w:footnote>
  <w:footnote w:id="3">
    <w:p w:rsidR="00AD04CC" w:rsidRPr="005D403D" w:rsidP="00AD04CC" w14:paraId="3C683D1E" w14:textId="77777777">
      <w:pPr>
        <w:pStyle w:val="FootnoteText"/>
        <w:rPr>
          <w:sz w:val="26"/>
          <w:szCs w:val="26"/>
        </w:rPr>
      </w:pPr>
      <w:r w:rsidRPr="005D403D">
        <w:rPr>
          <w:rStyle w:val="FootnoteReference"/>
        </w:rPr>
        <w:footnoteRef/>
      </w:r>
      <w:r w:rsidRPr="005D403D">
        <w:rPr>
          <w:sz w:val="26"/>
          <w:szCs w:val="26"/>
        </w:rPr>
        <w:t xml:space="preserve"> 16 USC 803</w:t>
      </w:r>
      <w:r>
        <w:rPr>
          <w:sz w:val="26"/>
          <w:szCs w:val="26"/>
        </w:rPr>
        <w:t>.</w:t>
      </w:r>
    </w:p>
  </w:footnote>
  <w:footnote w:id="4">
    <w:p w:rsidR="005D5B95" w:rsidRPr="00915327" w:rsidP="005D5B95" w14:paraId="1B2859A2" w14:textId="77777777">
      <w:pPr>
        <w:pStyle w:val="FootnoteText"/>
        <w:rPr>
          <w:sz w:val="26"/>
          <w:szCs w:val="26"/>
        </w:rPr>
      </w:pPr>
      <w:r w:rsidRPr="00915327">
        <w:rPr>
          <w:rStyle w:val="FootnoteReference"/>
          <w:sz w:val="26"/>
          <w:szCs w:val="26"/>
        </w:rPr>
        <w:footnoteRef/>
      </w:r>
      <w:r w:rsidRPr="00915327">
        <w:rPr>
          <w:sz w:val="26"/>
          <w:szCs w:val="26"/>
        </w:rPr>
        <w:t xml:space="preserve"> </w:t>
      </w:r>
      <m:oMath>
        <m:r>
          <w:rPr>
            <w:rFonts w:ascii="Cambria Math" w:hAnsi="Cambria Math"/>
            <w:sz w:val="26"/>
            <w:szCs w:val="26"/>
          </w:rPr>
          <m:t>P=</m:t>
        </m:r>
        <m:sSub>
          <m:sSubPr>
            <m:ctrlPr>
              <w:rPr>
                <w:rFonts w:ascii="Cambria Math" w:hAnsi="Cambria Math"/>
                <w:i/>
                <w:sz w:val="26"/>
                <w:szCs w:val="26"/>
              </w:rPr>
            </m:ctrlPr>
          </m:sSubPr>
          <m:e>
            <m:r>
              <w:rPr>
                <w:rFonts w:ascii="Cambria Math" w:hAnsi="Cambria Math"/>
                <w:sz w:val="26"/>
                <w:szCs w:val="26"/>
              </w:rPr>
              <m:t>C</m:t>
            </m:r>
          </m:e>
          <m:sub>
            <m:r>
              <w:rPr>
                <w:rFonts w:ascii="Cambria Math" w:hAnsi="Cambria Math"/>
                <w:sz w:val="26"/>
                <w:szCs w:val="26"/>
              </w:rPr>
              <m:t>p</m:t>
            </m:r>
          </m:sub>
        </m:sSub>
        <m:r>
          <w:rPr>
            <w:rFonts w:ascii="Cambria Math" w:hAnsi="Cambria Math"/>
            <w:sz w:val="26"/>
            <w:szCs w:val="26"/>
          </w:rPr>
          <m:t>*</m:t>
        </m:r>
        <m:f>
          <m:fPr>
            <m:ctrlPr>
              <w:rPr>
                <w:rFonts w:ascii="Cambria Math" w:hAnsi="Cambria Math"/>
                <w:i/>
                <w:sz w:val="26"/>
                <w:szCs w:val="26"/>
              </w:rPr>
            </m:ctrlPr>
          </m:fPr>
          <m:num>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n</m:t>
                </m:r>
              </m:sub>
            </m:sSub>
          </m:num>
          <m:den>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j</m:t>
                </m:r>
              </m:sub>
            </m:sSub>
            <m:r>
              <w:rPr>
                <w:rFonts w:ascii="Cambria Math" w:hAnsi="Cambria Math"/>
                <w:sz w:val="26"/>
                <w:szCs w:val="26"/>
              </w:rPr>
              <m:t>+</m:t>
            </m:r>
            <m:sSub>
              <m:sSubPr>
                <m:ctrlPr>
                  <w:rPr>
                    <w:rFonts w:ascii="Cambria Math" w:hAnsi="Cambria Math"/>
                    <w:i/>
                    <w:sz w:val="26"/>
                    <w:szCs w:val="26"/>
                  </w:rPr>
                </m:ctrlPr>
              </m:sSubPr>
              <m:e>
                <m:r>
                  <w:rPr>
                    <w:rFonts w:ascii="Cambria Math" w:hAnsi="Cambria Math"/>
                    <w:sz w:val="26"/>
                    <w:szCs w:val="26"/>
                  </w:rPr>
                  <m:t>E</m:t>
                </m:r>
              </m:e>
              <m:sub>
                <m:r>
                  <w:rPr>
                    <w:rFonts w:ascii="Cambria Math" w:hAnsi="Cambria Math"/>
                    <w:sz w:val="26"/>
                    <w:szCs w:val="26"/>
                  </w:rPr>
                  <m:t>d</m:t>
                </m:r>
              </m:sub>
            </m:sSub>
            <m:r>
              <w:rPr>
                <w:rFonts w:ascii="Cambria Math" w:hAnsi="Cambria Math"/>
                <w:sz w:val="26"/>
                <w:szCs w:val="26"/>
              </w:rPr>
              <m:t>)</m:t>
            </m:r>
          </m:den>
        </m:f>
      </m:oMath>
      <w:r w:rsidRPr="00915327">
        <w:rPr>
          <w:sz w:val="26"/>
          <w:szCs w:val="26"/>
        </w:rPr>
        <w:t xml:space="preserve"> ; In this formula the following applies:</w:t>
      </w:r>
    </w:p>
    <w:p w:rsidR="005D5B95" w:rsidRPr="00915327" w:rsidP="005D5B95" w14:paraId="76034E80" w14:textId="77777777">
      <w:pPr>
        <w:pStyle w:val="FootnoteText"/>
        <w:numPr>
          <w:ilvl w:val="0"/>
          <w:numId w:val="2"/>
        </w:numPr>
        <w:ind w:left="0" w:firstLine="0"/>
        <w:rPr>
          <w:sz w:val="26"/>
          <w:szCs w:val="26"/>
        </w:rPr>
      </w:pPr>
      <w:r w:rsidRPr="00915327">
        <w:rPr>
          <w:b/>
          <w:sz w:val="26"/>
          <w:szCs w:val="26"/>
        </w:rPr>
        <w:t>P</w:t>
      </w:r>
      <w:r w:rsidRPr="00915327">
        <w:rPr>
          <w:sz w:val="26"/>
          <w:szCs w:val="26"/>
        </w:rPr>
        <w:t xml:space="preserve"> = annual payment to be made for headwater benefits received by downstream project</w:t>
      </w:r>
    </w:p>
    <w:p w:rsidR="005D5B95" w:rsidRPr="00915327" w:rsidP="005D5B95" w14:paraId="77E77C9B" w14:textId="77777777">
      <w:pPr>
        <w:pStyle w:val="FootnoteText"/>
        <w:numPr>
          <w:ilvl w:val="0"/>
          <w:numId w:val="2"/>
        </w:numPr>
        <w:ind w:left="0" w:firstLine="0"/>
        <w:rPr>
          <w:sz w:val="26"/>
          <w:szCs w:val="26"/>
        </w:rPr>
      </w:pPr>
      <w:r w:rsidRPr="00915327">
        <w:rPr>
          <w:b/>
          <w:sz w:val="26"/>
          <w:szCs w:val="26"/>
        </w:rPr>
        <w:t>C</w:t>
      </w:r>
      <w:r w:rsidRPr="00915327">
        <w:rPr>
          <w:b/>
          <w:sz w:val="26"/>
          <w:szCs w:val="26"/>
          <w:vertAlign w:val="subscript"/>
        </w:rPr>
        <w:t>p</w:t>
      </w:r>
      <w:r w:rsidRPr="00915327">
        <w:rPr>
          <w:sz w:val="26"/>
          <w:szCs w:val="26"/>
        </w:rPr>
        <w:t xml:space="preserve"> = Annual Section 10(f) cost of headwater project</w:t>
      </w:r>
    </w:p>
    <w:p w:rsidR="005D5B95" w:rsidRPr="00915327" w:rsidP="005D5B95" w14:paraId="06A44D1C" w14:textId="77777777">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n</w:t>
      </w:r>
      <w:r w:rsidRPr="00915327">
        <w:rPr>
          <w:sz w:val="26"/>
          <w:szCs w:val="26"/>
          <w:vertAlign w:val="subscript"/>
        </w:rPr>
        <w:t xml:space="preserve"> </w:t>
      </w:r>
      <w:r w:rsidRPr="00915327">
        <w:rPr>
          <w:sz w:val="26"/>
          <w:szCs w:val="26"/>
        </w:rPr>
        <w:t xml:space="preserve">= </w:t>
      </w:r>
      <w:r w:rsidRPr="00127E12">
        <w:rPr>
          <w:sz w:val="26"/>
          <w:szCs w:val="26"/>
        </w:rPr>
        <w:t>Annual</w:t>
      </w:r>
      <w:r w:rsidRPr="00FA6D75">
        <w:rPr>
          <w:sz w:val="26"/>
          <w:szCs w:val="26"/>
        </w:rPr>
        <w:t xml:space="preserve"> </w:t>
      </w:r>
      <w:r w:rsidRPr="00915327">
        <w:rPr>
          <w:sz w:val="26"/>
          <w:szCs w:val="26"/>
        </w:rPr>
        <w:t>energy gains received at a downstream project (or group of projects)</w:t>
      </w:r>
    </w:p>
    <w:p w:rsidR="005D5B95" w:rsidRPr="00915327" w:rsidP="005D5B95" w14:paraId="682ED5F4" w14:textId="77777777">
      <w:pPr>
        <w:pStyle w:val="FootnoteText"/>
        <w:numPr>
          <w:ilvl w:val="0"/>
          <w:numId w:val="2"/>
        </w:numPr>
        <w:ind w:left="0" w:firstLine="0"/>
        <w:rPr>
          <w:sz w:val="26"/>
          <w:szCs w:val="26"/>
        </w:rPr>
      </w:pPr>
      <w:r w:rsidRPr="00915327">
        <w:rPr>
          <w:b/>
          <w:sz w:val="26"/>
          <w:szCs w:val="26"/>
        </w:rPr>
        <w:t>E</w:t>
      </w:r>
      <w:r w:rsidRPr="00915327">
        <w:rPr>
          <w:b/>
          <w:sz w:val="26"/>
          <w:szCs w:val="26"/>
          <w:vertAlign w:val="subscript"/>
        </w:rPr>
        <w:t>j</w:t>
      </w:r>
      <w:r w:rsidRPr="00915327">
        <w:rPr>
          <w:sz w:val="26"/>
          <w:szCs w:val="26"/>
        </w:rPr>
        <w:t xml:space="preserve"> = portion of annual energy generated at the headwater project assigned to the joint-use power cost</w:t>
      </w:r>
    </w:p>
    <w:p w:rsidR="005D5B95" w:rsidP="005D5B95" w14:paraId="67D2E6FA" w14:textId="77777777">
      <w:pPr>
        <w:pStyle w:val="FootnoteText"/>
        <w:numPr>
          <w:ilvl w:val="0"/>
          <w:numId w:val="2"/>
        </w:numPr>
        <w:ind w:left="0" w:firstLine="0"/>
      </w:pPr>
      <w:r w:rsidRPr="00915327">
        <w:rPr>
          <w:b/>
          <w:sz w:val="26"/>
          <w:szCs w:val="26"/>
        </w:rPr>
        <w:t>E</w:t>
      </w:r>
      <w:r w:rsidRPr="00915327">
        <w:rPr>
          <w:b/>
          <w:sz w:val="26"/>
          <w:szCs w:val="26"/>
          <w:vertAlign w:val="subscript"/>
        </w:rPr>
        <w:t>d</w:t>
      </w:r>
      <w:r w:rsidRPr="00915327">
        <w:rPr>
          <w:b/>
          <w:sz w:val="26"/>
          <w:szCs w:val="26"/>
        </w:rPr>
        <w:t xml:space="preserve"> = </w:t>
      </w:r>
      <w:r w:rsidRPr="00915327">
        <w:rPr>
          <w:sz w:val="26"/>
          <w:szCs w:val="26"/>
        </w:rPr>
        <w:t>annual energy gains received at all downstream projects (except ones specified in 18 CFR 11.10(b)</w:t>
      </w:r>
      <w:r w:rsidR="001C4D17">
        <w:rPr>
          <w:sz w:val="26"/>
          <w:szCs w:val="26"/>
        </w:rPr>
        <w:t>)</w:t>
      </w:r>
    </w:p>
  </w:footnote>
  <w:footnote w:id="5">
    <w:p w:rsidR="00B31D64" w:rsidRPr="00B24C2E" w14:paraId="16831092" w14:textId="0BF646CF">
      <w:pPr>
        <w:pStyle w:val="FootnoteText"/>
        <w:rPr>
          <w:sz w:val="26"/>
          <w:szCs w:val="26"/>
        </w:rPr>
      </w:pPr>
      <w:r w:rsidRPr="00B24C2E">
        <w:rPr>
          <w:rStyle w:val="FootnoteReference"/>
          <w:sz w:val="26"/>
          <w:szCs w:val="26"/>
          <w:vertAlign w:val="superscript"/>
        </w:rPr>
        <w:footnoteRef/>
      </w:r>
      <w:r w:rsidR="00B24C2E">
        <w:rPr>
          <w:sz w:val="26"/>
          <w:szCs w:val="26"/>
        </w:rPr>
        <w:t>8</w:t>
      </w:r>
      <w:r w:rsidR="00CF1B31">
        <w:rPr>
          <w:sz w:val="26"/>
          <w:szCs w:val="26"/>
        </w:rPr>
        <w:t>8</w:t>
      </w:r>
      <w:r w:rsidR="00B24C2E">
        <w:rPr>
          <w:sz w:val="26"/>
          <w:szCs w:val="26"/>
        </w:rPr>
        <w:t xml:space="preserve"> FR </w:t>
      </w:r>
      <w:r w:rsidRPr="00322E2F" w:rsidR="00322E2F">
        <w:rPr>
          <w:sz w:val="26"/>
          <w:szCs w:val="26"/>
        </w:rPr>
        <w:t>34495</w:t>
      </w:r>
      <w:r w:rsidR="00B24C2E">
        <w:rPr>
          <w:sz w:val="26"/>
          <w:szCs w:val="26"/>
        </w:rPr>
        <w:t xml:space="preserve"> (5/</w:t>
      </w:r>
      <w:r w:rsidR="00322E2F">
        <w:rPr>
          <w:sz w:val="26"/>
          <w:szCs w:val="26"/>
        </w:rPr>
        <w:t>30</w:t>
      </w:r>
      <w:r w:rsidR="00B24C2E">
        <w:rPr>
          <w:sz w:val="26"/>
          <w:szCs w:val="26"/>
        </w:rPr>
        <w:t>/202</w:t>
      </w:r>
      <w:r w:rsidR="00322E2F">
        <w:rPr>
          <w:sz w:val="26"/>
          <w:szCs w:val="26"/>
        </w:rPr>
        <w:t>3</w:t>
      </w:r>
      <w:r w:rsidR="00B24C2E">
        <w:rPr>
          <w:sz w:val="26"/>
          <w:szCs w:val="26"/>
        </w:rPr>
        <w:t>)</w:t>
      </w:r>
    </w:p>
  </w:footnote>
  <w:footnote w:id="6">
    <w:p w:rsidR="00B31D64" w:rsidRPr="00B24C2E" w14:paraId="1086C1F7" w14:textId="44C33362">
      <w:pPr>
        <w:pStyle w:val="FootnoteText"/>
        <w:rPr>
          <w:sz w:val="26"/>
          <w:szCs w:val="26"/>
        </w:rPr>
      </w:pPr>
      <w:r w:rsidRPr="00B24C2E">
        <w:rPr>
          <w:rStyle w:val="FootnoteReference"/>
          <w:sz w:val="26"/>
          <w:szCs w:val="26"/>
          <w:vertAlign w:val="superscript"/>
        </w:rPr>
        <w:footnoteRef/>
      </w:r>
      <w:r w:rsidRPr="0014220E" w:rsidR="00B24C2E">
        <w:rPr>
          <w:sz w:val="26"/>
          <w:szCs w:val="26"/>
        </w:rPr>
        <w:t>8</w:t>
      </w:r>
      <w:r w:rsidRPr="0014220E" w:rsidR="0086769A">
        <w:rPr>
          <w:sz w:val="26"/>
          <w:szCs w:val="26"/>
        </w:rPr>
        <w:t>8</w:t>
      </w:r>
      <w:r w:rsidRPr="0014220E" w:rsidR="00B24C2E">
        <w:rPr>
          <w:sz w:val="26"/>
          <w:szCs w:val="26"/>
        </w:rPr>
        <w:t xml:space="preserve"> FR </w:t>
      </w:r>
      <w:r w:rsidRPr="0014220E" w:rsidR="003C235F">
        <w:rPr>
          <w:sz w:val="26"/>
          <w:szCs w:val="26"/>
        </w:rPr>
        <w:t>53877</w:t>
      </w:r>
      <w:r w:rsidRPr="0014220E" w:rsidR="00B24C2E">
        <w:rPr>
          <w:sz w:val="26"/>
          <w:szCs w:val="26"/>
        </w:rPr>
        <w:t xml:space="preserve"> (</w:t>
      </w:r>
      <w:r w:rsidRPr="0014220E" w:rsidR="003C235F">
        <w:rPr>
          <w:sz w:val="26"/>
          <w:szCs w:val="26"/>
        </w:rPr>
        <w:t>8</w:t>
      </w:r>
      <w:r w:rsidRPr="0014220E" w:rsidR="00B24C2E">
        <w:rPr>
          <w:sz w:val="26"/>
          <w:szCs w:val="26"/>
        </w:rPr>
        <w:t>/</w:t>
      </w:r>
      <w:r w:rsidRPr="0014220E" w:rsidR="003C235F">
        <w:rPr>
          <w:sz w:val="26"/>
          <w:szCs w:val="26"/>
        </w:rPr>
        <w:t>9</w:t>
      </w:r>
      <w:r w:rsidRPr="0014220E" w:rsidR="00B24C2E">
        <w:rPr>
          <w:sz w:val="26"/>
          <w:szCs w:val="26"/>
        </w:rPr>
        <w:t>/202</w:t>
      </w:r>
      <w:r w:rsidRPr="0014220E" w:rsidR="003C235F">
        <w:rPr>
          <w:sz w:val="26"/>
          <w:szCs w:val="26"/>
        </w:rPr>
        <w:t>3</w:t>
      </w:r>
      <w:r w:rsidRPr="0014220E" w:rsidR="00B24C2E">
        <w:rPr>
          <w:sz w:val="26"/>
          <w:szCs w:val="26"/>
        </w:rPr>
        <w:t>)</w:t>
      </w:r>
    </w:p>
  </w:footnote>
  <w:footnote w:id="7">
    <w:p w:rsidR="00843426" w14:paraId="1D3BE5CF" w14:textId="6D614045">
      <w:pPr>
        <w:pStyle w:val="FootnoteText"/>
      </w:pPr>
      <w:r>
        <w:rPr>
          <w:rStyle w:val="FootnoteReference"/>
        </w:rPr>
        <w:footnoteRef/>
      </w:r>
      <w:r>
        <w:t xml:space="preserve"> </w:t>
      </w:r>
      <w:r w:rsidRPr="00843426">
        <w:t>The estimates for cost per response are derived using the 2022 FERC average salary plus benefits of $188,922/year (or $91.00/hour). Commission staff finds that the work done for this information collection is typically done by wage categories similar to those at FERC</w:t>
      </w:r>
      <w:r>
        <w:t>.</w:t>
      </w:r>
    </w:p>
  </w:footnote>
  <w:footnote w:id="8">
    <w:p w:rsidR="005D5B95" w:rsidRPr="00FB62EB" w:rsidP="005D5B95" w14:paraId="410B476B" w14:textId="1E0B8D4A">
      <w:pPr>
        <w:pStyle w:val="FootnoteText"/>
        <w:rPr>
          <w:sz w:val="26"/>
          <w:szCs w:val="26"/>
        </w:rPr>
      </w:pPr>
      <w:r w:rsidRPr="00F30D96">
        <w:rPr>
          <w:rStyle w:val="FootnoteReference"/>
          <w:sz w:val="22"/>
          <w:szCs w:val="22"/>
        </w:rPr>
        <w:footnoteRef/>
      </w:r>
      <w:r w:rsidRPr="00F30D96">
        <w:rPr>
          <w:sz w:val="22"/>
          <w:szCs w:val="22"/>
        </w:rPr>
        <w:t xml:space="preserve"> </w:t>
      </w:r>
      <w:r w:rsidRPr="00FB62EB" w:rsidR="00FB62EB">
        <w:rPr>
          <w:sz w:val="26"/>
          <w:szCs w:val="26"/>
        </w:rPr>
        <w:t>The FERC 20</w:t>
      </w:r>
      <w:r w:rsidR="00A3317A">
        <w:rPr>
          <w:sz w:val="26"/>
          <w:szCs w:val="26"/>
        </w:rPr>
        <w:t>22</w:t>
      </w:r>
      <w:r w:rsidRPr="00FB62EB" w:rsidR="00FB62EB">
        <w:rPr>
          <w:sz w:val="26"/>
          <w:szCs w:val="26"/>
        </w:rPr>
        <w:t xml:space="preserve"> average salary plus benefits for one FERC full-time equivalent (FTE) is $1</w:t>
      </w:r>
      <w:r w:rsidR="00A3317A">
        <w:rPr>
          <w:sz w:val="26"/>
          <w:szCs w:val="26"/>
        </w:rPr>
        <w:t>88</w:t>
      </w:r>
      <w:r w:rsidRPr="00FB62EB" w:rsidR="00FB62EB">
        <w:rPr>
          <w:sz w:val="26"/>
          <w:szCs w:val="26"/>
        </w:rPr>
        <w:t>,</w:t>
      </w:r>
      <w:r w:rsidR="00A3317A">
        <w:rPr>
          <w:sz w:val="26"/>
          <w:szCs w:val="26"/>
        </w:rPr>
        <w:t>922</w:t>
      </w:r>
      <w:r w:rsidRPr="00FB62EB" w:rsidR="00FB62EB">
        <w:rPr>
          <w:sz w:val="26"/>
          <w:szCs w:val="26"/>
        </w:rPr>
        <w:t>/year (or $</w:t>
      </w:r>
      <w:r w:rsidR="00A3317A">
        <w:rPr>
          <w:sz w:val="26"/>
          <w:szCs w:val="26"/>
        </w:rPr>
        <w:t>91</w:t>
      </w:r>
      <w:r w:rsidRPr="00FB62EB" w:rsidR="00FB62EB">
        <w:rPr>
          <w:sz w:val="26"/>
          <w:szCs w:val="26"/>
        </w:rPr>
        <w:t>.00/hour)</w:t>
      </w:r>
      <w:r w:rsidR="00235075">
        <w:rPr>
          <w:sz w:val="26"/>
          <w:szCs w:val="26"/>
        </w:rPr>
        <w:t xml:space="preserve">. The decimal 0.12 represents 250 hours (250 / 2080 = .12 rounded). </w:t>
      </w:r>
    </w:p>
  </w:footnote>
  <w:footnote w:id="9">
    <w:p w:rsidR="005D5B95" w:rsidRPr="00092396" w:rsidP="005D5B95" w14:paraId="68BFAB89" w14:textId="77777777">
      <w:pPr>
        <w:pStyle w:val="FootnoteText"/>
        <w:rPr>
          <w:sz w:val="26"/>
          <w:szCs w:val="26"/>
        </w:rPr>
      </w:pPr>
      <w:r w:rsidRPr="00F30D96">
        <w:rPr>
          <w:rStyle w:val="FootnoteReference"/>
          <w:sz w:val="22"/>
          <w:szCs w:val="22"/>
        </w:rPr>
        <w:footnoteRef/>
      </w:r>
      <w:r>
        <w:t xml:space="preserve"> </w:t>
      </w:r>
      <w:r w:rsidRPr="00092396">
        <w:rPr>
          <w:sz w:val="26"/>
          <w:szCs w:val="26"/>
        </w:rPr>
        <w:t>Paperwork Reduction Act of 1995</w:t>
      </w:r>
    </w:p>
  </w:footnote>
  <w:footnote w:id="10">
    <w:p w:rsidR="008E00CC" w:rsidRPr="008E00CC" w:rsidP="008E00CC" w14:paraId="02D8C55D" w14:textId="2F684778">
      <w:pPr>
        <w:pStyle w:val="FootnoteText"/>
        <w:rPr>
          <w:sz w:val="26"/>
          <w:szCs w:val="26"/>
          <w:vertAlign w:val="superscript"/>
        </w:rPr>
      </w:pPr>
      <w:r w:rsidRPr="00F30D96">
        <w:rPr>
          <w:rStyle w:val="FootnoteReference"/>
          <w:sz w:val="22"/>
          <w:szCs w:val="22"/>
        </w:rPr>
        <w:footnoteRef/>
      </w:r>
      <w:r w:rsidRPr="00F30D96">
        <w:rPr>
          <w:sz w:val="22"/>
          <w:szCs w:val="22"/>
        </w:rPr>
        <w:t xml:space="preserve"> </w:t>
      </w:r>
      <w:r w:rsidRPr="008E00CC">
        <w:rPr>
          <w:sz w:val="26"/>
          <w:szCs w:val="26"/>
        </w:rPr>
        <w:t>The PRA Administrative Cost is the average annual FERC cost associated with preparing, issuing, and submitting materials necessary to comply with the PRA for rulemakings, orders, or any other vehicle used to create, modify, extend, or discontinue an information collection.  It also includes the cost of publishing the necessary notices in the Federal Register.</w:t>
      </w:r>
    </w:p>
    <w:p w:rsidR="005D5B95" w:rsidRPr="00092396" w:rsidP="005D5B95" w14:paraId="1C24948B" w14:textId="33C9FB92">
      <w:pPr>
        <w:pStyle w:val="FootnoteText"/>
        <w:rPr>
          <w:sz w:val="26"/>
          <w:szCs w:val="2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EF2ABA" w14:paraId="26BA0D32" w14:textId="05087334">
    <w:pPr>
      <w:pStyle w:val="Header"/>
      <w:rPr>
        <w:rFonts w:ascii="Times New Roman" w:hAnsi="Times New Roman" w:cs="Times New Roman"/>
        <w:sz w:val="26"/>
        <w:szCs w:val="26"/>
      </w:rPr>
    </w:pPr>
    <w:r w:rsidRPr="00796BEC">
      <w:rPr>
        <w:rFonts w:ascii="Times New Roman" w:hAnsi="Times New Roman" w:cs="Times New Roman"/>
        <w:sz w:val="26"/>
        <w:szCs w:val="26"/>
      </w:rPr>
      <w:t>FERC-521</w:t>
    </w:r>
    <w:r w:rsidR="00796BEC">
      <w:rPr>
        <w:rFonts w:ascii="Times New Roman" w:hAnsi="Times New Roman" w:cs="Times New Roman"/>
        <w:sz w:val="26"/>
        <w:szCs w:val="26"/>
      </w:rPr>
      <w:t xml:space="preserve"> (</w:t>
    </w:r>
    <w:r w:rsidRPr="00796BEC">
      <w:rPr>
        <w:rFonts w:ascii="Times New Roman" w:hAnsi="Times New Roman" w:cs="Times New Roman"/>
        <w:sz w:val="26"/>
        <w:szCs w:val="26"/>
      </w:rPr>
      <w:t>OMB Control No</w:t>
    </w:r>
    <w:r w:rsidR="00796BEC">
      <w:rPr>
        <w:rFonts w:ascii="Times New Roman" w:hAnsi="Times New Roman" w:cs="Times New Roman"/>
        <w:sz w:val="26"/>
        <w:szCs w:val="26"/>
      </w:rPr>
      <w:t>.</w:t>
    </w:r>
    <w:r w:rsidRPr="00796BEC">
      <w:rPr>
        <w:rFonts w:ascii="Times New Roman" w:hAnsi="Times New Roman" w:cs="Times New Roman"/>
        <w:sz w:val="26"/>
        <w:szCs w:val="26"/>
      </w:rPr>
      <w:t>: 1902-0087</w:t>
    </w:r>
    <w:r w:rsidR="00796BEC">
      <w:rPr>
        <w:rFonts w:ascii="Times New Roman" w:hAnsi="Times New Roman" w:cs="Times New Roman"/>
        <w:sz w:val="26"/>
        <w:szCs w:val="26"/>
      </w:rPr>
      <w:t>)</w:t>
    </w:r>
  </w:p>
  <w:p w:rsidR="00796BEC" w14:paraId="30383D5A" w14:textId="0C23F54A">
    <w:pPr>
      <w:pStyle w:val="Header"/>
      <w:rPr>
        <w:rFonts w:ascii="Times New Roman" w:hAnsi="Times New Roman" w:cs="Times New Roman"/>
        <w:sz w:val="26"/>
        <w:szCs w:val="26"/>
      </w:rPr>
    </w:pPr>
    <w:r>
      <w:rPr>
        <w:rFonts w:ascii="Times New Roman" w:hAnsi="Times New Roman" w:cs="Times New Roman"/>
        <w:sz w:val="26"/>
        <w:szCs w:val="26"/>
      </w:rPr>
      <w:t>Renewal: IC</w:t>
    </w:r>
    <w:r w:rsidR="00DA1E8D">
      <w:rPr>
        <w:rFonts w:ascii="Times New Roman" w:hAnsi="Times New Roman" w:cs="Times New Roman"/>
        <w:sz w:val="26"/>
        <w:szCs w:val="26"/>
      </w:rPr>
      <w:t>23</w:t>
    </w:r>
    <w:r>
      <w:rPr>
        <w:rFonts w:ascii="Times New Roman" w:hAnsi="Times New Roman" w:cs="Times New Roman"/>
        <w:sz w:val="26"/>
        <w:szCs w:val="26"/>
      </w:rPr>
      <w:t>-</w:t>
    </w:r>
    <w:r w:rsidR="00734FF2">
      <w:rPr>
        <w:rFonts w:ascii="Times New Roman" w:hAnsi="Times New Roman" w:cs="Times New Roman"/>
        <w:sz w:val="26"/>
        <w:szCs w:val="26"/>
      </w:rPr>
      <w:t>1</w:t>
    </w:r>
    <w:r w:rsidR="000D6741">
      <w:rPr>
        <w:rFonts w:ascii="Times New Roman" w:hAnsi="Times New Roman" w:cs="Times New Roman"/>
        <w:sz w:val="26"/>
        <w:szCs w:val="26"/>
      </w:rPr>
      <w:t>2</w:t>
    </w:r>
    <w:r>
      <w:rPr>
        <w:rFonts w:ascii="Times New Roman" w:hAnsi="Times New Roman" w:cs="Times New Roman"/>
        <w:sz w:val="26"/>
        <w:szCs w:val="26"/>
      </w:rPr>
      <w:t>-000</w:t>
    </w:r>
  </w:p>
  <w:p w:rsidR="00796BEC" w:rsidRPr="00796BEC" w14:paraId="29A13C0A" w14:textId="77777777">
    <w:pPr>
      <w:pStyle w:val="Header"/>
      <w:rPr>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7F15317"/>
    <w:multiLevelType w:val="hybridMultilevel"/>
    <w:tmpl w:val="9F840E7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nsid w:val="4FCC1895"/>
    <w:multiLevelType w:val="hybridMultilevel"/>
    <w:tmpl w:val="632C2E0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0"/>
    <w:footnote w:id="1"/>
    <w:footnote w:id="2"/>
  </w:foot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B95"/>
    <w:rsid w:val="00011B25"/>
    <w:rsid w:val="00071969"/>
    <w:rsid w:val="00092396"/>
    <w:rsid w:val="00093B80"/>
    <w:rsid w:val="00095D19"/>
    <w:rsid w:val="000D6741"/>
    <w:rsid w:val="000E4F79"/>
    <w:rsid w:val="000E62AF"/>
    <w:rsid w:val="000F40D2"/>
    <w:rsid w:val="00127E12"/>
    <w:rsid w:val="0014220E"/>
    <w:rsid w:val="001561BF"/>
    <w:rsid w:val="00173CA3"/>
    <w:rsid w:val="00186350"/>
    <w:rsid w:val="001A1C50"/>
    <w:rsid w:val="001B1ECD"/>
    <w:rsid w:val="001C21AB"/>
    <w:rsid w:val="001C44B3"/>
    <w:rsid w:val="001C4D17"/>
    <w:rsid w:val="001C522E"/>
    <w:rsid w:val="001C719C"/>
    <w:rsid w:val="001F1B66"/>
    <w:rsid w:val="001F59A7"/>
    <w:rsid w:val="00212648"/>
    <w:rsid w:val="00235075"/>
    <w:rsid w:val="002522B3"/>
    <w:rsid w:val="002A6E9C"/>
    <w:rsid w:val="002E44CC"/>
    <w:rsid w:val="00322E2F"/>
    <w:rsid w:val="00353047"/>
    <w:rsid w:val="003870CD"/>
    <w:rsid w:val="00396F95"/>
    <w:rsid w:val="003C235F"/>
    <w:rsid w:val="00413DD5"/>
    <w:rsid w:val="00465818"/>
    <w:rsid w:val="004C2E9D"/>
    <w:rsid w:val="004E07F7"/>
    <w:rsid w:val="004E43EE"/>
    <w:rsid w:val="00501FFC"/>
    <w:rsid w:val="00513702"/>
    <w:rsid w:val="005245C6"/>
    <w:rsid w:val="0052545C"/>
    <w:rsid w:val="005423BA"/>
    <w:rsid w:val="00542937"/>
    <w:rsid w:val="00564324"/>
    <w:rsid w:val="00571D2A"/>
    <w:rsid w:val="005A41D3"/>
    <w:rsid w:val="005D2364"/>
    <w:rsid w:val="005D403D"/>
    <w:rsid w:val="005D5B95"/>
    <w:rsid w:val="00605F1C"/>
    <w:rsid w:val="00610A60"/>
    <w:rsid w:val="00650A76"/>
    <w:rsid w:val="00677D81"/>
    <w:rsid w:val="00681082"/>
    <w:rsid w:val="00697975"/>
    <w:rsid w:val="006F2E26"/>
    <w:rsid w:val="00734FF2"/>
    <w:rsid w:val="00796BEC"/>
    <w:rsid w:val="007A3197"/>
    <w:rsid w:val="007E2D75"/>
    <w:rsid w:val="007F791D"/>
    <w:rsid w:val="00801648"/>
    <w:rsid w:val="00843426"/>
    <w:rsid w:val="0086769A"/>
    <w:rsid w:val="008A5770"/>
    <w:rsid w:val="008E00CC"/>
    <w:rsid w:val="009018B5"/>
    <w:rsid w:val="00912BDD"/>
    <w:rsid w:val="00915327"/>
    <w:rsid w:val="00951915"/>
    <w:rsid w:val="00984418"/>
    <w:rsid w:val="009E08EE"/>
    <w:rsid w:val="009F2397"/>
    <w:rsid w:val="00A014E4"/>
    <w:rsid w:val="00A3317A"/>
    <w:rsid w:val="00A84BA2"/>
    <w:rsid w:val="00AD04CC"/>
    <w:rsid w:val="00B24C2E"/>
    <w:rsid w:val="00B31D64"/>
    <w:rsid w:val="00B93E7D"/>
    <w:rsid w:val="00BA4A4A"/>
    <w:rsid w:val="00BE0A73"/>
    <w:rsid w:val="00C33342"/>
    <w:rsid w:val="00CA3E58"/>
    <w:rsid w:val="00CA4566"/>
    <w:rsid w:val="00CB5F94"/>
    <w:rsid w:val="00CD6521"/>
    <w:rsid w:val="00CF1B31"/>
    <w:rsid w:val="00CF4F49"/>
    <w:rsid w:val="00D211FA"/>
    <w:rsid w:val="00DA1E8D"/>
    <w:rsid w:val="00E23A17"/>
    <w:rsid w:val="00E71434"/>
    <w:rsid w:val="00EB7F52"/>
    <w:rsid w:val="00EF2ABA"/>
    <w:rsid w:val="00EF37CA"/>
    <w:rsid w:val="00F223E0"/>
    <w:rsid w:val="00F30D96"/>
    <w:rsid w:val="00F36D2E"/>
    <w:rsid w:val="00F55B4A"/>
    <w:rsid w:val="00F67FD5"/>
    <w:rsid w:val="00F709BD"/>
    <w:rsid w:val="00F74982"/>
    <w:rsid w:val="00FA6D75"/>
    <w:rsid w:val="00FB62EB"/>
    <w:rsid w:val="00FF58D1"/>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53CF496"/>
  <w15:chartTrackingRefBased/>
  <w15:docId w15:val="{0D8B3FE0-749A-416D-B1C3-3F2D9E1173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D5B9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5B95"/>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5B95"/>
  </w:style>
  <w:style w:type="paragraph" w:styleId="Footer">
    <w:name w:val="footer"/>
    <w:basedOn w:val="Normal"/>
    <w:link w:val="FooterChar"/>
    <w:uiPriority w:val="99"/>
    <w:unhideWhenUsed/>
    <w:rsid w:val="005D5B95"/>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5B95"/>
  </w:style>
  <w:style w:type="paragraph" w:styleId="ListParagraph">
    <w:name w:val="List Paragraph"/>
    <w:basedOn w:val="Normal"/>
    <w:uiPriority w:val="34"/>
    <w:qFormat/>
    <w:rsid w:val="005D5B95"/>
    <w:pPr>
      <w:ind w:left="720"/>
      <w:contextualSpacing/>
    </w:pPr>
  </w:style>
  <w:style w:type="character" w:styleId="FootnoteReference">
    <w:name w:val="footnote reference"/>
    <w:aliases w:val="(NECG) Footnote Reference,Styl,Style 11,Style 12,Style 13,Style 15,Style 16,Style 17,Style 18,Style 19,Style 20,Style 28,Style 7,Style 8,Style 9,fr,fr1,fr2,fr3,o,o1,o2,o3"/>
    <w:rsid w:val="005D5B95"/>
  </w:style>
  <w:style w:type="paragraph" w:styleId="FootnoteText">
    <w:name w:val="footnote text"/>
    <w:aliases w:val=" Char,Char,Footnote Text Char Char Char Char Char,Footnote Text Char Char1 Char,Footnote Text Char1 Char Char Char,Footnote Text Char1 Char Char Char Char Char Char Char,Footnote Text Char1 Char1 Char,Footnote Text Char2 Char,fn,ft"/>
    <w:basedOn w:val="Normal"/>
    <w:link w:val="FootnoteTextChar1"/>
    <w:rsid w:val="005D5B95"/>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uiPriority w:val="99"/>
    <w:semiHidden/>
    <w:rsid w:val="005D5B95"/>
    <w:rPr>
      <w:sz w:val="20"/>
      <w:szCs w:val="20"/>
    </w:rPr>
  </w:style>
  <w:style w:type="character" w:customStyle="1" w:styleId="FootnoteTextChar1">
    <w:name w:val="Footnote Text Char1"/>
    <w:aliases w:val="Footnote Text Char Char Char Char Char Char,Footnote Text Char Char1 Char Char,Footnote Text Char1 Char Char Char Char,Footnote Text Char1 Char Char Char Char Char Char Char Char,Footnote Text Char2 Char Char,fn Char,ft Char"/>
    <w:link w:val="FootnoteText"/>
    <w:rsid w:val="005D5B95"/>
    <w:rPr>
      <w:rFonts w:ascii="Times New Roman" w:eastAsia="Times New Roman" w:hAnsi="Times New Roman" w:cs="Times New Roman"/>
      <w:sz w:val="20"/>
      <w:szCs w:val="20"/>
    </w:rPr>
  </w:style>
  <w:style w:type="character" w:styleId="Hyperlink">
    <w:name w:val="Hyperlink"/>
    <w:basedOn w:val="DefaultParagraphFont"/>
    <w:uiPriority w:val="99"/>
    <w:unhideWhenUsed/>
    <w:rsid w:val="005D5B95"/>
    <w:rPr>
      <w:color w:val="0000FF"/>
      <w:u w:val="single"/>
    </w:rPr>
  </w:style>
  <w:style w:type="paragraph" w:styleId="BalloonText">
    <w:name w:val="Balloon Text"/>
    <w:basedOn w:val="Normal"/>
    <w:link w:val="BalloonTextChar"/>
    <w:uiPriority w:val="99"/>
    <w:semiHidden/>
    <w:unhideWhenUsed/>
    <w:rsid w:val="0007196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1969"/>
    <w:rPr>
      <w:rFonts w:ascii="Segoe UI" w:hAnsi="Segoe UI" w:cs="Segoe UI"/>
      <w:sz w:val="18"/>
      <w:szCs w:val="18"/>
    </w:rPr>
  </w:style>
  <w:style w:type="paragraph" w:styleId="EndnoteText">
    <w:name w:val="endnote text"/>
    <w:basedOn w:val="Normal"/>
    <w:link w:val="EndnoteTextChar"/>
    <w:uiPriority w:val="99"/>
    <w:semiHidden/>
    <w:unhideWhenUsed/>
    <w:rsid w:val="0009239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92396"/>
    <w:rPr>
      <w:sz w:val="20"/>
      <w:szCs w:val="20"/>
    </w:rPr>
  </w:style>
  <w:style w:type="character" w:styleId="EndnoteReference">
    <w:name w:val="endnote reference"/>
    <w:basedOn w:val="DefaultParagraphFont"/>
    <w:uiPriority w:val="99"/>
    <w:semiHidden/>
    <w:unhideWhenUsed/>
    <w:rsid w:val="00092396"/>
    <w:rPr>
      <w:vertAlign w:val="superscript"/>
    </w:rPr>
  </w:style>
  <w:style w:type="character" w:styleId="CommentReference">
    <w:name w:val="annotation reference"/>
    <w:basedOn w:val="DefaultParagraphFont"/>
    <w:uiPriority w:val="99"/>
    <w:semiHidden/>
    <w:unhideWhenUsed/>
    <w:rsid w:val="00FA6D75"/>
    <w:rPr>
      <w:sz w:val="16"/>
      <w:szCs w:val="16"/>
    </w:rPr>
  </w:style>
  <w:style w:type="paragraph" w:styleId="CommentText">
    <w:name w:val="annotation text"/>
    <w:basedOn w:val="Normal"/>
    <w:link w:val="CommentTextChar"/>
    <w:uiPriority w:val="99"/>
    <w:semiHidden/>
    <w:unhideWhenUsed/>
    <w:rsid w:val="00FA6D75"/>
    <w:pPr>
      <w:spacing w:line="240" w:lineRule="auto"/>
    </w:pPr>
    <w:rPr>
      <w:sz w:val="20"/>
      <w:szCs w:val="20"/>
    </w:rPr>
  </w:style>
  <w:style w:type="character" w:customStyle="1" w:styleId="CommentTextChar">
    <w:name w:val="Comment Text Char"/>
    <w:basedOn w:val="DefaultParagraphFont"/>
    <w:link w:val="CommentText"/>
    <w:uiPriority w:val="99"/>
    <w:semiHidden/>
    <w:rsid w:val="00FA6D75"/>
    <w:rPr>
      <w:sz w:val="20"/>
      <w:szCs w:val="20"/>
    </w:rPr>
  </w:style>
  <w:style w:type="paragraph" w:styleId="CommentSubject">
    <w:name w:val="annotation subject"/>
    <w:basedOn w:val="CommentText"/>
    <w:next w:val="CommentText"/>
    <w:link w:val="CommentSubjectChar"/>
    <w:uiPriority w:val="99"/>
    <w:semiHidden/>
    <w:unhideWhenUsed/>
    <w:rsid w:val="00FA6D75"/>
    <w:rPr>
      <w:b/>
      <w:bCs/>
    </w:rPr>
  </w:style>
  <w:style w:type="character" w:customStyle="1" w:styleId="CommentSubjectChar">
    <w:name w:val="Comment Subject Char"/>
    <w:basedOn w:val="CommentTextChar"/>
    <w:link w:val="CommentSubject"/>
    <w:uiPriority w:val="99"/>
    <w:semiHidden/>
    <w:rsid w:val="00FA6D75"/>
    <w:rPr>
      <w:b/>
      <w:bCs/>
      <w:sz w:val="20"/>
      <w:szCs w:val="20"/>
    </w:rPr>
  </w:style>
  <w:style w:type="paragraph" w:styleId="Revision">
    <w:name w:val="Revision"/>
    <w:hidden/>
    <w:uiPriority w:val="99"/>
    <w:semiHidden/>
    <w:rsid w:val="00CD6521"/>
    <w:pPr>
      <w:spacing w:after="0" w:line="240" w:lineRule="auto"/>
    </w:pPr>
  </w:style>
  <w:style w:type="character" w:styleId="FollowedHyperlink">
    <w:name w:val="FollowedHyperlink"/>
    <w:basedOn w:val="DefaultParagraphFont"/>
    <w:uiPriority w:val="99"/>
    <w:semiHidden/>
    <w:unhideWhenUsed/>
    <w:rsid w:val="00B24C2E"/>
    <w:rPr>
      <w:color w:val="954F72" w:themeColor="followedHyperlink"/>
      <w:u w:val="single"/>
    </w:rPr>
  </w:style>
  <w:style w:type="character" w:styleId="UnresolvedMention">
    <w:name w:val="Unresolved Mention"/>
    <w:basedOn w:val="DefaultParagraphFont"/>
    <w:uiPriority w:val="99"/>
    <w:semiHidden/>
    <w:unhideWhenUsed/>
    <w:rsid w:val="00B24C2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footnotes" Target="footnotes.xml" /><Relationship Id="rId10" Type="http://schemas.openxmlformats.org/officeDocument/2006/relationships/footer" Target="footer1.xml" /><Relationship Id="rId11" Type="http://schemas.openxmlformats.org/officeDocument/2006/relationships/theme" Target="theme/theme1.xml" /><Relationship Id="rId12" Type="http://schemas.openxmlformats.org/officeDocument/2006/relationships/numbering" Target="numbering.xml" /><Relationship Id="rId13"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customXml" Target="../customXml/item2.xml" /><Relationship Id="rId7" Type="http://schemas.openxmlformats.org/officeDocument/2006/relationships/customXml" Target="../customXml/item3.xml" /><Relationship Id="rId8" Type="http://schemas.openxmlformats.org/officeDocument/2006/relationships/customXml" Target="../customXml/item4.xm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Renewal_x0020_Document_x0020_Type xmlns="d6eefc7d-9817-4fa6-84d5-3bc009be21b8">OMB Supporting Statement</Renewal_x0020_Document_x0020_Type>
    <Rulemaking_x0020_Document_x0020_Type xmlns="d6eefc7d-9817-4fa6-84d5-3bc009be21b8">None</Rulemaking_x0020_Document_x0020_Type>
    <_x0033__x002e__x0020_Docket_x0020_Number xmlns="d6eefc7d-9817-4fa6-84d5-3bc009be21b8" xsi:nil="true"/>
    <_x0031__x002e__x0020_Collection_x0020_Number xmlns="d6eefc7d-9817-4fa6-84d5-3bc009be21b8">521</_x0031__x002e__x0020_Collection_x0020_Number>
    <Date xmlns="d6eefc7d-9817-4fa6-84d5-3bc009be21b8">2017-06-05T07:00:00+00:00</Date>
    <Status xmlns="d6eefc7d-9817-4fa6-84d5-3bc009be21b8">Draft</Status>
    <_x0032__x002e__x0020_Docket_x0020_Number xmlns="d6eefc7d-9817-4fa6-84d5-3bc009be21b8" xsi:nil="true"/>
    <_x0032__x002e__x0020_Collection_x0020_Number xmlns="d6eefc7d-9817-4fa6-84d5-3bc009be21b8" xsi:nil="true"/>
    <_x0031__x002e__x0020_Docket_x0020_Number xmlns="d6eefc7d-9817-4fa6-84d5-3bc009be21b8">IC23-12</_x0031__x002e__x0020_Docket_x0020_Number>
    <_x0033__x002e__x0020_Collection_x0020_Number xmlns="d6eefc7d-9817-4fa6-84d5-3bc009be21b8" xsi:nil="true"/>
    <TaxCatchAll xmlns="5a7c6213-c3f8-4376-93f2-dc58e5c51d54" xsi:nil="true"/>
    <lcf76f155ced4ddcb4097134ff3c332f xmlns="e029e753-062b-49ce-baa7-feb352134f8f">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AB4819515F02041B733A30B504091D8" ma:contentTypeVersion="24" ma:contentTypeDescription="Create a new document." ma:contentTypeScope="" ma:versionID="d81d74a3606972d3f56b7f97619aab6c">
  <xsd:schema xmlns:xsd="http://www.w3.org/2001/XMLSchema" xmlns:xs="http://www.w3.org/2001/XMLSchema" xmlns:p="http://schemas.microsoft.com/office/2006/metadata/properties" xmlns:ns2="d6eefc7d-9817-4fa6-84d5-3bc009be21b8" xmlns:ns3="e029e753-062b-49ce-baa7-feb352134f8f" xmlns:ns4="5a7c6213-c3f8-4376-93f2-dc58e5c51d54" targetNamespace="http://schemas.microsoft.com/office/2006/metadata/properties" ma:root="true" ma:fieldsID="9ec3cde6177a7a735ddbed6e9aa1b9a2" ns2:_="" ns3:_="" ns4:_="">
    <xsd:import namespace="d6eefc7d-9817-4fa6-84d5-3bc009be21b8"/>
    <xsd:import namespace="e029e753-062b-49ce-baa7-feb352134f8f"/>
    <xsd:import namespace="5a7c6213-c3f8-4376-93f2-dc58e5c51d54"/>
    <xsd:element name="properties">
      <xsd:complexType>
        <xsd:sequence>
          <xsd:element name="documentManagement">
            <xsd:complexType>
              <xsd:all>
                <xsd:element ref="ns2:_x0031__x002e__x0020_Collection_x0020_Number" minOccurs="0"/>
                <xsd:element ref="ns2:_x0032__x002e__x0020_Collection_x0020_Number" minOccurs="0"/>
                <xsd:element ref="ns2:_x0033__x002e__x0020_Collection_x0020_Number" minOccurs="0"/>
                <xsd:element ref="ns2:_x0031__x002e__x0020_Docket_x0020_Number" minOccurs="0"/>
                <xsd:element ref="ns2:_x0032__x002e__x0020_Docket_x0020_Number" minOccurs="0"/>
                <xsd:element ref="ns2:_x0033__x002e__x0020_Docket_x0020_Number" minOccurs="0"/>
                <xsd:element ref="ns2:Date" minOccurs="0"/>
                <xsd:element ref="ns2:Renewal_x0020_Document_x0020_Type" minOccurs="0"/>
                <xsd:element ref="ns2:Rulemaking_x0020_Document_x0020_Type" minOccurs="0"/>
                <xsd:element ref="ns2:Status" minOccurs="0"/>
                <xsd:element ref="ns3:lcf76f155ced4ddcb4097134ff3c332f" minOccurs="0"/>
                <xsd:element ref="ns4:TaxCatchAll" minOccurs="0"/>
                <xsd:element ref="ns4:SharedWithUsers" minOccurs="0"/>
                <xsd:element ref="ns4:SharedWithDetails" minOccurs="0"/>
                <xsd:element ref="ns3: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eefc7d-9817-4fa6-84d5-3bc009be21b8" elementFormDefault="qualified">
    <xsd:import namespace="http://schemas.microsoft.com/office/2006/documentManagement/types"/>
    <xsd:import namespace="http://schemas.microsoft.com/office/infopath/2007/PartnerControls"/>
    <xsd:element name="_x0031__x002e__x0020_Collection_x0020_Number" ma:index="8" nillable="true" ma:displayName="Collection 1" ma:indexed="true" ma:internalName="_x0031__x002e__x0020_Collection_x0020_Number">
      <xsd:simpleType>
        <xsd:restriction base="dms:Text">
          <xsd:maxLength value="255"/>
        </xsd:restriction>
      </xsd:simpleType>
    </xsd:element>
    <xsd:element name="_x0032__x002e__x0020_Collection_x0020_Number" ma:index="9" nillable="true" ma:displayName="Collection 2" ma:internalName="_x0032__x002e__x0020_Collection_x0020_Number">
      <xsd:simpleType>
        <xsd:restriction base="dms:Text">
          <xsd:maxLength value="255"/>
        </xsd:restriction>
      </xsd:simpleType>
    </xsd:element>
    <xsd:element name="_x0033__x002e__x0020_Collection_x0020_Number" ma:index="10" nillable="true" ma:displayName="Collection 3" ma:internalName="_x0033__x002e__x0020_Collection_x0020_Number">
      <xsd:simpleType>
        <xsd:restriction base="dms:Text">
          <xsd:maxLength value="255"/>
        </xsd:restriction>
      </xsd:simpleType>
    </xsd:element>
    <xsd:element name="_x0031__x002e__x0020_Docket_x0020_Number" ma:index="11" nillable="true" ma:displayName="Docket 1" ma:indexed="true" ma:internalName="_x0031__x002e__x0020_Docket_x0020_Number">
      <xsd:simpleType>
        <xsd:restriction base="dms:Text">
          <xsd:maxLength value="255"/>
        </xsd:restriction>
      </xsd:simpleType>
    </xsd:element>
    <xsd:element name="_x0032__x002e__x0020_Docket_x0020_Number" ma:index="12" nillable="true" ma:displayName="Docket 2" ma:internalName="_x0032__x002e__x0020_Docket_x0020_Number">
      <xsd:simpleType>
        <xsd:restriction base="dms:Text">
          <xsd:maxLength value="255"/>
        </xsd:restriction>
      </xsd:simpleType>
    </xsd:element>
    <xsd:element name="_x0033__x002e__x0020_Docket_x0020_Number" ma:index="13" nillable="true" ma:displayName="Docket 3" ma:internalName="_x0033__x002e__x0020_Docket_x0020_Number">
      <xsd:simpleType>
        <xsd:restriction base="dms:Text">
          <xsd:maxLength value="255"/>
        </xsd:restriction>
      </xsd:simpleType>
    </xsd:element>
    <xsd:element name="Date" ma:index="14" nillable="true" ma:displayName="Date" ma:format="DateOnly" ma:indexed="true" ma:internalName="Date">
      <xsd:simpleType>
        <xsd:restriction base="dms:DateTime"/>
      </xsd:simpleType>
    </xsd:element>
    <xsd:element name="Renewal_x0020_Document_x0020_Type" ma:index="15" nillable="true" ma:displayName="Renewal Document Type" ma:default="None" ma:format="Dropdown" ma:internalName="Renewal_x0020_Document_x0020_Type">
      <xsd:simpleType>
        <xsd:restriction base="dms:Choice">
          <xsd:enumeration value="None"/>
          <xsd:enumeration value="60-Day Notice"/>
          <xsd:enumeration value="30-Day Notice"/>
          <xsd:enumeration value="OMB Supporting Statement"/>
          <xsd:enumeration value="Supporting Information"/>
          <xsd:enumeration value="Correspondence"/>
          <xsd:enumeration value="Comments"/>
          <xsd:enumeration value="OMB NOA"/>
          <xsd:enumeration value="Errata"/>
          <xsd:enumeration value="Data Instrument"/>
          <xsd:enumeration value="Other"/>
        </xsd:restriction>
      </xsd:simpleType>
    </xsd:element>
    <xsd:element name="Rulemaking_x0020_Document_x0020_Type" ma:index="16" nillable="true" ma:displayName="Rulemaking Document Type" ma:default="None" ma:format="Dropdown" ma:indexed="true" ma:internalName="Rulemaking_x0020_Document_x0020_Type">
      <xsd:simpleType>
        <xsd:restriction base="dms:Choice">
          <xsd:enumeration value="None"/>
          <xsd:enumeration value="Proposed Rule"/>
          <xsd:enumeration value="Final Rule"/>
          <xsd:enumeration value="NOI, Policy Statements, and Rehearing"/>
          <xsd:enumeration value="OMB Supporting Statement"/>
          <xsd:enumeration value="Supporting Information"/>
          <xsd:enumeration value="Correspondence"/>
          <xsd:enumeration value="CRA OMB Letter"/>
          <xsd:enumeration value="CRA SBA Letter"/>
          <xsd:enumeration value="CRA Form"/>
          <xsd:enumeration value="CRA Fact Sheet"/>
          <xsd:enumeration value="OMB NOA"/>
          <xsd:enumeration value="Status and Regulations"/>
          <xsd:enumeration value="Comments"/>
          <xsd:enumeration value="Data Instrument"/>
          <xsd:enumeration value="Other"/>
        </xsd:restriction>
      </xsd:simpleType>
    </xsd:element>
    <xsd:element name="Status" ma:index="17" nillable="true" ma:displayName="Status" ma:default="None" ma:format="Dropdown" ma:internalName="Status">
      <xsd:simpleType>
        <xsd:restriction base="dms:Choice">
          <xsd:enumeration value="None"/>
          <xsd:enumeration value="Draft"/>
          <xsd:enumeration value="Final"/>
          <xsd:enumeration value="Issued"/>
          <xsd:enumeration value="Published"/>
        </xsd:restriction>
      </xsd:simpleType>
    </xsd:element>
  </xsd:schema>
  <xsd:schema xmlns:xsd="http://www.w3.org/2001/XMLSchema" xmlns:xs="http://www.w3.org/2001/XMLSchema" xmlns:dms="http://schemas.microsoft.com/office/2006/documentManagement/types" xmlns:pc="http://schemas.microsoft.com/office/infopath/2007/PartnerControls" targetNamespace="e029e753-062b-49ce-baa7-feb352134f8f" elementFormDefault="qualified">
    <xsd:import namespace="http://schemas.microsoft.com/office/2006/documentManagement/types"/>
    <xsd:import namespace="http://schemas.microsoft.com/office/infopath/2007/PartnerControls"/>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9776dbc-9393-46bd-9fa9-87fe347ccf2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a7c6213-c3f8-4376-93f2-dc58e5c51d54"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83106a42-f136-493a-9b07-5365c92b590c}" ma:internalName="TaxCatchAll" ma:showField="CatchAllData" ma:web="5a7c6213-c3f8-4376-93f2-dc58e5c51d54">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2C0BB6D-8007-421B-97FF-EFFC4F114DA6}">
  <ds:schemaRefs>
    <ds:schemaRef ds:uri="http://purl.org/dc/elements/1.1/"/>
    <ds:schemaRef ds:uri="http://schemas.microsoft.com/office/2006/documentManagement/types"/>
    <ds:schemaRef ds:uri="d6eefc7d-9817-4fa6-84d5-3bc009be21b8"/>
    <ds:schemaRef ds:uri="http://purl.org/dc/terms/"/>
    <ds:schemaRef ds:uri="http://schemas.microsoft.com/office/infopath/2007/PartnerControls"/>
    <ds:schemaRef ds:uri="e029e753-062b-49ce-baa7-feb352134f8f"/>
    <ds:schemaRef ds:uri="http://purl.org/dc/dcmitype/"/>
    <ds:schemaRef ds:uri="http://schemas.openxmlformats.org/package/2006/metadata/core-properties"/>
    <ds:schemaRef ds:uri="5a7c6213-c3f8-4376-93f2-dc58e5c51d54"/>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B838C887-F325-486B-8D4D-47C939E064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eefc7d-9817-4fa6-84d5-3bc009be21b8"/>
    <ds:schemaRef ds:uri="e029e753-062b-49ce-baa7-feb352134f8f"/>
    <ds:schemaRef ds:uri="5a7c6213-c3f8-4376-93f2-dc58e5c51d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BC8BA91-D497-4663-9319-E96CF456A669}">
  <ds:schemaRefs>
    <ds:schemaRef ds:uri="http://schemas.microsoft.com/sharepoint/v3/contenttype/forms"/>
  </ds:schemaRefs>
</ds:datastoreItem>
</file>

<file path=customXml/itemProps4.xml><?xml version="1.0" encoding="utf-8"?>
<ds:datastoreItem xmlns:ds="http://schemas.openxmlformats.org/officeDocument/2006/customXml" ds:itemID="{71AE2322-0D30-4BA5-94D4-38A53F6E3A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1447</Words>
  <Characters>8252</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FERC</Company>
  <LinksUpToDate>false</LinksUpToDate>
  <CharactersWithSpaces>9680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Michele Chambers</dc:creator>
  <cp:lastModifiedBy>Christopher Kozler</cp:lastModifiedBy>
  <cp:revision>3</cp:revision>
  <dcterms:created xsi:type="dcterms:W3CDTF">2023-08-11T15:09:00Z</dcterms:created>
  <dcterms:modified xsi:type="dcterms:W3CDTF">2023-08-11T17:32:00Z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0x0101006AB4819515F02041B733A30B504091D8</vt:lpwstr>
  </property>
  <property fmtid="{D5CDD505-2E9C-101B-9397-08002B2CF9AE}" pid="3" name="MediaServiceImageTags">
    <vt:lpwstr/>
  </property>
  <property fmtid="{D5CDD505-2E9C-101B-9397-08002B2CF9AE}" pid="4" name="MSIP_Label_6155a89b-0f08-4a93-8ea2-8a916d6643b5_ActionId">
    <vt:lpwstr>64b37f76-660c-4016-9f09-f6dc174385d5</vt:lpwstr>
  </property>
  <property fmtid="{D5CDD505-2E9C-101B-9397-08002B2CF9AE}" pid="5" name="MSIP_Label_6155a89b-0f08-4a93-8ea2-8a916d6643b5_ContentBits">
    <vt:lpwstr>0</vt:lpwstr>
  </property>
  <property fmtid="{D5CDD505-2E9C-101B-9397-08002B2CF9AE}" pid="6" name="MSIP_Label_6155a89b-0f08-4a93-8ea2-8a916d6643b5_Enabled">
    <vt:lpwstr>true</vt:lpwstr>
  </property>
  <property fmtid="{D5CDD505-2E9C-101B-9397-08002B2CF9AE}" pid="7" name="MSIP_Label_6155a89b-0f08-4a93-8ea2-8a916d6643b5_Method">
    <vt:lpwstr>Privileged</vt:lpwstr>
  </property>
  <property fmtid="{D5CDD505-2E9C-101B-9397-08002B2CF9AE}" pid="8" name="MSIP_Label_6155a89b-0f08-4a93-8ea2-8a916d6643b5_Name">
    <vt:lpwstr>6155a89b-0f08-4a93-8ea2-8a916d6643b5</vt:lpwstr>
  </property>
  <property fmtid="{D5CDD505-2E9C-101B-9397-08002B2CF9AE}" pid="9" name="MSIP_Label_6155a89b-0f08-4a93-8ea2-8a916d6643b5_SetDate">
    <vt:lpwstr>2023-07-18T17:49:46Z</vt:lpwstr>
  </property>
  <property fmtid="{D5CDD505-2E9C-101B-9397-08002B2CF9AE}" pid="10" name="MSIP_Label_6155a89b-0f08-4a93-8ea2-8a916d6643b5_SiteId">
    <vt:lpwstr>19caa9e9-04ff-43fa-885f-d77fac387903</vt:lpwstr>
  </property>
</Properties>
</file>