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5B8" w:rsidRPr="00C12EA2" w:rsidP="00326B70" w14:paraId="6D881B66" w14:textId="645396D7">
      <w:pPr>
        <w:pStyle w:val="Title"/>
      </w:pPr>
      <w:bookmarkStart w:id="0" w:name="_Toc49148152"/>
      <w:r w:rsidRPr="00C12EA2">
        <w:t>Supporting Statement for a</w:t>
      </w:r>
      <w:r w:rsidR="009505AD">
        <w:t>n</w:t>
      </w:r>
      <w:r w:rsidRPr="00C12EA2">
        <w:t xml:space="preserve"> Information Collection Request (ICR) </w:t>
      </w:r>
    </w:p>
    <w:p w:rsidR="005645B8" w:rsidP="00326B70" w14:paraId="19900C7F" w14:textId="48571761">
      <w:pPr>
        <w:pStyle w:val="Title"/>
      </w:pPr>
      <w:r w:rsidRPr="00C12EA2">
        <w:t>Under the Paperwork Reduction Act (PRA)</w:t>
      </w:r>
    </w:p>
    <w:p w:rsidR="005645B8" w:rsidRPr="00534AA1" w:rsidP="00326B70" w14:paraId="0BF5219B" w14:textId="77777777">
      <w:pPr>
        <w:pStyle w:val="Heading1"/>
      </w:pPr>
      <w:r w:rsidRPr="00534AA1">
        <w:t>EXECUTIVE SUMMARY</w:t>
      </w:r>
      <w:bookmarkEnd w:id="0"/>
    </w:p>
    <w:p w:rsidR="005645B8" w:rsidRPr="002059F4" w:rsidP="00326B70" w14:paraId="5616E8D6" w14:textId="03BDFD68">
      <w:pPr>
        <w:pStyle w:val="Heading3"/>
        <w:numPr>
          <w:ilvl w:val="0"/>
          <w:numId w:val="0"/>
        </w:numPr>
      </w:pPr>
      <w:bookmarkStart w:id="1" w:name="_Toc49148153"/>
      <w:r w:rsidRPr="002059F4">
        <w:t>Identification of the Information Collection – Title and Numbers</w:t>
      </w:r>
      <w:bookmarkEnd w:id="1"/>
    </w:p>
    <w:p w:rsidR="005645B8" w:rsidP="00326B70" w14:paraId="47EF360E" w14:textId="4CE07F2D">
      <w:pPr>
        <w:pStyle w:val="NoSpacing"/>
        <w:spacing w:after="120"/>
        <w:ind w:left="720"/>
        <w:rPr>
          <w:rFonts w:ascii="Arial" w:hAnsi="Arial" w:cs="Arial"/>
          <w:sz w:val="24"/>
          <w:szCs w:val="24"/>
        </w:rPr>
      </w:pPr>
      <w:r>
        <w:rPr>
          <w:rFonts w:ascii="Arial" w:hAnsi="Arial" w:cs="Arial"/>
          <w:b/>
          <w:sz w:val="24"/>
          <w:szCs w:val="24"/>
        </w:rPr>
        <w:t xml:space="preserve">Title: </w:t>
      </w:r>
      <w:r w:rsidRPr="00F73708" w:rsidR="00341695">
        <w:rPr>
          <w:rFonts w:ascii="Arial" w:hAnsi="Arial" w:cs="Arial"/>
          <w:bCs/>
          <w:sz w:val="24"/>
          <w:szCs w:val="24"/>
        </w:rPr>
        <w:t>Asbestos</w:t>
      </w:r>
      <w:r w:rsidR="00F73708">
        <w:rPr>
          <w:rFonts w:ascii="Arial" w:hAnsi="Arial" w:cs="Arial"/>
          <w:bCs/>
          <w:sz w:val="24"/>
          <w:szCs w:val="24"/>
        </w:rPr>
        <w:t xml:space="preserve">; </w:t>
      </w:r>
      <w:r w:rsidRPr="007F6D4D" w:rsidR="00267A7F">
        <w:rPr>
          <w:rStyle w:val="normaltextrun"/>
          <w:rFonts w:ascii="Arial" w:hAnsi="Arial" w:cs="Arial"/>
          <w:sz w:val="24"/>
          <w:szCs w:val="24"/>
          <w:shd w:val="clear" w:color="auto" w:fill="FFFFFF"/>
        </w:rPr>
        <w:t xml:space="preserve">Reporting and Recordkeeping Requirements </w:t>
      </w:r>
      <w:r w:rsidR="00341695">
        <w:rPr>
          <w:rStyle w:val="normaltextrun"/>
          <w:rFonts w:ascii="Arial" w:hAnsi="Arial" w:cs="Arial"/>
          <w:sz w:val="24"/>
          <w:szCs w:val="24"/>
          <w:shd w:val="clear" w:color="auto" w:fill="FFFFFF"/>
        </w:rPr>
        <w:t>under TSCA</w:t>
      </w:r>
      <w:r w:rsidR="00F73708">
        <w:rPr>
          <w:rStyle w:val="normaltextrun"/>
          <w:rFonts w:ascii="Arial" w:hAnsi="Arial" w:cs="Arial"/>
          <w:sz w:val="24"/>
          <w:szCs w:val="24"/>
          <w:shd w:val="clear" w:color="auto" w:fill="FFFFFF"/>
        </w:rPr>
        <w:t xml:space="preserve">; </w:t>
      </w:r>
      <w:r w:rsidR="00E75321">
        <w:rPr>
          <w:rStyle w:val="normaltextrun"/>
          <w:rFonts w:ascii="Arial" w:hAnsi="Arial" w:cs="Arial"/>
          <w:sz w:val="24"/>
          <w:szCs w:val="24"/>
          <w:shd w:val="clear" w:color="auto" w:fill="FFFFFF"/>
        </w:rPr>
        <w:t>Final Rule</w:t>
      </w:r>
      <w:r w:rsidR="00F73708">
        <w:rPr>
          <w:rStyle w:val="normaltextrun"/>
          <w:rFonts w:ascii="Arial" w:hAnsi="Arial" w:cs="Arial"/>
          <w:sz w:val="24"/>
          <w:szCs w:val="24"/>
          <w:shd w:val="clear" w:color="auto" w:fill="FFFFFF"/>
        </w:rPr>
        <w:t xml:space="preserve"> (RIN 2070-AK99)</w:t>
      </w:r>
    </w:p>
    <w:p w:rsidR="009505AD" w:rsidP="00326B70" w14:paraId="1968D082" w14:textId="2A13B14E">
      <w:pPr>
        <w:pStyle w:val="NoSpacing"/>
        <w:spacing w:after="120"/>
        <w:rPr>
          <w:rFonts w:ascii="Arial" w:hAnsi="Arial" w:cs="Arial"/>
          <w:sz w:val="24"/>
          <w:szCs w:val="24"/>
        </w:rPr>
      </w:pPr>
      <w:r>
        <w:rPr>
          <w:rFonts w:ascii="Arial" w:hAnsi="Arial" w:cs="Arial"/>
          <w:sz w:val="24"/>
          <w:szCs w:val="24"/>
        </w:rPr>
        <w:tab/>
      </w:r>
      <w:r w:rsidRPr="009505AD">
        <w:rPr>
          <w:rFonts w:ascii="Arial" w:hAnsi="Arial" w:cs="Arial"/>
          <w:b/>
          <w:bCs/>
          <w:sz w:val="24"/>
          <w:szCs w:val="24"/>
        </w:rPr>
        <w:t xml:space="preserve">EPA </w:t>
      </w:r>
      <w:r w:rsidRPr="009505AD">
        <w:rPr>
          <w:rFonts w:ascii="Arial" w:hAnsi="Arial" w:cs="Arial"/>
          <w:b/>
          <w:bCs/>
          <w:sz w:val="24"/>
          <w:szCs w:val="24"/>
        </w:rPr>
        <w:t>ICR N</w:t>
      </w:r>
      <w:r w:rsidRPr="009505AD">
        <w:rPr>
          <w:rFonts w:ascii="Arial" w:hAnsi="Arial" w:cs="Arial"/>
          <w:b/>
          <w:bCs/>
          <w:sz w:val="24"/>
          <w:szCs w:val="24"/>
        </w:rPr>
        <w:t>o</w:t>
      </w:r>
      <w:r>
        <w:rPr>
          <w:rFonts w:ascii="Arial" w:hAnsi="Arial" w:cs="Arial"/>
          <w:b/>
          <w:bCs/>
          <w:sz w:val="24"/>
          <w:szCs w:val="24"/>
        </w:rPr>
        <w:t>.</w:t>
      </w:r>
      <w:r w:rsidRPr="009505AD">
        <w:rPr>
          <w:rFonts w:ascii="Arial" w:hAnsi="Arial" w:cs="Arial"/>
          <w:b/>
          <w:bCs/>
          <w:sz w:val="24"/>
          <w:szCs w:val="24"/>
        </w:rPr>
        <w:t>:</w:t>
      </w:r>
      <w:r w:rsidR="00171EB7">
        <w:rPr>
          <w:rFonts w:ascii="Arial" w:hAnsi="Arial" w:cs="Arial"/>
          <w:b/>
          <w:bCs/>
          <w:sz w:val="24"/>
          <w:szCs w:val="24"/>
        </w:rPr>
        <w:t xml:space="preserve"> </w:t>
      </w:r>
      <w:r w:rsidR="00F13081">
        <w:rPr>
          <w:rFonts w:ascii="Arial" w:hAnsi="Arial" w:cs="Arial"/>
          <w:sz w:val="24"/>
          <w:szCs w:val="24"/>
        </w:rPr>
        <w:t>27</w:t>
      </w:r>
      <w:r w:rsidR="006B59F3">
        <w:rPr>
          <w:rFonts w:ascii="Arial" w:hAnsi="Arial" w:cs="Arial"/>
          <w:sz w:val="24"/>
          <w:szCs w:val="24"/>
        </w:rPr>
        <w:t>1</w:t>
      </w:r>
      <w:r w:rsidR="00F13081">
        <w:rPr>
          <w:rFonts w:ascii="Arial" w:hAnsi="Arial" w:cs="Arial"/>
          <w:sz w:val="24"/>
          <w:szCs w:val="24"/>
        </w:rPr>
        <w:t>1.</w:t>
      </w:r>
      <w:r w:rsidR="00CD7F67">
        <w:rPr>
          <w:rFonts w:ascii="Arial" w:hAnsi="Arial" w:cs="Arial"/>
          <w:sz w:val="24"/>
          <w:szCs w:val="24"/>
        </w:rPr>
        <w:t>02</w:t>
      </w:r>
    </w:p>
    <w:p w:rsidR="005645B8" w:rsidP="00326B70" w14:paraId="3EF98889" w14:textId="5085BE13">
      <w:pPr>
        <w:pStyle w:val="NoSpacing"/>
        <w:spacing w:after="120"/>
        <w:rPr>
          <w:rFonts w:ascii="Arial" w:hAnsi="Arial" w:cs="Arial"/>
          <w:sz w:val="24"/>
          <w:szCs w:val="24"/>
        </w:rPr>
      </w:pPr>
      <w:r>
        <w:rPr>
          <w:rFonts w:ascii="Arial" w:hAnsi="Arial" w:cs="Arial"/>
          <w:sz w:val="24"/>
          <w:szCs w:val="24"/>
        </w:rPr>
        <w:tab/>
      </w:r>
      <w:r w:rsidRPr="009505AD">
        <w:rPr>
          <w:rFonts w:ascii="Arial" w:hAnsi="Arial" w:cs="Arial"/>
          <w:b/>
          <w:bCs/>
          <w:sz w:val="24"/>
          <w:szCs w:val="24"/>
        </w:rPr>
        <w:t>OMB Control No.:</w:t>
      </w:r>
      <w:r w:rsidR="00171EB7">
        <w:rPr>
          <w:rFonts w:ascii="Arial" w:hAnsi="Arial" w:cs="Arial"/>
          <w:b/>
          <w:bCs/>
          <w:sz w:val="24"/>
          <w:szCs w:val="24"/>
        </w:rPr>
        <w:t xml:space="preserve"> </w:t>
      </w:r>
      <w:r w:rsidR="00AB5D6B">
        <w:rPr>
          <w:rFonts w:ascii="Arial" w:eastAsia="Calibri" w:hAnsi="Arial" w:cs="Arial"/>
          <w:sz w:val="24"/>
        </w:rPr>
        <w:t>2</w:t>
      </w:r>
      <w:r w:rsidRPr="003B20FB" w:rsidR="003B20FB">
        <w:rPr>
          <w:rFonts w:ascii="Arial" w:eastAsia="Calibri" w:hAnsi="Arial" w:cs="Arial"/>
          <w:sz w:val="24"/>
        </w:rPr>
        <w:t>070-</w:t>
      </w:r>
      <w:r w:rsidR="00CD7F67">
        <w:rPr>
          <w:rFonts w:ascii="Arial" w:eastAsia="Calibri" w:hAnsi="Arial" w:cs="Arial"/>
          <w:sz w:val="24"/>
        </w:rPr>
        <w:t>0222</w:t>
      </w:r>
      <w:r w:rsidRPr="00E16322" w:rsidR="00E16322">
        <w:rPr>
          <w:rFonts w:ascii="Arial" w:eastAsia="Calibri" w:hAnsi="Arial" w:cs="Arial"/>
          <w:sz w:val="24"/>
        </w:rPr>
        <w:t xml:space="preserve"> </w:t>
      </w:r>
    </w:p>
    <w:p w:rsidR="005645B8" w:rsidRPr="00BD7577" w:rsidP="00326B70" w14:paraId="05F7B442" w14:textId="73C685EE">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rPr>
        <w:t xml:space="preserve">Docket ID No.: </w:t>
      </w:r>
      <w:bookmarkStart w:id="2" w:name="_Hlk90366832"/>
      <w:r>
        <w:rPr>
          <w:rFonts w:ascii="Arial" w:hAnsi="Arial" w:cs="Arial"/>
        </w:rPr>
        <w:t>EPA-HQ-</w:t>
      </w:r>
      <w:r w:rsidRPr="001511FC" w:rsidR="00BD7577">
        <w:rPr>
          <w:rStyle w:val="normaltextrun"/>
          <w:rFonts w:ascii="Arial" w:hAnsi="Arial" w:cs="Arial"/>
        </w:rPr>
        <w:t>OPPT-2021-0357</w:t>
      </w:r>
      <w:r w:rsidR="00173588">
        <w:rPr>
          <w:rStyle w:val="normaltextrun"/>
        </w:rPr>
        <w:t xml:space="preserve"> </w:t>
      </w:r>
      <w:bookmarkEnd w:id="2"/>
    </w:p>
    <w:p w:rsidR="00204B8E" w:rsidP="003C73B7" w14:paraId="643BDC0B" w14:textId="77777777">
      <w:bookmarkStart w:id="3" w:name="_Toc49148156"/>
    </w:p>
    <w:p w:rsidR="005645B8" w:rsidRPr="00BF52B6" w:rsidP="00326B70" w14:paraId="6A1E128E" w14:textId="038A1B09">
      <w:pPr>
        <w:pStyle w:val="Heading3"/>
        <w:numPr>
          <w:ilvl w:val="0"/>
          <w:numId w:val="0"/>
        </w:numPr>
      </w:pPr>
      <w:r w:rsidRPr="00483711">
        <w:t>Abstract</w:t>
      </w:r>
      <w:bookmarkEnd w:id="3"/>
    </w:p>
    <w:p w:rsidR="007A01E7" w:rsidP="00EE0077" w14:paraId="61F105B4" w14:textId="395F5A90">
      <w:pPr>
        <w:spacing w:line="240" w:lineRule="auto"/>
      </w:pPr>
      <w:r w:rsidRPr="00173588">
        <w:t xml:space="preserve">EPA is </w:t>
      </w:r>
      <w:r w:rsidR="00F41DF1">
        <w:t xml:space="preserve">promulgating </w:t>
      </w:r>
      <w:r w:rsidRPr="00173588">
        <w:t>reporting and recordkeeping requirements</w:t>
      </w:r>
      <w:r w:rsidR="00173588">
        <w:t xml:space="preserve"> </w:t>
      </w:r>
      <w:r w:rsidRPr="00173588">
        <w:t xml:space="preserve">for asbestos under the </w:t>
      </w:r>
      <w:r w:rsidR="009A4757">
        <w:t xml:space="preserve">Toxic Substances Control Act (TSCA). EPA </w:t>
      </w:r>
      <w:r w:rsidR="00F41DF1">
        <w:t xml:space="preserve">is requiring </w:t>
      </w:r>
      <w:r w:rsidRPr="00173588">
        <w:t>certain persons</w:t>
      </w:r>
      <w:r w:rsidR="00173588">
        <w:t xml:space="preserve"> </w:t>
      </w:r>
      <w:r w:rsidRPr="00173588">
        <w:t>that</w:t>
      </w:r>
      <w:r w:rsidR="00173588">
        <w:t xml:space="preserve"> </w:t>
      </w:r>
      <w:r w:rsidRPr="00173588">
        <w:t>manufactured</w:t>
      </w:r>
      <w:r w:rsidR="00173588">
        <w:t xml:space="preserve"> </w:t>
      </w:r>
      <w:r w:rsidRPr="00173588">
        <w:t>(including</w:t>
      </w:r>
      <w:r w:rsidR="00173588">
        <w:t xml:space="preserve"> </w:t>
      </w:r>
      <w:r w:rsidRPr="00173588">
        <w:t>imported)</w:t>
      </w:r>
      <w:r w:rsidR="00173588">
        <w:t xml:space="preserve"> </w:t>
      </w:r>
      <w:r w:rsidRPr="00173588">
        <w:t>or</w:t>
      </w:r>
      <w:r w:rsidR="00173588">
        <w:t xml:space="preserve"> </w:t>
      </w:r>
      <w:r w:rsidRPr="00173588">
        <w:t>processed</w:t>
      </w:r>
      <w:r w:rsidR="00173588">
        <w:t xml:space="preserve"> </w:t>
      </w:r>
      <w:r w:rsidRPr="00173588">
        <w:t>asbestos and</w:t>
      </w:r>
      <w:r w:rsidR="00173588">
        <w:t xml:space="preserve"> </w:t>
      </w:r>
      <w:r w:rsidRPr="00173588">
        <w:t>asbestos-containing</w:t>
      </w:r>
      <w:r w:rsidR="00173588">
        <w:t xml:space="preserve"> </w:t>
      </w:r>
      <w:r w:rsidRPr="00173588">
        <w:t>mixtures</w:t>
      </w:r>
      <w:r w:rsidR="00173588">
        <w:t xml:space="preserve"> </w:t>
      </w:r>
      <w:r w:rsidRPr="00173588">
        <w:t>and articles</w:t>
      </w:r>
      <w:r w:rsidR="00173588">
        <w:t xml:space="preserve"> </w:t>
      </w:r>
      <w:r w:rsidRPr="00173588">
        <w:t>(including as</w:t>
      </w:r>
      <w:r w:rsidR="00173588">
        <w:t xml:space="preserve"> </w:t>
      </w:r>
      <w:r w:rsidRPr="00173588">
        <w:t>an</w:t>
      </w:r>
      <w:r w:rsidR="00173588">
        <w:t xml:space="preserve"> </w:t>
      </w:r>
      <w:r w:rsidRPr="00173588">
        <w:t>impurity)</w:t>
      </w:r>
      <w:r w:rsidR="00173588">
        <w:t xml:space="preserve"> </w:t>
      </w:r>
      <w:r w:rsidRPr="00173588">
        <w:t>in</w:t>
      </w:r>
      <w:r w:rsidR="00173588">
        <w:t xml:space="preserve"> </w:t>
      </w:r>
      <w:r w:rsidRPr="00173588">
        <w:t>the</w:t>
      </w:r>
      <w:r w:rsidR="00173588">
        <w:t xml:space="preserve"> </w:t>
      </w:r>
      <w:r w:rsidRPr="00173588">
        <w:t>four</w:t>
      </w:r>
      <w:r w:rsidR="00173588">
        <w:t xml:space="preserve"> </w:t>
      </w:r>
      <w:r w:rsidRPr="00173588">
        <w:t>years prior to the</w:t>
      </w:r>
      <w:r w:rsidR="00173588">
        <w:t xml:space="preserve"> </w:t>
      </w:r>
      <w:r w:rsidRPr="00173588">
        <w:t>rule finalization</w:t>
      </w:r>
      <w:r w:rsidR="008A1327">
        <w:t>,</w:t>
      </w:r>
      <w:r w:rsidRPr="00173588" w:rsidR="00204B8E">
        <w:t xml:space="preserve"> to electronically report certain exposure</w:t>
      </w:r>
      <w:r w:rsidRPr="00173588">
        <w:t xml:space="preserve">-related information. </w:t>
      </w:r>
      <w:r w:rsidR="009A4757">
        <w:t xml:space="preserve">This action </w:t>
      </w:r>
      <w:r w:rsidR="00495AA5">
        <w:t xml:space="preserve">will </w:t>
      </w:r>
      <w:r w:rsidR="009A4757">
        <w:t xml:space="preserve">result in a one-time reporting obligation. </w:t>
      </w:r>
      <w:r w:rsidRPr="00173588">
        <w:t>The information sought includes</w:t>
      </w:r>
      <w:r w:rsidR="00173588">
        <w:t xml:space="preserve"> </w:t>
      </w:r>
      <w:r w:rsidRPr="00173588">
        <w:t>quantities of asbestos</w:t>
      </w:r>
      <w:r w:rsidR="00173588">
        <w:t xml:space="preserve"> </w:t>
      </w:r>
      <w:r w:rsidRPr="00173588">
        <w:t>and asbestos-containing mixtures or</w:t>
      </w:r>
      <w:r w:rsidR="00173588">
        <w:t xml:space="preserve"> </w:t>
      </w:r>
      <w:r w:rsidRPr="00173588">
        <w:t>articles</w:t>
      </w:r>
      <w:r w:rsidR="00173588">
        <w:t xml:space="preserve"> </w:t>
      </w:r>
      <w:r w:rsidRPr="00173588">
        <w:t>that were manufactured</w:t>
      </w:r>
      <w:r w:rsidR="00173588">
        <w:t xml:space="preserve"> </w:t>
      </w:r>
      <w:r w:rsidRPr="00173588">
        <w:t>(including imported)</w:t>
      </w:r>
      <w:r w:rsidR="00173588">
        <w:t xml:space="preserve"> </w:t>
      </w:r>
      <w:r w:rsidRPr="00173588">
        <w:t>or processed</w:t>
      </w:r>
      <w:r w:rsidR="008A1327">
        <w:t>,</w:t>
      </w:r>
      <w:r w:rsidRPr="00173588">
        <w:t xml:space="preserve"> types</w:t>
      </w:r>
      <w:r w:rsidR="00173588">
        <w:t xml:space="preserve"> </w:t>
      </w:r>
      <w:r w:rsidRPr="00173588">
        <w:t>of use,</w:t>
      </w:r>
      <w:r w:rsidR="00173588">
        <w:t xml:space="preserve"> </w:t>
      </w:r>
      <w:r w:rsidRPr="00173588">
        <w:t>and</w:t>
      </w:r>
      <w:r w:rsidR="00173588">
        <w:t xml:space="preserve"> </w:t>
      </w:r>
      <w:r w:rsidRPr="00173588">
        <w:t xml:space="preserve">employee data. Reported information </w:t>
      </w:r>
      <w:r w:rsidR="00495AA5">
        <w:t xml:space="preserve">will </w:t>
      </w:r>
      <w:r w:rsidRPr="00173588">
        <w:t>be used by EPA and other Federal agencies in considering</w:t>
      </w:r>
      <w:r w:rsidR="00173588">
        <w:t xml:space="preserve"> </w:t>
      </w:r>
      <w:r w:rsidRPr="00173588">
        <w:t>potential</w:t>
      </w:r>
      <w:r w:rsidR="00173588">
        <w:t xml:space="preserve"> </w:t>
      </w:r>
      <w:r w:rsidRPr="00173588">
        <w:t>future actions</w:t>
      </w:r>
      <w:r w:rsidR="00173588">
        <w:t xml:space="preserve"> </w:t>
      </w:r>
      <w:r w:rsidRPr="00173588">
        <w:t>involving</w:t>
      </w:r>
      <w:r w:rsidR="00173588">
        <w:t xml:space="preserve"> </w:t>
      </w:r>
      <w:r w:rsidRPr="00173588">
        <w:t>asbestos,</w:t>
      </w:r>
      <w:r w:rsidR="00173588">
        <w:t xml:space="preserve"> </w:t>
      </w:r>
      <w:r w:rsidRPr="00173588">
        <w:t>potentially including risk evaluation</w:t>
      </w:r>
      <w:r w:rsidR="00173588">
        <w:t xml:space="preserve"> </w:t>
      </w:r>
      <w:r w:rsidRPr="00173588">
        <w:t>and risk management activities.</w:t>
      </w:r>
      <w:r w:rsidR="00173588">
        <w:t xml:space="preserve"> </w:t>
      </w:r>
      <w:r w:rsidR="00B5789C">
        <w:t xml:space="preserve">The total </w:t>
      </w:r>
      <w:r w:rsidR="00855B83">
        <w:t xml:space="preserve">one-time </w:t>
      </w:r>
      <w:r w:rsidR="00B5789C">
        <w:t xml:space="preserve">burden and cost </w:t>
      </w:r>
      <w:r w:rsidR="00616A62">
        <w:t xml:space="preserve">of the action </w:t>
      </w:r>
      <w:r w:rsidR="00B5789C">
        <w:t xml:space="preserve">are summarized in </w:t>
      </w:r>
      <w:r w:rsidRPr="00C52B2E" w:rsidR="00B5789C">
        <w:fldChar w:fldCharType="begin"/>
      </w:r>
      <w:r w:rsidRPr="00C52B2E" w:rsidR="00B5789C">
        <w:instrText xml:space="preserve"> REF _Ref123028572 \h  \* MERGEFORMAT </w:instrText>
      </w:r>
      <w:r w:rsidRPr="00C52B2E" w:rsidR="00B5789C">
        <w:fldChar w:fldCharType="separate"/>
      </w:r>
      <w:r w:rsidRPr="009F0705" w:rsidR="009F0705">
        <w:rPr>
          <w:rFonts w:cs="Arial"/>
        </w:rPr>
        <w:t xml:space="preserve">Table </w:t>
      </w:r>
      <w:r w:rsidRPr="009F0705" w:rsidR="009F0705">
        <w:rPr>
          <w:rFonts w:cs="Arial"/>
          <w:noProof/>
        </w:rPr>
        <w:t>1</w:t>
      </w:r>
      <w:r w:rsidRPr="00C52B2E" w:rsidR="00B5789C">
        <w:fldChar w:fldCharType="end"/>
      </w:r>
      <w:r w:rsidR="00B5789C">
        <w:t>.</w:t>
      </w:r>
      <w:r w:rsidR="00855B83">
        <w:t xml:space="preserve"> </w:t>
      </w:r>
      <w:r>
        <w:fldChar w:fldCharType="begin"/>
      </w:r>
      <w:r>
        <w:instrText xml:space="preserve"> REF _Ref133342369  \* MERGEFORMAT </w:instrText>
      </w:r>
      <w:r>
        <w:fldChar w:fldCharType="separate"/>
      </w:r>
      <w:r w:rsidRPr="009F0705" w:rsidR="009F0705">
        <w:rPr>
          <w:rFonts w:cs="Arial"/>
        </w:rPr>
        <w:t xml:space="preserve">Table </w:t>
      </w:r>
      <w:r w:rsidRPr="009F0705" w:rsidR="009F0705">
        <w:rPr>
          <w:rFonts w:cs="Arial"/>
          <w:noProof/>
        </w:rPr>
        <w:t>2</w:t>
      </w:r>
      <w:r w:rsidRPr="009F0705" w:rsidR="009F0705">
        <w:rPr>
          <w:rFonts w:cs="Arial"/>
          <w:noProof/>
        </w:rPr>
        <w:fldChar w:fldCharType="end"/>
      </w:r>
      <w:r w:rsidR="009B6BDD">
        <w:t xml:space="preserve"> </w:t>
      </w:r>
      <w:r w:rsidR="00EE0AC3">
        <w:t>annualize</w:t>
      </w:r>
      <w:r w:rsidR="00D11812">
        <w:t>s the</w:t>
      </w:r>
      <w:r w:rsidR="00EE0AC3">
        <w:t xml:space="preserve"> burden and cost over </w:t>
      </w:r>
      <w:r w:rsidR="0046322D">
        <w:t xml:space="preserve">a </w:t>
      </w:r>
      <w:r w:rsidR="0046322D">
        <w:t>three year</w:t>
      </w:r>
      <w:r w:rsidR="0046322D">
        <w:t xml:space="preserve"> ICR approval period (although the reporting is a one-time activity).</w:t>
      </w:r>
      <w:r w:rsidR="00665A7A">
        <w:t xml:space="preserve"> </w:t>
      </w:r>
      <w:r w:rsidRPr="00665A7A" w:rsidR="00665A7A">
        <w:t xml:space="preserve">Some of the values in </w:t>
      </w:r>
      <w:r>
        <w:fldChar w:fldCharType="begin"/>
      </w:r>
      <w:r>
        <w:instrText xml:space="preserve"> REF _Ref123028572  \* MERGEFORMAT </w:instrText>
      </w:r>
      <w:r>
        <w:fldChar w:fldCharType="separate"/>
      </w:r>
      <w:r w:rsidRPr="009F0705" w:rsidR="009F0705">
        <w:rPr>
          <w:rFonts w:cs="Arial"/>
        </w:rPr>
        <w:t xml:space="preserve">Table </w:t>
      </w:r>
      <w:r w:rsidRPr="009F0705" w:rsidR="009F0705">
        <w:rPr>
          <w:rFonts w:cs="Arial"/>
          <w:noProof/>
        </w:rPr>
        <w:t>1</w:t>
      </w:r>
      <w:r w:rsidRPr="009F0705" w:rsidR="009F0705">
        <w:rPr>
          <w:rFonts w:cs="Arial"/>
          <w:noProof/>
        </w:rPr>
        <w:fldChar w:fldCharType="end"/>
      </w:r>
      <w:r w:rsidR="009B6BDD">
        <w:t xml:space="preserve"> </w:t>
      </w:r>
      <w:r w:rsidRPr="00665A7A" w:rsidR="00665A7A">
        <w:t>and elsewhere in the supporting statement are presented as range</w:t>
      </w:r>
      <w:r w:rsidR="00C801A9">
        <w:t>s</w:t>
      </w:r>
      <w:r w:rsidRPr="00665A7A" w:rsidR="00665A7A">
        <w:t xml:space="preserve">. This is based on the range in the number of entities estimated to report because they imported aftermarket automobile brakes containing asbestos. For simplicity, the annualized burden and costs in </w:t>
      </w:r>
      <w:r>
        <w:fldChar w:fldCharType="begin"/>
      </w:r>
      <w:r>
        <w:instrText xml:space="preserve"> REF _Ref133342369  \* MERGEFORMAT </w:instrText>
      </w:r>
      <w:r>
        <w:fldChar w:fldCharType="separate"/>
      </w:r>
      <w:r w:rsidRPr="009F0705" w:rsidR="009F0705">
        <w:rPr>
          <w:rFonts w:cs="Arial"/>
        </w:rPr>
        <w:t xml:space="preserve">Table </w:t>
      </w:r>
      <w:r w:rsidRPr="009F0705" w:rsidR="009F0705">
        <w:rPr>
          <w:rFonts w:cs="Arial"/>
          <w:noProof/>
        </w:rPr>
        <w:t>2</w:t>
      </w:r>
      <w:r w:rsidRPr="009F0705" w:rsidR="009F0705">
        <w:rPr>
          <w:rFonts w:cs="Arial"/>
          <w:noProof/>
        </w:rPr>
        <w:fldChar w:fldCharType="end"/>
      </w:r>
      <w:r w:rsidR="009B6BDD">
        <w:t xml:space="preserve"> </w:t>
      </w:r>
      <w:r w:rsidRPr="00665A7A" w:rsidR="00665A7A">
        <w:t>are based on the upper bound estimate.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800"/>
        <w:gridCol w:w="2250"/>
        <w:gridCol w:w="2515"/>
      </w:tblGrid>
      <w:tr w14:paraId="424D3182" w14:textId="77777777" w:rsidTr="005313CD">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0"/>
        </w:trPr>
        <w:tc>
          <w:tcPr>
            <w:tcW w:w="9355" w:type="dxa"/>
            <w:gridSpan w:val="4"/>
            <w:tcBorders>
              <w:top w:val="single" w:sz="4" w:space="0" w:color="auto"/>
            </w:tcBorders>
            <w:shd w:val="clear" w:color="auto" w:fill="FFFFFF" w:themeFill="background1"/>
            <w:noWrap/>
            <w:vAlign w:val="center"/>
          </w:tcPr>
          <w:p w:rsidR="00560CB8" w:rsidRPr="00C52B2E" w:rsidP="005313CD" w14:paraId="1EE495A2" w14:textId="7EE1D9DD">
            <w:pPr>
              <w:keepNext/>
              <w:keepLines/>
              <w:spacing w:after="0" w:line="240" w:lineRule="auto"/>
              <w:rPr>
                <w:rFonts w:cs="Arial"/>
                <w:b/>
                <w:szCs w:val="24"/>
              </w:rPr>
            </w:pPr>
            <w:bookmarkStart w:id="4" w:name="_Ref123028572"/>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1</w:t>
            </w:r>
            <w:r w:rsidRPr="00DE66D8">
              <w:rPr>
                <w:rFonts w:cs="Arial"/>
                <w:b/>
              </w:rPr>
              <w:fldChar w:fldCharType="end"/>
            </w:r>
            <w:bookmarkEnd w:id="4"/>
            <w:r w:rsidRPr="00DE66D8">
              <w:rPr>
                <w:rFonts w:cs="Arial"/>
                <w:b/>
              </w:rPr>
              <w:t>:</w:t>
            </w:r>
            <w:r w:rsidRPr="00C52B2E">
              <w:rPr>
                <w:rFonts w:cs="Arial"/>
                <w:b/>
              </w:rPr>
              <w:t xml:space="preserve"> </w:t>
            </w:r>
            <w:r w:rsidRPr="00DE66D8">
              <w:rPr>
                <w:b/>
              </w:rPr>
              <w:t>Summary Total Burden and Costs</w:t>
            </w:r>
          </w:p>
        </w:tc>
      </w:tr>
      <w:tr w14:paraId="7C254E13" w14:textId="77777777" w:rsidTr="00831F62">
        <w:tblPrEx>
          <w:tblW w:w="9355" w:type="dxa"/>
          <w:tblInd w:w="-5" w:type="dxa"/>
          <w:tblLayout w:type="fixed"/>
          <w:tblLook w:val="04A0"/>
        </w:tblPrEx>
        <w:trPr>
          <w:cantSplit/>
          <w:trHeight w:val="280"/>
        </w:trPr>
        <w:tc>
          <w:tcPr>
            <w:tcW w:w="2790" w:type="dxa"/>
            <w:tcBorders>
              <w:top w:val="single" w:sz="4" w:space="0" w:color="auto"/>
            </w:tcBorders>
            <w:shd w:val="clear" w:color="auto" w:fill="FFFFFF" w:themeFill="background1"/>
            <w:noWrap/>
            <w:vAlign w:val="center"/>
            <w:hideMark/>
          </w:tcPr>
          <w:p w:rsidR="00560CB8" w:rsidRPr="00EE0077" w:rsidP="005313CD" w14:paraId="267110E9" w14:textId="77777777">
            <w:pPr>
              <w:keepNext/>
              <w:keepLines/>
              <w:spacing w:after="0" w:line="240" w:lineRule="auto"/>
              <w:jc w:val="center"/>
              <w:rPr>
                <w:rFonts w:ascii="Arial Narrow" w:hAnsi="Arial Narrow" w:cs="Arial"/>
                <w:b/>
                <w:bCs/>
                <w:sz w:val="20"/>
                <w:szCs w:val="20"/>
              </w:rPr>
            </w:pPr>
            <w:r w:rsidRPr="00EE0077">
              <w:rPr>
                <w:rFonts w:ascii="Arial Narrow" w:hAnsi="Arial Narrow" w:cs="Arial"/>
                <w:b/>
                <w:bCs/>
                <w:sz w:val="20"/>
                <w:szCs w:val="20"/>
              </w:rPr>
              <w:t>Information Collection</w:t>
            </w:r>
          </w:p>
        </w:tc>
        <w:tc>
          <w:tcPr>
            <w:tcW w:w="1800" w:type="dxa"/>
            <w:tcBorders>
              <w:top w:val="single" w:sz="4" w:space="0" w:color="auto"/>
              <w:bottom w:val="single" w:sz="4" w:space="0" w:color="auto"/>
            </w:tcBorders>
            <w:shd w:val="clear" w:color="auto" w:fill="FFFFFF" w:themeFill="background1"/>
          </w:tcPr>
          <w:p w:rsidR="00560CB8" w:rsidRPr="00EE0077" w:rsidP="005313CD" w14:paraId="5AA27576" w14:textId="77777777">
            <w:pPr>
              <w:spacing w:after="0" w:line="240" w:lineRule="auto"/>
              <w:jc w:val="center"/>
              <w:rPr>
                <w:rFonts w:ascii="Arial Narrow" w:hAnsi="Arial Narrow" w:cs="Arial"/>
                <w:b/>
                <w:bCs/>
                <w:sz w:val="20"/>
                <w:szCs w:val="20"/>
              </w:rPr>
            </w:pPr>
            <w:r w:rsidRPr="00EE0077">
              <w:rPr>
                <w:rFonts w:ascii="Arial Narrow" w:hAnsi="Arial Narrow" w:cs="Arial"/>
                <w:b/>
                <w:bCs/>
                <w:sz w:val="20"/>
                <w:szCs w:val="20"/>
              </w:rPr>
              <w:t xml:space="preserve">Total Number of Respondents and Responses </w:t>
            </w:r>
          </w:p>
        </w:tc>
        <w:tc>
          <w:tcPr>
            <w:tcW w:w="2250" w:type="dxa"/>
            <w:tcBorders>
              <w:top w:val="single" w:sz="4" w:space="0" w:color="auto"/>
              <w:bottom w:val="single" w:sz="4" w:space="0" w:color="auto"/>
            </w:tcBorders>
            <w:shd w:val="clear" w:color="auto" w:fill="FFFFFF" w:themeFill="background1"/>
            <w:vAlign w:val="center"/>
          </w:tcPr>
          <w:p w:rsidR="00560CB8" w:rsidRPr="00EE0077" w:rsidP="005313CD" w14:paraId="25812043" w14:textId="77777777">
            <w:pPr>
              <w:spacing w:after="0" w:line="240" w:lineRule="auto"/>
              <w:jc w:val="center"/>
              <w:rPr>
                <w:rFonts w:ascii="Arial Narrow" w:hAnsi="Arial Narrow" w:cs="Arial"/>
                <w:b/>
                <w:bCs/>
                <w:sz w:val="20"/>
                <w:szCs w:val="20"/>
              </w:rPr>
            </w:pPr>
            <w:r w:rsidRPr="00EE0077">
              <w:rPr>
                <w:rFonts w:ascii="Arial Narrow" w:hAnsi="Arial Narrow" w:cs="Arial"/>
                <w:b/>
                <w:bCs/>
                <w:sz w:val="20"/>
                <w:szCs w:val="20"/>
              </w:rPr>
              <w:t>Total 3-Year Time Burden (Hours)</w:t>
            </w:r>
          </w:p>
        </w:tc>
        <w:tc>
          <w:tcPr>
            <w:tcW w:w="2515" w:type="dxa"/>
            <w:tcBorders>
              <w:top w:val="single" w:sz="4" w:space="0" w:color="auto"/>
              <w:bottom w:val="single" w:sz="4" w:space="0" w:color="auto"/>
            </w:tcBorders>
            <w:shd w:val="clear" w:color="auto" w:fill="FFFFFF" w:themeFill="background1"/>
            <w:noWrap/>
            <w:vAlign w:val="center"/>
            <w:hideMark/>
          </w:tcPr>
          <w:p w:rsidR="00560CB8" w:rsidRPr="00EE0077" w:rsidP="005313CD" w14:paraId="65BF6F7F" w14:textId="77777777">
            <w:pPr>
              <w:keepNext/>
              <w:keepLines/>
              <w:spacing w:after="0" w:line="240" w:lineRule="auto"/>
              <w:jc w:val="center"/>
              <w:rPr>
                <w:rFonts w:ascii="Arial Narrow" w:hAnsi="Arial Narrow" w:cs="Arial"/>
                <w:b/>
                <w:bCs/>
                <w:sz w:val="20"/>
                <w:szCs w:val="20"/>
              </w:rPr>
            </w:pPr>
            <w:r w:rsidRPr="00EE0077">
              <w:rPr>
                <w:rFonts w:ascii="Arial Narrow" w:hAnsi="Arial Narrow" w:cs="Arial"/>
                <w:b/>
                <w:bCs/>
                <w:sz w:val="20"/>
                <w:szCs w:val="20"/>
              </w:rPr>
              <w:t>Total 3-Year Cost (2021$)</w:t>
            </w:r>
          </w:p>
        </w:tc>
      </w:tr>
      <w:tr w14:paraId="5BBF764F" w14:textId="77777777" w:rsidTr="00831F62">
        <w:tblPrEx>
          <w:tblW w:w="9355" w:type="dxa"/>
          <w:tblInd w:w="-5" w:type="dxa"/>
          <w:tblLayout w:type="fixed"/>
          <w:tblLook w:val="04A0"/>
        </w:tblPrEx>
        <w:trPr>
          <w:cantSplit/>
          <w:trHeight w:val="330"/>
        </w:trPr>
        <w:tc>
          <w:tcPr>
            <w:tcW w:w="2790" w:type="dxa"/>
            <w:tcBorders>
              <w:top w:val="nil"/>
              <w:left w:val="single" w:sz="4" w:space="0" w:color="auto"/>
              <w:bottom w:val="single" w:sz="4" w:space="0" w:color="auto"/>
              <w:right w:val="single" w:sz="4" w:space="0" w:color="auto"/>
            </w:tcBorders>
            <w:shd w:val="clear" w:color="auto" w:fill="auto"/>
            <w:noWrap/>
            <w:vAlign w:val="bottom"/>
          </w:tcPr>
          <w:p w:rsidR="00560CB8" w:rsidRPr="00EE0077" w:rsidP="005313CD" w14:paraId="3E31212B"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Rule Familiarization</w:t>
            </w:r>
          </w:p>
        </w:tc>
        <w:tc>
          <w:tcPr>
            <w:tcW w:w="1800" w:type="dxa"/>
            <w:tcBorders>
              <w:top w:val="single" w:sz="4" w:space="0" w:color="auto"/>
              <w:bottom w:val="single" w:sz="4" w:space="0" w:color="auto"/>
            </w:tcBorders>
            <w:shd w:val="clear" w:color="auto" w:fill="FFFFFF" w:themeFill="background1"/>
            <w:vAlign w:val="center"/>
          </w:tcPr>
          <w:p w:rsidR="00560CB8" w:rsidRPr="00EE0077" w:rsidP="005313CD" w14:paraId="7DD2489B" w14:textId="204CDC1C">
            <w:pPr>
              <w:spacing w:after="0" w:line="240" w:lineRule="auto"/>
              <w:jc w:val="right"/>
              <w:rPr>
                <w:rFonts w:ascii="Arial Narrow" w:hAnsi="Arial Narrow" w:cs="Arial"/>
                <w:sz w:val="20"/>
                <w:szCs w:val="20"/>
              </w:rPr>
            </w:pPr>
            <w:r w:rsidRPr="00EE0077">
              <w:rPr>
                <w:rFonts w:ascii="Arial Narrow" w:hAnsi="Arial Narrow" w:cs="Arial"/>
                <w:sz w:val="20"/>
                <w:szCs w:val="20"/>
              </w:rPr>
              <w:t>67,647</w:t>
            </w:r>
            <w:r w:rsidR="00DA182B">
              <w:rPr>
                <w:rFonts w:ascii="Arial Narrow" w:hAnsi="Arial Narrow" w:cs="Arial"/>
                <w:sz w:val="20"/>
                <w:szCs w:val="20"/>
              </w:rPr>
              <w:t xml:space="preserve"> to 68,505</w:t>
            </w:r>
          </w:p>
        </w:tc>
        <w:tc>
          <w:tcPr>
            <w:tcW w:w="2250" w:type="dxa"/>
            <w:tcBorders>
              <w:top w:val="single" w:sz="4" w:space="0" w:color="auto"/>
              <w:bottom w:val="single" w:sz="4" w:space="0" w:color="auto"/>
            </w:tcBorders>
            <w:shd w:val="clear" w:color="auto" w:fill="FFFFFF" w:themeFill="background1"/>
            <w:vAlign w:val="center"/>
          </w:tcPr>
          <w:p w:rsidR="00560CB8" w:rsidRPr="00EE0077" w:rsidP="005313CD" w14:paraId="07386849" w14:textId="1C70ADEF">
            <w:pPr>
              <w:spacing w:after="0" w:line="240" w:lineRule="auto"/>
              <w:jc w:val="right"/>
              <w:rPr>
                <w:rFonts w:ascii="Arial Narrow" w:hAnsi="Arial Narrow" w:cs="Arial"/>
                <w:sz w:val="20"/>
                <w:szCs w:val="20"/>
              </w:rPr>
            </w:pPr>
            <w:r w:rsidRPr="00EE0077">
              <w:rPr>
                <w:rFonts w:ascii="Arial Narrow" w:hAnsi="Arial Narrow" w:cs="Arial"/>
                <w:sz w:val="20"/>
                <w:szCs w:val="20"/>
              </w:rPr>
              <w:t>628,478</w:t>
            </w:r>
            <w:r w:rsidR="00E67101">
              <w:rPr>
                <w:rFonts w:ascii="Arial Narrow" w:hAnsi="Arial Narrow" w:cs="Arial"/>
                <w:sz w:val="20"/>
                <w:szCs w:val="20"/>
              </w:rPr>
              <w:t xml:space="preserve"> to 649,079</w:t>
            </w:r>
          </w:p>
        </w:tc>
        <w:tc>
          <w:tcPr>
            <w:tcW w:w="2515" w:type="dxa"/>
            <w:tcBorders>
              <w:top w:val="single" w:sz="4" w:space="0" w:color="auto"/>
              <w:bottom w:val="single" w:sz="4" w:space="0" w:color="auto"/>
            </w:tcBorders>
            <w:shd w:val="clear" w:color="auto" w:fill="FFFFFF" w:themeFill="background1"/>
            <w:noWrap/>
            <w:vAlign w:val="center"/>
          </w:tcPr>
          <w:p w:rsidR="00560CB8" w:rsidRPr="00EE0077" w:rsidP="005313CD" w14:paraId="1A05634E" w14:textId="2C86F05A">
            <w:pPr>
              <w:keepNext/>
              <w:keepLines/>
              <w:spacing w:after="0" w:line="240" w:lineRule="auto"/>
              <w:jc w:val="right"/>
              <w:rPr>
                <w:rFonts w:ascii="Arial Narrow" w:hAnsi="Arial Narrow" w:cs="Arial"/>
                <w:sz w:val="20"/>
                <w:szCs w:val="20"/>
              </w:rPr>
            </w:pPr>
            <w:r w:rsidRPr="00EE0077">
              <w:rPr>
                <w:rFonts w:ascii="Arial Narrow" w:hAnsi="Arial Narrow" w:cs="Arial"/>
                <w:sz w:val="20"/>
                <w:szCs w:val="20"/>
              </w:rPr>
              <w:t>$53,438,335</w:t>
            </w:r>
            <w:r w:rsidR="00D75616">
              <w:rPr>
                <w:rFonts w:ascii="Arial Narrow" w:hAnsi="Arial Narrow" w:cs="Arial"/>
                <w:sz w:val="20"/>
                <w:szCs w:val="20"/>
              </w:rPr>
              <w:t xml:space="preserve"> to $</w:t>
            </w:r>
            <w:r w:rsidR="00323F57">
              <w:rPr>
                <w:rFonts w:ascii="Arial Narrow" w:hAnsi="Arial Narrow" w:cs="Arial"/>
                <w:sz w:val="20"/>
                <w:szCs w:val="20"/>
              </w:rPr>
              <w:t>55,186,059</w:t>
            </w:r>
          </w:p>
        </w:tc>
      </w:tr>
      <w:tr w14:paraId="282DB262" w14:textId="77777777" w:rsidTr="00831F62">
        <w:tblPrEx>
          <w:tblW w:w="9355" w:type="dxa"/>
          <w:tblInd w:w="-5" w:type="dxa"/>
          <w:tblLayout w:type="fixed"/>
          <w:tblLook w:val="04A0"/>
        </w:tblPrEx>
        <w:trPr>
          <w:cantSplit/>
          <w:trHeight w:val="330"/>
        </w:trPr>
        <w:tc>
          <w:tcPr>
            <w:tcW w:w="2790" w:type="dxa"/>
            <w:tcBorders>
              <w:top w:val="nil"/>
              <w:left w:val="single" w:sz="4" w:space="0" w:color="auto"/>
              <w:bottom w:val="single" w:sz="4" w:space="0" w:color="auto"/>
              <w:right w:val="single" w:sz="4" w:space="0" w:color="auto"/>
            </w:tcBorders>
            <w:shd w:val="clear" w:color="auto" w:fill="auto"/>
            <w:noWrap/>
            <w:vAlign w:val="bottom"/>
          </w:tcPr>
          <w:p w:rsidR="00560CB8" w:rsidRPr="00EE0077" w:rsidP="005313CD" w14:paraId="5B2A9FC5"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Compliance Determination</w:t>
            </w:r>
          </w:p>
        </w:tc>
        <w:tc>
          <w:tcPr>
            <w:tcW w:w="1800" w:type="dxa"/>
            <w:tcBorders>
              <w:top w:val="single" w:sz="4" w:space="0" w:color="auto"/>
              <w:bottom w:val="single" w:sz="4" w:space="0" w:color="auto"/>
            </w:tcBorders>
            <w:shd w:val="clear" w:color="auto" w:fill="FFFFFF" w:themeFill="background1"/>
            <w:vAlign w:val="center"/>
          </w:tcPr>
          <w:p w:rsidR="00560CB8" w:rsidRPr="00EE0077" w:rsidP="005313CD" w14:paraId="0D403810" w14:textId="38DA9B27">
            <w:pPr>
              <w:spacing w:after="0" w:line="240" w:lineRule="auto"/>
              <w:jc w:val="right"/>
              <w:rPr>
                <w:rFonts w:ascii="Arial Narrow" w:hAnsi="Arial Narrow" w:cs="Arial"/>
                <w:sz w:val="20"/>
                <w:szCs w:val="20"/>
              </w:rPr>
            </w:pPr>
            <w:r w:rsidRPr="00EE0077">
              <w:rPr>
                <w:rFonts w:ascii="Arial Narrow" w:hAnsi="Arial Narrow" w:cs="Arial"/>
                <w:sz w:val="20"/>
                <w:szCs w:val="20"/>
              </w:rPr>
              <w:t>67,632</w:t>
            </w:r>
          </w:p>
        </w:tc>
        <w:tc>
          <w:tcPr>
            <w:tcW w:w="2250" w:type="dxa"/>
            <w:tcBorders>
              <w:top w:val="single" w:sz="4" w:space="0" w:color="auto"/>
              <w:bottom w:val="single" w:sz="4" w:space="0" w:color="auto"/>
            </w:tcBorders>
            <w:shd w:val="clear" w:color="auto" w:fill="FFFFFF" w:themeFill="background1"/>
            <w:vAlign w:val="center"/>
          </w:tcPr>
          <w:p w:rsidR="00560CB8" w:rsidRPr="00EE0077" w:rsidP="005313CD" w14:paraId="73B37C13" w14:textId="77777777">
            <w:pPr>
              <w:spacing w:after="0" w:line="240" w:lineRule="auto"/>
              <w:jc w:val="right"/>
              <w:rPr>
                <w:rFonts w:ascii="Arial Narrow" w:hAnsi="Arial Narrow" w:cs="Arial"/>
                <w:sz w:val="20"/>
                <w:szCs w:val="20"/>
              </w:rPr>
            </w:pPr>
            <w:r w:rsidRPr="00EE0077">
              <w:rPr>
                <w:rFonts w:ascii="Arial Narrow" w:hAnsi="Arial Narrow" w:cs="Arial"/>
                <w:sz w:val="20"/>
                <w:szCs w:val="20"/>
              </w:rPr>
              <w:t>3,878,695</w:t>
            </w:r>
          </w:p>
        </w:tc>
        <w:tc>
          <w:tcPr>
            <w:tcW w:w="2515" w:type="dxa"/>
            <w:tcBorders>
              <w:top w:val="single" w:sz="4" w:space="0" w:color="auto"/>
              <w:bottom w:val="single" w:sz="4" w:space="0" w:color="auto"/>
            </w:tcBorders>
            <w:shd w:val="clear" w:color="auto" w:fill="FFFFFF" w:themeFill="background1"/>
            <w:noWrap/>
            <w:vAlign w:val="center"/>
          </w:tcPr>
          <w:p w:rsidR="00560CB8" w:rsidRPr="00EE0077" w:rsidP="005313CD" w14:paraId="47ABE2EE" w14:textId="77777777">
            <w:pPr>
              <w:keepNext/>
              <w:keepLines/>
              <w:spacing w:after="0" w:line="240" w:lineRule="auto"/>
              <w:jc w:val="right"/>
              <w:rPr>
                <w:rFonts w:ascii="Arial Narrow" w:hAnsi="Arial Narrow" w:cs="Arial"/>
                <w:sz w:val="20"/>
                <w:szCs w:val="20"/>
              </w:rPr>
            </w:pPr>
            <w:r w:rsidRPr="00EE0077">
              <w:rPr>
                <w:rFonts w:ascii="Arial Narrow" w:hAnsi="Arial Narrow" w:cs="Arial"/>
                <w:sz w:val="20"/>
                <w:szCs w:val="20"/>
              </w:rPr>
              <w:t>$264,884,110</w:t>
            </w:r>
          </w:p>
        </w:tc>
      </w:tr>
      <w:tr w14:paraId="6E82831B" w14:textId="77777777" w:rsidTr="00831F62">
        <w:tblPrEx>
          <w:tblW w:w="9355" w:type="dxa"/>
          <w:tblInd w:w="-5" w:type="dxa"/>
          <w:tblLayout w:type="fixed"/>
          <w:tblLook w:val="04A0"/>
        </w:tblPrEx>
        <w:trPr>
          <w:cantSplit/>
          <w:trHeight w:val="330"/>
        </w:trPr>
        <w:tc>
          <w:tcPr>
            <w:tcW w:w="2790" w:type="dxa"/>
            <w:tcBorders>
              <w:top w:val="nil"/>
              <w:left w:val="single" w:sz="4" w:space="0" w:color="auto"/>
              <w:bottom w:val="single" w:sz="4" w:space="0" w:color="auto"/>
              <w:right w:val="single" w:sz="4" w:space="0" w:color="auto"/>
            </w:tcBorders>
            <w:shd w:val="clear" w:color="auto" w:fill="auto"/>
            <w:noWrap/>
            <w:vAlign w:val="bottom"/>
          </w:tcPr>
          <w:p w:rsidR="00560CB8" w:rsidRPr="00EE0077" w:rsidP="005313CD" w14:paraId="7C211EFB"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CDX Registration</w:t>
            </w:r>
          </w:p>
        </w:tc>
        <w:tc>
          <w:tcPr>
            <w:tcW w:w="1800" w:type="dxa"/>
            <w:tcBorders>
              <w:top w:val="single" w:sz="4" w:space="0" w:color="auto"/>
              <w:bottom w:val="single" w:sz="4" w:space="0" w:color="auto"/>
            </w:tcBorders>
            <w:shd w:val="clear" w:color="auto" w:fill="FFFFFF" w:themeFill="background1"/>
            <w:vAlign w:val="center"/>
          </w:tcPr>
          <w:p w:rsidR="00560CB8" w:rsidRPr="00EE0077" w:rsidP="005313CD" w14:paraId="1DAE8B08" w14:textId="63FBC496">
            <w:pPr>
              <w:spacing w:after="0" w:line="240" w:lineRule="auto"/>
              <w:jc w:val="right"/>
              <w:rPr>
                <w:rFonts w:ascii="Arial Narrow" w:hAnsi="Arial Narrow" w:cs="Arial"/>
                <w:sz w:val="20"/>
                <w:szCs w:val="20"/>
              </w:rPr>
            </w:pPr>
            <w:r w:rsidRPr="00EE0077">
              <w:rPr>
                <w:rFonts w:ascii="Arial Narrow" w:hAnsi="Arial Narrow" w:cs="Arial"/>
                <w:sz w:val="20"/>
                <w:szCs w:val="20"/>
              </w:rPr>
              <w:t>186</w:t>
            </w:r>
            <w:r w:rsidR="005E304F">
              <w:rPr>
                <w:rFonts w:ascii="Arial Narrow" w:hAnsi="Arial Narrow" w:cs="Arial"/>
                <w:sz w:val="20"/>
                <w:szCs w:val="20"/>
              </w:rPr>
              <w:t xml:space="preserve"> to 1,</w:t>
            </w:r>
            <w:r w:rsidR="00A83CD4">
              <w:rPr>
                <w:rFonts w:ascii="Arial Narrow" w:hAnsi="Arial Narrow" w:cs="Arial"/>
                <w:sz w:val="20"/>
                <w:szCs w:val="20"/>
              </w:rPr>
              <w:t>044</w:t>
            </w:r>
          </w:p>
        </w:tc>
        <w:tc>
          <w:tcPr>
            <w:tcW w:w="2250" w:type="dxa"/>
            <w:tcBorders>
              <w:top w:val="single" w:sz="4" w:space="0" w:color="auto"/>
              <w:bottom w:val="single" w:sz="4" w:space="0" w:color="auto"/>
            </w:tcBorders>
            <w:shd w:val="clear" w:color="auto" w:fill="FFFFFF" w:themeFill="background1"/>
            <w:vAlign w:val="center"/>
          </w:tcPr>
          <w:p w:rsidR="00560CB8" w:rsidRPr="00EE0077" w:rsidP="005313CD" w14:paraId="4C187185" w14:textId="2E53CE44">
            <w:pPr>
              <w:spacing w:after="0" w:line="240" w:lineRule="auto"/>
              <w:jc w:val="right"/>
              <w:rPr>
                <w:rFonts w:ascii="Arial Narrow" w:hAnsi="Arial Narrow" w:cs="Arial"/>
                <w:sz w:val="20"/>
                <w:szCs w:val="20"/>
              </w:rPr>
            </w:pPr>
            <w:r w:rsidRPr="00EE0077">
              <w:rPr>
                <w:rFonts w:ascii="Arial Narrow" w:hAnsi="Arial Narrow" w:cs="Arial"/>
                <w:sz w:val="20"/>
                <w:szCs w:val="20"/>
              </w:rPr>
              <w:t>495</w:t>
            </w:r>
            <w:r w:rsidR="00AF3A8F">
              <w:rPr>
                <w:rFonts w:ascii="Arial Narrow" w:hAnsi="Arial Narrow" w:cs="Arial"/>
                <w:sz w:val="20"/>
                <w:szCs w:val="20"/>
              </w:rPr>
              <w:t xml:space="preserve"> to 2,778</w:t>
            </w:r>
          </w:p>
        </w:tc>
        <w:tc>
          <w:tcPr>
            <w:tcW w:w="2515" w:type="dxa"/>
            <w:tcBorders>
              <w:top w:val="single" w:sz="4" w:space="0" w:color="auto"/>
              <w:bottom w:val="single" w:sz="4" w:space="0" w:color="auto"/>
            </w:tcBorders>
            <w:shd w:val="clear" w:color="auto" w:fill="FFFFFF" w:themeFill="background1"/>
            <w:noWrap/>
            <w:vAlign w:val="center"/>
          </w:tcPr>
          <w:p w:rsidR="00560CB8" w:rsidRPr="00EE0077" w:rsidP="005313CD" w14:paraId="60C7DD52" w14:textId="15A54BEE">
            <w:pPr>
              <w:keepNext/>
              <w:keepLines/>
              <w:spacing w:after="0" w:line="240" w:lineRule="auto"/>
              <w:jc w:val="right"/>
              <w:rPr>
                <w:rFonts w:ascii="Arial Narrow" w:hAnsi="Arial Narrow" w:cs="Arial"/>
                <w:sz w:val="20"/>
                <w:szCs w:val="20"/>
              </w:rPr>
            </w:pPr>
            <w:r w:rsidRPr="00EE0077">
              <w:rPr>
                <w:rFonts w:ascii="Arial Narrow" w:hAnsi="Arial Narrow" w:cs="Arial"/>
                <w:sz w:val="20"/>
                <w:szCs w:val="20"/>
              </w:rPr>
              <w:t>$42,915</w:t>
            </w:r>
            <w:r w:rsidR="00831F62">
              <w:rPr>
                <w:rFonts w:ascii="Arial Narrow" w:hAnsi="Arial Narrow" w:cs="Arial"/>
                <w:sz w:val="20"/>
                <w:szCs w:val="20"/>
              </w:rPr>
              <w:t xml:space="preserve"> to </w:t>
            </w:r>
            <w:r w:rsidR="00C5554F">
              <w:rPr>
                <w:rFonts w:ascii="Arial Narrow" w:hAnsi="Arial Narrow" w:cs="Arial"/>
                <w:sz w:val="20"/>
                <w:szCs w:val="20"/>
              </w:rPr>
              <w:t>$240,971</w:t>
            </w:r>
          </w:p>
        </w:tc>
      </w:tr>
      <w:tr w14:paraId="08BDCA66" w14:textId="77777777" w:rsidTr="00831F62">
        <w:tblPrEx>
          <w:tblW w:w="9355" w:type="dxa"/>
          <w:tblInd w:w="-5" w:type="dxa"/>
          <w:tblLayout w:type="fixed"/>
          <w:tblLook w:val="04A0"/>
        </w:tblPrEx>
        <w:trPr>
          <w:cantSplit/>
          <w:trHeight w:val="33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0CB8" w:rsidRPr="00EE0077" w:rsidP="005313CD" w14:paraId="1FEC875D"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CBI Claim Substantiation</w:t>
            </w:r>
          </w:p>
        </w:tc>
        <w:tc>
          <w:tcPr>
            <w:tcW w:w="1800" w:type="dxa"/>
            <w:tcBorders>
              <w:top w:val="single" w:sz="4" w:space="0" w:color="auto"/>
              <w:bottom w:val="single" w:sz="4" w:space="0" w:color="auto"/>
            </w:tcBorders>
            <w:shd w:val="clear" w:color="auto" w:fill="auto"/>
            <w:vAlign w:val="center"/>
          </w:tcPr>
          <w:p w:rsidR="00560CB8" w:rsidRPr="00EE0077" w:rsidP="005313CD" w14:paraId="5011CBA2" w14:textId="51F6CA7E">
            <w:pPr>
              <w:spacing w:after="0" w:line="240" w:lineRule="auto"/>
              <w:jc w:val="right"/>
              <w:rPr>
                <w:rFonts w:ascii="Arial Narrow" w:hAnsi="Arial Narrow" w:cs="Arial"/>
                <w:sz w:val="20"/>
                <w:szCs w:val="20"/>
              </w:rPr>
            </w:pPr>
            <w:r w:rsidRPr="00EE0077">
              <w:rPr>
                <w:rFonts w:ascii="Arial Narrow" w:hAnsi="Arial Narrow" w:cs="Arial"/>
                <w:sz w:val="20"/>
                <w:szCs w:val="20"/>
              </w:rPr>
              <w:t>268</w:t>
            </w:r>
            <w:r w:rsidR="005E304F">
              <w:rPr>
                <w:rFonts w:ascii="Arial Narrow" w:hAnsi="Arial Narrow" w:cs="Arial"/>
                <w:sz w:val="20"/>
                <w:szCs w:val="20"/>
              </w:rPr>
              <w:t xml:space="preserve"> to 1,126</w:t>
            </w:r>
          </w:p>
        </w:tc>
        <w:tc>
          <w:tcPr>
            <w:tcW w:w="2250" w:type="dxa"/>
            <w:tcBorders>
              <w:top w:val="single" w:sz="4" w:space="0" w:color="auto"/>
              <w:bottom w:val="single" w:sz="4" w:space="0" w:color="auto"/>
            </w:tcBorders>
            <w:shd w:val="clear" w:color="auto" w:fill="auto"/>
            <w:vAlign w:val="center"/>
          </w:tcPr>
          <w:p w:rsidR="00560CB8" w:rsidRPr="00EE0077" w:rsidP="005313CD" w14:paraId="55BDDF51" w14:textId="01E04882">
            <w:pPr>
              <w:spacing w:after="0" w:line="240" w:lineRule="auto"/>
              <w:jc w:val="right"/>
              <w:rPr>
                <w:rFonts w:ascii="Arial Narrow" w:hAnsi="Arial Narrow" w:cs="Arial"/>
                <w:sz w:val="20"/>
                <w:szCs w:val="20"/>
              </w:rPr>
            </w:pPr>
            <w:r w:rsidRPr="00EE0077">
              <w:rPr>
                <w:rFonts w:ascii="Arial Narrow" w:hAnsi="Arial Narrow" w:cs="Arial"/>
                <w:sz w:val="20"/>
                <w:szCs w:val="20"/>
              </w:rPr>
              <w:t>188</w:t>
            </w:r>
            <w:r w:rsidR="00AF3A8F">
              <w:rPr>
                <w:rFonts w:ascii="Arial Narrow" w:hAnsi="Arial Narrow" w:cs="Arial"/>
                <w:sz w:val="20"/>
                <w:szCs w:val="20"/>
              </w:rPr>
              <w:t xml:space="preserve"> to 789</w:t>
            </w:r>
          </w:p>
        </w:tc>
        <w:tc>
          <w:tcPr>
            <w:tcW w:w="2515" w:type="dxa"/>
            <w:tcBorders>
              <w:top w:val="single" w:sz="4" w:space="0" w:color="auto"/>
              <w:bottom w:val="single" w:sz="4" w:space="0" w:color="auto"/>
            </w:tcBorders>
            <w:shd w:val="clear" w:color="auto" w:fill="auto"/>
            <w:noWrap/>
            <w:vAlign w:val="center"/>
          </w:tcPr>
          <w:p w:rsidR="00560CB8" w:rsidRPr="00EE0077" w:rsidP="005313CD" w14:paraId="702CFB9E" w14:textId="33129645">
            <w:pPr>
              <w:keepNext/>
              <w:keepLines/>
              <w:spacing w:after="0" w:line="240" w:lineRule="auto"/>
              <w:jc w:val="right"/>
              <w:rPr>
                <w:rFonts w:ascii="Arial Narrow" w:hAnsi="Arial Narrow" w:cs="Arial"/>
                <w:sz w:val="20"/>
                <w:szCs w:val="20"/>
              </w:rPr>
            </w:pPr>
            <w:r w:rsidRPr="00EE0077">
              <w:rPr>
                <w:rFonts w:ascii="Arial Narrow" w:hAnsi="Arial Narrow" w:cs="Arial"/>
                <w:sz w:val="20"/>
                <w:szCs w:val="20"/>
              </w:rPr>
              <w:t>$15,319</w:t>
            </w:r>
            <w:r w:rsidR="00C5554F">
              <w:rPr>
                <w:rFonts w:ascii="Arial Narrow" w:hAnsi="Arial Narrow" w:cs="Arial"/>
                <w:sz w:val="20"/>
                <w:szCs w:val="20"/>
              </w:rPr>
              <w:t xml:space="preserve"> to $64,379</w:t>
            </w:r>
          </w:p>
        </w:tc>
      </w:tr>
      <w:tr w14:paraId="11499918" w14:textId="77777777" w:rsidTr="00831F62">
        <w:tblPrEx>
          <w:tblW w:w="9355" w:type="dxa"/>
          <w:tblInd w:w="-5" w:type="dxa"/>
          <w:tblLayout w:type="fixed"/>
          <w:tblLook w:val="04A0"/>
        </w:tblPrEx>
        <w:trPr>
          <w:cantSplit/>
          <w:trHeight w:val="28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0CB8" w:rsidRPr="00EE0077" w:rsidP="005313CD" w14:paraId="740A510A" w14:textId="77777777">
            <w:pPr>
              <w:pStyle w:val="LTableTextAbt"/>
              <w:spacing w:before="0" w:after="0"/>
              <w:rPr>
                <w:rFonts w:cs="Arial"/>
              </w:rPr>
            </w:pPr>
            <w:r w:rsidRPr="00EE0077">
              <w:rPr>
                <w:rFonts w:cs="Arial"/>
              </w:rPr>
              <w:t>Recordkeeping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60CB8" w:rsidRPr="00EE0077" w:rsidP="005313CD" w14:paraId="4AD3F05B" w14:textId="76F195E4">
            <w:pPr>
              <w:pStyle w:val="RTableTextAbt"/>
              <w:rPr>
                <w:rFonts w:cs="Arial"/>
                <w:bCs w:val="0"/>
              </w:rPr>
            </w:pPr>
            <w:r w:rsidRPr="00EE0077">
              <w:rPr>
                <w:rFonts w:cs="Arial"/>
                <w:bCs w:val="0"/>
              </w:rPr>
              <w:t>268</w:t>
            </w:r>
            <w:r w:rsidR="005E304F">
              <w:rPr>
                <w:rFonts w:cs="Arial"/>
                <w:bCs w:val="0"/>
              </w:rPr>
              <w:t xml:space="preserve"> to 1,126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60CB8" w:rsidRPr="00EE0077" w:rsidP="005313CD" w14:paraId="3FB8B97C" w14:textId="090879E9">
            <w:pPr>
              <w:pStyle w:val="RTableTextAbt"/>
              <w:rPr>
                <w:rFonts w:cs="Arial"/>
              </w:rPr>
            </w:pPr>
            <w:r w:rsidRPr="00EE0077">
              <w:rPr>
                <w:rFonts w:cs="Arial"/>
              </w:rPr>
              <w:t>268</w:t>
            </w:r>
            <w:r w:rsidR="00AF3A8F">
              <w:rPr>
                <w:rFonts w:cs="Arial"/>
              </w:rPr>
              <w:t xml:space="preserve"> to 1,126</w:t>
            </w:r>
          </w:p>
        </w:tc>
        <w:tc>
          <w:tcPr>
            <w:tcW w:w="2515" w:type="dxa"/>
            <w:tcBorders>
              <w:top w:val="single" w:sz="4" w:space="0" w:color="auto"/>
              <w:left w:val="nil"/>
              <w:bottom w:val="single" w:sz="4" w:space="0" w:color="auto"/>
              <w:right w:val="single" w:sz="4" w:space="0" w:color="auto"/>
            </w:tcBorders>
            <w:shd w:val="clear" w:color="auto" w:fill="auto"/>
            <w:noWrap/>
            <w:vAlign w:val="center"/>
          </w:tcPr>
          <w:p w:rsidR="00560CB8" w:rsidRPr="00EE0077" w:rsidP="005313CD" w14:paraId="2CB0AF80" w14:textId="1F8AD29B">
            <w:pPr>
              <w:pStyle w:val="RTableTextAbt"/>
              <w:rPr>
                <w:rFonts w:cs="Arial"/>
              </w:rPr>
            </w:pPr>
            <w:r w:rsidRPr="00EE0077">
              <w:rPr>
                <w:rFonts w:cs="Arial"/>
              </w:rPr>
              <w:t>$15,890</w:t>
            </w:r>
            <w:r w:rsidR="00C5554F">
              <w:rPr>
                <w:rFonts w:cs="Arial"/>
              </w:rPr>
              <w:t xml:space="preserve"> to $</w:t>
            </w:r>
            <w:r w:rsidR="00B42BCE">
              <w:rPr>
                <w:rFonts w:cs="Arial"/>
              </w:rPr>
              <w:t>6</w:t>
            </w:r>
            <w:r w:rsidR="002C1BA7">
              <w:rPr>
                <w:rFonts w:cs="Arial"/>
              </w:rPr>
              <w:t>6,784</w:t>
            </w:r>
          </w:p>
        </w:tc>
      </w:tr>
      <w:tr w14:paraId="1CC09119" w14:textId="77777777" w:rsidTr="00831F62">
        <w:tblPrEx>
          <w:tblW w:w="9355" w:type="dxa"/>
          <w:tblInd w:w="-5" w:type="dxa"/>
          <w:tblLayout w:type="fixed"/>
          <w:tblLook w:val="04A0"/>
        </w:tblPrEx>
        <w:trPr>
          <w:cantSplit/>
          <w:trHeight w:val="28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0CB8" w:rsidRPr="00EE0077" w:rsidP="005313CD" w14:paraId="4F82EE28" w14:textId="77777777">
            <w:pPr>
              <w:pStyle w:val="LTableTextAbt"/>
              <w:spacing w:before="0" w:after="0"/>
              <w:rPr>
                <w:rFonts w:cs="Arial"/>
              </w:rPr>
            </w:pPr>
            <w:r w:rsidRPr="00EE0077">
              <w:rPr>
                <w:rFonts w:cs="Arial"/>
              </w:rPr>
              <w:t xml:space="preserve">Form Completion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60CB8" w:rsidRPr="00EE0077" w:rsidP="005313CD" w14:paraId="6CF75676" w14:textId="0D829E54">
            <w:pPr>
              <w:pStyle w:val="RTableTextAbt"/>
              <w:rPr>
                <w:rFonts w:cs="Arial"/>
                <w:bCs w:val="0"/>
              </w:rPr>
            </w:pPr>
            <w:r w:rsidRPr="00EE0077">
              <w:rPr>
                <w:rFonts w:cs="Arial"/>
                <w:bCs w:val="0"/>
              </w:rPr>
              <w:t>268</w:t>
            </w:r>
            <w:r w:rsidR="00A83CD4">
              <w:rPr>
                <w:rFonts w:cs="Arial"/>
                <w:bCs w:val="0"/>
              </w:rPr>
              <w:t xml:space="preserve"> to 1,126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60CB8" w:rsidRPr="00EE0077" w:rsidP="005313CD" w14:paraId="67BCD637" w14:textId="62F73E95">
            <w:pPr>
              <w:pStyle w:val="RTableTextAbt"/>
              <w:rPr>
                <w:rFonts w:cs="Arial"/>
              </w:rPr>
            </w:pPr>
            <w:r w:rsidRPr="00EE0077">
              <w:rPr>
                <w:rFonts w:cs="Arial"/>
              </w:rPr>
              <w:t>10,131</w:t>
            </w:r>
            <w:r w:rsidR="00D75616">
              <w:rPr>
                <w:rFonts w:cs="Arial"/>
              </w:rPr>
              <w:t xml:space="preserve"> to 28,930</w:t>
            </w:r>
          </w:p>
        </w:tc>
        <w:tc>
          <w:tcPr>
            <w:tcW w:w="2515" w:type="dxa"/>
            <w:tcBorders>
              <w:top w:val="single" w:sz="4" w:space="0" w:color="auto"/>
              <w:left w:val="nil"/>
              <w:bottom w:val="single" w:sz="4" w:space="0" w:color="auto"/>
              <w:right w:val="single" w:sz="4" w:space="0" w:color="auto"/>
            </w:tcBorders>
            <w:shd w:val="clear" w:color="auto" w:fill="auto"/>
            <w:noWrap/>
            <w:vAlign w:val="center"/>
          </w:tcPr>
          <w:p w:rsidR="00560CB8" w:rsidRPr="00EE0077" w:rsidP="005313CD" w14:paraId="5272E4CE" w14:textId="058DF06C">
            <w:pPr>
              <w:pStyle w:val="RTableTextAbt"/>
              <w:rPr>
                <w:rFonts w:cs="Arial"/>
                <w:highlight w:val="green"/>
              </w:rPr>
            </w:pPr>
            <w:r w:rsidRPr="00EE0077">
              <w:rPr>
                <w:rFonts w:cs="Arial"/>
              </w:rPr>
              <w:t>$894,346</w:t>
            </w:r>
            <w:r w:rsidR="00B42BCE">
              <w:rPr>
                <w:rFonts w:cs="Arial"/>
              </w:rPr>
              <w:t xml:space="preserve"> to $</w:t>
            </w:r>
            <w:r w:rsidR="00EB3CB9">
              <w:rPr>
                <w:rFonts w:cs="Arial"/>
              </w:rPr>
              <w:t>2,</w:t>
            </w:r>
            <w:r w:rsidR="000E26DD">
              <w:rPr>
                <w:rFonts w:cs="Arial"/>
              </w:rPr>
              <w:t>651,625</w:t>
            </w:r>
          </w:p>
        </w:tc>
      </w:tr>
      <w:tr w14:paraId="1D14A8A6" w14:textId="77777777" w:rsidTr="00831F62">
        <w:tblPrEx>
          <w:tblW w:w="9355" w:type="dxa"/>
          <w:tblInd w:w="-5" w:type="dxa"/>
          <w:tblLayout w:type="fixed"/>
          <w:tblLook w:val="04A0"/>
        </w:tblPrEx>
        <w:trPr>
          <w:cantSplit/>
          <w:trHeight w:val="280"/>
        </w:trPr>
        <w:tc>
          <w:tcPr>
            <w:tcW w:w="2790" w:type="dxa"/>
            <w:shd w:val="clear" w:color="auto" w:fill="FFFFFF" w:themeFill="background1"/>
            <w:noWrap/>
            <w:vAlign w:val="bottom"/>
          </w:tcPr>
          <w:p w:rsidR="00560CB8" w:rsidRPr="00EE0077" w:rsidP="005313CD" w14:paraId="228B32E4" w14:textId="77777777">
            <w:pPr>
              <w:pStyle w:val="LTableTextAbt"/>
              <w:spacing w:before="0" w:after="0"/>
              <w:rPr>
                <w:rFonts w:cs="Arial"/>
                <w:b/>
                <w:bCs w:val="0"/>
              </w:rPr>
            </w:pPr>
            <w:r w:rsidRPr="00EE0077">
              <w:rPr>
                <w:rFonts w:cs="Arial"/>
                <w:b/>
                <w:bCs w:val="0"/>
              </w:rPr>
              <w:t xml:space="preserve">Respondent Total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60CB8" w:rsidRPr="00EE0077" w:rsidP="005313CD" w14:paraId="512C2141" w14:textId="3C077843">
            <w:pPr>
              <w:pStyle w:val="RTableTextAbt"/>
              <w:rPr>
                <w:rFonts w:cs="Arial"/>
                <w:b/>
                <w:bCs w:val="0"/>
              </w:rPr>
            </w:pPr>
            <w:r w:rsidRPr="00EE0077">
              <w:rPr>
                <w:rFonts w:cs="Arial"/>
                <w:b/>
                <w:bCs w:val="0"/>
              </w:rPr>
              <w:t>67,647</w:t>
            </w:r>
            <w:r w:rsidR="00F8083E">
              <w:rPr>
                <w:rFonts w:cs="Arial"/>
                <w:b/>
                <w:bCs w:val="0"/>
              </w:rPr>
              <w:t xml:space="preserve"> to 68,505</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0CB8" w:rsidRPr="00EE0077" w:rsidP="005313CD" w14:paraId="25049EF2" w14:textId="6FE73427">
            <w:pPr>
              <w:pStyle w:val="RTableTextAbt"/>
              <w:rPr>
                <w:rFonts w:cs="Arial"/>
                <w:b/>
                <w:bCs w:val="0"/>
              </w:rPr>
            </w:pPr>
            <w:r w:rsidRPr="00EE0077">
              <w:rPr>
                <w:rFonts w:cs="Arial"/>
                <w:b/>
                <w:bCs w:val="0"/>
              </w:rPr>
              <w:t>4,518,254</w:t>
            </w:r>
            <w:r w:rsidR="00D75616">
              <w:rPr>
                <w:rFonts w:cs="Arial"/>
                <w:b/>
                <w:bCs w:val="0"/>
              </w:rPr>
              <w:t xml:space="preserve"> to 4,561,397</w:t>
            </w:r>
          </w:p>
        </w:tc>
        <w:tc>
          <w:tcPr>
            <w:tcW w:w="2515" w:type="dxa"/>
            <w:tcBorders>
              <w:top w:val="single" w:sz="4" w:space="0" w:color="auto"/>
              <w:left w:val="nil"/>
              <w:bottom w:val="single" w:sz="4" w:space="0" w:color="auto"/>
              <w:right w:val="single" w:sz="4" w:space="0" w:color="auto"/>
            </w:tcBorders>
            <w:shd w:val="clear" w:color="auto" w:fill="FFFFFF" w:themeFill="background1"/>
            <w:noWrap/>
            <w:vAlign w:val="center"/>
          </w:tcPr>
          <w:p w:rsidR="00560CB8" w:rsidRPr="00EE0077" w:rsidP="005313CD" w14:paraId="3D5265B5" w14:textId="4BDD726A">
            <w:pPr>
              <w:pStyle w:val="RTableTextAbt"/>
              <w:rPr>
                <w:rFonts w:cs="Arial"/>
                <w:b/>
                <w:bCs w:val="0"/>
              </w:rPr>
            </w:pPr>
            <w:r w:rsidRPr="00EE0077">
              <w:rPr>
                <w:rFonts w:cs="Arial"/>
                <w:b/>
                <w:bCs w:val="0"/>
              </w:rPr>
              <w:t>$319,290,914</w:t>
            </w:r>
            <w:r w:rsidR="00B42BCE">
              <w:rPr>
                <w:rFonts w:cs="Arial"/>
                <w:b/>
                <w:bCs w:val="0"/>
              </w:rPr>
              <w:t xml:space="preserve"> to $323,09</w:t>
            </w:r>
            <w:r w:rsidR="006F6E89">
              <w:rPr>
                <w:rFonts w:cs="Arial"/>
                <w:b/>
                <w:bCs w:val="0"/>
              </w:rPr>
              <w:t>2</w:t>
            </w:r>
            <w:r w:rsidR="00B42BCE">
              <w:rPr>
                <w:rFonts w:cs="Arial"/>
                <w:b/>
                <w:bCs w:val="0"/>
              </w:rPr>
              <w:t>,928</w:t>
            </w:r>
            <w:r w:rsidRPr="00EE0077">
              <w:rPr>
                <w:rFonts w:cs="Arial"/>
                <w:b/>
                <w:bCs w:val="0"/>
              </w:rPr>
              <w:t xml:space="preserve"> </w:t>
            </w:r>
          </w:p>
        </w:tc>
      </w:tr>
      <w:tr w14:paraId="27B877F9" w14:textId="77777777" w:rsidTr="00831F62">
        <w:tblPrEx>
          <w:tblW w:w="9355" w:type="dxa"/>
          <w:tblInd w:w="-5" w:type="dxa"/>
          <w:tblLayout w:type="fixed"/>
          <w:tblLook w:val="04A0"/>
        </w:tblPrEx>
        <w:trPr>
          <w:cantSplit/>
          <w:trHeight w:val="280"/>
        </w:trPr>
        <w:tc>
          <w:tcPr>
            <w:tcW w:w="2790" w:type="dxa"/>
            <w:tcBorders>
              <w:top w:val="single" w:sz="4" w:space="0" w:color="auto"/>
            </w:tcBorders>
            <w:shd w:val="clear" w:color="auto" w:fill="FFFFFF" w:themeFill="background1"/>
            <w:noWrap/>
            <w:vAlign w:val="bottom"/>
            <w:hideMark/>
          </w:tcPr>
          <w:p w:rsidR="00560CB8" w:rsidRPr="00EE0077" w:rsidP="005313CD" w14:paraId="3C969E41" w14:textId="77777777">
            <w:pPr>
              <w:pStyle w:val="LTableTextAbt"/>
              <w:spacing w:before="0" w:after="0"/>
              <w:rPr>
                <w:rFonts w:cs="Arial"/>
                <w:b/>
                <w:bCs w:val="0"/>
              </w:rPr>
            </w:pPr>
            <w:r w:rsidRPr="00EE0077">
              <w:rPr>
                <w:rFonts w:cs="Arial"/>
                <w:b/>
                <w:bCs w:val="0"/>
              </w:rPr>
              <w:t>Agency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60CB8" w:rsidRPr="00EE0077" w:rsidP="005313CD" w14:paraId="7941F50F" w14:textId="77777777">
            <w:pPr>
              <w:pStyle w:val="RTableTextAbt"/>
              <w:rPr>
                <w:rFonts w:cs="Arial"/>
                <w:b/>
                <w:bCs w:val="0"/>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0CB8" w:rsidRPr="00EE0077" w:rsidP="005313CD" w14:paraId="72632B4B" w14:textId="77777777">
            <w:pPr>
              <w:pStyle w:val="RTableTextAbt"/>
              <w:rPr>
                <w:rFonts w:cs="Arial"/>
                <w:b/>
                <w:bCs w:val="0"/>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60CB8" w:rsidRPr="00EE0077" w:rsidP="005313CD" w14:paraId="6180DD59" w14:textId="3D6A1EC7">
            <w:pPr>
              <w:pStyle w:val="RTableTextAbt"/>
              <w:rPr>
                <w:rFonts w:cs="Arial"/>
                <w:b/>
                <w:bCs w:val="0"/>
                <w:highlight w:val="green"/>
              </w:rPr>
            </w:pPr>
            <w:r w:rsidRPr="00EE0077">
              <w:rPr>
                <w:rFonts w:cs="Arial"/>
                <w:b/>
                <w:bCs w:val="0"/>
              </w:rPr>
              <w:t>$653,694</w:t>
            </w:r>
            <w:r w:rsidR="00B42BCE">
              <w:rPr>
                <w:rFonts w:cs="Arial"/>
                <w:b/>
                <w:bCs w:val="0"/>
              </w:rPr>
              <w:t xml:space="preserve"> to $985,819</w:t>
            </w:r>
          </w:p>
        </w:tc>
      </w:tr>
    </w:tbl>
    <w:p w:rsidR="00560CB8" w:rsidP="00EE0077" w14:paraId="5580B852" w14:textId="77777777">
      <w:pPr>
        <w:spacing w:line="240" w:lineRule="auto"/>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340"/>
        <w:gridCol w:w="1980"/>
        <w:gridCol w:w="2695"/>
      </w:tblGrid>
      <w:tr w14:paraId="7959C884" w14:textId="77777777" w:rsidTr="5BD75849">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0"/>
        </w:trPr>
        <w:tc>
          <w:tcPr>
            <w:tcW w:w="9355" w:type="dxa"/>
            <w:gridSpan w:val="4"/>
            <w:tcBorders>
              <w:top w:val="single" w:sz="4" w:space="0" w:color="auto"/>
            </w:tcBorders>
            <w:shd w:val="clear" w:color="auto" w:fill="FFFFFF" w:themeFill="background1"/>
            <w:noWrap/>
            <w:vAlign w:val="center"/>
          </w:tcPr>
          <w:p w:rsidR="00855B83" w:rsidRPr="00C52B2E" w:rsidP="00A8414E" w14:paraId="0FEFB0AE" w14:textId="13E193AC">
            <w:pPr>
              <w:keepNext/>
              <w:keepLines/>
              <w:spacing w:after="0" w:line="240" w:lineRule="auto"/>
              <w:rPr>
                <w:rFonts w:cs="Arial"/>
                <w:b/>
                <w:szCs w:val="24"/>
              </w:rPr>
            </w:pPr>
            <w:bookmarkStart w:id="5" w:name="_Ref133342369"/>
            <w:bookmarkStart w:id="6" w:name="_Ref123137688"/>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2</w:t>
            </w:r>
            <w:r w:rsidRPr="00DE66D8">
              <w:rPr>
                <w:rFonts w:cs="Arial"/>
                <w:b/>
              </w:rPr>
              <w:fldChar w:fldCharType="end"/>
            </w:r>
            <w:bookmarkEnd w:id="5"/>
            <w:r w:rsidRPr="00DE66D8">
              <w:rPr>
                <w:rFonts w:cs="Arial"/>
                <w:b/>
              </w:rPr>
              <w:t>:</w:t>
            </w:r>
            <w:r w:rsidRPr="00C52B2E">
              <w:rPr>
                <w:rFonts w:cs="Arial"/>
                <w:b/>
              </w:rPr>
              <w:t xml:space="preserve"> </w:t>
            </w:r>
            <w:bookmarkEnd w:id="6"/>
            <w:r w:rsidR="003C73B7">
              <w:rPr>
                <w:rFonts w:cs="Arial"/>
                <w:b/>
              </w:rPr>
              <w:t xml:space="preserve">Summary of </w:t>
            </w:r>
            <w:r>
              <w:rPr>
                <w:rFonts w:cs="Arial"/>
                <w:b/>
              </w:rPr>
              <w:t>Annual</w:t>
            </w:r>
            <w:r w:rsidR="00EE0AC3">
              <w:rPr>
                <w:rFonts w:cs="Arial"/>
                <w:b/>
              </w:rPr>
              <w:t>ized</w:t>
            </w:r>
            <w:r>
              <w:rPr>
                <w:rFonts w:cs="Arial"/>
                <w:b/>
              </w:rPr>
              <w:t xml:space="preserve"> </w:t>
            </w:r>
            <w:r w:rsidRPr="00DE66D8">
              <w:rPr>
                <w:b/>
              </w:rPr>
              <w:t>Burden and Costs</w:t>
            </w:r>
            <w:r w:rsidR="00EE0AC3">
              <w:rPr>
                <w:b/>
              </w:rPr>
              <w:t xml:space="preserve"> </w:t>
            </w:r>
            <w:r w:rsidR="00F41B64">
              <w:rPr>
                <w:b/>
                <w:vertAlign w:val="superscript"/>
              </w:rPr>
              <w:t>1</w:t>
            </w:r>
          </w:p>
        </w:tc>
      </w:tr>
      <w:tr w14:paraId="424589AD" w14:textId="77777777" w:rsidTr="009349AE">
        <w:tblPrEx>
          <w:tblW w:w="9355" w:type="dxa"/>
          <w:tblInd w:w="-5" w:type="dxa"/>
          <w:tblLayout w:type="fixed"/>
          <w:tblLook w:val="04A0"/>
        </w:tblPrEx>
        <w:trPr>
          <w:cantSplit/>
          <w:trHeight w:val="280"/>
        </w:trPr>
        <w:tc>
          <w:tcPr>
            <w:tcW w:w="2340" w:type="dxa"/>
            <w:tcBorders>
              <w:top w:val="single" w:sz="4" w:space="0" w:color="auto"/>
            </w:tcBorders>
            <w:shd w:val="clear" w:color="auto" w:fill="FFFFFF" w:themeFill="background1"/>
            <w:noWrap/>
            <w:vAlign w:val="center"/>
            <w:hideMark/>
          </w:tcPr>
          <w:p w:rsidR="00855B83" w:rsidRPr="00EE0077" w:rsidP="00A8414E" w14:paraId="046E70D5" w14:textId="77777777">
            <w:pPr>
              <w:keepNext/>
              <w:keepLines/>
              <w:spacing w:after="0" w:line="240" w:lineRule="auto"/>
              <w:jc w:val="center"/>
              <w:rPr>
                <w:rFonts w:ascii="Arial Narrow" w:hAnsi="Arial Narrow" w:cs="Arial"/>
                <w:b/>
                <w:bCs/>
                <w:sz w:val="20"/>
                <w:szCs w:val="20"/>
              </w:rPr>
            </w:pPr>
            <w:r w:rsidRPr="00EE0077">
              <w:rPr>
                <w:rFonts w:ascii="Arial Narrow" w:hAnsi="Arial Narrow" w:cs="Arial"/>
                <w:b/>
                <w:bCs/>
                <w:sz w:val="20"/>
                <w:szCs w:val="20"/>
              </w:rPr>
              <w:t>Information Collection</w:t>
            </w:r>
          </w:p>
        </w:tc>
        <w:tc>
          <w:tcPr>
            <w:tcW w:w="2340" w:type="dxa"/>
            <w:tcBorders>
              <w:top w:val="single" w:sz="4" w:space="0" w:color="auto"/>
              <w:bottom w:val="single" w:sz="4" w:space="0" w:color="auto"/>
            </w:tcBorders>
            <w:shd w:val="clear" w:color="auto" w:fill="FFFFFF" w:themeFill="background1"/>
          </w:tcPr>
          <w:p w:rsidR="00855B83" w:rsidRPr="00EE0077" w:rsidP="00A8414E" w14:paraId="1BEB5F0B" w14:textId="77777777">
            <w:pPr>
              <w:spacing w:after="0" w:line="240" w:lineRule="auto"/>
              <w:jc w:val="center"/>
              <w:rPr>
                <w:rFonts w:ascii="Arial Narrow" w:hAnsi="Arial Narrow" w:cs="Arial"/>
                <w:b/>
                <w:bCs/>
                <w:sz w:val="20"/>
                <w:szCs w:val="20"/>
              </w:rPr>
            </w:pPr>
            <w:r w:rsidRPr="00EE0077">
              <w:rPr>
                <w:rFonts w:ascii="Arial Narrow" w:hAnsi="Arial Narrow" w:cs="Arial"/>
                <w:b/>
                <w:bCs/>
                <w:sz w:val="20"/>
                <w:szCs w:val="20"/>
              </w:rPr>
              <w:t xml:space="preserve">Total Number of Respondents and Responses </w:t>
            </w:r>
          </w:p>
        </w:tc>
        <w:tc>
          <w:tcPr>
            <w:tcW w:w="1980" w:type="dxa"/>
            <w:tcBorders>
              <w:top w:val="single" w:sz="4" w:space="0" w:color="auto"/>
              <w:bottom w:val="single" w:sz="4" w:space="0" w:color="auto"/>
            </w:tcBorders>
            <w:shd w:val="clear" w:color="auto" w:fill="FFFFFF" w:themeFill="background1"/>
            <w:vAlign w:val="center"/>
          </w:tcPr>
          <w:p w:rsidR="00855B83" w:rsidRPr="00EE0077" w:rsidP="00A8414E" w14:paraId="2FA9DD4C" w14:textId="074DE9A6">
            <w:pPr>
              <w:spacing w:after="0" w:line="240" w:lineRule="auto"/>
              <w:jc w:val="center"/>
              <w:rPr>
                <w:rFonts w:ascii="Arial Narrow" w:hAnsi="Arial Narrow" w:cs="Arial"/>
                <w:b/>
                <w:bCs/>
                <w:sz w:val="20"/>
                <w:szCs w:val="20"/>
              </w:rPr>
            </w:pPr>
            <w:r w:rsidRPr="5BD75849">
              <w:rPr>
                <w:rFonts w:ascii="Arial Narrow" w:hAnsi="Arial Narrow" w:cs="Arial"/>
                <w:b/>
                <w:bCs/>
                <w:sz w:val="20"/>
                <w:szCs w:val="20"/>
              </w:rPr>
              <w:t xml:space="preserve"> Annual Time Burden (Hours)</w:t>
            </w:r>
          </w:p>
        </w:tc>
        <w:tc>
          <w:tcPr>
            <w:tcW w:w="2695" w:type="dxa"/>
            <w:tcBorders>
              <w:top w:val="single" w:sz="4" w:space="0" w:color="auto"/>
              <w:bottom w:val="single" w:sz="4" w:space="0" w:color="auto"/>
            </w:tcBorders>
            <w:shd w:val="clear" w:color="auto" w:fill="FFFFFF" w:themeFill="background1"/>
            <w:noWrap/>
            <w:vAlign w:val="center"/>
            <w:hideMark/>
          </w:tcPr>
          <w:p w:rsidR="00855B83" w:rsidRPr="00EE0077" w:rsidP="00A8414E" w14:paraId="229B7E35" w14:textId="78F08BCA">
            <w:pPr>
              <w:keepNext/>
              <w:keepLines/>
              <w:spacing w:after="0" w:line="240" w:lineRule="auto"/>
              <w:jc w:val="center"/>
              <w:rPr>
                <w:rFonts w:ascii="Arial Narrow" w:hAnsi="Arial Narrow" w:cs="Arial"/>
                <w:b/>
                <w:bCs/>
                <w:sz w:val="20"/>
                <w:szCs w:val="20"/>
              </w:rPr>
            </w:pPr>
            <w:r>
              <w:rPr>
                <w:rFonts w:ascii="Arial Narrow" w:hAnsi="Arial Narrow" w:cs="Arial"/>
                <w:b/>
                <w:bCs/>
                <w:sz w:val="20"/>
                <w:szCs w:val="20"/>
              </w:rPr>
              <w:t xml:space="preserve">Annual </w:t>
            </w:r>
            <w:r w:rsidRPr="00EE0077">
              <w:rPr>
                <w:rFonts w:ascii="Arial Narrow" w:hAnsi="Arial Narrow" w:cs="Arial"/>
                <w:b/>
                <w:bCs/>
                <w:sz w:val="20"/>
                <w:szCs w:val="20"/>
              </w:rPr>
              <w:t>Cost (2021$)</w:t>
            </w:r>
          </w:p>
        </w:tc>
      </w:tr>
      <w:tr w14:paraId="06CCD4C7" w14:textId="77777777" w:rsidTr="009349AE">
        <w:tblPrEx>
          <w:tblW w:w="9355" w:type="dxa"/>
          <w:tblInd w:w="-5" w:type="dxa"/>
          <w:tblLayout w:type="fixed"/>
          <w:tblLook w:val="04A0"/>
        </w:tblPrEx>
        <w:trPr>
          <w:cantSplit/>
          <w:trHeight w:val="33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7F1C03" w:rsidRPr="00EE0077" w:rsidP="007F1C03" w14:paraId="00BF8433"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Rule Familiarization</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4E3F3D8B" w14:textId="545EAFFE">
            <w:pPr>
              <w:spacing w:after="0" w:line="240" w:lineRule="auto"/>
              <w:jc w:val="right"/>
              <w:rPr>
                <w:rFonts w:ascii="Arial Narrow" w:hAnsi="Arial Narrow" w:cs="Arial"/>
                <w:sz w:val="20"/>
                <w:szCs w:val="20"/>
              </w:rPr>
            </w:pPr>
            <w:r>
              <w:rPr>
                <w:rFonts w:ascii="Arial Narrow" w:hAnsi="Arial Narrow"/>
                <w:sz w:val="20"/>
                <w:szCs w:val="20"/>
              </w:rPr>
              <w:t xml:space="preserve"> </w:t>
            </w:r>
            <w:r w:rsidRPr="007B737A" w:rsidR="007B737A">
              <w:rPr>
                <w:rFonts w:ascii="Arial Narrow" w:hAnsi="Arial Narrow"/>
                <w:sz w:val="20"/>
                <w:szCs w:val="20"/>
              </w:rPr>
              <w:t xml:space="preserve">22,835 </w:t>
            </w:r>
            <w:r w:rsidR="007B737A">
              <w:rPr>
                <w:rFonts w:ascii="Arial Narrow" w:hAnsi="Arial Narrow"/>
                <w:sz w:val="20"/>
                <w:szCs w:val="20"/>
              </w:rPr>
              <w:t xml:space="preserve"> </w:t>
            </w:r>
            <w:r>
              <w:rPr>
                <w:rFonts w:ascii="Arial Narrow" w:hAnsi="Arial Narrow"/>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6B28CCFE" w14:textId="4F927ACA">
            <w:pPr>
              <w:spacing w:after="0" w:line="240" w:lineRule="auto"/>
              <w:jc w:val="right"/>
              <w:rPr>
                <w:rFonts w:ascii="Arial Narrow" w:hAnsi="Arial Narrow" w:cs="Arial"/>
                <w:sz w:val="20"/>
                <w:szCs w:val="20"/>
              </w:rPr>
            </w:pPr>
            <w:r>
              <w:rPr>
                <w:rFonts w:ascii="Arial Narrow" w:hAnsi="Arial Narrow"/>
                <w:sz w:val="20"/>
                <w:szCs w:val="20"/>
              </w:rPr>
              <w:t xml:space="preserve"> </w:t>
            </w:r>
            <w:r w:rsidR="003940A3">
              <w:rPr>
                <w:rFonts w:ascii="Arial Narrow" w:hAnsi="Arial Narrow"/>
                <w:sz w:val="20"/>
                <w:szCs w:val="20"/>
              </w:rPr>
              <w:t>216,360</w:t>
            </w:r>
            <w:r>
              <w:rPr>
                <w:rFonts w:ascii="Arial Narrow" w:hAnsi="Arial Narrow"/>
                <w:sz w:val="20"/>
                <w:szCs w:val="20"/>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F1C03" w:rsidRPr="00EC39BB" w:rsidP="007F1C03" w14:paraId="174D2D3A" w14:textId="05535F09">
            <w:pPr>
              <w:keepNext/>
              <w:keepLines/>
              <w:spacing w:after="0" w:line="240" w:lineRule="auto"/>
              <w:jc w:val="right"/>
              <w:rPr>
                <w:rFonts w:ascii="Arial Narrow" w:hAnsi="Arial Narrow" w:cs="Arial"/>
                <w:sz w:val="20"/>
                <w:szCs w:val="20"/>
              </w:rPr>
            </w:pPr>
            <w:r w:rsidRPr="003C73B7">
              <w:rPr>
                <w:rFonts w:ascii="Arial Narrow" w:hAnsi="Arial Narrow"/>
                <w:sz w:val="20"/>
                <w:szCs w:val="20"/>
              </w:rPr>
              <w:t xml:space="preserve"> </w:t>
            </w:r>
            <w:r w:rsidR="00BA33E2">
              <w:rPr>
                <w:rFonts w:ascii="Arial Narrow" w:hAnsi="Arial Narrow"/>
                <w:sz w:val="20"/>
                <w:szCs w:val="20"/>
              </w:rPr>
              <w:t xml:space="preserve"> </w:t>
            </w:r>
            <w:r w:rsidRPr="00C962B5" w:rsidR="00C962B5">
              <w:rPr>
                <w:rFonts w:ascii="Arial Narrow" w:hAnsi="Arial Narrow"/>
                <w:sz w:val="20"/>
                <w:szCs w:val="20"/>
              </w:rPr>
              <w:t>$18,395,353</w:t>
            </w:r>
            <w:r w:rsidR="00695B20">
              <w:rPr>
                <w:rFonts w:ascii="Arial Narrow" w:hAnsi="Arial Narrow"/>
                <w:sz w:val="20"/>
                <w:szCs w:val="20"/>
              </w:rPr>
              <w:t xml:space="preserve"> </w:t>
            </w:r>
            <w:r w:rsidR="00BA33E2">
              <w:rPr>
                <w:rFonts w:ascii="Arial Narrow" w:hAnsi="Arial Narrow"/>
                <w:sz w:val="20"/>
                <w:szCs w:val="20"/>
              </w:rPr>
              <w:t xml:space="preserve"> </w:t>
            </w:r>
          </w:p>
        </w:tc>
      </w:tr>
      <w:tr w14:paraId="7F5DAE7F" w14:textId="77777777" w:rsidTr="009349AE">
        <w:tblPrEx>
          <w:tblW w:w="9355" w:type="dxa"/>
          <w:tblInd w:w="-5" w:type="dxa"/>
          <w:tblLayout w:type="fixed"/>
          <w:tblLook w:val="04A0"/>
        </w:tblPrEx>
        <w:trPr>
          <w:cantSplit/>
          <w:trHeight w:val="33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7F1C03" w:rsidRPr="00EE0077" w:rsidP="007F1C03" w14:paraId="7B0B8D70"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Compliance Determination</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053DF5E8" w14:textId="129E0AA6">
            <w:pPr>
              <w:spacing w:after="0" w:line="240" w:lineRule="auto"/>
              <w:jc w:val="right"/>
              <w:rPr>
                <w:rFonts w:ascii="Arial Narrow" w:hAnsi="Arial Narrow" w:cs="Arial"/>
                <w:sz w:val="20"/>
                <w:szCs w:val="20"/>
              </w:rPr>
            </w:pPr>
            <w:r w:rsidRPr="003C73B7">
              <w:rPr>
                <w:rFonts w:ascii="Arial Narrow" w:hAnsi="Arial Narrow"/>
                <w:sz w:val="20"/>
                <w:szCs w:val="20"/>
              </w:rPr>
              <w:t>22,544</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350F6E45" w14:textId="540B3BA0">
            <w:pPr>
              <w:spacing w:after="0" w:line="240" w:lineRule="auto"/>
              <w:jc w:val="right"/>
              <w:rPr>
                <w:rFonts w:ascii="Arial Narrow" w:hAnsi="Arial Narrow" w:cs="Arial"/>
                <w:sz w:val="20"/>
                <w:szCs w:val="20"/>
              </w:rPr>
            </w:pPr>
            <w:r w:rsidRPr="003C73B7">
              <w:rPr>
                <w:rFonts w:ascii="Arial Narrow" w:hAnsi="Arial Narrow"/>
                <w:sz w:val="20"/>
                <w:szCs w:val="20"/>
              </w:rPr>
              <w:t>1,292,898</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F1C03" w:rsidRPr="00EC39BB" w:rsidP="007F1C03" w14:paraId="2C060E41" w14:textId="4DFB413D">
            <w:pPr>
              <w:keepNext/>
              <w:keepLines/>
              <w:spacing w:after="0" w:line="240" w:lineRule="auto"/>
              <w:jc w:val="right"/>
              <w:rPr>
                <w:rFonts w:ascii="Arial Narrow" w:hAnsi="Arial Narrow" w:cs="Arial"/>
                <w:sz w:val="20"/>
                <w:szCs w:val="20"/>
              </w:rPr>
            </w:pPr>
            <w:r w:rsidRPr="003C73B7">
              <w:rPr>
                <w:rFonts w:ascii="Arial Narrow" w:hAnsi="Arial Narrow"/>
                <w:sz w:val="20"/>
                <w:szCs w:val="20"/>
              </w:rPr>
              <w:t>$88,294,703</w:t>
            </w:r>
          </w:p>
        </w:tc>
      </w:tr>
      <w:tr w14:paraId="60E66215" w14:textId="77777777" w:rsidTr="009349AE">
        <w:tblPrEx>
          <w:tblW w:w="9355" w:type="dxa"/>
          <w:tblInd w:w="-5" w:type="dxa"/>
          <w:tblLayout w:type="fixed"/>
          <w:tblLook w:val="04A0"/>
        </w:tblPrEx>
        <w:trPr>
          <w:cantSplit/>
          <w:trHeight w:val="33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7F1C03" w:rsidRPr="00EE0077" w:rsidP="007F1C03" w14:paraId="47FC4B00"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CDX Registration</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34D62B6C" w14:textId="6A719EE1">
            <w:pPr>
              <w:spacing w:after="0" w:line="240" w:lineRule="auto"/>
              <w:jc w:val="right"/>
              <w:rPr>
                <w:rFonts w:ascii="Arial Narrow" w:hAnsi="Arial Narrow" w:cs="Arial"/>
                <w:sz w:val="20"/>
                <w:szCs w:val="20"/>
              </w:rPr>
            </w:pPr>
            <w:r>
              <w:rPr>
                <w:rFonts w:ascii="Arial Narrow" w:hAnsi="Arial Narrow"/>
                <w:sz w:val="20"/>
                <w:szCs w:val="20"/>
              </w:rPr>
              <w:t>348</w:t>
            </w:r>
            <w:r w:rsidR="00BA33E2">
              <w:rPr>
                <w:rFonts w:ascii="Arial Narrow" w:hAnsi="Arial Narrow"/>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174CA1B5" w14:textId="23E909F0">
            <w:pPr>
              <w:spacing w:after="0" w:line="240" w:lineRule="auto"/>
              <w:jc w:val="right"/>
              <w:rPr>
                <w:rFonts w:ascii="Arial Narrow" w:hAnsi="Arial Narrow" w:cs="Arial"/>
                <w:sz w:val="20"/>
                <w:szCs w:val="20"/>
              </w:rPr>
            </w:pPr>
            <w:r>
              <w:rPr>
                <w:rFonts w:ascii="Arial Narrow" w:hAnsi="Arial Narrow"/>
                <w:sz w:val="20"/>
                <w:szCs w:val="20"/>
              </w:rPr>
              <w:t>926</w:t>
            </w:r>
            <w:r w:rsidR="00BA33E2">
              <w:rPr>
                <w:rFonts w:ascii="Arial Narrow" w:hAnsi="Arial Narrow"/>
                <w:sz w:val="20"/>
                <w:szCs w:val="20"/>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F1C03" w:rsidRPr="00EC39BB" w:rsidP="007F1C03" w14:paraId="71E45D90" w14:textId="3E2EFAC1">
            <w:pPr>
              <w:keepNext/>
              <w:keepLines/>
              <w:spacing w:after="0" w:line="240" w:lineRule="auto"/>
              <w:jc w:val="right"/>
              <w:rPr>
                <w:rFonts w:ascii="Arial Narrow" w:hAnsi="Arial Narrow" w:cs="Arial"/>
                <w:sz w:val="20"/>
                <w:szCs w:val="20"/>
              </w:rPr>
            </w:pPr>
            <w:r>
              <w:rPr>
                <w:rFonts w:ascii="Arial Narrow" w:hAnsi="Arial Narrow"/>
                <w:sz w:val="20"/>
                <w:szCs w:val="20"/>
              </w:rPr>
              <w:t xml:space="preserve"> </w:t>
            </w:r>
            <w:r w:rsidRPr="00C962B5" w:rsidR="00C962B5">
              <w:rPr>
                <w:rFonts w:ascii="Arial Narrow" w:hAnsi="Arial Narrow"/>
                <w:sz w:val="20"/>
                <w:szCs w:val="20"/>
              </w:rPr>
              <w:t>$80,324</w:t>
            </w:r>
            <w:r>
              <w:rPr>
                <w:rFonts w:ascii="Arial Narrow" w:hAnsi="Arial Narrow"/>
                <w:sz w:val="20"/>
                <w:szCs w:val="20"/>
              </w:rPr>
              <w:t xml:space="preserve"> </w:t>
            </w:r>
          </w:p>
        </w:tc>
      </w:tr>
      <w:tr w14:paraId="151CA59D" w14:textId="77777777" w:rsidTr="009349AE">
        <w:tblPrEx>
          <w:tblW w:w="9355" w:type="dxa"/>
          <w:tblInd w:w="-5" w:type="dxa"/>
          <w:tblLayout w:type="fixed"/>
          <w:tblLook w:val="04A0"/>
        </w:tblPrEx>
        <w:trPr>
          <w:cantSplit/>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1C03" w:rsidRPr="00EE0077" w:rsidP="007F1C03" w14:paraId="014DBABE" w14:textId="77777777">
            <w:pPr>
              <w:keepNext/>
              <w:keepLines/>
              <w:spacing w:after="0" w:line="240" w:lineRule="auto"/>
              <w:rPr>
                <w:rFonts w:ascii="Arial Narrow" w:hAnsi="Arial Narrow" w:cs="Arial"/>
                <w:sz w:val="20"/>
                <w:szCs w:val="20"/>
              </w:rPr>
            </w:pPr>
            <w:r w:rsidRPr="00EE0077">
              <w:rPr>
                <w:rFonts w:ascii="Arial Narrow" w:hAnsi="Arial Narrow" w:cs="Arial"/>
                <w:sz w:val="20"/>
                <w:szCs w:val="20"/>
              </w:rPr>
              <w:t>CBI Claim Substantiation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F1C03" w:rsidRPr="00EC39BB" w:rsidP="007F1C03" w14:paraId="1E01A8D9" w14:textId="2B568B4A">
            <w:pPr>
              <w:spacing w:after="0" w:line="240" w:lineRule="auto"/>
              <w:jc w:val="right"/>
              <w:rPr>
                <w:rFonts w:ascii="Arial Narrow" w:hAnsi="Arial Narrow" w:cs="Arial"/>
                <w:sz w:val="20"/>
                <w:szCs w:val="20"/>
              </w:rPr>
            </w:pPr>
            <w:r>
              <w:rPr>
                <w:rFonts w:ascii="Arial Narrow" w:hAnsi="Arial Narrow"/>
                <w:sz w:val="20"/>
                <w:szCs w:val="20"/>
              </w:rPr>
              <w:t>375</w:t>
            </w:r>
            <w:r w:rsidR="00BA33E2">
              <w:rPr>
                <w:rFonts w:ascii="Arial Narrow" w:hAnsi="Arial Narrow"/>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F1C03" w:rsidRPr="00EC39BB" w:rsidP="007F1C03" w14:paraId="40B74B8C" w14:textId="322A732B">
            <w:pPr>
              <w:spacing w:after="0" w:line="240" w:lineRule="auto"/>
              <w:jc w:val="right"/>
              <w:rPr>
                <w:rFonts w:ascii="Arial Narrow" w:hAnsi="Arial Narrow" w:cs="Arial"/>
                <w:sz w:val="20"/>
                <w:szCs w:val="20"/>
              </w:rPr>
            </w:pPr>
            <w:r>
              <w:rPr>
                <w:rFonts w:ascii="Arial Narrow" w:hAnsi="Arial Narrow"/>
                <w:sz w:val="20"/>
                <w:szCs w:val="20"/>
              </w:rPr>
              <w:t>263</w:t>
            </w:r>
            <w:r w:rsidR="00BA33E2">
              <w:rPr>
                <w:rFonts w:ascii="Arial Narrow" w:hAnsi="Arial Narrow"/>
                <w:sz w:val="20"/>
                <w:szCs w:val="20"/>
              </w:rPr>
              <w:t xml:space="preserve"> </w:t>
            </w:r>
          </w:p>
        </w:tc>
        <w:tc>
          <w:tcPr>
            <w:tcW w:w="2695" w:type="dxa"/>
            <w:tcBorders>
              <w:top w:val="single" w:sz="4" w:space="0" w:color="auto"/>
              <w:left w:val="single" w:sz="4" w:space="0" w:color="auto"/>
              <w:bottom w:val="single" w:sz="4" w:space="0" w:color="auto"/>
              <w:right w:val="single" w:sz="4" w:space="0" w:color="auto"/>
            </w:tcBorders>
            <w:shd w:val="clear" w:color="auto" w:fill="auto"/>
            <w:noWrap/>
          </w:tcPr>
          <w:p w:rsidR="007F1C03" w:rsidRPr="00EC39BB" w:rsidP="007F1C03" w14:paraId="52DA2079" w14:textId="219117EF">
            <w:pPr>
              <w:keepNext/>
              <w:keepLines/>
              <w:spacing w:after="0" w:line="240" w:lineRule="auto"/>
              <w:jc w:val="right"/>
              <w:rPr>
                <w:rFonts w:ascii="Arial Narrow" w:hAnsi="Arial Narrow" w:cs="Arial"/>
                <w:sz w:val="20"/>
                <w:szCs w:val="20"/>
              </w:rPr>
            </w:pPr>
            <w:r>
              <w:rPr>
                <w:rFonts w:ascii="Arial Narrow" w:hAnsi="Arial Narrow"/>
                <w:sz w:val="20"/>
                <w:szCs w:val="20"/>
              </w:rPr>
              <w:t xml:space="preserve"> </w:t>
            </w:r>
            <w:r w:rsidRPr="00C53DF2" w:rsidR="00C53DF2">
              <w:rPr>
                <w:rFonts w:ascii="Arial Narrow" w:hAnsi="Arial Narrow"/>
                <w:sz w:val="20"/>
                <w:szCs w:val="20"/>
              </w:rPr>
              <w:t>$21,4</w:t>
            </w:r>
            <w:r w:rsidR="0067332A">
              <w:rPr>
                <w:rFonts w:ascii="Arial Narrow" w:hAnsi="Arial Narrow"/>
                <w:sz w:val="20"/>
                <w:szCs w:val="20"/>
              </w:rPr>
              <w:t>60</w:t>
            </w:r>
          </w:p>
        </w:tc>
      </w:tr>
      <w:tr w14:paraId="283E3D9C" w14:textId="77777777" w:rsidTr="009349AE">
        <w:tblPrEx>
          <w:tblW w:w="9355" w:type="dxa"/>
          <w:tblInd w:w="-5" w:type="dxa"/>
          <w:tblLayout w:type="fixed"/>
          <w:tblLook w:val="04A0"/>
        </w:tblPrEx>
        <w:trPr>
          <w:cantSplit/>
          <w:trHeight w:val="28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1C03" w:rsidRPr="00EE0077" w:rsidP="007F1C03" w14:paraId="070A41D8" w14:textId="77777777">
            <w:pPr>
              <w:pStyle w:val="LTableTextAbt"/>
              <w:spacing w:before="0" w:after="0"/>
              <w:rPr>
                <w:rFonts w:cs="Arial"/>
              </w:rPr>
            </w:pPr>
            <w:r w:rsidRPr="00EE0077">
              <w:rPr>
                <w:rFonts w:cs="Arial"/>
              </w:rPr>
              <w:t>Recordkeeping</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F1C03" w:rsidRPr="007F1C03" w:rsidP="007F1C03" w14:paraId="2F8CABB9" w14:textId="564FE119">
            <w:pPr>
              <w:pStyle w:val="RTableTextAbt"/>
              <w:rPr>
                <w:rFonts w:cs="Arial"/>
                <w:bCs w:val="0"/>
              </w:rPr>
            </w:pPr>
            <w:r>
              <w:t>375</w:t>
            </w:r>
            <w:r w:rsidR="00BA33E2">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F1C03" w:rsidRPr="007F1C03" w:rsidP="007F1C03" w14:paraId="42A4B126" w14:textId="517B5B8A">
            <w:pPr>
              <w:pStyle w:val="RTableTextAbt"/>
              <w:rPr>
                <w:rFonts w:cs="Arial"/>
              </w:rPr>
            </w:pPr>
            <w:r>
              <w:t>375</w:t>
            </w:r>
            <w:r w:rsidR="00BA33E2">
              <w:t xml:space="preserve"> </w:t>
            </w:r>
          </w:p>
        </w:tc>
        <w:tc>
          <w:tcPr>
            <w:tcW w:w="2695" w:type="dxa"/>
            <w:tcBorders>
              <w:top w:val="single" w:sz="4" w:space="0" w:color="auto"/>
              <w:left w:val="nil"/>
              <w:bottom w:val="single" w:sz="4" w:space="0" w:color="auto"/>
              <w:right w:val="single" w:sz="4" w:space="0" w:color="auto"/>
            </w:tcBorders>
            <w:shd w:val="clear" w:color="auto" w:fill="auto"/>
            <w:noWrap/>
          </w:tcPr>
          <w:p w:rsidR="007F1C03" w:rsidRPr="007F1C03" w:rsidP="007F1C03" w14:paraId="432CC995" w14:textId="0473A6B6">
            <w:pPr>
              <w:pStyle w:val="RTableTextAbt"/>
              <w:rPr>
                <w:rFonts w:cs="Arial"/>
              </w:rPr>
            </w:pPr>
            <w:r>
              <w:t xml:space="preserve"> </w:t>
            </w:r>
            <w:r w:rsidRPr="00C53DF2" w:rsidR="00C53DF2">
              <w:t>$22,261</w:t>
            </w:r>
            <w:r w:rsidR="00695B20">
              <w:t xml:space="preserve"> </w:t>
            </w:r>
            <w:r>
              <w:t xml:space="preserve"> </w:t>
            </w:r>
          </w:p>
        </w:tc>
      </w:tr>
      <w:tr w14:paraId="7FEECB33" w14:textId="77777777" w:rsidTr="009349AE">
        <w:tblPrEx>
          <w:tblW w:w="9355" w:type="dxa"/>
          <w:tblInd w:w="-5" w:type="dxa"/>
          <w:tblLayout w:type="fixed"/>
          <w:tblLook w:val="04A0"/>
        </w:tblPrEx>
        <w:trPr>
          <w:cantSplit/>
          <w:trHeight w:val="28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1C03" w:rsidRPr="00EE0077" w:rsidP="007F1C03" w14:paraId="76CE5366" w14:textId="77777777">
            <w:pPr>
              <w:pStyle w:val="LTableTextAbt"/>
              <w:spacing w:before="0" w:after="0"/>
              <w:rPr>
                <w:rFonts w:cs="Arial"/>
              </w:rPr>
            </w:pPr>
            <w:r w:rsidRPr="00EE0077">
              <w:rPr>
                <w:rFonts w:cs="Arial"/>
              </w:rPr>
              <w:t xml:space="preserve">Form Completion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F1C03" w:rsidRPr="007F1C03" w:rsidP="007F1C03" w14:paraId="64626611" w14:textId="63CF44F8">
            <w:pPr>
              <w:pStyle w:val="RTableTextAbt"/>
              <w:rPr>
                <w:rFonts w:cs="Arial"/>
                <w:bCs w:val="0"/>
              </w:rPr>
            </w:pPr>
            <w:r>
              <w:t>375</w:t>
            </w:r>
            <w:r w:rsidR="00BA33E2">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F1C03" w:rsidRPr="007F1C03" w:rsidP="007F1C03" w14:paraId="2DF27750" w14:textId="2195C86B">
            <w:pPr>
              <w:pStyle w:val="RTableTextAbt"/>
              <w:rPr>
                <w:rFonts w:cs="Arial"/>
              </w:rPr>
            </w:pPr>
            <w:r>
              <w:t xml:space="preserve"> </w:t>
            </w:r>
            <w:r w:rsidR="003940A3">
              <w:t>9,643</w:t>
            </w:r>
            <w:r>
              <w:t xml:space="preserve"> </w:t>
            </w:r>
          </w:p>
        </w:tc>
        <w:tc>
          <w:tcPr>
            <w:tcW w:w="2695" w:type="dxa"/>
            <w:tcBorders>
              <w:top w:val="single" w:sz="4" w:space="0" w:color="auto"/>
              <w:left w:val="nil"/>
              <w:bottom w:val="single" w:sz="4" w:space="0" w:color="auto"/>
              <w:right w:val="single" w:sz="4" w:space="0" w:color="auto"/>
            </w:tcBorders>
            <w:shd w:val="clear" w:color="auto" w:fill="auto"/>
            <w:noWrap/>
          </w:tcPr>
          <w:p w:rsidR="007F1C03" w:rsidRPr="007F1C03" w:rsidP="007F1C03" w14:paraId="49D8096F" w14:textId="0A36810C">
            <w:pPr>
              <w:pStyle w:val="RTableTextAbt"/>
              <w:rPr>
                <w:rFonts w:cs="Arial"/>
                <w:highlight w:val="green"/>
              </w:rPr>
            </w:pPr>
            <w:r>
              <w:t xml:space="preserve"> </w:t>
            </w:r>
            <w:r w:rsidRPr="00995696" w:rsidR="00995696">
              <w:t>$883,875</w:t>
            </w:r>
            <w:r>
              <w:t xml:space="preserve"> </w:t>
            </w:r>
          </w:p>
        </w:tc>
      </w:tr>
      <w:tr w14:paraId="7D52A659" w14:textId="77777777" w:rsidTr="009349AE">
        <w:tblPrEx>
          <w:tblW w:w="9355" w:type="dxa"/>
          <w:tblInd w:w="-5" w:type="dxa"/>
          <w:tblLayout w:type="fixed"/>
          <w:tblLook w:val="04A0"/>
        </w:tblPrEx>
        <w:trPr>
          <w:cantSplit/>
          <w:trHeight w:val="280"/>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F1C03" w:rsidRPr="00EE0077" w:rsidP="007F1C03" w14:paraId="06F6689B" w14:textId="77777777">
            <w:pPr>
              <w:pStyle w:val="LTableTextAbt"/>
              <w:spacing w:before="0" w:after="0"/>
              <w:rPr>
                <w:rFonts w:cs="Arial"/>
                <w:b/>
                <w:bCs w:val="0"/>
              </w:rPr>
            </w:pPr>
            <w:r w:rsidRPr="00EE0077">
              <w:rPr>
                <w:rFonts w:cs="Arial"/>
                <w:b/>
                <w:bCs w:val="0"/>
              </w:rPr>
              <w:t xml:space="preserve">Respondent Total </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3617A633" w14:textId="68016A78">
            <w:pPr>
              <w:pStyle w:val="RTableTextAbt"/>
              <w:rPr>
                <w:rFonts w:cs="Arial"/>
                <w:b/>
                <w:bCs w:val="0"/>
              </w:rPr>
            </w:pPr>
            <w:r>
              <w:rPr>
                <w:b/>
                <w:bCs w:val="0"/>
              </w:rPr>
              <w:t xml:space="preserve"> </w:t>
            </w:r>
            <w:r w:rsidR="006A3408">
              <w:rPr>
                <w:b/>
                <w:bCs w:val="0"/>
              </w:rPr>
              <w:t>22,835</w:t>
            </w:r>
            <w:r>
              <w:rPr>
                <w:b/>
                <w:bCs w:val="0"/>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444FCC97" w14:textId="5829B6FF">
            <w:pPr>
              <w:pStyle w:val="RTableTextAbt"/>
              <w:rPr>
                <w:rFonts w:cs="Arial"/>
                <w:b/>
                <w:bCs w:val="0"/>
              </w:rPr>
            </w:pPr>
            <w:r w:rsidRPr="003C73B7">
              <w:rPr>
                <w:b/>
                <w:bCs w:val="0"/>
              </w:rPr>
              <w:t xml:space="preserve"> </w:t>
            </w:r>
            <w:r w:rsidR="00BA33E2">
              <w:rPr>
                <w:b/>
                <w:bCs w:val="0"/>
              </w:rPr>
              <w:t xml:space="preserve"> </w:t>
            </w:r>
            <w:r w:rsidR="003940A3">
              <w:rPr>
                <w:b/>
                <w:bCs w:val="0"/>
              </w:rPr>
              <w:t>1,520</w:t>
            </w:r>
            <w:r w:rsidR="00695B20">
              <w:rPr>
                <w:b/>
                <w:bCs w:val="0"/>
              </w:rPr>
              <w:t>,466</w:t>
            </w:r>
            <w:r w:rsidR="00BA33E2">
              <w:rPr>
                <w:b/>
                <w:bCs w:val="0"/>
              </w:rPr>
              <w:t xml:space="preserve"> </w:t>
            </w:r>
          </w:p>
        </w:tc>
        <w:tc>
          <w:tcPr>
            <w:tcW w:w="2695" w:type="dxa"/>
            <w:tcBorders>
              <w:top w:val="single" w:sz="4" w:space="0" w:color="auto"/>
              <w:left w:val="nil"/>
              <w:bottom w:val="single" w:sz="4" w:space="0" w:color="auto"/>
              <w:right w:val="single" w:sz="4" w:space="0" w:color="auto"/>
            </w:tcBorders>
            <w:shd w:val="clear" w:color="auto" w:fill="FFFFFF" w:themeFill="background1"/>
            <w:noWrap/>
          </w:tcPr>
          <w:p w:rsidR="007F1C03" w:rsidRPr="00EC39BB" w:rsidP="007F1C03" w14:paraId="4468A36F" w14:textId="61E45090">
            <w:pPr>
              <w:pStyle w:val="RTableTextAbt"/>
              <w:rPr>
                <w:rFonts w:cs="Arial"/>
                <w:b/>
                <w:bCs w:val="0"/>
              </w:rPr>
            </w:pPr>
            <w:r w:rsidRPr="003C73B7">
              <w:rPr>
                <w:b/>
                <w:bCs w:val="0"/>
              </w:rPr>
              <w:t xml:space="preserve"> </w:t>
            </w:r>
            <w:r w:rsidR="00BA33E2">
              <w:rPr>
                <w:b/>
                <w:bCs w:val="0"/>
              </w:rPr>
              <w:t xml:space="preserve"> </w:t>
            </w:r>
            <w:r w:rsidRPr="00995696" w:rsidR="00995696">
              <w:rPr>
                <w:b/>
                <w:bCs w:val="0"/>
              </w:rPr>
              <w:t>$107,697,976</w:t>
            </w:r>
            <w:r w:rsidR="00695B20">
              <w:rPr>
                <w:b/>
                <w:bCs w:val="0"/>
              </w:rPr>
              <w:t xml:space="preserve"> </w:t>
            </w:r>
            <w:r w:rsidR="00BA33E2">
              <w:rPr>
                <w:b/>
                <w:bCs w:val="0"/>
              </w:rPr>
              <w:t xml:space="preserve"> </w:t>
            </w:r>
          </w:p>
        </w:tc>
      </w:tr>
      <w:tr w14:paraId="36084A17" w14:textId="77777777" w:rsidTr="009349AE">
        <w:tblPrEx>
          <w:tblW w:w="9355" w:type="dxa"/>
          <w:tblInd w:w="-5" w:type="dxa"/>
          <w:tblLayout w:type="fixed"/>
          <w:tblLook w:val="04A0"/>
        </w:tblPrEx>
        <w:trPr>
          <w:cantSplit/>
          <w:trHeight w:val="280"/>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F1C03" w:rsidRPr="00EE0077" w:rsidP="007F1C03" w14:paraId="66C49A0B" w14:textId="77777777">
            <w:pPr>
              <w:pStyle w:val="LTableTextAbt"/>
              <w:spacing w:before="0" w:after="0"/>
              <w:rPr>
                <w:rFonts w:cs="Arial"/>
                <w:b/>
                <w:bCs w:val="0"/>
              </w:rPr>
            </w:pPr>
            <w:r w:rsidRPr="00EE0077">
              <w:rPr>
                <w:rFonts w:cs="Arial"/>
                <w:b/>
                <w:bCs w:val="0"/>
              </w:rPr>
              <w:t>Agency</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EC39BB" w:rsidP="007F1C03" w14:paraId="1F567FA0" w14:textId="3092F821">
            <w:pPr>
              <w:pStyle w:val="RTableTextAbt"/>
              <w:rPr>
                <w:rFonts w:cs="Arial"/>
                <w:b/>
                <w:bCs w:val="0"/>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F1C03" w:rsidRPr="00FA370A" w:rsidP="007F1C03" w14:paraId="546AD89E" w14:textId="1145CA0E">
            <w:pPr>
              <w:pStyle w:val="RTableTextAbt"/>
              <w:rPr>
                <w:rFonts w:cs="Arial"/>
                <w:b/>
                <w:bCs w:val="0"/>
              </w:rPr>
            </w:pP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F1C03" w:rsidRPr="00EC39BB" w:rsidP="007F1C03" w14:paraId="220507C8" w14:textId="0EF3A019">
            <w:pPr>
              <w:pStyle w:val="RTableTextAbt"/>
              <w:rPr>
                <w:rFonts w:cs="Arial"/>
                <w:b/>
                <w:bCs w:val="0"/>
                <w:highlight w:val="green"/>
              </w:rPr>
            </w:pPr>
            <w:r>
              <w:rPr>
                <w:rFonts w:cs="Arial"/>
                <w:b/>
                <w:bCs w:val="0"/>
              </w:rPr>
              <w:t xml:space="preserve"> </w:t>
            </w:r>
            <w:r w:rsidRPr="009349AE" w:rsidR="009349AE">
              <w:rPr>
                <w:rFonts w:cs="Arial"/>
                <w:b/>
                <w:bCs w:val="0"/>
              </w:rPr>
              <w:t>$328,606</w:t>
            </w:r>
            <w:r>
              <w:rPr>
                <w:rFonts w:cs="Arial"/>
                <w:b/>
                <w:bCs w:val="0"/>
              </w:rPr>
              <w:t xml:space="preserve"> </w:t>
            </w:r>
          </w:p>
        </w:tc>
      </w:tr>
      <w:tr w14:paraId="139FE4BA" w14:textId="77777777" w:rsidTr="00B51F30">
        <w:tblPrEx>
          <w:tblW w:w="9355" w:type="dxa"/>
          <w:tblInd w:w="-5" w:type="dxa"/>
          <w:tblLayout w:type="fixed"/>
          <w:tblLook w:val="04A0"/>
        </w:tblPrEx>
        <w:trPr>
          <w:cantSplit/>
          <w:trHeight w:val="280"/>
        </w:trPr>
        <w:tc>
          <w:tcPr>
            <w:tcW w:w="9355"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F2112" w:rsidRPr="00F41B64" w:rsidP="003F2112" w14:paraId="7CEC6306" w14:textId="16C8E500">
            <w:pPr>
              <w:pStyle w:val="RTableTextAbt"/>
              <w:jc w:val="left"/>
              <w:rPr>
                <w:rFonts w:cs="Arial"/>
              </w:rPr>
            </w:pPr>
            <w:r w:rsidRPr="00F41B64">
              <w:rPr>
                <w:rFonts w:cs="Arial"/>
                <w:vertAlign w:val="superscript"/>
              </w:rPr>
              <w:t>1</w:t>
            </w:r>
            <w:r w:rsidRPr="00F41B64">
              <w:rPr>
                <w:rFonts w:cs="Arial"/>
              </w:rPr>
              <w:t xml:space="preserve"> </w:t>
            </w:r>
            <w:r>
              <w:rPr>
                <w:rFonts w:cs="Arial"/>
              </w:rPr>
              <w:t>Annualized v</w:t>
            </w:r>
            <w:r w:rsidRPr="00F41B64">
              <w:rPr>
                <w:rFonts w:cs="Arial"/>
              </w:rPr>
              <w:t xml:space="preserve">alues </w:t>
            </w:r>
            <w:r>
              <w:rPr>
                <w:rFonts w:cs="Arial"/>
              </w:rPr>
              <w:t xml:space="preserve">in this table reflect only the upper bound estimates from </w:t>
            </w:r>
            <w:r w:rsidRPr="001D4C92" w:rsidR="001D4C92">
              <w:rPr>
                <w:rFonts w:cs="Arial"/>
              </w:rPr>
              <w:fldChar w:fldCharType="begin"/>
            </w:r>
            <w:r w:rsidRPr="001D4C92" w:rsidR="001D4C92">
              <w:rPr>
                <w:rFonts w:cs="Arial"/>
              </w:rPr>
              <w:instrText xml:space="preserve"> REF _Ref123028572  \* MERGEFORMAT </w:instrText>
            </w:r>
            <w:r w:rsidRPr="001D4C92" w:rsidR="001D4C92">
              <w:rPr>
                <w:rFonts w:cs="Arial"/>
              </w:rPr>
              <w:fldChar w:fldCharType="separate"/>
            </w:r>
            <w:r w:rsidRPr="009F0705" w:rsidR="009F0705">
              <w:rPr>
                <w:rFonts w:cs="Arial"/>
              </w:rPr>
              <w:t xml:space="preserve">Table </w:t>
            </w:r>
            <w:r w:rsidRPr="009F0705" w:rsidR="009F0705">
              <w:rPr>
                <w:rFonts w:cs="Arial"/>
                <w:noProof/>
              </w:rPr>
              <w:t>1</w:t>
            </w:r>
            <w:r w:rsidRPr="001D4C92" w:rsidR="001D4C92">
              <w:rPr>
                <w:rFonts w:cs="Arial"/>
              </w:rPr>
              <w:fldChar w:fldCharType="end"/>
            </w:r>
            <w:r w:rsidR="001D4C92">
              <w:rPr>
                <w:rFonts w:cs="Arial"/>
              </w:rPr>
              <w:t>.</w:t>
            </w:r>
          </w:p>
        </w:tc>
      </w:tr>
    </w:tbl>
    <w:p w:rsidR="00855B83" w:rsidP="00855B83" w14:paraId="770F244D" w14:textId="7A585E33">
      <w:pPr>
        <w:pStyle w:val="BodyText"/>
        <w:spacing w:after="0"/>
        <w:rPr>
          <w:rFonts w:cs="Arial"/>
        </w:rPr>
      </w:pPr>
    </w:p>
    <w:p w:rsidR="00B262D4" w:rsidRPr="00A640A9" w:rsidP="00326B70" w14:paraId="526A56DE" w14:textId="32E244D0">
      <w:pPr>
        <w:pStyle w:val="Heading1"/>
      </w:pPr>
      <w:r w:rsidRPr="00A640A9">
        <w:t>Supporting Statement</w:t>
      </w:r>
    </w:p>
    <w:p w:rsidR="004D2145" w:rsidP="00326B70" w14:paraId="612EFF3D" w14:textId="75AE01E6">
      <w:pPr>
        <w:pStyle w:val="Heading2"/>
      </w:pPr>
      <w:bookmarkStart w:id="7" w:name="_Toc49148160"/>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B4857">
        <w:t xml:space="preserve"> </w:t>
      </w:r>
    </w:p>
    <w:p w:rsidR="00705AA7" w:rsidRPr="00705AA7" w:rsidP="00EE0077" w14:paraId="63D10DB2" w14:textId="72EC60CE">
      <w:pPr>
        <w:spacing w:line="240" w:lineRule="auto"/>
        <w:rPr>
          <w:rFonts w:eastAsia="Calibri" w:cs="Arial"/>
          <w:szCs w:val="24"/>
        </w:rPr>
      </w:pPr>
      <w:r w:rsidRPr="00705AA7">
        <w:rPr>
          <w:rFonts w:eastAsia="Calibri" w:cs="Arial"/>
          <w:szCs w:val="24"/>
        </w:rPr>
        <w:t>Petitioners filed lawsuits on February 18, 2019 and June 28, 2019, respectively, in the U.S. District Court in the Northern District of California, reiterating concerns about the opinion granting summary judgment to Plaintiffs and denying summary judgment to EPA. Asbestos Disease Awareness Organizations v. EPA, No. 19-CV-00871; State of California et al. v. EPA, No. 19-CV-03807.  The above cases were consolidated</w:t>
      </w:r>
      <w:r w:rsidR="000B207D">
        <w:rPr>
          <w:rFonts w:eastAsia="Calibri" w:cs="Arial"/>
          <w:szCs w:val="24"/>
        </w:rPr>
        <w:t xml:space="preserve">, </w:t>
      </w:r>
      <w:r w:rsidRPr="00705AA7">
        <w:rPr>
          <w:rFonts w:eastAsia="Calibri" w:cs="Arial"/>
          <w:szCs w:val="24"/>
        </w:rPr>
        <w:t>where Plaintiffs sought judicial review of EPA’s decisions to deny Plaintiffs’ administrative petitions brought under section 21</w:t>
      </w:r>
      <w:r w:rsidR="00DA6078">
        <w:rPr>
          <w:rFonts w:eastAsia="Calibri" w:cs="Arial"/>
          <w:szCs w:val="24"/>
        </w:rPr>
        <w:t xml:space="preserve"> of the Toxic Substances Control Act (TSCA)</w:t>
      </w:r>
      <w:r w:rsidRPr="00705AA7">
        <w:rPr>
          <w:rFonts w:eastAsia="Calibri" w:cs="Arial"/>
          <w:szCs w:val="24"/>
        </w:rPr>
        <w:t xml:space="preserve">. On December 22, 2020, after full briefing and oral argument, the Court issued an opinion granting summary judgment to Plaintiffs and denying summary judgment to EPA. </w:t>
      </w:r>
    </w:p>
    <w:p w:rsidR="6F1B5483" w:rsidP="00EE0077" w14:paraId="6350FF8F" w14:textId="64FD31BA">
      <w:pPr>
        <w:spacing w:line="240" w:lineRule="auto"/>
      </w:pPr>
      <w:r w:rsidRPr="0EB0AF42">
        <w:rPr>
          <w:rFonts w:eastAsia="Calibri" w:cs="Arial"/>
        </w:rPr>
        <w:t xml:space="preserve">Following the litigations, EPA reached an agreement with the Plaintiffs on June 7, 2021.  The parties agreed that no later than nine months from the effective date of the agreement, EPA </w:t>
      </w:r>
      <w:r w:rsidR="00027743">
        <w:rPr>
          <w:rFonts w:eastAsia="Calibri" w:cs="Arial"/>
        </w:rPr>
        <w:t>would</w:t>
      </w:r>
      <w:r w:rsidRPr="0EB0AF42" w:rsidR="00027743">
        <w:rPr>
          <w:rFonts w:eastAsia="Calibri" w:cs="Arial"/>
        </w:rPr>
        <w:t xml:space="preserve"> </w:t>
      </w:r>
      <w:r w:rsidRPr="0EB0AF42">
        <w:rPr>
          <w:rFonts w:eastAsia="Calibri" w:cs="Arial"/>
        </w:rPr>
        <w:t>sign</w:t>
      </w:r>
      <w:r w:rsidRPr="0EB0AF42" w:rsidR="008F45AE">
        <w:rPr>
          <w:rFonts w:eastAsia="Calibri" w:cs="Arial"/>
        </w:rPr>
        <w:t xml:space="preserve"> </w:t>
      </w:r>
      <w:r w:rsidRPr="0EB0AF42" w:rsidR="5F2EEB1C">
        <w:rPr>
          <w:rFonts w:eastAsia="Calibri" w:cs="Arial"/>
        </w:rPr>
        <w:t xml:space="preserve">for </w:t>
      </w:r>
      <w:r w:rsidRPr="1148C9EF" w:rsidR="2B2CB68B">
        <w:rPr>
          <w:rFonts w:eastAsia="Calibri" w:cs="Arial"/>
        </w:rPr>
        <w:t>publication</w:t>
      </w:r>
      <w:r w:rsidRPr="0EB0AF42">
        <w:rPr>
          <w:rFonts w:eastAsia="Calibri" w:cs="Arial"/>
        </w:rPr>
        <w:t xml:space="preserve"> in the Federal Register, a notice of proposed action to promulgate a rule pursuant to TSCA section 8(a), 15 U.S.C. § 2607(a), for the maintenance of records and submission to EPA of reports by manufacturers, importers and processors of asbestos and mixtures and articles containing asbestos (including as an impurity) that address the information-gathering deficiencies identified in the Court’s Summary Judgment Order. </w:t>
      </w:r>
      <w:r w:rsidR="00477F26">
        <w:rPr>
          <w:rFonts w:eastAsia="Calibri" w:cs="Arial"/>
        </w:rPr>
        <w:t xml:space="preserve">That Federal Register notice was published </w:t>
      </w:r>
      <w:r w:rsidR="00DC42CC">
        <w:rPr>
          <w:rFonts w:eastAsia="Calibri" w:cs="Arial"/>
        </w:rPr>
        <w:t>on May 6, 2022 (</w:t>
      </w:r>
      <w:r w:rsidR="00366A89">
        <w:rPr>
          <w:rFonts w:eastAsia="Calibri" w:cs="Arial"/>
        </w:rPr>
        <w:t xml:space="preserve">87 FR 27060). </w:t>
      </w:r>
      <w:r w:rsidRPr="0EB0AF42">
        <w:rPr>
          <w:rFonts w:eastAsia="Calibri" w:cs="Arial"/>
        </w:rPr>
        <w:t xml:space="preserve">Additionally, the parties agreed that no later than eighteen months from the effective date of the agreement, EPA </w:t>
      </w:r>
      <w:r w:rsidR="00366A89">
        <w:rPr>
          <w:rFonts w:eastAsia="Calibri" w:cs="Arial"/>
        </w:rPr>
        <w:t xml:space="preserve">would </w:t>
      </w:r>
      <w:r w:rsidRPr="0EB0AF42">
        <w:rPr>
          <w:rFonts w:eastAsia="Calibri" w:cs="Arial"/>
        </w:rPr>
        <w:t xml:space="preserve">sign for </w:t>
      </w:r>
      <w:r w:rsidRPr="64CD816B">
        <w:rPr>
          <w:rFonts w:eastAsia="Calibri" w:cs="Arial"/>
        </w:rPr>
        <w:t>publication</w:t>
      </w:r>
      <w:r w:rsidRPr="0EB0AF42">
        <w:rPr>
          <w:rFonts w:eastAsia="Calibri" w:cs="Arial"/>
        </w:rPr>
        <w:t xml:space="preserve"> in the Federal Register a notice of final action regarding the proposed TSCA section 8(a) rule.</w:t>
      </w:r>
      <w:r>
        <w:tab/>
      </w:r>
    </w:p>
    <w:p w:rsidR="001511FC" w:rsidRPr="00B744D6" w:rsidP="00326B70" w14:paraId="48E56FC7" w14:textId="3920AA80">
      <w:pPr>
        <w:pStyle w:val="Heading2"/>
      </w:pPr>
      <w:r w:rsidRPr="00E00E93">
        <w:t>Indicate how, by whom, and for what purpose the information is to be used.  Except for a new collection, indicate the actual use the Agency has made of the information received from the current collection</w:t>
      </w:r>
      <w:bookmarkEnd w:id="7"/>
      <w:r w:rsidR="004A6ECD">
        <w:t xml:space="preserve">. </w:t>
      </w:r>
    </w:p>
    <w:p w:rsidR="004123C7" w:rsidP="00326B70" w14:paraId="5619FE4C" w14:textId="0F0F5917">
      <w:pPr>
        <w:pStyle w:val="paragraph"/>
        <w:spacing w:before="0" w:beforeAutospacing="0" w:after="0" w:afterAutospacing="0"/>
        <w:textAlignment w:val="baseline"/>
        <w:rPr>
          <w:rFonts w:ascii="Arial" w:eastAsia="Arial" w:hAnsi="Arial" w:cs="Arial"/>
          <w:sz w:val="18"/>
          <w:szCs w:val="18"/>
        </w:rPr>
      </w:pPr>
      <w:r w:rsidRPr="3D9C1B90">
        <w:rPr>
          <w:rStyle w:val="normaltextrun"/>
          <w:rFonts w:ascii="Arial" w:eastAsia="Arial" w:hAnsi="Arial" w:cs="Arial"/>
        </w:rPr>
        <w:t xml:space="preserve">Reported information </w:t>
      </w:r>
      <w:r w:rsidR="00495AA5">
        <w:rPr>
          <w:rStyle w:val="normaltextrun"/>
          <w:rFonts w:ascii="Arial" w:eastAsia="Arial" w:hAnsi="Arial" w:cs="Arial"/>
        </w:rPr>
        <w:t xml:space="preserve">will </w:t>
      </w:r>
      <w:r w:rsidRPr="3D9C1B90">
        <w:rPr>
          <w:rStyle w:val="normaltextrun"/>
          <w:rFonts w:ascii="Arial" w:eastAsia="Arial" w:hAnsi="Arial" w:cs="Arial"/>
        </w:rPr>
        <w:t>be used by EPA and other Federal agencies in considering</w:t>
      </w:r>
      <w:r w:rsidRPr="3D9C1B90" w:rsidR="401B0B85">
        <w:rPr>
          <w:rStyle w:val="normaltextrun"/>
          <w:rFonts w:ascii="Arial" w:eastAsia="Arial" w:hAnsi="Arial" w:cs="Arial"/>
        </w:rPr>
        <w:t xml:space="preserve"> </w:t>
      </w:r>
      <w:r w:rsidRPr="3D9C1B90">
        <w:rPr>
          <w:rStyle w:val="normaltextrun"/>
          <w:rFonts w:ascii="Arial" w:eastAsia="Arial" w:hAnsi="Arial" w:cs="Arial"/>
        </w:rPr>
        <w:t>potential actions on</w:t>
      </w:r>
      <w:r w:rsidR="00173588">
        <w:rPr>
          <w:rStyle w:val="normaltextrun"/>
          <w:rFonts w:ascii="Arial" w:eastAsia="Arial" w:hAnsi="Arial" w:cs="Arial"/>
        </w:rPr>
        <w:t xml:space="preserve"> </w:t>
      </w:r>
      <w:r w:rsidRPr="3D9C1B90">
        <w:rPr>
          <w:rStyle w:val="normaltextrun"/>
          <w:rFonts w:ascii="Arial" w:eastAsia="Arial" w:hAnsi="Arial" w:cs="Arial"/>
        </w:rPr>
        <w:t>asbestos,</w:t>
      </w:r>
      <w:r w:rsidRPr="3D9C1B90" w:rsidR="698A8768">
        <w:rPr>
          <w:rStyle w:val="normaltextrun"/>
          <w:rFonts w:ascii="Arial" w:eastAsia="Arial" w:hAnsi="Arial" w:cs="Arial"/>
        </w:rPr>
        <w:t xml:space="preserve"> </w:t>
      </w:r>
      <w:r w:rsidRPr="3D9C1B90">
        <w:rPr>
          <w:rStyle w:val="normaltextrun"/>
          <w:rFonts w:ascii="Arial" w:eastAsia="Arial" w:hAnsi="Arial" w:cs="Arial"/>
        </w:rPr>
        <w:t>including EPA’s TSCA risk evaluation and risk management activities.</w:t>
      </w:r>
      <w:r w:rsidR="00173588">
        <w:rPr>
          <w:rStyle w:val="normaltextrun"/>
          <w:rFonts w:ascii="Arial" w:eastAsia="Arial" w:hAnsi="Arial" w:cs="Arial"/>
        </w:rPr>
        <w:t xml:space="preserve">  </w:t>
      </w:r>
      <w:r w:rsidRPr="3D9C1B90">
        <w:rPr>
          <w:rStyle w:val="normaltextrun"/>
          <w:rFonts w:ascii="Arial" w:eastAsia="Arial" w:hAnsi="Arial" w:cs="Arial"/>
        </w:rPr>
        <w:t>Reporting</w:t>
      </w:r>
      <w:r w:rsidR="00173588">
        <w:rPr>
          <w:rStyle w:val="normaltextrun"/>
          <w:rFonts w:ascii="Arial" w:eastAsia="Arial" w:hAnsi="Arial" w:cs="Arial"/>
        </w:rPr>
        <w:t xml:space="preserve"> </w:t>
      </w:r>
      <w:r w:rsidRPr="3D9C1B90">
        <w:rPr>
          <w:rStyle w:val="normaltextrun"/>
          <w:rFonts w:ascii="Arial" w:eastAsia="Arial" w:hAnsi="Arial" w:cs="Arial"/>
        </w:rPr>
        <w:t>requirements</w:t>
      </w:r>
      <w:r w:rsidR="00173588">
        <w:rPr>
          <w:rStyle w:val="normaltextrun"/>
          <w:rFonts w:ascii="Arial" w:eastAsia="Arial" w:hAnsi="Arial" w:cs="Arial"/>
        </w:rPr>
        <w:t xml:space="preserve"> </w:t>
      </w:r>
      <w:r w:rsidRPr="3D9C1B90">
        <w:rPr>
          <w:rStyle w:val="normaltextrun"/>
          <w:rFonts w:ascii="Arial" w:eastAsia="Arial" w:hAnsi="Arial" w:cs="Arial"/>
        </w:rPr>
        <w:t>may</w:t>
      </w:r>
      <w:r w:rsidR="00173588">
        <w:rPr>
          <w:rStyle w:val="normaltextrun"/>
          <w:rFonts w:ascii="Arial" w:eastAsia="Arial" w:hAnsi="Arial" w:cs="Arial"/>
        </w:rPr>
        <w:t xml:space="preserve"> </w:t>
      </w:r>
      <w:r w:rsidRPr="3D9C1B90">
        <w:rPr>
          <w:rStyle w:val="normaltextrun"/>
          <w:rFonts w:ascii="Arial" w:eastAsia="Arial" w:hAnsi="Arial" w:cs="Arial"/>
        </w:rPr>
        <w:t>provide EPA with baseline information</w:t>
      </w:r>
      <w:r w:rsidR="00173588">
        <w:rPr>
          <w:rStyle w:val="normaltextrun"/>
          <w:rFonts w:ascii="Arial" w:eastAsia="Arial" w:hAnsi="Arial" w:cs="Arial"/>
        </w:rPr>
        <w:t xml:space="preserve"> </w:t>
      </w:r>
      <w:r w:rsidRPr="3D9C1B90">
        <w:rPr>
          <w:rStyle w:val="normaltextrun"/>
          <w:rFonts w:ascii="Arial" w:eastAsia="Arial" w:hAnsi="Arial" w:cs="Arial"/>
        </w:rPr>
        <w:t>needed to</w:t>
      </w:r>
      <w:r w:rsidR="00173588">
        <w:rPr>
          <w:rStyle w:val="normaltextrun"/>
          <w:rFonts w:ascii="Arial" w:eastAsia="Arial" w:hAnsi="Arial" w:cs="Arial"/>
        </w:rPr>
        <w:t xml:space="preserve"> </w:t>
      </w:r>
      <w:r w:rsidRPr="3D9C1B90">
        <w:rPr>
          <w:rStyle w:val="normaltextrun"/>
          <w:rFonts w:ascii="Arial" w:eastAsia="Arial" w:hAnsi="Arial" w:cs="Arial"/>
        </w:rPr>
        <w:t>assess</w:t>
      </w:r>
      <w:r w:rsidR="00173588">
        <w:rPr>
          <w:rStyle w:val="normaltextrun"/>
          <w:rFonts w:ascii="Arial" w:eastAsia="Arial" w:hAnsi="Arial" w:cs="Arial"/>
        </w:rPr>
        <w:t xml:space="preserve"> </w:t>
      </w:r>
      <w:r w:rsidRPr="3D9C1B90">
        <w:rPr>
          <w:rStyle w:val="normaltextrun"/>
          <w:rFonts w:ascii="Arial" w:eastAsia="Arial" w:hAnsi="Arial" w:cs="Arial"/>
        </w:rPr>
        <w:t>whether certain “conditions of use” of asbestos pose an unreasonable risk to human health or the environment</w:t>
      </w:r>
      <w:r w:rsidR="00173588">
        <w:rPr>
          <w:rStyle w:val="normaltextrun"/>
          <w:rFonts w:ascii="Arial" w:eastAsia="Arial" w:hAnsi="Arial" w:cs="Arial"/>
        </w:rPr>
        <w:t xml:space="preserve"> </w:t>
      </w:r>
      <w:r w:rsidRPr="3D9C1B90">
        <w:rPr>
          <w:rStyle w:val="normaltextrun"/>
          <w:rFonts w:ascii="Arial" w:eastAsia="Arial" w:hAnsi="Arial" w:cs="Arial"/>
        </w:rPr>
        <w:t>under Section 6(b)</w:t>
      </w:r>
      <w:r w:rsidR="00173588">
        <w:rPr>
          <w:rStyle w:val="normaltextrun"/>
          <w:rFonts w:ascii="Arial" w:eastAsia="Arial" w:hAnsi="Arial" w:cs="Arial"/>
        </w:rPr>
        <w:t xml:space="preserve"> </w:t>
      </w:r>
      <w:r w:rsidRPr="3D9C1B90">
        <w:rPr>
          <w:rStyle w:val="normaltextrun"/>
          <w:rFonts w:ascii="Arial" w:eastAsia="Arial" w:hAnsi="Arial" w:cs="Arial"/>
        </w:rPr>
        <w:t>of TSCA.</w:t>
      </w:r>
      <w:r w:rsidR="00173588">
        <w:rPr>
          <w:rStyle w:val="normaltextrun"/>
          <w:rFonts w:ascii="Arial" w:eastAsia="Arial" w:hAnsi="Arial" w:cs="Arial"/>
        </w:rPr>
        <w:t xml:space="preserve"> </w:t>
      </w:r>
      <w:r w:rsidRPr="3D9C1B90">
        <w:rPr>
          <w:rStyle w:val="normaltextrun"/>
          <w:rFonts w:ascii="Arial" w:eastAsia="Arial" w:hAnsi="Arial" w:cs="Arial"/>
        </w:rPr>
        <w:t>EP</w:t>
      </w:r>
      <w:r w:rsidRPr="3D9C1B90" w:rsidR="04D1F032">
        <w:rPr>
          <w:rStyle w:val="normaltextrun"/>
          <w:rFonts w:ascii="Arial" w:eastAsia="Arial" w:hAnsi="Arial" w:cs="Arial"/>
        </w:rPr>
        <w:t xml:space="preserve">A </w:t>
      </w:r>
      <w:r w:rsidRPr="3D9C1B90">
        <w:rPr>
          <w:rStyle w:val="normaltextrun"/>
          <w:rFonts w:ascii="Arial" w:eastAsia="Arial" w:hAnsi="Arial" w:cs="Arial"/>
        </w:rPr>
        <w:t>must consider</w:t>
      </w:r>
      <w:r w:rsidR="00173588">
        <w:rPr>
          <w:rStyle w:val="normaltextrun"/>
          <w:rFonts w:ascii="Arial" w:eastAsia="Arial" w:hAnsi="Arial" w:cs="Arial"/>
        </w:rPr>
        <w:t xml:space="preserve"> </w:t>
      </w:r>
      <w:r w:rsidRPr="3D9C1B90">
        <w:rPr>
          <w:rStyle w:val="normaltextrun"/>
          <w:rFonts w:ascii="Arial" w:eastAsia="Arial" w:hAnsi="Arial" w:cs="Arial"/>
        </w:rPr>
        <w:t>reasonably available</w:t>
      </w:r>
      <w:r w:rsidR="00173588">
        <w:rPr>
          <w:rStyle w:val="normaltextrun"/>
          <w:rFonts w:ascii="Arial" w:eastAsia="Arial" w:hAnsi="Arial" w:cs="Arial"/>
        </w:rPr>
        <w:t xml:space="preserve"> </w:t>
      </w:r>
      <w:r w:rsidRPr="3D9C1B90">
        <w:rPr>
          <w:rStyle w:val="normaltextrun"/>
          <w:rFonts w:ascii="Arial" w:eastAsia="Arial" w:hAnsi="Arial" w:cs="Arial"/>
        </w:rPr>
        <w:t>information</w:t>
      </w:r>
      <w:r w:rsidR="00173588">
        <w:rPr>
          <w:rStyle w:val="normaltextrun"/>
          <w:rFonts w:ascii="Arial" w:eastAsia="Arial" w:hAnsi="Arial" w:cs="Arial"/>
        </w:rPr>
        <w:t xml:space="preserve"> </w:t>
      </w:r>
      <w:r w:rsidRPr="3D9C1B90">
        <w:rPr>
          <w:rStyle w:val="normaltextrun"/>
          <w:rFonts w:ascii="Arial" w:eastAsia="Arial" w:hAnsi="Arial" w:cs="Arial"/>
        </w:rPr>
        <w:t>as part of the</w:t>
      </w:r>
      <w:r w:rsidR="00173588">
        <w:rPr>
          <w:rStyle w:val="normaltextrun"/>
          <w:rFonts w:ascii="Arial" w:eastAsia="Arial" w:hAnsi="Arial" w:cs="Arial"/>
        </w:rPr>
        <w:t xml:space="preserve"> </w:t>
      </w:r>
      <w:r w:rsidRPr="3D9C1B90">
        <w:rPr>
          <w:rStyle w:val="normaltextrun"/>
          <w:rFonts w:ascii="Arial" w:eastAsia="Arial" w:hAnsi="Arial" w:cs="Arial"/>
        </w:rPr>
        <w:t>risk</w:t>
      </w:r>
      <w:r w:rsidR="00173588">
        <w:rPr>
          <w:rStyle w:val="normaltextrun"/>
          <w:rFonts w:ascii="Arial" w:eastAsia="Arial" w:hAnsi="Arial" w:cs="Arial"/>
        </w:rPr>
        <w:t xml:space="preserve"> </w:t>
      </w:r>
      <w:r w:rsidRPr="3D9C1B90">
        <w:rPr>
          <w:rStyle w:val="normaltextrun"/>
          <w:rFonts w:ascii="Arial" w:eastAsia="Arial" w:hAnsi="Arial" w:cs="Arial"/>
        </w:rPr>
        <w:t>evaluation</w:t>
      </w:r>
      <w:r w:rsidRPr="3D9C1B90" w:rsidR="1F62A06C">
        <w:rPr>
          <w:rStyle w:val="normaltextrun"/>
          <w:rFonts w:ascii="Arial" w:eastAsia="Arial" w:hAnsi="Arial" w:cs="Arial"/>
        </w:rPr>
        <w:t xml:space="preserve"> </w:t>
      </w:r>
      <w:r w:rsidRPr="3D9C1B90">
        <w:rPr>
          <w:rStyle w:val="normaltextrun"/>
          <w:rFonts w:ascii="Arial" w:eastAsia="Arial" w:hAnsi="Arial" w:cs="Arial"/>
        </w:rPr>
        <w:t>process</w:t>
      </w:r>
      <w:r w:rsidR="00173588">
        <w:rPr>
          <w:rStyle w:val="normaltextrun"/>
          <w:rFonts w:ascii="Arial" w:eastAsia="Arial" w:hAnsi="Arial" w:cs="Arial"/>
        </w:rPr>
        <w:t xml:space="preserve"> </w:t>
      </w:r>
      <w:r w:rsidRPr="3D9C1B90">
        <w:rPr>
          <w:rStyle w:val="normaltextrun"/>
          <w:rFonts w:ascii="Arial" w:eastAsia="Arial" w:hAnsi="Arial" w:cs="Arial"/>
        </w:rPr>
        <w:t>under Section 6(b),</w:t>
      </w:r>
      <w:r w:rsidRPr="3D9C1B90" w:rsidR="3B50830C">
        <w:rPr>
          <w:rStyle w:val="normaltextrun"/>
          <w:rFonts w:ascii="Arial" w:eastAsia="Arial" w:hAnsi="Arial" w:cs="Arial"/>
        </w:rPr>
        <w:t xml:space="preserve"> </w:t>
      </w:r>
      <w:r w:rsidRPr="3D9C1B90">
        <w:rPr>
          <w:rStyle w:val="normaltextrun"/>
          <w:rFonts w:ascii="Arial" w:eastAsia="Arial" w:hAnsi="Arial" w:cs="Arial"/>
        </w:rPr>
        <w:t>and as part of</w:t>
      </w:r>
      <w:r w:rsidR="00173588">
        <w:rPr>
          <w:rStyle w:val="normaltextrun"/>
          <w:rFonts w:ascii="Arial" w:eastAsia="Arial" w:hAnsi="Arial" w:cs="Arial"/>
        </w:rPr>
        <w:t xml:space="preserve"> </w:t>
      </w:r>
      <w:r w:rsidRPr="3D9C1B90">
        <w:rPr>
          <w:rStyle w:val="normaltextrun"/>
          <w:rFonts w:ascii="Arial" w:eastAsia="Arial" w:hAnsi="Arial" w:cs="Arial"/>
        </w:rPr>
        <w:t>any</w:t>
      </w:r>
      <w:r w:rsidR="00173588">
        <w:rPr>
          <w:rStyle w:val="normaltextrun"/>
          <w:rFonts w:ascii="Arial" w:eastAsia="Arial" w:hAnsi="Arial" w:cs="Arial"/>
        </w:rPr>
        <w:t xml:space="preserve"> </w:t>
      </w:r>
      <w:r w:rsidRPr="3D9C1B90">
        <w:rPr>
          <w:rStyle w:val="normaltextrun"/>
          <w:rFonts w:ascii="Arial" w:eastAsia="Arial" w:hAnsi="Arial" w:cs="Arial"/>
        </w:rPr>
        <w:t>subsequent risk management</w:t>
      </w:r>
      <w:r w:rsidR="00173588">
        <w:rPr>
          <w:rStyle w:val="normaltextrun"/>
          <w:rFonts w:ascii="Arial" w:eastAsia="Arial" w:hAnsi="Arial" w:cs="Arial"/>
        </w:rPr>
        <w:t xml:space="preserve"> </w:t>
      </w:r>
      <w:r w:rsidRPr="3D9C1B90">
        <w:rPr>
          <w:rStyle w:val="normaltextrun"/>
          <w:rFonts w:ascii="Arial" w:eastAsia="Arial" w:hAnsi="Arial" w:cs="Arial"/>
        </w:rPr>
        <w:t>rulemaking efforts under TSCA</w:t>
      </w:r>
      <w:r w:rsidR="00173588">
        <w:rPr>
          <w:rStyle w:val="normaltextrun"/>
          <w:rFonts w:ascii="Arial" w:eastAsia="Arial" w:hAnsi="Arial" w:cs="Arial"/>
        </w:rPr>
        <w:t xml:space="preserve"> </w:t>
      </w:r>
      <w:r w:rsidRPr="3D9C1B90">
        <w:rPr>
          <w:rStyle w:val="normaltextrun"/>
          <w:rFonts w:ascii="Arial" w:eastAsia="Arial" w:hAnsi="Arial" w:cs="Arial"/>
        </w:rPr>
        <w:t>Section 6(a).</w:t>
      </w:r>
      <w:r w:rsidR="00173588">
        <w:rPr>
          <w:rStyle w:val="normaltextrun"/>
          <w:rFonts w:ascii="Arial" w:eastAsia="Arial" w:hAnsi="Arial" w:cs="Arial"/>
        </w:rPr>
        <w:t xml:space="preserve"> </w:t>
      </w:r>
      <w:r w:rsidRPr="3D9C1B90">
        <w:rPr>
          <w:rStyle w:val="normaltextrun"/>
          <w:rFonts w:ascii="Arial" w:eastAsia="Arial" w:hAnsi="Arial" w:cs="Arial"/>
        </w:rPr>
        <w:t>Understanding the health risks of asbestos and protecting</w:t>
      </w:r>
      <w:r w:rsidR="00173588">
        <w:rPr>
          <w:rStyle w:val="normaltextrun"/>
          <w:rFonts w:ascii="Arial" w:eastAsia="Arial" w:hAnsi="Arial" w:cs="Arial"/>
        </w:rPr>
        <w:t xml:space="preserve"> </w:t>
      </w:r>
      <w:r w:rsidRPr="3D9C1B90">
        <w:rPr>
          <w:rStyle w:val="normaltextrun"/>
          <w:rFonts w:ascii="Arial" w:eastAsia="Arial" w:hAnsi="Arial" w:cs="Arial"/>
        </w:rPr>
        <w:t>the public</w:t>
      </w:r>
      <w:r w:rsidR="00173588">
        <w:rPr>
          <w:rStyle w:val="normaltextrun"/>
          <w:rFonts w:ascii="Arial" w:eastAsia="Arial" w:hAnsi="Arial" w:cs="Arial"/>
        </w:rPr>
        <w:t xml:space="preserve"> </w:t>
      </w:r>
      <w:r w:rsidRPr="3D9C1B90">
        <w:rPr>
          <w:rStyle w:val="normaltextrun"/>
          <w:rFonts w:ascii="Arial" w:eastAsia="Arial" w:hAnsi="Arial" w:cs="Arial"/>
        </w:rPr>
        <w:t>and</w:t>
      </w:r>
      <w:r w:rsidR="00173588">
        <w:rPr>
          <w:rStyle w:val="normaltextrun"/>
          <w:rFonts w:ascii="Arial" w:eastAsia="Arial" w:hAnsi="Arial" w:cs="Arial"/>
        </w:rPr>
        <w:t xml:space="preserve"> </w:t>
      </w:r>
      <w:r w:rsidRPr="3D9C1B90">
        <w:rPr>
          <w:rStyle w:val="normaltextrun"/>
          <w:rFonts w:ascii="Arial" w:eastAsia="Arial" w:hAnsi="Arial" w:cs="Arial"/>
        </w:rPr>
        <w:t>potentially</w:t>
      </w:r>
      <w:r w:rsidR="00173588">
        <w:rPr>
          <w:rStyle w:val="normaltextrun"/>
          <w:rFonts w:ascii="Arial" w:eastAsia="Arial" w:hAnsi="Arial" w:cs="Arial"/>
        </w:rPr>
        <w:t xml:space="preserve"> </w:t>
      </w:r>
      <w:r w:rsidRPr="3D9C1B90">
        <w:rPr>
          <w:rStyle w:val="normaltextrun"/>
          <w:rFonts w:ascii="Arial" w:eastAsia="Arial" w:hAnsi="Arial" w:cs="Arial"/>
        </w:rPr>
        <w:t>exposed or</w:t>
      </w:r>
      <w:r w:rsidR="00173588">
        <w:rPr>
          <w:rStyle w:val="normaltextrun"/>
          <w:rFonts w:ascii="Arial" w:eastAsia="Arial" w:hAnsi="Arial" w:cs="Arial"/>
        </w:rPr>
        <w:t xml:space="preserve"> </w:t>
      </w:r>
      <w:r w:rsidRPr="3D9C1B90">
        <w:rPr>
          <w:rStyle w:val="normaltextrun"/>
          <w:rFonts w:ascii="Arial" w:eastAsia="Arial" w:hAnsi="Arial" w:cs="Arial"/>
        </w:rPr>
        <w:t>susceptible</w:t>
      </w:r>
      <w:r w:rsidR="00173588">
        <w:rPr>
          <w:rStyle w:val="normaltextrun"/>
          <w:rFonts w:ascii="Arial" w:eastAsia="Arial" w:hAnsi="Arial" w:cs="Arial"/>
        </w:rPr>
        <w:t xml:space="preserve"> </w:t>
      </w:r>
      <w:r w:rsidRPr="3D9C1B90">
        <w:rPr>
          <w:rStyle w:val="normaltextrun"/>
          <w:rFonts w:ascii="Arial" w:eastAsia="Arial" w:hAnsi="Arial" w:cs="Arial"/>
        </w:rPr>
        <w:t>subpopulations</w:t>
      </w:r>
      <w:r w:rsidR="00173588">
        <w:rPr>
          <w:rStyle w:val="normaltextrun"/>
          <w:rFonts w:ascii="Arial" w:eastAsia="Arial" w:hAnsi="Arial" w:cs="Arial"/>
        </w:rPr>
        <w:t xml:space="preserve"> </w:t>
      </w:r>
      <w:r w:rsidRPr="3D9C1B90">
        <w:rPr>
          <w:rStyle w:val="normaltextrun"/>
          <w:rFonts w:ascii="Arial" w:eastAsia="Arial" w:hAnsi="Arial" w:cs="Arial"/>
        </w:rPr>
        <w:t>from these risks is a priority for EPA.</w:t>
      </w:r>
      <w:r w:rsidR="00173588">
        <w:rPr>
          <w:rStyle w:val="normaltextrun"/>
          <w:rFonts w:ascii="Arial" w:eastAsia="Arial" w:hAnsi="Arial" w:cs="Arial"/>
        </w:rPr>
        <w:t xml:space="preserve"> </w:t>
      </w:r>
      <w:r w:rsidR="00173588">
        <w:rPr>
          <w:rStyle w:val="eop"/>
          <w:rFonts w:ascii="Arial" w:eastAsia="Arial" w:hAnsi="Arial" w:cs="Arial"/>
        </w:rPr>
        <w:t xml:space="preserve"> </w:t>
      </w:r>
    </w:p>
    <w:p w:rsidR="10B55B34" w:rsidP="00326B70" w14:paraId="26E0DC4A" w14:textId="1175521B">
      <w:pPr>
        <w:pStyle w:val="paragraph"/>
        <w:spacing w:before="0" w:beforeAutospacing="0" w:after="0" w:afterAutospacing="0"/>
        <w:rPr>
          <w:rStyle w:val="eop"/>
        </w:rPr>
      </w:pPr>
    </w:p>
    <w:p w:rsidR="00C8297D" w:rsidP="00326B70" w14:paraId="41364F29" w14:textId="1B1C9575">
      <w:pPr>
        <w:pStyle w:val="paragraph"/>
        <w:spacing w:before="0" w:beforeAutospacing="0" w:after="0" w:afterAutospacing="0"/>
        <w:textAlignment w:val="baseline"/>
        <w:rPr>
          <w:rFonts w:ascii="Arial" w:eastAsia="Arial" w:hAnsi="Arial" w:cs="Arial"/>
          <w:sz w:val="18"/>
          <w:szCs w:val="18"/>
        </w:rPr>
      </w:pPr>
      <w:r w:rsidRPr="3D9C1B90">
        <w:rPr>
          <w:rStyle w:val="normaltextrun"/>
          <w:rFonts w:ascii="Arial" w:eastAsia="Arial" w:hAnsi="Arial" w:cs="Arial"/>
        </w:rPr>
        <w:t>As part of the risk evaluation process</w:t>
      </w:r>
      <w:r w:rsidR="00173588">
        <w:rPr>
          <w:rStyle w:val="normaltextrun"/>
          <w:rFonts w:ascii="Arial" w:eastAsia="Arial" w:hAnsi="Arial" w:cs="Arial"/>
        </w:rPr>
        <w:t xml:space="preserve"> </w:t>
      </w:r>
      <w:r w:rsidRPr="3D9C1B90">
        <w:rPr>
          <w:rStyle w:val="normaltextrun"/>
          <w:rFonts w:ascii="Arial" w:eastAsia="Arial" w:hAnsi="Arial" w:cs="Arial"/>
        </w:rPr>
        <w:t>under TSCA</w:t>
      </w:r>
      <w:r w:rsidR="00173588">
        <w:rPr>
          <w:rStyle w:val="normaltextrun"/>
          <w:rFonts w:ascii="Arial" w:eastAsia="Arial" w:hAnsi="Arial" w:cs="Arial"/>
        </w:rPr>
        <w:t xml:space="preserve"> </w:t>
      </w:r>
      <w:r w:rsidRPr="3D9C1B90">
        <w:rPr>
          <w:rStyle w:val="normaltextrun"/>
          <w:rFonts w:ascii="Arial" w:eastAsia="Arial" w:hAnsi="Arial" w:cs="Arial"/>
        </w:rPr>
        <w:t>Section 6(b), EPA must</w:t>
      </w:r>
      <w:r w:rsidRPr="3D9C1B90" w:rsidR="1A427B39">
        <w:rPr>
          <w:rStyle w:val="normaltextrun"/>
          <w:rFonts w:ascii="Arial" w:eastAsia="Arial" w:hAnsi="Arial" w:cs="Arial"/>
        </w:rPr>
        <w:t xml:space="preserve"> </w:t>
      </w:r>
      <w:r w:rsidRPr="3D9C1B90">
        <w:rPr>
          <w:rStyle w:val="normaltextrun"/>
          <w:rFonts w:ascii="Arial" w:eastAsia="Arial" w:hAnsi="Arial" w:cs="Arial"/>
        </w:rPr>
        <w:t xml:space="preserve">determine whether asbestos presents unreasonable risk to health or </w:t>
      </w:r>
      <w:r w:rsidRPr="414FC958">
        <w:rPr>
          <w:rStyle w:val="normaltextrun"/>
          <w:rFonts w:ascii="Arial" w:eastAsia="Arial" w:hAnsi="Arial" w:cs="Arial"/>
        </w:rPr>
        <w:t>th</w:t>
      </w:r>
      <w:r w:rsidRPr="414FC958" w:rsidR="191603D2">
        <w:rPr>
          <w:rStyle w:val="normaltextrun"/>
          <w:rFonts w:ascii="Arial" w:eastAsia="Arial" w:hAnsi="Arial" w:cs="Arial"/>
        </w:rPr>
        <w:t xml:space="preserve">e </w:t>
      </w:r>
      <w:r w:rsidRPr="414FC958">
        <w:rPr>
          <w:rStyle w:val="normaltextrun"/>
          <w:rFonts w:ascii="Arial" w:eastAsia="Arial" w:hAnsi="Arial" w:cs="Arial"/>
        </w:rPr>
        <w:t>environment</w:t>
      </w:r>
      <w:r w:rsidRPr="3D9C1B90">
        <w:rPr>
          <w:rStyle w:val="normaltextrun"/>
          <w:rFonts w:ascii="Arial" w:eastAsia="Arial" w:hAnsi="Arial" w:cs="Arial"/>
        </w:rPr>
        <w:t>,</w:t>
      </w:r>
      <w:r w:rsidR="00173588">
        <w:rPr>
          <w:rStyle w:val="normaltextrun"/>
          <w:rFonts w:ascii="Arial" w:eastAsia="Arial" w:hAnsi="Arial" w:cs="Arial"/>
        </w:rPr>
        <w:t xml:space="preserve"> </w:t>
      </w:r>
      <w:r w:rsidRPr="3D9C1B90">
        <w:rPr>
          <w:rStyle w:val="normaltextrun"/>
          <w:rFonts w:ascii="Arial" w:eastAsia="Arial" w:hAnsi="Arial" w:cs="Arial"/>
        </w:rPr>
        <w:t>without</w:t>
      </w:r>
      <w:r w:rsidR="00173588">
        <w:rPr>
          <w:rStyle w:val="normaltextrun"/>
          <w:rFonts w:ascii="Arial" w:eastAsia="Arial" w:hAnsi="Arial" w:cs="Arial"/>
        </w:rPr>
        <w:t xml:space="preserve"> </w:t>
      </w:r>
      <w:r w:rsidRPr="3D9C1B90">
        <w:rPr>
          <w:rStyle w:val="normaltextrun"/>
          <w:rFonts w:ascii="Arial" w:eastAsia="Arial" w:hAnsi="Arial" w:cs="Arial"/>
        </w:rPr>
        <w:t>consideration of costs or other non-risk factors,</w:t>
      </w:r>
      <w:r w:rsidR="00173588">
        <w:rPr>
          <w:rStyle w:val="normaltextrun"/>
          <w:rFonts w:ascii="Arial" w:eastAsia="Arial" w:hAnsi="Arial" w:cs="Arial"/>
        </w:rPr>
        <w:t xml:space="preserve"> </w:t>
      </w:r>
      <w:r w:rsidRPr="3D9C1B90">
        <w:rPr>
          <w:rStyle w:val="normaltextrun"/>
          <w:rFonts w:ascii="Arial" w:eastAsia="Arial" w:hAnsi="Arial" w:cs="Arial"/>
        </w:rPr>
        <w:t>including unreasonable risk to</w:t>
      </w:r>
      <w:r w:rsidR="00173588">
        <w:rPr>
          <w:rStyle w:val="normaltextrun"/>
          <w:rFonts w:ascii="Arial" w:eastAsia="Arial" w:hAnsi="Arial" w:cs="Arial"/>
        </w:rPr>
        <w:t xml:space="preserve"> </w:t>
      </w:r>
      <w:r w:rsidRPr="3D9C1B90">
        <w:rPr>
          <w:rStyle w:val="normaltextrun"/>
          <w:rFonts w:ascii="Arial" w:eastAsia="Arial" w:hAnsi="Arial" w:cs="Arial"/>
        </w:rPr>
        <w:t>relevant</w:t>
      </w:r>
      <w:r w:rsidR="00173588">
        <w:rPr>
          <w:rStyle w:val="normaltextrun"/>
          <w:rFonts w:ascii="Arial" w:eastAsia="Arial" w:hAnsi="Arial" w:cs="Arial"/>
        </w:rPr>
        <w:t xml:space="preserve"> </w:t>
      </w:r>
      <w:r w:rsidRPr="3D9C1B90">
        <w:rPr>
          <w:rStyle w:val="normaltextrun"/>
          <w:rFonts w:ascii="Arial" w:eastAsia="Arial" w:hAnsi="Arial" w:cs="Arial"/>
        </w:rPr>
        <w:t>potentially exposed or susceptible</w:t>
      </w:r>
      <w:r w:rsidR="00173588">
        <w:rPr>
          <w:rStyle w:val="normaltextrun"/>
          <w:rFonts w:ascii="Arial" w:eastAsia="Arial" w:hAnsi="Arial" w:cs="Arial"/>
        </w:rPr>
        <w:t xml:space="preserve"> </w:t>
      </w:r>
      <w:r w:rsidRPr="3D9C1B90">
        <w:rPr>
          <w:rStyle w:val="normaltextrun"/>
          <w:rFonts w:ascii="Arial" w:eastAsia="Arial" w:hAnsi="Arial" w:cs="Arial"/>
        </w:rPr>
        <w:t>subpopulations</w:t>
      </w:r>
      <w:r w:rsidR="00173588">
        <w:rPr>
          <w:rStyle w:val="normaltextrun"/>
          <w:rFonts w:ascii="Arial" w:eastAsia="Arial" w:hAnsi="Arial" w:cs="Arial"/>
        </w:rPr>
        <w:t xml:space="preserve"> </w:t>
      </w:r>
      <w:r w:rsidRPr="3D9C1B90">
        <w:rPr>
          <w:rStyle w:val="normaltextrun"/>
          <w:rFonts w:ascii="Arial" w:eastAsia="Arial" w:hAnsi="Arial" w:cs="Arial"/>
        </w:rPr>
        <w:t>as determined by the Agency, under the conditions of use.</w:t>
      </w:r>
      <w:r w:rsidR="00173588">
        <w:rPr>
          <w:rStyle w:val="normaltextrun"/>
          <w:rFonts w:ascii="Arial" w:eastAsia="Arial" w:hAnsi="Arial" w:cs="Arial"/>
        </w:rPr>
        <w:t xml:space="preserve"> </w:t>
      </w:r>
      <w:r w:rsidRPr="3D9C1B90">
        <w:rPr>
          <w:rStyle w:val="normaltextrun"/>
          <w:rFonts w:ascii="Arial" w:eastAsia="Arial" w:hAnsi="Arial" w:cs="Arial"/>
        </w:rPr>
        <w:t xml:space="preserve"> </w:t>
      </w:r>
    </w:p>
    <w:p w:rsidR="00C8297D" w:rsidP="00326B70" w14:paraId="25FD2572" w14:textId="51AB91D5">
      <w:pPr>
        <w:pStyle w:val="paragraph"/>
        <w:spacing w:before="0" w:beforeAutospacing="0" w:after="0" w:afterAutospacing="0"/>
        <w:textAlignment w:val="baseline"/>
        <w:rPr>
          <w:rStyle w:val="normaltextrun"/>
          <w:rFonts w:ascii="Arial" w:eastAsia="Arial" w:hAnsi="Arial" w:cs="Arial"/>
        </w:rPr>
      </w:pPr>
    </w:p>
    <w:p w:rsidR="00C8297D" w:rsidP="00326B70" w14:paraId="24391E40" w14:textId="2D760DC7">
      <w:pPr>
        <w:pStyle w:val="paragraph"/>
        <w:spacing w:before="0" w:beforeAutospacing="0" w:after="0" w:afterAutospacing="0"/>
        <w:textAlignment w:val="baseline"/>
        <w:rPr>
          <w:rFonts w:ascii="Arial" w:eastAsia="Arial" w:hAnsi="Arial" w:cs="Arial"/>
          <w:sz w:val="18"/>
          <w:szCs w:val="18"/>
        </w:rPr>
      </w:pPr>
      <w:r w:rsidRPr="3D9C1B90">
        <w:rPr>
          <w:rStyle w:val="normaltextrun"/>
          <w:rFonts w:ascii="Arial" w:eastAsia="Arial" w:hAnsi="Arial" w:cs="Arial"/>
        </w:rPr>
        <w:t>EPA must also</w:t>
      </w:r>
      <w:r w:rsidR="00173588">
        <w:rPr>
          <w:rStyle w:val="normaltextrun"/>
          <w:rFonts w:ascii="Arial" w:eastAsia="Arial" w:hAnsi="Arial" w:cs="Arial"/>
        </w:rPr>
        <w:t xml:space="preserve"> </w:t>
      </w:r>
      <w:r w:rsidRPr="3D9C1B90">
        <w:rPr>
          <w:rStyle w:val="normaltextrun"/>
          <w:rFonts w:ascii="Arial" w:eastAsia="Arial" w:hAnsi="Arial" w:cs="Arial"/>
        </w:rPr>
        <w:t>use scientific information and approaches in a manner that is consistent with the requirements in TSCA for the best available science, and ensure decisions are based on the weight of scientific evidence.</w:t>
      </w:r>
      <w:r w:rsidR="00173588">
        <w:rPr>
          <w:rStyle w:val="normaltextrun"/>
          <w:rFonts w:ascii="Arial" w:eastAsia="Arial" w:hAnsi="Arial" w:cs="Arial"/>
        </w:rPr>
        <w:t xml:space="preserve"> </w:t>
      </w:r>
      <w:r w:rsidRPr="3D9C1B90">
        <w:rPr>
          <w:rStyle w:val="normaltextrun"/>
          <w:rFonts w:ascii="Arial" w:eastAsia="Arial" w:hAnsi="Arial" w:cs="Arial"/>
        </w:rPr>
        <w:t>See TSCA Section 26(h) &amp; (</w:t>
      </w:r>
      <w:r w:rsidRPr="3D9C1B90">
        <w:rPr>
          <w:rStyle w:val="spellingerror"/>
          <w:rFonts w:ascii="Arial" w:eastAsia="Arial" w:hAnsi="Arial" w:cs="Arial"/>
        </w:rPr>
        <w:t>i</w:t>
      </w:r>
      <w:r w:rsidRPr="3D9C1B90">
        <w:rPr>
          <w:rStyle w:val="normaltextrun"/>
          <w:rFonts w:ascii="Arial" w:eastAsia="Arial" w:hAnsi="Arial" w:cs="Arial"/>
        </w:rPr>
        <w:t>).</w:t>
      </w:r>
      <w:r w:rsidR="00173588">
        <w:rPr>
          <w:rStyle w:val="normaltextrun"/>
          <w:rFonts w:ascii="Arial" w:eastAsia="Arial" w:hAnsi="Arial" w:cs="Arial"/>
        </w:rPr>
        <w:t xml:space="preserve">  </w:t>
      </w:r>
      <w:r w:rsidRPr="3D9C1B90">
        <w:rPr>
          <w:rStyle w:val="normaltextrun"/>
          <w:rFonts w:ascii="Arial" w:eastAsia="Arial" w:hAnsi="Arial" w:cs="Arial"/>
        </w:rPr>
        <w:t>In order to follow this framework,</w:t>
      </w:r>
      <w:r w:rsidR="00173588">
        <w:rPr>
          <w:rStyle w:val="normaltextrun"/>
          <w:rFonts w:ascii="Arial" w:eastAsia="Arial" w:hAnsi="Arial" w:cs="Arial"/>
        </w:rPr>
        <w:t xml:space="preserve"> </w:t>
      </w:r>
      <w:r w:rsidRPr="3D9C1B90">
        <w:rPr>
          <w:rStyle w:val="normaltextrun"/>
          <w:rFonts w:ascii="Arial" w:eastAsia="Arial" w:hAnsi="Arial" w:cs="Arial"/>
        </w:rPr>
        <w:t>EPA needs to ensure that sufficient information is</w:t>
      </w:r>
      <w:r w:rsidR="00173588">
        <w:rPr>
          <w:rStyle w:val="normaltextrun"/>
          <w:rFonts w:ascii="Arial" w:eastAsia="Arial" w:hAnsi="Arial" w:cs="Arial"/>
        </w:rPr>
        <w:t xml:space="preserve"> </w:t>
      </w:r>
      <w:r w:rsidRPr="3D9C1B90">
        <w:rPr>
          <w:rStyle w:val="normaltextrun"/>
          <w:rFonts w:ascii="Arial" w:eastAsia="Arial" w:hAnsi="Arial" w:cs="Arial"/>
        </w:rPr>
        <w:t>reasonably</w:t>
      </w:r>
      <w:r w:rsidR="00173588">
        <w:rPr>
          <w:rStyle w:val="normaltextrun"/>
          <w:rFonts w:ascii="Arial" w:eastAsia="Arial" w:hAnsi="Arial" w:cs="Arial"/>
        </w:rPr>
        <w:t xml:space="preserve"> </w:t>
      </w:r>
      <w:r w:rsidRPr="3D9C1B90">
        <w:rPr>
          <w:rStyle w:val="normaltextrun"/>
          <w:rFonts w:ascii="Arial" w:eastAsia="Arial" w:hAnsi="Arial" w:cs="Arial"/>
        </w:rPr>
        <w:t>available to inform</w:t>
      </w:r>
      <w:r w:rsidR="00173588">
        <w:rPr>
          <w:rStyle w:val="normaltextrun"/>
          <w:rFonts w:ascii="Arial" w:eastAsia="Arial" w:hAnsi="Arial" w:cs="Arial"/>
        </w:rPr>
        <w:t xml:space="preserve"> </w:t>
      </w:r>
      <w:r w:rsidRPr="3D9C1B90">
        <w:rPr>
          <w:rStyle w:val="normaltextrun"/>
          <w:rFonts w:ascii="Arial" w:eastAsia="Arial" w:hAnsi="Arial" w:cs="Arial"/>
        </w:rPr>
        <w:t>the</w:t>
      </w:r>
      <w:r w:rsidR="00173588">
        <w:rPr>
          <w:rStyle w:val="normaltextrun"/>
          <w:rFonts w:ascii="Arial" w:eastAsia="Arial" w:hAnsi="Arial" w:cs="Arial"/>
        </w:rPr>
        <w:t xml:space="preserve"> </w:t>
      </w:r>
      <w:r w:rsidRPr="3D9C1B90">
        <w:rPr>
          <w:rStyle w:val="normaltextrun"/>
          <w:rFonts w:ascii="Arial" w:eastAsia="Arial" w:hAnsi="Arial" w:cs="Arial"/>
        </w:rPr>
        <w:t>Part 2</w:t>
      </w:r>
      <w:r w:rsidR="00173588">
        <w:rPr>
          <w:rStyle w:val="normaltextrun"/>
          <w:rFonts w:ascii="Arial" w:eastAsia="Arial" w:hAnsi="Arial" w:cs="Arial"/>
        </w:rPr>
        <w:t xml:space="preserve"> </w:t>
      </w:r>
      <w:r w:rsidRPr="3D9C1B90">
        <w:rPr>
          <w:rStyle w:val="normaltextrun"/>
          <w:rFonts w:ascii="Arial" w:eastAsia="Arial" w:hAnsi="Arial" w:cs="Arial"/>
        </w:rPr>
        <w:t>risk evaluation.</w:t>
      </w:r>
      <w:r w:rsidR="00173588">
        <w:rPr>
          <w:rStyle w:val="normaltextrun"/>
          <w:rFonts w:ascii="Arial" w:eastAsia="Arial" w:hAnsi="Arial" w:cs="Arial"/>
        </w:rPr>
        <w:t xml:space="preserve"> </w:t>
      </w:r>
      <w:r w:rsidRPr="1B656929" w:rsidR="4BBD5012">
        <w:rPr>
          <w:rStyle w:val="normaltextrun"/>
          <w:rFonts w:ascii="Arial" w:eastAsia="Arial" w:hAnsi="Arial" w:cs="Arial"/>
        </w:rPr>
        <w:t xml:space="preserve"> </w:t>
      </w:r>
      <w:r w:rsidRPr="3D9C1B90">
        <w:rPr>
          <w:rStyle w:val="normaltextrun"/>
          <w:rFonts w:ascii="Arial" w:eastAsia="Arial" w:hAnsi="Arial" w:cs="Arial"/>
        </w:rPr>
        <w:t>Data collected</w:t>
      </w:r>
      <w:r w:rsidR="00173588">
        <w:rPr>
          <w:rStyle w:val="normaltextrun"/>
          <w:rFonts w:ascii="Arial" w:eastAsia="Arial" w:hAnsi="Arial" w:cs="Arial"/>
        </w:rPr>
        <w:t xml:space="preserve"> </w:t>
      </w:r>
      <w:r w:rsidRPr="3D9C1B90">
        <w:rPr>
          <w:rStyle w:val="normaltextrun"/>
          <w:rFonts w:ascii="Arial" w:eastAsia="Arial" w:hAnsi="Arial" w:cs="Arial"/>
        </w:rPr>
        <w:t>by this rule</w:t>
      </w:r>
      <w:r w:rsidRPr="3D9C1B90" w:rsidR="76F36856">
        <w:rPr>
          <w:rStyle w:val="normaltextrun"/>
          <w:rFonts w:ascii="Arial" w:eastAsia="Arial" w:hAnsi="Arial" w:cs="Arial"/>
        </w:rPr>
        <w:t xml:space="preserve"> </w:t>
      </w:r>
      <w:r w:rsidRPr="3D9C1B90">
        <w:rPr>
          <w:rStyle w:val="normaltextrun"/>
          <w:rFonts w:ascii="Arial" w:eastAsia="Arial" w:hAnsi="Arial" w:cs="Arial"/>
        </w:rPr>
        <w:t>could</w:t>
      </w:r>
      <w:r w:rsidR="00173588">
        <w:rPr>
          <w:rStyle w:val="normaltextrun"/>
          <w:rFonts w:ascii="Arial" w:eastAsia="Arial" w:hAnsi="Arial" w:cs="Arial"/>
        </w:rPr>
        <w:t xml:space="preserve"> </w:t>
      </w:r>
      <w:r w:rsidRPr="3D9C1B90">
        <w:rPr>
          <w:rStyle w:val="normaltextrun"/>
          <w:rFonts w:ascii="Arial" w:eastAsia="Arial" w:hAnsi="Arial" w:cs="Arial"/>
        </w:rPr>
        <w:t>help to</w:t>
      </w:r>
      <w:r w:rsidR="00173588">
        <w:rPr>
          <w:rStyle w:val="normaltextrun"/>
          <w:rFonts w:ascii="Arial" w:eastAsia="Arial" w:hAnsi="Arial" w:cs="Arial"/>
        </w:rPr>
        <w:t xml:space="preserve"> </w:t>
      </w:r>
      <w:r w:rsidRPr="3D9C1B90">
        <w:rPr>
          <w:rStyle w:val="normaltextrun"/>
          <w:rFonts w:ascii="Arial" w:eastAsia="Arial" w:hAnsi="Arial" w:cs="Arial"/>
        </w:rPr>
        <w:t>fill data gaps that EPA</w:t>
      </w:r>
      <w:r w:rsidR="00173588">
        <w:rPr>
          <w:rStyle w:val="normaltextrun"/>
          <w:rFonts w:ascii="Arial" w:eastAsia="Arial" w:hAnsi="Arial" w:cs="Arial"/>
        </w:rPr>
        <w:t xml:space="preserve"> </w:t>
      </w:r>
      <w:r w:rsidRPr="3D9C1B90">
        <w:rPr>
          <w:rStyle w:val="normaltextrun"/>
          <w:rFonts w:ascii="Arial" w:eastAsia="Arial" w:hAnsi="Arial" w:cs="Arial"/>
        </w:rPr>
        <w:t>may have</w:t>
      </w:r>
      <w:r w:rsidR="00173588">
        <w:rPr>
          <w:rStyle w:val="normaltextrun"/>
          <w:rFonts w:ascii="Arial" w:eastAsia="Arial" w:hAnsi="Arial" w:cs="Arial"/>
        </w:rPr>
        <w:t xml:space="preserve"> </w:t>
      </w:r>
      <w:r w:rsidRPr="3D9C1B90">
        <w:rPr>
          <w:rStyle w:val="normaltextrun"/>
          <w:rFonts w:ascii="Arial" w:eastAsia="Arial" w:hAnsi="Arial" w:cs="Arial"/>
        </w:rPr>
        <w:t>in exposure and</w:t>
      </w:r>
      <w:r w:rsidR="00173588">
        <w:rPr>
          <w:rStyle w:val="normaltextrun"/>
          <w:rFonts w:ascii="Arial" w:eastAsia="Arial" w:hAnsi="Arial" w:cs="Arial"/>
        </w:rPr>
        <w:t xml:space="preserve"> </w:t>
      </w:r>
      <w:r w:rsidRPr="3D9C1B90">
        <w:rPr>
          <w:rStyle w:val="normaltextrun"/>
          <w:rFonts w:ascii="Arial" w:eastAsia="Arial" w:hAnsi="Arial" w:cs="Arial"/>
        </w:rPr>
        <w:t>hazard endpoints</w:t>
      </w:r>
      <w:r w:rsidR="00173588">
        <w:rPr>
          <w:rStyle w:val="normaltextrun"/>
          <w:rFonts w:ascii="Arial" w:eastAsia="Arial" w:hAnsi="Arial" w:cs="Arial"/>
        </w:rPr>
        <w:t xml:space="preserve"> </w:t>
      </w:r>
      <w:r w:rsidRPr="3D9C1B90">
        <w:rPr>
          <w:rStyle w:val="normaltextrun"/>
          <w:rFonts w:ascii="Arial" w:eastAsia="Arial" w:hAnsi="Arial" w:cs="Arial"/>
        </w:rPr>
        <w:t>for</w:t>
      </w:r>
      <w:r w:rsidR="00173588">
        <w:rPr>
          <w:rStyle w:val="normaltextrun"/>
          <w:rFonts w:ascii="Arial" w:eastAsia="Arial" w:hAnsi="Arial" w:cs="Arial"/>
        </w:rPr>
        <w:t xml:space="preserve"> </w:t>
      </w:r>
      <w:r w:rsidRPr="3D9C1B90">
        <w:rPr>
          <w:rStyle w:val="normaltextrun"/>
          <w:rFonts w:ascii="Arial" w:eastAsia="Arial" w:hAnsi="Arial" w:cs="Arial"/>
        </w:rPr>
        <w:t>asbestos</w:t>
      </w:r>
      <w:r w:rsidR="00173588">
        <w:rPr>
          <w:rStyle w:val="normaltextrun"/>
          <w:rFonts w:ascii="Arial" w:eastAsia="Arial" w:hAnsi="Arial" w:cs="Arial"/>
        </w:rPr>
        <w:t xml:space="preserve"> </w:t>
      </w:r>
      <w:r w:rsidRPr="3D9C1B90">
        <w:rPr>
          <w:rStyle w:val="normaltextrun"/>
          <w:rFonts w:ascii="Arial" w:eastAsia="Arial" w:hAnsi="Arial" w:cs="Arial"/>
        </w:rPr>
        <w:t>that could better inform</w:t>
      </w:r>
      <w:r w:rsidR="00173588">
        <w:rPr>
          <w:rStyle w:val="normaltextrun"/>
          <w:rFonts w:ascii="Arial" w:eastAsia="Arial" w:hAnsi="Arial" w:cs="Arial"/>
        </w:rPr>
        <w:t xml:space="preserve"> </w:t>
      </w:r>
      <w:r w:rsidRPr="3D9C1B90">
        <w:rPr>
          <w:rStyle w:val="normaltextrun"/>
          <w:rFonts w:ascii="Arial" w:eastAsia="Arial" w:hAnsi="Arial" w:cs="Arial"/>
        </w:rPr>
        <w:t xml:space="preserve">Part 2 of the asbestos risk evaluation. </w:t>
      </w:r>
      <w:r w:rsidRPr="3D9C1B90" w:rsidR="440FC74B">
        <w:rPr>
          <w:rStyle w:val="normaltextrun"/>
          <w:rFonts w:ascii="Arial" w:eastAsia="Arial" w:hAnsi="Arial" w:cs="Arial"/>
        </w:rPr>
        <w:t xml:space="preserve"> </w:t>
      </w:r>
    </w:p>
    <w:p w:rsidR="00C8297D" w:rsidP="00326B70" w14:paraId="7B0B11CD" w14:textId="6206DFB8">
      <w:pPr>
        <w:pStyle w:val="paragraph"/>
        <w:spacing w:before="0" w:beforeAutospacing="0" w:after="0" w:afterAutospacing="0"/>
        <w:textAlignment w:val="baseline"/>
        <w:rPr>
          <w:rStyle w:val="normaltextrun"/>
          <w:rFonts w:ascii="Arial" w:eastAsia="Arial" w:hAnsi="Arial" w:cs="Arial"/>
        </w:rPr>
      </w:pPr>
    </w:p>
    <w:p w:rsidR="00C8297D" w:rsidP="00326B70" w14:paraId="3E3D8B3E" w14:textId="3337A867">
      <w:pPr>
        <w:pStyle w:val="paragraph"/>
        <w:spacing w:before="0" w:beforeAutospacing="0" w:after="0" w:afterAutospacing="0"/>
        <w:textAlignment w:val="baseline"/>
        <w:rPr>
          <w:rFonts w:ascii="Arial" w:eastAsia="Arial" w:hAnsi="Arial" w:cs="Arial"/>
          <w:sz w:val="18"/>
          <w:szCs w:val="18"/>
        </w:rPr>
      </w:pPr>
      <w:r w:rsidRPr="3D9C1B90">
        <w:rPr>
          <w:rStyle w:val="normaltextrun"/>
          <w:rFonts w:ascii="Arial" w:eastAsia="Arial" w:hAnsi="Arial" w:cs="Arial"/>
        </w:rPr>
        <w:t>Following risk evaluation, TSCA mandates that EPA</w:t>
      </w:r>
      <w:r w:rsidR="00173588">
        <w:rPr>
          <w:rStyle w:val="normaltextrun"/>
          <w:rFonts w:ascii="Arial" w:eastAsia="Arial" w:hAnsi="Arial" w:cs="Arial"/>
        </w:rPr>
        <w:t xml:space="preserve"> </w:t>
      </w:r>
      <w:r w:rsidRPr="3D9C1B90">
        <w:rPr>
          <w:rStyle w:val="advancedproofingissue"/>
          <w:rFonts w:ascii="Arial" w:eastAsia="Arial" w:hAnsi="Arial" w:cs="Arial"/>
        </w:rPr>
        <w:t>take action</w:t>
      </w:r>
      <w:r w:rsidR="00173588">
        <w:rPr>
          <w:rStyle w:val="normaltextrun"/>
          <w:rFonts w:ascii="Arial" w:eastAsia="Arial" w:hAnsi="Arial" w:cs="Arial"/>
        </w:rPr>
        <w:t xml:space="preserve"> </w:t>
      </w:r>
      <w:r w:rsidRPr="3D9C1B90">
        <w:rPr>
          <w:rStyle w:val="normaltextrun"/>
          <w:rFonts w:ascii="Arial" w:eastAsia="Arial" w:hAnsi="Arial" w:cs="Arial"/>
        </w:rPr>
        <w:t>if the Agency determines that</w:t>
      </w:r>
      <w:r w:rsidRPr="3D9C1B90" w:rsidR="29A459E6">
        <w:rPr>
          <w:rStyle w:val="normaltextrun"/>
          <w:rFonts w:ascii="Arial" w:eastAsia="Arial" w:hAnsi="Arial" w:cs="Arial"/>
        </w:rPr>
        <w:t xml:space="preserve"> </w:t>
      </w:r>
      <w:r w:rsidRPr="3D9C1B90" w:rsidR="64CF8FE3">
        <w:rPr>
          <w:rStyle w:val="normaltextrun"/>
          <w:rFonts w:ascii="Arial" w:eastAsia="Arial" w:hAnsi="Arial" w:cs="Arial"/>
        </w:rPr>
        <w:t>a</w:t>
      </w:r>
      <w:r w:rsidRPr="3D9C1B90">
        <w:rPr>
          <w:rStyle w:val="normaltextrun"/>
          <w:rFonts w:ascii="Arial" w:eastAsia="Arial" w:hAnsi="Arial" w:cs="Arial"/>
        </w:rPr>
        <w:t>sbestos presents unreasonable risk to health or the environment. EPA needs to ensure that sufficient information is</w:t>
      </w:r>
      <w:r w:rsidR="00173588">
        <w:rPr>
          <w:rStyle w:val="normaltextrun"/>
          <w:rFonts w:ascii="Arial" w:eastAsia="Arial" w:hAnsi="Arial" w:cs="Arial"/>
        </w:rPr>
        <w:t xml:space="preserve"> </w:t>
      </w:r>
      <w:r w:rsidRPr="3D9C1B90">
        <w:rPr>
          <w:rStyle w:val="normaltextrun"/>
          <w:rFonts w:ascii="Arial" w:eastAsia="Arial" w:hAnsi="Arial" w:cs="Arial"/>
        </w:rPr>
        <w:t>reasonably</w:t>
      </w:r>
      <w:r w:rsidR="00173588">
        <w:rPr>
          <w:rStyle w:val="normaltextrun"/>
          <w:rFonts w:ascii="Arial" w:eastAsia="Arial" w:hAnsi="Arial" w:cs="Arial"/>
        </w:rPr>
        <w:t xml:space="preserve"> </w:t>
      </w:r>
      <w:r w:rsidRPr="3D9C1B90">
        <w:rPr>
          <w:rStyle w:val="normaltextrun"/>
          <w:rFonts w:ascii="Arial" w:eastAsia="Arial" w:hAnsi="Arial" w:cs="Arial"/>
        </w:rPr>
        <w:t>available</w:t>
      </w:r>
      <w:r w:rsidR="00173588">
        <w:rPr>
          <w:rStyle w:val="normaltextrun"/>
          <w:rFonts w:ascii="Arial" w:eastAsia="Arial" w:hAnsi="Arial" w:cs="Arial"/>
        </w:rPr>
        <w:t xml:space="preserve"> </w:t>
      </w:r>
      <w:r w:rsidRPr="3D9C1B90">
        <w:rPr>
          <w:rStyle w:val="normaltextrun"/>
          <w:rFonts w:ascii="Arial" w:eastAsia="Arial" w:hAnsi="Arial" w:cs="Arial"/>
        </w:rPr>
        <w:t>on the</w:t>
      </w:r>
      <w:r w:rsidR="00173588">
        <w:rPr>
          <w:rStyle w:val="normaltextrun"/>
          <w:rFonts w:ascii="Arial" w:eastAsia="Arial" w:hAnsi="Arial" w:cs="Arial"/>
        </w:rPr>
        <w:t xml:space="preserve"> </w:t>
      </w:r>
      <w:r w:rsidRPr="3D9C1B90">
        <w:rPr>
          <w:rStyle w:val="normaltextrun"/>
          <w:rFonts w:ascii="Arial" w:eastAsia="Arial" w:hAnsi="Arial" w:cs="Arial"/>
        </w:rPr>
        <w:t>uses</w:t>
      </w:r>
      <w:r w:rsidR="00173588">
        <w:rPr>
          <w:rStyle w:val="normaltextrun"/>
          <w:rFonts w:ascii="Arial" w:eastAsia="Arial" w:hAnsi="Arial" w:cs="Arial"/>
        </w:rPr>
        <w:t xml:space="preserve"> </w:t>
      </w:r>
      <w:r w:rsidRPr="3D9C1B90">
        <w:rPr>
          <w:rStyle w:val="normaltextrun"/>
          <w:rFonts w:ascii="Arial" w:eastAsia="Arial" w:hAnsi="Arial" w:cs="Arial"/>
        </w:rPr>
        <w:t>and trends</w:t>
      </w:r>
      <w:r w:rsidR="00173588">
        <w:rPr>
          <w:rStyle w:val="normaltextrun"/>
          <w:rFonts w:ascii="Arial" w:eastAsia="Arial" w:hAnsi="Arial" w:cs="Arial"/>
        </w:rPr>
        <w:t xml:space="preserve"> </w:t>
      </w:r>
      <w:r w:rsidRPr="3D9C1B90">
        <w:rPr>
          <w:rStyle w:val="normaltextrun"/>
          <w:rFonts w:ascii="Arial" w:eastAsia="Arial" w:hAnsi="Arial" w:cs="Arial"/>
        </w:rPr>
        <w:t>of asbestos activities</w:t>
      </w:r>
      <w:r w:rsidR="00173588">
        <w:rPr>
          <w:rStyle w:val="normaltextrun"/>
          <w:rFonts w:ascii="Arial" w:eastAsia="Arial" w:hAnsi="Arial" w:cs="Arial"/>
        </w:rPr>
        <w:t xml:space="preserve"> </w:t>
      </w:r>
      <w:r w:rsidRPr="3D9C1B90">
        <w:rPr>
          <w:rStyle w:val="normaltextrun"/>
          <w:rFonts w:ascii="Arial" w:eastAsia="Arial" w:hAnsi="Arial" w:cs="Arial"/>
        </w:rPr>
        <w:t>to develop</w:t>
      </w:r>
      <w:r w:rsidR="00173588">
        <w:rPr>
          <w:rStyle w:val="normaltextrun"/>
          <w:rFonts w:ascii="Arial" w:eastAsia="Arial" w:hAnsi="Arial" w:cs="Arial"/>
        </w:rPr>
        <w:t xml:space="preserve"> </w:t>
      </w:r>
      <w:r w:rsidRPr="3D9C1B90">
        <w:rPr>
          <w:rStyle w:val="normaltextrun"/>
          <w:rFonts w:ascii="Arial" w:eastAsia="Arial" w:hAnsi="Arial" w:cs="Arial"/>
        </w:rPr>
        <w:t>a risk management rule that eliminate</w:t>
      </w:r>
      <w:r w:rsidR="00173588">
        <w:rPr>
          <w:rStyle w:val="normaltextrun"/>
          <w:rFonts w:ascii="Arial" w:eastAsia="Arial" w:hAnsi="Arial" w:cs="Arial"/>
        </w:rPr>
        <w:t xml:space="preserve">s </w:t>
      </w:r>
      <w:r w:rsidRPr="3D9C1B90">
        <w:rPr>
          <w:rStyle w:val="normaltextrun"/>
          <w:rFonts w:ascii="Arial" w:eastAsia="Arial" w:hAnsi="Arial" w:cs="Arial"/>
        </w:rPr>
        <w:t>any</w:t>
      </w:r>
      <w:r w:rsidR="00173588">
        <w:rPr>
          <w:rStyle w:val="normaltextrun"/>
          <w:rFonts w:ascii="Arial" w:eastAsia="Arial" w:hAnsi="Arial" w:cs="Arial"/>
        </w:rPr>
        <w:t xml:space="preserve"> </w:t>
      </w:r>
      <w:r w:rsidRPr="3D9C1B90">
        <w:rPr>
          <w:rStyle w:val="normaltextrun"/>
          <w:rFonts w:ascii="Arial" w:eastAsia="Arial" w:hAnsi="Arial" w:cs="Arial"/>
        </w:rPr>
        <w:t>unreasonable</w:t>
      </w:r>
      <w:r w:rsidR="00173588">
        <w:rPr>
          <w:rStyle w:val="normaltextrun"/>
          <w:rFonts w:ascii="Arial" w:eastAsia="Arial" w:hAnsi="Arial" w:cs="Arial"/>
        </w:rPr>
        <w:t xml:space="preserve"> risk </w:t>
      </w:r>
      <w:r w:rsidRPr="3D9C1B90">
        <w:rPr>
          <w:rStyle w:val="normaltextrun"/>
          <w:rFonts w:ascii="Arial" w:eastAsia="Arial" w:hAnsi="Arial" w:cs="Arial"/>
        </w:rPr>
        <w:t>asbestos presents.</w:t>
      </w:r>
      <w:r w:rsidR="00173588">
        <w:rPr>
          <w:rStyle w:val="normaltextrun"/>
          <w:rFonts w:ascii="Arial" w:eastAsia="Arial" w:hAnsi="Arial" w:cs="Arial"/>
        </w:rPr>
        <w:t xml:space="preserve"> </w:t>
      </w:r>
      <w:r w:rsidR="00173588">
        <w:rPr>
          <w:rStyle w:val="eop"/>
          <w:rFonts w:ascii="Arial" w:eastAsia="Arial" w:hAnsi="Arial" w:cs="Arial"/>
        </w:rPr>
        <w:t xml:space="preserve"> </w:t>
      </w:r>
    </w:p>
    <w:p w:rsidR="25D87400" w:rsidP="00EE0077" w14:paraId="22AE6876" w14:textId="0A6605D4">
      <w:pPr>
        <w:spacing w:line="240" w:lineRule="auto"/>
        <w:rPr>
          <w:rFonts w:eastAsia="Calibri" w:cs="Arial"/>
          <w:szCs w:val="24"/>
        </w:rPr>
      </w:pPr>
    </w:p>
    <w:p w:rsidR="00FC6848" w:rsidRPr="00FC6848" w:rsidP="00326B70" w14:paraId="44CE1C5B" w14:textId="603B04C4">
      <w:pPr>
        <w:pStyle w:val="Heading2"/>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00192D91" w:rsidRPr="00A076E8" w:rsidP="00326B70" w14:paraId="7C881C2B" w14:textId="5D3C043E">
      <w:pPr>
        <w:spacing w:after="0" w:line="240" w:lineRule="auto"/>
        <w:rPr>
          <w:rFonts w:eastAsia="Calibri" w:cs="Arial"/>
          <w:szCs w:val="24"/>
        </w:rPr>
      </w:pPr>
      <w:r w:rsidRPr="00A076E8">
        <w:rPr>
          <w:rFonts w:eastAsia="Calibri" w:cs="Arial"/>
          <w:szCs w:val="24"/>
        </w:rPr>
        <w:t xml:space="preserve">EPA developed the Chemical Information Submission System (CISS) reporting tool for use in submitting data electronically to the Agency. The tool is available for use with Windows, Macs, Linux, and UNIX based computers, using “Extensible Markup Language” (XML) specifications for efficient data transmission across the Internet. The CISS is a tool that provides user-friendly navigation, works with </w:t>
      </w:r>
      <w:r w:rsidR="00DA119E">
        <w:rPr>
          <w:rFonts w:eastAsia="Calibri" w:cs="Arial"/>
          <w:szCs w:val="24"/>
        </w:rPr>
        <w:t>EPA’s Central Data Exchange (</w:t>
      </w:r>
      <w:r w:rsidRPr="00A076E8">
        <w:rPr>
          <w:rFonts w:eastAsia="Calibri" w:cs="Arial"/>
          <w:szCs w:val="24"/>
        </w:rPr>
        <w:t>CDX</w:t>
      </w:r>
      <w:r w:rsidR="00DA119E">
        <w:rPr>
          <w:rFonts w:eastAsia="Calibri" w:cs="Arial"/>
          <w:szCs w:val="24"/>
        </w:rPr>
        <w:t>)</w:t>
      </w:r>
      <w:r w:rsidRPr="00A076E8">
        <w:rPr>
          <w:rFonts w:eastAsia="Calibri" w:cs="Arial"/>
          <w:szCs w:val="24"/>
        </w:rPr>
        <w:t xml:space="preserve"> to secure online communication, creates a completed Portable Document Format (PDF) for review prior to submission, and enables data, reports, and other information to be submitted easily as attachments.</w:t>
      </w:r>
      <w:r w:rsidR="00173588">
        <w:rPr>
          <w:rFonts w:eastAsia="Calibri" w:cs="Arial"/>
          <w:szCs w:val="24"/>
        </w:rPr>
        <w:t xml:space="preserve"> </w:t>
      </w:r>
      <w:r w:rsidRPr="00A076E8">
        <w:rPr>
          <w:rFonts w:eastAsia="Calibri" w:cs="Arial"/>
          <w:szCs w:val="24"/>
        </w:rPr>
        <w:t xml:space="preserve"> </w:t>
      </w:r>
    </w:p>
    <w:p w:rsidR="00192D91" w:rsidRPr="00A076E8" w:rsidP="00326B70" w14:paraId="0CAD9B34" w14:textId="77777777">
      <w:pPr>
        <w:spacing w:after="0" w:line="240" w:lineRule="auto"/>
        <w:rPr>
          <w:rFonts w:eastAsia="Calibri" w:cs="Arial"/>
          <w:szCs w:val="24"/>
        </w:rPr>
      </w:pPr>
    </w:p>
    <w:p w:rsidR="00192D91" w:rsidP="00326B70" w14:paraId="7B27DDD9" w14:textId="3FD24446">
      <w:pPr>
        <w:spacing w:after="0" w:line="240" w:lineRule="auto"/>
        <w:rPr>
          <w:rFonts w:eastAsia="Calibri" w:cs="Arial"/>
          <w:szCs w:val="24"/>
        </w:rPr>
      </w:pPr>
      <w:r w:rsidRPr="00A076E8">
        <w:rPr>
          <w:rFonts w:eastAsia="Calibri" w:cs="Arial"/>
          <w:szCs w:val="24"/>
        </w:rPr>
        <w:t xml:space="preserve">All information sent by the submitter via CDX is transmitted securely to protect </w:t>
      </w:r>
      <w:r w:rsidR="00DA6078">
        <w:rPr>
          <w:rFonts w:eastAsia="Calibri" w:cs="Arial"/>
          <w:szCs w:val="24"/>
        </w:rPr>
        <w:t>confidential business information (</w:t>
      </w:r>
      <w:r w:rsidRPr="00A076E8">
        <w:rPr>
          <w:rFonts w:eastAsia="Calibri" w:cs="Arial"/>
          <w:szCs w:val="24"/>
        </w:rPr>
        <w:t>CBI</w:t>
      </w:r>
      <w:r w:rsidR="00DA6078">
        <w:rPr>
          <w:rFonts w:eastAsia="Calibri" w:cs="Arial"/>
          <w:szCs w:val="24"/>
        </w:rPr>
        <w:t>)</w:t>
      </w:r>
      <w:r w:rsidRPr="00A076E8">
        <w:rPr>
          <w:rFonts w:eastAsia="Calibri" w:cs="Arial"/>
          <w:szCs w:val="24"/>
        </w:rPr>
        <w:t xml:space="preserve">. Furthermore, if anything in the submission is claimed as CBI, a non-CBI copy of the submission must be provided by the submitter. The guidance document will instruct users on how to submit and substantiate CBI information using CISS. </w:t>
      </w:r>
    </w:p>
    <w:p w:rsidR="00173588" w:rsidRPr="00A076E8" w:rsidP="00326B70" w14:paraId="4C86A74E" w14:textId="77777777">
      <w:pPr>
        <w:spacing w:after="0" w:line="240" w:lineRule="auto"/>
        <w:rPr>
          <w:rFonts w:eastAsia="Calibri" w:cs="Arial"/>
          <w:szCs w:val="24"/>
        </w:rPr>
      </w:pPr>
    </w:p>
    <w:p w:rsidR="00192D91" w:rsidRPr="00A076E8" w:rsidP="00326B70" w14:paraId="4376C45E" w14:textId="79BA5A83">
      <w:pPr>
        <w:spacing w:after="0" w:line="240" w:lineRule="auto"/>
        <w:rPr>
          <w:rFonts w:eastAsia="Calibri" w:cs="Arial"/>
          <w:i/>
          <w:iCs/>
          <w:szCs w:val="24"/>
        </w:rPr>
      </w:pPr>
      <w:r w:rsidRPr="00A076E8">
        <w:rPr>
          <w:rFonts w:eastAsia="Calibri" w:cs="Arial"/>
          <w:szCs w:val="24"/>
        </w:rPr>
        <w:t>The Agency ensures secure transmission of the data, reports, and other documents sent from the user's desktop through the Internet via the Transport Layer Security (TLS) 1.0 protocol. TLS 1.0 and subsequent versions updated as needed are widely used approaches for securing Internet transactions by the National Institute of Standards and Technology (NIST) as a means for protecting data sent over the Internet.</w:t>
      </w:r>
      <w:r w:rsidR="00173588">
        <w:rPr>
          <w:rFonts w:eastAsia="Calibri" w:cs="Arial"/>
          <w:szCs w:val="24"/>
        </w:rPr>
        <w:t xml:space="preserve"> </w:t>
      </w:r>
      <w:r w:rsidRPr="00A076E8">
        <w:rPr>
          <w:rFonts w:eastAsia="Calibri" w:cs="Arial"/>
          <w:szCs w:val="24"/>
        </w:rPr>
        <w:t xml:space="preserve"> </w:t>
      </w:r>
    </w:p>
    <w:p w:rsidR="00192D91" w:rsidRPr="00A076E8" w:rsidP="00326B70" w14:paraId="3E5831C6" w14:textId="77777777">
      <w:pPr>
        <w:spacing w:after="0" w:line="240" w:lineRule="auto"/>
        <w:rPr>
          <w:rFonts w:eastAsia="Calibri" w:cs="Arial"/>
          <w:szCs w:val="24"/>
        </w:rPr>
      </w:pPr>
    </w:p>
    <w:p w:rsidR="0CD4AFEA" w:rsidP="00326B70" w14:paraId="344060EC" w14:textId="6C1196EE">
      <w:pPr>
        <w:spacing w:after="0" w:line="240" w:lineRule="auto"/>
        <w:rPr>
          <w:rFonts w:eastAsia="Calibri" w:cs="Arial"/>
          <w:szCs w:val="24"/>
        </w:rPr>
      </w:pPr>
      <w:r w:rsidRPr="00A076E8">
        <w:rPr>
          <w:rFonts w:eastAsia="Calibri" w:cs="Arial"/>
          <w:szCs w:val="24"/>
        </w:rPr>
        <w:t>In addition, CISS enables the submitter to electronically sign, encrypt, and transmit submissions, which EPA subsequently provides back to the submitter as an unaltered copy of record. This assures the submitter that the Agency has received exactly what the submitter sent to EPA. The CISS reporting tool encrypts using a module based on the 256-bit Advanced Encryption Standard (AES)</w:t>
      </w:r>
      <w:r w:rsidRPr="00A076E8">
        <w:rPr>
          <w:rFonts w:eastAsia="Calibri" w:cs="Arial"/>
          <w:color w:val="FF0000"/>
          <w:szCs w:val="24"/>
        </w:rPr>
        <w:t xml:space="preserve"> </w:t>
      </w:r>
      <w:r w:rsidRPr="00A076E8">
        <w:rPr>
          <w:rFonts w:eastAsia="Calibri" w:cs="Arial"/>
          <w:szCs w:val="24"/>
        </w:rPr>
        <w:t xml:space="preserve">adopted by NIST. Details about AES can be found in FIPS 197 pdf on the NIST website at </w:t>
      </w:r>
      <w:hyperlink r:id="rId9" w:history="1">
        <w:r w:rsidRPr="00A076E8">
          <w:rPr>
            <w:rFonts w:eastAsia="Calibri" w:cs="Arial"/>
            <w:color w:val="0563C1"/>
            <w:szCs w:val="24"/>
            <w:u w:val="single"/>
          </w:rPr>
          <w:t>http://csrc.nist.gov/publications/PubsFIPS.html</w:t>
        </w:r>
      </w:hyperlink>
      <w:r w:rsidRPr="00A076E8">
        <w:rPr>
          <w:rFonts w:eastAsia="Calibri" w:cs="Arial"/>
          <w:color w:val="FF0000"/>
          <w:szCs w:val="24"/>
        </w:rPr>
        <w:t xml:space="preserve"> </w:t>
      </w:r>
      <w:r w:rsidRPr="00A076E8">
        <w:rPr>
          <w:rFonts w:eastAsia="Calibri" w:cs="Arial"/>
          <w:szCs w:val="24"/>
        </w:rPr>
        <w:t xml:space="preserve">and EPA may incorporate other encryption modules into future versions of the tool. Information submitted via CDX is processed within EPA by secure systems certified for compliance with Federal Information Processing Standards. </w:t>
      </w:r>
    </w:p>
    <w:p w:rsidR="003E2EB3" w:rsidP="00326B70" w14:paraId="67938CD9" w14:textId="77777777">
      <w:pPr>
        <w:spacing w:after="0" w:line="240" w:lineRule="auto"/>
        <w:rPr>
          <w:rFonts w:eastAsia="Calibri" w:cs="Arial"/>
          <w:szCs w:val="24"/>
        </w:rPr>
      </w:pPr>
    </w:p>
    <w:p w:rsidR="000D5E31" w:rsidP="00326B70" w14:paraId="3222B018" w14:textId="5D1024C2">
      <w:pPr>
        <w:pStyle w:val="Heading2"/>
      </w:pPr>
      <w:r w:rsidRPr="00E00E93">
        <w:t>D</w:t>
      </w:r>
      <w:r w:rsidRPr="00E00E93">
        <w:t>escribe efforts to identify duplication.</w:t>
      </w:r>
      <w:r w:rsidRPr="00E00E93" w:rsidR="0093316B">
        <w:t xml:space="preserve"> Show specifically why any similar information already available cannot be used or modified for use for the purposes described in Item 2 above.</w:t>
      </w:r>
    </w:p>
    <w:p w:rsidR="00145A52" w:rsidRPr="0071358A" w:rsidP="00EE0077" w14:paraId="20C16B08" w14:textId="5140D06B">
      <w:pPr>
        <w:spacing w:line="240" w:lineRule="auto"/>
        <w:rPr>
          <w:rStyle w:val="normaltextrun"/>
          <w:rFonts w:eastAsia="Arial" w:cs="Arial"/>
          <w:b/>
          <w:bCs/>
          <w:szCs w:val="24"/>
          <w:lang w:bidi="en-US"/>
        </w:rPr>
      </w:pPr>
      <w:r w:rsidRPr="0071358A">
        <w:rPr>
          <w:rStyle w:val="normaltextrun"/>
          <w:rFonts w:eastAsia="Arial" w:cs="Arial"/>
          <w:szCs w:val="24"/>
        </w:rPr>
        <w:t xml:space="preserve">This collection is not conducted under any other reporting requirement. There is no other reporting requirement for </w:t>
      </w:r>
      <w:r w:rsidRPr="0071358A" w:rsidR="001511FC">
        <w:rPr>
          <w:rStyle w:val="normaltextrun"/>
          <w:rFonts w:eastAsia="Arial" w:cs="Arial"/>
          <w:szCs w:val="24"/>
        </w:rPr>
        <w:t xml:space="preserve">asbestos </w:t>
      </w:r>
      <w:r w:rsidRPr="0071358A">
        <w:rPr>
          <w:rStyle w:val="normaltextrun"/>
          <w:rFonts w:eastAsia="Arial" w:cs="Arial"/>
          <w:szCs w:val="24"/>
        </w:rPr>
        <w:t xml:space="preserve">reporting of naturally occurring substances, articles, impurities, or processors.  </w:t>
      </w:r>
    </w:p>
    <w:p w:rsidR="00145A52" w:rsidRPr="0071358A" w:rsidP="00EE0077" w14:paraId="5908482F" w14:textId="29DF8B4B">
      <w:pPr>
        <w:spacing w:line="240" w:lineRule="auto"/>
        <w:rPr>
          <w:rStyle w:val="normaltextrun"/>
          <w:rFonts w:eastAsia="Arial" w:cs="Arial"/>
          <w:szCs w:val="24"/>
        </w:rPr>
      </w:pPr>
      <w:r w:rsidRPr="0071358A">
        <w:rPr>
          <w:rStyle w:val="normaltextrun"/>
          <w:rFonts w:eastAsia="Arial" w:cs="Arial"/>
          <w:szCs w:val="24"/>
        </w:rPr>
        <w:t xml:space="preserve">A small amount of reporting on asbestos has been done in the past. At 40 CFR 711.22, the </w:t>
      </w:r>
      <w:r w:rsidR="008C2FE3">
        <w:rPr>
          <w:rStyle w:val="normaltextrun"/>
          <w:rFonts w:eastAsia="Arial" w:cs="Arial"/>
          <w:szCs w:val="24"/>
        </w:rPr>
        <w:t>Chemical Data Reporting (</w:t>
      </w:r>
      <w:r w:rsidRPr="0071358A">
        <w:rPr>
          <w:rStyle w:val="normaltextrun"/>
          <w:rFonts w:eastAsia="Arial" w:cs="Arial"/>
          <w:szCs w:val="24"/>
        </w:rPr>
        <w:t>CDR</w:t>
      </w:r>
      <w:r w:rsidR="008C2FE3">
        <w:rPr>
          <w:rStyle w:val="normaltextrun"/>
          <w:rFonts w:eastAsia="Arial" w:cs="Arial"/>
          <w:szCs w:val="24"/>
        </w:rPr>
        <w:t>)</w:t>
      </w:r>
      <w:r w:rsidRPr="0071358A">
        <w:rPr>
          <w:rStyle w:val="normaltextrun"/>
          <w:rFonts w:eastAsia="Arial" w:cs="Arial"/>
          <w:szCs w:val="24"/>
        </w:rPr>
        <w:t xml:space="preserve"> reg</w:t>
      </w:r>
      <w:r w:rsidR="00A60631">
        <w:rPr>
          <w:rStyle w:val="normaltextrun"/>
          <w:rFonts w:eastAsia="Arial" w:cs="Arial"/>
          <w:szCs w:val="24"/>
        </w:rPr>
        <w:t>ulation</w:t>
      </w:r>
      <w:r w:rsidRPr="0071358A">
        <w:rPr>
          <w:rStyle w:val="normaltextrun"/>
          <w:rFonts w:eastAsia="Arial" w:cs="Arial"/>
          <w:szCs w:val="24"/>
        </w:rPr>
        <w:t>s state the following:</w:t>
      </w:r>
    </w:p>
    <w:p w:rsidR="00145A52" w:rsidP="00EE0077" w14:paraId="256B1655" w14:textId="1CF5A1E0">
      <w:pPr>
        <w:spacing w:line="240" w:lineRule="auto"/>
        <w:rPr>
          <w:lang w:bidi="en-US"/>
        </w:rPr>
      </w:pPr>
      <w:r>
        <w:rPr>
          <w:lang w:bidi="en-US"/>
        </w:rPr>
        <w:t xml:space="preserve">With regard to TSCA section 8(a) rules. Any person subject to the requirements of this part who previously has complied with reporting requirements of a rule under TSCA section 8(a) by submitting the information described in </w:t>
      </w:r>
      <w:r w:rsidR="00FF3957">
        <w:rPr>
          <w:lang w:bidi="en-US"/>
        </w:rPr>
        <w:t>40 CFR</w:t>
      </w:r>
      <w:r>
        <w:rPr>
          <w:lang w:bidi="en-US"/>
        </w:rPr>
        <w:t xml:space="preserve"> 711.15 for a chemical substance described in </w:t>
      </w:r>
      <w:r w:rsidR="00FF3957">
        <w:rPr>
          <w:lang w:bidi="en-US"/>
        </w:rPr>
        <w:t>40 CFR</w:t>
      </w:r>
      <w:r>
        <w:rPr>
          <w:lang w:bidi="en-US"/>
        </w:rPr>
        <w:t xml:space="preserve"> 711.5 to EPA, and has done so within 1 year of the start of a submission period described in </w:t>
      </w:r>
      <w:r w:rsidR="00FF3957">
        <w:rPr>
          <w:lang w:bidi="en-US"/>
        </w:rPr>
        <w:t>40 CFR</w:t>
      </w:r>
      <w:r>
        <w:rPr>
          <w:lang w:bidi="en-US"/>
        </w:rPr>
        <w:t xml:space="preserve"> 711.20, is not required to report again on the manufacture of that chemical substance at that site during that submission period</w:t>
      </w:r>
      <w:r w:rsidR="0071358A">
        <w:rPr>
          <w:lang w:bidi="en-US"/>
        </w:rPr>
        <w:t xml:space="preserve"> for years for which data on the chemical substance had been reported</w:t>
      </w:r>
      <w:r>
        <w:rPr>
          <w:lang w:bidi="en-US"/>
        </w:rPr>
        <w:t>.</w:t>
      </w:r>
    </w:p>
    <w:p w:rsidR="00DB199E" w:rsidRPr="005C4158" w:rsidP="00326B70" w14:paraId="131117AD" w14:textId="72AE6D2E">
      <w:pPr>
        <w:pStyle w:val="Heading2"/>
      </w:pPr>
      <w:r w:rsidRPr="00E00E93">
        <w:t>If the collection of information impacts small businesses or other small entities, describe the methods used to minimize burden.</w:t>
      </w:r>
    </w:p>
    <w:p w:rsidR="00DB199E" w:rsidP="00326B70" w14:paraId="1F30EB9F" w14:textId="76386EC9">
      <w:pPr>
        <w:pStyle w:val="NoSpacing"/>
        <w:spacing w:after="120"/>
        <w:rPr>
          <w:rFonts w:ascii="Arial" w:eastAsia="Calibri" w:hAnsi="Arial" w:cs="Arial"/>
          <w:sz w:val="24"/>
          <w:szCs w:val="24"/>
        </w:rPr>
      </w:pPr>
      <w:r w:rsidRPr="00DB199E">
        <w:rPr>
          <w:rFonts w:ascii="Arial" w:eastAsia="Calibri" w:hAnsi="Arial" w:cs="Arial"/>
          <w:sz w:val="24"/>
          <w:szCs w:val="24"/>
        </w:rPr>
        <w:t xml:space="preserve">Although TSCA section 8(a)(1) provides an express exemption for small manufacturers (including importers) and processors, TSCA section 8(a)(3) enables EPA to require small manufacturers (including importers) and processors to report under TSCA section 8(a) with respect to a chemical substance that is the subject of a rule proposed or promulgated under TSCA sections 4, 5(b)(4), or 6, or is the subject of an order in effect under TSCA sections 4 or 5(e), a consent agreement under TSCA section 4, or relief that has been granted under a civil action under TSCA sections 5 or 7. Asbestos is subject to TSCA section 6 rulemaking under the Asbestos Ban and Phaseout rule of 1989, and thus EPA </w:t>
      </w:r>
      <w:r w:rsidR="00A126FF">
        <w:rPr>
          <w:rFonts w:ascii="Arial" w:eastAsia="Calibri" w:hAnsi="Arial" w:cs="Arial"/>
          <w:sz w:val="24"/>
          <w:szCs w:val="24"/>
        </w:rPr>
        <w:t xml:space="preserve">is exercising </w:t>
      </w:r>
      <w:r w:rsidRPr="00DB199E">
        <w:rPr>
          <w:rFonts w:ascii="Arial" w:eastAsia="Calibri" w:hAnsi="Arial" w:cs="Arial"/>
          <w:sz w:val="24"/>
          <w:szCs w:val="24"/>
        </w:rPr>
        <w:t xml:space="preserve">its authority provided under TSCA section 8(a)(3)(A)(ii) to require small manufacturers (including importers) and processors of asbestos or asbestos-containing mixtures (other than Libby Amphibole asbestos) to maintain records and submit reports. Libby Amphibole asbestos is not subject to an applicable proposed or promulgated rule under TSCA sections 4, 5(b)(4) or 6, an order in effect under TSCA section 4 or 5(e), or a consent agreement under TSCA section 4, nor is it the subject of relief that has been granted under a civil action under TSCA section 5 or 7. Therefore, small manufacturers (including importers) and processors of Libby Amphibole asbestos are expected to be exempt from this reporting and recordkeeping rule. </w:t>
      </w:r>
      <w:r w:rsidRPr="006308BF" w:rsidR="006308BF">
        <w:rPr>
          <w:rFonts w:ascii="Arial" w:eastAsia="Calibri" w:hAnsi="Arial" w:cs="Arial"/>
          <w:sz w:val="24"/>
          <w:szCs w:val="24"/>
        </w:rPr>
        <w:t>EPA has set an annual sales threshold, when combined with those of their ultimate U.S. parent company (if any) of $500,000, below which manufacturers and processors are not subject to the requirements of this rulemaking</w:t>
      </w:r>
      <w:r w:rsidR="006308BF">
        <w:rPr>
          <w:rFonts w:ascii="Arial" w:eastAsia="Calibri" w:hAnsi="Arial" w:cs="Arial"/>
          <w:sz w:val="24"/>
          <w:szCs w:val="24"/>
        </w:rPr>
        <w:t>.</w:t>
      </w:r>
    </w:p>
    <w:p w:rsidR="00DB199E" w:rsidP="00EE0077" w14:paraId="3E48ECF8" w14:textId="6DFF1452">
      <w:pPr>
        <w:spacing w:line="240" w:lineRule="auto"/>
      </w:pPr>
      <w:r>
        <w:t>TSCA section 8(a)(1)(A) also excludes from the scope of EPA’s regulatory authority under that paragraph any manufacturer (including importer) or processor of “a chemical substance described in subparagraph (B)(ii).”  Section 8(a)(1)(B)(ii), in turn, provides EPA authority to require recordkeeping and reporting by each person (other than a small manufacturer [including importer] or processor) who manufactures (including imports) or processes, or proposes to manufacture (including import) or process, a chemical substance “in small quantities…</w:t>
      </w:r>
      <w:r w:rsidRPr="00751437">
        <w:t>solely for purposes of scientific experimentation or analysis or chemical research on, or analysis of, such substance or another substance, including any such research or analysis for the development of a product,</w:t>
      </w:r>
      <w:r>
        <w:t xml:space="preserve">” but only to the extent EPA determines the recordkeeping and/or reporting is necessary for the effective enforcement of TSCA.  EPA is not </w:t>
      </w:r>
      <w:r w:rsidR="00F33E8F">
        <w:t xml:space="preserve">requiring </w:t>
      </w:r>
      <w:r>
        <w:t xml:space="preserve">recordkeeping or reporting by persons who manufacture (including import) or </w:t>
      </w:r>
      <w:r>
        <w:t>process, or</w:t>
      </w:r>
      <w:r>
        <w:t xml:space="preserve"> propose to </w:t>
      </w:r>
      <w:r>
        <w:t>manufacture (including import) or process, asbestos in small quantities as described in TSCA section 8(a)(1)(B)(ii).</w:t>
      </w:r>
    </w:p>
    <w:p w:rsidR="00DB199E" w:rsidP="00EE0077" w14:paraId="09B2BA54" w14:textId="4D0434E3">
      <w:pPr>
        <w:spacing w:line="240" w:lineRule="auto"/>
      </w:pPr>
      <w:r w:rsidRPr="00DB199E">
        <w:t xml:space="preserve">EPA is aware that there may be circumstances under which a manufacturer (including importer), or processor </w:t>
      </w:r>
      <w:r>
        <w:t xml:space="preserve">may be </w:t>
      </w:r>
      <w:r w:rsidRPr="00DB199E">
        <w:t xml:space="preserve">unable to provide a reliable quantity of the asbestos in their products because the percentage of asbestos in their products is not known or reasonably ascertainable by them. For those situations, EPA is </w:t>
      </w:r>
      <w:r w:rsidR="00C049D1">
        <w:t xml:space="preserve">adopting </w:t>
      </w:r>
      <w:r w:rsidRPr="00DB199E">
        <w:t xml:space="preserve">a short form (Form A) for attestation purposes. For other situations, submitters that can determine or estimate the quantity </w:t>
      </w:r>
      <w:r w:rsidR="003324C4">
        <w:t xml:space="preserve">will </w:t>
      </w:r>
      <w:r w:rsidRPr="00DB199E">
        <w:t xml:space="preserve">provide more detailed information in the full form (Form B). </w:t>
      </w:r>
      <w:r>
        <w:t>Use of Form A, as appropriate and applicable, should help reduce burden on small entities.</w:t>
      </w:r>
    </w:p>
    <w:p w:rsidR="00897D7E" w:rsidP="00326B70" w14:paraId="5F088A3E" w14:textId="0AA53DD7">
      <w:pPr>
        <w:pStyle w:val="Heading2"/>
      </w:pPr>
      <w:r w:rsidRPr="00E00E93">
        <w:t>Describe the consequence to Federal program or policy activities if the collection is not conducted or is conducted less frequently, as well as any technical or legal obstacles to reducing burden.</w:t>
      </w:r>
      <w:r w:rsidR="00331683">
        <w:t xml:space="preserve"> </w:t>
      </w:r>
    </w:p>
    <w:p w:rsidR="00C460B5" w:rsidRPr="0033266F" w:rsidP="00EE0077" w14:paraId="44CF307C" w14:textId="07601FB0">
      <w:pPr>
        <w:spacing w:after="120" w:line="240" w:lineRule="auto"/>
        <w:rPr>
          <w:b/>
          <w:bCs/>
          <w:strike/>
        </w:rPr>
      </w:pPr>
      <w:r>
        <w:t xml:space="preserve">This is a one-time </w:t>
      </w:r>
      <w:r w:rsidR="006B24D7">
        <w:t xml:space="preserve">court ordered </w:t>
      </w:r>
      <w:r>
        <w:t>reporting event</w:t>
      </w:r>
      <w:r w:rsidR="004B575B">
        <w:t xml:space="preserve"> as opposed </w:t>
      </w:r>
      <w:r w:rsidR="00263B10">
        <w:t>to a reoccurring data collection</w:t>
      </w:r>
      <w:r w:rsidR="00FC79DE">
        <w:t>.</w:t>
      </w:r>
      <w:r>
        <w:t xml:space="preserve"> Failure to conduct the information collection activities would subject </w:t>
      </w:r>
      <w:r w:rsidR="009E64B4">
        <w:t xml:space="preserve">EPA to </w:t>
      </w:r>
      <w:r>
        <w:t xml:space="preserve">civil litigation. </w:t>
      </w:r>
    </w:p>
    <w:p w:rsidR="0093316B" w:rsidRPr="00E00E93" w:rsidP="00326B70" w14:paraId="6B8F0DD0" w14:textId="0225FF09">
      <w:pPr>
        <w:pStyle w:val="Heading2"/>
      </w:pPr>
      <w:r w:rsidRPr="00E00E93">
        <w:t>Explain any special circumstances that require the collection to be conducted in a manner</w:t>
      </w:r>
      <w:r w:rsidRPr="00E00E93">
        <w:t>:</w:t>
      </w:r>
      <w:r w:rsidR="004D7774">
        <w:t xml:space="preserve"> </w:t>
      </w:r>
      <w:r w:rsidRPr="00814A54" w:rsidR="004D7774">
        <w:rPr>
          <w:b w:val="0"/>
          <w:bCs w:val="0"/>
        </w:rPr>
        <w:t>All not applicable</w:t>
      </w:r>
    </w:p>
    <w:p w:rsidR="0093316B" w:rsidRPr="00E00E93" w:rsidP="00326B70" w14:paraId="6A11E7D6" w14:textId="77777777">
      <w:pPr>
        <w:pStyle w:val="Heading3"/>
      </w:pPr>
      <w:r w:rsidRPr="00E00E93">
        <w:t xml:space="preserve">requiring respondents to report information to the agency more often than </w:t>
      </w:r>
      <w:r w:rsidRPr="00E00E93">
        <w:t>quarterly;</w:t>
      </w:r>
      <w:r w:rsidRPr="00E00E93">
        <w:t xml:space="preserve"> </w:t>
      </w:r>
    </w:p>
    <w:p w:rsidR="0093316B" w:rsidRPr="00E00E93" w:rsidP="00326B70" w14:paraId="4BF7DF92" w14:textId="77777777">
      <w:pPr>
        <w:pStyle w:val="Heading3"/>
      </w:pPr>
      <w:r w:rsidRPr="00E00E93">
        <w:t xml:space="preserve">requiring respondents to prepare a written response to a collection of information in fewer than 30 days after receipt of </w:t>
      </w:r>
      <w:r w:rsidRPr="00E00E93">
        <w:t>it;</w:t>
      </w:r>
      <w:r w:rsidRPr="00E00E93">
        <w:t xml:space="preserve"> </w:t>
      </w:r>
    </w:p>
    <w:p w:rsidR="0093316B" w:rsidRPr="00E00E93" w:rsidP="00326B70" w14:paraId="7F48D447" w14:textId="77777777">
      <w:pPr>
        <w:pStyle w:val="Heading3"/>
      </w:pPr>
      <w:r w:rsidRPr="00E00E93">
        <w:t xml:space="preserve">requiring respondents to submit more than an original and two copies of any </w:t>
      </w:r>
      <w:r w:rsidRPr="00E00E93">
        <w:t>document;</w:t>
      </w:r>
      <w:r w:rsidRPr="00E00E93">
        <w:t xml:space="preserve"> </w:t>
      </w:r>
    </w:p>
    <w:p w:rsidR="0093316B" w:rsidRPr="00E00E93" w:rsidP="00326B70" w14:paraId="2804ABBE" w14:textId="77777777">
      <w:pPr>
        <w:pStyle w:val="Heading3"/>
      </w:pPr>
      <w:r w:rsidRPr="00E00E93">
        <w:t xml:space="preserve">requiring respondents to retain records, other than health, medical, government contract, grant-in-aid, or tax records, for more than three </w:t>
      </w:r>
      <w:r w:rsidRPr="00E00E93">
        <w:t>years;</w:t>
      </w:r>
      <w:r w:rsidRPr="00E00E93">
        <w:t xml:space="preserve"> </w:t>
      </w:r>
    </w:p>
    <w:p w:rsidR="0093316B" w:rsidRPr="00E00E93" w:rsidP="00326B70" w14:paraId="563D6CEB" w14:textId="77777777">
      <w:pPr>
        <w:pStyle w:val="Heading3"/>
      </w:pPr>
      <w:r w:rsidRPr="00E00E93">
        <w:t xml:space="preserve">in connection with a statistical survey, that is not designed to produce valid and reliable results that can be generalized to the universe of </w:t>
      </w:r>
      <w:r w:rsidRPr="00E00E93">
        <w:t>study;</w:t>
      </w:r>
    </w:p>
    <w:p w:rsidR="0093316B" w:rsidRPr="00E00E93" w:rsidP="00326B70" w14:paraId="0D88457F" w14:textId="77777777">
      <w:pPr>
        <w:pStyle w:val="Heading3"/>
      </w:pPr>
      <w:r w:rsidRPr="00E00E93">
        <w:t xml:space="preserve">requiring the use of a statistical data classification that has not been reviewed and approved by </w:t>
      </w:r>
      <w:r w:rsidRPr="00E00E93">
        <w:t>OMB;</w:t>
      </w:r>
      <w:r w:rsidRPr="00E00E93">
        <w:t xml:space="preserve"> </w:t>
      </w:r>
    </w:p>
    <w:p w:rsidR="0093316B" w:rsidRPr="00E00E93" w:rsidP="00326B70"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3DF4" w:rsidP="00326B70" w14:paraId="0A585FA6" w14:textId="27234471">
      <w:pPr>
        <w:pStyle w:val="Heading3"/>
      </w:pPr>
      <w:r w:rsidRPr="00E00E93">
        <w:t xml:space="preserve">requiring respondents to submit proprietary trade secrets, or other confidential information unless the agency can demonstrate that it has </w:t>
      </w:r>
      <w:r w:rsidRPr="00E00E93">
        <w:t xml:space="preserve">instituted procedures to protect the information's confidentiality to the extent permitted by law.  </w:t>
      </w:r>
    </w:p>
    <w:p w:rsidR="00D367BB" w:rsidRPr="00D367BB" w:rsidP="00EE0077" w14:paraId="0F0558C7" w14:textId="01950B91">
      <w:pPr>
        <w:spacing w:line="240" w:lineRule="auto"/>
      </w:pPr>
      <w:r>
        <w:t xml:space="preserve">Not applicable. </w:t>
      </w:r>
    </w:p>
    <w:p w:rsidR="00E00E93" w:rsidP="00326B70" w14:paraId="0102AF12" w14:textId="17F6ADD9">
      <w:pPr>
        <w:pStyle w:val="Heading2"/>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FC3DF4" w:rsidP="00326B70" w14:paraId="397A597A" w14:textId="77777777">
      <w:pPr>
        <w:pStyle w:val="Heading2"/>
        <w:numPr>
          <w:ilvl w:val="0"/>
          <w:numId w:val="0"/>
        </w:numPr>
        <w:ind w:left="360"/>
      </w:pPr>
      <w:r w:rsidRPr="003041B0">
        <w:t xml:space="preserve">Describe efforts to consult with persons outside </w:t>
      </w:r>
      <w:r>
        <w:t>EPA</w:t>
      </w:r>
      <w:r w:rsidRPr="003041B0">
        <w:t xml:space="preserve"> to obtain their views on the availability of data, frequency of collection, the clarity of instructions and recordkeeping, disclosure, or reporting format (if any), and on the data elements to be recorded, disclosed, or report</w:t>
      </w:r>
      <w:r>
        <w:t>ed</w:t>
      </w:r>
      <w:r w:rsidRPr="003041B0">
        <w:t>.</w:t>
      </w:r>
    </w:p>
    <w:p w:rsidR="00FC3DF4" w:rsidRPr="00E00E93" w:rsidP="00326B70" w14:paraId="25C76BEC" w14:textId="77777777">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81C62" w:rsidP="00EE0077" w14:paraId="6452DB2D" w14:textId="57B72ACE">
      <w:pPr>
        <w:spacing w:line="240" w:lineRule="auto"/>
        <w:rPr>
          <w:lang w:bidi="en-US"/>
        </w:rPr>
      </w:pPr>
      <w:r>
        <w:rPr>
          <w:lang w:bidi="en-US"/>
        </w:rPr>
        <w:t xml:space="preserve">The </w:t>
      </w:r>
      <w:r w:rsidR="00E641E7">
        <w:rPr>
          <w:lang w:bidi="en-US"/>
        </w:rPr>
        <w:t>agency’s notice soliciting comments on the information collection was published in the Federal Register on Friday, May 6, 2022</w:t>
      </w:r>
      <w:r w:rsidR="00F67A4C">
        <w:rPr>
          <w:lang w:bidi="en-US"/>
        </w:rPr>
        <w:t xml:space="preserve"> (</w:t>
      </w:r>
      <w:r w:rsidR="00B65576">
        <w:rPr>
          <w:lang w:bidi="en-US"/>
        </w:rPr>
        <w:t>87 FR 27073)</w:t>
      </w:r>
      <w:r w:rsidR="00E641E7">
        <w:rPr>
          <w:lang w:bidi="en-US"/>
        </w:rPr>
        <w:t xml:space="preserve">. </w:t>
      </w:r>
      <w:r w:rsidR="00F67A4C">
        <w:rPr>
          <w:lang w:bidi="en-US"/>
        </w:rPr>
        <w:t>A copy of that notice is attached</w:t>
      </w:r>
      <w:r w:rsidR="003D4175">
        <w:rPr>
          <w:lang w:bidi="en-US"/>
        </w:rPr>
        <w:t xml:space="preserve"> to this supporting statement</w:t>
      </w:r>
      <w:r w:rsidR="00F67A4C">
        <w:rPr>
          <w:lang w:bidi="en-US"/>
        </w:rPr>
        <w:t>.</w:t>
      </w:r>
      <w:r w:rsidR="0036424B">
        <w:rPr>
          <w:lang w:bidi="en-US"/>
        </w:rPr>
        <w:t xml:space="preserve"> </w:t>
      </w:r>
      <w:r w:rsidRPr="001248C0" w:rsidR="001248C0">
        <w:rPr>
          <w:lang w:bidi="en-US"/>
        </w:rPr>
        <w:t xml:space="preserve">Several commenters remarked that EPA’s projected compliance burden estimates in the proposed rule </w:t>
      </w:r>
      <w:r w:rsidR="00CF04D6">
        <w:rPr>
          <w:lang w:bidi="en-US"/>
        </w:rPr>
        <w:t>we</w:t>
      </w:r>
      <w:r w:rsidRPr="001248C0" w:rsidR="001248C0">
        <w:rPr>
          <w:lang w:bidi="en-US"/>
        </w:rPr>
        <w:t xml:space="preserve">re not reasonable or </w:t>
      </w:r>
      <w:r w:rsidR="00CF04D6">
        <w:rPr>
          <w:lang w:bidi="en-US"/>
        </w:rPr>
        <w:t>we</w:t>
      </w:r>
      <w:r w:rsidRPr="001248C0" w:rsidR="001248C0">
        <w:rPr>
          <w:lang w:bidi="en-US"/>
        </w:rPr>
        <w:t xml:space="preserve">re drastically underestimated, largely due to EPA </w:t>
      </w:r>
      <w:r w:rsidR="00561F8B">
        <w:rPr>
          <w:lang w:bidi="en-US"/>
        </w:rPr>
        <w:t xml:space="preserve">stating </w:t>
      </w:r>
      <w:r w:rsidR="00A11629">
        <w:rPr>
          <w:lang w:bidi="en-US"/>
        </w:rPr>
        <w:t xml:space="preserve">in </w:t>
      </w:r>
      <w:r w:rsidR="00561F8B">
        <w:rPr>
          <w:lang w:bidi="en-US"/>
        </w:rPr>
        <w:t xml:space="preserve">the ICR for the proposed rule </w:t>
      </w:r>
      <w:r w:rsidR="00B2665D">
        <w:rPr>
          <w:lang w:bidi="en-US"/>
        </w:rPr>
        <w:t xml:space="preserve">that the Agency did </w:t>
      </w:r>
      <w:r w:rsidRPr="00561F8B" w:rsidR="00561F8B">
        <w:rPr>
          <w:lang w:bidi="en-US"/>
        </w:rPr>
        <w:t>not have information on the number of firms or sites that are likely to report for the presence of asbestos as an impurity.</w:t>
      </w:r>
      <w:r w:rsidRPr="0020785F" w:rsidR="0020785F">
        <w:t xml:space="preserve"> </w:t>
      </w:r>
      <w:r w:rsidR="0020785F">
        <w:t xml:space="preserve">In response, </w:t>
      </w:r>
      <w:r w:rsidRPr="0020785F" w:rsidR="0020785F">
        <w:rPr>
          <w:lang w:bidi="en-US"/>
        </w:rPr>
        <w:t xml:space="preserve">EPA has revised its </w:t>
      </w:r>
      <w:r w:rsidR="0020785F">
        <w:rPr>
          <w:lang w:bidi="en-US"/>
        </w:rPr>
        <w:t xml:space="preserve">analyses </w:t>
      </w:r>
      <w:r w:rsidRPr="0020785F" w:rsidR="0020785F">
        <w:rPr>
          <w:lang w:bidi="en-US"/>
        </w:rPr>
        <w:t>for the final rule to estimate the number of firms that may be subject to the rule because they manufacture or process products containing asbestos as an impurity.</w:t>
      </w:r>
    </w:p>
    <w:p w:rsidR="007218AB" w:rsidP="00EE0077" w14:paraId="0E58E2AC" w14:textId="78BED92A">
      <w:pPr>
        <w:spacing w:line="240" w:lineRule="auto"/>
        <w:rPr>
          <w:lang w:bidi="en-US"/>
        </w:rPr>
      </w:pPr>
      <w:r w:rsidRPr="007218AB">
        <w:rPr>
          <w:lang w:bidi="en-US"/>
        </w:rPr>
        <w:t xml:space="preserve">Several commenters claimed that some companies would incur very high costs to comply with the rule because of the large number of unique products that they sold or the number of shipments they received. Commenters asserted that based on the due diligence requirements and the lack of exemptions in the rule, companies would need to exhaustively review their product lines and make inquiries through sometimes complex global supply chains. EPA does not agree that it underestimated compliance burdens and costs due to these factors. When a company purchases multiple products made of the same material, but of different colors, sizes, and/or shapes from a supplier, requesting data from the supplier on each individual product may be beyond the scope of “known to or reasonably ascertainable” information. And while conducting due diligence under the “reasonably ascertainable” portion of the “known to or reasonably ascertainable” standard may entail inquiries outside the organization to fill gaps in the submitter’s knowledge, it does not require each company that manufactures or processes any type of product (including products that are not made from any mined </w:t>
      </w:r>
      <w:r w:rsidRPr="007218AB">
        <w:rPr>
          <w:lang w:bidi="en-US"/>
        </w:rPr>
        <w:t>materials) to exhaustively research every one of their products in order to prove that they did or did not contain asbestos. Rather, the standard involves a reasonable investigation of the available information that a given company is aware of or should be aware of about the presence of asbestos. If a similarly situated person in the industry would have no reason to anticipate that asbestos may be present in a product, then it is not incumbent on a company to confirm such an understanding by contacting all the entities in their supply chain to investigate every hypothetical possibility. The rule addresses situations where companies are aware or should be aware of asbestos in their products.</w:t>
      </w:r>
    </w:p>
    <w:p w:rsidR="00115EF4" w:rsidRPr="00CD1493" w:rsidP="00EE0077" w14:paraId="2435BD9B" w14:textId="573B57EB">
      <w:pPr>
        <w:spacing w:line="240" w:lineRule="auto"/>
        <w:rPr>
          <w:lang w:bidi="en-US"/>
        </w:rPr>
      </w:pPr>
      <w:r w:rsidRPr="00115EF4">
        <w:rPr>
          <w:lang w:bidi="en-US"/>
        </w:rPr>
        <w:t xml:space="preserve">The </w:t>
      </w:r>
      <w:r w:rsidR="002941DE">
        <w:rPr>
          <w:lang w:bidi="en-US"/>
        </w:rPr>
        <w:t>public comments on the proposed rul</w:t>
      </w:r>
      <w:r w:rsidR="003D7DF6">
        <w:rPr>
          <w:lang w:bidi="en-US"/>
        </w:rPr>
        <w:t>e</w:t>
      </w:r>
      <w:r w:rsidR="001E2318">
        <w:rPr>
          <w:lang w:bidi="en-US"/>
        </w:rPr>
        <w:t xml:space="preserve"> and a response to Comments document</w:t>
      </w:r>
      <w:r w:rsidR="002941DE">
        <w:rPr>
          <w:lang w:bidi="en-US"/>
        </w:rPr>
        <w:t xml:space="preserve"> </w:t>
      </w:r>
      <w:r w:rsidR="003D7DF6">
        <w:rPr>
          <w:lang w:bidi="en-US"/>
        </w:rPr>
        <w:t xml:space="preserve">are available in </w:t>
      </w:r>
      <w:r w:rsidRPr="00115EF4">
        <w:rPr>
          <w:lang w:bidi="en-US"/>
        </w:rPr>
        <w:t>Docket ID No. EPA-HQ-OPPT-2021-0357</w:t>
      </w:r>
      <w:r w:rsidR="003D7DF6">
        <w:rPr>
          <w:lang w:bidi="en-US"/>
        </w:rPr>
        <w:t>.</w:t>
      </w:r>
      <w:r w:rsidRPr="00115EF4">
        <w:rPr>
          <w:lang w:bidi="en-US"/>
        </w:rPr>
        <w:t xml:space="preserve"> </w:t>
      </w:r>
    </w:p>
    <w:p w:rsidR="009A7738" w:rsidP="00326B70" w14:paraId="68CD10BA" w14:textId="7B71FEE2">
      <w:pPr>
        <w:pStyle w:val="Heading2"/>
      </w:pPr>
      <w:r>
        <w:t>Explain any decision to provide any payment or gift to respondents, other than remuneration of contractors or grantees.</w:t>
      </w:r>
    </w:p>
    <w:p w:rsidR="00F85602" w:rsidRPr="00F85602" w:rsidP="00EE0077" w14:paraId="2136CCF9" w14:textId="62CE254A">
      <w:pPr>
        <w:spacing w:line="240" w:lineRule="auto"/>
        <w:rPr>
          <w:lang w:bidi="en-US"/>
        </w:rPr>
      </w:pPr>
      <w:r>
        <w:rPr>
          <w:lang w:bidi="en-US"/>
        </w:rPr>
        <w:t>N</w:t>
      </w:r>
      <w:r w:rsidR="00FC3DF4">
        <w:rPr>
          <w:lang w:bidi="en-US"/>
        </w:rPr>
        <w:t xml:space="preserve">ot applicable </w:t>
      </w:r>
    </w:p>
    <w:p w:rsidR="009A7738" w:rsidP="00326B70" w14:paraId="1E0798B2" w14:textId="4311DACC">
      <w:pPr>
        <w:pStyle w:val="Heading2"/>
      </w:pPr>
      <w:r w:rsidRPr="003041B0">
        <w:t xml:space="preserve">Describe </w:t>
      </w:r>
      <w:r w:rsidRPr="00253A81">
        <w:t>any</w:t>
      </w:r>
      <w:r w:rsidRPr="003041B0">
        <w:t xml:space="preserve">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00BD7929" w:rsidRPr="00BD7929" w:rsidP="00EE0077" w14:paraId="323CCA8C" w14:textId="3761B605">
      <w:pPr>
        <w:spacing w:line="240" w:lineRule="auto"/>
        <w:rPr>
          <w:rFonts w:eastAsiaTheme="majorEastAsia" w:cstheme="majorBidi"/>
          <w:szCs w:val="26"/>
          <w:lang w:bidi="en-US"/>
        </w:rPr>
      </w:pPr>
      <w:r w:rsidRPr="00BD7929">
        <w:rPr>
          <w:rFonts w:eastAsiaTheme="majorEastAsia" w:cstheme="majorBidi"/>
          <w:szCs w:val="26"/>
          <w:lang w:bidi="en-US"/>
        </w:rPr>
        <w:t xml:space="preserve">Submitters may claim most information reported to EPA under this rule as confidential if such information would reveal the submitter’s trade secrets or confidential business information as described in TSCA section 14 and existing regulations promulgated by EPA under TSCA and FOIA.  </w:t>
      </w:r>
    </w:p>
    <w:p w:rsidR="00BD7929" w:rsidRPr="00BD7929" w:rsidP="00EE0077" w14:paraId="026D7DBB" w14:textId="1D596999">
      <w:pPr>
        <w:spacing w:line="240" w:lineRule="auto"/>
        <w:rPr>
          <w:rFonts w:eastAsiaTheme="majorEastAsia" w:cstheme="majorBidi"/>
          <w:szCs w:val="26"/>
          <w:lang w:bidi="en-US"/>
        </w:rPr>
      </w:pPr>
      <w:r w:rsidRPr="00BD7929">
        <w:rPr>
          <w:rFonts w:eastAsiaTheme="majorEastAsia" w:cstheme="majorBidi"/>
          <w:szCs w:val="26"/>
          <w:lang w:bidi="en-US"/>
        </w:rPr>
        <w:t xml:space="preserve">EPA has long-established procedures for properly handling, storing, processing, and disposing of TSCA confidential information. These procedures are detailed in the “TSCA CBI Protection Manual,” October 2003. EPA believes these procedures protect confidential business information while providing the public with as much information as possible. </w:t>
      </w:r>
    </w:p>
    <w:p w:rsidR="00624305" w:rsidRPr="00BD7929" w:rsidP="00EE0077" w14:paraId="069635C0" w14:textId="3D7D3345">
      <w:pPr>
        <w:spacing w:line="240" w:lineRule="auto"/>
        <w:rPr>
          <w:lang w:bidi="en-US"/>
        </w:rPr>
      </w:pPr>
      <w:r w:rsidRPr="00BD7929">
        <w:rPr>
          <w:rFonts w:eastAsiaTheme="majorEastAsia" w:cstheme="majorBidi"/>
          <w:szCs w:val="26"/>
          <w:lang w:bidi="en-US"/>
        </w:rPr>
        <w:t xml:space="preserve"> EPA will maintain standard confidentiality procedures to protect any confidential, trade secret, or proprietary information from disclosure in accordance with EPA’s confidentiality regulation, 40 CFR Part 2, Subpart B, TSCA regulations, and TSCA section 14.</w:t>
      </w:r>
    </w:p>
    <w:p w:rsidR="00575DC0" w:rsidP="00326B70" w14:paraId="675D5854" w14:textId="7AA4C370">
      <w:pPr>
        <w:pStyle w:val="Heading2"/>
      </w:pPr>
      <w:r w:rsidRPr="00C42EF5">
        <w:t xml:space="preserve">Provide additional justification for any questions of a sensitive nature, </w:t>
      </w:r>
      <w:r>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3076" w:rsidRPr="00813076" w:rsidP="00EE0077" w14:paraId="404A5BF0" w14:textId="77777777">
      <w:pPr>
        <w:spacing w:line="240" w:lineRule="auto"/>
      </w:pPr>
      <w:r w:rsidRPr="00813076">
        <w:t xml:space="preserve">Not applicable; this collection does not include questions of a sensitive nature. </w:t>
      </w:r>
    </w:p>
    <w:p w:rsidR="00E00E93" w:rsidP="00326B70" w14:paraId="29AD7DEB" w14:textId="77777777">
      <w:pPr>
        <w:pStyle w:val="Heading2"/>
      </w:pPr>
      <w:r w:rsidRPr="00C42EF5">
        <w:t>Provide estimates of the hour burden of the collection of information.</w:t>
      </w:r>
      <w:r>
        <w:t xml:space="preserve"> The statement should: </w:t>
      </w:r>
    </w:p>
    <w:p w:rsidR="00E00E93" w:rsidP="00EE0077" w14:paraId="7FC47722" w14:textId="77777777">
      <w:pPr>
        <w:pStyle w:val="Heading3"/>
        <w:numPr>
          <w:ilvl w:val="0"/>
          <w:numId w:val="36"/>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326B70" w14:paraId="2F1B6098" w14:textId="77777777">
      <w:pPr>
        <w:pStyle w:val="Heading3"/>
      </w:pPr>
      <w:r>
        <w:t xml:space="preserve">If this request for approval covers more than one form, provide separate hour burden estimates for each form and aggregate the hour burdens. </w:t>
      </w:r>
    </w:p>
    <w:p w:rsidR="00294EAC" w:rsidP="00326B70" w14:paraId="2E905BB2" w14:textId="34FFC2F4">
      <w:pPr>
        <w:pStyle w:val="Heading3"/>
        <w:rPr>
          <w:b w:val="0"/>
          <w:bCs w:val="0"/>
        </w:rPr>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3B717B" w:rsidRPr="005B772E" w:rsidP="00326B70" w14:paraId="7083FD13" w14:textId="1D4B6AF8">
      <w:pPr>
        <w:pStyle w:val="BodyText"/>
        <w:keepNext/>
        <w:spacing w:after="0"/>
        <w:rPr>
          <w:rFonts w:cs="Arial"/>
          <w:szCs w:val="22"/>
        </w:rPr>
      </w:pPr>
      <w:r w:rsidRPr="005B772E">
        <w:rPr>
          <w:rFonts w:cs="Arial"/>
          <w:szCs w:val="22"/>
        </w:rPr>
        <w:t xml:space="preserve">Respondents are companies manufacturing or processing asbestos in any year from 2019 to 2022. </w:t>
      </w:r>
      <w:r w:rsidR="001F2C6E">
        <w:rPr>
          <w:rFonts w:cs="Arial"/>
          <w:szCs w:val="22"/>
        </w:rPr>
        <w:t>Over 67,000 firms are estimated to engage in rule familiarization and compliance determination activities</w:t>
      </w:r>
      <w:r w:rsidR="00EE2D97">
        <w:rPr>
          <w:rFonts w:cs="Arial"/>
          <w:szCs w:val="22"/>
        </w:rPr>
        <w:t xml:space="preserve">, and </w:t>
      </w:r>
      <w:r w:rsidRPr="005B772E">
        <w:rPr>
          <w:rFonts w:cs="Arial"/>
          <w:szCs w:val="22"/>
        </w:rPr>
        <w:t>18</w:t>
      </w:r>
      <w:r w:rsidR="00271F91">
        <w:rPr>
          <w:rFonts w:cs="Arial"/>
          <w:szCs w:val="22"/>
        </w:rPr>
        <w:t>6</w:t>
      </w:r>
      <w:r w:rsidRPr="005B772E">
        <w:rPr>
          <w:rFonts w:cs="Arial"/>
          <w:szCs w:val="22"/>
        </w:rPr>
        <w:t xml:space="preserve"> </w:t>
      </w:r>
      <w:r w:rsidR="00ED6AC6">
        <w:rPr>
          <w:rFonts w:cs="Arial"/>
          <w:szCs w:val="22"/>
        </w:rPr>
        <w:t xml:space="preserve">to 1,044 </w:t>
      </w:r>
      <w:r w:rsidRPr="005B772E">
        <w:rPr>
          <w:rFonts w:cs="Arial"/>
          <w:szCs w:val="22"/>
        </w:rPr>
        <w:t xml:space="preserve">firms are predicted to submit reports for </w:t>
      </w:r>
      <w:r w:rsidR="00D15A8B">
        <w:rPr>
          <w:rFonts w:cs="Arial"/>
          <w:szCs w:val="22"/>
        </w:rPr>
        <w:t>268</w:t>
      </w:r>
      <w:r w:rsidRPr="005B772E" w:rsidR="00D15A8B">
        <w:rPr>
          <w:rFonts w:cs="Arial"/>
          <w:szCs w:val="22"/>
        </w:rPr>
        <w:t xml:space="preserve"> </w:t>
      </w:r>
      <w:r w:rsidR="00ED6AC6">
        <w:rPr>
          <w:rFonts w:cs="Arial"/>
          <w:szCs w:val="22"/>
        </w:rPr>
        <w:t xml:space="preserve">to 1,126 </w:t>
      </w:r>
      <w:r w:rsidRPr="005B772E" w:rsidR="00D15A8B">
        <w:rPr>
          <w:rFonts w:cs="Arial"/>
          <w:szCs w:val="22"/>
        </w:rPr>
        <w:t>sites</w:t>
      </w:r>
      <w:r w:rsidRPr="005B772E">
        <w:rPr>
          <w:rFonts w:cs="Arial"/>
          <w:szCs w:val="22"/>
        </w:rPr>
        <w:t xml:space="preserve">. </w:t>
      </w:r>
      <w:r w:rsidRPr="004C56AF" w:rsidR="004C56AF">
        <w:rPr>
          <w:rFonts w:cs="Arial"/>
          <w:szCs w:val="22"/>
        </w:rPr>
        <w:fldChar w:fldCharType="begin"/>
      </w:r>
      <w:r w:rsidRPr="004C56AF" w:rsidR="004C56AF">
        <w:rPr>
          <w:rFonts w:cs="Arial"/>
          <w:szCs w:val="22"/>
        </w:rPr>
        <w:instrText xml:space="preserve"> REF _Ref133392679 \h  \* MERGEFORMAT </w:instrText>
      </w:r>
      <w:r w:rsidRPr="004C56AF" w:rsidR="004C56AF">
        <w:rPr>
          <w:rFonts w:cs="Arial"/>
          <w:szCs w:val="22"/>
        </w:rPr>
        <w:fldChar w:fldCharType="separate"/>
      </w:r>
      <w:r w:rsidRPr="009F0705" w:rsidR="009F0705">
        <w:rPr>
          <w:rFonts w:cs="Arial"/>
        </w:rPr>
        <w:t xml:space="preserve">Table </w:t>
      </w:r>
      <w:r w:rsidRPr="009F0705" w:rsidR="009F0705">
        <w:rPr>
          <w:rFonts w:cs="Arial"/>
          <w:noProof/>
        </w:rPr>
        <w:t>3</w:t>
      </w:r>
      <w:r w:rsidRPr="004C56AF" w:rsidR="004C56AF">
        <w:rPr>
          <w:rFonts w:cs="Arial"/>
          <w:szCs w:val="22"/>
        </w:rPr>
        <w:fldChar w:fldCharType="end"/>
      </w:r>
      <w:r w:rsidR="004C56AF">
        <w:rPr>
          <w:rFonts w:cs="Arial"/>
          <w:szCs w:val="22"/>
        </w:rPr>
        <w:t xml:space="preserve"> </w:t>
      </w:r>
      <w:r w:rsidRPr="005B772E">
        <w:rPr>
          <w:rFonts w:cs="Arial"/>
          <w:szCs w:val="22"/>
        </w:rPr>
        <w:t xml:space="preserve">disaggregates the number of firms and sites by type of firm. Information on the methodology used to estimate the number of firms is available in the economic analysis for this 8(a) rule. </w:t>
      </w:r>
    </w:p>
    <w:p w:rsidR="003B717B" w:rsidRPr="00305BBA" w:rsidP="00326B70" w14:paraId="1290C39B" w14:textId="77777777">
      <w:pPr>
        <w:pStyle w:val="Caption"/>
        <w:keepNext/>
        <w:spacing w:after="0"/>
      </w:pPr>
    </w:p>
    <w:tbl>
      <w:tblPr>
        <w:tblW w:w="9465" w:type="dxa"/>
        <w:jc w:val="center"/>
        <w:tblLook w:val="04A0"/>
      </w:tblPr>
      <w:tblGrid>
        <w:gridCol w:w="6125"/>
        <w:gridCol w:w="1790"/>
        <w:gridCol w:w="1550"/>
      </w:tblGrid>
      <w:tr w14:paraId="18FABA21" w14:textId="77777777" w:rsidTr="0084154A">
        <w:tblPrEx>
          <w:tblW w:w="9465" w:type="dxa"/>
          <w:jc w:val="center"/>
          <w:tblLook w:val="04A0"/>
        </w:tblPrEx>
        <w:trPr>
          <w:jc w:val="center"/>
        </w:trPr>
        <w:tc>
          <w:tcPr>
            <w:tcW w:w="9465" w:type="dxa"/>
            <w:gridSpan w:val="3"/>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84154A" w:rsidRPr="000C09A8" w:rsidP="00EE0077" w14:paraId="5716990F" w14:textId="167A13CB">
            <w:pPr>
              <w:keepNext/>
              <w:keepLines/>
              <w:spacing w:after="0" w:line="240" w:lineRule="auto"/>
              <w:rPr>
                <w:rFonts w:ascii="Arial Narrow" w:hAnsi="Arial Narrow" w:cs="Arial"/>
                <w:b/>
                <w:bCs/>
                <w:sz w:val="20"/>
                <w:szCs w:val="20"/>
              </w:rPr>
            </w:pPr>
            <w:bookmarkStart w:id="8" w:name="_Ref133392679"/>
            <w:bookmarkStart w:id="9" w:name="_Ref123025683"/>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3</w:t>
            </w:r>
            <w:r w:rsidRPr="00DE66D8">
              <w:rPr>
                <w:rFonts w:cs="Arial"/>
                <w:b/>
              </w:rPr>
              <w:fldChar w:fldCharType="end"/>
            </w:r>
            <w:bookmarkEnd w:id="8"/>
            <w:r w:rsidRPr="00DE66D8" w:rsidR="00883F7A">
              <w:rPr>
                <w:rFonts w:cs="Arial"/>
                <w:b/>
              </w:rPr>
              <w:t>:</w:t>
            </w:r>
            <w:r w:rsidRPr="00C52B2E" w:rsidR="00883F7A">
              <w:rPr>
                <w:rFonts w:cs="Arial"/>
                <w:b/>
              </w:rPr>
              <w:t xml:space="preserve"> </w:t>
            </w:r>
            <w:bookmarkEnd w:id="9"/>
            <w:r w:rsidR="003C52F0">
              <w:rPr>
                <w:rFonts w:cs="Arial"/>
                <w:b/>
                <w:bCs/>
              </w:rPr>
              <w:t>Number of Affected Firms and Sites</w:t>
            </w:r>
          </w:p>
        </w:tc>
      </w:tr>
      <w:tr w14:paraId="4484B13D" w14:textId="77777777" w:rsidTr="00E96FA6">
        <w:tblPrEx>
          <w:tblW w:w="9465" w:type="dxa"/>
          <w:jc w:val="center"/>
          <w:tblLook w:val="04A0"/>
        </w:tblPrEx>
        <w:trPr>
          <w:trHeight w:val="945"/>
          <w:jc w:val="center"/>
        </w:trPr>
        <w:tc>
          <w:tcPr>
            <w:tcW w:w="6125" w:type="dxa"/>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rsidR="00683A86" w:rsidRPr="000C09A8" w:rsidP="00EE0077" w14:paraId="3B23CC13"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Type of Firm</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683A86" w:rsidRPr="000C09A8" w:rsidP="00EE0077" w14:paraId="53E38D7F"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Number of Affected Firms</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683A86" w:rsidRPr="000C09A8" w:rsidP="00EE0077" w14:paraId="5BB832E0"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Number of Affected Sites</w:t>
            </w:r>
          </w:p>
        </w:tc>
      </w:tr>
      <w:tr w14:paraId="51763BEE" w14:textId="77777777" w:rsidTr="00E96FA6">
        <w:tblPrEx>
          <w:tblW w:w="9465" w:type="dxa"/>
          <w:jc w:val="center"/>
          <w:tblLook w:val="04A0"/>
        </w:tblPrEx>
        <w:trPr>
          <w:trHeight w:val="300"/>
          <w:jc w:val="center"/>
        </w:trPr>
        <w:tc>
          <w:tcPr>
            <w:tcW w:w="6125" w:type="dxa"/>
            <w:tcBorders>
              <w:top w:val="nil"/>
              <w:left w:val="single" w:sz="4" w:space="0" w:color="auto"/>
              <w:bottom w:val="single" w:sz="4" w:space="0" w:color="auto"/>
              <w:right w:val="single" w:sz="4" w:space="0" w:color="auto"/>
            </w:tcBorders>
            <w:shd w:val="clear" w:color="auto" w:fill="auto"/>
            <w:noWrap/>
            <w:vAlign w:val="bottom"/>
          </w:tcPr>
          <w:p w:rsidR="00683A86" w:rsidRPr="000C09A8" w:rsidP="00326B70" w14:paraId="31904049" w14:textId="77777777">
            <w:pPr>
              <w:pStyle w:val="LTableTextAbt"/>
              <w:spacing w:before="0" w:after="0"/>
              <w:rPr>
                <w:rFonts w:cs="Arial"/>
              </w:rPr>
            </w:pPr>
            <w:r w:rsidRPr="000C09A8">
              <w:rPr>
                <w:rFonts w:cs="Arial"/>
              </w:rPr>
              <w:t>Chlor-alkali plants</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3A86" w:rsidRPr="000C09A8" w:rsidP="00326B70" w14:paraId="23294983" w14:textId="77777777">
            <w:pPr>
              <w:pStyle w:val="CTableTextAbt"/>
              <w:keepNext/>
              <w:keepLines/>
              <w:rPr>
                <w:rFonts w:cs="Arial"/>
              </w:rPr>
            </w:pPr>
            <w:r w:rsidRPr="000C09A8">
              <w:rPr>
                <w:rFonts w:cs="Arial"/>
              </w:rPr>
              <w:t>3</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683A86" w:rsidRPr="000C09A8" w:rsidP="00326B70" w14:paraId="01F5E59C" w14:textId="77777777">
            <w:pPr>
              <w:pStyle w:val="CTableTextAbt"/>
              <w:keepNext/>
              <w:keepLines/>
              <w:rPr>
                <w:rFonts w:cs="Arial"/>
              </w:rPr>
            </w:pPr>
            <w:r w:rsidRPr="000C09A8">
              <w:rPr>
                <w:rFonts w:cs="Arial"/>
              </w:rPr>
              <w:t>10</w:t>
            </w:r>
          </w:p>
        </w:tc>
      </w:tr>
      <w:tr w14:paraId="73D7E9F0" w14:textId="77777777" w:rsidTr="00E96FA6">
        <w:tblPrEx>
          <w:tblW w:w="9465" w:type="dxa"/>
          <w:jc w:val="center"/>
          <w:tblLook w:val="04A0"/>
        </w:tblPrEx>
        <w:trPr>
          <w:trHeight w:val="300"/>
          <w:jc w:val="center"/>
        </w:trPr>
        <w:tc>
          <w:tcPr>
            <w:tcW w:w="6125" w:type="dxa"/>
            <w:tcBorders>
              <w:top w:val="nil"/>
              <w:left w:val="single" w:sz="4" w:space="0" w:color="auto"/>
              <w:bottom w:val="single" w:sz="4" w:space="0" w:color="auto"/>
              <w:right w:val="single" w:sz="4" w:space="0" w:color="auto"/>
            </w:tcBorders>
            <w:shd w:val="clear" w:color="auto" w:fill="auto"/>
            <w:noWrap/>
            <w:vAlign w:val="bottom"/>
          </w:tcPr>
          <w:p w:rsidR="00683A86" w:rsidRPr="000C09A8" w:rsidP="00326B70" w14:paraId="3FE60463" w14:textId="77777777">
            <w:pPr>
              <w:pStyle w:val="LTableTextAbt"/>
              <w:spacing w:before="0" w:after="0"/>
              <w:rPr>
                <w:rFonts w:cs="Arial"/>
              </w:rPr>
            </w:pPr>
            <w:r w:rsidRPr="000C09A8">
              <w:rPr>
                <w:rFonts w:cs="Arial"/>
              </w:rPr>
              <w:t>Sheet gasket manufacturers</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3A86" w:rsidRPr="000C09A8" w:rsidP="00326B70" w14:paraId="079C34B4" w14:textId="77777777">
            <w:pPr>
              <w:pStyle w:val="CTableTextAbt"/>
              <w:keepNext/>
              <w:keepLines/>
              <w:rPr>
                <w:rFonts w:cs="Arial"/>
              </w:rPr>
            </w:pPr>
            <w:r w:rsidRPr="000C09A8">
              <w:rPr>
                <w:rFonts w:cs="Arial"/>
              </w:rPr>
              <w:t>2</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683A86" w:rsidRPr="000C09A8" w:rsidP="00326B70" w14:paraId="0E9E8EC6" w14:textId="77777777">
            <w:pPr>
              <w:pStyle w:val="CTableTextAbt"/>
              <w:keepNext/>
              <w:keepLines/>
              <w:rPr>
                <w:rFonts w:cs="Arial"/>
              </w:rPr>
            </w:pPr>
            <w:r w:rsidRPr="000C09A8">
              <w:rPr>
                <w:rFonts w:cs="Arial"/>
              </w:rPr>
              <w:t>4</w:t>
            </w:r>
          </w:p>
        </w:tc>
      </w:tr>
      <w:tr w14:paraId="2760D9E1" w14:textId="77777777" w:rsidTr="00E96FA6">
        <w:tblPrEx>
          <w:tblW w:w="9465" w:type="dxa"/>
          <w:jc w:val="center"/>
          <w:tblLook w:val="04A0"/>
        </w:tblPrEx>
        <w:trPr>
          <w:trHeight w:val="300"/>
          <w:jc w:val="center"/>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3A86" w:rsidRPr="000C09A8" w:rsidP="00326B70" w14:paraId="3D369C3E" w14:textId="77777777">
            <w:pPr>
              <w:pStyle w:val="LTableTextAbt"/>
              <w:spacing w:before="0" w:after="0"/>
              <w:rPr>
                <w:rFonts w:cs="Arial"/>
              </w:rPr>
            </w:pPr>
            <w:r w:rsidRPr="000C09A8">
              <w:rPr>
                <w:rFonts w:cs="Arial"/>
              </w:rPr>
              <w:t>Oilfield brake block importers</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3A86" w:rsidRPr="000C09A8" w:rsidP="00326B70" w14:paraId="7D3D377A" w14:textId="77777777">
            <w:pPr>
              <w:pStyle w:val="CTableTextAbt"/>
              <w:keepNext/>
              <w:keepLines/>
              <w:rPr>
                <w:rFonts w:cs="Arial"/>
              </w:rPr>
            </w:pPr>
            <w:r w:rsidRPr="000C09A8">
              <w:rPr>
                <w:rFonts w:cs="Arial"/>
              </w:rPr>
              <w:t>1</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683A86" w:rsidRPr="000C09A8" w:rsidP="00326B70" w14:paraId="3086330A" w14:textId="77777777">
            <w:pPr>
              <w:pStyle w:val="CTableTextAbt"/>
              <w:keepNext/>
              <w:keepLines/>
              <w:rPr>
                <w:rFonts w:cs="Arial"/>
              </w:rPr>
            </w:pPr>
            <w:r w:rsidRPr="000C09A8">
              <w:rPr>
                <w:rFonts w:cs="Arial"/>
              </w:rPr>
              <w:t>1</w:t>
            </w:r>
          </w:p>
        </w:tc>
      </w:tr>
      <w:tr w14:paraId="5EFBA141" w14:textId="77777777" w:rsidTr="00E96FA6">
        <w:tblPrEx>
          <w:tblW w:w="9465" w:type="dxa"/>
          <w:jc w:val="center"/>
          <w:tblLook w:val="04A0"/>
        </w:tblPrEx>
        <w:trPr>
          <w:trHeight w:val="300"/>
          <w:jc w:val="center"/>
        </w:trPr>
        <w:tc>
          <w:tcPr>
            <w:tcW w:w="6125" w:type="dxa"/>
            <w:tcBorders>
              <w:top w:val="nil"/>
              <w:left w:val="single" w:sz="4" w:space="0" w:color="auto"/>
              <w:bottom w:val="single" w:sz="4" w:space="0" w:color="auto"/>
              <w:right w:val="single" w:sz="4" w:space="0" w:color="auto"/>
            </w:tcBorders>
            <w:shd w:val="clear" w:color="auto" w:fill="auto"/>
            <w:noWrap/>
            <w:vAlign w:val="bottom"/>
          </w:tcPr>
          <w:p w:rsidR="00683A86" w:rsidRPr="000C09A8" w:rsidP="00326B70" w14:paraId="49935F02" w14:textId="77777777">
            <w:pPr>
              <w:pStyle w:val="LTableTextAbt"/>
              <w:spacing w:before="0" w:after="0"/>
              <w:rPr>
                <w:rFonts w:cs="Arial"/>
              </w:rPr>
            </w:pPr>
            <w:r w:rsidRPr="000C09A8">
              <w:rPr>
                <w:rFonts w:cs="Arial"/>
              </w:rPr>
              <w:t>Aftermarket auto brake importers</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3A86" w:rsidRPr="000C09A8" w:rsidP="00326B70" w14:paraId="57EF941E" w14:textId="63EB523A">
            <w:pPr>
              <w:pStyle w:val="CTableTextAbt"/>
              <w:keepNext/>
              <w:keepLines/>
              <w:rPr>
                <w:rFonts w:cs="Arial"/>
              </w:rPr>
            </w:pPr>
            <w:r>
              <w:rPr>
                <w:rFonts w:cs="Arial"/>
              </w:rPr>
              <w:t>9</w:t>
            </w:r>
            <w:r w:rsidR="00ED6AC6">
              <w:rPr>
                <w:rFonts w:cs="Arial"/>
              </w:rPr>
              <w:t xml:space="preserve"> to 867</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683A86" w:rsidRPr="000C09A8" w:rsidP="00326B70" w14:paraId="1D123804" w14:textId="342D8570">
            <w:pPr>
              <w:pStyle w:val="CTableTextAbt"/>
              <w:keepNext/>
              <w:keepLines/>
              <w:rPr>
                <w:rFonts w:cs="Arial"/>
              </w:rPr>
            </w:pPr>
            <w:r>
              <w:rPr>
                <w:rFonts w:cs="Arial"/>
              </w:rPr>
              <w:t>9</w:t>
            </w:r>
            <w:r w:rsidR="00ED6AC6">
              <w:rPr>
                <w:rFonts w:cs="Arial"/>
              </w:rPr>
              <w:t xml:space="preserve"> to 867</w:t>
            </w:r>
          </w:p>
        </w:tc>
      </w:tr>
      <w:tr w14:paraId="5B1151FE" w14:textId="77777777" w:rsidTr="00E96FA6">
        <w:tblPrEx>
          <w:tblW w:w="9465" w:type="dxa"/>
          <w:jc w:val="center"/>
          <w:tblLook w:val="04A0"/>
        </w:tblPrEx>
        <w:trPr>
          <w:trHeight w:val="300"/>
          <w:jc w:val="center"/>
        </w:trPr>
        <w:tc>
          <w:tcPr>
            <w:tcW w:w="6125" w:type="dxa"/>
            <w:tcBorders>
              <w:top w:val="nil"/>
              <w:left w:val="single" w:sz="4" w:space="0" w:color="auto"/>
              <w:bottom w:val="single" w:sz="4" w:space="0" w:color="auto"/>
              <w:right w:val="single" w:sz="4" w:space="0" w:color="auto"/>
            </w:tcBorders>
            <w:shd w:val="clear" w:color="auto" w:fill="auto"/>
            <w:noWrap/>
            <w:vAlign w:val="center"/>
          </w:tcPr>
          <w:p w:rsidR="00683A86" w:rsidRPr="000C09A8" w:rsidP="00326B70" w14:paraId="3A9C0845" w14:textId="4D89806C">
            <w:pPr>
              <w:pStyle w:val="LTableTextAbt"/>
              <w:spacing w:before="0" w:after="0"/>
              <w:rPr>
                <w:rFonts w:cs="Arial"/>
              </w:rPr>
            </w:pPr>
            <w:r>
              <w:t>Firms reporting for asbestos as an impurity</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A86" w:rsidRPr="000C09A8" w:rsidP="00326B70" w14:paraId="0F26D07D" w14:textId="654F01F9">
            <w:pPr>
              <w:pStyle w:val="CTableTextAbt"/>
              <w:keepNext/>
              <w:keepLines/>
              <w:rPr>
                <w:rFonts w:cs="Arial"/>
              </w:rPr>
            </w:pPr>
            <w:r>
              <w:rPr>
                <w:rFonts w:cs="Arial"/>
              </w:rPr>
              <w:t>171</w:t>
            </w:r>
          </w:p>
        </w:tc>
        <w:tc>
          <w:tcPr>
            <w:tcW w:w="1550" w:type="dxa"/>
            <w:tcBorders>
              <w:top w:val="single" w:sz="4" w:space="0" w:color="auto"/>
              <w:left w:val="nil"/>
              <w:bottom w:val="single" w:sz="4" w:space="0" w:color="auto"/>
              <w:right w:val="single" w:sz="4" w:space="0" w:color="auto"/>
            </w:tcBorders>
            <w:shd w:val="clear" w:color="auto" w:fill="auto"/>
            <w:noWrap/>
            <w:vAlign w:val="center"/>
          </w:tcPr>
          <w:p w:rsidR="00683A86" w:rsidRPr="000C09A8" w:rsidP="00326B70" w14:paraId="5F18F239" w14:textId="230B886D">
            <w:pPr>
              <w:pStyle w:val="CTableTextAbt"/>
              <w:keepNext/>
              <w:keepLines/>
              <w:rPr>
                <w:rFonts w:cs="Arial"/>
              </w:rPr>
            </w:pPr>
            <w:r>
              <w:rPr>
                <w:rFonts w:cs="Arial"/>
              </w:rPr>
              <w:t>244</w:t>
            </w:r>
          </w:p>
        </w:tc>
      </w:tr>
      <w:tr w14:paraId="52B78CE7" w14:textId="77777777" w:rsidTr="00E96FA6">
        <w:tblPrEx>
          <w:tblW w:w="9465" w:type="dxa"/>
          <w:jc w:val="center"/>
          <w:tblLook w:val="04A0"/>
        </w:tblPrEx>
        <w:trPr>
          <w:trHeight w:val="300"/>
          <w:jc w:val="center"/>
        </w:trPr>
        <w:tc>
          <w:tcPr>
            <w:tcW w:w="6125" w:type="dxa"/>
            <w:tcBorders>
              <w:top w:val="nil"/>
              <w:left w:val="single" w:sz="4" w:space="0" w:color="auto"/>
              <w:bottom w:val="single" w:sz="4" w:space="0" w:color="auto"/>
              <w:right w:val="single" w:sz="4" w:space="0" w:color="auto"/>
            </w:tcBorders>
            <w:shd w:val="clear" w:color="auto" w:fill="auto"/>
            <w:noWrap/>
            <w:vAlign w:val="bottom"/>
          </w:tcPr>
          <w:p w:rsidR="005B19A0" w:rsidRPr="000C09A8" w:rsidP="00326B70" w14:paraId="5398824F" w14:textId="22E9ECFF">
            <w:pPr>
              <w:pStyle w:val="LTableTextAbt"/>
              <w:spacing w:before="0" w:after="0"/>
              <w:rPr>
                <w:rFonts w:cs="Arial"/>
              </w:rPr>
            </w:pPr>
            <w:r w:rsidRPr="0086259E">
              <w:rPr>
                <w:rFonts w:cs="Arial"/>
              </w:rPr>
              <w:t>Firms that engage in rule familiarization and compliance determination but do not report</w:t>
            </w:r>
          </w:p>
        </w:tc>
        <w:tc>
          <w:tcPr>
            <w:tcW w:w="1790" w:type="dxa"/>
            <w:tcBorders>
              <w:top w:val="single" w:sz="4" w:space="0" w:color="auto"/>
              <w:left w:val="single" w:sz="4" w:space="0" w:color="auto"/>
              <w:bottom w:val="single" w:sz="4" w:space="0" w:color="auto"/>
              <w:right w:val="single" w:sz="4" w:space="0" w:color="auto"/>
            </w:tcBorders>
            <w:shd w:val="clear" w:color="auto" w:fill="auto"/>
            <w:noWrap/>
          </w:tcPr>
          <w:p w:rsidR="005B19A0" w:rsidRPr="000C09A8" w:rsidP="00326B70" w14:paraId="5869E55A" w14:textId="4F35EA33">
            <w:pPr>
              <w:pStyle w:val="CTableTextAbt"/>
              <w:keepNext/>
              <w:keepLines/>
              <w:rPr>
                <w:rFonts w:cs="Arial"/>
              </w:rPr>
            </w:pPr>
            <w:r w:rsidRPr="00CB6172">
              <w:t>67,461</w:t>
            </w:r>
          </w:p>
        </w:tc>
        <w:tc>
          <w:tcPr>
            <w:tcW w:w="1550" w:type="dxa"/>
            <w:tcBorders>
              <w:top w:val="single" w:sz="4" w:space="0" w:color="auto"/>
              <w:left w:val="nil"/>
              <w:bottom w:val="single" w:sz="4" w:space="0" w:color="auto"/>
              <w:right w:val="single" w:sz="4" w:space="0" w:color="auto"/>
            </w:tcBorders>
            <w:shd w:val="clear" w:color="auto" w:fill="auto"/>
            <w:noWrap/>
          </w:tcPr>
          <w:p w:rsidR="005B19A0" w:rsidRPr="000C09A8" w:rsidP="00326B70" w14:paraId="7190952B" w14:textId="626688E8">
            <w:pPr>
              <w:pStyle w:val="CTableTextAbt"/>
              <w:keepNext/>
              <w:keepLines/>
              <w:rPr>
                <w:rFonts w:cs="Arial"/>
              </w:rPr>
            </w:pPr>
            <w:r w:rsidRPr="00CB6172">
              <w:t>96,419</w:t>
            </w:r>
          </w:p>
        </w:tc>
      </w:tr>
      <w:tr w14:paraId="0B187DED" w14:textId="77777777" w:rsidTr="00E96FA6">
        <w:tblPrEx>
          <w:tblW w:w="9465" w:type="dxa"/>
          <w:jc w:val="center"/>
          <w:tblLook w:val="04A0"/>
        </w:tblPrEx>
        <w:trPr>
          <w:trHeight w:val="300"/>
          <w:jc w:val="center"/>
        </w:trPr>
        <w:tc>
          <w:tcPr>
            <w:tcW w:w="6125" w:type="dxa"/>
            <w:tcBorders>
              <w:top w:val="nil"/>
              <w:left w:val="single" w:sz="4" w:space="0" w:color="auto"/>
              <w:bottom w:val="single" w:sz="4" w:space="0" w:color="auto"/>
              <w:right w:val="single" w:sz="4" w:space="0" w:color="auto"/>
            </w:tcBorders>
            <w:shd w:val="clear" w:color="auto" w:fill="auto"/>
            <w:noWrap/>
            <w:vAlign w:val="bottom"/>
          </w:tcPr>
          <w:p w:rsidR="00331590" w:rsidRPr="000C09A8" w:rsidP="00EE0077" w14:paraId="21023DA6" w14:textId="77777777">
            <w:pPr>
              <w:keepNext/>
              <w:keepLines/>
              <w:spacing w:after="0" w:line="240" w:lineRule="auto"/>
              <w:rPr>
                <w:rFonts w:ascii="Arial Narrow" w:hAnsi="Arial Narrow" w:cs="Arial"/>
                <w:b/>
                <w:bCs/>
                <w:color w:val="000000"/>
                <w:sz w:val="20"/>
                <w:szCs w:val="20"/>
              </w:rPr>
            </w:pPr>
            <w:r w:rsidRPr="000C09A8">
              <w:rPr>
                <w:rFonts w:ascii="Arial Narrow" w:hAnsi="Arial Narrow" w:cs="Arial"/>
                <w:b/>
                <w:bCs/>
                <w:color w:val="000000"/>
                <w:sz w:val="20"/>
                <w:szCs w:val="20"/>
              </w:rPr>
              <w:t>Total</w:t>
            </w:r>
          </w:p>
        </w:tc>
        <w:tc>
          <w:tcPr>
            <w:tcW w:w="1790" w:type="dxa"/>
            <w:tcBorders>
              <w:top w:val="single" w:sz="4" w:space="0" w:color="auto"/>
              <w:left w:val="single" w:sz="4" w:space="0" w:color="auto"/>
              <w:bottom w:val="single" w:sz="4" w:space="0" w:color="auto"/>
              <w:right w:val="single" w:sz="4" w:space="0" w:color="auto"/>
            </w:tcBorders>
            <w:shd w:val="clear" w:color="auto" w:fill="auto"/>
            <w:noWrap/>
          </w:tcPr>
          <w:p w:rsidR="00331590" w:rsidRPr="000C09A8" w:rsidP="00326B70" w14:paraId="4A447D19" w14:textId="35DF1CF2">
            <w:pPr>
              <w:pStyle w:val="CTableTextAbt"/>
              <w:keepNext/>
              <w:keepLines/>
              <w:rPr>
                <w:rFonts w:cs="Arial"/>
              </w:rPr>
            </w:pPr>
            <w:r w:rsidRPr="00B116A1">
              <w:t>67,647</w:t>
            </w:r>
            <w:r w:rsidR="00114EAF">
              <w:t xml:space="preserve"> to 68,805</w:t>
            </w:r>
          </w:p>
        </w:tc>
        <w:tc>
          <w:tcPr>
            <w:tcW w:w="1550" w:type="dxa"/>
            <w:tcBorders>
              <w:top w:val="single" w:sz="4" w:space="0" w:color="auto"/>
              <w:left w:val="nil"/>
              <w:bottom w:val="single" w:sz="4" w:space="0" w:color="auto"/>
              <w:right w:val="single" w:sz="4" w:space="0" w:color="auto"/>
            </w:tcBorders>
            <w:shd w:val="clear" w:color="auto" w:fill="auto"/>
            <w:noWrap/>
          </w:tcPr>
          <w:p w:rsidR="00331590" w:rsidRPr="000C09A8" w:rsidP="00326B70" w14:paraId="40800A50" w14:textId="6DA299EA">
            <w:pPr>
              <w:pStyle w:val="CTableTextAbt"/>
              <w:keepNext/>
              <w:keepLines/>
              <w:rPr>
                <w:rFonts w:cs="Arial"/>
              </w:rPr>
            </w:pPr>
            <w:r w:rsidRPr="00B116A1">
              <w:t>96,687</w:t>
            </w:r>
            <w:r w:rsidR="00E96FA6">
              <w:t xml:space="preserve"> to </w:t>
            </w:r>
            <w:r w:rsidR="000C37F7">
              <w:t>97,</w:t>
            </w:r>
            <w:r w:rsidR="00D60B36">
              <w:t>545</w:t>
            </w:r>
          </w:p>
        </w:tc>
      </w:tr>
    </w:tbl>
    <w:p w:rsidR="003B717B" w:rsidRPr="005B772E" w:rsidP="00326B70" w14:paraId="45A39EED" w14:textId="77777777">
      <w:pPr>
        <w:pStyle w:val="BodyText"/>
        <w:keepNext/>
        <w:spacing w:after="0"/>
        <w:rPr>
          <w:rFonts w:cs="Arial"/>
          <w:szCs w:val="22"/>
        </w:rPr>
      </w:pPr>
    </w:p>
    <w:p w:rsidR="003B717B" w:rsidRPr="005B772E" w:rsidP="00326B70" w14:paraId="037A0DB4" w14:textId="5394380A">
      <w:pPr>
        <w:pStyle w:val="BodyText"/>
        <w:spacing w:after="0"/>
        <w:rPr>
          <w:rFonts w:cs="Arial"/>
          <w:szCs w:val="22"/>
        </w:rPr>
      </w:pPr>
      <w:r w:rsidRPr="005B772E">
        <w:rPr>
          <w:rFonts w:cs="Arial"/>
          <w:szCs w:val="22"/>
        </w:rPr>
        <w:t xml:space="preserve">Incremental activities associated with preparing and submitting a response include rule familiarization, </w:t>
      </w:r>
      <w:r w:rsidR="004D7F9E">
        <w:rPr>
          <w:rFonts w:cs="Arial"/>
          <w:szCs w:val="22"/>
        </w:rPr>
        <w:t xml:space="preserve">compliance determination, </w:t>
      </w:r>
      <w:r w:rsidRPr="005B772E">
        <w:rPr>
          <w:rFonts w:cs="Arial"/>
          <w:szCs w:val="22"/>
        </w:rPr>
        <w:t xml:space="preserve">form completion, </w:t>
      </w:r>
      <w:r w:rsidRPr="005B772E">
        <w:rPr>
          <w:rFonts w:eastAsia="Arial" w:cs="Arial"/>
          <w:szCs w:val="22"/>
        </w:rPr>
        <w:t>CBI claim substantiation, recordkeeping, and CDX registration, including e-signature</w:t>
      </w:r>
      <w:r w:rsidRPr="005B772E">
        <w:rPr>
          <w:rFonts w:cs="Arial"/>
          <w:szCs w:val="22"/>
        </w:rPr>
        <w:t>. General descriptions of these activities are as follows:</w:t>
      </w:r>
    </w:p>
    <w:p w:rsidR="003B717B" w:rsidRPr="005B772E" w:rsidP="00326B70" w14:paraId="7C6C5202" w14:textId="77777777">
      <w:pPr>
        <w:pStyle w:val="BodyText"/>
        <w:spacing w:after="0"/>
        <w:rPr>
          <w:rFonts w:cs="Arial"/>
          <w:szCs w:val="22"/>
        </w:rPr>
      </w:pPr>
    </w:p>
    <w:p w:rsidR="003B717B" w:rsidRPr="005A119E" w:rsidP="00326B70" w14:paraId="62930997" w14:textId="5541EF3C">
      <w:pPr>
        <w:pStyle w:val="ListBullet"/>
        <w:numPr>
          <w:ilvl w:val="0"/>
          <w:numId w:val="38"/>
        </w:numPr>
        <w:spacing w:after="120" w:line="240" w:lineRule="auto"/>
        <w:contextualSpacing w:val="0"/>
        <w:rPr>
          <w:rFonts w:ascii="Arial" w:hAnsi="Arial" w:eastAsiaTheme="minorEastAsia" w:cs="Arial"/>
          <w:sz w:val="24"/>
          <w:szCs w:val="28"/>
        </w:rPr>
      </w:pPr>
      <w:r w:rsidRPr="005B772E">
        <w:rPr>
          <w:rFonts w:ascii="Arial" w:hAnsi="Arial" w:cs="Arial"/>
          <w:b/>
          <w:bCs/>
          <w:sz w:val="24"/>
          <w:szCs w:val="22"/>
        </w:rPr>
        <w:t xml:space="preserve">Rule Familiarization: </w:t>
      </w:r>
      <w:r w:rsidRPr="005B772E">
        <w:rPr>
          <w:rFonts w:ascii="Arial" w:hAnsi="Arial" w:cs="Arial"/>
          <w:sz w:val="24"/>
          <w:szCs w:val="22"/>
        </w:rPr>
        <w:t xml:space="preserve">The rule </w:t>
      </w:r>
      <w:r w:rsidRPr="005B772E">
        <w:rPr>
          <w:rFonts w:ascii="Arial" w:eastAsia="Arial" w:hAnsi="Arial" w:cs="Arial"/>
          <w:sz w:val="24"/>
          <w:szCs w:val="28"/>
        </w:rPr>
        <w:t>requires reporting businesses and their staff to become familiar with the TSCA section 8(a) rule and its various requirements.</w:t>
      </w:r>
      <w:r w:rsidRPr="005B772E">
        <w:rPr>
          <w:rFonts w:ascii="Arial" w:hAnsi="Arial" w:cs="Arial"/>
          <w:sz w:val="24"/>
          <w:szCs w:val="22"/>
        </w:rPr>
        <w:t xml:space="preserve"> This activity entails reading the rule, understanding the reporting and administrative requirements, and determining what tasks are required in order to meet reporting requirements. </w:t>
      </w:r>
      <w:r w:rsidRPr="008B3413" w:rsidR="008B3413">
        <w:rPr>
          <w:rFonts w:ascii="Arial" w:hAnsi="Arial" w:cs="Arial"/>
          <w:sz w:val="24"/>
          <w:szCs w:val="22"/>
        </w:rPr>
        <w:t xml:space="preserve">EPA recognizes that companies have varying levels of knowledge about the chemical content of the products they purchase and may not immediately </w:t>
      </w:r>
      <w:r w:rsidRPr="008B3413" w:rsidR="008B3413">
        <w:rPr>
          <w:rFonts w:ascii="Arial" w:hAnsi="Arial" w:cs="Arial"/>
          <w:sz w:val="24"/>
          <w:szCs w:val="22"/>
        </w:rPr>
        <w:t>know</w:t>
      </w:r>
      <w:r w:rsidRPr="008B3413" w:rsidR="008B3413">
        <w:rPr>
          <w:rFonts w:ascii="Arial" w:hAnsi="Arial" w:cs="Arial"/>
          <w:sz w:val="24"/>
          <w:szCs w:val="22"/>
        </w:rPr>
        <w:t xml:space="preserve"> if they are subject to the rule. EPA anticipates that such companies will spend some time familiarizing themselves with the rule and then take steps to determine if they are subject to the rule’s requirements. Many of these companies will ultimately determine that they do not need to report. EPA assumes that companies that determine they must report will spend additional time familiarizing themselves with the forms and reporting process.</w:t>
      </w:r>
    </w:p>
    <w:p w:rsidR="009554E4" w:rsidRPr="00C52B2E" w:rsidP="00326B70" w14:paraId="2C6CDB50" w14:textId="145FFF1C">
      <w:pPr>
        <w:pStyle w:val="ListBullet"/>
        <w:numPr>
          <w:ilvl w:val="0"/>
          <w:numId w:val="38"/>
        </w:numPr>
        <w:spacing w:after="120" w:line="240" w:lineRule="auto"/>
        <w:contextualSpacing w:val="0"/>
        <w:rPr>
          <w:rFonts w:ascii="Arial" w:hAnsi="Arial" w:eastAsiaTheme="minorEastAsia" w:cs="Arial"/>
          <w:sz w:val="24"/>
          <w:szCs w:val="28"/>
        </w:rPr>
      </w:pPr>
      <w:r w:rsidRPr="005A119E">
        <w:rPr>
          <w:rFonts w:ascii="Arial" w:hAnsi="Arial" w:eastAsiaTheme="minorEastAsia" w:cs="Arial"/>
          <w:b/>
          <w:bCs/>
          <w:sz w:val="24"/>
          <w:szCs w:val="28"/>
        </w:rPr>
        <w:t>Compliance Determination:</w:t>
      </w:r>
      <w:r w:rsidRPr="00C52B2E">
        <w:rPr>
          <w:rFonts w:ascii="Arial" w:hAnsi="Arial" w:eastAsiaTheme="minorEastAsia" w:cs="Arial"/>
          <w:sz w:val="24"/>
          <w:szCs w:val="28"/>
        </w:rPr>
        <w:t xml:space="preserve"> EPA believes that firms purchasing products containing asbestos that has intentionally been added will generally be aware of that fact</w:t>
      </w:r>
      <w:r w:rsidR="00AA1FAF">
        <w:rPr>
          <w:rFonts w:ascii="Arial" w:hAnsi="Arial" w:eastAsiaTheme="minorEastAsia" w:cs="Arial"/>
          <w:sz w:val="24"/>
          <w:szCs w:val="28"/>
        </w:rPr>
        <w:t xml:space="preserve"> and will not need to spend time on compliance determination</w:t>
      </w:r>
      <w:r w:rsidRPr="00C52B2E">
        <w:rPr>
          <w:rFonts w:ascii="Arial" w:hAnsi="Arial" w:eastAsiaTheme="minorEastAsia" w:cs="Arial"/>
          <w:sz w:val="24"/>
          <w:szCs w:val="28"/>
        </w:rPr>
        <w:t>. This is not necessarily the case where asbestos may have been present as an impurity. There are a variety of steps that firms may choose to undertake if they believe that asbestos may possibly have been present as an impurity in the products they manufactured or processed. This may involve reviewing the products manufactured or processed by the firm during the time period covered by the rule and identifying the items that may have potentially contained asbestos as an impurity; identifying suppliers from whom the products were purchased; and asking identified suppliers whether asbestos is known to have been found in the articles or mixtures the firm purchased from the supplier.</w:t>
      </w:r>
    </w:p>
    <w:p w:rsidR="003B717B" w:rsidRPr="005B772E" w:rsidP="00326B70" w14:paraId="3DE3D13A" w14:textId="5D83BE0A">
      <w:pPr>
        <w:pStyle w:val="RefNumbers"/>
        <w:numPr>
          <w:ilvl w:val="0"/>
          <w:numId w:val="38"/>
        </w:numPr>
        <w:spacing w:after="120"/>
        <w:rPr>
          <w:rFonts w:ascii="Arial" w:hAnsi="Arial" w:cs="Arial"/>
          <w:b/>
          <w:bCs/>
          <w:sz w:val="24"/>
          <w:szCs w:val="28"/>
        </w:rPr>
      </w:pPr>
      <w:r w:rsidRPr="005B772E">
        <w:rPr>
          <w:rFonts w:ascii="Arial" w:hAnsi="Arial" w:cs="Arial"/>
          <w:b/>
          <w:bCs/>
          <w:sz w:val="24"/>
          <w:szCs w:val="22"/>
        </w:rPr>
        <w:t xml:space="preserve">Form Completion: </w:t>
      </w:r>
      <w:r w:rsidRPr="005B772E">
        <w:rPr>
          <w:rFonts w:ascii="Arial" w:hAnsi="Arial" w:cs="Arial"/>
          <w:sz w:val="24"/>
          <w:szCs w:val="22"/>
        </w:rPr>
        <w:t>The rule requires one-time reporting of certain information</w:t>
      </w:r>
      <w:r w:rsidR="006D7F33">
        <w:rPr>
          <w:rFonts w:ascii="Arial" w:hAnsi="Arial" w:cs="Arial"/>
          <w:sz w:val="24"/>
          <w:szCs w:val="22"/>
        </w:rPr>
        <w:t xml:space="preserve"> when it is available</w:t>
      </w:r>
      <w:r w:rsidRPr="005B772E">
        <w:rPr>
          <w:rFonts w:ascii="Arial" w:hAnsi="Arial" w:cs="Arial"/>
          <w:sz w:val="24"/>
          <w:szCs w:val="22"/>
        </w:rPr>
        <w:t xml:space="preserve">, including </w:t>
      </w:r>
      <w:r w:rsidR="00302E7E">
        <w:rPr>
          <w:rFonts w:ascii="Arial" w:hAnsi="Arial" w:cs="Arial"/>
          <w:sz w:val="24"/>
          <w:szCs w:val="22"/>
        </w:rPr>
        <w:t>quantity of asbestos</w:t>
      </w:r>
      <w:r w:rsidRPr="005B772E">
        <w:rPr>
          <w:rFonts w:ascii="Arial" w:hAnsi="Arial" w:cs="Arial"/>
          <w:sz w:val="24"/>
          <w:szCs w:val="22"/>
        </w:rPr>
        <w:t>, uses, and exposures.</w:t>
      </w:r>
    </w:p>
    <w:p w:rsidR="003B717B" w:rsidRPr="005B772E" w:rsidP="00326B70" w14:paraId="67DE8312" w14:textId="59008A2B">
      <w:pPr>
        <w:pStyle w:val="RefNumbers"/>
        <w:numPr>
          <w:ilvl w:val="0"/>
          <w:numId w:val="38"/>
        </w:numPr>
        <w:spacing w:after="120"/>
        <w:rPr>
          <w:rFonts w:ascii="Arial" w:hAnsi="Arial" w:eastAsiaTheme="minorEastAsia" w:cs="Arial"/>
          <w:b/>
          <w:bCs/>
          <w:sz w:val="24"/>
          <w:szCs w:val="28"/>
        </w:rPr>
      </w:pPr>
      <w:r w:rsidRPr="005B772E">
        <w:rPr>
          <w:rFonts w:ascii="Arial" w:hAnsi="Arial" w:cs="Arial"/>
          <w:b/>
          <w:bCs/>
          <w:sz w:val="24"/>
          <w:szCs w:val="22"/>
        </w:rPr>
        <w:t xml:space="preserve">CBI Claim Substantiation: </w:t>
      </w:r>
      <w:r w:rsidRPr="005B772E">
        <w:rPr>
          <w:rFonts w:ascii="Arial" w:hAnsi="Arial" w:cs="Arial"/>
          <w:sz w:val="24"/>
          <w:szCs w:val="22"/>
        </w:rPr>
        <w:t xml:space="preserve">A submitter </w:t>
      </w:r>
      <w:r w:rsidR="00495AA5">
        <w:rPr>
          <w:rFonts w:ascii="Arial" w:hAnsi="Arial" w:cs="Arial"/>
          <w:sz w:val="24"/>
          <w:szCs w:val="22"/>
        </w:rPr>
        <w:t xml:space="preserve">will </w:t>
      </w:r>
      <w:r w:rsidRPr="005B772E">
        <w:rPr>
          <w:rFonts w:ascii="Arial" w:hAnsi="Arial" w:cs="Arial"/>
          <w:sz w:val="24"/>
          <w:szCs w:val="22"/>
        </w:rPr>
        <w:t xml:space="preserve">be able to assert a claim of CBI and, if asserted, </w:t>
      </w:r>
      <w:r w:rsidR="00C22B95">
        <w:rPr>
          <w:rFonts w:ascii="Arial" w:hAnsi="Arial" w:cs="Arial"/>
          <w:sz w:val="24"/>
          <w:szCs w:val="22"/>
        </w:rPr>
        <w:t xml:space="preserve">will </w:t>
      </w:r>
      <w:r w:rsidRPr="005B772E">
        <w:rPr>
          <w:rFonts w:ascii="Arial" w:hAnsi="Arial" w:cs="Arial"/>
          <w:sz w:val="24"/>
          <w:szCs w:val="22"/>
        </w:rPr>
        <w:t xml:space="preserve">need to substantiate a claim of CBI for most of the information reported under this rule. CBI claims for </w:t>
      </w:r>
      <w:r w:rsidR="00700FC7">
        <w:rPr>
          <w:rFonts w:ascii="Arial" w:hAnsi="Arial" w:cs="Arial"/>
          <w:sz w:val="24"/>
          <w:szCs w:val="22"/>
        </w:rPr>
        <w:t>quantity of asbestos</w:t>
      </w:r>
      <w:r w:rsidRPr="005B772E">
        <w:rPr>
          <w:rFonts w:ascii="Arial" w:hAnsi="Arial" w:cs="Arial"/>
          <w:sz w:val="24"/>
          <w:szCs w:val="22"/>
        </w:rPr>
        <w:t xml:space="preserve"> information </w:t>
      </w:r>
      <w:r w:rsidR="00A4103A">
        <w:rPr>
          <w:rFonts w:ascii="Arial" w:hAnsi="Arial" w:cs="Arial"/>
          <w:sz w:val="24"/>
          <w:szCs w:val="22"/>
        </w:rPr>
        <w:t xml:space="preserve">will </w:t>
      </w:r>
      <w:r w:rsidRPr="005B772E">
        <w:rPr>
          <w:rFonts w:ascii="Arial" w:hAnsi="Arial" w:cs="Arial"/>
          <w:sz w:val="24"/>
          <w:szCs w:val="22"/>
        </w:rPr>
        <w:t xml:space="preserve">not require substantiation at the time of submission. Certain data elements cannot be claimed as CBI; these include chemical and bulk material identities, </w:t>
      </w:r>
      <w:r w:rsidR="00FC1ADD">
        <w:rPr>
          <w:rFonts w:ascii="Arial" w:hAnsi="Arial" w:cs="Arial"/>
          <w:sz w:val="24"/>
          <w:szCs w:val="22"/>
        </w:rPr>
        <w:t xml:space="preserve">and </w:t>
      </w:r>
      <w:r w:rsidRPr="005B772E">
        <w:rPr>
          <w:rFonts w:ascii="Arial" w:hAnsi="Arial" w:cs="Arial"/>
          <w:sz w:val="24"/>
          <w:szCs w:val="22"/>
        </w:rPr>
        <w:t>responses that are blank or “not known or reasonably ascertainable</w:t>
      </w:r>
      <w:r w:rsidR="008E0644">
        <w:rPr>
          <w:rFonts w:ascii="Arial" w:hAnsi="Arial" w:cs="Arial"/>
          <w:sz w:val="24"/>
          <w:szCs w:val="22"/>
        </w:rPr>
        <w:t>.</w:t>
      </w:r>
      <w:r w:rsidRPr="005B772E">
        <w:rPr>
          <w:rFonts w:ascii="Arial" w:hAnsi="Arial" w:cs="Arial"/>
          <w:sz w:val="24"/>
          <w:szCs w:val="22"/>
        </w:rPr>
        <w:t xml:space="preserve">” </w:t>
      </w:r>
    </w:p>
    <w:p w:rsidR="003B717B" w:rsidRPr="005B772E" w:rsidP="00326B70" w14:paraId="5E57440C" w14:textId="04C16CDD">
      <w:pPr>
        <w:pStyle w:val="RefNumbers"/>
        <w:numPr>
          <w:ilvl w:val="0"/>
          <w:numId w:val="38"/>
        </w:numPr>
        <w:spacing w:after="120"/>
        <w:rPr>
          <w:rFonts w:ascii="Arial" w:hAnsi="Arial" w:eastAsiaTheme="minorEastAsia" w:cs="Arial"/>
          <w:b/>
          <w:bCs/>
          <w:sz w:val="24"/>
          <w:szCs w:val="28"/>
        </w:rPr>
      </w:pPr>
      <w:r w:rsidRPr="005B772E">
        <w:rPr>
          <w:rFonts w:ascii="Arial" w:hAnsi="Arial" w:cs="Arial"/>
          <w:b/>
          <w:bCs/>
          <w:sz w:val="24"/>
          <w:szCs w:val="22"/>
        </w:rPr>
        <w:t xml:space="preserve">Recordkeeping: </w:t>
      </w:r>
      <w:r w:rsidRPr="005B772E">
        <w:rPr>
          <w:rFonts w:ascii="Arial" w:hAnsi="Arial" w:cs="Arial"/>
          <w:sz w:val="24"/>
          <w:szCs w:val="22"/>
        </w:rPr>
        <w:t>The rule requires respondents to retain documentation of information contained in their reports for five years after the date of submission.</w:t>
      </w:r>
    </w:p>
    <w:p w:rsidR="003B717B" w:rsidRPr="005B772E" w:rsidP="00326B70" w14:paraId="54DA5986" w14:textId="0B7A1A94">
      <w:pPr>
        <w:pStyle w:val="RefNumbers"/>
        <w:numPr>
          <w:ilvl w:val="0"/>
          <w:numId w:val="38"/>
        </w:numPr>
        <w:spacing w:after="0"/>
        <w:rPr>
          <w:rFonts w:ascii="Arial" w:hAnsi="Arial" w:cs="Arial"/>
          <w:b/>
          <w:bCs/>
          <w:sz w:val="24"/>
          <w:szCs w:val="28"/>
        </w:rPr>
      </w:pPr>
      <w:r w:rsidRPr="005B772E">
        <w:rPr>
          <w:rFonts w:ascii="Arial" w:hAnsi="Arial" w:cs="Arial"/>
          <w:b/>
          <w:bCs/>
          <w:sz w:val="24"/>
          <w:szCs w:val="22"/>
        </w:rPr>
        <w:t>CDX Registration and Electronic Signature</w:t>
      </w:r>
      <w:r w:rsidRPr="005B772E">
        <w:rPr>
          <w:rFonts w:ascii="Arial" w:hAnsi="Arial" w:cs="Arial"/>
          <w:sz w:val="24"/>
          <w:szCs w:val="22"/>
        </w:rPr>
        <w:t xml:space="preserve">: Respondents that submit a report will need to register with CDX in order to comply with electronic reporting requirements. This activity occurs only once for each submitter. Some submitters may have already registered to use the e-TSCA web reporting tool in CDX (and obtained an accompanying electronic signature) in order to comply with mandatory electronic reporting requirements of other EPA rules. Those submitters will not need to repeat the CDX registration and e-signature process in order to file their reports. While there may be some overlap in the specific individuals that have already completed CDX activities, EPA is conservatively </w:t>
      </w:r>
      <w:r w:rsidRPr="005B772E">
        <w:rPr>
          <w:rFonts w:ascii="Arial" w:hAnsi="Arial" w:cs="Arial"/>
          <w:sz w:val="24"/>
          <w:szCs w:val="22"/>
        </w:rPr>
        <w:t>assuming that all firms that submit a report under this rule will need to register with CDX.</w:t>
      </w:r>
    </w:p>
    <w:p w:rsidR="003B717B" w:rsidRPr="005B772E" w:rsidP="00326B70" w14:paraId="57A9495D" w14:textId="77777777">
      <w:pPr>
        <w:pStyle w:val="BodyText"/>
        <w:spacing w:after="0"/>
        <w:rPr>
          <w:rFonts w:cs="Arial"/>
          <w:szCs w:val="22"/>
        </w:rPr>
      </w:pPr>
    </w:p>
    <w:p w:rsidR="003B717B" w:rsidRPr="005B772E" w:rsidP="00326B70" w14:paraId="14704CE7" w14:textId="665A4D65">
      <w:pPr>
        <w:spacing w:after="0" w:line="240" w:lineRule="auto"/>
        <w:rPr>
          <w:rFonts w:cs="Arial"/>
        </w:rPr>
      </w:pPr>
      <w:r w:rsidRPr="005B772E">
        <w:rPr>
          <w:rFonts w:cs="Arial"/>
        </w:rPr>
        <w:t xml:space="preserve">The rule contains two different reporting forms, Form A and Form B. Form B is to be used by entities that are able to determine the </w:t>
      </w:r>
      <w:r w:rsidR="001E1364">
        <w:rPr>
          <w:rFonts w:cs="Arial"/>
        </w:rPr>
        <w:t>quantity</w:t>
      </w:r>
      <w:r w:rsidRPr="005B772E">
        <w:rPr>
          <w:rFonts w:cs="Arial"/>
        </w:rPr>
        <w:t xml:space="preserve"> of asbestos. Form A is to be used by entities that are aware of the presence of asbestos in their products but are unable to quantify the amount </w:t>
      </w:r>
      <w:r w:rsidR="00B0006D">
        <w:rPr>
          <w:rFonts w:cs="Arial"/>
        </w:rPr>
        <w:t>of asbestos</w:t>
      </w:r>
      <w:r w:rsidRPr="005B772E">
        <w:rPr>
          <w:rFonts w:cs="Arial"/>
        </w:rPr>
        <w:t>. The data elements reportable on Form A are a subset of those on Form B.</w:t>
      </w:r>
    </w:p>
    <w:p w:rsidR="003B717B" w:rsidRPr="005B772E" w:rsidP="00C724C4" w14:paraId="334304C6" w14:textId="77777777">
      <w:pPr>
        <w:spacing w:after="0" w:line="240" w:lineRule="auto"/>
        <w:rPr>
          <w:rFonts w:cs="Arial"/>
        </w:rPr>
      </w:pPr>
    </w:p>
    <w:p w:rsidR="003B717B" w:rsidRPr="005B772E" w:rsidP="00326B70" w14:paraId="2D1AE504" w14:textId="77777777">
      <w:pPr>
        <w:pStyle w:val="BodyText"/>
        <w:spacing w:after="0"/>
        <w:rPr>
          <w:rFonts w:cs="Arial"/>
          <w:szCs w:val="22"/>
        </w:rPr>
      </w:pPr>
      <w:r w:rsidRPr="005B772E">
        <w:rPr>
          <w:rFonts w:cs="Arial"/>
          <w:szCs w:val="22"/>
        </w:rPr>
        <w:t>The information reportable on Form B includes the following:</w:t>
      </w:r>
    </w:p>
    <w:p w:rsidR="003B717B" w:rsidRPr="005B772E" w:rsidP="00326B70" w14:paraId="7BD0900F" w14:textId="77777777">
      <w:pPr>
        <w:pStyle w:val="BodyText"/>
        <w:spacing w:after="0"/>
        <w:rPr>
          <w:rFonts w:cs="Arial"/>
          <w:szCs w:val="22"/>
        </w:rPr>
      </w:pPr>
    </w:p>
    <w:p w:rsidR="003B717B" w:rsidRPr="005B772E" w:rsidP="00326B70" w14:paraId="0B3385D7"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Respondent </w:t>
      </w:r>
      <w:r w:rsidRPr="005B772E">
        <w:rPr>
          <w:rFonts w:cs="Arial"/>
          <w:szCs w:val="22"/>
        </w:rPr>
        <w:t>identification;</w:t>
      </w:r>
    </w:p>
    <w:p w:rsidR="003B717B" w:rsidRPr="005B772E" w:rsidP="00326B70" w14:paraId="52A23C48" w14:textId="77777777">
      <w:pPr>
        <w:pStyle w:val="BodyText"/>
        <w:widowControl/>
        <w:numPr>
          <w:ilvl w:val="0"/>
          <w:numId w:val="40"/>
        </w:numPr>
        <w:autoSpaceDE/>
        <w:autoSpaceDN/>
        <w:adjustRightInd/>
        <w:spacing w:after="0"/>
        <w:ind w:left="576"/>
        <w:rPr>
          <w:rFonts w:cs="Arial"/>
          <w:szCs w:val="22"/>
        </w:rPr>
      </w:pPr>
      <w:r w:rsidRPr="005B772E">
        <w:rPr>
          <w:rFonts w:cs="Arial"/>
          <w:szCs w:val="22"/>
        </w:rPr>
        <w:t>Type of activity (mining, milling, primary processing, secondary processing, importing</w:t>
      </w:r>
      <w:r w:rsidRPr="005B772E">
        <w:rPr>
          <w:rFonts w:cs="Arial"/>
          <w:szCs w:val="22"/>
        </w:rPr>
        <w:t>);</w:t>
      </w:r>
    </w:p>
    <w:p w:rsidR="003B717B" w:rsidRPr="005B772E" w:rsidP="00326B70" w14:paraId="34EF7252"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Asbestos </w:t>
      </w:r>
      <w:r w:rsidRPr="005B772E">
        <w:rPr>
          <w:rFonts w:cs="Arial"/>
          <w:szCs w:val="22"/>
        </w:rPr>
        <w:t>type;</w:t>
      </w:r>
    </w:p>
    <w:p w:rsidR="003B717B" w:rsidRPr="005B772E" w:rsidP="00326B70" w14:paraId="6101774C" w14:textId="77777777">
      <w:pPr>
        <w:pStyle w:val="BodyText"/>
        <w:widowControl/>
        <w:numPr>
          <w:ilvl w:val="0"/>
          <w:numId w:val="40"/>
        </w:numPr>
        <w:autoSpaceDE/>
        <w:autoSpaceDN/>
        <w:adjustRightInd/>
        <w:spacing w:after="0"/>
        <w:ind w:left="576"/>
        <w:rPr>
          <w:rFonts w:cs="Arial"/>
          <w:szCs w:val="22"/>
        </w:rPr>
      </w:pPr>
      <w:r w:rsidRPr="005B772E">
        <w:rPr>
          <w:rFonts w:cs="Arial"/>
          <w:szCs w:val="22"/>
        </w:rPr>
        <w:t>Type of material containing asbestos (where asbestos is present as an impurity</w:t>
      </w:r>
      <w:r w:rsidRPr="005B772E">
        <w:rPr>
          <w:rFonts w:cs="Arial"/>
          <w:szCs w:val="22"/>
        </w:rPr>
        <w:t>);</w:t>
      </w:r>
    </w:p>
    <w:p w:rsidR="003B717B" w:rsidRPr="005B772E" w:rsidP="00326B70" w14:paraId="104A91B4"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Quantity of asbestos and/or products containing </w:t>
      </w:r>
      <w:r w:rsidRPr="005B772E">
        <w:rPr>
          <w:rFonts w:cs="Arial"/>
          <w:szCs w:val="22"/>
        </w:rPr>
        <w:t>asbestos;</w:t>
      </w:r>
      <w:r w:rsidRPr="005B772E">
        <w:rPr>
          <w:rFonts w:cs="Arial"/>
          <w:szCs w:val="22"/>
        </w:rPr>
        <w:t xml:space="preserve"> </w:t>
      </w:r>
    </w:p>
    <w:p w:rsidR="003B717B" w:rsidRPr="005B772E" w:rsidP="00326B70" w14:paraId="17C459DF" w14:textId="77777777">
      <w:pPr>
        <w:pStyle w:val="BodyText"/>
        <w:widowControl/>
        <w:numPr>
          <w:ilvl w:val="0"/>
          <w:numId w:val="40"/>
        </w:numPr>
        <w:autoSpaceDE/>
        <w:autoSpaceDN/>
        <w:adjustRightInd/>
        <w:spacing w:after="0"/>
        <w:ind w:left="576"/>
        <w:rPr>
          <w:rFonts w:cs="Arial"/>
          <w:szCs w:val="22"/>
        </w:rPr>
      </w:pPr>
      <w:r w:rsidRPr="005B772E">
        <w:rPr>
          <w:rFonts w:cs="Arial"/>
          <w:szCs w:val="22"/>
        </w:rPr>
        <w:t xml:space="preserve">Disposition of </w:t>
      </w:r>
      <w:r w:rsidRPr="005B772E">
        <w:rPr>
          <w:rFonts w:cs="Arial"/>
          <w:szCs w:val="22"/>
        </w:rPr>
        <w:t>materials;</w:t>
      </w:r>
    </w:p>
    <w:p w:rsidR="003B717B" w:rsidRPr="005B772E" w:rsidP="00326B70" w14:paraId="62B86B52" w14:textId="77777777">
      <w:pPr>
        <w:pStyle w:val="BodyText"/>
        <w:widowControl/>
        <w:numPr>
          <w:ilvl w:val="0"/>
          <w:numId w:val="40"/>
        </w:numPr>
        <w:autoSpaceDE/>
        <w:autoSpaceDN/>
        <w:adjustRightInd/>
        <w:spacing w:after="0"/>
        <w:ind w:left="576"/>
        <w:rPr>
          <w:rFonts w:cs="Arial"/>
          <w:szCs w:val="22"/>
        </w:rPr>
      </w:pPr>
      <w:r w:rsidRPr="005B772E">
        <w:rPr>
          <w:rFonts w:cs="Arial"/>
          <w:szCs w:val="22"/>
        </w:rPr>
        <w:t>Testing information (where asbestos is present as an impurity); and</w:t>
      </w:r>
    </w:p>
    <w:p w:rsidR="003B717B" w:rsidRPr="005B772E" w:rsidP="00326B70" w14:paraId="57FA022D" w14:textId="77777777">
      <w:pPr>
        <w:pStyle w:val="BodyText"/>
        <w:widowControl/>
        <w:numPr>
          <w:ilvl w:val="0"/>
          <w:numId w:val="40"/>
        </w:numPr>
        <w:autoSpaceDE/>
        <w:autoSpaceDN/>
        <w:adjustRightInd/>
        <w:spacing w:after="0"/>
        <w:ind w:left="576"/>
        <w:rPr>
          <w:rFonts w:cs="Arial"/>
          <w:szCs w:val="22"/>
        </w:rPr>
      </w:pPr>
      <w:r w:rsidRPr="005B772E">
        <w:rPr>
          <w:rFonts w:cs="Arial"/>
          <w:szCs w:val="22"/>
        </w:rPr>
        <w:t>Employee and exposure information.</w:t>
      </w:r>
    </w:p>
    <w:p w:rsidR="003B717B" w:rsidRPr="005B772E" w:rsidP="00326B70" w14:paraId="2D326CF0" w14:textId="77777777">
      <w:pPr>
        <w:pStyle w:val="BodyText"/>
        <w:spacing w:after="0"/>
        <w:rPr>
          <w:rFonts w:cs="Arial"/>
          <w:szCs w:val="22"/>
        </w:rPr>
      </w:pPr>
    </w:p>
    <w:p w:rsidR="003B717B" w:rsidRPr="005B772E" w:rsidP="00326B70" w14:paraId="0289FEF2" w14:textId="4E0863E7">
      <w:pPr>
        <w:pStyle w:val="BodyText"/>
        <w:spacing w:after="0"/>
        <w:rPr>
          <w:rFonts w:cs="Arial"/>
          <w:szCs w:val="22"/>
        </w:rPr>
      </w:pPr>
      <w:r w:rsidRPr="005B772E">
        <w:rPr>
          <w:rFonts w:cs="Arial"/>
          <w:szCs w:val="22"/>
        </w:rPr>
        <w:t>The rule involves activities that may require efforts by clerical, professional/technical, managerial, and legal staff. Wage rates and fringe benefits for clerical, professional/technical, managerial, and attorney labor are calculated using the U.S. Bureau of Labor Statistics’ (BLS) Employer Costs for Employee Compensation (ECEC) historical data for December 202</w:t>
      </w:r>
      <w:r w:rsidR="00552CD2">
        <w:rPr>
          <w:rFonts w:cs="Arial"/>
          <w:szCs w:val="22"/>
        </w:rPr>
        <w:t>1</w:t>
      </w:r>
      <w:r w:rsidRPr="005B772E">
        <w:rPr>
          <w:rFonts w:cs="Arial"/>
          <w:szCs w:val="22"/>
        </w:rPr>
        <w:t xml:space="preserve">. The industry wage rate for attorney labor is derived from the National Industry-Specific Occupational Employment and Wage Estimates. </w:t>
      </w:r>
      <w:r w:rsidRPr="005B772E">
        <w:rPr>
          <w:rFonts w:cs="Arial"/>
          <w:szCs w:val="24"/>
        </w:rPr>
        <w:t xml:space="preserve">Overhead costs are assumed to equal 20% of the sum of wages plus fringe benefits. </w:t>
      </w:r>
      <w:r w:rsidRPr="00A82D4D" w:rsidR="00A82D4D">
        <w:rPr>
          <w:rFonts w:cs="Arial"/>
          <w:szCs w:val="22"/>
        </w:rPr>
        <w:fldChar w:fldCharType="begin"/>
      </w:r>
      <w:r w:rsidRPr="00A82D4D" w:rsidR="00A82D4D">
        <w:rPr>
          <w:rFonts w:cs="Arial"/>
          <w:szCs w:val="24"/>
        </w:rPr>
        <w:instrText xml:space="preserve"> REF _Ref133342821 </w:instrText>
      </w:r>
      <w:r w:rsidRPr="00B42AE8" w:rsidR="00A82D4D">
        <w:rPr>
          <w:rFonts w:cs="Arial"/>
          <w:szCs w:val="24"/>
        </w:rPr>
        <w:instrText xml:space="preserve"> \* MERGEFORMAT </w:instrText>
      </w:r>
      <w:r w:rsidRPr="00A82D4D" w:rsidR="00A82D4D">
        <w:rPr>
          <w:rFonts w:cs="Arial"/>
          <w:szCs w:val="22"/>
        </w:rPr>
        <w:fldChar w:fldCharType="separate"/>
      </w:r>
      <w:r w:rsidRPr="009F0705" w:rsidR="009F0705">
        <w:rPr>
          <w:rFonts w:cs="Arial"/>
        </w:rPr>
        <w:t xml:space="preserve">Table </w:t>
      </w:r>
      <w:r w:rsidRPr="009F0705" w:rsidR="009F0705">
        <w:rPr>
          <w:rFonts w:cs="Arial"/>
          <w:noProof/>
        </w:rPr>
        <w:t>4</w:t>
      </w:r>
      <w:r w:rsidRPr="00A82D4D" w:rsidR="00A82D4D">
        <w:rPr>
          <w:rFonts w:cs="Arial"/>
          <w:szCs w:val="22"/>
        </w:rPr>
        <w:fldChar w:fldCharType="end"/>
      </w:r>
      <w:r w:rsidR="00A82D4D">
        <w:rPr>
          <w:rFonts w:cs="Arial"/>
          <w:szCs w:val="22"/>
        </w:rPr>
        <w:t xml:space="preserve"> </w:t>
      </w:r>
      <w:r w:rsidRPr="005B772E">
        <w:rPr>
          <w:rFonts w:cs="Arial"/>
          <w:szCs w:val="24"/>
        </w:rPr>
        <w:t>shows the estimated wage rates for each labor category:</w:t>
      </w:r>
    </w:p>
    <w:p w:rsidR="003B717B" w:rsidRPr="005B772E" w:rsidP="00326B70" w14:paraId="03062F88" w14:textId="77777777">
      <w:pPr>
        <w:pStyle w:val="Caption"/>
        <w:spacing w:after="0"/>
        <w:rPr>
          <w:sz w:val="22"/>
          <w:szCs w:val="24"/>
        </w:rPr>
      </w:pPr>
    </w:p>
    <w:tbl>
      <w:tblPr>
        <w:tblStyle w:val="TableGrid"/>
        <w:tblW w:w="9359" w:type="dxa"/>
        <w:jc w:val="center"/>
        <w:tblLayout w:type="fixed"/>
        <w:tblLook w:val="04A0"/>
      </w:tblPr>
      <w:tblGrid>
        <w:gridCol w:w="1337"/>
        <w:gridCol w:w="1337"/>
        <w:gridCol w:w="1337"/>
        <w:gridCol w:w="1564"/>
        <w:gridCol w:w="1110"/>
        <w:gridCol w:w="1337"/>
        <w:gridCol w:w="1337"/>
      </w:tblGrid>
      <w:tr w14:paraId="61C7259D" w14:textId="77777777" w:rsidTr="0029204D">
        <w:tblPrEx>
          <w:tblW w:w="9359" w:type="dxa"/>
          <w:jc w:val="center"/>
          <w:tblLayout w:type="fixed"/>
          <w:tblLook w:val="04A0"/>
        </w:tblPrEx>
        <w:trPr>
          <w:jc w:val="center"/>
        </w:trPr>
        <w:tc>
          <w:tcPr>
            <w:tcW w:w="9359" w:type="dxa"/>
            <w:gridSpan w:val="7"/>
            <w:tcBorders>
              <w:top w:val="nil"/>
              <w:left w:val="nil"/>
              <w:bottom w:val="single" w:sz="4" w:space="0" w:color="auto"/>
              <w:right w:val="nil"/>
            </w:tcBorders>
            <w:shd w:val="clear" w:color="auto" w:fill="auto"/>
          </w:tcPr>
          <w:p w:rsidR="003B717B" w:rsidRPr="00D07AA0" w:rsidP="00C724C4" w14:paraId="1F5A2EEE" w14:textId="54CBA0B0">
            <w:pPr>
              <w:pStyle w:val="TableTitle"/>
              <w:spacing w:line="240" w:lineRule="auto"/>
              <w:rPr>
                <w:rFonts w:ascii="Arial" w:eastAsia="Arial Narrow" w:hAnsi="Arial" w:cs="Arial"/>
                <w:b/>
                <w:bCs/>
                <w:color w:val="FFFFFF" w:themeColor="background1"/>
              </w:rPr>
            </w:pPr>
            <w:bookmarkStart w:id="10" w:name="_Ref133342821"/>
            <w:bookmarkStart w:id="11" w:name="_Ref93064660"/>
            <w:bookmarkStart w:id="12" w:name="_Toc90915374"/>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4</w:t>
            </w:r>
            <w:r w:rsidRPr="00DE66D8">
              <w:rPr>
                <w:rFonts w:cs="Arial"/>
                <w:b/>
              </w:rPr>
              <w:fldChar w:fldCharType="end"/>
            </w:r>
            <w:bookmarkEnd w:id="10"/>
            <w:r w:rsidRPr="00DE66D8">
              <w:rPr>
                <w:rFonts w:cs="Arial"/>
                <w:b/>
              </w:rPr>
              <w:t>:</w:t>
            </w:r>
            <w:r w:rsidRPr="00C52B2E">
              <w:rPr>
                <w:rFonts w:cs="Arial"/>
                <w:b/>
              </w:rPr>
              <w:t xml:space="preserve"> </w:t>
            </w:r>
            <w:bookmarkEnd w:id="11"/>
            <w:r w:rsidRPr="00D07AA0">
              <w:rPr>
                <w:rFonts w:ascii="Arial" w:hAnsi="Arial" w:cs="Arial"/>
                <w:b/>
                <w:bCs/>
              </w:rPr>
              <w:t>Loaded Industry Wage Rates (202</w:t>
            </w:r>
            <w:r w:rsidR="000D5B2A">
              <w:rPr>
                <w:rFonts w:ascii="Arial" w:hAnsi="Arial" w:cs="Arial"/>
                <w:b/>
                <w:bCs/>
              </w:rPr>
              <w:t>1</w:t>
            </w:r>
            <w:r w:rsidRPr="00D07AA0">
              <w:rPr>
                <w:rFonts w:ascii="Arial" w:hAnsi="Arial" w:cs="Arial"/>
                <w:b/>
                <w:bCs/>
              </w:rPr>
              <w:t>$)</w:t>
            </w:r>
            <w:bookmarkEnd w:id="12"/>
          </w:p>
        </w:tc>
      </w:tr>
      <w:tr w14:paraId="1002A40B" w14:textId="77777777" w:rsidTr="0029204D">
        <w:tblPrEx>
          <w:tblW w:w="9359" w:type="dxa"/>
          <w:jc w:val="center"/>
          <w:tblLayout w:type="fixed"/>
          <w:tblLook w:val="04A0"/>
        </w:tblPrEx>
        <w:trPr>
          <w:jc w:val="center"/>
        </w:trPr>
        <w:tc>
          <w:tcPr>
            <w:tcW w:w="1337" w:type="dxa"/>
            <w:tcBorders>
              <w:top w:val="single" w:sz="4" w:space="0" w:color="auto"/>
            </w:tcBorders>
            <w:shd w:val="clear" w:color="auto" w:fill="auto"/>
          </w:tcPr>
          <w:p w:rsidR="003B717B" w:rsidRPr="000C09A8" w:rsidP="00326B70" w14:paraId="2FFAE355" w14:textId="77777777">
            <w:pPr>
              <w:pStyle w:val="TableSource"/>
              <w:keepNext/>
              <w:keepLines/>
              <w:spacing w:before="0" w:after="0"/>
              <w:jc w:val="center"/>
              <w:rPr>
                <w:rFonts w:eastAsia="Arial Narrow"/>
                <w:b/>
                <w:bCs/>
                <w:sz w:val="20"/>
              </w:rPr>
            </w:pPr>
            <w:r w:rsidRPr="000C09A8">
              <w:rPr>
                <w:rFonts w:eastAsia="Arial Narrow"/>
                <w:b/>
                <w:bCs/>
                <w:sz w:val="20"/>
              </w:rPr>
              <w:t>Labor Category</w:t>
            </w:r>
          </w:p>
        </w:tc>
        <w:tc>
          <w:tcPr>
            <w:tcW w:w="1337" w:type="dxa"/>
            <w:tcBorders>
              <w:top w:val="single" w:sz="4" w:space="0" w:color="auto"/>
            </w:tcBorders>
            <w:shd w:val="clear" w:color="auto" w:fill="auto"/>
          </w:tcPr>
          <w:p w:rsidR="003B717B" w:rsidRPr="000C09A8" w:rsidP="00C724C4" w14:paraId="46F011EA" w14:textId="77777777">
            <w:pPr>
              <w:pStyle w:val="TableSource"/>
              <w:keepNext/>
              <w:keepLines/>
              <w:spacing w:before="0" w:after="0"/>
              <w:jc w:val="center"/>
              <w:rPr>
                <w:rFonts w:eastAsia="Arial Narrow"/>
                <w:b/>
                <w:bCs/>
                <w:sz w:val="20"/>
                <w:vertAlign w:val="superscript"/>
              </w:rPr>
            </w:pPr>
            <w:r w:rsidRPr="000C09A8">
              <w:rPr>
                <w:rFonts w:eastAsia="Arial Narrow"/>
                <w:b/>
                <w:bCs/>
                <w:sz w:val="20"/>
              </w:rPr>
              <w:t>Wage</w:t>
            </w:r>
          </w:p>
        </w:tc>
        <w:tc>
          <w:tcPr>
            <w:tcW w:w="1337" w:type="dxa"/>
            <w:tcBorders>
              <w:top w:val="single" w:sz="4" w:space="0" w:color="auto"/>
            </w:tcBorders>
            <w:shd w:val="clear" w:color="auto" w:fill="auto"/>
          </w:tcPr>
          <w:p w:rsidR="003B717B" w:rsidRPr="000C09A8" w:rsidP="00C724C4" w14:paraId="02EC1647" w14:textId="77777777">
            <w:pPr>
              <w:pStyle w:val="TableSource"/>
              <w:keepNext/>
              <w:keepLines/>
              <w:spacing w:before="0" w:after="0"/>
              <w:jc w:val="center"/>
              <w:rPr>
                <w:rFonts w:eastAsia="Arial Narrow"/>
                <w:b/>
                <w:bCs/>
                <w:sz w:val="20"/>
                <w:vertAlign w:val="superscript"/>
              </w:rPr>
            </w:pPr>
            <w:r w:rsidRPr="000C09A8">
              <w:rPr>
                <w:rFonts w:eastAsia="Arial Narrow"/>
                <w:b/>
                <w:bCs/>
                <w:sz w:val="20"/>
              </w:rPr>
              <w:t>Fringe Benefit</w:t>
            </w:r>
          </w:p>
        </w:tc>
        <w:tc>
          <w:tcPr>
            <w:tcW w:w="1564" w:type="dxa"/>
            <w:tcBorders>
              <w:top w:val="single" w:sz="4" w:space="0" w:color="auto"/>
            </w:tcBorders>
            <w:shd w:val="clear" w:color="auto" w:fill="auto"/>
          </w:tcPr>
          <w:p w:rsidR="003B717B" w:rsidRPr="000C09A8" w:rsidP="00C724C4" w14:paraId="361F5438" w14:textId="77777777">
            <w:pPr>
              <w:pStyle w:val="TableSource"/>
              <w:keepNext/>
              <w:keepLines/>
              <w:spacing w:before="0" w:after="0"/>
              <w:jc w:val="center"/>
              <w:rPr>
                <w:rFonts w:eastAsia="Arial Narrow"/>
                <w:b/>
                <w:bCs/>
                <w:sz w:val="20"/>
              </w:rPr>
            </w:pPr>
            <w:r w:rsidRPr="000C09A8">
              <w:rPr>
                <w:rFonts w:eastAsia="Arial Narrow"/>
                <w:b/>
                <w:bCs/>
                <w:sz w:val="20"/>
              </w:rPr>
              <w:t>Total Compensation</w:t>
            </w:r>
          </w:p>
        </w:tc>
        <w:tc>
          <w:tcPr>
            <w:tcW w:w="1110" w:type="dxa"/>
            <w:tcBorders>
              <w:top w:val="single" w:sz="4" w:space="0" w:color="auto"/>
            </w:tcBorders>
            <w:shd w:val="clear" w:color="auto" w:fill="auto"/>
          </w:tcPr>
          <w:p w:rsidR="003B717B" w:rsidRPr="000C09A8" w:rsidP="00C724C4" w14:paraId="6AEECB8D" w14:textId="77777777">
            <w:pPr>
              <w:pStyle w:val="TableSource"/>
              <w:keepNext/>
              <w:keepLines/>
              <w:spacing w:before="0" w:after="0"/>
              <w:jc w:val="center"/>
              <w:rPr>
                <w:rFonts w:eastAsia="Arial Narrow"/>
                <w:b/>
                <w:bCs/>
                <w:sz w:val="20"/>
                <w:vertAlign w:val="superscript"/>
              </w:rPr>
            </w:pPr>
            <w:r w:rsidRPr="000C09A8">
              <w:rPr>
                <w:rFonts w:eastAsia="Arial Narrow"/>
                <w:b/>
                <w:bCs/>
                <w:sz w:val="20"/>
              </w:rPr>
              <w:t>Overhead % Wage</w:t>
            </w:r>
          </w:p>
        </w:tc>
        <w:tc>
          <w:tcPr>
            <w:tcW w:w="1337" w:type="dxa"/>
            <w:tcBorders>
              <w:top w:val="single" w:sz="4" w:space="0" w:color="auto"/>
            </w:tcBorders>
            <w:shd w:val="clear" w:color="auto" w:fill="auto"/>
          </w:tcPr>
          <w:p w:rsidR="003B717B" w:rsidRPr="000C09A8" w:rsidP="00C724C4" w14:paraId="6603BD95" w14:textId="77777777">
            <w:pPr>
              <w:pStyle w:val="TableSource"/>
              <w:keepNext/>
              <w:keepLines/>
              <w:spacing w:before="0" w:after="0"/>
              <w:jc w:val="center"/>
              <w:rPr>
                <w:rFonts w:eastAsia="Arial Narrow"/>
                <w:b/>
                <w:bCs/>
                <w:sz w:val="20"/>
              </w:rPr>
            </w:pPr>
            <w:r w:rsidRPr="000C09A8">
              <w:rPr>
                <w:rFonts w:eastAsia="Arial Narrow"/>
                <w:b/>
                <w:bCs/>
                <w:sz w:val="20"/>
              </w:rPr>
              <w:t>Overhead</w:t>
            </w:r>
          </w:p>
        </w:tc>
        <w:tc>
          <w:tcPr>
            <w:tcW w:w="1337" w:type="dxa"/>
            <w:tcBorders>
              <w:top w:val="single" w:sz="4" w:space="0" w:color="auto"/>
            </w:tcBorders>
            <w:shd w:val="clear" w:color="auto" w:fill="auto"/>
          </w:tcPr>
          <w:p w:rsidR="003B717B" w:rsidRPr="000C09A8" w:rsidP="00C724C4" w14:paraId="388CE38F" w14:textId="77777777">
            <w:pPr>
              <w:pStyle w:val="TableSource"/>
              <w:keepNext/>
              <w:keepLines/>
              <w:spacing w:before="0" w:after="0"/>
              <w:jc w:val="center"/>
              <w:rPr>
                <w:rFonts w:eastAsia="Arial Narrow"/>
                <w:b/>
                <w:bCs/>
                <w:sz w:val="20"/>
                <w:vertAlign w:val="superscript"/>
              </w:rPr>
            </w:pPr>
            <w:r w:rsidRPr="000C09A8">
              <w:rPr>
                <w:rFonts w:eastAsia="Arial Narrow"/>
                <w:b/>
                <w:bCs/>
                <w:sz w:val="20"/>
              </w:rPr>
              <w:t>Hourly Loaded Wages</w:t>
            </w:r>
          </w:p>
        </w:tc>
      </w:tr>
      <w:tr w14:paraId="280D9302" w14:textId="77777777" w:rsidTr="0029204D">
        <w:tblPrEx>
          <w:tblW w:w="9359" w:type="dxa"/>
          <w:jc w:val="center"/>
          <w:tblLayout w:type="fixed"/>
          <w:tblLook w:val="04A0"/>
        </w:tblPrEx>
        <w:trPr>
          <w:jc w:val="center"/>
        </w:trPr>
        <w:tc>
          <w:tcPr>
            <w:tcW w:w="1337" w:type="dxa"/>
            <w:shd w:val="clear" w:color="auto" w:fill="auto"/>
          </w:tcPr>
          <w:p w:rsidR="003B717B" w:rsidRPr="000C09A8" w:rsidP="00326B70" w14:paraId="505BEB39" w14:textId="77777777">
            <w:pPr>
              <w:pStyle w:val="TableSource"/>
              <w:keepNext/>
              <w:keepLines/>
              <w:spacing w:before="0" w:after="0"/>
              <w:jc w:val="center"/>
              <w:rPr>
                <w:b/>
                <w:bCs/>
                <w:sz w:val="20"/>
              </w:rPr>
            </w:pPr>
          </w:p>
        </w:tc>
        <w:tc>
          <w:tcPr>
            <w:tcW w:w="1337" w:type="dxa"/>
            <w:shd w:val="clear" w:color="auto" w:fill="auto"/>
          </w:tcPr>
          <w:p w:rsidR="003B717B" w:rsidRPr="000C09A8" w:rsidP="00C724C4" w14:paraId="715BD082" w14:textId="77777777">
            <w:pPr>
              <w:pStyle w:val="TableSource"/>
              <w:keepNext/>
              <w:keepLines/>
              <w:spacing w:before="0" w:after="0"/>
              <w:jc w:val="center"/>
              <w:rPr>
                <w:rFonts w:eastAsia="Arial Narrow"/>
                <w:b/>
                <w:bCs/>
                <w:sz w:val="20"/>
              </w:rPr>
            </w:pPr>
            <w:r w:rsidRPr="000C09A8">
              <w:rPr>
                <w:rFonts w:eastAsia="Arial Narrow"/>
                <w:b/>
                <w:bCs/>
                <w:sz w:val="20"/>
              </w:rPr>
              <w:t>A</w:t>
            </w:r>
          </w:p>
        </w:tc>
        <w:tc>
          <w:tcPr>
            <w:tcW w:w="1337" w:type="dxa"/>
            <w:shd w:val="clear" w:color="auto" w:fill="auto"/>
          </w:tcPr>
          <w:p w:rsidR="003B717B" w:rsidRPr="000C09A8" w:rsidP="00C724C4" w14:paraId="6A5AED28" w14:textId="77777777">
            <w:pPr>
              <w:pStyle w:val="TableSource"/>
              <w:keepNext/>
              <w:keepLines/>
              <w:spacing w:before="0" w:after="0"/>
              <w:jc w:val="center"/>
              <w:rPr>
                <w:rFonts w:eastAsia="Arial Narrow"/>
                <w:b/>
                <w:bCs/>
                <w:sz w:val="20"/>
              </w:rPr>
            </w:pPr>
            <w:r w:rsidRPr="000C09A8">
              <w:rPr>
                <w:rFonts w:eastAsia="Arial Narrow"/>
                <w:b/>
                <w:bCs/>
                <w:sz w:val="20"/>
              </w:rPr>
              <w:t>B</w:t>
            </w:r>
          </w:p>
        </w:tc>
        <w:tc>
          <w:tcPr>
            <w:tcW w:w="1564" w:type="dxa"/>
            <w:shd w:val="clear" w:color="auto" w:fill="auto"/>
          </w:tcPr>
          <w:p w:rsidR="003B717B" w:rsidRPr="000C09A8" w:rsidP="00C724C4" w14:paraId="3D4900F5" w14:textId="77777777">
            <w:pPr>
              <w:pStyle w:val="TableSource"/>
              <w:keepNext/>
              <w:keepLines/>
              <w:spacing w:before="0" w:after="0"/>
              <w:jc w:val="center"/>
              <w:rPr>
                <w:rFonts w:eastAsia="Arial Narrow"/>
                <w:b/>
                <w:bCs/>
                <w:sz w:val="20"/>
              </w:rPr>
            </w:pPr>
            <w:r w:rsidRPr="000C09A8">
              <w:rPr>
                <w:rFonts w:eastAsia="Arial Narrow"/>
                <w:b/>
                <w:bCs/>
                <w:sz w:val="20"/>
              </w:rPr>
              <w:t>C = A + B</w:t>
            </w:r>
          </w:p>
        </w:tc>
        <w:tc>
          <w:tcPr>
            <w:tcW w:w="1110" w:type="dxa"/>
            <w:shd w:val="clear" w:color="auto" w:fill="auto"/>
          </w:tcPr>
          <w:p w:rsidR="003B717B" w:rsidRPr="000C09A8" w:rsidP="00C724C4" w14:paraId="34B68049" w14:textId="77777777">
            <w:pPr>
              <w:pStyle w:val="TableSource"/>
              <w:keepNext/>
              <w:keepLines/>
              <w:spacing w:before="0" w:after="0"/>
              <w:jc w:val="center"/>
              <w:rPr>
                <w:rFonts w:eastAsia="Arial Narrow"/>
                <w:b/>
                <w:bCs/>
                <w:sz w:val="20"/>
              </w:rPr>
            </w:pPr>
            <w:r w:rsidRPr="000C09A8">
              <w:rPr>
                <w:rFonts w:eastAsia="Arial Narrow"/>
                <w:b/>
                <w:bCs/>
                <w:sz w:val="20"/>
              </w:rPr>
              <w:t>D</w:t>
            </w:r>
          </w:p>
        </w:tc>
        <w:tc>
          <w:tcPr>
            <w:tcW w:w="1337" w:type="dxa"/>
            <w:shd w:val="clear" w:color="auto" w:fill="auto"/>
          </w:tcPr>
          <w:p w:rsidR="003B717B" w:rsidRPr="000C09A8" w:rsidP="00C724C4" w14:paraId="58643CB8" w14:textId="77777777">
            <w:pPr>
              <w:pStyle w:val="TableSource"/>
              <w:keepNext/>
              <w:keepLines/>
              <w:spacing w:before="0" w:after="0"/>
              <w:jc w:val="center"/>
              <w:rPr>
                <w:rFonts w:eastAsia="Arial Narrow"/>
                <w:b/>
                <w:bCs/>
                <w:sz w:val="20"/>
              </w:rPr>
            </w:pPr>
            <w:r w:rsidRPr="000C09A8">
              <w:rPr>
                <w:rFonts w:eastAsia="Arial Narrow"/>
                <w:b/>
                <w:bCs/>
                <w:sz w:val="20"/>
              </w:rPr>
              <w:t>E = C x D</w:t>
            </w:r>
          </w:p>
        </w:tc>
        <w:tc>
          <w:tcPr>
            <w:tcW w:w="1337" w:type="dxa"/>
            <w:shd w:val="clear" w:color="auto" w:fill="auto"/>
          </w:tcPr>
          <w:p w:rsidR="003B717B" w:rsidRPr="000C09A8" w:rsidP="00C724C4" w14:paraId="187A54A2" w14:textId="77777777">
            <w:pPr>
              <w:pStyle w:val="TableSource"/>
              <w:keepNext/>
              <w:keepLines/>
              <w:spacing w:before="0" w:after="0"/>
              <w:jc w:val="center"/>
              <w:rPr>
                <w:rFonts w:eastAsia="Arial Narrow"/>
                <w:b/>
                <w:bCs/>
                <w:sz w:val="20"/>
              </w:rPr>
            </w:pPr>
            <w:r w:rsidRPr="000C09A8">
              <w:rPr>
                <w:rFonts w:eastAsia="Arial Narrow"/>
                <w:b/>
                <w:bCs/>
                <w:sz w:val="20"/>
              </w:rPr>
              <w:t>F = C + E</w:t>
            </w:r>
          </w:p>
        </w:tc>
      </w:tr>
      <w:tr w14:paraId="5C79D774" w14:textId="77777777" w:rsidTr="0029204D">
        <w:tblPrEx>
          <w:tblW w:w="9359" w:type="dxa"/>
          <w:jc w:val="center"/>
          <w:tblLayout w:type="fixed"/>
          <w:tblLook w:val="04A0"/>
        </w:tblPrEx>
        <w:trPr>
          <w:jc w:val="center"/>
        </w:trPr>
        <w:tc>
          <w:tcPr>
            <w:tcW w:w="1337" w:type="dxa"/>
          </w:tcPr>
          <w:p w:rsidR="00802A93" w:rsidRPr="000C09A8" w:rsidP="00326B70" w14:paraId="2BCD8A7F" w14:textId="77777777">
            <w:pPr>
              <w:pStyle w:val="LTableTextAbt"/>
              <w:spacing w:before="0" w:after="0"/>
              <w:rPr>
                <w:rFonts w:cs="Arial"/>
              </w:rPr>
            </w:pPr>
            <w:r w:rsidRPr="000C09A8">
              <w:rPr>
                <w:rFonts w:cs="Arial"/>
              </w:rPr>
              <w:t>Clerical</w:t>
            </w:r>
          </w:p>
        </w:tc>
        <w:tc>
          <w:tcPr>
            <w:tcW w:w="1337" w:type="dxa"/>
          </w:tcPr>
          <w:p w:rsidR="00802A93" w:rsidRPr="000C09A8" w:rsidP="00326B70" w14:paraId="0746EAA7" w14:textId="2CD77CDE">
            <w:pPr>
              <w:pStyle w:val="RTableTextAbt"/>
              <w:rPr>
                <w:rFonts w:cs="Arial"/>
              </w:rPr>
            </w:pPr>
            <w:r w:rsidRPr="003277AB">
              <w:t xml:space="preserve">$21.48 </w:t>
            </w:r>
          </w:p>
        </w:tc>
        <w:tc>
          <w:tcPr>
            <w:tcW w:w="1337" w:type="dxa"/>
          </w:tcPr>
          <w:p w:rsidR="00802A93" w:rsidRPr="000C09A8" w:rsidP="00326B70" w14:paraId="46A4CB34" w14:textId="61DE2AC9">
            <w:pPr>
              <w:pStyle w:val="RTableTextAbt"/>
              <w:rPr>
                <w:rFonts w:cs="Arial"/>
              </w:rPr>
            </w:pPr>
            <w:r w:rsidRPr="003277AB">
              <w:t xml:space="preserve">$9.50 </w:t>
            </w:r>
          </w:p>
        </w:tc>
        <w:tc>
          <w:tcPr>
            <w:tcW w:w="1564" w:type="dxa"/>
          </w:tcPr>
          <w:p w:rsidR="00802A93" w:rsidRPr="000C09A8" w:rsidP="00326B70" w14:paraId="3B146F1F" w14:textId="231C4E91">
            <w:pPr>
              <w:pStyle w:val="RTableTextAbt"/>
              <w:rPr>
                <w:rFonts w:cs="Arial"/>
              </w:rPr>
            </w:pPr>
            <w:r w:rsidRPr="003277AB">
              <w:t xml:space="preserve">$30.98 </w:t>
            </w:r>
          </w:p>
        </w:tc>
        <w:tc>
          <w:tcPr>
            <w:tcW w:w="1110" w:type="dxa"/>
          </w:tcPr>
          <w:p w:rsidR="00802A93" w:rsidRPr="000C09A8" w:rsidP="00326B70" w14:paraId="19F7BAF3" w14:textId="0FFED996">
            <w:pPr>
              <w:pStyle w:val="RTableTextAbt"/>
              <w:rPr>
                <w:rFonts w:cs="Arial"/>
              </w:rPr>
            </w:pPr>
            <w:r w:rsidRPr="003277AB">
              <w:t>20%</w:t>
            </w:r>
          </w:p>
        </w:tc>
        <w:tc>
          <w:tcPr>
            <w:tcW w:w="1337" w:type="dxa"/>
          </w:tcPr>
          <w:p w:rsidR="00802A93" w:rsidRPr="000C09A8" w:rsidP="00326B70" w14:paraId="4FCBC914" w14:textId="3EEDF8DA">
            <w:pPr>
              <w:pStyle w:val="RTableTextAbt"/>
              <w:rPr>
                <w:rFonts w:cs="Arial"/>
              </w:rPr>
            </w:pPr>
            <w:r w:rsidRPr="003277AB">
              <w:t xml:space="preserve">$6.20 </w:t>
            </w:r>
          </w:p>
        </w:tc>
        <w:tc>
          <w:tcPr>
            <w:tcW w:w="1337" w:type="dxa"/>
          </w:tcPr>
          <w:p w:rsidR="00802A93" w:rsidRPr="000C09A8" w:rsidP="00326B70" w14:paraId="57EDE512" w14:textId="4A70A739">
            <w:pPr>
              <w:pStyle w:val="RTableTextAbt"/>
              <w:rPr>
                <w:rFonts w:cs="Arial"/>
              </w:rPr>
            </w:pPr>
            <w:r w:rsidRPr="003277AB">
              <w:t xml:space="preserve">$37.18 </w:t>
            </w:r>
          </w:p>
        </w:tc>
      </w:tr>
      <w:tr w14:paraId="02661814" w14:textId="77777777" w:rsidTr="0029204D">
        <w:tblPrEx>
          <w:tblW w:w="9359" w:type="dxa"/>
          <w:jc w:val="center"/>
          <w:tblLayout w:type="fixed"/>
          <w:tblLook w:val="04A0"/>
        </w:tblPrEx>
        <w:trPr>
          <w:jc w:val="center"/>
        </w:trPr>
        <w:tc>
          <w:tcPr>
            <w:tcW w:w="1337" w:type="dxa"/>
          </w:tcPr>
          <w:p w:rsidR="00802A93" w:rsidRPr="000C09A8" w:rsidP="00326B70" w14:paraId="494B56E8" w14:textId="77777777">
            <w:pPr>
              <w:pStyle w:val="LTableTextAbt"/>
              <w:spacing w:before="0" w:after="0"/>
              <w:rPr>
                <w:rFonts w:cs="Arial"/>
              </w:rPr>
            </w:pPr>
            <w:r w:rsidRPr="000C09A8">
              <w:rPr>
                <w:rFonts w:cs="Arial"/>
              </w:rPr>
              <w:t>Professional/ Technical</w:t>
            </w:r>
          </w:p>
        </w:tc>
        <w:tc>
          <w:tcPr>
            <w:tcW w:w="1337" w:type="dxa"/>
          </w:tcPr>
          <w:p w:rsidR="00802A93" w:rsidRPr="000C09A8" w:rsidP="00326B70" w14:paraId="6A51CCFC" w14:textId="5ECC225A">
            <w:pPr>
              <w:pStyle w:val="RTableTextAbt"/>
              <w:rPr>
                <w:rFonts w:cs="Arial"/>
              </w:rPr>
            </w:pPr>
            <w:r w:rsidRPr="003277AB">
              <w:t xml:space="preserve">$44.99 </w:t>
            </w:r>
          </w:p>
        </w:tc>
        <w:tc>
          <w:tcPr>
            <w:tcW w:w="1337" w:type="dxa"/>
          </w:tcPr>
          <w:p w:rsidR="00802A93" w:rsidRPr="000C09A8" w:rsidP="00326B70" w14:paraId="5F31BD0E" w14:textId="584EBF12">
            <w:pPr>
              <w:pStyle w:val="RTableTextAbt"/>
              <w:rPr>
                <w:rFonts w:cs="Arial"/>
              </w:rPr>
            </w:pPr>
            <w:r w:rsidRPr="003277AB">
              <w:t xml:space="preserve">$22.84 </w:t>
            </w:r>
          </w:p>
        </w:tc>
        <w:tc>
          <w:tcPr>
            <w:tcW w:w="1564" w:type="dxa"/>
          </w:tcPr>
          <w:p w:rsidR="00802A93" w:rsidRPr="000C09A8" w:rsidP="00326B70" w14:paraId="122EB64E" w14:textId="6004F05A">
            <w:pPr>
              <w:pStyle w:val="RTableTextAbt"/>
              <w:rPr>
                <w:rFonts w:cs="Arial"/>
              </w:rPr>
            </w:pPr>
            <w:r w:rsidRPr="003277AB">
              <w:t xml:space="preserve">$67.83 </w:t>
            </w:r>
          </w:p>
        </w:tc>
        <w:tc>
          <w:tcPr>
            <w:tcW w:w="1110" w:type="dxa"/>
          </w:tcPr>
          <w:p w:rsidR="00802A93" w:rsidRPr="000C09A8" w:rsidP="00326B70" w14:paraId="25147740" w14:textId="38858C3B">
            <w:pPr>
              <w:pStyle w:val="RTableTextAbt"/>
              <w:rPr>
                <w:rFonts w:cs="Arial"/>
              </w:rPr>
            </w:pPr>
            <w:r w:rsidRPr="003277AB">
              <w:t>20%</w:t>
            </w:r>
          </w:p>
        </w:tc>
        <w:tc>
          <w:tcPr>
            <w:tcW w:w="1337" w:type="dxa"/>
          </w:tcPr>
          <w:p w:rsidR="00802A93" w:rsidRPr="000C09A8" w:rsidP="00326B70" w14:paraId="1D2F8C79" w14:textId="76617D9C">
            <w:pPr>
              <w:pStyle w:val="RTableTextAbt"/>
              <w:rPr>
                <w:rFonts w:cs="Arial"/>
              </w:rPr>
            </w:pPr>
            <w:r w:rsidRPr="003277AB">
              <w:t xml:space="preserve">$13.57 </w:t>
            </w:r>
          </w:p>
        </w:tc>
        <w:tc>
          <w:tcPr>
            <w:tcW w:w="1337" w:type="dxa"/>
          </w:tcPr>
          <w:p w:rsidR="00802A93" w:rsidRPr="000C09A8" w:rsidP="00326B70" w14:paraId="442CB69A" w14:textId="151CC322">
            <w:pPr>
              <w:pStyle w:val="RTableTextAbt"/>
              <w:rPr>
                <w:rFonts w:cs="Arial"/>
              </w:rPr>
            </w:pPr>
            <w:r w:rsidRPr="003277AB">
              <w:t xml:space="preserve">$81.40 </w:t>
            </w:r>
          </w:p>
        </w:tc>
      </w:tr>
      <w:tr w14:paraId="6ED11052" w14:textId="77777777" w:rsidTr="0029204D">
        <w:tblPrEx>
          <w:tblW w:w="9359" w:type="dxa"/>
          <w:jc w:val="center"/>
          <w:tblLayout w:type="fixed"/>
          <w:tblLook w:val="04A0"/>
        </w:tblPrEx>
        <w:trPr>
          <w:jc w:val="center"/>
        </w:trPr>
        <w:tc>
          <w:tcPr>
            <w:tcW w:w="1337" w:type="dxa"/>
          </w:tcPr>
          <w:p w:rsidR="00802A93" w:rsidRPr="000C09A8" w:rsidP="00326B70" w14:paraId="21B65A7C" w14:textId="77777777">
            <w:pPr>
              <w:pStyle w:val="LTableTextAbt"/>
              <w:spacing w:before="0" w:after="0"/>
              <w:rPr>
                <w:rFonts w:cs="Arial"/>
              </w:rPr>
            </w:pPr>
            <w:r w:rsidRPr="000C09A8">
              <w:rPr>
                <w:rFonts w:cs="Arial"/>
              </w:rPr>
              <w:t>Managerial</w:t>
            </w:r>
          </w:p>
        </w:tc>
        <w:tc>
          <w:tcPr>
            <w:tcW w:w="1337" w:type="dxa"/>
          </w:tcPr>
          <w:p w:rsidR="00802A93" w:rsidRPr="000C09A8" w:rsidP="00326B70" w14:paraId="6BBA08C2" w14:textId="0B76B3C4">
            <w:pPr>
              <w:pStyle w:val="RTableTextAbt"/>
              <w:rPr>
                <w:rFonts w:cs="Arial"/>
              </w:rPr>
            </w:pPr>
            <w:r w:rsidRPr="003277AB">
              <w:t xml:space="preserve">$53.49 </w:t>
            </w:r>
          </w:p>
        </w:tc>
        <w:tc>
          <w:tcPr>
            <w:tcW w:w="1337" w:type="dxa"/>
          </w:tcPr>
          <w:p w:rsidR="00802A93" w:rsidRPr="000C09A8" w:rsidP="00326B70" w14:paraId="5AEEF6C8" w14:textId="63DB1375">
            <w:pPr>
              <w:pStyle w:val="RTableTextAbt"/>
              <w:rPr>
                <w:rFonts w:cs="Arial"/>
              </w:rPr>
            </w:pPr>
            <w:r w:rsidRPr="003277AB">
              <w:t xml:space="preserve">$24.16 </w:t>
            </w:r>
          </w:p>
        </w:tc>
        <w:tc>
          <w:tcPr>
            <w:tcW w:w="1564" w:type="dxa"/>
          </w:tcPr>
          <w:p w:rsidR="00802A93" w:rsidRPr="000C09A8" w:rsidP="00326B70" w14:paraId="1C7E3DAF" w14:textId="6686649D">
            <w:pPr>
              <w:pStyle w:val="RTableTextAbt"/>
              <w:rPr>
                <w:rFonts w:cs="Arial"/>
              </w:rPr>
            </w:pPr>
            <w:r w:rsidRPr="003277AB">
              <w:t xml:space="preserve">$77.65 </w:t>
            </w:r>
          </w:p>
        </w:tc>
        <w:tc>
          <w:tcPr>
            <w:tcW w:w="1110" w:type="dxa"/>
          </w:tcPr>
          <w:p w:rsidR="00802A93" w:rsidRPr="000C09A8" w:rsidP="00326B70" w14:paraId="3211330C" w14:textId="4CCED791">
            <w:pPr>
              <w:pStyle w:val="RTableTextAbt"/>
              <w:rPr>
                <w:rFonts w:cs="Arial"/>
              </w:rPr>
            </w:pPr>
            <w:r w:rsidRPr="003277AB">
              <w:t>20%</w:t>
            </w:r>
          </w:p>
        </w:tc>
        <w:tc>
          <w:tcPr>
            <w:tcW w:w="1337" w:type="dxa"/>
          </w:tcPr>
          <w:p w:rsidR="00802A93" w:rsidRPr="000C09A8" w:rsidP="00326B70" w14:paraId="58E03058" w14:textId="3630AB2B">
            <w:pPr>
              <w:pStyle w:val="RTableTextAbt"/>
              <w:rPr>
                <w:rFonts w:cs="Arial"/>
              </w:rPr>
            </w:pPr>
            <w:r w:rsidRPr="003277AB">
              <w:t xml:space="preserve">$15.53 </w:t>
            </w:r>
          </w:p>
        </w:tc>
        <w:tc>
          <w:tcPr>
            <w:tcW w:w="1337" w:type="dxa"/>
          </w:tcPr>
          <w:p w:rsidR="00802A93" w:rsidRPr="000C09A8" w:rsidP="00326B70" w14:paraId="2BAB89C5" w14:textId="04237421">
            <w:pPr>
              <w:pStyle w:val="RTableTextAbt"/>
              <w:rPr>
                <w:rFonts w:cs="Arial"/>
              </w:rPr>
            </w:pPr>
            <w:r w:rsidRPr="003277AB">
              <w:t xml:space="preserve">$93.18 </w:t>
            </w:r>
          </w:p>
        </w:tc>
      </w:tr>
      <w:tr w14:paraId="589FE6EE" w14:textId="77777777" w:rsidTr="0029204D">
        <w:tblPrEx>
          <w:tblW w:w="9359" w:type="dxa"/>
          <w:jc w:val="center"/>
          <w:tblLayout w:type="fixed"/>
          <w:tblLook w:val="04A0"/>
        </w:tblPrEx>
        <w:trPr>
          <w:jc w:val="center"/>
        </w:trPr>
        <w:tc>
          <w:tcPr>
            <w:tcW w:w="1337" w:type="dxa"/>
          </w:tcPr>
          <w:p w:rsidR="00802A93" w:rsidRPr="000C09A8" w:rsidP="00326B70" w14:paraId="656C1E1C" w14:textId="77777777">
            <w:pPr>
              <w:pStyle w:val="LTableTextAbt"/>
              <w:spacing w:before="0" w:after="0"/>
              <w:rPr>
                <w:rFonts w:cs="Arial"/>
              </w:rPr>
            </w:pPr>
            <w:r w:rsidRPr="000C09A8">
              <w:rPr>
                <w:rFonts w:cs="Arial"/>
              </w:rPr>
              <w:t>Attorney</w:t>
            </w:r>
          </w:p>
        </w:tc>
        <w:tc>
          <w:tcPr>
            <w:tcW w:w="1337" w:type="dxa"/>
          </w:tcPr>
          <w:p w:rsidR="00802A93" w:rsidRPr="000C09A8" w:rsidP="00326B70" w14:paraId="7FCC0FFB" w14:textId="5F2AD1DB">
            <w:pPr>
              <w:pStyle w:val="RTableTextAbt"/>
              <w:rPr>
                <w:rFonts w:cs="Arial"/>
              </w:rPr>
            </w:pPr>
            <w:r w:rsidRPr="003277AB">
              <w:t xml:space="preserve">$71.17 </w:t>
            </w:r>
          </w:p>
        </w:tc>
        <w:tc>
          <w:tcPr>
            <w:tcW w:w="1337" w:type="dxa"/>
          </w:tcPr>
          <w:p w:rsidR="00802A93" w:rsidRPr="000C09A8" w:rsidP="00326B70" w14:paraId="528DFB08" w14:textId="08C19D6C">
            <w:pPr>
              <w:pStyle w:val="RTableTextAbt"/>
              <w:rPr>
                <w:rFonts w:cs="Arial"/>
              </w:rPr>
            </w:pPr>
            <w:r w:rsidRPr="003277AB">
              <w:t xml:space="preserve">$29.90 </w:t>
            </w:r>
          </w:p>
        </w:tc>
        <w:tc>
          <w:tcPr>
            <w:tcW w:w="1564" w:type="dxa"/>
          </w:tcPr>
          <w:p w:rsidR="00802A93" w:rsidRPr="000C09A8" w:rsidP="00326B70" w14:paraId="2BE43CA5" w14:textId="06C0EA11">
            <w:pPr>
              <w:pStyle w:val="RTableTextAbt"/>
              <w:rPr>
                <w:rFonts w:cs="Arial"/>
              </w:rPr>
            </w:pPr>
            <w:r w:rsidRPr="003277AB">
              <w:t xml:space="preserve">$101.07 </w:t>
            </w:r>
          </w:p>
        </w:tc>
        <w:tc>
          <w:tcPr>
            <w:tcW w:w="1110" w:type="dxa"/>
          </w:tcPr>
          <w:p w:rsidR="00802A93" w:rsidRPr="000C09A8" w:rsidP="00326B70" w14:paraId="6DF75E81" w14:textId="31E039A3">
            <w:pPr>
              <w:pStyle w:val="RTableTextAbt"/>
              <w:rPr>
                <w:rFonts w:cs="Arial"/>
              </w:rPr>
            </w:pPr>
            <w:r w:rsidRPr="003277AB">
              <w:t>20%</w:t>
            </w:r>
          </w:p>
        </w:tc>
        <w:tc>
          <w:tcPr>
            <w:tcW w:w="1337" w:type="dxa"/>
          </w:tcPr>
          <w:p w:rsidR="00802A93" w:rsidRPr="000C09A8" w:rsidP="00326B70" w14:paraId="45F16F87" w14:textId="020FE32F">
            <w:pPr>
              <w:pStyle w:val="RTableTextAbt"/>
              <w:rPr>
                <w:rFonts w:cs="Arial"/>
              </w:rPr>
            </w:pPr>
            <w:r w:rsidRPr="003277AB">
              <w:t xml:space="preserve">$20.21 </w:t>
            </w:r>
          </w:p>
        </w:tc>
        <w:tc>
          <w:tcPr>
            <w:tcW w:w="1337" w:type="dxa"/>
          </w:tcPr>
          <w:p w:rsidR="00802A93" w:rsidRPr="000C09A8" w:rsidP="00326B70" w14:paraId="5A5060D6" w14:textId="368B21B2">
            <w:pPr>
              <w:pStyle w:val="RTableTextAbt"/>
              <w:rPr>
                <w:rFonts w:cs="Arial"/>
              </w:rPr>
            </w:pPr>
            <w:r w:rsidRPr="003277AB">
              <w:t xml:space="preserve">$121.28 </w:t>
            </w:r>
          </w:p>
        </w:tc>
      </w:tr>
    </w:tbl>
    <w:p w:rsidR="003B717B" w:rsidRPr="00305BBA" w:rsidP="00326B70" w14:paraId="096B159A" w14:textId="77777777">
      <w:pPr>
        <w:pStyle w:val="BodyText"/>
        <w:spacing w:after="0"/>
        <w:rPr>
          <w:rFonts w:cs="Arial"/>
        </w:rPr>
      </w:pPr>
    </w:p>
    <w:p w:rsidR="003B717B" w:rsidRPr="005B772E" w:rsidP="00326B70" w14:paraId="6C285FF4" w14:textId="27BC5723">
      <w:pPr>
        <w:pStyle w:val="BodyText"/>
        <w:spacing w:after="0"/>
        <w:rPr>
          <w:rFonts w:cs="Arial"/>
          <w:szCs w:val="24"/>
        </w:rPr>
      </w:pPr>
      <w:r w:rsidRPr="00987BD1">
        <w:rPr>
          <w:rFonts w:cs="Arial"/>
          <w:szCs w:val="24"/>
        </w:rPr>
        <w:t>Information on methodology used to estimate the burden for form completion is provided in the economic analysis for this 8(a) rule.</w:t>
      </w:r>
    </w:p>
    <w:p w:rsidR="003B717B" w:rsidRPr="005B772E" w:rsidP="00326B70" w14:paraId="63F5F785" w14:textId="77777777">
      <w:pPr>
        <w:pStyle w:val="BodyText"/>
        <w:spacing w:after="0"/>
        <w:rPr>
          <w:rFonts w:cs="Arial"/>
          <w:szCs w:val="24"/>
        </w:rPr>
      </w:pPr>
    </w:p>
    <w:p w:rsidR="003B717B" w:rsidP="00326B70" w14:paraId="6E258819" w14:textId="24F89975">
      <w:pPr>
        <w:pStyle w:val="BodyText"/>
        <w:spacing w:after="0"/>
        <w:rPr>
          <w:rFonts w:cs="Arial"/>
          <w:szCs w:val="22"/>
        </w:rPr>
      </w:pPr>
      <w:r w:rsidRPr="005B772E">
        <w:rPr>
          <w:rFonts w:cs="Arial"/>
          <w:szCs w:val="22"/>
        </w:rPr>
        <w:t xml:space="preserve">The burden for Form A is less than for Form B because Form A collects less information than Form B. </w:t>
      </w:r>
      <w:bookmarkStart w:id="13" w:name="_Hlk90910034"/>
      <w:r w:rsidRPr="005B772E">
        <w:rPr>
          <w:rFonts w:cs="Arial"/>
          <w:szCs w:val="22"/>
        </w:rPr>
        <w:t xml:space="preserve">The total form completion burden varies depending on the type of activity a respondent is engaged in (mining, milling or importing a bulk material; primary processing, secondary processing, or importing a mixture or article), because the </w:t>
      </w:r>
      <w:r w:rsidRPr="005B772E">
        <w:rPr>
          <w:rFonts w:cs="Arial"/>
          <w:szCs w:val="22"/>
        </w:rPr>
        <w:t xml:space="preserve">questions vary slightly depending on the activity. Reporting on impurities is estimated to require more time than reporting on the intentional use of asbestos. </w:t>
      </w:r>
      <w:r w:rsidRPr="00A82D4D" w:rsidR="00A82D4D">
        <w:rPr>
          <w:rFonts w:cs="Arial"/>
          <w:szCs w:val="22"/>
        </w:rPr>
        <w:fldChar w:fldCharType="begin"/>
      </w:r>
      <w:r w:rsidRPr="00A82D4D" w:rsidR="00A82D4D">
        <w:rPr>
          <w:rFonts w:cs="Arial"/>
          <w:szCs w:val="22"/>
        </w:rPr>
        <w:instrText xml:space="preserve"> REF _Ref133342840 </w:instrText>
      </w:r>
      <w:r w:rsidRPr="00B42AE8" w:rsidR="00A82D4D">
        <w:rPr>
          <w:rFonts w:cs="Arial"/>
          <w:szCs w:val="22"/>
        </w:rPr>
        <w:instrText xml:space="preserve"> \* MERGEFORMAT </w:instrText>
      </w:r>
      <w:r w:rsidRPr="00A82D4D" w:rsidR="00A82D4D">
        <w:rPr>
          <w:rFonts w:cs="Arial"/>
          <w:szCs w:val="22"/>
        </w:rPr>
        <w:fldChar w:fldCharType="separate"/>
      </w:r>
      <w:r w:rsidRPr="009F0705" w:rsidR="009F0705">
        <w:rPr>
          <w:rFonts w:cs="Arial"/>
        </w:rPr>
        <w:t xml:space="preserve">Table </w:t>
      </w:r>
      <w:r w:rsidRPr="009F0705" w:rsidR="009F0705">
        <w:rPr>
          <w:rFonts w:cs="Arial"/>
          <w:noProof/>
        </w:rPr>
        <w:t>5</w:t>
      </w:r>
      <w:r w:rsidRPr="00A82D4D" w:rsidR="00A82D4D">
        <w:rPr>
          <w:rFonts w:cs="Arial"/>
          <w:szCs w:val="22"/>
        </w:rPr>
        <w:fldChar w:fldCharType="end"/>
      </w:r>
      <w:r w:rsidR="00A82D4D">
        <w:rPr>
          <w:rFonts w:cs="Arial"/>
          <w:szCs w:val="22"/>
        </w:rPr>
        <w:t xml:space="preserve"> </w:t>
      </w:r>
      <w:r w:rsidRPr="005B772E">
        <w:rPr>
          <w:rFonts w:cs="Arial"/>
          <w:szCs w:val="22"/>
        </w:rPr>
        <w:t>shows the reporting burden and cost by form type, respondent type, and whether or not the use of asbestos is intentional.</w:t>
      </w:r>
    </w:p>
    <w:p w:rsidR="00C65161" w:rsidRPr="005B772E" w:rsidP="00326B70" w14:paraId="4DEABA86" w14:textId="77777777">
      <w:pPr>
        <w:pStyle w:val="BodyText"/>
        <w:spacing w:after="0"/>
        <w:rPr>
          <w:rFonts w:cs="Arial"/>
          <w:szCs w:val="22"/>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217"/>
        <w:gridCol w:w="1217"/>
        <w:gridCol w:w="1261"/>
        <w:gridCol w:w="1350"/>
        <w:gridCol w:w="895"/>
        <w:gridCol w:w="1260"/>
      </w:tblGrid>
      <w:tr w14:paraId="1F04B8C4" w14:textId="77777777" w:rsidTr="0029204D">
        <w:tblPrEx>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4"/>
          <w:jc w:val="center"/>
        </w:trPr>
        <w:tc>
          <w:tcPr>
            <w:tcW w:w="9990" w:type="dxa"/>
            <w:gridSpan w:val="7"/>
            <w:tcBorders>
              <w:top w:val="nil"/>
              <w:left w:val="nil"/>
              <w:bottom w:val="single" w:sz="4" w:space="0" w:color="auto"/>
              <w:right w:val="nil"/>
            </w:tcBorders>
            <w:shd w:val="clear" w:color="auto" w:fill="auto"/>
            <w:noWrap/>
            <w:vAlign w:val="center"/>
          </w:tcPr>
          <w:p w:rsidR="003B717B" w:rsidRPr="00D07AA0" w:rsidP="00C724C4" w14:paraId="141C5C11" w14:textId="01CB1D1F">
            <w:pPr>
              <w:pStyle w:val="TableTitle"/>
              <w:spacing w:line="240" w:lineRule="auto"/>
              <w:rPr>
                <w:rFonts w:ascii="Arial" w:hAnsi="Arial" w:cs="Arial"/>
                <w:b/>
                <w:bCs/>
              </w:rPr>
            </w:pPr>
            <w:bookmarkStart w:id="14" w:name="_Ref133342840"/>
            <w:bookmarkStart w:id="15" w:name="_Ref93064678"/>
            <w:bookmarkStart w:id="16" w:name="_Toc90915377"/>
            <w:bookmarkEnd w:id="13"/>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5</w:t>
            </w:r>
            <w:r w:rsidRPr="00DE66D8">
              <w:rPr>
                <w:rFonts w:cs="Arial"/>
                <w:b/>
              </w:rPr>
              <w:fldChar w:fldCharType="end"/>
            </w:r>
            <w:bookmarkEnd w:id="14"/>
            <w:r w:rsidRPr="00DE66D8">
              <w:rPr>
                <w:rFonts w:cs="Arial"/>
                <w:b/>
              </w:rPr>
              <w:t>:</w:t>
            </w:r>
            <w:r w:rsidRPr="00C52B2E">
              <w:rPr>
                <w:rFonts w:cs="Arial"/>
                <w:b/>
              </w:rPr>
              <w:t xml:space="preserve"> </w:t>
            </w:r>
            <w:bookmarkEnd w:id="15"/>
            <w:r w:rsidRPr="00D07AA0">
              <w:rPr>
                <w:rFonts w:ascii="Arial" w:hAnsi="Arial" w:cs="Arial"/>
                <w:b/>
                <w:bCs/>
              </w:rPr>
              <w:t>Industry Burden and Cost (Per-Site) for Form Completion by Type of Respondent</w:t>
            </w:r>
            <w:bookmarkEnd w:id="16"/>
          </w:p>
        </w:tc>
      </w:tr>
      <w:tr w14:paraId="4C87DC9D" w14:textId="77777777" w:rsidTr="0029204D">
        <w:tblPrEx>
          <w:tblW w:w="9990" w:type="dxa"/>
          <w:jc w:val="center"/>
          <w:tblLook w:val="04A0"/>
        </w:tblPrEx>
        <w:trPr>
          <w:trHeight w:val="540"/>
          <w:jc w:val="center"/>
        </w:trPr>
        <w:tc>
          <w:tcPr>
            <w:tcW w:w="2790" w:type="dxa"/>
            <w:vMerge w:val="restart"/>
            <w:tcBorders>
              <w:top w:val="single" w:sz="4" w:space="0" w:color="auto"/>
            </w:tcBorders>
            <w:shd w:val="clear" w:color="auto" w:fill="auto"/>
            <w:noWrap/>
            <w:vAlign w:val="center"/>
            <w:hideMark/>
          </w:tcPr>
          <w:p w:rsidR="003B717B" w:rsidRPr="000C09A8" w:rsidP="00C724C4" w14:paraId="133100B6"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Type of Entity</w:t>
            </w:r>
          </w:p>
        </w:tc>
        <w:tc>
          <w:tcPr>
            <w:tcW w:w="5940" w:type="dxa"/>
            <w:gridSpan w:val="5"/>
            <w:tcBorders>
              <w:top w:val="single" w:sz="4" w:space="0" w:color="auto"/>
              <w:bottom w:val="single" w:sz="4" w:space="0" w:color="auto"/>
            </w:tcBorders>
            <w:shd w:val="clear" w:color="auto" w:fill="auto"/>
            <w:noWrap/>
            <w:vAlign w:val="center"/>
            <w:hideMark/>
          </w:tcPr>
          <w:p w:rsidR="003B717B" w:rsidRPr="000C09A8" w:rsidP="00C724C4" w14:paraId="59F500DC" w14:textId="5AD95C26">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Burden per Site (hours)</w:t>
            </w:r>
          </w:p>
        </w:tc>
        <w:tc>
          <w:tcPr>
            <w:tcW w:w="1260" w:type="dxa"/>
            <w:vMerge w:val="restart"/>
            <w:tcBorders>
              <w:top w:val="single" w:sz="4" w:space="0" w:color="auto"/>
            </w:tcBorders>
            <w:shd w:val="clear" w:color="auto" w:fill="auto"/>
            <w:vAlign w:val="center"/>
            <w:hideMark/>
          </w:tcPr>
          <w:p w:rsidR="003B717B" w:rsidRPr="000C09A8" w:rsidP="00C724C4" w14:paraId="272EE159" w14:textId="25D6A70F">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Cost per Site (202</w:t>
            </w:r>
            <w:r w:rsidR="005E2799">
              <w:rPr>
                <w:rFonts w:ascii="Arial Narrow" w:hAnsi="Arial Narrow" w:cs="Arial"/>
                <w:b/>
                <w:bCs/>
                <w:sz w:val="20"/>
                <w:szCs w:val="20"/>
              </w:rPr>
              <w:t>1</w:t>
            </w:r>
            <w:r w:rsidRPr="000C09A8">
              <w:rPr>
                <w:rFonts w:ascii="Arial Narrow" w:hAnsi="Arial Narrow" w:cs="Arial"/>
                <w:b/>
                <w:bCs/>
                <w:sz w:val="20"/>
                <w:szCs w:val="20"/>
              </w:rPr>
              <w:t>$)</w:t>
            </w:r>
          </w:p>
        </w:tc>
      </w:tr>
      <w:tr w14:paraId="6E0415AA" w14:textId="77777777" w:rsidTr="0029204D">
        <w:tblPrEx>
          <w:tblW w:w="9990" w:type="dxa"/>
          <w:jc w:val="center"/>
          <w:tblLook w:val="04A0"/>
        </w:tblPrEx>
        <w:trPr>
          <w:trHeight w:val="528"/>
          <w:jc w:val="center"/>
        </w:trPr>
        <w:tc>
          <w:tcPr>
            <w:tcW w:w="2790" w:type="dxa"/>
            <w:vMerge/>
            <w:tcBorders>
              <w:bottom w:val="single" w:sz="4" w:space="0" w:color="auto"/>
              <w:right w:val="single" w:sz="4" w:space="0" w:color="auto"/>
            </w:tcBorders>
            <w:shd w:val="clear" w:color="auto" w:fill="48A9C5"/>
            <w:vAlign w:val="center"/>
            <w:hideMark/>
          </w:tcPr>
          <w:p w:rsidR="003B717B" w:rsidRPr="000C09A8" w:rsidP="003C73B7" w14:paraId="13273F3E" w14:textId="77777777">
            <w:pPr>
              <w:keepNext/>
              <w:keepLines/>
              <w:spacing w:after="0" w:line="240" w:lineRule="auto"/>
              <w:rPr>
                <w:rFonts w:ascii="Arial Narrow" w:hAnsi="Arial Narrow" w:cs="Arial"/>
                <w:b/>
                <w:bCs/>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17B" w:rsidP="00C724C4" w14:paraId="7C0F08F6" w14:textId="36D3BBBF">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 xml:space="preserve">Clerical </w:t>
            </w:r>
          </w:p>
          <w:p w:rsidR="00B973EE" w:rsidRPr="000C09A8" w:rsidP="00C724C4" w14:paraId="63B1D695" w14:textId="345A0B4E">
            <w:pPr>
              <w:keepNext/>
              <w:keepLines/>
              <w:spacing w:after="0" w:line="240" w:lineRule="auto"/>
              <w:jc w:val="center"/>
              <w:rPr>
                <w:rFonts w:ascii="Arial Narrow" w:hAnsi="Arial Narrow" w:cs="Arial"/>
                <w:b/>
                <w:bCs/>
                <w:sz w:val="20"/>
                <w:szCs w:val="20"/>
              </w:rPr>
            </w:pPr>
            <w:r w:rsidRPr="00B973EE">
              <w:rPr>
                <w:rFonts w:ascii="Arial Narrow" w:hAnsi="Arial Narrow" w:cs="Arial"/>
                <w:b/>
                <w:bCs/>
                <w:sz w:val="20"/>
                <w:szCs w:val="20"/>
              </w:rPr>
              <w:t>($37.18/hr)</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17B" w:rsidRPr="003E32C1" w:rsidP="00C724C4" w14:paraId="4B74158C" w14:textId="73D66B4C">
            <w:pPr>
              <w:keepNext/>
              <w:keepLines/>
              <w:spacing w:after="0" w:line="240" w:lineRule="auto"/>
              <w:jc w:val="center"/>
              <w:rPr>
                <w:rFonts w:ascii="Arial Narrow" w:hAnsi="Arial Narrow" w:cs="Arial"/>
                <w:b/>
                <w:bCs/>
                <w:sz w:val="20"/>
                <w:szCs w:val="20"/>
              </w:rPr>
            </w:pPr>
            <w:r w:rsidRPr="00B32A36">
              <w:rPr>
                <w:rFonts w:ascii="Arial Narrow" w:hAnsi="Arial Narrow" w:cs="Arial"/>
                <w:b/>
                <w:bCs/>
                <w:sz w:val="20"/>
                <w:szCs w:val="20"/>
              </w:rPr>
              <w:t xml:space="preserve">Technical </w:t>
            </w:r>
          </w:p>
          <w:p w:rsidR="0090072E" w:rsidRPr="000C09A8" w:rsidP="00C724C4" w14:paraId="388200A6" w14:textId="3F6B6EA8">
            <w:pPr>
              <w:keepNext/>
              <w:keepLines/>
              <w:spacing w:after="0" w:line="240" w:lineRule="auto"/>
              <w:jc w:val="center"/>
              <w:rPr>
                <w:rFonts w:ascii="Arial Narrow" w:hAnsi="Arial Narrow" w:cs="Arial"/>
                <w:b/>
                <w:bCs/>
                <w:sz w:val="20"/>
                <w:szCs w:val="20"/>
              </w:rPr>
            </w:pPr>
            <w:r w:rsidRPr="00987BD1">
              <w:rPr>
                <w:rFonts w:ascii="Arial Narrow" w:hAnsi="Arial Narrow" w:cs="Arial"/>
                <w:b/>
                <w:bCs/>
                <w:sz w:val="20"/>
              </w:rPr>
              <w:t>($81.40/hr)</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17B" w:rsidP="00C724C4" w14:paraId="35B55E3F" w14:textId="03DF2572">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 xml:space="preserve">Managerial </w:t>
            </w:r>
          </w:p>
          <w:p w:rsidR="00056DC6" w:rsidRPr="000C09A8" w:rsidP="00C724C4" w14:paraId="6E5FB712" w14:textId="1FDCB57E">
            <w:pPr>
              <w:keepNext/>
              <w:keepLines/>
              <w:spacing w:after="0" w:line="240" w:lineRule="auto"/>
              <w:jc w:val="center"/>
              <w:rPr>
                <w:rFonts w:ascii="Arial Narrow" w:hAnsi="Arial Narrow" w:cs="Arial"/>
                <w:b/>
                <w:bCs/>
                <w:sz w:val="20"/>
                <w:szCs w:val="20"/>
              </w:rPr>
            </w:pPr>
            <w:r w:rsidRPr="00056DC6">
              <w:rPr>
                <w:rFonts w:ascii="Arial Narrow" w:hAnsi="Arial Narrow" w:cs="Arial"/>
                <w:b/>
                <w:bCs/>
                <w:sz w:val="20"/>
                <w:szCs w:val="20"/>
              </w:rPr>
              <w:t>($93.18/hr)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17B" w:rsidRPr="003E32C1" w:rsidP="00C724C4" w14:paraId="139D8F5B" w14:textId="41D44CEB">
            <w:pPr>
              <w:keepNext/>
              <w:keepLines/>
              <w:spacing w:after="0" w:line="240" w:lineRule="auto"/>
              <w:jc w:val="center"/>
              <w:rPr>
                <w:rFonts w:ascii="Arial Narrow" w:hAnsi="Arial Narrow" w:cs="Arial"/>
                <w:b/>
                <w:bCs/>
                <w:sz w:val="20"/>
                <w:szCs w:val="20"/>
              </w:rPr>
            </w:pPr>
            <w:r w:rsidRPr="00B32A36">
              <w:rPr>
                <w:rFonts w:ascii="Arial Narrow" w:hAnsi="Arial Narrow" w:cs="Arial"/>
                <w:b/>
                <w:bCs/>
                <w:sz w:val="20"/>
                <w:szCs w:val="20"/>
              </w:rPr>
              <w:t>Legal</w:t>
            </w:r>
          </w:p>
          <w:p w:rsidR="003E32C1" w:rsidRPr="00B32A36" w:rsidP="00C724C4" w14:paraId="68FF146A" w14:textId="1E915826">
            <w:pPr>
              <w:keepNext/>
              <w:keepLines/>
              <w:spacing w:after="0" w:line="240" w:lineRule="auto"/>
              <w:jc w:val="center"/>
              <w:rPr>
                <w:rFonts w:ascii="Arial Narrow" w:hAnsi="Arial Narrow" w:cs="Arial"/>
                <w:b/>
                <w:bCs/>
                <w:sz w:val="20"/>
                <w:szCs w:val="20"/>
              </w:rPr>
            </w:pPr>
            <w:r w:rsidRPr="00987BD1">
              <w:rPr>
                <w:rFonts w:cs="Arial"/>
                <w:b/>
                <w:bCs/>
                <w:sz w:val="20"/>
              </w:rPr>
              <w:t>($121.28/hr)</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17B" w:rsidRPr="000C09A8" w:rsidP="00C724C4" w14:paraId="1CBF0F7C"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Total</w:t>
            </w:r>
          </w:p>
        </w:tc>
        <w:tc>
          <w:tcPr>
            <w:tcW w:w="1260" w:type="dxa"/>
            <w:vMerge/>
            <w:tcBorders>
              <w:left w:val="single" w:sz="4" w:space="0" w:color="auto"/>
              <w:bottom w:val="single" w:sz="4" w:space="0" w:color="auto"/>
            </w:tcBorders>
            <w:shd w:val="clear" w:color="auto" w:fill="48A9C5"/>
            <w:vAlign w:val="center"/>
            <w:hideMark/>
          </w:tcPr>
          <w:p w:rsidR="003B717B" w:rsidRPr="000C09A8" w:rsidP="003C73B7" w14:paraId="68C1CDE1" w14:textId="77777777">
            <w:pPr>
              <w:keepNext/>
              <w:keepLines/>
              <w:spacing w:after="0" w:line="240" w:lineRule="auto"/>
              <w:rPr>
                <w:rFonts w:ascii="Arial Narrow" w:hAnsi="Arial Narrow" w:cs="Arial"/>
                <w:b/>
                <w:bCs/>
                <w:sz w:val="20"/>
                <w:szCs w:val="20"/>
              </w:rPr>
            </w:pPr>
          </w:p>
        </w:tc>
      </w:tr>
      <w:tr w14:paraId="3BF1570C" w14:textId="77777777" w:rsidTr="0029204D">
        <w:tblPrEx>
          <w:tblW w:w="9990" w:type="dxa"/>
          <w:jc w:val="center"/>
          <w:tblLook w:val="04A0"/>
        </w:tblPrEx>
        <w:trPr>
          <w:trHeight w:val="276"/>
          <w:jc w:val="center"/>
        </w:trPr>
        <w:tc>
          <w:tcPr>
            <w:tcW w:w="9990" w:type="dxa"/>
            <w:gridSpan w:val="7"/>
            <w:shd w:val="clear" w:color="000000" w:fill="auto"/>
            <w:noWrap/>
            <w:vAlign w:val="bottom"/>
            <w:hideMark/>
          </w:tcPr>
          <w:p w:rsidR="003B717B" w:rsidRPr="000C09A8" w:rsidP="00C724C4" w14:paraId="2DC00E4C" w14:textId="77777777">
            <w:pPr>
              <w:keepNext/>
              <w:keepLines/>
              <w:spacing w:after="0" w:line="240" w:lineRule="auto"/>
              <w:rPr>
                <w:rFonts w:ascii="Arial Narrow" w:hAnsi="Arial Narrow" w:cs="Arial"/>
                <w:sz w:val="20"/>
                <w:szCs w:val="20"/>
              </w:rPr>
            </w:pPr>
            <w:r w:rsidRPr="000C09A8">
              <w:rPr>
                <w:rFonts w:ascii="Arial Narrow" w:hAnsi="Arial Narrow" w:cs="Arial"/>
                <w:b/>
                <w:bCs/>
                <w:sz w:val="20"/>
                <w:szCs w:val="20"/>
              </w:rPr>
              <w:t>Intentional Use of Asbestos  (Using Form A)</w:t>
            </w:r>
          </w:p>
        </w:tc>
      </w:tr>
      <w:tr w14:paraId="409F5E0B" w14:textId="77777777" w:rsidTr="00987BD1">
        <w:tblPrEx>
          <w:tblW w:w="9990" w:type="dxa"/>
          <w:jc w:val="center"/>
          <w:tblLook w:val="04A0"/>
        </w:tblPrEx>
        <w:trPr>
          <w:trHeight w:val="276"/>
          <w:jc w:val="center"/>
        </w:trPr>
        <w:tc>
          <w:tcPr>
            <w:tcW w:w="2790" w:type="dxa"/>
            <w:shd w:val="clear" w:color="auto" w:fill="auto"/>
            <w:noWrap/>
            <w:vAlign w:val="center"/>
          </w:tcPr>
          <w:p w:rsidR="004F78BF" w:rsidRPr="000C09A8" w:rsidP="00C724C4" w14:paraId="34A52E3E" w14:textId="77777777">
            <w:pPr>
              <w:pStyle w:val="LTableTextAbt"/>
              <w:spacing w:before="0" w:after="0"/>
              <w:rPr>
                <w:rFonts w:cs="Arial"/>
                <w:color w:val="auto"/>
              </w:rPr>
            </w:pPr>
            <w:r w:rsidRPr="000C09A8">
              <w:rPr>
                <w:rFonts w:cs="Arial"/>
                <w:color w:val="auto"/>
              </w:rPr>
              <w:t>Bulk importers/Primary processors</w:t>
            </w:r>
          </w:p>
        </w:tc>
        <w:tc>
          <w:tcPr>
            <w:tcW w:w="1217" w:type="dxa"/>
            <w:shd w:val="clear" w:color="auto" w:fill="auto"/>
            <w:noWrap/>
          </w:tcPr>
          <w:p w:rsidR="004F78BF" w:rsidRPr="000C09A8" w:rsidP="00326B70" w14:paraId="3FEBD3EB" w14:textId="77777777">
            <w:pPr>
              <w:pStyle w:val="RTableTextAbt"/>
              <w:rPr>
                <w:rFonts w:cs="Arial"/>
                <w:color w:val="auto"/>
              </w:rPr>
            </w:pPr>
            <w:r w:rsidRPr="000C09A8">
              <w:rPr>
                <w:rFonts w:cs="Arial"/>
                <w:color w:val="auto"/>
              </w:rPr>
              <w:t>0.1</w:t>
            </w:r>
          </w:p>
        </w:tc>
        <w:tc>
          <w:tcPr>
            <w:tcW w:w="1217" w:type="dxa"/>
            <w:shd w:val="clear" w:color="auto" w:fill="auto"/>
            <w:noWrap/>
          </w:tcPr>
          <w:p w:rsidR="004F78BF" w:rsidRPr="000C09A8" w:rsidP="00326B70" w14:paraId="552DBE94" w14:textId="77777777">
            <w:pPr>
              <w:pStyle w:val="RTableTextAbt"/>
              <w:rPr>
                <w:rFonts w:cs="Arial"/>
                <w:color w:val="auto"/>
              </w:rPr>
            </w:pPr>
            <w:r w:rsidRPr="000C09A8">
              <w:rPr>
                <w:rFonts w:cs="Arial"/>
                <w:color w:val="auto"/>
              </w:rPr>
              <w:t>6.4</w:t>
            </w:r>
          </w:p>
        </w:tc>
        <w:tc>
          <w:tcPr>
            <w:tcW w:w="1261" w:type="dxa"/>
            <w:shd w:val="clear" w:color="auto" w:fill="auto"/>
            <w:noWrap/>
          </w:tcPr>
          <w:p w:rsidR="004F78BF" w:rsidRPr="000C09A8" w:rsidP="00326B70" w14:paraId="56F5164C" w14:textId="77777777">
            <w:pPr>
              <w:pStyle w:val="RTableTextAbt"/>
              <w:rPr>
                <w:rFonts w:cs="Arial"/>
                <w:color w:val="auto"/>
              </w:rPr>
            </w:pPr>
            <w:r w:rsidRPr="000C09A8">
              <w:rPr>
                <w:rFonts w:cs="Arial"/>
                <w:color w:val="auto"/>
              </w:rPr>
              <w:t>0.4</w:t>
            </w:r>
          </w:p>
        </w:tc>
        <w:tc>
          <w:tcPr>
            <w:tcW w:w="1350" w:type="dxa"/>
            <w:shd w:val="clear" w:color="auto" w:fill="auto"/>
            <w:noWrap/>
          </w:tcPr>
          <w:p w:rsidR="004F78BF" w:rsidRPr="000C09A8" w:rsidP="00326B70" w14:paraId="136535FB" w14:textId="77777777">
            <w:pPr>
              <w:pStyle w:val="RTableTextAbt"/>
              <w:rPr>
                <w:rFonts w:cs="Arial"/>
                <w:color w:val="auto"/>
              </w:rPr>
            </w:pPr>
            <w:r w:rsidRPr="000C09A8">
              <w:rPr>
                <w:rFonts w:cs="Arial"/>
                <w:color w:val="auto"/>
              </w:rPr>
              <w:t>6.7</w:t>
            </w:r>
          </w:p>
        </w:tc>
        <w:tc>
          <w:tcPr>
            <w:tcW w:w="895" w:type="dxa"/>
            <w:shd w:val="clear" w:color="auto" w:fill="auto"/>
            <w:noWrap/>
          </w:tcPr>
          <w:p w:rsidR="004F78BF" w:rsidRPr="000C09A8" w:rsidP="00326B70" w14:paraId="2CD4A5E4" w14:textId="77777777">
            <w:pPr>
              <w:pStyle w:val="RTableTextAbt"/>
              <w:rPr>
                <w:rFonts w:cs="Arial"/>
                <w:color w:val="auto"/>
              </w:rPr>
            </w:pPr>
            <w:r w:rsidRPr="000C09A8">
              <w:rPr>
                <w:rFonts w:cs="Arial"/>
                <w:color w:val="auto"/>
              </w:rPr>
              <w:t>13.6</w:t>
            </w:r>
          </w:p>
        </w:tc>
        <w:tc>
          <w:tcPr>
            <w:tcW w:w="1260" w:type="dxa"/>
            <w:shd w:val="clear" w:color="auto" w:fill="auto"/>
            <w:noWrap/>
            <w:vAlign w:val="center"/>
          </w:tcPr>
          <w:p w:rsidR="004F78BF" w:rsidRPr="000C09A8" w:rsidP="00326B70" w14:paraId="74ECEF25" w14:textId="0897A413">
            <w:pPr>
              <w:pStyle w:val="RTableTextAbt"/>
              <w:rPr>
                <w:rFonts w:cs="Arial"/>
                <w:color w:val="auto"/>
              </w:rPr>
            </w:pPr>
            <w:r>
              <w:rPr>
                <w:rFonts w:cs="Arial"/>
              </w:rPr>
              <w:t xml:space="preserve">$1,375 </w:t>
            </w:r>
          </w:p>
        </w:tc>
      </w:tr>
      <w:tr w14:paraId="62EC6AA0" w14:textId="77777777" w:rsidTr="00987BD1">
        <w:tblPrEx>
          <w:tblW w:w="9990" w:type="dxa"/>
          <w:jc w:val="center"/>
          <w:tblLook w:val="04A0"/>
        </w:tblPrEx>
        <w:trPr>
          <w:trHeight w:val="276"/>
          <w:jc w:val="center"/>
        </w:trPr>
        <w:tc>
          <w:tcPr>
            <w:tcW w:w="2790" w:type="dxa"/>
            <w:shd w:val="clear" w:color="auto" w:fill="auto"/>
            <w:noWrap/>
            <w:vAlign w:val="center"/>
          </w:tcPr>
          <w:p w:rsidR="004F78BF" w:rsidRPr="000C09A8" w:rsidP="00C724C4" w14:paraId="3CE7B2B9" w14:textId="77777777">
            <w:pPr>
              <w:pStyle w:val="LTableTextAbt"/>
              <w:spacing w:before="0" w:after="0"/>
              <w:rPr>
                <w:rFonts w:cs="Arial"/>
                <w:color w:val="auto"/>
              </w:rPr>
            </w:pPr>
            <w:r w:rsidRPr="000C09A8">
              <w:rPr>
                <w:rFonts w:cs="Arial"/>
                <w:color w:val="auto"/>
              </w:rPr>
              <w:t>Secondary processors</w:t>
            </w:r>
            <w:r w:rsidRPr="000C09A8">
              <w:rPr>
                <w:rFonts w:cs="Arial"/>
                <w:color w:val="auto"/>
              </w:rPr>
              <w:t xml:space="preserve"> </w:t>
            </w:r>
          </w:p>
        </w:tc>
        <w:tc>
          <w:tcPr>
            <w:tcW w:w="1217" w:type="dxa"/>
            <w:shd w:val="clear" w:color="auto" w:fill="auto"/>
            <w:noWrap/>
          </w:tcPr>
          <w:p w:rsidR="004F78BF" w:rsidRPr="000C09A8" w:rsidP="00326B70" w14:paraId="1FC03E2C" w14:textId="77777777">
            <w:pPr>
              <w:pStyle w:val="RTableTextAbt"/>
              <w:rPr>
                <w:rFonts w:cs="Arial"/>
                <w:color w:val="auto"/>
              </w:rPr>
            </w:pPr>
            <w:r w:rsidRPr="000C09A8">
              <w:rPr>
                <w:rFonts w:cs="Arial"/>
                <w:color w:val="auto"/>
              </w:rPr>
              <w:t>0.1</w:t>
            </w:r>
          </w:p>
        </w:tc>
        <w:tc>
          <w:tcPr>
            <w:tcW w:w="1217" w:type="dxa"/>
            <w:shd w:val="clear" w:color="auto" w:fill="auto"/>
            <w:noWrap/>
          </w:tcPr>
          <w:p w:rsidR="004F78BF" w:rsidRPr="000C09A8" w:rsidP="00326B70" w14:paraId="2D1DE518" w14:textId="77777777">
            <w:pPr>
              <w:pStyle w:val="RTableTextAbt"/>
              <w:rPr>
                <w:rFonts w:cs="Arial"/>
                <w:color w:val="auto"/>
              </w:rPr>
            </w:pPr>
            <w:r w:rsidRPr="000C09A8">
              <w:rPr>
                <w:rFonts w:cs="Arial"/>
                <w:color w:val="auto"/>
              </w:rPr>
              <w:t>4.9</w:t>
            </w:r>
          </w:p>
        </w:tc>
        <w:tc>
          <w:tcPr>
            <w:tcW w:w="1261" w:type="dxa"/>
            <w:shd w:val="clear" w:color="auto" w:fill="auto"/>
            <w:noWrap/>
          </w:tcPr>
          <w:p w:rsidR="004F78BF" w:rsidRPr="000C09A8" w:rsidP="00326B70" w14:paraId="6EEA8BA7" w14:textId="77777777">
            <w:pPr>
              <w:pStyle w:val="RTableTextAbt"/>
              <w:rPr>
                <w:rFonts w:cs="Arial"/>
                <w:color w:val="auto"/>
              </w:rPr>
            </w:pPr>
            <w:r w:rsidRPr="000C09A8">
              <w:rPr>
                <w:rFonts w:cs="Arial"/>
                <w:color w:val="auto"/>
              </w:rPr>
              <w:t>0.3</w:t>
            </w:r>
          </w:p>
        </w:tc>
        <w:tc>
          <w:tcPr>
            <w:tcW w:w="1350" w:type="dxa"/>
            <w:shd w:val="clear" w:color="auto" w:fill="auto"/>
            <w:noWrap/>
          </w:tcPr>
          <w:p w:rsidR="004F78BF" w:rsidRPr="000C09A8" w:rsidP="00326B70" w14:paraId="36FC7FE0" w14:textId="77777777">
            <w:pPr>
              <w:pStyle w:val="RTableTextAbt"/>
              <w:rPr>
                <w:rFonts w:cs="Arial"/>
                <w:color w:val="auto"/>
              </w:rPr>
            </w:pPr>
            <w:r w:rsidRPr="000C09A8">
              <w:rPr>
                <w:rFonts w:cs="Arial"/>
                <w:color w:val="auto"/>
              </w:rPr>
              <w:t>6.7</w:t>
            </w:r>
          </w:p>
        </w:tc>
        <w:tc>
          <w:tcPr>
            <w:tcW w:w="895" w:type="dxa"/>
            <w:shd w:val="clear" w:color="auto" w:fill="auto"/>
            <w:noWrap/>
          </w:tcPr>
          <w:p w:rsidR="004F78BF" w:rsidRPr="000C09A8" w:rsidP="00326B70" w14:paraId="0FC2981C" w14:textId="77777777">
            <w:pPr>
              <w:pStyle w:val="RTableTextAbt"/>
              <w:rPr>
                <w:rFonts w:cs="Arial"/>
                <w:color w:val="auto"/>
              </w:rPr>
            </w:pPr>
            <w:r w:rsidRPr="000C09A8">
              <w:rPr>
                <w:rFonts w:cs="Arial"/>
                <w:color w:val="auto"/>
              </w:rPr>
              <w:t>12</w:t>
            </w:r>
          </w:p>
        </w:tc>
        <w:tc>
          <w:tcPr>
            <w:tcW w:w="1260" w:type="dxa"/>
            <w:shd w:val="clear" w:color="auto" w:fill="auto"/>
            <w:noWrap/>
            <w:vAlign w:val="center"/>
          </w:tcPr>
          <w:p w:rsidR="004F78BF" w:rsidRPr="000C09A8" w:rsidP="00326B70" w14:paraId="37521495" w14:textId="3C7E1211">
            <w:pPr>
              <w:pStyle w:val="RTableTextAbt"/>
              <w:rPr>
                <w:rFonts w:cs="Arial"/>
                <w:color w:val="auto"/>
              </w:rPr>
            </w:pPr>
            <w:r>
              <w:rPr>
                <w:rFonts w:cs="Arial"/>
              </w:rPr>
              <w:t xml:space="preserve">$1,243 </w:t>
            </w:r>
          </w:p>
        </w:tc>
      </w:tr>
      <w:tr w14:paraId="788FB934" w14:textId="77777777" w:rsidTr="00987BD1">
        <w:tblPrEx>
          <w:tblW w:w="9990" w:type="dxa"/>
          <w:jc w:val="center"/>
          <w:tblLook w:val="04A0"/>
        </w:tblPrEx>
        <w:trPr>
          <w:trHeight w:val="276"/>
          <w:jc w:val="center"/>
        </w:trPr>
        <w:tc>
          <w:tcPr>
            <w:tcW w:w="2790" w:type="dxa"/>
            <w:tcBorders>
              <w:bottom w:val="single" w:sz="4" w:space="0" w:color="auto"/>
            </w:tcBorders>
            <w:shd w:val="clear" w:color="auto" w:fill="auto"/>
            <w:noWrap/>
            <w:vAlign w:val="center"/>
          </w:tcPr>
          <w:p w:rsidR="004F78BF" w:rsidRPr="000C09A8" w:rsidP="00C724C4" w14:paraId="22C35571" w14:textId="77777777">
            <w:pPr>
              <w:pStyle w:val="LTableTextAbt"/>
              <w:spacing w:before="0" w:after="0"/>
              <w:rPr>
                <w:rFonts w:cs="Arial"/>
                <w:color w:val="auto"/>
              </w:rPr>
            </w:pPr>
            <w:r w:rsidRPr="000C09A8">
              <w:rPr>
                <w:rFonts w:cs="Arial"/>
                <w:color w:val="auto"/>
              </w:rPr>
              <w:t>Importers of articles</w:t>
            </w:r>
            <w:r w:rsidRPr="000C09A8">
              <w:rPr>
                <w:rFonts w:cs="Arial"/>
                <w:color w:val="auto"/>
              </w:rPr>
              <w:t xml:space="preserve"> </w:t>
            </w:r>
            <w:r w:rsidRPr="000C09A8">
              <w:rPr>
                <w:rFonts w:cs="Arial"/>
                <w:color w:val="auto"/>
              </w:rPr>
              <w:t>or mixtures</w:t>
            </w:r>
          </w:p>
        </w:tc>
        <w:tc>
          <w:tcPr>
            <w:tcW w:w="1217" w:type="dxa"/>
            <w:tcBorders>
              <w:bottom w:val="single" w:sz="4" w:space="0" w:color="auto"/>
            </w:tcBorders>
            <w:shd w:val="clear" w:color="auto" w:fill="auto"/>
            <w:noWrap/>
          </w:tcPr>
          <w:p w:rsidR="004F78BF" w:rsidRPr="000C09A8" w:rsidP="00326B70" w14:paraId="3AB1974F" w14:textId="77777777">
            <w:pPr>
              <w:pStyle w:val="RTableTextAbt"/>
              <w:rPr>
                <w:rFonts w:cs="Arial"/>
                <w:color w:val="auto"/>
              </w:rPr>
            </w:pPr>
            <w:r w:rsidRPr="000C09A8">
              <w:rPr>
                <w:rFonts w:cs="Arial"/>
                <w:color w:val="auto"/>
              </w:rPr>
              <w:t>0.1</w:t>
            </w:r>
          </w:p>
        </w:tc>
        <w:tc>
          <w:tcPr>
            <w:tcW w:w="1217" w:type="dxa"/>
            <w:tcBorders>
              <w:bottom w:val="single" w:sz="4" w:space="0" w:color="auto"/>
            </w:tcBorders>
            <w:shd w:val="clear" w:color="auto" w:fill="auto"/>
            <w:noWrap/>
          </w:tcPr>
          <w:p w:rsidR="004F78BF" w:rsidRPr="000C09A8" w:rsidP="00326B70" w14:paraId="4A068193" w14:textId="77777777">
            <w:pPr>
              <w:pStyle w:val="RTableTextAbt"/>
              <w:rPr>
                <w:rFonts w:cs="Arial"/>
                <w:color w:val="auto"/>
              </w:rPr>
            </w:pPr>
            <w:r w:rsidRPr="000C09A8">
              <w:rPr>
                <w:rFonts w:cs="Arial"/>
                <w:color w:val="auto"/>
              </w:rPr>
              <w:t>4.9</w:t>
            </w:r>
          </w:p>
        </w:tc>
        <w:tc>
          <w:tcPr>
            <w:tcW w:w="1261" w:type="dxa"/>
            <w:tcBorders>
              <w:bottom w:val="single" w:sz="4" w:space="0" w:color="auto"/>
            </w:tcBorders>
            <w:shd w:val="clear" w:color="auto" w:fill="auto"/>
            <w:noWrap/>
          </w:tcPr>
          <w:p w:rsidR="004F78BF" w:rsidRPr="000C09A8" w:rsidP="00326B70" w14:paraId="76A5B001" w14:textId="77777777">
            <w:pPr>
              <w:pStyle w:val="RTableTextAbt"/>
              <w:rPr>
                <w:rFonts w:cs="Arial"/>
                <w:color w:val="auto"/>
              </w:rPr>
            </w:pPr>
            <w:r w:rsidRPr="000C09A8">
              <w:rPr>
                <w:rFonts w:cs="Arial"/>
                <w:color w:val="auto"/>
              </w:rPr>
              <w:t>0.3</w:t>
            </w:r>
          </w:p>
        </w:tc>
        <w:tc>
          <w:tcPr>
            <w:tcW w:w="1350" w:type="dxa"/>
            <w:tcBorders>
              <w:bottom w:val="single" w:sz="4" w:space="0" w:color="auto"/>
            </w:tcBorders>
            <w:shd w:val="clear" w:color="auto" w:fill="auto"/>
            <w:noWrap/>
          </w:tcPr>
          <w:p w:rsidR="004F78BF" w:rsidRPr="000C09A8" w:rsidP="00326B70" w14:paraId="4D5DFAC4" w14:textId="77777777">
            <w:pPr>
              <w:pStyle w:val="RTableTextAbt"/>
              <w:rPr>
                <w:rFonts w:cs="Arial"/>
                <w:color w:val="auto"/>
              </w:rPr>
            </w:pPr>
            <w:r w:rsidRPr="000C09A8">
              <w:rPr>
                <w:rFonts w:cs="Arial"/>
                <w:color w:val="auto"/>
              </w:rPr>
              <w:t>6.7</w:t>
            </w:r>
          </w:p>
        </w:tc>
        <w:tc>
          <w:tcPr>
            <w:tcW w:w="895" w:type="dxa"/>
            <w:tcBorders>
              <w:bottom w:val="single" w:sz="4" w:space="0" w:color="auto"/>
            </w:tcBorders>
            <w:shd w:val="clear" w:color="auto" w:fill="auto"/>
            <w:noWrap/>
          </w:tcPr>
          <w:p w:rsidR="004F78BF" w:rsidRPr="000C09A8" w:rsidP="00326B70" w14:paraId="296A1A54" w14:textId="77777777">
            <w:pPr>
              <w:pStyle w:val="RTableTextAbt"/>
              <w:rPr>
                <w:rFonts w:cs="Arial"/>
                <w:color w:val="auto"/>
              </w:rPr>
            </w:pPr>
            <w:r w:rsidRPr="000C09A8">
              <w:rPr>
                <w:rFonts w:cs="Arial"/>
                <w:color w:val="auto"/>
              </w:rPr>
              <w:t>12</w:t>
            </w:r>
          </w:p>
        </w:tc>
        <w:tc>
          <w:tcPr>
            <w:tcW w:w="1260" w:type="dxa"/>
            <w:tcBorders>
              <w:bottom w:val="single" w:sz="4" w:space="0" w:color="auto"/>
            </w:tcBorders>
            <w:shd w:val="clear" w:color="auto" w:fill="auto"/>
            <w:noWrap/>
            <w:vAlign w:val="center"/>
          </w:tcPr>
          <w:p w:rsidR="004F78BF" w:rsidRPr="000C09A8" w:rsidP="00326B70" w14:paraId="6680DC49" w14:textId="4B87F39C">
            <w:pPr>
              <w:pStyle w:val="RTableTextAbt"/>
              <w:rPr>
                <w:rFonts w:cs="Arial"/>
                <w:color w:val="auto"/>
              </w:rPr>
            </w:pPr>
            <w:r>
              <w:rPr>
                <w:rFonts w:cs="Arial"/>
              </w:rPr>
              <w:t xml:space="preserve">$1,243 </w:t>
            </w:r>
          </w:p>
        </w:tc>
      </w:tr>
      <w:tr w14:paraId="51645EF4" w14:textId="77777777" w:rsidTr="0029204D">
        <w:tblPrEx>
          <w:tblW w:w="9990" w:type="dxa"/>
          <w:jc w:val="center"/>
          <w:tblLook w:val="04A0"/>
        </w:tblPrEx>
        <w:trPr>
          <w:trHeight w:val="276"/>
          <w:jc w:val="center"/>
        </w:trPr>
        <w:tc>
          <w:tcPr>
            <w:tcW w:w="9990" w:type="dxa"/>
            <w:gridSpan w:val="7"/>
            <w:shd w:val="clear" w:color="auto" w:fill="auto"/>
            <w:noWrap/>
            <w:vAlign w:val="center"/>
          </w:tcPr>
          <w:p w:rsidR="004F78BF" w:rsidRPr="000C09A8" w:rsidP="00C724C4" w14:paraId="3CC0F42E" w14:textId="77777777">
            <w:pPr>
              <w:pStyle w:val="RTableTextAbt"/>
              <w:jc w:val="left"/>
              <w:rPr>
                <w:rFonts w:eastAsia="Times New Roman" w:cs="Arial"/>
                <w:b/>
                <w:color w:val="auto"/>
              </w:rPr>
            </w:pPr>
            <w:r w:rsidRPr="000C09A8">
              <w:rPr>
                <w:rFonts w:eastAsia="Times New Roman" w:cs="Arial"/>
                <w:b/>
                <w:color w:val="auto"/>
              </w:rPr>
              <w:t xml:space="preserve">Asbestos Present </w:t>
            </w:r>
            <w:r w:rsidRPr="000C09A8">
              <w:rPr>
                <w:rFonts w:eastAsia="Times New Roman" w:cs="Arial"/>
                <w:b/>
                <w:color w:val="auto"/>
              </w:rPr>
              <w:t>As</w:t>
            </w:r>
            <w:r w:rsidRPr="000C09A8">
              <w:rPr>
                <w:rFonts w:eastAsia="Times New Roman" w:cs="Arial"/>
                <w:b/>
                <w:color w:val="auto"/>
              </w:rPr>
              <w:t xml:space="preserve"> An Impurity  (</w:t>
            </w:r>
            <w:r w:rsidRPr="000C09A8">
              <w:rPr>
                <w:rFonts w:cs="Arial"/>
                <w:b/>
                <w:bCs w:val="0"/>
                <w:color w:val="auto"/>
              </w:rPr>
              <w:t xml:space="preserve">Using </w:t>
            </w:r>
            <w:r w:rsidRPr="000C09A8">
              <w:rPr>
                <w:rFonts w:eastAsia="Times New Roman" w:cs="Arial"/>
                <w:b/>
                <w:color w:val="auto"/>
              </w:rPr>
              <w:t>Form A)</w:t>
            </w:r>
          </w:p>
        </w:tc>
      </w:tr>
      <w:tr w14:paraId="15EDA0CF" w14:textId="77777777" w:rsidTr="00987BD1">
        <w:tblPrEx>
          <w:tblW w:w="9990" w:type="dxa"/>
          <w:jc w:val="center"/>
          <w:tblLook w:val="04A0"/>
        </w:tblPrEx>
        <w:trPr>
          <w:trHeight w:val="276"/>
          <w:jc w:val="center"/>
        </w:trPr>
        <w:tc>
          <w:tcPr>
            <w:tcW w:w="2790" w:type="dxa"/>
            <w:shd w:val="clear" w:color="auto" w:fill="auto"/>
            <w:noWrap/>
            <w:vAlign w:val="center"/>
          </w:tcPr>
          <w:p w:rsidR="00AF3885" w:rsidRPr="000C09A8" w:rsidP="00C724C4" w14:paraId="129B931B" w14:textId="77777777">
            <w:pPr>
              <w:pStyle w:val="LTableTextAbt"/>
              <w:spacing w:before="0" w:after="0"/>
              <w:rPr>
                <w:rFonts w:cs="Arial"/>
                <w:color w:val="auto"/>
              </w:rPr>
            </w:pPr>
            <w:r w:rsidRPr="000C09A8">
              <w:rPr>
                <w:rFonts w:cs="Arial"/>
                <w:color w:val="auto"/>
              </w:rPr>
              <w:t xml:space="preserve">Bulk manufacturers or importers/ Primary processors </w:t>
            </w:r>
          </w:p>
        </w:tc>
        <w:tc>
          <w:tcPr>
            <w:tcW w:w="1217" w:type="dxa"/>
            <w:shd w:val="clear" w:color="auto" w:fill="auto"/>
            <w:noWrap/>
          </w:tcPr>
          <w:p w:rsidR="00AF3885" w:rsidRPr="000C09A8" w:rsidP="00326B70" w14:paraId="75672BD3" w14:textId="77777777">
            <w:pPr>
              <w:pStyle w:val="RTableTextAbt"/>
              <w:rPr>
                <w:rFonts w:cs="Arial"/>
                <w:color w:val="auto"/>
              </w:rPr>
            </w:pPr>
            <w:r w:rsidRPr="000C09A8">
              <w:rPr>
                <w:rFonts w:cs="Arial"/>
                <w:color w:val="auto"/>
              </w:rPr>
              <w:t>0.2</w:t>
            </w:r>
          </w:p>
        </w:tc>
        <w:tc>
          <w:tcPr>
            <w:tcW w:w="1217" w:type="dxa"/>
            <w:shd w:val="clear" w:color="auto" w:fill="auto"/>
            <w:noWrap/>
          </w:tcPr>
          <w:p w:rsidR="00AF3885" w:rsidRPr="000C09A8" w:rsidP="00326B70" w14:paraId="120946A0" w14:textId="77777777">
            <w:pPr>
              <w:pStyle w:val="RTableTextAbt"/>
              <w:rPr>
                <w:rFonts w:eastAsia="Times New Roman" w:cs="Arial"/>
                <w:b/>
                <w:color w:val="auto"/>
              </w:rPr>
            </w:pPr>
            <w:r w:rsidRPr="000C09A8">
              <w:rPr>
                <w:rFonts w:cs="Arial"/>
                <w:color w:val="auto"/>
              </w:rPr>
              <w:t>11.3</w:t>
            </w:r>
          </w:p>
        </w:tc>
        <w:tc>
          <w:tcPr>
            <w:tcW w:w="1261" w:type="dxa"/>
            <w:shd w:val="clear" w:color="auto" w:fill="auto"/>
            <w:noWrap/>
          </w:tcPr>
          <w:p w:rsidR="00AF3885" w:rsidRPr="000C09A8" w:rsidP="00326B70" w14:paraId="08E71D1A" w14:textId="77777777">
            <w:pPr>
              <w:pStyle w:val="RTableTextAbt"/>
              <w:rPr>
                <w:rFonts w:cs="Arial"/>
                <w:color w:val="auto"/>
              </w:rPr>
            </w:pPr>
            <w:r w:rsidRPr="000C09A8">
              <w:rPr>
                <w:rFonts w:cs="Arial"/>
                <w:color w:val="auto"/>
              </w:rPr>
              <w:t>0.7</w:t>
            </w:r>
          </w:p>
        </w:tc>
        <w:tc>
          <w:tcPr>
            <w:tcW w:w="1350" w:type="dxa"/>
            <w:shd w:val="clear" w:color="auto" w:fill="auto"/>
            <w:noWrap/>
          </w:tcPr>
          <w:p w:rsidR="00AF3885" w:rsidRPr="000C09A8" w:rsidP="00326B70" w14:paraId="25543208" w14:textId="77777777">
            <w:pPr>
              <w:pStyle w:val="RTableTextAbt"/>
              <w:rPr>
                <w:rFonts w:cs="Arial"/>
                <w:color w:val="auto"/>
              </w:rPr>
            </w:pPr>
            <w:r w:rsidRPr="000C09A8">
              <w:rPr>
                <w:rFonts w:cs="Arial"/>
                <w:color w:val="auto"/>
              </w:rPr>
              <w:t>6.7</w:t>
            </w:r>
          </w:p>
        </w:tc>
        <w:tc>
          <w:tcPr>
            <w:tcW w:w="895" w:type="dxa"/>
            <w:shd w:val="clear" w:color="auto" w:fill="auto"/>
            <w:noWrap/>
          </w:tcPr>
          <w:p w:rsidR="00AF3885" w:rsidRPr="000C09A8" w:rsidP="00326B70" w14:paraId="2A10309A" w14:textId="77777777">
            <w:pPr>
              <w:pStyle w:val="RTableTextAbt"/>
              <w:rPr>
                <w:rFonts w:cs="Arial"/>
                <w:color w:val="auto"/>
              </w:rPr>
            </w:pPr>
            <w:r w:rsidRPr="000C09A8">
              <w:rPr>
                <w:rFonts w:cs="Arial"/>
                <w:color w:val="auto"/>
              </w:rPr>
              <w:t>18.9</w:t>
            </w:r>
          </w:p>
        </w:tc>
        <w:tc>
          <w:tcPr>
            <w:tcW w:w="1260" w:type="dxa"/>
            <w:shd w:val="clear" w:color="auto" w:fill="auto"/>
            <w:noWrap/>
            <w:vAlign w:val="center"/>
          </w:tcPr>
          <w:p w:rsidR="00AF3885" w:rsidRPr="000C09A8" w:rsidP="00326B70" w14:paraId="4A2559AA" w14:textId="399994EB">
            <w:pPr>
              <w:pStyle w:val="RTableTextAbt"/>
              <w:rPr>
                <w:rFonts w:cs="Arial"/>
                <w:color w:val="auto"/>
              </w:rPr>
            </w:pPr>
            <w:r>
              <w:rPr>
                <w:rFonts w:cs="Arial"/>
              </w:rPr>
              <w:t xml:space="preserve">$1,805 </w:t>
            </w:r>
          </w:p>
        </w:tc>
      </w:tr>
      <w:tr w14:paraId="7D3689AB" w14:textId="77777777" w:rsidTr="00987BD1">
        <w:tblPrEx>
          <w:tblW w:w="9990" w:type="dxa"/>
          <w:jc w:val="center"/>
          <w:tblLook w:val="04A0"/>
        </w:tblPrEx>
        <w:trPr>
          <w:trHeight w:val="276"/>
          <w:jc w:val="center"/>
        </w:trPr>
        <w:tc>
          <w:tcPr>
            <w:tcW w:w="2790" w:type="dxa"/>
            <w:shd w:val="clear" w:color="auto" w:fill="auto"/>
            <w:noWrap/>
            <w:vAlign w:val="center"/>
          </w:tcPr>
          <w:p w:rsidR="00AF3885" w:rsidRPr="000C09A8" w:rsidP="00C724C4" w14:paraId="583ED4B4" w14:textId="77777777">
            <w:pPr>
              <w:pStyle w:val="LTableTextAbt"/>
              <w:spacing w:before="0" w:after="0"/>
              <w:rPr>
                <w:rFonts w:cs="Arial"/>
                <w:color w:val="auto"/>
              </w:rPr>
            </w:pPr>
            <w:r w:rsidRPr="000C09A8">
              <w:rPr>
                <w:rFonts w:cs="Arial"/>
                <w:color w:val="auto"/>
              </w:rPr>
              <w:t>Secondary processors</w:t>
            </w:r>
            <w:r w:rsidRPr="000C09A8">
              <w:rPr>
                <w:rFonts w:cs="Arial"/>
                <w:color w:val="auto"/>
              </w:rPr>
              <w:t xml:space="preserve"> </w:t>
            </w:r>
          </w:p>
        </w:tc>
        <w:tc>
          <w:tcPr>
            <w:tcW w:w="1217" w:type="dxa"/>
            <w:shd w:val="clear" w:color="auto" w:fill="auto"/>
            <w:noWrap/>
          </w:tcPr>
          <w:p w:rsidR="00AF3885" w:rsidRPr="000C09A8" w:rsidP="00326B70" w14:paraId="7D72DD5F" w14:textId="77777777">
            <w:pPr>
              <w:pStyle w:val="RTableTextAbt"/>
              <w:rPr>
                <w:rFonts w:cs="Arial"/>
                <w:color w:val="auto"/>
              </w:rPr>
            </w:pPr>
            <w:r w:rsidRPr="000C09A8">
              <w:rPr>
                <w:rFonts w:cs="Arial"/>
                <w:color w:val="auto"/>
              </w:rPr>
              <w:t>0.2</w:t>
            </w:r>
          </w:p>
        </w:tc>
        <w:tc>
          <w:tcPr>
            <w:tcW w:w="1217" w:type="dxa"/>
            <w:shd w:val="clear" w:color="auto" w:fill="auto"/>
            <w:noWrap/>
          </w:tcPr>
          <w:p w:rsidR="00AF3885" w:rsidRPr="000C09A8" w:rsidP="00326B70" w14:paraId="3AA37980" w14:textId="77777777">
            <w:pPr>
              <w:pStyle w:val="RTableTextAbt"/>
              <w:rPr>
                <w:rFonts w:cs="Arial"/>
                <w:color w:val="auto"/>
              </w:rPr>
            </w:pPr>
            <w:r w:rsidRPr="000C09A8">
              <w:rPr>
                <w:rFonts w:cs="Arial"/>
                <w:color w:val="auto"/>
              </w:rPr>
              <w:t>9.8</w:t>
            </w:r>
          </w:p>
        </w:tc>
        <w:tc>
          <w:tcPr>
            <w:tcW w:w="1261" w:type="dxa"/>
            <w:shd w:val="clear" w:color="auto" w:fill="auto"/>
            <w:noWrap/>
          </w:tcPr>
          <w:p w:rsidR="00AF3885" w:rsidRPr="000C09A8" w:rsidP="00326B70" w14:paraId="2C79043C" w14:textId="77777777">
            <w:pPr>
              <w:pStyle w:val="RTableTextAbt"/>
              <w:rPr>
                <w:rFonts w:cs="Arial"/>
                <w:color w:val="auto"/>
              </w:rPr>
            </w:pPr>
            <w:r w:rsidRPr="000C09A8">
              <w:rPr>
                <w:rFonts w:cs="Arial"/>
                <w:color w:val="auto"/>
              </w:rPr>
              <w:t>0.6</w:t>
            </w:r>
          </w:p>
        </w:tc>
        <w:tc>
          <w:tcPr>
            <w:tcW w:w="1350" w:type="dxa"/>
            <w:shd w:val="clear" w:color="auto" w:fill="auto"/>
            <w:noWrap/>
          </w:tcPr>
          <w:p w:rsidR="00AF3885" w:rsidRPr="000C09A8" w:rsidP="00326B70" w14:paraId="39A43861" w14:textId="77777777">
            <w:pPr>
              <w:pStyle w:val="RTableTextAbt"/>
              <w:rPr>
                <w:rFonts w:cs="Arial"/>
                <w:color w:val="auto"/>
              </w:rPr>
            </w:pPr>
            <w:r w:rsidRPr="000C09A8">
              <w:rPr>
                <w:rFonts w:cs="Arial"/>
                <w:color w:val="auto"/>
              </w:rPr>
              <w:t>6.7</w:t>
            </w:r>
          </w:p>
        </w:tc>
        <w:tc>
          <w:tcPr>
            <w:tcW w:w="895" w:type="dxa"/>
            <w:shd w:val="clear" w:color="auto" w:fill="auto"/>
            <w:noWrap/>
          </w:tcPr>
          <w:p w:rsidR="00AF3885" w:rsidRPr="000C09A8" w:rsidP="00326B70" w14:paraId="6C13BF1F" w14:textId="77777777">
            <w:pPr>
              <w:pStyle w:val="RTableTextAbt"/>
              <w:rPr>
                <w:rFonts w:cs="Arial"/>
                <w:color w:val="auto"/>
              </w:rPr>
            </w:pPr>
            <w:r w:rsidRPr="000C09A8">
              <w:rPr>
                <w:rFonts w:cs="Arial"/>
                <w:color w:val="auto"/>
              </w:rPr>
              <w:t>17.3</w:t>
            </w:r>
          </w:p>
        </w:tc>
        <w:tc>
          <w:tcPr>
            <w:tcW w:w="1260" w:type="dxa"/>
            <w:shd w:val="clear" w:color="auto" w:fill="auto"/>
            <w:noWrap/>
            <w:vAlign w:val="center"/>
          </w:tcPr>
          <w:p w:rsidR="00AF3885" w:rsidRPr="000C09A8" w:rsidP="00326B70" w14:paraId="4C97F8F4" w14:textId="53F2CEC4">
            <w:pPr>
              <w:pStyle w:val="RTableTextAbt"/>
              <w:rPr>
                <w:rFonts w:cs="Arial"/>
                <w:color w:val="auto"/>
              </w:rPr>
            </w:pPr>
            <w:r>
              <w:rPr>
                <w:rFonts w:cs="Arial"/>
              </w:rPr>
              <w:t xml:space="preserve">$1,674 </w:t>
            </w:r>
          </w:p>
        </w:tc>
      </w:tr>
      <w:tr w14:paraId="136EF76C" w14:textId="77777777" w:rsidTr="00987BD1">
        <w:tblPrEx>
          <w:tblW w:w="9990" w:type="dxa"/>
          <w:jc w:val="center"/>
          <w:tblLook w:val="04A0"/>
        </w:tblPrEx>
        <w:trPr>
          <w:trHeight w:val="276"/>
          <w:jc w:val="center"/>
        </w:trPr>
        <w:tc>
          <w:tcPr>
            <w:tcW w:w="2790" w:type="dxa"/>
            <w:tcBorders>
              <w:bottom w:val="single" w:sz="4" w:space="0" w:color="auto"/>
            </w:tcBorders>
            <w:shd w:val="clear" w:color="auto" w:fill="auto"/>
            <w:noWrap/>
            <w:vAlign w:val="center"/>
          </w:tcPr>
          <w:p w:rsidR="00AF3885" w:rsidRPr="000C09A8" w:rsidP="00C724C4" w14:paraId="304C6DF1" w14:textId="77777777">
            <w:pPr>
              <w:pStyle w:val="LTableTextAbt"/>
              <w:spacing w:before="0" w:after="0"/>
              <w:rPr>
                <w:rFonts w:cs="Arial"/>
                <w:color w:val="auto"/>
              </w:rPr>
            </w:pPr>
            <w:r w:rsidRPr="000C09A8">
              <w:rPr>
                <w:rFonts w:cs="Arial"/>
                <w:color w:val="auto"/>
              </w:rPr>
              <w:t>Importers of articles</w:t>
            </w:r>
            <w:r w:rsidRPr="000C09A8">
              <w:rPr>
                <w:rFonts w:cs="Arial"/>
                <w:color w:val="auto"/>
              </w:rPr>
              <w:t xml:space="preserve"> </w:t>
            </w:r>
            <w:r w:rsidRPr="000C09A8">
              <w:rPr>
                <w:rFonts w:cs="Arial"/>
                <w:color w:val="auto"/>
              </w:rPr>
              <w:t>or mixtures</w:t>
            </w:r>
          </w:p>
        </w:tc>
        <w:tc>
          <w:tcPr>
            <w:tcW w:w="1217" w:type="dxa"/>
            <w:tcBorders>
              <w:bottom w:val="single" w:sz="4" w:space="0" w:color="auto"/>
            </w:tcBorders>
            <w:shd w:val="clear" w:color="auto" w:fill="auto"/>
            <w:noWrap/>
          </w:tcPr>
          <w:p w:rsidR="00AF3885" w:rsidRPr="000C09A8" w:rsidP="00326B70" w14:paraId="7F228419" w14:textId="77777777">
            <w:pPr>
              <w:pStyle w:val="RTableTextAbt"/>
              <w:rPr>
                <w:rFonts w:cs="Arial"/>
                <w:color w:val="auto"/>
              </w:rPr>
            </w:pPr>
            <w:r w:rsidRPr="000C09A8">
              <w:rPr>
                <w:rFonts w:cs="Arial"/>
                <w:color w:val="auto"/>
              </w:rPr>
              <w:t>0.2</w:t>
            </w:r>
          </w:p>
        </w:tc>
        <w:tc>
          <w:tcPr>
            <w:tcW w:w="1217" w:type="dxa"/>
            <w:tcBorders>
              <w:bottom w:val="single" w:sz="4" w:space="0" w:color="auto"/>
            </w:tcBorders>
            <w:shd w:val="clear" w:color="auto" w:fill="auto"/>
            <w:noWrap/>
          </w:tcPr>
          <w:p w:rsidR="00AF3885" w:rsidRPr="000C09A8" w:rsidP="00326B70" w14:paraId="6A32B335" w14:textId="77777777">
            <w:pPr>
              <w:pStyle w:val="RTableTextAbt"/>
              <w:rPr>
                <w:rFonts w:cs="Arial"/>
                <w:color w:val="auto"/>
              </w:rPr>
            </w:pPr>
            <w:r w:rsidRPr="000C09A8">
              <w:rPr>
                <w:rFonts w:cs="Arial"/>
                <w:color w:val="auto"/>
              </w:rPr>
              <w:t>9.8</w:t>
            </w:r>
          </w:p>
        </w:tc>
        <w:tc>
          <w:tcPr>
            <w:tcW w:w="1261" w:type="dxa"/>
            <w:tcBorders>
              <w:bottom w:val="single" w:sz="4" w:space="0" w:color="auto"/>
            </w:tcBorders>
            <w:shd w:val="clear" w:color="auto" w:fill="auto"/>
            <w:noWrap/>
          </w:tcPr>
          <w:p w:rsidR="00AF3885" w:rsidRPr="000C09A8" w:rsidP="00326B70" w14:paraId="3611E979" w14:textId="77777777">
            <w:pPr>
              <w:pStyle w:val="RTableTextAbt"/>
              <w:rPr>
                <w:rFonts w:cs="Arial"/>
                <w:color w:val="auto"/>
              </w:rPr>
            </w:pPr>
            <w:r w:rsidRPr="000C09A8">
              <w:rPr>
                <w:rFonts w:cs="Arial"/>
                <w:color w:val="auto"/>
              </w:rPr>
              <w:t>0.6</w:t>
            </w:r>
          </w:p>
        </w:tc>
        <w:tc>
          <w:tcPr>
            <w:tcW w:w="1350" w:type="dxa"/>
            <w:tcBorders>
              <w:bottom w:val="single" w:sz="4" w:space="0" w:color="auto"/>
            </w:tcBorders>
            <w:shd w:val="clear" w:color="auto" w:fill="auto"/>
            <w:noWrap/>
          </w:tcPr>
          <w:p w:rsidR="00AF3885" w:rsidRPr="000C09A8" w:rsidP="00326B70" w14:paraId="68368C0A" w14:textId="77777777">
            <w:pPr>
              <w:pStyle w:val="RTableTextAbt"/>
              <w:rPr>
                <w:rFonts w:cs="Arial"/>
                <w:color w:val="auto"/>
              </w:rPr>
            </w:pPr>
            <w:r w:rsidRPr="000C09A8">
              <w:rPr>
                <w:rFonts w:cs="Arial"/>
                <w:color w:val="auto"/>
              </w:rPr>
              <w:t>6.7</w:t>
            </w:r>
          </w:p>
        </w:tc>
        <w:tc>
          <w:tcPr>
            <w:tcW w:w="895" w:type="dxa"/>
            <w:tcBorders>
              <w:bottom w:val="single" w:sz="4" w:space="0" w:color="auto"/>
            </w:tcBorders>
            <w:shd w:val="clear" w:color="auto" w:fill="auto"/>
            <w:noWrap/>
          </w:tcPr>
          <w:p w:rsidR="00AF3885" w:rsidRPr="000C09A8" w:rsidP="00326B70" w14:paraId="0FA7479C" w14:textId="77777777">
            <w:pPr>
              <w:pStyle w:val="RTableTextAbt"/>
              <w:rPr>
                <w:rFonts w:cs="Arial"/>
                <w:color w:val="auto"/>
              </w:rPr>
            </w:pPr>
            <w:r w:rsidRPr="000C09A8">
              <w:rPr>
                <w:rFonts w:cs="Arial"/>
                <w:color w:val="auto"/>
              </w:rPr>
              <w:t>17.3</w:t>
            </w:r>
          </w:p>
        </w:tc>
        <w:tc>
          <w:tcPr>
            <w:tcW w:w="1260" w:type="dxa"/>
            <w:tcBorders>
              <w:bottom w:val="single" w:sz="4" w:space="0" w:color="auto"/>
            </w:tcBorders>
            <w:shd w:val="clear" w:color="auto" w:fill="auto"/>
            <w:noWrap/>
            <w:vAlign w:val="center"/>
          </w:tcPr>
          <w:p w:rsidR="00AF3885" w:rsidRPr="000C09A8" w:rsidP="00326B70" w14:paraId="1F72D556" w14:textId="24F3156A">
            <w:pPr>
              <w:pStyle w:val="RTableTextAbt"/>
              <w:rPr>
                <w:rFonts w:cs="Arial"/>
                <w:color w:val="auto"/>
              </w:rPr>
            </w:pPr>
            <w:r>
              <w:rPr>
                <w:rFonts w:cs="Arial"/>
              </w:rPr>
              <w:t xml:space="preserve">$1,674 </w:t>
            </w:r>
          </w:p>
        </w:tc>
      </w:tr>
      <w:tr w14:paraId="36063CC8" w14:textId="77777777" w:rsidTr="0029204D">
        <w:tblPrEx>
          <w:tblW w:w="9990" w:type="dxa"/>
          <w:jc w:val="center"/>
          <w:tblLook w:val="04A0"/>
        </w:tblPrEx>
        <w:trPr>
          <w:trHeight w:val="276"/>
          <w:jc w:val="center"/>
        </w:trPr>
        <w:tc>
          <w:tcPr>
            <w:tcW w:w="9990" w:type="dxa"/>
            <w:gridSpan w:val="7"/>
            <w:shd w:val="clear" w:color="000000" w:fill="auto"/>
            <w:noWrap/>
            <w:vAlign w:val="bottom"/>
            <w:hideMark/>
          </w:tcPr>
          <w:p w:rsidR="00AF3885" w:rsidRPr="000C09A8" w:rsidP="00C724C4" w14:paraId="2316A009" w14:textId="77777777">
            <w:pPr>
              <w:keepNext/>
              <w:keepLines/>
              <w:spacing w:after="0" w:line="240" w:lineRule="auto"/>
              <w:rPr>
                <w:rFonts w:ascii="Arial Narrow" w:hAnsi="Arial Narrow" w:cs="Arial"/>
                <w:sz w:val="20"/>
                <w:szCs w:val="20"/>
              </w:rPr>
            </w:pPr>
            <w:r w:rsidRPr="000C09A8">
              <w:rPr>
                <w:rFonts w:ascii="Arial Narrow" w:hAnsi="Arial Narrow" w:cs="Arial"/>
                <w:b/>
                <w:bCs/>
                <w:sz w:val="20"/>
                <w:szCs w:val="20"/>
              </w:rPr>
              <w:t>Intentional Use of Asbestos  (Using Form B)</w:t>
            </w:r>
          </w:p>
        </w:tc>
      </w:tr>
      <w:tr w14:paraId="2ABD2948" w14:textId="77777777" w:rsidTr="0029204D">
        <w:tblPrEx>
          <w:tblW w:w="9990" w:type="dxa"/>
          <w:jc w:val="center"/>
          <w:tblLook w:val="04A0"/>
        </w:tblPrEx>
        <w:trPr>
          <w:trHeight w:val="276"/>
          <w:jc w:val="center"/>
        </w:trPr>
        <w:tc>
          <w:tcPr>
            <w:tcW w:w="2790" w:type="dxa"/>
            <w:shd w:val="clear" w:color="auto" w:fill="auto"/>
            <w:noWrap/>
            <w:vAlign w:val="center"/>
          </w:tcPr>
          <w:p w:rsidR="00FC5C10" w:rsidRPr="000C09A8" w:rsidP="00C724C4" w14:paraId="28569162" w14:textId="77777777">
            <w:pPr>
              <w:pStyle w:val="LTableTextAbt"/>
              <w:spacing w:before="0" w:after="0"/>
              <w:rPr>
                <w:rFonts w:cs="Arial"/>
                <w:color w:val="auto"/>
              </w:rPr>
            </w:pPr>
            <w:r w:rsidRPr="000C09A8">
              <w:rPr>
                <w:rFonts w:cs="Arial"/>
                <w:color w:val="auto"/>
              </w:rPr>
              <w:t>Bulk importers/Primary processors</w:t>
            </w:r>
          </w:p>
        </w:tc>
        <w:tc>
          <w:tcPr>
            <w:tcW w:w="1217" w:type="dxa"/>
            <w:shd w:val="clear" w:color="auto" w:fill="auto"/>
            <w:noWrap/>
            <w:vAlign w:val="center"/>
          </w:tcPr>
          <w:p w:rsidR="00FC5C10" w:rsidRPr="000C09A8" w:rsidP="00326B70" w14:paraId="1C143671" w14:textId="77777777">
            <w:pPr>
              <w:pStyle w:val="RTableTextAbt"/>
              <w:rPr>
                <w:rFonts w:cs="Arial"/>
                <w:color w:val="auto"/>
              </w:rPr>
            </w:pPr>
            <w:r w:rsidRPr="000C09A8">
              <w:rPr>
                <w:rFonts w:cs="Arial"/>
                <w:color w:val="auto"/>
              </w:rPr>
              <w:t>0.4</w:t>
            </w:r>
          </w:p>
        </w:tc>
        <w:tc>
          <w:tcPr>
            <w:tcW w:w="1217" w:type="dxa"/>
            <w:shd w:val="clear" w:color="auto" w:fill="auto"/>
            <w:noWrap/>
            <w:vAlign w:val="center"/>
          </w:tcPr>
          <w:p w:rsidR="00FC5C10" w:rsidRPr="000C09A8" w:rsidP="00326B70" w14:paraId="4E795EB9" w14:textId="77777777">
            <w:pPr>
              <w:pStyle w:val="RTableTextAbt"/>
              <w:rPr>
                <w:rFonts w:cs="Arial"/>
                <w:color w:val="auto"/>
              </w:rPr>
            </w:pPr>
            <w:r w:rsidRPr="000C09A8">
              <w:rPr>
                <w:rFonts w:cs="Arial"/>
                <w:color w:val="auto"/>
              </w:rPr>
              <w:t>17.6</w:t>
            </w:r>
          </w:p>
        </w:tc>
        <w:tc>
          <w:tcPr>
            <w:tcW w:w="1261" w:type="dxa"/>
            <w:shd w:val="clear" w:color="auto" w:fill="auto"/>
            <w:noWrap/>
            <w:vAlign w:val="center"/>
          </w:tcPr>
          <w:p w:rsidR="00FC5C10" w:rsidRPr="000C09A8" w:rsidP="00326B70" w14:paraId="2133B899" w14:textId="77777777">
            <w:pPr>
              <w:pStyle w:val="RTableTextAbt"/>
              <w:rPr>
                <w:rFonts w:cs="Arial"/>
                <w:color w:val="auto"/>
              </w:rPr>
            </w:pPr>
            <w:r w:rsidRPr="000C09A8">
              <w:rPr>
                <w:rFonts w:cs="Arial"/>
                <w:color w:val="auto"/>
              </w:rPr>
              <w:t>1.2</w:t>
            </w:r>
          </w:p>
        </w:tc>
        <w:tc>
          <w:tcPr>
            <w:tcW w:w="1350" w:type="dxa"/>
            <w:shd w:val="clear" w:color="auto" w:fill="auto"/>
            <w:noWrap/>
            <w:vAlign w:val="center"/>
          </w:tcPr>
          <w:p w:rsidR="00FC5C10" w:rsidRPr="000C09A8" w:rsidP="00326B70" w14:paraId="583D93CE"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00FC5C10" w:rsidRPr="000C09A8" w:rsidP="00326B70" w14:paraId="4D5C37F4" w14:textId="77777777">
            <w:pPr>
              <w:pStyle w:val="RTableTextAbt"/>
              <w:rPr>
                <w:rFonts w:cs="Arial"/>
                <w:color w:val="auto"/>
              </w:rPr>
            </w:pPr>
            <w:r w:rsidRPr="000C09A8">
              <w:rPr>
                <w:rFonts w:cs="Arial"/>
                <w:color w:val="auto"/>
              </w:rPr>
              <w:t>25.9</w:t>
            </w:r>
          </w:p>
        </w:tc>
        <w:tc>
          <w:tcPr>
            <w:tcW w:w="1260" w:type="dxa"/>
            <w:shd w:val="clear" w:color="auto" w:fill="auto"/>
            <w:noWrap/>
            <w:vAlign w:val="center"/>
          </w:tcPr>
          <w:p w:rsidR="00FC5C10" w:rsidRPr="000C09A8" w:rsidP="00326B70" w14:paraId="65DB579E" w14:textId="1C893FAD">
            <w:pPr>
              <w:pStyle w:val="RTableTextAbt"/>
              <w:rPr>
                <w:rFonts w:cs="Arial"/>
                <w:color w:val="auto"/>
              </w:rPr>
            </w:pPr>
            <w:r>
              <w:rPr>
                <w:rFonts w:cs="Arial"/>
              </w:rPr>
              <w:t xml:space="preserve">$2,372 </w:t>
            </w:r>
          </w:p>
        </w:tc>
      </w:tr>
      <w:tr w14:paraId="203225C9" w14:textId="77777777" w:rsidTr="0029204D">
        <w:tblPrEx>
          <w:tblW w:w="9990" w:type="dxa"/>
          <w:jc w:val="center"/>
          <w:tblLook w:val="04A0"/>
        </w:tblPrEx>
        <w:trPr>
          <w:trHeight w:val="276"/>
          <w:jc w:val="center"/>
        </w:trPr>
        <w:tc>
          <w:tcPr>
            <w:tcW w:w="2790" w:type="dxa"/>
            <w:shd w:val="clear" w:color="auto" w:fill="auto"/>
            <w:noWrap/>
            <w:vAlign w:val="center"/>
          </w:tcPr>
          <w:p w:rsidR="00FC5C10" w:rsidRPr="000C09A8" w:rsidP="00C724C4" w14:paraId="35E583AD" w14:textId="77777777">
            <w:pPr>
              <w:pStyle w:val="LTableTextAbt"/>
              <w:spacing w:before="0" w:after="0"/>
              <w:rPr>
                <w:rFonts w:cs="Arial"/>
                <w:color w:val="auto"/>
              </w:rPr>
            </w:pPr>
            <w:r w:rsidRPr="000C09A8">
              <w:rPr>
                <w:rFonts w:cs="Arial"/>
                <w:color w:val="auto"/>
              </w:rPr>
              <w:t>Secondary processors</w:t>
            </w:r>
            <w:r w:rsidRPr="000C09A8">
              <w:rPr>
                <w:rFonts w:cs="Arial"/>
                <w:color w:val="auto"/>
              </w:rPr>
              <w:t xml:space="preserve"> </w:t>
            </w:r>
          </w:p>
        </w:tc>
        <w:tc>
          <w:tcPr>
            <w:tcW w:w="1217" w:type="dxa"/>
            <w:shd w:val="clear" w:color="auto" w:fill="auto"/>
            <w:noWrap/>
            <w:vAlign w:val="center"/>
          </w:tcPr>
          <w:p w:rsidR="00FC5C10" w:rsidRPr="000C09A8" w:rsidP="00326B70" w14:paraId="40F9597E" w14:textId="77777777">
            <w:pPr>
              <w:pStyle w:val="RTableTextAbt"/>
              <w:rPr>
                <w:rFonts w:cs="Arial"/>
                <w:color w:val="auto"/>
              </w:rPr>
            </w:pPr>
            <w:r w:rsidRPr="000C09A8">
              <w:rPr>
                <w:rFonts w:cs="Arial"/>
                <w:color w:val="auto"/>
              </w:rPr>
              <w:t>0.3</w:t>
            </w:r>
          </w:p>
        </w:tc>
        <w:tc>
          <w:tcPr>
            <w:tcW w:w="1217" w:type="dxa"/>
            <w:shd w:val="clear" w:color="auto" w:fill="auto"/>
            <w:noWrap/>
            <w:vAlign w:val="center"/>
          </w:tcPr>
          <w:p w:rsidR="00FC5C10" w:rsidRPr="000C09A8" w:rsidP="00326B70" w14:paraId="38EB01DA" w14:textId="77777777">
            <w:pPr>
              <w:pStyle w:val="RTableTextAbt"/>
              <w:rPr>
                <w:rFonts w:cs="Arial"/>
                <w:color w:val="auto"/>
              </w:rPr>
            </w:pPr>
            <w:r w:rsidRPr="000C09A8">
              <w:rPr>
                <w:rFonts w:cs="Arial"/>
                <w:color w:val="auto"/>
              </w:rPr>
              <w:t>14</w:t>
            </w:r>
          </w:p>
        </w:tc>
        <w:tc>
          <w:tcPr>
            <w:tcW w:w="1261" w:type="dxa"/>
            <w:shd w:val="clear" w:color="auto" w:fill="auto"/>
            <w:noWrap/>
            <w:vAlign w:val="center"/>
          </w:tcPr>
          <w:p w:rsidR="00FC5C10" w:rsidRPr="000C09A8" w:rsidP="00326B70" w14:paraId="2AB2E230" w14:textId="77777777">
            <w:pPr>
              <w:pStyle w:val="RTableTextAbt"/>
              <w:rPr>
                <w:rFonts w:cs="Arial"/>
                <w:color w:val="auto"/>
              </w:rPr>
            </w:pPr>
            <w:r w:rsidRPr="000C09A8">
              <w:rPr>
                <w:rFonts w:cs="Arial"/>
                <w:color w:val="auto"/>
              </w:rPr>
              <w:t>0.9</w:t>
            </w:r>
          </w:p>
        </w:tc>
        <w:tc>
          <w:tcPr>
            <w:tcW w:w="1350" w:type="dxa"/>
            <w:shd w:val="clear" w:color="auto" w:fill="auto"/>
            <w:noWrap/>
            <w:vAlign w:val="center"/>
          </w:tcPr>
          <w:p w:rsidR="00FC5C10" w:rsidRPr="000C09A8" w:rsidP="00326B70" w14:paraId="2B9C04AF"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00FC5C10" w:rsidRPr="000C09A8" w:rsidP="00326B70" w14:paraId="1B6C7EB9" w14:textId="77777777">
            <w:pPr>
              <w:pStyle w:val="RTableTextAbt"/>
              <w:rPr>
                <w:rFonts w:cs="Arial"/>
                <w:color w:val="auto"/>
              </w:rPr>
            </w:pPr>
            <w:r w:rsidRPr="000C09A8">
              <w:rPr>
                <w:rFonts w:cs="Arial"/>
                <w:color w:val="auto"/>
              </w:rPr>
              <w:t>21.9</w:t>
            </w:r>
          </w:p>
        </w:tc>
        <w:tc>
          <w:tcPr>
            <w:tcW w:w="1260" w:type="dxa"/>
            <w:shd w:val="clear" w:color="auto" w:fill="auto"/>
            <w:noWrap/>
            <w:vAlign w:val="center"/>
          </w:tcPr>
          <w:p w:rsidR="00FC5C10" w:rsidRPr="000C09A8" w:rsidP="00326B70" w14:paraId="2C464E2F" w14:textId="585CA437">
            <w:pPr>
              <w:pStyle w:val="RTableTextAbt"/>
              <w:rPr>
                <w:rFonts w:cs="Arial"/>
                <w:color w:val="auto"/>
              </w:rPr>
            </w:pPr>
            <w:r>
              <w:rPr>
                <w:rFonts w:cs="Arial"/>
              </w:rPr>
              <w:t xml:space="preserve">$2,047 </w:t>
            </w:r>
          </w:p>
        </w:tc>
      </w:tr>
      <w:tr w14:paraId="0A5C1E9B" w14:textId="77777777" w:rsidTr="0029204D">
        <w:tblPrEx>
          <w:tblW w:w="9990" w:type="dxa"/>
          <w:jc w:val="center"/>
          <w:tblLook w:val="04A0"/>
        </w:tblPrEx>
        <w:trPr>
          <w:trHeight w:val="276"/>
          <w:jc w:val="center"/>
        </w:trPr>
        <w:tc>
          <w:tcPr>
            <w:tcW w:w="2790" w:type="dxa"/>
            <w:tcBorders>
              <w:bottom w:val="single" w:sz="4" w:space="0" w:color="auto"/>
            </w:tcBorders>
            <w:shd w:val="clear" w:color="auto" w:fill="auto"/>
            <w:noWrap/>
            <w:vAlign w:val="center"/>
          </w:tcPr>
          <w:p w:rsidR="00FC5C10" w:rsidRPr="000C09A8" w:rsidP="00C724C4" w14:paraId="3EE05926" w14:textId="77777777">
            <w:pPr>
              <w:pStyle w:val="LTableTextAbt"/>
              <w:spacing w:before="0" w:after="0"/>
              <w:rPr>
                <w:rFonts w:cs="Arial"/>
                <w:color w:val="auto"/>
              </w:rPr>
            </w:pPr>
            <w:r w:rsidRPr="000C09A8">
              <w:rPr>
                <w:rFonts w:cs="Arial"/>
                <w:color w:val="auto"/>
              </w:rPr>
              <w:t>Importers of articles</w:t>
            </w:r>
            <w:r w:rsidRPr="000C09A8">
              <w:rPr>
                <w:rFonts w:cs="Arial"/>
                <w:color w:val="auto"/>
              </w:rPr>
              <w:t xml:space="preserve"> </w:t>
            </w:r>
            <w:r w:rsidRPr="000C09A8">
              <w:rPr>
                <w:rFonts w:cs="Arial"/>
                <w:color w:val="auto"/>
              </w:rPr>
              <w:t>or mixtures</w:t>
            </w:r>
          </w:p>
        </w:tc>
        <w:tc>
          <w:tcPr>
            <w:tcW w:w="1217" w:type="dxa"/>
            <w:tcBorders>
              <w:bottom w:val="single" w:sz="4" w:space="0" w:color="auto"/>
            </w:tcBorders>
            <w:shd w:val="clear" w:color="auto" w:fill="auto"/>
            <w:noWrap/>
            <w:vAlign w:val="center"/>
          </w:tcPr>
          <w:p w:rsidR="00FC5C10" w:rsidRPr="000C09A8" w:rsidP="00326B70" w14:paraId="3FC8EB6F" w14:textId="77777777">
            <w:pPr>
              <w:pStyle w:val="RTableTextAbt"/>
              <w:rPr>
                <w:rFonts w:cs="Arial"/>
                <w:color w:val="auto"/>
              </w:rPr>
            </w:pPr>
            <w:r w:rsidRPr="000C09A8">
              <w:rPr>
                <w:rFonts w:cs="Arial"/>
                <w:color w:val="auto"/>
              </w:rPr>
              <w:t>0.3</w:t>
            </w:r>
          </w:p>
        </w:tc>
        <w:tc>
          <w:tcPr>
            <w:tcW w:w="1217" w:type="dxa"/>
            <w:tcBorders>
              <w:bottom w:val="single" w:sz="4" w:space="0" w:color="auto"/>
            </w:tcBorders>
            <w:shd w:val="clear" w:color="auto" w:fill="auto"/>
            <w:noWrap/>
            <w:vAlign w:val="center"/>
          </w:tcPr>
          <w:p w:rsidR="00FC5C10" w:rsidRPr="000C09A8" w:rsidP="00326B70" w14:paraId="19FCD8FE" w14:textId="77777777">
            <w:pPr>
              <w:pStyle w:val="RTableTextAbt"/>
              <w:rPr>
                <w:rFonts w:cs="Arial"/>
                <w:color w:val="auto"/>
              </w:rPr>
            </w:pPr>
            <w:r w:rsidRPr="000C09A8">
              <w:rPr>
                <w:rFonts w:cs="Arial"/>
                <w:color w:val="auto"/>
              </w:rPr>
              <w:t>14</w:t>
            </w:r>
          </w:p>
        </w:tc>
        <w:tc>
          <w:tcPr>
            <w:tcW w:w="1261" w:type="dxa"/>
            <w:tcBorders>
              <w:bottom w:val="single" w:sz="4" w:space="0" w:color="auto"/>
            </w:tcBorders>
            <w:shd w:val="clear" w:color="auto" w:fill="auto"/>
            <w:noWrap/>
            <w:vAlign w:val="center"/>
          </w:tcPr>
          <w:p w:rsidR="00FC5C10" w:rsidRPr="000C09A8" w:rsidP="00326B70" w14:paraId="141D4FAF" w14:textId="77777777">
            <w:pPr>
              <w:pStyle w:val="RTableTextAbt"/>
              <w:rPr>
                <w:rFonts w:cs="Arial"/>
                <w:color w:val="auto"/>
              </w:rPr>
            </w:pPr>
            <w:r w:rsidRPr="000C09A8">
              <w:rPr>
                <w:rFonts w:cs="Arial"/>
                <w:color w:val="auto"/>
              </w:rPr>
              <w:t>0.9</w:t>
            </w:r>
          </w:p>
        </w:tc>
        <w:tc>
          <w:tcPr>
            <w:tcW w:w="1350" w:type="dxa"/>
            <w:tcBorders>
              <w:bottom w:val="single" w:sz="4" w:space="0" w:color="auto"/>
            </w:tcBorders>
            <w:shd w:val="clear" w:color="auto" w:fill="auto"/>
            <w:noWrap/>
            <w:vAlign w:val="center"/>
          </w:tcPr>
          <w:p w:rsidR="00FC5C10" w:rsidRPr="000C09A8" w:rsidP="00326B70" w14:paraId="4386A405" w14:textId="77777777">
            <w:pPr>
              <w:pStyle w:val="RTableTextAbt"/>
              <w:rPr>
                <w:rFonts w:cs="Arial"/>
                <w:color w:val="auto"/>
              </w:rPr>
            </w:pPr>
            <w:r w:rsidRPr="000C09A8">
              <w:rPr>
                <w:rFonts w:cs="Arial"/>
                <w:color w:val="auto"/>
              </w:rPr>
              <w:t>6.7</w:t>
            </w:r>
          </w:p>
        </w:tc>
        <w:tc>
          <w:tcPr>
            <w:tcW w:w="895" w:type="dxa"/>
            <w:tcBorders>
              <w:bottom w:val="single" w:sz="4" w:space="0" w:color="auto"/>
            </w:tcBorders>
            <w:shd w:val="clear" w:color="auto" w:fill="auto"/>
            <w:noWrap/>
            <w:vAlign w:val="center"/>
          </w:tcPr>
          <w:p w:rsidR="00FC5C10" w:rsidRPr="000C09A8" w:rsidP="00326B70" w14:paraId="1F4F3D8B" w14:textId="77777777">
            <w:pPr>
              <w:pStyle w:val="RTableTextAbt"/>
              <w:rPr>
                <w:rFonts w:cs="Arial"/>
                <w:color w:val="auto"/>
              </w:rPr>
            </w:pPr>
            <w:r w:rsidRPr="000C09A8">
              <w:rPr>
                <w:rFonts w:cs="Arial"/>
                <w:color w:val="auto"/>
              </w:rPr>
              <w:t>21.9</w:t>
            </w:r>
          </w:p>
        </w:tc>
        <w:tc>
          <w:tcPr>
            <w:tcW w:w="1260" w:type="dxa"/>
            <w:tcBorders>
              <w:bottom w:val="single" w:sz="4" w:space="0" w:color="auto"/>
            </w:tcBorders>
            <w:shd w:val="clear" w:color="auto" w:fill="auto"/>
            <w:noWrap/>
            <w:vAlign w:val="center"/>
          </w:tcPr>
          <w:p w:rsidR="00FC5C10" w:rsidRPr="000C09A8" w:rsidP="00326B70" w14:paraId="3DF8BC49" w14:textId="7514C00C">
            <w:pPr>
              <w:pStyle w:val="RTableTextAbt"/>
              <w:rPr>
                <w:rFonts w:cs="Arial"/>
                <w:color w:val="auto"/>
              </w:rPr>
            </w:pPr>
            <w:r>
              <w:rPr>
                <w:rFonts w:cs="Arial"/>
              </w:rPr>
              <w:t xml:space="preserve">$2,047 </w:t>
            </w:r>
          </w:p>
        </w:tc>
      </w:tr>
      <w:tr w14:paraId="51898715" w14:textId="77777777" w:rsidTr="0029204D">
        <w:tblPrEx>
          <w:tblW w:w="9990" w:type="dxa"/>
          <w:jc w:val="center"/>
          <w:tblLook w:val="04A0"/>
        </w:tblPrEx>
        <w:trPr>
          <w:trHeight w:val="276"/>
          <w:jc w:val="center"/>
        </w:trPr>
        <w:tc>
          <w:tcPr>
            <w:tcW w:w="9990" w:type="dxa"/>
            <w:gridSpan w:val="7"/>
            <w:shd w:val="clear" w:color="auto" w:fill="auto"/>
            <w:noWrap/>
            <w:vAlign w:val="center"/>
          </w:tcPr>
          <w:p w:rsidR="00FC5C10" w:rsidRPr="000C09A8" w:rsidP="00C724C4" w14:paraId="0B0ECADF" w14:textId="77777777">
            <w:pPr>
              <w:pStyle w:val="RTableTextAbt"/>
              <w:jc w:val="left"/>
              <w:rPr>
                <w:rFonts w:cs="Arial"/>
                <w:color w:val="auto"/>
              </w:rPr>
            </w:pPr>
            <w:r w:rsidRPr="000C09A8">
              <w:rPr>
                <w:rFonts w:eastAsia="Times New Roman" w:cs="Arial"/>
                <w:b/>
                <w:color w:val="auto"/>
              </w:rPr>
              <w:t xml:space="preserve">Asbestos Present </w:t>
            </w:r>
            <w:r w:rsidRPr="000C09A8">
              <w:rPr>
                <w:rFonts w:eastAsia="Times New Roman" w:cs="Arial"/>
                <w:b/>
                <w:color w:val="auto"/>
              </w:rPr>
              <w:t>As</w:t>
            </w:r>
            <w:r w:rsidRPr="000C09A8">
              <w:rPr>
                <w:rFonts w:eastAsia="Times New Roman" w:cs="Arial"/>
                <w:b/>
                <w:color w:val="auto"/>
              </w:rPr>
              <w:t xml:space="preserve"> An Impurity  (</w:t>
            </w:r>
            <w:r w:rsidRPr="000C09A8">
              <w:rPr>
                <w:rFonts w:cs="Arial"/>
                <w:b/>
                <w:bCs w:val="0"/>
                <w:color w:val="auto"/>
              </w:rPr>
              <w:t xml:space="preserve">Using </w:t>
            </w:r>
            <w:r w:rsidRPr="000C09A8">
              <w:rPr>
                <w:rFonts w:eastAsia="Times New Roman" w:cs="Arial"/>
                <w:b/>
                <w:color w:val="auto"/>
              </w:rPr>
              <w:t>Form B)</w:t>
            </w:r>
          </w:p>
        </w:tc>
      </w:tr>
      <w:tr w14:paraId="6852093F" w14:textId="77777777" w:rsidTr="0029204D">
        <w:tblPrEx>
          <w:tblW w:w="9990" w:type="dxa"/>
          <w:jc w:val="center"/>
          <w:tblLook w:val="04A0"/>
        </w:tblPrEx>
        <w:trPr>
          <w:trHeight w:val="276"/>
          <w:jc w:val="center"/>
        </w:trPr>
        <w:tc>
          <w:tcPr>
            <w:tcW w:w="2790" w:type="dxa"/>
            <w:shd w:val="clear" w:color="auto" w:fill="auto"/>
            <w:noWrap/>
            <w:vAlign w:val="center"/>
          </w:tcPr>
          <w:p w:rsidR="00053EEE" w:rsidRPr="000C09A8" w:rsidP="00C724C4" w14:paraId="241001B4" w14:textId="77777777">
            <w:pPr>
              <w:pStyle w:val="LTableTextAbt"/>
              <w:spacing w:before="0" w:after="0"/>
              <w:rPr>
                <w:rFonts w:cs="Arial"/>
                <w:color w:val="auto"/>
              </w:rPr>
            </w:pPr>
            <w:r w:rsidRPr="000C09A8">
              <w:rPr>
                <w:rFonts w:cs="Arial"/>
                <w:color w:val="auto"/>
              </w:rPr>
              <w:t xml:space="preserve">Bulk manufacturers or importers/ Primary processors </w:t>
            </w:r>
          </w:p>
        </w:tc>
        <w:tc>
          <w:tcPr>
            <w:tcW w:w="1217" w:type="dxa"/>
            <w:shd w:val="clear" w:color="auto" w:fill="auto"/>
            <w:noWrap/>
            <w:vAlign w:val="center"/>
          </w:tcPr>
          <w:p w:rsidR="00053EEE" w:rsidRPr="000C09A8" w:rsidP="00326B70" w14:paraId="151E1E66" w14:textId="77777777">
            <w:pPr>
              <w:pStyle w:val="RTableTextAbt"/>
              <w:rPr>
                <w:rFonts w:cs="Arial"/>
                <w:color w:val="auto"/>
              </w:rPr>
            </w:pPr>
            <w:r w:rsidRPr="000C09A8">
              <w:rPr>
                <w:rFonts w:cs="Arial"/>
                <w:color w:val="auto"/>
              </w:rPr>
              <w:t>0.7</w:t>
            </w:r>
          </w:p>
        </w:tc>
        <w:tc>
          <w:tcPr>
            <w:tcW w:w="1217" w:type="dxa"/>
            <w:shd w:val="clear" w:color="auto" w:fill="auto"/>
            <w:noWrap/>
            <w:vAlign w:val="center"/>
          </w:tcPr>
          <w:p w:rsidR="00053EEE" w:rsidRPr="000C09A8" w:rsidP="00326B70" w14:paraId="3F80F7E3" w14:textId="77777777">
            <w:pPr>
              <w:pStyle w:val="RTableTextAbt"/>
              <w:rPr>
                <w:rFonts w:cs="Arial"/>
                <w:color w:val="auto"/>
              </w:rPr>
            </w:pPr>
            <w:r w:rsidRPr="000C09A8">
              <w:rPr>
                <w:rFonts w:cs="Arial"/>
                <w:color w:val="auto"/>
              </w:rPr>
              <w:t>29.8</w:t>
            </w:r>
          </w:p>
        </w:tc>
        <w:tc>
          <w:tcPr>
            <w:tcW w:w="1261" w:type="dxa"/>
            <w:shd w:val="clear" w:color="auto" w:fill="auto"/>
            <w:noWrap/>
            <w:vAlign w:val="center"/>
          </w:tcPr>
          <w:p w:rsidR="00053EEE" w:rsidRPr="000C09A8" w:rsidP="00326B70" w14:paraId="51B28838" w14:textId="77777777">
            <w:pPr>
              <w:pStyle w:val="RTableTextAbt"/>
              <w:rPr>
                <w:rFonts w:cs="Arial"/>
                <w:color w:val="auto"/>
              </w:rPr>
            </w:pPr>
            <w:r w:rsidRPr="000C09A8">
              <w:rPr>
                <w:rFonts w:cs="Arial"/>
                <w:color w:val="auto"/>
              </w:rPr>
              <w:t>2.0</w:t>
            </w:r>
          </w:p>
        </w:tc>
        <w:tc>
          <w:tcPr>
            <w:tcW w:w="1350" w:type="dxa"/>
            <w:shd w:val="clear" w:color="auto" w:fill="auto"/>
            <w:noWrap/>
            <w:vAlign w:val="center"/>
          </w:tcPr>
          <w:p w:rsidR="00053EEE" w:rsidRPr="000C09A8" w:rsidP="00326B70" w14:paraId="4920B47E"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00053EEE" w:rsidRPr="000C09A8" w:rsidP="00326B70" w14:paraId="06B9320C" w14:textId="77777777">
            <w:pPr>
              <w:pStyle w:val="RTableTextAbt"/>
              <w:rPr>
                <w:rFonts w:cs="Arial"/>
                <w:color w:val="auto"/>
              </w:rPr>
            </w:pPr>
            <w:r w:rsidRPr="000C09A8">
              <w:rPr>
                <w:rFonts w:cs="Arial"/>
                <w:color w:val="auto"/>
              </w:rPr>
              <w:t>39.2</w:t>
            </w:r>
          </w:p>
        </w:tc>
        <w:tc>
          <w:tcPr>
            <w:tcW w:w="1260" w:type="dxa"/>
            <w:shd w:val="clear" w:color="auto" w:fill="auto"/>
            <w:noWrap/>
            <w:vAlign w:val="center"/>
          </w:tcPr>
          <w:p w:rsidR="00053EEE" w:rsidRPr="000C09A8" w:rsidP="00326B70" w14:paraId="09C1BBE5" w14:textId="3818860B">
            <w:pPr>
              <w:pStyle w:val="RTableTextAbt"/>
              <w:rPr>
                <w:rFonts w:cs="Arial"/>
                <w:color w:val="auto"/>
              </w:rPr>
            </w:pPr>
            <w:r>
              <w:rPr>
                <w:rFonts w:cs="Arial"/>
              </w:rPr>
              <w:t xml:space="preserve">$3,451 </w:t>
            </w:r>
          </w:p>
        </w:tc>
      </w:tr>
      <w:tr w14:paraId="066F20F3" w14:textId="77777777" w:rsidTr="0029204D">
        <w:tblPrEx>
          <w:tblW w:w="9990" w:type="dxa"/>
          <w:jc w:val="center"/>
          <w:tblLook w:val="04A0"/>
        </w:tblPrEx>
        <w:trPr>
          <w:trHeight w:val="276"/>
          <w:jc w:val="center"/>
        </w:trPr>
        <w:tc>
          <w:tcPr>
            <w:tcW w:w="2790" w:type="dxa"/>
            <w:shd w:val="clear" w:color="auto" w:fill="auto"/>
            <w:noWrap/>
            <w:vAlign w:val="center"/>
          </w:tcPr>
          <w:p w:rsidR="00053EEE" w:rsidRPr="000C09A8" w:rsidP="00C724C4" w14:paraId="2E39938C" w14:textId="77777777">
            <w:pPr>
              <w:pStyle w:val="LTableTextAbt"/>
              <w:spacing w:before="0" w:after="0"/>
              <w:rPr>
                <w:rFonts w:cs="Arial"/>
                <w:color w:val="auto"/>
              </w:rPr>
            </w:pPr>
            <w:r w:rsidRPr="000C09A8">
              <w:rPr>
                <w:rFonts w:cs="Arial"/>
                <w:color w:val="auto"/>
              </w:rPr>
              <w:t>Secondary processors</w:t>
            </w:r>
            <w:r w:rsidRPr="000C09A8">
              <w:rPr>
                <w:rFonts w:cs="Arial"/>
                <w:color w:val="auto"/>
              </w:rPr>
              <w:t xml:space="preserve"> </w:t>
            </w:r>
          </w:p>
        </w:tc>
        <w:tc>
          <w:tcPr>
            <w:tcW w:w="1217" w:type="dxa"/>
            <w:shd w:val="clear" w:color="auto" w:fill="auto"/>
            <w:noWrap/>
            <w:vAlign w:val="center"/>
          </w:tcPr>
          <w:p w:rsidR="00053EEE" w:rsidRPr="000C09A8" w:rsidP="00326B70" w14:paraId="71DE3DA5" w14:textId="77777777">
            <w:pPr>
              <w:pStyle w:val="RTableTextAbt"/>
              <w:rPr>
                <w:rFonts w:cs="Arial"/>
                <w:color w:val="auto"/>
              </w:rPr>
            </w:pPr>
            <w:r w:rsidRPr="000C09A8">
              <w:rPr>
                <w:rFonts w:cs="Arial"/>
                <w:color w:val="auto"/>
              </w:rPr>
              <w:t>0.6</w:t>
            </w:r>
          </w:p>
        </w:tc>
        <w:tc>
          <w:tcPr>
            <w:tcW w:w="1217" w:type="dxa"/>
            <w:shd w:val="clear" w:color="auto" w:fill="auto"/>
            <w:noWrap/>
            <w:vAlign w:val="center"/>
          </w:tcPr>
          <w:p w:rsidR="00053EEE" w:rsidRPr="000C09A8" w:rsidP="00326B70" w14:paraId="75EFD055" w14:textId="77777777">
            <w:pPr>
              <w:pStyle w:val="RTableTextAbt"/>
              <w:rPr>
                <w:rFonts w:cs="Arial"/>
                <w:color w:val="auto"/>
              </w:rPr>
            </w:pPr>
            <w:r w:rsidRPr="000C09A8">
              <w:rPr>
                <w:rFonts w:cs="Arial"/>
                <w:color w:val="auto"/>
              </w:rPr>
              <w:t>26.2</w:t>
            </w:r>
          </w:p>
        </w:tc>
        <w:tc>
          <w:tcPr>
            <w:tcW w:w="1261" w:type="dxa"/>
            <w:shd w:val="clear" w:color="auto" w:fill="auto"/>
            <w:noWrap/>
            <w:vAlign w:val="center"/>
          </w:tcPr>
          <w:p w:rsidR="00053EEE" w:rsidRPr="000C09A8" w:rsidP="00326B70" w14:paraId="0C185494" w14:textId="77777777">
            <w:pPr>
              <w:pStyle w:val="RTableTextAbt"/>
              <w:rPr>
                <w:rFonts w:cs="Arial"/>
                <w:color w:val="auto"/>
              </w:rPr>
            </w:pPr>
            <w:r w:rsidRPr="000C09A8">
              <w:rPr>
                <w:rFonts w:cs="Arial"/>
                <w:color w:val="auto"/>
              </w:rPr>
              <w:t>1.7</w:t>
            </w:r>
          </w:p>
        </w:tc>
        <w:tc>
          <w:tcPr>
            <w:tcW w:w="1350" w:type="dxa"/>
            <w:shd w:val="clear" w:color="auto" w:fill="auto"/>
            <w:noWrap/>
            <w:vAlign w:val="center"/>
          </w:tcPr>
          <w:p w:rsidR="00053EEE" w:rsidRPr="000C09A8" w:rsidP="00326B70" w14:paraId="1C716372"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00053EEE" w:rsidRPr="000C09A8" w:rsidP="00326B70" w14:paraId="4500D04D" w14:textId="77777777">
            <w:pPr>
              <w:pStyle w:val="RTableTextAbt"/>
              <w:rPr>
                <w:rFonts w:cs="Arial"/>
                <w:color w:val="auto"/>
              </w:rPr>
            </w:pPr>
            <w:r w:rsidRPr="000C09A8">
              <w:rPr>
                <w:rFonts w:cs="Arial"/>
                <w:color w:val="auto"/>
              </w:rPr>
              <w:t>35.2</w:t>
            </w:r>
          </w:p>
        </w:tc>
        <w:tc>
          <w:tcPr>
            <w:tcW w:w="1260" w:type="dxa"/>
            <w:shd w:val="clear" w:color="auto" w:fill="auto"/>
            <w:noWrap/>
            <w:vAlign w:val="center"/>
          </w:tcPr>
          <w:p w:rsidR="00053EEE" w:rsidRPr="000C09A8" w:rsidP="00326B70" w14:paraId="4B43E32D" w14:textId="1FDB2D3D">
            <w:pPr>
              <w:pStyle w:val="RTableTextAbt"/>
              <w:rPr>
                <w:rFonts w:cs="Arial"/>
                <w:color w:val="auto"/>
              </w:rPr>
            </w:pPr>
            <w:r>
              <w:rPr>
                <w:rFonts w:cs="Arial"/>
              </w:rPr>
              <w:t xml:space="preserve">$3,126 </w:t>
            </w:r>
          </w:p>
        </w:tc>
      </w:tr>
      <w:tr w14:paraId="65311582" w14:textId="77777777" w:rsidTr="0029204D">
        <w:tblPrEx>
          <w:tblW w:w="9990" w:type="dxa"/>
          <w:jc w:val="center"/>
          <w:tblLook w:val="04A0"/>
        </w:tblPrEx>
        <w:trPr>
          <w:trHeight w:val="276"/>
          <w:jc w:val="center"/>
        </w:trPr>
        <w:tc>
          <w:tcPr>
            <w:tcW w:w="2790" w:type="dxa"/>
            <w:shd w:val="clear" w:color="auto" w:fill="auto"/>
            <w:noWrap/>
            <w:vAlign w:val="center"/>
          </w:tcPr>
          <w:p w:rsidR="00053EEE" w:rsidRPr="000C09A8" w:rsidP="00C724C4" w14:paraId="704FB775" w14:textId="77777777">
            <w:pPr>
              <w:pStyle w:val="LTableTextAbt"/>
              <w:spacing w:before="0" w:after="0"/>
              <w:rPr>
                <w:rFonts w:cs="Arial"/>
                <w:color w:val="auto"/>
              </w:rPr>
            </w:pPr>
            <w:r w:rsidRPr="000C09A8">
              <w:rPr>
                <w:rFonts w:cs="Arial"/>
                <w:color w:val="auto"/>
              </w:rPr>
              <w:t>Importers of articles</w:t>
            </w:r>
            <w:r w:rsidRPr="000C09A8">
              <w:rPr>
                <w:rFonts w:cs="Arial"/>
                <w:color w:val="auto"/>
              </w:rPr>
              <w:t xml:space="preserve"> </w:t>
            </w:r>
            <w:r w:rsidRPr="000C09A8">
              <w:rPr>
                <w:rFonts w:cs="Arial"/>
                <w:color w:val="auto"/>
              </w:rPr>
              <w:t>or mixtures</w:t>
            </w:r>
          </w:p>
        </w:tc>
        <w:tc>
          <w:tcPr>
            <w:tcW w:w="1217" w:type="dxa"/>
            <w:shd w:val="clear" w:color="auto" w:fill="auto"/>
            <w:noWrap/>
            <w:vAlign w:val="center"/>
          </w:tcPr>
          <w:p w:rsidR="00053EEE" w:rsidRPr="000C09A8" w:rsidP="00326B70" w14:paraId="3D3DF1A6" w14:textId="77777777">
            <w:pPr>
              <w:pStyle w:val="RTableTextAbt"/>
              <w:rPr>
                <w:rFonts w:cs="Arial"/>
                <w:color w:val="auto"/>
              </w:rPr>
            </w:pPr>
            <w:r w:rsidRPr="000C09A8">
              <w:rPr>
                <w:rFonts w:cs="Arial"/>
                <w:color w:val="auto"/>
              </w:rPr>
              <w:t>0.6</w:t>
            </w:r>
          </w:p>
        </w:tc>
        <w:tc>
          <w:tcPr>
            <w:tcW w:w="1217" w:type="dxa"/>
            <w:shd w:val="clear" w:color="auto" w:fill="auto"/>
            <w:noWrap/>
            <w:vAlign w:val="center"/>
          </w:tcPr>
          <w:p w:rsidR="00053EEE" w:rsidRPr="000C09A8" w:rsidP="00326B70" w14:paraId="0C6C47BF" w14:textId="77777777">
            <w:pPr>
              <w:pStyle w:val="RTableTextAbt"/>
              <w:rPr>
                <w:rFonts w:cs="Arial"/>
                <w:color w:val="auto"/>
              </w:rPr>
            </w:pPr>
            <w:r w:rsidRPr="000C09A8">
              <w:rPr>
                <w:rFonts w:cs="Arial"/>
                <w:color w:val="auto"/>
              </w:rPr>
              <w:t>26.2</w:t>
            </w:r>
          </w:p>
        </w:tc>
        <w:tc>
          <w:tcPr>
            <w:tcW w:w="1261" w:type="dxa"/>
            <w:shd w:val="clear" w:color="auto" w:fill="auto"/>
            <w:noWrap/>
            <w:vAlign w:val="center"/>
          </w:tcPr>
          <w:p w:rsidR="00053EEE" w:rsidRPr="000C09A8" w:rsidP="00326B70" w14:paraId="31092714" w14:textId="77777777">
            <w:pPr>
              <w:pStyle w:val="RTableTextAbt"/>
              <w:rPr>
                <w:rFonts w:cs="Arial"/>
                <w:color w:val="auto"/>
              </w:rPr>
            </w:pPr>
            <w:r w:rsidRPr="000C09A8">
              <w:rPr>
                <w:rFonts w:cs="Arial"/>
                <w:color w:val="auto"/>
              </w:rPr>
              <w:t>1.7</w:t>
            </w:r>
          </w:p>
        </w:tc>
        <w:tc>
          <w:tcPr>
            <w:tcW w:w="1350" w:type="dxa"/>
            <w:shd w:val="clear" w:color="auto" w:fill="auto"/>
            <w:noWrap/>
            <w:vAlign w:val="center"/>
          </w:tcPr>
          <w:p w:rsidR="00053EEE" w:rsidRPr="000C09A8" w:rsidP="00326B70" w14:paraId="472D090D" w14:textId="77777777">
            <w:pPr>
              <w:pStyle w:val="RTableTextAbt"/>
              <w:rPr>
                <w:rFonts w:cs="Arial"/>
                <w:color w:val="auto"/>
              </w:rPr>
            </w:pPr>
            <w:r w:rsidRPr="000C09A8">
              <w:rPr>
                <w:rFonts w:cs="Arial"/>
                <w:color w:val="auto"/>
              </w:rPr>
              <w:t>6.7</w:t>
            </w:r>
          </w:p>
        </w:tc>
        <w:tc>
          <w:tcPr>
            <w:tcW w:w="895" w:type="dxa"/>
            <w:shd w:val="clear" w:color="auto" w:fill="auto"/>
            <w:noWrap/>
            <w:vAlign w:val="center"/>
          </w:tcPr>
          <w:p w:rsidR="00053EEE" w:rsidRPr="000C09A8" w:rsidP="00326B70" w14:paraId="25C108F2" w14:textId="77777777">
            <w:pPr>
              <w:pStyle w:val="RTableTextAbt"/>
              <w:rPr>
                <w:rFonts w:cs="Arial"/>
                <w:color w:val="auto"/>
              </w:rPr>
            </w:pPr>
            <w:r w:rsidRPr="000C09A8">
              <w:rPr>
                <w:rFonts w:cs="Arial"/>
                <w:color w:val="auto"/>
              </w:rPr>
              <w:t>35.2</w:t>
            </w:r>
          </w:p>
        </w:tc>
        <w:tc>
          <w:tcPr>
            <w:tcW w:w="1260" w:type="dxa"/>
            <w:shd w:val="clear" w:color="auto" w:fill="auto"/>
            <w:noWrap/>
            <w:vAlign w:val="center"/>
          </w:tcPr>
          <w:p w:rsidR="00053EEE" w:rsidRPr="000C09A8" w:rsidP="00326B70" w14:paraId="798101DB" w14:textId="36633D73">
            <w:pPr>
              <w:pStyle w:val="RTableTextAbt"/>
              <w:rPr>
                <w:rFonts w:cs="Arial"/>
                <w:color w:val="auto"/>
              </w:rPr>
            </w:pPr>
            <w:r>
              <w:rPr>
                <w:rFonts w:cs="Arial"/>
              </w:rPr>
              <w:t xml:space="preserve">$3,126 </w:t>
            </w:r>
          </w:p>
        </w:tc>
      </w:tr>
    </w:tbl>
    <w:p w:rsidR="003B717B" w:rsidRPr="005B772E" w:rsidP="00326B70" w14:paraId="27130C3F" w14:textId="77777777">
      <w:pPr>
        <w:pStyle w:val="Caption"/>
        <w:keepNext/>
        <w:spacing w:after="0"/>
        <w:rPr>
          <w:sz w:val="22"/>
          <w:szCs w:val="24"/>
        </w:rPr>
      </w:pPr>
    </w:p>
    <w:p w:rsidR="003B717B" w:rsidRPr="005B772E" w:rsidP="00326B70" w14:paraId="20C99592" w14:textId="7181759F">
      <w:pPr>
        <w:pStyle w:val="BodyText"/>
        <w:spacing w:after="0"/>
        <w:rPr>
          <w:rFonts w:cs="Arial"/>
          <w:szCs w:val="22"/>
        </w:rPr>
      </w:pPr>
      <w:r w:rsidRPr="002A656D">
        <w:rPr>
          <w:rFonts w:cs="Arial"/>
          <w:szCs w:val="24"/>
        </w:rPr>
        <w:fldChar w:fldCharType="begin"/>
      </w:r>
      <w:r w:rsidRPr="002A656D">
        <w:rPr>
          <w:rFonts w:cs="Arial"/>
          <w:szCs w:val="24"/>
        </w:rPr>
        <w:instrText xml:space="preserve"> REF _Ref133392802 \h  \* MERGEFORMAT </w:instrText>
      </w:r>
      <w:r w:rsidRPr="002A656D">
        <w:rPr>
          <w:rFonts w:cs="Arial"/>
          <w:szCs w:val="24"/>
        </w:rPr>
        <w:fldChar w:fldCharType="separate"/>
      </w:r>
      <w:r w:rsidRPr="009F0705" w:rsidR="009F0705">
        <w:rPr>
          <w:rFonts w:cs="Arial"/>
          <w:szCs w:val="24"/>
        </w:rPr>
        <w:t xml:space="preserve">Table </w:t>
      </w:r>
      <w:r w:rsidRPr="009F0705" w:rsidR="009F0705">
        <w:rPr>
          <w:rFonts w:cs="Arial"/>
          <w:noProof/>
          <w:szCs w:val="24"/>
        </w:rPr>
        <w:t>6</w:t>
      </w:r>
      <w:r w:rsidRPr="002A656D">
        <w:rPr>
          <w:rFonts w:cs="Arial"/>
          <w:szCs w:val="24"/>
        </w:rPr>
        <w:fldChar w:fldCharType="end"/>
      </w:r>
      <w:r>
        <w:rPr>
          <w:rFonts w:cs="Arial"/>
          <w:szCs w:val="22"/>
        </w:rPr>
        <w:t xml:space="preserve"> </w:t>
      </w:r>
      <w:r w:rsidRPr="005B772E">
        <w:rPr>
          <w:rFonts w:cs="Arial"/>
          <w:szCs w:val="22"/>
        </w:rPr>
        <w:t xml:space="preserve">presents the burden and cost for respondent activities other than form completion. </w:t>
      </w:r>
      <w:r w:rsidR="0024760A">
        <w:rPr>
          <w:rFonts w:cs="Arial"/>
          <w:szCs w:val="22"/>
        </w:rPr>
        <w:t>I</w:t>
      </w:r>
      <w:r w:rsidRPr="005B772E">
        <w:rPr>
          <w:rFonts w:cs="Arial"/>
          <w:szCs w:val="22"/>
        </w:rPr>
        <w:t>nformation on the calculation of these burdens is provided in the economic analysis for this 8(a) rule.</w:t>
      </w:r>
    </w:p>
    <w:p w:rsidR="003B717B" w:rsidRPr="00305BBA" w:rsidP="00326B70" w14:paraId="707BBCDB" w14:textId="77777777">
      <w:pPr>
        <w:pStyle w:val="BodyText"/>
        <w:spacing w:after="0"/>
        <w:rPr>
          <w:rFonts w:cs="Arial"/>
        </w:rPr>
      </w:pPr>
    </w:p>
    <w:tbl>
      <w:tblPr>
        <w:tblW w:w="9270" w:type="dxa"/>
        <w:jc w:val="center"/>
        <w:tblLayout w:type="fixed"/>
        <w:tblCellMar>
          <w:left w:w="115" w:type="dxa"/>
          <w:right w:w="115" w:type="dxa"/>
        </w:tblCellMar>
        <w:tblLook w:val="04A0"/>
      </w:tblPr>
      <w:tblGrid>
        <w:gridCol w:w="3873"/>
        <w:gridCol w:w="992"/>
        <w:gridCol w:w="1165"/>
        <w:gridCol w:w="1350"/>
        <w:gridCol w:w="809"/>
        <w:gridCol w:w="1081"/>
      </w:tblGrid>
      <w:tr w14:paraId="34690ECD" w14:textId="77777777" w:rsidTr="00987BD1">
        <w:tblPrEx>
          <w:tblW w:w="9270" w:type="dxa"/>
          <w:jc w:val="center"/>
          <w:tblLayout w:type="fixed"/>
          <w:tblCellMar>
            <w:left w:w="115" w:type="dxa"/>
            <w:right w:w="115" w:type="dxa"/>
          </w:tblCellMar>
          <w:tblLook w:val="04A0"/>
        </w:tblPrEx>
        <w:trPr>
          <w:jc w:val="center"/>
        </w:trPr>
        <w:tc>
          <w:tcPr>
            <w:tcW w:w="9270" w:type="dxa"/>
            <w:gridSpan w:val="6"/>
            <w:tcBorders>
              <w:bottom w:val="single" w:sz="4" w:space="0" w:color="auto"/>
            </w:tcBorders>
            <w:shd w:val="clear" w:color="auto" w:fill="auto"/>
            <w:noWrap/>
            <w:vAlign w:val="center"/>
          </w:tcPr>
          <w:p w:rsidR="003B717B" w:rsidRPr="00305BBA" w:rsidP="00C724C4" w14:paraId="56090DF3" w14:textId="2371683B">
            <w:pPr>
              <w:keepNext/>
              <w:keepLines/>
              <w:spacing w:after="0" w:line="240" w:lineRule="auto"/>
              <w:rPr>
                <w:rFonts w:cs="Arial"/>
                <w:b/>
                <w:bCs/>
                <w:sz w:val="20"/>
              </w:rPr>
            </w:pPr>
            <w:bookmarkStart w:id="17" w:name="_Ref133392802"/>
            <w:r w:rsidRPr="002A656D">
              <w:rPr>
                <w:rFonts w:cs="Arial"/>
                <w:b/>
                <w:sz w:val="20"/>
                <w:szCs w:val="18"/>
              </w:rPr>
              <w:t xml:space="preserve">Table </w:t>
            </w:r>
            <w:r w:rsidRPr="002A656D">
              <w:rPr>
                <w:rFonts w:cs="Arial"/>
                <w:b/>
                <w:sz w:val="20"/>
                <w:szCs w:val="18"/>
              </w:rPr>
              <w:fldChar w:fldCharType="begin"/>
            </w:r>
            <w:r w:rsidRPr="002A656D">
              <w:rPr>
                <w:rFonts w:cs="Arial"/>
                <w:b/>
                <w:sz w:val="20"/>
                <w:szCs w:val="18"/>
              </w:rPr>
              <w:instrText xml:space="preserve"> SEQ Table \* ARABIC </w:instrText>
            </w:r>
            <w:r w:rsidRPr="002A656D">
              <w:rPr>
                <w:rFonts w:cs="Arial"/>
                <w:b/>
                <w:sz w:val="20"/>
                <w:szCs w:val="18"/>
              </w:rPr>
              <w:fldChar w:fldCharType="separate"/>
            </w:r>
            <w:r w:rsidR="009F0705">
              <w:rPr>
                <w:rFonts w:cs="Arial"/>
                <w:b/>
                <w:noProof/>
                <w:sz w:val="20"/>
                <w:szCs w:val="18"/>
              </w:rPr>
              <w:t>6</w:t>
            </w:r>
            <w:r w:rsidRPr="002A656D">
              <w:rPr>
                <w:rFonts w:cs="Arial"/>
                <w:b/>
                <w:sz w:val="20"/>
                <w:szCs w:val="18"/>
              </w:rPr>
              <w:fldChar w:fldCharType="end"/>
            </w:r>
            <w:bookmarkEnd w:id="17"/>
            <w:r w:rsidRPr="00B57C21" w:rsidR="00D40FD1">
              <w:rPr>
                <w:rFonts w:cs="Arial"/>
                <w:b/>
                <w:sz w:val="20"/>
                <w:szCs w:val="18"/>
              </w:rPr>
              <w:t>:</w:t>
            </w:r>
            <w:r w:rsidRPr="00D40FD1" w:rsidR="00D40FD1">
              <w:rPr>
                <w:rFonts w:cs="Arial"/>
                <w:b/>
                <w:sz w:val="20"/>
                <w:szCs w:val="18"/>
              </w:rPr>
              <w:t xml:space="preserve"> </w:t>
            </w:r>
            <w:r w:rsidRPr="00305BBA">
              <w:rPr>
                <w:rFonts w:cs="Arial"/>
                <w:b/>
                <w:bCs/>
                <w:sz w:val="20"/>
              </w:rPr>
              <w:t xml:space="preserve">Industry Burden and Cost for Other Activities </w:t>
            </w:r>
          </w:p>
        </w:tc>
      </w:tr>
      <w:tr w14:paraId="46E89146" w14:textId="77777777" w:rsidTr="00987BD1">
        <w:tblPrEx>
          <w:tblW w:w="9270" w:type="dxa"/>
          <w:jc w:val="center"/>
          <w:tblLayout w:type="fixed"/>
          <w:tblCellMar>
            <w:left w:w="115" w:type="dxa"/>
            <w:right w:w="115" w:type="dxa"/>
          </w:tblCellMar>
          <w:tblLook w:val="04A0"/>
        </w:tblPrEx>
        <w:trPr>
          <w:jc w:val="center"/>
        </w:trPr>
        <w:tc>
          <w:tcPr>
            <w:tcW w:w="38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17B" w:rsidRPr="000C09A8" w:rsidP="00C724C4" w14:paraId="3D699B0D"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Reporting Activity</w:t>
            </w:r>
          </w:p>
        </w:tc>
        <w:tc>
          <w:tcPr>
            <w:tcW w:w="4316" w:type="dxa"/>
            <w:gridSpan w:val="4"/>
            <w:tcBorders>
              <w:top w:val="single" w:sz="4" w:space="0" w:color="auto"/>
              <w:left w:val="nil"/>
              <w:bottom w:val="single" w:sz="4" w:space="0" w:color="auto"/>
              <w:right w:val="single" w:sz="4" w:space="0" w:color="auto"/>
            </w:tcBorders>
            <w:shd w:val="clear" w:color="auto" w:fill="auto"/>
            <w:noWrap/>
            <w:vAlign w:val="center"/>
            <w:hideMark/>
          </w:tcPr>
          <w:p w:rsidR="003B717B" w:rsidRPr="000C09A8" w:rsidP="00C724C4" w14:paraId="176E0DA1"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Burden Hours</w:t>
            </w:r>
          </w:p>
        </w:tc>
        <w:tc>
          <w:tcPr>
            <w:tcW w:w="1081" w:type="dxa"/>
            <w:vMerge w:val="restart"/>
            <w:tcBorders>
              <w:top w:val="single" w:sz="4" w:space="0" w:color="auto"/>
              <w:left w:val="nil"/>
              <w:right w:val="single" w:sz="4" w:space="0" w:color="auto"/>
            </w:tcBorders>
            <w:shd w:val="clear" w:color="auto" w:fill="auto"/>
            <w:vAlign w:val="center"/>
          </w:tcPr>
          <w:p w:rsidR="003B717B" w:rsidRPr="000C09A8" w:rsidP="00C724C4" w14:paraId="740D8D09" w14:textId="5D0060E8">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Cost (202</w:t>
            </w:r>
            <w:r w:rsidR="00053EEE">
              <w:rPr>
                <w:rFonts w:ascii="Arial Narrow" w:hAnsi="Arial Narrow" w:cs="Arial"/>
                <w:b/>
                <w:bCs/>
                <w:sz w:val="20"/>
                <w:szCs w:val="20"/>
              </w:rPr>
              <w:t>1</w:t>
            </w:r>
            <w:r w:rsidRPr="000C09A8">
              <w:rPr>
                <w:rFonts w:ascii="Arial Narrow" w:hAnsi="Arial Narrow" w:cs="Arial"/>
                <w:b/>
                <w:bCs/>
                <w:sz w:val="20"/>
                <w:szCs w:val="20"/>
              </w:rPr>
              <w:t xml:space="preserve">$) </w:t>
            </w:r>
          </w:p>
        </w:tc>
      </w:tr>
      <w:tr w14:paraId="5B1DC9EB" w14:textId="77777777" w:rsidTr="00987BD1">
        <w:tblPrEx>
          <w:tblW w:w="9270" w:type="dxa"/>
          <w:jc w:val="center"/>
          <w:tblLayout w:type="fixed"/>
          <w:tblCellMar>
            <w:left w:w="115" w:type="dxa"/>
            <w:right w:w="115" w:type="dxa"/>
          </w:tblCellMar>
          <w:tblLook w:val="04A0"/>
        </w:tblPrEx>
        <w:trPr>
          <w:jc w:val="center"/>
        </w:trPr>
        <w:tc>
          <w:tcPr>
            <w:tcW w:w="38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717B" w:rsidRPr="000C09A8" w:rsidP="003C73B7" w14:paraId="6319FFC5" w14:textId="77777777">
            <w:pPr>
              <w:keepNext/>
              <w:keepLines/>
              <w:spacing w:after="0" w:line="240" w:lineRule="auto"/>
              <w:rPr>
                <w:rFonts w:ascii="Arial Narrow" w:hAnsi="Arial Narrow" w:cs="Arial"/>
                <w:b/>
                <w:bCs/>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B717B" w:rsidRPr="000C09A8" w:rsidP="00C724C4" w14:paraId="7776247F"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Clerical</w:t>
            </w:r>
          </w:p>
        </w:tc>
        <w:tc>
          <w:tcPr>
            <w:tcW w:w="1165" w:type="dxa"/>
            <w:tcBorders>
              <w:top w:val="nil"/>
              <w:left w:val="nil"/>
              <w:bottom w:val="single" w:sz="4" w:space="0" w:color="auto"/>
              <w:right w:val="single" w:sz="4" w:space="0" w:color="auto"/>
            </w:tcBorders>
            <w:shd w:val="clear" w:color="auto" w:fill="auto"/>
            <w:vAlign w:val="center"/>
            <w:hideMark/>
          </w:tcPr>
          <w:p w:rsidR="003B717B" w:rsidRPr="000C09A8" w:rsidP="00C724C4" w14:paraId="0A63069D"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Technical</w:t>
            </w:r>
          </w:p>
        </w:tc>
        <w:tc>
          <w:tcPr>
            <w:tcW w:w="1350" w:type="dxa"/>
            <w:tcBorders>
              <w:top w:val="nil"/>
              <w:left w:val="nil"/>
              <w:bottom w:val="single" w:sz="4" w:space="0" w:color="auto"/>
              <w:right w:val="single" w:sz="4" w:space="0" w:color="auto"/>
            </w:tcBorders>
            <w:shd w:val="clear" w:color="auto" w:fill="auto"/>
            <w:vAlign w:val="center"/>
            <w:hideMark/>
          </w:tcPr>
          <w:p w:rsidR="003B717B" w:rsidRPr="000C09A8" w:rsidP="00C724C4" w14:paraId="14016CDC"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Managerial</w:t>
            </w:r>
          </w:p>
        </w:tc>
        <w:tc>
          <w:tcPr>
            <w:tcW w:w="809" w:type="dxa"/>
            <w:tcBorders>
              <w:top w:val="nil"/>
              <w:left w:val="nil"/>
              <w:bottom w:val="single" w:sz="4" w:space="0" w:color="auto"/>
              <w:right w:val="single" w:sz="4" w:space="0" w:color="auto"/>
            </w:tcBorders>
            <w:shd w:val="clear" w:color="auto" w:fill="auto"/>
            <w:vAlign w:val="center"/>
            <w:hideMark/>
          </w:tcPr>
          <w:p w:rsidR="003B717B" w:rsidRPr="000C09A8" w:rsidP="00C724C4" w14:paraId="15B9F3C4" w14:textId="77777777">
            <w:pPr>
              <w:keepNext/>
              <w:keepLines/>
              <w:spacing w:after="0" w:line="240" w:lineRule="auto"/>
              <w:jc w:val="center"/>
              <w:rPr>
                <w:rFonts w:ascii="Arial Narrow" w:hAnsi="Arial Narrow" w:cs="Arial"/>
                <w:b/>
                <w:bCs/>
                <w:sz w:val="20"/>
                <w:szCs w:val="20"/>
              </w:rPr>
            </w:pPr>
            <w:r w:rsidRPr="000C09A8">
              <w:rPr>
                <w:rFonts w:ascii="Arial Narrow" w:hAnsi="Arial Narrow" w:cs="Arial"/>
                <w:b/>
                <w:bCs/>
                <w:sz w:val="20"/>
                <w:szCs w:val="20"/>
              </w:rPr>
              <w:t>Total</w:t>
            </w:r>
          </w:p>
        </w:tc>
        <w:tc>
          <w:tcPr>
            <w:tcW w:w="1081" w:type="dxa"/>
            <w:vMerge/>
            <w:tcBorders>
              <w:left w:val="nil"/>
              <w:bottom w:val="single" w:sz="4" w:space="0" w:color="auto"/>
              <w:right w:val="single" w:sz="4" w:space="0" w:color="auto"/>
            </w:tcBorders>
            <w:shd w:val="clear" w:color="auto" w:fill="auto"/>
            <w:noWrap/>
            <w:vAlign w:val="center"/>
            <w:hideMark/>
          </w:tcPr>
          <w:p w:rsidR="003B717B" w:rsidRPr="000C09A8" w:rsidP="00C724C4" w14:paraId="19C95064" w14:textId="77777777">
            <w:pPr>
              <w:keepNext/>
              <w:keepLines/>
              <w:spacing w:after="0" w:line="240" w:lineRule="auto"/>
              <w:jc w:val="center"/>
              <w:rPr>
                <w:rFonts w:ascii="Arial Narrow" w:hAnsi="Arial Narrow" w:cs="Arial"/>
                <w:b/>
                <w:bCs/>
                <w:sz w:val="20"/>
                <w:szCs w:val="20"/>
              </w:rPr>
            </w:pPr>
          </w:p>
        </w:tc>
      </w:tr>
      <w:tr w14:paraId="1E9F12DC" w14:textId="77777777" w:rsidTr="00987BD1">
        <w:tblPrEx>
          <w:tblW w:w="9270" w:type="dxa"/>
          <w:jc w:val="center"/>
          <w:tblLayout w:type="fixed"/>
          <w:tblCellMar>
            <w:left w:w="115" w:type="dxa"/>
            <w:right w:w="115" w:type="dxa"/>
          </w:tblCellMar>
          <w:tblLook w:val="04A0"/>
        </w:tblPrEx>
        <w:trPr>
          <w:jc w:val="center"/>
        </w:trPr>
        <w:tc>
          <w:tcPr>
            <w:tcW w:w="9270" w:type="dxa"/>
            <w:gridSpan w:val="6"/>
            <w:tcBorders>
              <w:top w:val="nil"/>
              <w:left w:val="single" w:sz="4" w:space="0" w:color="auto"/>
              <w:bottom w:val="single" w:sz="4" w:space="0" w:color="auto"/>
              <w:right w:val="single" w:sz="4" w:space="0" w:color="auto"/>
            </w:tcBorders>
            <w:shd w:val="clear" w:color="auto" w:fill="auto"/>
            <w:noWrap/>
            <w:vAlign w:val="center"/>
          </w:tcPr>
          <w:p w:rsidR="003B717B" w:rsidRPr="000C09A8" w:rsidP="00326B70" w14:paraId="20D8220D" w14:textId="77777777">
            <w:pPr>
              <w:pStyle w:val="RTableTextAbt"/>
              <w:jc w:val="left"/>
              <w:rPr>
                <w:rFonts w:cs="Arial"/>
                <w:b/>
                <w:bCs w:val="0"/>
              </w:rPr>
            </w:pPr>
            <w:r w:rsidRPr="000C09A8">
              <w:rPr>
                <w:rFonts w:cs="Arial"/>
                <w:b/>
                <w:bCs w:val="0"/>
              </w:rPr>
              <w:t>Per Firm Estimates</w:t>
            </w:r>
          </w:p>
        </w:tc>
      </w:tr>
      <w:tr w14:paraId="6B065DBA" w14:textId="77777777" w:rsidTr="006563B1">
        <w:tblPrEx>
          <w:tblW w:w="9270" w:type="dxa"/>
          <w:jc w:val="center"/>
          <w:tblLayout w:type="fixed"/>
          <w:tblCellMar>
            <w:left w:w="115" w:type="dxa"/>
            <w:right w:w="115" w:type="dxa"/>
          </w:tblCellMar>
          <w:tblLook w:val="04A0"/>
        </w:tblPrEx>
        <w:trPr>
          <w:jc w:val="center"/>
        </w:trPr>
        <w:tc>
          <w:tcPr>
            <w:tcW w:w="3873" w:type="dxa"/>
            <w:tcBorders>
              <w:top w:val="nil"/>
              <w:left w:val="single" w:sz="4" w:space="0" w:color="auto"/>
              <w:bottom w:val="single" w:sz="4" w:space="0" w:color="auto"/>
              <w:right w:val="single" w:sz="4" w:space="0" w:color="auto"/>
            </w:tcBorders>
            <w:shd w:val="clear" w:color="auto" w:fill="auto"/>
            <w:noWrap/>
            <w:vAlign w:val="center"/>
          </w:tcPr>
          <w:p w:rsidR="006563B1" w:rsidRPr="000C09A8" w:rsidP="00326B70" w14:paraId="425AFEE8" w14:textId="3A7C4BF7">
            <w:pPr>
              <w:pStyle w:val="LTableTextAbt"/>
              <w:spacing w:before="0" w:after="0"/>
              <w:rPr>
                <w:rFonts w:cs="Arial"/>
              </w:rPr>
            </w:pPr>
            <w:r w:rsidRPr="00064F95">
              <w:rPr>
                <w:rFonts w:cs="Arial"/>
              </w:rPr>
              <w:t>Rule Familiarization</w:t>
            </w:r>
            <w:r>
              <w:rPr>
                <w:rFonts w:cs="Arial"/>
              </w:rPr>
              <w:t xml:space="preserve"> for</w:t>
            </w:r>
            <w:r w:rsidRPr="00064F95">
              <w:rPr>
                <w:rFonts w:cs="Arial"/>
              </w:rPr>
              <w:t xml:space="preserve"> Firms That Do Not Report</w:t>
            </w:r>
          </w:p>
        </w:tc>
        <w:tc>
          <w:tcPr>
            <w:tcW w:w="992" w:type="dxa"/>
            <w:tcBorders>
              <w:top w:val="nil"/>
              <w:left w:val="nil"/>
              <w:bottom w:val="single" w:sz="4" w:space="0" w:color="auto"/>
              <w:right w:val="single" w:sz="4" w:space="0" w:color="auto"/>
            </w:tcBorders>
            <w:shd w:val="clear" w:color="auto" w:fill="auto"/>
            <w:noWrap/>
            <w:vAlign w:val="center"/>
          </w:tcPr>
          <w:p w:rsidR="006563B1" w:rsidRPr="000C09A8" w:rsidP="00326B70" w14:paraId="37F1EDB6" w14:textId="42506D38">
            <w:pPr>
              <w:pStyle w:val="RTableTextAbt"/>
              <w:rPr>
                <w:rFonts w:cs="Arial"/>
              </w:rPr>
            </w:pPr>
            <w:r w:rsidRPr="000C09A8">
              <w:rPr>
                <w:rFonts w:cs="Arial"/>
              </w:rPr>
              <w:t>-</w:t>
            </w:r>
          </w:p>
        </w:tc>
        <w:tc>
          <w:tcPr>
            <w:tcW w:w="1165" w:type="dxa"/>
            <w:tcBorders>
              <w:top w:val="nil"/>
              <w:left w:val="nil"/>
              <w:bottom w:val="single" w:sz="4" w:space="0" w:color="auto"/>
              <w:right w:val="single" w:sz="4" w:space="0" w:color="auto"/>
            </w:tcBorders>
            <w:shd w:val="clear" w:color="auto" w:fill="auto"/>
            <w:noWrap/>
            <w:vAlign w:val="center"/>
          </w:tcPr>
          <w:p w:rsidR="006563B1" w:rsidRPr="000C09A8" w:rsidP="00326B70" w14:paraId="57393A61" w14:textId="26AECFEF">
            <w:pPr>
              <w:pStyle w:val="RTableTextAbt"/>
              <w:rPr>
                <w:rFonts w:cs="Arial"/>
              </w:rPr>
            </w:pPr>
            <w:r>
              <w:rPr>
                <w:rFonts w:cs="Arial"/>
              </w:rPr>
              <w:t>6.4</w:t>
            </w:r>
          </w:p>
        </w:tc>
        <w:tc>
          <w:tcPr>
            <w:tcW w:w="1350" w:type="dxa"/>
            <w:tcBorders>
              <w:top w:val="nil"/>
              <w:left w:val="nil"/>
              <w:bottom w:val="single" w:sz="4" w:space="0" w:color="auto"/>
              <w:right w:val="single" w:sz="4" w:space="0" w:color="auto"/>
            </w:tcBorders>
            <w:shd w:val="clear" w:color="auto" w:fill="auto"/>
            <w:noWrap/>
            <w:vAlign w:val="center"/>
          </w:tcPr>
          <w:p w:rsidR="006563B1" w:rsidRPr="000C09A8" w:rsidP="00326B70" w14:paraId="49817E38" w14:textId="6D58FD56">
            <w:pPr>
              <w:pStyle w:val="RTableTextAbt"/>
              <w:rPr>
                <w:rFonts w:cs="Arial"/>
              </w:rPr>
            </w:pPr>
            <w:r>
              <w:rPr>
                <w:rFonts w:cs="Arial"/>
              </w:rPr>
              <w:t>2.85</w:t>
            </w:r>
          </w:p>
        </w:tc>
        <w:tc>
          <w:tcPr>
            <w:tcW w:w="809" w:type="dxa"/>
            <w:tcBorders>
              <w:top w:val="nil"/>
              <w:left w:val="nil"/>
              <w:bottom w:val="single" w:sz="4" w:space="0" w:color="auto"/>
              <w:right w:val="single" w:sz="4" w:space="0" w:color="auto"/>
            </w:tcBorders>
            <w:shd w:val="clear" w:color="auto" w:fill="auto"/>
            <w:noWrap/>
            <w:vAlign w:val="center"/>
          </w:tcPr>
          <w:p w:rsidR="006563B1" w:rsidRPr="000C09A8" w:rsidP="00326B70" w14:paraId="07D4022A" w14:textId="41312711">
            <w:pPr>
              <w:pStyle w:val="RTableTextAbt"/>
              <w:rPr>
                <w:rFonts w:cs="Arial"/>
              </w:rPr>
            </w:pPr>
            <w:r>
              <w:rPr>
                <w:rFonts w:cs="Arial"/>
              </w:rPr>
              <w:t>9.25</w:t>
            </w:r>
          </w:p>
        </w:tc>
        <w:tc>
          <w:tcPr>
            <w:tcW w:w="1081" w:type="dxa"/>
            <w:tcBorders>
              <w:top w:val="single" w:sz="4" w:space="0" w:color="auto"/>
              <w:left w:val="nil"/>
              <w:bottom w:val="single" w:sz="4" w:space="0" w:color="auto"/>
              <w:right w:val="single" w:sz="4" w:space="0" w:color="auto"/>
            </w:tcBorders>
            <w:shd w:val="clear" w:color="auto" w:fill="auto"/>
            <w:noWrap/>
            <w:vAlign w:val="center"/>
          </w:tcPr>
          <w:p w:rsidR="006563B1" w:rsidRPr="000C09A8" w:rsidP="00326B70" w14:paraId="6B63B43C" w14:textId="39448F13">
            <w:pPr>
              <w:pStyle w:val="RTableTextAbt"/>
              <w:rPr>
                <w:rFonts w:cs="Arial"/>
              </w:rPr>
            </w:pPr>
            <w:r w:rsidRPr="00C27CBE">
              <w:rPr>
                <w:rFonts w:cs="Arial"/>
              </w:rPr>
              <w:t>$787</w:t>
            </w:r>
          </w:p>
        </w:tc>
      </w:tr>
      <w:tr w14:paraId="34CD0064" w14:textId="77777777" w:rsidTr="00987BD1">
        <w:tblPrEx>
          <w:tblW w:w="9270" w:type="dxa"/>
          <w:jc w:val="center"/>
          <w:tblLayout w:type="fixed"/>
          <w:tblCellMar>
            <w:left w:w="115" w:type="dxa"/>
            <w:right w:w="115" w:type="dxa"/>
          </w:tblCellMar>
          <w:tblLook w:val="04A0"/>
        </w:tblPrEx>
        <w:trPr>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rsidR="003B717B" w:rsidRPr="000C09A8" w:rsidP="00326B70" w14:paraId="57A335FF" w14:textId="44320BA0">
            <w:pPr>
              <w:pStyle w:val="LTableTextAbt"/>
              <w:spacing w:before="0" w:after="0"/>
              <w:rPr>
                <w:rFonts w:cs="Arial"/>
              </w:rPr>
            </w:pPr>
            <w:r w:rsidRPr="000C09A8">
              <w:rPr>
                <w:rFonts w:cs="Arial"/>
              </w:rPr>
              <w:t>Rule Familiarization</w:t>
            </w:r>
            <w:r w:rsidR="00064F95">
              <w:rPr>
                <w:rFonts w:cs="Arial"/>
              </w:rPr>
              <w:t xml:space="preserve"> for Reporting Firms</w:t>
            </w:r>
          </w:p>
        </w:tc>
        <w:tc>
          <w:tcPr>
            <w:tcW w:w="992" w:type="dxa"/>
            <w:tcBorders>
              <w:top w:val="nil"/>
              <w:left w:val="nil"/>
              <w:bottom w:val="single" w:sz="4" w:space="0" w:color="auto"/>
              <w:right w:val="single" w:sz="4" w:space="0" w:color="auto"/>
            </w:tcBorders>
            <w:shd w:val="clear" w:color="auto" w:fill="auto"/>
            <w:noWrap/>
            <w:vAlign w:val="center"/>
            <w:hideMark/>
          </w:tcPr>
          <w:p w:rsidR="003B717B" w:rsidRPr="000C09A8" w:rsidP="00326B70" w14:paraId="2B5B5AB2" w14:textId="77777777">
            <w:pPr>
              <w:pStyle w:val="RTableTextAbt"/>
              <w:rPr>
                <w:rFonts w:cs="Arial"/>
              </w:rPr>
            </w:pPr>
            <w:r w:rsidRPr="000C09A8">
              <w:rPr>
                <w:rFonts w:cs="Arial"/>
              </w:rPr>
              <w:t>-</w:t>
            </w:r>
          </w:p>
        </w:tc>
        <w:tc>
          <w:tcPr>
            <w:tcW w:w="1165" w:type="dxa"/>
            <w:tcBorders>
              <w:top w:val="nil"/>
              <w:left w:val="nil"/>
              <w:bottom w:val="single" w:sz="4" w:space="0" w:color="auto"/>
              <w:right w:val="single" w:sz="4" w:space="0" w:color="auto"/>
            </w:tcBorders>
            <w:shd w:val="clear" w:color="auto" w:fill="auto"/>
            <w:noWrap/>
            <w:vAlign w:val="center"/>
            <w:hideMark/>
          </w:tcPr>
          <w:p w:rsidR="003B717B" w:rsidRPr="000C09A8" w:rsidP="00326B70" w14:paraId="6AB31715" w14:textId="77777777">
            <w:pPr>
              <w:pStyle w:val="RTableTextAbt"/>
              <w:rPr>
                <w:rFonts w:cs="Arial"/>
              </w:rPr>
            </w:pPr>
            <w:r w:rsidRPr="000C09A8">
              <w:rPr>
                <w:rFonts w:cs="Arial"/>
              </w:rPr>
              <w:t>17</w:t>
            </w:r>
          </w:p>
        </w:tc>
        <w:tc>
          <w:tcPr>
            <w:tcW w:w="1350" w:type="dxa"/>
            <w:tcBorders>
              <w:top w:val="nil"/>
              <w:left w:val="nil"/>
              <w:bottom w:val="single" w:sz="4" w:space="0" w:color="auto"/>
              <w:right w:val="single" w:sz="4" w:space="0" w:color="auto"/>
            </w:tcBorders>
            <w:shd w:val="clear" w:color="auto" w:fill="auto"/>
            <w:noWrap/>
            <w:vAlign w:val="center"/>
            <w:hideMark/>
          </w:tcPr>
          <w:p w:rsidR="003B717B" w:rsidRPr="000C09A8" w:rsidP="00326B70" w14:paraId="73897836" w14:textId="77777777">
            <w:pPr>
              <w:pStyle w:val="RTableTextAbt"/>
              <w:rPr>
                <w:rFonts w:cs="Arial"/>
              </w:rPr>
            </w:pPr>
            <w:r w:rsidRPr="000C09A8">
              <w:rPr>
                <w:rFonts w:cs="Arial"/>
              </w:rPr>
              <w:t>7</w:t>
            </w:r>
          </w:p>
        </w:tc>
        <w:tc>
          <w:tcPr>
            <w:tcW w:w="809" w:type="dxa"/>
            <w:tcBorders>
              <w:top w:val="nil"/>
              <w:left w:val="nil"/>
              <w:bottom w:val="single" w:sz="4" w:space="0" w:color="auto"/>
              <w:right w:val="single" w:sz="4" w:space="0" w:color="auto"/>
            </w:tcBorders>
            <w:shd w:val="clear" w:color="auto" w:fill="auto"/>
            <w:noWrap/>
            <w:vAlign w:val="center"/>
            <w:hideMark/>
          </w:tcPr>
          <w:p w:rsidR="003B717B" w:rsidRPr="000C09A8" w:rsidP="00326B70" w14:paraId="7BD5ABEB" w14:textId="77777777">
            <w:pPr>
              <w:pStyle w:val="RTableTextAbt"/>
              <w:rPr>
                <w:rFonts w:cs="Arial"/>
              </w:rPr>
            </w:pPr>
            <w:r w:rsidRPr="000C09A8">
              <w:rPr>
                <w:rFonts w:cs="Arial"/>
              </w:rPr>
              <w:t>24</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3B717B" w:rsidRPr="000C09A8" w:rsidP="00326B70" w14:paraId="4F3163C3" w14:textId="72929293">
            <w:pPr>
              <w:pStyle w:val="RTableTextAbt"/>
              <w:rPr>
                <w:rFonts w:cs="Arial"/>
              </w:rPr>
            </w:pPr>
            <w:r w:rsidRPr="000C09A8">
              <w:rPr>
                <w:rFonts w:cs="Arial"/>
              </w:rPr>
              <w:t>$2,03</w:t>
            </w:r>
            <w:r w:rsidR="00064F95">
              <w:rPr>
                <w:rFonts w:cs="Arial"/>
              </w:rPr>
              <w:t>6</w:t>
            </w:r>
            <w:r w:rsidRPr="000C09A8">
              <w:rPr>
                <w:rFonts w:cs="Arial"/>
              </w:rPr>
              <w:t xml:space="preserve"> </w:t>
            </w:r>
          </w:p>
        </w:tc>
      </w:tr>
      <w:tr w14:paraId="1F349FEB" w14:textId="77777777" w:rsidTr="00987BD1">
        <w:tblPrEx>
          <w:tblW w:w="9270" w:type="dxa"/>
          <w:jc w:val="center"/>
          <w:tblLayout w:type="fixed"/>
          <w:tblCellMar>
            <w:left w:w="115" w:type="dxa"/>
            <w:right w:w="115" w:type="dxa"/>
          </w:tblCellMar>
          <w:tblLook w:val="04A0"/>
        </w:tblPrEx>
        <w:trPr>
          <w:jc w:val="center"/>
        </w:trPr>
        <w:tc>
          <w:tcPr>
            <w:tcW w:w="3873" w:type="dxa"/>
            <w:tcBorders>
              <w:top w:val="nil"/>
              <w:left w:val="single" w:sz="4" w:space="0" w:color="auto"/>
              <w:bottom w:val="single" w:sz="4" w:space="0" w:color="auto"/>
              <w:right w:val="single" w:sz="4" w:space="0" w:color="auto"/>
            </w:tcBorders>
            <w:shd w:val="clear" w:color="auto" w:fill="auto"/>
            <w:noWrap/>
            <w:vAlign w:val="center"/>
          </w:tcPr>
          <w:p w:rsidR="006563B1" w:rsidRPr="000C09A8" w:rsidP="00326B70" w14:paraId="3210038F" w14:textId="6CD7FCD9">
            <w:pPr>
              <w:pStyle w:val="LTableTextAbt"/>
              <w:spacing w:before="0" w:after="0"/>
              <w:rPr>
                <w:rFonts w:cs="Arial"/>
              </w:rPr>
            </w:pPr>
            <w:r w:rsidRPr="00CB3E06">
              <w:rPr>
                <w:rFonts w:cs="Arial"/>
              </w:rPr>
              <w:t xml:space="preserve">Compliance Determination </w:t>
            </w:r>
            <w:r w:rsidRPr="00CB3E06">
              <w:rPr>
                <w:rFonts w:cs="Arial"/>
              </w:rPr>
              <w:t>For</w:t>
            </w:r>
            <w:r w:rsidRPr="00CB3E06">
              <w:rPr>
                <w:rFonts w:cs="Arial"/>
              </w:rPr>
              <w:t xml:space="preserve"> Impurities</w:t>
            </w:r>
          </w:p>
        </w:tc>
        <w:tc>
          <w:tcPr>
            <w:tcW w:w="992" w:type="dxa"/>
            <w:tcBorders>
              <w:top w:val="nil"/>
              <w:left w:val="nil"/>
              <w:bottom w:val="single" w:sz="4" w:space="0" w:color="auto"/>
              <w:right w:val="single" w:sz="4" w:space="0" w:color="auto"/>
            </w:tcBorders>
            <w:shd w:val="clear" w:color="auto" w:fill="auto"/>
            <w:noWrap/>
            <w:vAlign w:val="center"/>
          </w:tcPr>
          <w:p w:rsidR="006563B1" w:rsidRPr="000C09A8" w:rsidP="00326B70" w14:paraId="2B65520D" w14:textId="29DCAB6C">
            <w:pPr>
              <w:pStyle w:val="RTableTextAbt"/>
              <w:rPr>
                <w:rFonts w:cs="Arial"/>
              </w:rPr>
            </w:pPr>
            <w:r>
              <w:rPr>
                <w:rFonts w:cs="Arial"/>
              </w:rPr>
              <w:t>17</w:t>
            </w:r>
          </w:p>
        </w:tc>
        <w:tc>
          <w:tcPr>
            <w:tcW w:w="1165" w:type="dxa"/>
            <w:tcBorders>
              <w:top w:val="nil"/>
              <w:left w:val="nil"/>
              <w:bottom w:val="single" w:sz="4" w:space="0" w:color="auto"/>
              <w:right w:val="single" w:sz="4" w:space="0" w:color="auto"/>
            </w:tcBorders>
            <w:shd w:val="clear" w:color="auto" w:fill="auto"/>
            <w:noWrap/>
            <w:vAlign w:val="center"/>
          </w:tcPr>
          <w:p w:rsidR="006563B1" w:rsidRPr="000C09A8" w:rsidP="00326B70" w14:paraId="6909930A" w14:textId="7630CC9F">
            <w:pPr>
              <w:pStyle w:val="RTableTextAbt"/>
              <w:rPr>
                <w:rFonts w:cs="Arial"/>
              </w:rPr>
            </w:pPr>
            <w:r>
              <w:rPr>
                <w:rFonts w:cs="Arial"/>
              </w:rPr>
              <w:t>40</w:t>
            </w:r>
          </w:p>
        </w:tc>
        <w:tc>
          <w:tcPr>
            <w:tcW w:w="1350" w:type="dxa"/>
            <w:tcBorders>
              <w:top w:val="nil"/>
              <w:left w:val="nil"/>
              <w:bottom w:val="single" w:sz="4" w:space="0" w:color="auto"/>
              <w:right w:val="single" w:sz="4" w:space="0" w:color="auto"/>
            </w:tcBorders>
            <w:shd w:val="clear" w:color="auto" w:fill="auto"/>
            <w:noWrap/>
            <w:vAlign w:val="center"/>
          </w:tcPr>
          <w:p w:rsidR="006563B1" w:rsidRPr="000C09A8" w:rsidP="00326B70" w14:paraId="2F5ACA10" w14:textId="2C3536E0">
            <w:pPr>
              <w:pStyle w:val="RTableTextAbt"/>
              <w:rPr>
                <w:rFonts w:cs="Arial"/>
              </w:rPr>
            </w:pPr>
            <w:r w:rsidRPr="000C09A8">
              <w:rPr>
                <w:rFonts w:cs="Arial"/>
              </w:rPr>
              <w:t>-</w:t>
            </w:r>
          </w:p>
        </w:tc>
        <w:tc>
          <w:tcPr>
            <w:tcW w:w="809" w:type="dxa"/>
            <w:tcBorders>
              <w:top w:val="nil"/>
              <w:left w:val="nil"/>
              <w:bottom w:val="single" w:sz="4" w:space="0" w:color="auto"/>
              <w:right w:val="single" w:sz="4" w:space="0" w:color="auto"/>
            </w:tcBorders>
            <w:shd w:val="clear" w:color="auto" w:fill="auto"/>
            <w:noWrap/>
            <w:vAlign w:val="center"/>
          </w:tcPr>
          <w:p w:rsidR="006563B1" w:rsidRPr="000C09A8" w:rsidP="00326B70" w14:paraId="4906A313" w14:textId="752DCA66">
            <w:pPr>
              <w:pStyle w:val="RTableTextAbt"/>
              <w:rPr>
                <w:rFonts w:cs="Arial"/>
              </w:rPr>
            </w:pPr>
            <w:r>
              <w:rPr>
                <w:rFonts w:cs="Arial"/>
              </w:rPr>
              <w:t>57</w:t>
            </w:r>
          </w:p>
        </w:tc>
        <w:tc>
          <w:tcPr>
            <w:tcW w:w="1081" w:type="dxa"/>
            <w:tcBorders>
              <w:top w:val="single" w:sz="4" w:space="0" w:color="auto"/>
              <w:left w:val="nil"/>
              <w:bottom w:val="single" w:sz="4" w:space="0" w:color="auto"/>
              <w:right w:val="single" w:sz="4" w:space="0" w:color="auto"/>
            </w:tcBorders>
            <w:shd w:val="clear" w:color="auto" w:fill="auto"/>
            <w:noWrap/>
            <w:vAlign w:val="center"/>
          </w:tcPr>
          <w:p w:rsidR="006563B1" w:rsidRPr="000C09A8" w:rsidP="00326B70" w14:paraId="1EAAF2E3" w14:textId="5BFBCAE8">
            <w:pPr>
              <w:pStyle w:val="RTableTextAbt"/>
              <w:rPr>
                <w:rFonts w:cs="Arial"/>
              </w:rPr>
            </w:pPr>
            <w:r>
              <w:rPr>
                <w:rFonts w:cs="Arial"/>
              </w:rPr>
              <w:t>$</w:t>
            </w:r>
            <w:r w:rsidR="00FD4F67">
              <w:rPr>
                <w:rFonts w:cs="Arial"/>
              </w:rPr>
              <w:t>3,916.55</w:t>
            </w:r>
          </w:p>
        </w:tc>
      </w:tr>
      <w:tr w14:paraId="4E26E837" w14:textId="77777777" w:rsidTr="00987BD1">
        <w:tblPrEx>
          <w:tblW w:w="9270" w:type="dxa"/>
          <w:jc w:val="center"/>
          <w:tblLayout w:type="fixed"/>
          <w:tblCellMar>
            <w:left w:w="115" w:type="dxa"/>
            <w:right w:w="115" w:type="dxa"/>
          </w:tblCellMar>
          <w:tblLook w:val="04A0"/>
        </w:tblPrEx>
        <w:trPr>
          <w:jc w:val="center"/>
        </w:trPr>
        <w:tc>
          <w:tcPr>
            <w:tcW w:w="3873" w:type="dxa"/>
            <w:tcBorders>
              <w:top w:val="nil"/>
              <w:left w:val="single" w:sz="4" w:space="0" w:color="auto"/>
              <w:bottom w:val="single" w:sz="4" w:space="0" w:color="auto"/>
              <w:right w:val="single" w:sz="4" w:space="0" w:color="auto"/>
            </w:tcBorders>
            <w:shd w:val="clear" w:color="auto" w:fill="auto"/>
            <w:noWrap/>
            <w:vAlign w:val="bottom"/>
          </w:tcPr>
          <w:p w:rsidR="003B717B" w:rsidRPr="000C09A8" w:rsidP="00326B70" w14:paraId="3794B9EC" w14:textId="77777777">
            <w:pPr>
              <w:pStyle w:val="LTableTextAbt"/>
              <w:spacing w:before="0" w:after="0"/>
              <w:rPr>
                <w:rFonts w:cs="Arial"/>
              </w:rPr>
            </w:pPr>
            <w:r w:rsidRPr="000C09A8">
              <w:rPr>
                <w:rFonts w:cs="Arial"/>
              </w:rPr>
              <w:t xml:space="preserve">CDX Registration </w:t>
            </w:r>
          </w:p>
        </w:tc>
        <w:tc>
          <w:tcPr>
            <w:tcW w:w="992" w:type="dxa"/>
            <w:tcBorders>
              <w:top w:val="nil"/>
              <w:left w:val="nil"/>
              <w:bottom w:val="single" w:sz="4" w:space="0" w:color="auto"/>
              <w:right w:val="single" w:sz="4" w:space="0" w:color="auto"/>
            </w:tcBorders>
            <w:shd w:val="clear" w:color="auto" w:fill="auto"/>
            <w:noWrap/>
            <w:vAlign w:val="center"/>
          </w:tcPr>
          <w:p w:rsidR="003B717B" w:rsidRPr="000C09A8" w:rsidP="00326B70" w14:paraId="5FAD520C" w14:textId="77777777">
            <w:pPr>
              <w:pStyle w:val="RTableTextAbt"/>
              <w:rPr>
                <w:rFonts w:cs="Arial"/>
              </w:rPr>
            </w:pPr>
            <w:r w:rsidRPr="000C09A8">
              <w:rPr>
                <w:rFonts w:cs="Arial"/>
              </w:rPr>
              <w:t>-</w:t>
            </w:r>
          </w:p>
        </w:tc>
        <w:tc>
          <w:tcPr>
            <w:tcW w:w="1165" w:type="dxa"/>
            <w:tcBorders>
              <w:top w:val="nil"/>
              <w:left w:val="nil"/>
              <w:bottom w:val="single" w:sz="4" w:space="0" w:color="auto"/>
              <w:right w:val="single" w:sz="4" w:space="0" w:color="auto"/>
            </w:tcBorders>
            <w:shd w:val="clear" w:color="auto" w:fill="auto"/>
            <w:noWrap/>
            <w:vAlign w:val="center"/>
          </w:tcPr>
          <w:p w:rsidR="003B717B" w:rsidRPr="000C09A8" w:rsidP="00326B70" w14:paraId="173182DC" w14:textId="77777777">
            <w:pPr>
              <w:pStyle w:val="RTableTextAbt"/>
              <w:rPr>
                <w:rFonts w:cs="Arial"/>
              </w:rPr>
            </w:pPr>
            <w:r w:rsidRPr="000C09A8">
              <w:rPr>
                <w:rFonts w:cs="Arial"/>
              </w:rPr>
              <w:t>1.73</w:t>
            </w:r>
          </w:p>
        </w:tc>
        <w:tc>
          <w:tcPr>
            <w:tcW w:w="1350" w:type="dxa"/>
            <w:tcBorders>
              <w:top w:val="nil"/>
              <w:left w:val="nil"/>
              <w:bottom w:val="single" w:sz="4" w:space="0" w:color="auto"/>
              <w:right w:val="single" w:sz="4" w:space="0" w:color="auto"/>
            </w:tcBorders>
            <w:shd w:val="clear" w:color="auto" w:fill="auto"/>
            <w:noWrap/>
            <w:vAlign w:val="center"/>
          </w:tcPr>
          <w:p w:rsidR="003B717B" w:rsidRPr="000C09A8" w:rsidP="00326B70" w14:paraId="6175E5FF" w14:textId="77777777">
            <w:pPr>
              <w:pStyle w:val="RTableTextAbt"/>
              <w:rPr>
                <w:rFonts w:cs="Arial"/>
              </w:rPr>
            </w:pPr>
            <w:r w:rsidRPr="000C09A8">
              <w:rPr>
                <w:rFonts w:cs="Arial"/>
              </w:rPr>
              <w:t>0.93</w:t>
            </w:r>
          </w:p>
        </w:tc>
        <w:tc>
          <w:tcPr>
            <w:tcW w:w="809" w:type="dxa"/>
            <w:tcBorders>
              <w:top w:val="nil"/>
              <w:left w:val="nil"/>
              <w:bottom w:val="single" w:sz="4" w:space="0" w:color="auto"/>
              <w:right w:val="single" w:sz="4" w:space="0" w:color="auto"/>
            </w:tcBorders>
            <w:shd w:val="clear" w:color="auto" w:fill="auto"/>
            <w:noWrap/>
            <w:vAlign w:val="center"/>
          </w:tcPr>
          <w:p w:rsidR="003B717B" w:rsidRPr="000C09A8" w:rsidP="00326B70" w14:paraId="03054AB2" w14:textId="77777777">
            <w:pPr>
              <w:pStyle w:val="RTableTextAbt"/>
              <w:rPr>
                <w:rFonts w:cs="Arial"/>
              </w:rPr>
            </w:pPr>
            <w:r w:rsidRPr="000C09A8">
              <w:rPr>
                <w:rFonts w:cs="Arial"/>
              </w:rPr>
              <w:t>2.66</w:t>
            </w:r>
          </w:p>
        </w:tc>
        <w:tc>
          <w:tcPr>
            <w:tcW w:w="1081" w:type="dxa"/>
            <w:tcBorders>
              <w:top w:val="single" w:sz="4" w:space="0" w:color="auto"/>
              <w:left w:val="nil"/>
              <w:bottom w:val="single" w:sz="4" w:space="0" w:color="auto"/>
              <w:right w:val="single" w:sz="4" w:space="0" w:color="auto"/>
            </w:tcBorders>
            <w:shd w:val="clear" w:color="auto" w:fill="auto"/>
            <w:noWrap/>
            <w:vAlign w:val="center"/>
          </w:tcPr>
          <w:p w:rsidR="003B717B" w:rsidRPr="000C09A8" w:rsidP="00326B70" w14:paraId="7D0F4715" w14:textId="7C0DF9A0">
            <w:pPr>
              <w:pStyle w:val="RTableTextAbt"/>
              <w:rPr>
                <w:rFonts w:cs="Arial"/>
              </w:rPr>
            </w:pPr>
            <w:r w:rsidRPr="000C09A8">
              <w:rPr>
                <w:rFonts w:cs="Arial"/>
              </w:rPr>
              <w:t>$230.</w:t>
            </w:r>
            <w:r w:rsidR="006563B1">
              <w:rPr>
                <w:rFonts w:cs="Arial"/>
              </w:rPr>
              <w:t>73</w:t>
            </w:r>
            <w:r w:rsidRPr="000C09A8">
              <w:rPr>
                <w:rFonts w:cs="Arial"/>
              </w:rPr>
              <w:t xml:space="preserve"> </w:t>
            </w:r>
          </w:p>
        </w:tc>
      </w:tr>
      <w:tr w14:paraId="43F3ABDB" w14:textId="77777777" w:rsidTr="00987BD1">
        <w:tblPrEx>
          <w:tblW w:w="9270" w:type="dxa"/>
          <w:jc w:val="center"/>
          <w:tblLayout w:type="fixed"/>
          <w:tblCellMar>
            <w:left w:w="115" w:type="dxa"/>
            <w:right w:w="115" w:type="dxa"/>
          </w:tblCellMar>
          <w:tblLook w:val="04A0"/>
        </w:tblPrEx>
        <w:trPr>
          <w:jc w:val="center"/>
        </w:trPr>
        <w:tc>
          <w:tcPr>
            <w:tcW w:w="9270" w:type="dxa"/>
            <w:gridSpan w:val="6"/>
            <w:tcBorders>
              <w:top w:val="nil"/>
              <w:left w:val="single" w:sz="4" w:space="0" w:color="auto"/>
              <w:bottom w:val="single" w:sz="4" w:space="0" w:color="auto"/>
              <w:right w:val="single" w:sz="4" w:space="0" w:color="auto"/>
            </w:tcBorders>
            <w:shd w:val="clear" w:color="auto" w:fill="auto"/>
            <w:noWrap/>
            <w:vAlign w:val="bottom"/>
          </w:tcPr>
          <w:p w:rsidR="003B717B" w:rsidRPr="000C09A8" w:rsidP="00326B70" w14:paraId="45A77300" w14:textId="77777777">
            <w:pPr>
              <w:pStyle w:val="RTableTextAbt"/>
              <w:jc w:val="left"/>
              <w:rPr>
                <w:rFonts w:cs="Arial"/>
                <w:b/>
                <w:bCs w:val="0"/>
              </w:rPr>
            </w:pPr>
            <w:r w:rsidRPr="000C09A8">
              <w:rPr>
                <w:rFonts w:cs="Arial"/>
                <w:b/>
                <w:bCs w:val="0"/>
              </w:rPr>
              <w:t>Per Site Estimates</w:t>
            </w:r>
          </w:p>
        </w:tc>
      </w:tr>
      <w:tr w14:paraId="100F03BE" w14:textId="77777777" w:rsidTr="00987BD1">
        <w:tblPrEx>
          <w:tblW w:w="9270" w:type="dxa"/>
          <w:jc w:val="center"/>
          <w:tblLayout w:type="fixed"/>
          <w:tblCellMar>
            <w:left w:w="115" w:type="dxa"/>
            <w:right w:w="115" w:type="dxa"/>
          </w:tblCellMar>
          <w:tblLook w:val="04A0"/>
        </w:tblPrEx>
        <w:trPr>
          <w:jc w:val="center"/>
        </w:trPr>
        <w:tc>
          <w:tcPr>
            <w:tcW w:w="3873" w:type="dxa"/>
            <w:tcBorders>
              <w:top w:val="nil"/>
              <w:left w:val="single" w:sz="4" w:space="0" w:color="auto"/>
              <w:bottom w:val="single" w:sz="4" w:space="0" w:color="auto"/>
              <w:right w:val="single" w:sz="4" w:space="0" w:color="auto"/>
            </w:tcBorders>
            <w:shd w:val="clear" w:color="auto" w:fill="auto"/>
            <w:noWrap/>
            <w:vAlign w:val="bottom"/>
          </w:tcPr>
          <w:p w:rsidR="003B717B" w:rsidRPr="000C09A8" w:rsidP="00326B70" w14:paraId="7614B6C3" w14:textId="77777777">
            <w:pPr>
              <w:pStyle w:val="LTableTextAbt"/>
              <w:spacing w:before="0" w:after="0"/>
              <w:rPr>
                <w:rFonts w:cs="Arial"/>
              </w:rPr>
            </w:pPr>
            <w:r w:rsidRPr="000C09A8">
              <w:rPr>
                <w:rFonts w:cs="Arial"/>
              </w:rPr>
              <w:t>CBI Claim Substantiation</w:t>
            </w:r>
          </w:p>
        </w:tc>
        <w:tc>
          <w:tcPr>
            <w:tcW w:w="992" w:type="dxa"/>
            <w:tcBorders>
              <w:top w:val="nil"/>
              <w:left w:val="nil"/>
              <w:bottom w:val="single" w:sz="4" w:space="0" w:color="auto"/>
              <w:right w:val="single" w:sz="4" w:space="0" w:color="auto"/>
            </w:tcBorders>
            <w:shd w:val="clear" w:color="auto" w:fill="auto"/>
            <w:noWrap/>
            <w:vAlign w:val="center"/>
          </w:tcPr>
          <w:p w:rsidR="003B717B" w:rsidRPr="000C09A8" w:rsidP="00326B70" w14:paraId="13B45E9D" w14:textId="77777777">
            <w:pPr>
              <w:pStyle w:val="RTableTextAbt"/>
              <w:rPr>
                <w:rFonts w:cs="Arial"/>
              </w:rPr>
            </w:pPr>
            <w:r w:rsidRPr="000C09A8">
              <w:rPr>
                <w:rFonts w:cs="Arial"/>
              </w:rPr>
              <w:t>0.06</w:t>
            </w:r>
          </w:p>
        </w:tc>
        <w:tc>
          <w:tcPr>
            <w:tcW w:w="1165" w:type="dxa"/>
            <w:tcBorders>
              <w:top w:val="nil"/>
              <w:left w:val="nil"/>
              <w:bottom w:val="single" w:sz="4" w:space="0" w:color="auto"/>
              <w:right w:val="single" w:sz="4" w:space="0" w:color="auto"/>
            </w:tcBorders>
            <w:shd w:val="clear" w:color="auto" w:fill="auto"/>
            <w:noWrap/>
            <w:vAlign w:val="center"/>
          </w:tcPr>
          <w:p w:rsidR="003B717B" w:rsidRPr="000C09A8" w:rsidP="00326B70" w14:paraId="099E659C" w14:textId="77777777">
            <w:pPr>
              <w:pStyle w:val="RTableTextAbt"/>
              <w:rPr>
                <w:rFonts w:cs="Arial"/>
              </w:rPr>
            </w:pPr>
            <w:r w:rsidRPr="000C09A8">
              <w:rPr>
                <w:rFonts w:cs="Arial"/>
              </w:rPr>
              <w:t>0.40</w:t>
            </w:r>
          </w:p>
        </w:tc>
        <w:tc>
          <w:tcPr>
            <w:tcW w:w="1350" w:type="dxa"/>
            <w:tcBorders>
              <w:top w:val="nil"/>
              <w:left w:val="nil"/>
              <w:bottom w:val="single" w:sz="4" w:space="0" w:color="auto"/>
              <w:right w:val="single" w:sz="4" w:space="0" w:color="auto"/>
            </w:tcBorders>
            <w:shd w:val="clear" w:color="auto" w:fill="auto"/>
            <w:noWrap/>
            <w:vAlign w:val="center"/>
          </w:tcPr>
          <w:p w:rsidR="003B717B" w:rsidRPr="000C09A8" w:rsidP="00326B70" w14:paraId="1CACCA78" w14:textId="77777777">
            <w:pPr>
              <w:pStyle w:val="RTableTextAbt"/>
              <w:rPr>
                <w:rFonts w:cs="Arial"/>
              </w:rPr>
            </w:pPr>
            <w:r w:rsidRPr="000C09A8">
              <w:rPr>
                <w:rFonts w:cs="Arial"/>
              </w:rPr>
              <w:t>0.24</w:t>
            </w:r>
          </w:p>
        </w:tc>
        <w:tc>
          <w:tcPr>
            <w:tcW w:w="809" w:type="dxa"/>
            <w:tcBorders>
              <w:top w:val="nil"/>
              <w:left w:val="nil"/>
              <w:bottom w:val="single" w:sz="4" w:space="0" w:color="auto"/>
              <w:right w:val="single" w:sz="4" w:space="0" w:color="auto"/>
            </w:tcBorders>
            <w:shd w:val="clear" w:color="auto" w:fill="auto"/>
            <w:noWrap/>
            <w:vAlign w:val="center"/>
          </w:tcPr>
          <w:p w:rsidR="003B717B" w:rsidRPr="000C09A8" w:rsidP="00326B70" w14:paraId="2BE02B4C" w14:textId="77777777">
            <w:pPr>
              <w:pStyle w:val="RTableTextAbt"/>
              <w:rPr>
                <w:rFonts w:cs="Arial"/>
              </w:rPr>
            </w:pPr>
            <w:r w:rsidRPr="000C09A8">
              <w:rPr>
                <w:rFonts w:cs="Arial"/>
              </w:rPr>
              <w:t>0.70</w:t>
            </w:r>
          </w:p>
        </w:tc>
        <w:tc>
          <w:tcPr>
            <w:tcW w:w="1081" w:type="dxa"/>
            <w:tcBorders>
              <w:top w:val="single" w:sz="4" w:space="0" w:color="auto"/>
              <w:left w:val="nil"/>
              <w:bottom w:val="single" w:sz="4" w:space="0" w:color="auto"/>
              <w:right w:val="single" w:sz="4" w:space="0" w:color="auto"/>
            </w:tcBorders>
            <w:shd w:val="clear" w:color="auto" w:fill="auto"/>
            <w:noWrap/>
            <w:vAlign w:val="center"/>
          </w:tcPr>
          <w:p w:rsidR="003B717B" w:rsidRPr="000C09A8" w:rsidP="00326B70" w14:paraId="51E9C3F2" w14:textId="3F2E6271">
            <w:pPr>
              <w:pStyle w:val="RTableTextAbt"/>
              <w:rPr>
                <w:rFonts w:cs="Arial"/>
              </w:rPr>
            </w:pPr>
            <w:r w:rsidRPr="000C09A8">
              <w:rPr>
                <w:rFonts w:cs="Arial"/>
              </w:rPr>
              <w:t>$57.</w:t>
            </w:r>
            <w:r w:rsidR="006563B1">
              <w:rPr>
                <w:rFonts w:cs="Arial"/>
              </w:rPr>
              <w:t>15</w:t>
            </w:r>
            <w:r w:rsidRPr="000C09A8">
              <w:rPr>
                <w:rFonts w:cs="Arial"/>
              </w:rPr>
              <w:t xml:space="preserve"> </w:t>
            </w:r>
          </w:p>
        </w:tc>
      </w:tr>
      <w:tr w14:paraId="3676A89A" w14:textId="77777777" w:rsidTr="00987BD1">
        <w:tblPrEx>
          <w:tblW w:w="9270" w:type="dxa"/>
          <w:jc w:val="center"/>
          <w:tblLayout w:type="fixed"/>
          <w:tblCellMar>
            <w:left w:w="115" w:type="dxa"/>
            <w:right w:w="115" w:type="dxa"/>
          </w:tblCellMar>
          <w:tblLook w:val="04A0"/>
        </w:tblPrEx>
        <w:trPr>
          <w:jc w:val="center"/>
        </w:trPr>
        <w:tc>
          <w:tcPr>
            <w:tcW w:w="3873" w:type="dxa"/>
            <w:tcBorders>
              <w:top w:val="nil"/>
              <w:left w:val="single" w:sz="4" w:space="0" w:color="auto"/>
              <w:bottom w:val="single" w:sz="4" w:space="0" w:color="auto"/>
              <w:right w:val="single" w:sz="4" w:space="0" w:color="auto"/>
            </w:tcBorders>
            <w:shd w:val="clear" w:color="auto" w:fill="auto"/>
            <w:noWrap/>
            <w:vAlign w:val="bottom"/>
          </w:tcPr>
          <w:p w:rsidR="003B717B" w:rsidRPr="000C09A8" w:rsidP="00326B70" w14:paraId="2B0F47EC" w14:textId="77777777">
            <w:pPr>
              <w:pStyle w:val="LTableTextAbt"/>
              <w:spacing w:before="0" w:after="0"/>
              <w:rPr>
                <w:rFonts w:cs="Arial"/>
              </w:rPr>
            </w:pPr>
            <w:r w:rsidRPr="000C09A8">
              <w:rPr>
                <w:rFonts w:cs="Arial"/>
              </w:rPr>
              <w:t>Recordkeeping</w:t>
            </w:r>
          </w:p>
        </w:tc>
        <w:tc>
          <w:tcPr>
            <w:tcW w:w="992" w:type="dxa"/>
            <w:tcBorders>
              <w:top w:val="nil"/>
              <w:left w:val="nil"/>
              <w:bottom w:val="single" w:sz="4" w:space="0" w:color="auto"/>
              <w:right w:val="single" w:sz="4" w:space="0" w:color="auto"/>
            </w:tcBorders>
            <w:shd w:val="clear" w:color="auto" w:fill="auto"/>
            <w:noWrap/>
            <w:vAlign w:val="center"/>
          </w:tcPr>
          <w:p w:rsidR="003B717B" w:rsidRPr="000C09A8" w:rsidP="00326B70" w14:paraId="0446EF8C" w14:textId="77777777">
            <w:pPr>
              <w:pStyle w:val="RTableTextAbt"/>
              <w:rPr>
                <w:rFonts w:cs="Arial"/>
              </w:rPr>
            </w:pPr>
            <w:r w:rsidRPr="000C09A8">
              <w:rPr>
                <w:rFonts w:cs="Arial"/>
              </w:rPr>
              <w:t>0.5</w:t>
            </w:r>
          </w:p>
        </w:tc>
        <w:tc>
          <w:tcPr>
            <w:tcW w:w="1165" w:type="dxa"/>
            <w:tcBorders>
              <w:top w:val="nil"/>
              <w:left w:val="nil"/>
              <w:bottom w:val="single" w:sz="4" w:space="0" w:color="auto"/>
              <w:right w:val="single" w:sz="4" w:space="0" w:color="auto"/>
            </w:tcBorders>
            <w:shd w:val="clear" w:color="auto" w:fill="auto"/>
            <w:noWrap/>
            <w:vAlign w:val="center"/>
          </w:tcPr>
          <w:p w:rsidR="003B717B" w:rsidRPr="000C09A8" w:rsidP="00326B70" w14:paraId="306073ED" w14:textId="77777777">
            <w:pPr>
              <w:pStyle w:val="RTableTextAbt"/>
              <w:rPr>
                <w:rFonts w:cs="Arial"/>
              </w:rPr>
            </w:pPr>
            <w:r w:rsidRPr="000C09A8">
              <w:rPr>
                <w:rFonts w:cs="Arial"/>
              </w:rPr>
              <w:t>0.5</w:t>
            </w:r>
          </w:p>
        </w:tc>
        <w:tc>
          <w:tcPr>
            <w:tcW w:w="1350" w:type="dxa"/>
            <w:tcBorders>
              <w:top w:val="nil"/>
              <w:left w:val="nil"/>
              <w:bottom w:val="single" w:sz="4" w:space="0" w:color="auto"/>
              <w:right w:val="single" w:sz="4" w:space="0" w:color="auto"/>
            </w:tcBorders>
            <w:shd w:val="clear" w:color="auto" w:fill="auto"/>
            <w:noWrap/>
            <w:vAlign w:val="center"/>
          </w:tcPr>
          <w:p w:rsidR="003B717B" w:rsidRPr="000C09A8" w:rsidP="00326B70" w14:paraId="7F4C090F" w14:textId="77777777">
            <w:pPr>
              <w:pStyle w:val="RTableTextAbt"/>
              <w:rPr>
                <w:rFonts w:cs="Arial"/>
              </w:rPr>
            </w:pPr>
            <w:r w:rsidRPr="000C09A8">
              <w:rPr>
                <w:rFonts w:cs="Arial"/>
              </w:rPr>
              <w:t>-</w:t>
            </w:r>
          </w:p>
        </w:tc>
        <w:tc>
          <w:tcPr>
            <w:tcW w:w="809" w:type="dxa"/>
            <w:tcBorders>
              <w:top w:val="nil"/>
              <w:left w:val="nil"/>
              <w:bottom w:val="single" w:sz="4" w:space="0" w:color="auto"/>
              <w:right w:val="single" w:sz="4" w:space="0" w:color="auto"/>
            </w:tcBorders>
            <w:shd w:val="clear" w:color="auto" w:fill="auto"/>
            <w:noWrap/>
            <w:vAlign w:val="center"/>
          </w:tcPr>
          <w:p w:rsidR="003B717B" w:rsidRPr="000C09A8" w:rsidP="00326B70" w14:paraId="23048CF8" w14:textId="77777777">
            <w:pPr>
              <w:pStyle w:val="RTableTextAbt"/>
              <w:rPr>
                <w:rFonts w:cs="Arial"/>
              </w:rPr>
            </w:pPr>
            <w:r w:rsidRPr="000C09A8">
              <w:rPr>
                <w:rFonts w:cs="Arial"/>
              </w:rPr>
              <w:t>1.00</w:t>
            </w:r>
          </w:p>
        </w:tc>
        <w:tc>
          <w:tcPr>
            <w:tcW w:w="1081" w:type="dxa"/>
            <w:tcBorders>
              <w:top w:val="single" w:sz="4" w:space="0" w:color="auto"/>
              <w:left w:val="nil"/>
              <w:bottom w:val="single" w:sz="4" w:space="0" w:color="auto"/>
              <w:right w:val="single" w:sz="4" w:space="0" w:color="auto"/>
            </w:tcBorders>
            <w:shd w:val="clear" w:color="auto" w:fill="auto"/>
            <w:noWrap/>
            <w:vAlign w:val="center"/>
          </w:tcPr>
          <w:p w:rsidR="003B717B" w:rsidRPr="000C09A8" w:rsidP="00326B70" w14:paraId="00A0DE24" w14:textId="71835181">
            <w:pPr>
              <w:pStyle w:val="RTableTextAbt"/>
              <w:rPr>
                <w:rFonts w:cs="Arial"/>
              </w:rPr>
            </w:pPr>
            <w:r w:rsidRPr="000C09A8">
              <w:rPr>
                <w:rFonts w:cs="Arial"/>
              </w:rPr>
              <w:t>$</w:t>
            </w:r>
            <w:r w:rsidR="006563B1">
              <w:rPr>
                <w:rFonts w:cs="Arial"/>
              </w:rPr>
              <w:t>59.29</w:t>
            </w:r>
            <w:r w:rsidRPr="000C09A8">
              <w:rPr>
                <w:rFonts w:cs="Arial"/>
              </w:rPr>
              <w:t xml:space="preserve"> </w:t>
            </w:r>
          </w:p>
        </w:tc>
      </w:tr>
    </w:tbl>
    <w:p w:rsidR="003B717B" w:rsidRPr="00305BBA" w:rsidP="00326B70" w14:paraId="012EE528" w14:textId="77777777">
      <w:pPr>
        <w:pStyle w:val="BodyTextNoSpaceAfter"/>
        <w:rPr>
          <w:rFonts w:ascii="Arial" w:hAnsi="Arial" w:cs="Arial"/>
          <w:lang w:val="en-US"/>
        </w:rPr>
      </w:pPr>
    </w:p>
    <w:p w:rsidR="00D001AA" w:rsidP="001F2AA0" w14:paraId="1E65A382" w14:textId="0F691330">
      <w:pPr>
        <w:pStyle w:val="BodyText"/>
        <w:spacing w:after="0"/>
      </w:pPr>
      <w:r w:rsidRPr="00A82D4D">
        <w:rPr>
          <w:rFonts w:cs="Arial"/>
        </w:rPr>
        <w:fldChar w:fldCharType="begin"/>
      </w:r>
      <w:r w:rsidRPr="00A82D4D">
        <w:rPr>
          <w:rFonts w:cs="Arial"/>
          <w:szCs w:val="22"/>
        </w:rPr>
        <w:instrText xml:space="preserve"> REF _Ref133342897 </w:instrText>
      </w:r>
      <w:r w:rsidRPr="00B42AE8">
        <w:rPr>
          <w:rFonts w:cs="Arial"/>
          <w:szCs w:val="22"/>
        </w:rPr>
        <w:instrText xml:space="preserve"> \* MERGEFORMAT </w:instrText>
      </w:r>
      <w:r w:rsidRPr="00A82D4D">
        <w:rPr>
          <w:rFonts w:cs="Arial"/>
        </w:rPr>
        <w:fldChar w:fldCharType="separate"/>
      </w:r>
      <w:r w:rsidRPr="009F0705" w:rsidR="009F0705">
        <w:rPr>
          <w:rFonts w:cs="Arial"/>
        </w:rPr>
        <w:t xml:space="preserve">Table </w:t>
      </w:r>
      <w:r w:rsidRPr="009F0705" w:rsidR="009F0705">
        <w:rPr>
          <w:rFonts w:cs="Arial"/>
          <w:noProof/>
        </w:rPr>
        <w:t>7</w:t>
      </w:r>
      <w:r w:rsidRPr="00A82D4D">
        <w:rPr>
          <w:rFonts w:cs="Arial"/>
        </w:rPr>
        <w:fldChar w:fldCharType="end"/>
      </w:r>
      <w:r>
        <w:rPr>
          <w:rFonts w:cs="Arial"/>
        </w:rPr>
        <w:t xml:space="preserve"> </w:t>
      </w:r>
      <w:r w:rsidRPr="005B772E" w:rsidR="003B717B">
        <w:rPr>
          <w:rFonts w:cs="Arial"/>
          <w:szCs w:val="22"/>
        </w:rPr>
        <w:t>presents the estimated total industry burden and cost. For the purpose of this calculation, all respondents were assumed to submit Form B</w:t>
      </w:r>
      <w:r w:rsidR="00A54A64">
        <w:rPr>
          <w:rFonts w:cs="Arial"/>
          <w:szCs w:val="22"/>
        </w:rPr>
        <w:t xml:space="preserve"> </w:t>
      </w:r>
      <w:r w:rsidR="004A7159">
        <w:rPr>
          <w:rFonts w:cs="Arial"/>
          <w:szCs w:val="22"/>
        </w:rPr>
        <w:t xml:space="preserve">using the cost for bulk importers/primary processors. This </w:t>
      </w:r>
      <w:r w:rsidR="00AA077C">
        <w:rPr>
          <w:rFonts w:cs="Arial"/>
          <w:szCs w:val="22"/>
        </w:rPr>
        <w:t xml:space="preserve">may </w:t>
      </w:r>
      <w:r w:rsidR="004A7159">
        <w:rPr>
          <w:rFonts w:cs="Arial"/>
          <w:szCs w:val="22"/>
        </w:rPr>
        <w:t xml:space="preserve">overestimate </w:t>
      </w:r>
      <w:r w:rsidR="00AA077C">
        <w:rPr>
          <w:rFonts w:cs="Arial"/>
          <w:szCs w:val="22"/>
        </w:rPr>
        <w:t xml:space="preserve">actual </w:t>
      </w:r>
      <w:r w:rsidR="004A7159">
        <w:rPr>
          <w:rFonts w:cs="Arial"/>
          <w:szCs w:val="22"/>
        </w:rPr>
        <w:t xml:space="preserve">total </w:t>
      </w:r>
      <w:r w:rsidR="004B5CF5">
        <w:rPr>
          <w:rFonts w:cs="Arial"/>
          <w:szCs w:val="22"/>
        </w:rPr>
        <w:t xml:space="preserve">burden and </w:t>
      </w:r>
      <w:r w:rsidR="004A7159">
        <w:rPr>
          <w:rFonts w:cs="Arial"/>
          <w:szCs w:val="22"/>
        </w:rPr>
        <w:t>cost</w:t>
      </w:r>
      <w:r w:rsidRPr="005B772E" w:rsidR="003B717B">
        <w:rPr>
          <w:rFonts w:cs="Arial"/>
          <w:szCs w:val="22"/>
        </w:rPr>
        <w:t>.</w:t>
      </w:r>
    </w:p>
    <w:tbl>
      <w:tblPr>
        <w:tblW w:w="10674" w:type="dxa"/>
        <w:tblInd w:w="-360" w:type="dxa"/>
        <w:tblLook w:val="04A0"/>
      </w:tblPr>
      <w:tblGrid>
        <w:gridCol w:w="2250"/>
        <w:gridCol w:w="1220"/>
        <w:gridCol w:w="1560"/>
        <w:gridCol w:w="1221"/>
        <w:gridCol w:w="1676"/>
        <w:gridCol w:w="1351"/>
        <w:gridCol w:w="1396"/>
      </w:tblGrid>
      <w:tr w14:paraId="2C3F0B9C" w14:textId="77777777" w:rsidTr="005F2263">
        <w:tblPrEx>
          <w:tblW w:w="10674" w:type="dxa"/>
          <w:tblInd w:w="-360" w:type="dxa"/>
          <w:tblLook w:val="04A0"/>
        </w:tblPrEx>
        <w:trPr>
          <w:trHeight w:val="20"/>
        </w:trPr>
        <w:tc>
          <w:tcPr>
            <w:tcW w:w="10674" w:type="dxa"/>
            <w:gridSpan w:val="7"/>
            <w:tcBorders>
              <w:bottom w:val="single" w:sz="4" w:space="0" w:color="auto"/>
            </w:tcBorders>
            <w:shd w:val="clear" w:color="auto" w:fill="auto"/>
            <w:noWrap/>
            <w:vAlign w:val="center"/>
          </w:tcPr>
          <w:p w:rsidR="00C03717" w:rsidRPr="00417E58" w:rsidP="00C724C4" w14:paraId="3FBC0CAC" w14:textId="7FCF13D1">
            <w:pPr>
              <w:pStyle w:val="TableTitle"/>
              <w:spacing w:line="240" w:lineRule="auto"/>
              <w:rPr>
                <w:rFonts w:ascii="Arial" w:hAnsi="Arial" w:cs="Arial"/>
                <w:b/>
                <w:i/>
                <w:iCs/>
                <w:color w:val="FFFFFF"/>
                <w:szCs w:val="20"/>
              </w:rPr>
            </w:pPr>
            <w:bookmarkStart w:id="18" w:name="_Ref133342897"/>
            <w:bookmarkStart w:id="19" w:name="_Ref123028322"/>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7</w:t>
            </w:r>
            <w:r w:rsidRPr="00DE66D8">
              <w:rPr>
                <w:rFonts w:cs="Arial"/>
                <w:b/>
              </w:rPr>
              <w:fldChar w:fldCharType="end"/>
            </w:r>
            <w:bookmarkEnd w:id="18"/>
            <w:r w:rsidRPr="00DE66D8">
              <w:rPr>
                <w:rFonts w:cs="Arial"/>
                <w:b/>
              </w:rPr>
              <w:t>:</w:t>
            </w:r>
            <w:r w:rsidRPr="00C52B2E">
              <w:rPr>
                <w:rFonts w:cs="Arial"/>
                <w:b/>
              </w:rPr>
              <w:t xml:space="preserve"> </w:t>
            </w:r>
            <w:bookmarkEnd w:id="19"/>
            <w:r w:rsidRPr="00305BBA">
              <w:rPr>
                <w:rFonts w:ascii="Arial" w:hAnsi="Arial" w:cs="Arial"/>
                <w:b/>
                <w:bCs/>
              </w:rPr>
              <w:t xml:space="preserve">Total </w:t>
            </w:r>
            <w:r>
              <w:rPr>
                <w:rFonts w:ascii="Arial" w:hAnsi="Arial" w:cs="Arial"/>
                <w:b/>
                <w:bCs/>
              </w:rPr>
              <w:t xml:space="preserve">3-Year </w:t>
            </w:r>
            <w:r w:rsidRPr="00305BBA">
              <w:rPr>
                <w:rFonts w:ascii="Arial" w:hAnsi="Arial" w:cs="Arial"/>
                <w:b/>
                <w:bCs/>
              </w:rPr>
              <w:t>Industry Burden and Costs (202</w:t>
            </w:r>
            <w:r>
              <w:rPr>
                <w:rFonts w:ascii="Arial" w:hAnsi="Arial" w:cs="Arial"/>
                <w:b/>
                <w:bCs/>
              </w:rPr>
              <w:t>1</w:t>
            </w:r>
            <w:r w:rsidRPr="00305BBA">
              <w:rPr>
                <w:rFonts w:ascii="Arial" w:hAnsi="Arial" w:cs="Arial"/>
                <w:b/>
                <w:bCs/>
              </w:rPr>
              <w:t>$)</w:t>
            </w:r>
          </w:p>
        </w:tc>
      </w:tr>
      <w:tr w14:paraId="166F9B62"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C724C4" w14:paraId="09AD3372" w14:textId="77777777">
            <w:pPr>
              <w:keepNext/>
              <w:keepLines/>
              <w:spacing w:after="0" w:line="240" w:lineRule="auto"/>
              <w:jc w:val="center"/>
              <w:rPr>
                <w:rFonts w:cs="Arial"/>
                <w:b/>
                <w:i/>
                <w:iCs/>
                <w:sz w:val="20"/>
              </w:rPr>
            </w:pPr>
            <w:r w:rsidRPr="00417E58">
              <w:rPr>
                <w:rFonts w:cs="Arial"/>
                <w:b/>
                <w:i/>
                <w:iCs/>
                <w:sz w:val="20"/>
              </w:rPr>
              <w:t>Activity</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03717" w:rsidRPr="00417E58" w:rsidP="00C724C4" w14:paraId="549B52BC" w14:textId="77777777">
            <w:pPr>
              <w:keepNext/>
              <w:keepLines/>
              <w:spacing w:after="0" w:line="240" w:lineRule="auto"/>
              <w:jc w:val="center"/>
              <w:rPr>
                <w:rFonts w:cs="Arial"/>
                <w:b/>
                <w:i/>
                <w:iCs/>
                <w:sz w:val="20"/>
              </w:rPr>
            </w:pPr>
            <w:r w:rsidRPr="00417E58">
              <w:rPr>
                <w:rFonts w:cs="Arial"/>
                <w:b/>
                <w:i/>
                <w:iCs/>
                <w:sz w:val="20"/>
              </w:rPr>
              <w:t>Number of Affected Firms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03717" w:rsidRPr="00417E58" w:rsidP="00C724C4" w14:paraId="65C1EA95" w14:textId="77777777">
            <w:pPr>
              <w:keepNext/>
              <w:keepLines/>
              <w:spacing w:after="0" w:line="240" w:lineRule="auto"/>
              <w:jc w:val="center"/>
              <w:rPr>
                <w:rFonts w:cs="Arial"/>
                <w:b/>
                <w:i/>
                <w:iCs/>
                <w:sz w:val="20"/>
              </w:rPr>
            </w:pPr>
            <w:r w:rsidRPr="00417E58">
              <w:rPr>
                <w:rFonts w:cs="Arial"/>
                <w:b/>
                <w:i/>
                <w:iCs/>
                <w:sz w:val="20"/>
              </w:rPr>
              <w:t>Number of Affected Sites</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C03717" w:rsidRPr="00417E58" w:rsidP="00C724C4" w14:paraId="5B5152BC" w14:textId="13F91C38">
            <w:pPr>
              <w:keepNext/>
              <w:keepLines/>
              <w:spacing w:after="0" w:line="240" w:lineRule="auto"/>
              <w:jc w:val="center"/>
              <w:rPr>
                <w:rFonts w:cs="Arial"/>
                <w:b/>
                <w:i/>
                <w:iCs/>
                <w:sz w:val="20"/>
              </w:rPr>
            </w:pPr>
            <w:r w:rsidRPr="00417E58">
              <w:rPr>
                <w:rFonts w:cs="Arial"/>
                <w:b/>
                <w:i/>
                <w:iCs/>
                <w:sz w:val="20"/>
              </w:rPr>
              <w:t>Burden per Firm or Site (Hours)</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C03717" w:rsidRPr="00417E58" w:rsidP="00C724C4" w14:paraId="59DFD2C2" w14:textId="77777777">
            <w:pPr>
              <w:keepNext/>
              <w:keepLines/>
              <w:spacing w:after="0" w:line="240" w:lineRule="auto"/>
              <w:jc w:val="center"/>
              <w:rPr>
                <w:rFonts w:cs="Arial"/>
                <w:b/>
                <w:i/>
                <w:iCs/>
                <w:sz w:val="20"/>
              </w:rPr>
            </w:pPr>
            <w:r w:rsidRPr="00417E58">
              <w:rPr>
                <w:rFonts w:cs="Arial"/>
                <w:b/>
                <w:i/>
                <w:iCs/>
                <w:sz w:val="20"/>
              </w:rPr>
              <w:t>Total Burden (hours)</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C03717" w:rsidRPr="00417E58" w:rsidP="00C724C4" w14:paraId="7AA53BDB" w14:textId="70A5E543">
            <w:pPr>
              <w:keepNext/>
              <w:keepLines/>
              <w:spacing w:after="0" w:line="240" w:lineRule="auto"/>
              <w:jc w:val="center"/>
              <w:rPr>
                <w:rFonts w:cs="Arial"/>
                <w:b/>
                <w:i/>
                <w:iCs/>
                <w:sz w:val="20"/>
              </w:rPr>
            </w:pPr>
            <w:r w:rsidRPr="00417E58">
              <w:rPr>
                <w:rFonts w:cs="Arial"/>
                <w:b/>
                <w:i/>
                <w:iCs/>
                <w:sz w:val="20"/>
              </w:rPr>
              <w:t>Cost per Firm or Site (</w:t>
            </w:r>
            <w:r w:rsidRPr="00417E58">
              <w:rPr>
                <w:rFonts w:cs="Arial"/>
                <w:b/>
                <w:bCs/>
                <w:i/>
                <w:iCs/>
                <w:sz w:val="20"/>
              </w:rPr>
              <w:t>2021</w:t>
            </w:r>
            <w:r w:rsidRPr="00417E58">
              <w:rPr>
                <w:rFonts w:cs="Arial"/>
                <w:b/>
                <w:i/>
                <w:iCs/>
                <w:sz w:val="20"/>
              </w:rPr>
              <w:t>$)</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C03717" w:rsidRPr="00417E58" w:rsidP="00C724C4" w14:paraId="2FF64987" w14:textId="77777777">
            <w:pPr>
              <w:keepNext/>
              <w:keepLines/>
              <w:spacing w:after="0" w:line="240" w:lineRule="auto"/>
              <w:jc w:val="center"/>
              <w:rPr>
                <w:rFonts w:cs="Arial"/>
                <w:b/>
                <w:i/>
                <w:iCs/>
                <w:sz w:val="20"/>
              </w:rPr>
            </w:pPr>
            <w:r w:rsidRPr="00417E58">
              <w:rPr>
                <w:rFonts w:cs="Arial"/>
                <w:b/>
                <w:i/>
                <w:iCs/>
                <w:sz w:val="20"/>
              </w:rPr>
              <w:t>Total Cost (</w:t>
            </w:r>
            <w:r w:rsidRPr="00417E58">
              <w:rPr>
                <w:rFonts w:cs="Arial"/>
                <w:b/>
                <w:bCs/>
                <w:i/>
                <w:iCs/>
                <w:sz w:val="20"/>
              </w:rPr>
              <w:t>2021</w:t>
            </w:r>
            <w:r w:rsidRPr="00417E58">
              <w:rPr>
                <w:rFonts w:cs="Arial"/>
                <w:b/>
                <w:i/>
                <w:iCs/>
                <w:sz w:val="20"/>
              </w:rPr>
              <w:t>$)</w:t>
            </w:r>
          </w:p>
        </w:tc>
      </w:tr>
      <w:tr w14:paraId="2F2E7F22" w14:textId="77777777" w:rsidTr="005F2263">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C724C4" w14:paraId="52A8C230" w14:textId="77777777">
            <w:pPr>
              <w:keepNext/>
              <w:keepLines/>
              <w:spacing w:after="0" w:line="240" w:lineRule="auto"/>
              <w:jc w:val="center"/>
              <w:rPr>
                <w:rFonts w:cs="Arial"/>
                <w:b/>
                <w:i/>
                <w:iCs/>
                <w:sz w:val="20"/>
              </w:rPr>
            </w:pPr>
            <w:r w:rsidRPr="00417E58">
              <w:rPr>
                <w:rFonts w:cs="Arial"/>
                <w:b/>
                <w:i/>
                <w:iCs/>
                <w:sz w:val="20"/>
              </w:rPr>
              <w:t>Bulk importers / Primary Processors –  Intentional Use of Asbestos (Reported on Form B)</w:t>
            </w:r>
          </w:p>
        </w:tc>
      </w:tr>
      <w:tr w14:paraId="7BADE2CD"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5D01112" w14:textId="77777777">
            <w:pPr>
              <w:pStyle w:val="LTableTextAbt"/>
              <w:rPr>
                <w:i/>
                <w:iCs/>
                <w:color w:val="auto"/>
              </w:rPr>
            </w:pPr>
            <w:r w:rsidRPr="00417E58">
              <w:rPr>
                <w:i/>
                <w:iCs/>
                <w:color w:val="auto"/>
              </w:rPr>
              <w:t xml:space="preserve">Rule Familiarization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3A2BB196" w14:textId="77777777">
            <w:pPr>
              <w:pStyle w:val="RTableTextAbt"/>
              <w:rPr>
                <w:i/>
                <w:iCs/>
                <w:color w:val="auto"/>
              </w:rPr>
            </w:pPr>
            <w:r w:rsidRPr="00417E58">
              <w:rPr>
                <w:rFonts w:cs="Arial"/>
                <w:i/>
                <w:iCs/>
                <w:color w:val="auto"/>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39489D5C"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31C9B268" w14:textId="77777777">
            <w:pPr>
              <w:pStyle w:val="RTableTextAbt"/>
              <w:rPr>
                <w:i/>
                <w:iCs/>
                <w:color w:val="auto"/>
              </w:rPr>
            </w:pPr>
            <w:r w:rsidRPr="00417E58">
              <w:rPr>
                <w:rFonts w:cs="Arial"/>
                <w:i/>
                <w:iCs/>
                <w:color w:val="auto"/>
              </w:rPr>
              <w:t>24</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21CE0D69" w14:textId="77777777">
            <w:pPr>
              <w:pStyle w:val="RTableTextAbt"/>
              <w:rPr>
                <w:i/>
                <w:iCs/>
                <w:color w:val="auto"/>
              </w:rPr>
            </w:pPr>
            <w:r w:rsidRPr="00417E58">
              <w:rPr>
                <w:rFonts w:cs="Arial"/>
                <w:i/>
                <w:iCs/>
                <w:color w:val="auto"/>
              </w:rPr>
              <w:t>72</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78E52F83" w14:textId="77777777">
            <w:pPr>
              <w:pStyle w:val="RTableTextAbt"/>
              <w:rPr>
                <w:i/>
                <w:iCs/>
                <w:color w:val="auto"/>
              </w:rPr>
            </w:pPr>
            <w:r w:rsidRPr="00417E58">
              <w:rPr>
                <w:rFonts w:cs="Arial"/>
                <w:i/>
                <w:iCs/>
                <w:color w:val="auto"/>
              </w:rPr>
              <w:t xml:space="preserve">$2,036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0B5CA18A" w14:textId="77777777">
            <w:pPr>
              <w:pStyle w:val="RTableTextAbt"/>
              <w:rPr>
                <w:i/>
                <w:iCs/>
                <w:color w:val="auto"/>
              </w:rPr>
            </w:pPr>
            <w:r w:rsidRPr="00417E58">
              <w:rPr>
                <w:rFonts w:cs="Arial"/>
                <w:i/>
                <w:iCs/>
                <w:color w:val="auto"/>
              </w:rPr>
              <w:t xml:space="preserve">$6,108 </w:t>
            </w:r>
          </w:p>
        </w:tc>
      </w:tr>
      <w:tr w14:paraId="7CEF29AB"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58E2D11A" w14:textId="77777777">
            <w:pPr>
              <w:pStyle w:val="LTableTextAbt"/>
              <w:rPr>
                <w:i/>
                <w:iCs/>
                <w:color w:val="auto"/>
              </w:rPr>
            </w:pPr>
            <w:r w:rsidRPr="00417E58">
              <w:rPr>
                <w:i/>
                <w:iCs/>
                <w:color w:val="auto"/>
              </w:rPr>
              <w:t xml:space="preserve">Form Completion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107CAB63" w14:textId="77777777">
            <w:pPr>
              <w:pStyle w:val="RTableTextAbt"/>
              <w:rPr>
                <w:i/>
                <w:iCs/>
                <w:color w:val="auto"/>
                <w:highlight w:val="yellow"/>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9C7BFBF" w14:textId="77777777">
            <w:pPr>
              <w:pStyle w:val="RTableTextAbt"/>
              <w:rPr>
                <w:i/>
                <w:iCs/>
                <w:color w:val="auto"/>
                <w:highlight w:val="yellow"/>
              </w:rPr>
            </w:pPr>
            <w:r w:rsidRPr="00417E58">
              <w:rPr>
                <w:rFonts w:cs="Arial"/>
                <w:i/>
                <w:iCs/>
                <w:color w:val="auto"/>
              </w:rPr>
              <w:t>10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F13C081" w14:textId="77777777">
            <w:pPr>
              <w:pStyle w:val="RTableTextAbt"/>
              <w:rPr>
                <w:i/>
                <w:iCs/>
                <w:color w:val="auto"/>
                <w:highlight w:val="yellow"/>
              </w:rPr>
            </w:pPr>
            <w:r w:rsidRPr="00417E58">
              <w:rPr>
                <w:rFonts w:cs="Arial"/>
                <w:i/>
                <w:iCs/>
                <w:color w:val="auto"/>
              </w:rPr>
              <w:t>26</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3CCDE98" w14:textId="77777777">
            <w:pPr>
              <w:pStyle w:val="RTableTextAbt"/>
              <w:rPr>
                <w:i/>
                <w:iCs/>
                <w:color w:val="auto"/>
                <w:highlight w:val="yellow"/>
              </w:rPr>
            </w:pPr>
            <w:r w:rsidRPr="00417E58">
              <w:rPr>
                <w:rFonts w:cs="Arial"/>
                <w:i/>
                <w:iCs/>
                <w:color w:val="auto"/>
              </w:rPr>
              <w:t>259</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75843CDD" w14:textId="77777777">
            <w:pPr>
              <w:pStyle w:val="RTableTextAbt"/>
              <w:rPr>
                <w:i/>
                <w:iCs/>
                <w:color w:val="auto"/>
              </w:rPr>
            </w:pPr>
            <w:r w:rsidRPr="00417E58">
              <w:rPr>
                <w:rFonts w:cs="Arial"/>
                <w:i/>
                <w:iCs/>
                <w:color w:val="auto"/>
              </w:rPr>
              <w:t xml:space="preserve">$2,372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D1FEDB5" w14:textId="77777777">
            <w:pPr>
              <w:pStyle w:val="RTableTextAbt"/>
              <w:rPr>
                <w:i/>
                <w:iCs/>
                <w:color w:val="auto"/>
                <w:highlight w:val="yellow"/>
              </w:rPr>
            </w:pPr>
            <w:r w:rsidRPr="00417E58">
              <w:rPr>
                <w:rFonts w:cs="Arial"/>
                <w:i/>
                <w:iCs/>
                <w:color w:val="auto"/>
              </w:rPr>
              <w:t xml:space="preserve">$23,719 </w:t>
            </w:r>
          </w:p>
        </w:tc>
      </w:tr>
      <w:tr w14:paraId="7BDDB719"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7E1E7B21" w14:textId="77777777">
            <w:pPr>
              <w:pStyle w:val="LTableTextAbt"/>
              <w:rPr>
                <w:i/>
                <w:iCs/>
                <w:color w:val="auto"/>
              </w:rPr>
            </w:pPr>
            <w:r w:rsidRPr="00417E58">
              <w:rPr>
                <w:i/>
                <w:iCs/>
                <w:color w:val="auto"/>
              </w:rPr>
              <w:t xml:space="preserve">CBI Claim Substantiation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7266A47C"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6C120DB" w14:textId="77777777">
            <w:pPr>
              <w:pStyle w:val="RTableTextAbt"/>
              <w:rPr>
                <w:i/>
                <w:iCs/>
                <w:color w:val="auto"/>
              </w:rPr>
            </w:pPr>
            <w:r w:rsidRPr="00417E58">
              <w:rPr>
                <w:rFonts w:cs="Arial"/>
                <w:i/>
                <w:iCs/>
                <w:color w:val="auto"/>
              </w:rPr>
              <w:t>10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A165C7C"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6E6BC3D" w14:textId="77777777">
            <w:pPr>
              <w:pStyle w:val="RTableTextAbt"/>
              <w:rPr>
                <w:i/>
                <w:iCs/>
                <w:color w:val="auto"/>
              </w:rPr>
            </w:pPr>
            <w:r w:rsidRPr="00417E58">
              <w:rPr>
                <w:rFonts w:cs="Arial"/>
                <w:i/>
                <w:iCs/>
                <w:color w:val="auto"/>
              </w:rPr>
              <w:t>7</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3CD05D08" w14:textId="77777777">
            <w:pPr>
              <w:pStyle w:val="RTableTextAbt"/>
              <w:rPr>
                <w:i/>
                <w:iCs/>
                <w:color w:val="auto"/>
              </w:rPr>
            </w:pPr>
            <w:r w:rsidRPr="00417E58">
              <w:rPr>
                <w:rFonts w:cs="Arial"/>
                <w:i/>
                <w:iCs/>
                <w:color w:val="auto"/>
              </w:rPr>
              <w:t xml:space="preserve">$57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208DD2D3" w14:textId="77777777">
            <w:pPr>
              <w:pStyle w:val="RTableTextAbt"/>
              <w:rPr>
                <w:i/>
                <w:iCs/>
                <w:color w:val="auto"/>
              </w:rPr>
            </w:pPr>
            <w:r w:rsidRPr="00417E58">
              <w:rPr>
                <w:rFonts w:cs="Arial"/>
                <w:i/>
                <w:iCs/>
                <w:color w:val="auto"/>
              </w:rPr>
              <w:t xml:space="preserve">$572 </w:t>
            </w:r>
          </w:p>
        </w:tc>
      </w:tr>
      <w:tr w14:paraId="4F6B74B4"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03C6411B" w14:textId="77777777">
            <w:pPr>
              <w:pStyle w:val="LTableTextAbt"/>
              <w:rPr>
                <w:i/>
                <w:iCs/>
                <w:color w:val="auto"/>
              </w:rPr>
            </w:pPr>
            <w:r w:rsidRPr="00417E58">
              <w:rPr>
                <w:i/>
                <w:iCs/>
                <w:color w:val="auto"/>
              </w:rPr>
              <w:t xml:space="preserve">Recordkeeping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67BC6892"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20498FB" w14:textId="77777777">
            <w:pPr>
              <w:pStyle w:val="RTableTextAbt"/>
              <w:rPr>
                <w:i/>
                <w:iCs/>
                <w:color w:val="auto"/>
              </w:rPr>
            </w:pPr>
            <w:r w:rsidRPr="00417E58">
              <w:rPr>
                <w:rFonts w:cs="Arial"/>
                <w:i/>
                <w:iCs/>
                <w:color w:val="auto"/>
              </w:rPr>
              <w:t>10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56DBD42"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E027248" w14:textId="77777777">
            <w:pPr>
              <w:pStyle w:val="RTableTextAbt"/>
              <w:rPr>
                <w:i/>
                <w:iCs/>
                <w:color w:val="auto"/>
              </w:rPr>
            </w:pPr>
            <w:r w:rsidRPr="00417E58">
              <w:rPr>
                <w:rFonts w:cs="Arial"/>
                <w:i/>
                <w:iCs/>
                <w:color w:val="auto"/>
              </w:rPr>
              <w:t>10</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5EE6FDCF" w14:textId="77777777">
            <w:pPr>
              <w:pStyle w:val="RTableTextAbt"/>
              <w:rPr>
                <w:i/>
                <w:iCs/>
                <w:color w:val="auto"/>
              </w:rPr>
            </w:pPr>
            <w:r w:rsidRPr="00417E58">
              <w:rPr>
                <w:rFonts w:cs="Arial"/>
                <w:i/>
                <w:iCs/>
                <w:color w:val="auto"/>
              </w:rPr>
              <w:t xml:space="preserve">$59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EA3DD3E" w14:textId="77777777">
            <w:pPr>
              <w:pStyle w:val="RTableTextAbt"/>
              <w:rPr>
                <w:i/>
                <w:iCs/>
                <w:color w:val="auto"/>
              </w:rPr>
            </w:pPr>
            <w:r w:rsidRPr="00417E58">
              <w:rPr>
                <w:rFonts w:cs="Arial"/>
                <w:i/>
                <w:iCs/>
                <w:color w:val="auto"/>
              </w:rPr>
              <w:t xml:space="preserve">$593 </w:t>
            </w:r>
          </w:p>
        </w:tc>
      </w:tr>
      <w:tr w14:paraId="20C8DBF9"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68690DC8" w14:textId="77777777">
            <w:pPr>
              <w:pStyle w:val="LTableTextAbt"/>
              <w:rPr>
                <w:i/>
                <w:iCs/>
                <w:color w:val="auto"/>
              </w:rPr>
            </w:pPr>
            <w:r w:rsidRPr="00417E58">
              <w:rPr>
                <w:i/>
                <w:iCs/>
                <w:color w:val="auto"/>
              </w:rPr>
              <w:t xml:space="preserve">CDX Registration and Electronic Signature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1429D2E" w14:textId="77777777">
            <w:pPr>
              <w:pStyle w:val="RTableTextAbt"/>
              <w:rPr>
                <w:i/>
                <w:iCs/>
                <w:color w:val="auto"/>
              </w:rPr>
            </w:pPr>
            <w:r w:rsidRPr="00417E58">
              <w:rPr>
                <w:rFonts w:cs="Arial"/>
                <w:i/>
                <w:iCs/>
                <w:color w:val="auto"/>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394BA4A"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BBB74C9" w14:textId="77777777">
            <w:pPr>
              <w:pStyle w:val="RTableTextAbt"/>
              <w:rPr>
                <w:i/>
                <w:iCs/>
                <w:color w:val="auto"/>
              </w:rPr>
            </w:pPr>
            <w:r w:rsidRPr="00417E58">
              <w:rPr>
                <w:rFonts w:cs="Arial"/>
                <w:i/>
                <w:iCs/>
                <w:color w:val="auto"/>
              </w:rPr>
              <w:t>3</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17C1CEE" w14:textId="77777777">
            <w:pPr>
              <w:pStyle w:val="RTableTextAbt"/>
              <w:rPr>
                <w:i/>
                <w:iCs/>
                <w:color w:val="auto"/>
              </w:rPr>
            </w:pPr>
            <w:r w:rsidRPr="00417E58">
              <w:rPr>
                <w:rFonts w:cs="Arial"/>
                <w:i/>
                <w:iCs/>
                <w:color w:val="auto"/>
              </w:rPr>
              <w:t>8</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416ED577" w14:textId="77777777">
            <w:pPr>
              <w:pStyle w:val="RTableTextAbt"/>
              <w:rPr>
                <w:i/>
                <w:iCs/>
                <w:color w:val="auto"/>
              </w:rPr>
            </w:pPr>
            <w:r w:rsidRPr="00417E58">
              <w:rPr>
                <w:rFonts w:cs="Arial"/>
                <w:i/>
                <w:iCs/>
                <w:color w:val="auto"/>
              </w:rPr>
              <w:t xml:space="preserve">$231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4000B93" w14:textId="77777777">
            <w:pPr>
              <w:pStyle w:val="RTableTextAbt"/>
              <w:rPr>
                <w:i/>
                <w:iCs/>
                <w:color w:val="auto"/>
              </w:rPr>
            </w:pPr>
            <w:r w:rsidRPr="00417E58">
              <w:rPr>
                <w:rFonts w:cs="Arial"/>
                <w:i/>
                <w:iCs/>
                <w:color w:val="auto"/>
              </w:rPr>
              <w:t xml:space="preserve">$692 </w:t>
            </w:r>
          </w:p>
        </w:tc>
      </w:tr>
      <w:tr w14:paraId="1472F0F1"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717" w:rsidRPr="00417E58" w:rsidP="00326B70" w14:paraId="54ABA391" w14:textId="77777777">
            <w:pPr>
              <w:pStyle w:val="RTableTextAbt"/>
              <w:rPr>
                <w:i/>
                <w:iCs/>
                <w:color w:val="auto"/>
              </w:rPr>
            </w:pPr>
            <w:r w:rsidRPr="00417E58">
              <w:rPr>
                <w:i/>
                <w:iCs/>
                <w:color w:val="auto"/>
              </w:rPr>
              <w:t>Subtotal</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57AECFC9"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8663140"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337C5F49" w14:textId="77777777">
            <w:pPr>
              <w:pStyle w:val="RTableTextAbt"/>
              <w:rPr>
                <w:i/>
                <w:iCs/>
                <w:color w:val="auto"/>
              </w:rPr>
            </w:pPr>
            <w:r w:rsidRPr="00417E58">
              <w:rPr>
                <w:rFonts w:cs="Arial"/>
                <w:i/>
                <w:iCs/>
                <w:color w:val="auto"/>
              </w:rPr>
              <w:t>-</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56030BC" w14:textId="77777777">
            <w:pPr>
              <w:pStyle w:val="RTableTextAbt"/>
              <w:rPr>
                <w:i/>
                <w:iCs/>
                <w:color w:val="auto"/>
              </w:rPr>
            </w:pPr>
            <w:r w:rsidRPr="00417E58">
              <w:rPr>
                <w:rFonts w:cs="Arial"/>
                <w:i/>
                <w:iCs/>
                <w:color w:val="auto"/>
              </w:rPr>
              <w:t>356</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163A8580" w14:textId="77777777">
            <w:pPr>
              <w:pStyle w:val="RTableTextAbt"/>
              <w:rPr>
                <w:i/>
                <w:iCs/>
                <w:color w:val="auto"/>
              </w:rPr>
            </w:pPr>
            <w:r w:rsidRPr="00417E58">
              <w:rPr>
                <w:rFonts w:cs="Arial"/>
                <w:i/>
                <w:iCs/>
                <w:color w:val="auto"/>
              </w:rPr>
              <w:t>-</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C724C4" w14:paraId="5E2033E0" w14:textId="77777777">
            <w:pPr>
              <w:keepNext/>
              <w:keepLines/>
              <w:spacing w:after="0" w:line="240" w:lineRule="auto"/>
              <w:jc w:val="right"/>
              <w:rPr>
                <w:rFonts w:cs="Arial"/>
                <w:i/>
                <w:iCs/>
                <w:sz w:val="20"/>
              </w:rPr>
            </w:pPr>
            <w:r w:rsidRPr="00417E58">
              <w:rPr>
                <w:rFonts w:ascii="Arial Narrow" w:hAnsi="Arial Narrow" w:cs="Arial"/>
                <w:i/>
                <w:iCs/>
                <w:sz w:val="20"/>
              </w:rPr>
              <w:t xml:space="preserve">$31,684 </w:t>
            </w:r>
          </w:p>
        </w:tc>
      </w:tr>
      <w:tr w14:paraId="38434CEB" w14:textId="77777777" w:rsidTr="005F2263">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C724C4" w14:paraId="18921BDB" w14:textId="77777777">
            <w:pPr>
              <w:keepNext/>
              <w:keepLines/>
              <w:spacing w:after="0" w:line="240" w:lineRule="auto"/>
              <w:jc w:val="center"/>
              <w:rPr>
                <w:rFonts w:cs="Arial"/>
                <w:b/>
                <w:i/>
                <w:iCs/>
                <w:sz w:val="20"/>
              </w:rPr>
            </w:pPr>
            <w:r w:rsidRPr="00417E58">
              <w:rPr>
                <w:rFonts w:cs="Arial"/>
                <w:b/>
                <w:i/>
                <w:iCs/>
                <w:sz w:val="20"/>
              </w:rPr>
              <w:t>Mixture Importers / Secondary Processors – Intentional Use of Asbestos (Reported on Form B)</w:t>
            </w:r>
          </w:p>
        </w:tc>
      </w:tr>
      <w:tr w14:paraId="62F7AF08"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08EA9B3B" w14:textId="77777777">
            <w:pPr>
              <w:pStyle w:val="LTableTextAbt"/>
              <w:rPr>
                <w:i/>
                <w:iCs/>
                <w:color w:val="auto"/>
              </w:rPr>
            </w:pPr>
            <w:r w:rsidRPr="00417E58">
              <w:rPr>
                <w:i/>
                <w:iCs/>
                <w:color w:val="auto"/>
              </w:rPr>
              <w:t xml:space="preserve">Rule Familiarization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B51E154" w14:textId="77777777">
            <w:pPr>
              <w:pStyle w:val="RTableTextAbt"/>
              <w:rPr>
                <w:i/>
                <w:iCs/>
                <w:color w:val="auto"/>
              </w:rPr>
            </w:pPr>
            <w:r w:rsidRPr="00417E58">
              <w:rPr>
                <w:rFonts w:cs="Arial"/>
                <w:i/>
                <w:iCs/>
                <w:color w:val="auto"/>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F3E2482"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0E0B9CFF" w14:textId="77777777">
            <w:pPr>
              <w:pStyle w:val="RTableTextAbt"/>
              <w:rPr>
                <w:i/>
                <w:iCs/>
                <w:color w:val="auto"/>
              </w:rPr>
            </w:pPr>
            <w:r w:rsidRPr="00417E58">
              <w:rPr>
                <w:rFonts w:cs="Arial"/>
                <w:i/>
                <w:iCs/>
                <w:color w:val="auto"/>
              </w:rPr>
              <w:t>24</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E928939" w14:textId="77777777">
            <w:pPr>
              <w:pStyle w:val="RTableTextAbt"/>
              <w:rPr>
                <w:i/>
                <w:iCs/>
                <w:color w:val="auto"/>
              </w:rPr>
            </w:pPr>
            <w:r w:rsidRPr="00417E58">
              <w:rPr>
                <w:rFonts w:cs="Arial"/>
                <w:i/>
                <w:iCs/>
                <w:color w:val="auto"/>
              </w:rPr>
              <w:t>48</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06A73E74" w14:textId="77777777">
            <w:pPr>
              <w:pStyle w:val="RTableTextAbt"/>
              <w:rPr>
                <w:i/>
                <w:iCs/>
                <w:color w:val="auto"/>
              </w:rPr>
            </w:pPr>
            <w:r w:rsidRPr="00417E58">
              <w:rPr>
                <w:rFonts w:cs="Arial"/>
                <w:i/>
                <w:iCs/>
                <w:color w:val="auto"/>
              </w:rPr>
              <w:t xml:space="preserve">$2,036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913AD99" w14:textId="77777777">
            <w:pPr>
              <w:pStyle w:val="RTableTextAbt"/>
              <w:rPr>
                <w:i/>
                <w:iCs/>
                <w:color w:val="auto"/>
              </w:rPr>
            </w:pPr>
            <w:r w:rsidRPr="00417E58">
              <w:rPr>
                <w:rFonts w:cs="Arial"/>
                <w:i/>
                <w:iCs/>
                <w:color w:val="auto"/>
              </w:rPr>
              <w:t xml:space="preserve">$4,072 </w:t>
            </w:r>
          </w:p>
        </w:tc>
      </w:tr>
      <w:tr w14:paraId="71BA1CAE"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5302A7B0" w14:textId="77777777">
            <w:pPr>
              <w:pStyle w:val="LTableTextAbt"/>
              <w:rPr>
                <w:i/>
                <w:iCs/>
                <w:color w:val="auto"/>
              </w:rPr>
            </w:pPr>
            <w:r w:rsidRPr="00417E58">
              <w:rPr>
                <w:i/>
                <w:iCs/>
                <w:color w:val="auto"/>
              </w:rPr>
              <w:t xml:space="preserve">Form Completion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7E7E65A"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067CD541" w14:textId="77777777">
            <w:pPr>
              <w:pStyle w:val="RTableTextAbt"/>
              <w:rPr>
                <w:i/>
                <w:iCs/>
                <w:color w:val="auto"/>
                <w:highlight w:val="yellow"/>
              </w:rPr>
            </w:pPr>
            <w:r w:rsidRPr="00417E58">
              <w:rPr>
                <w:rFonts w:cs="Arial"/>
                <w:i/>
                <w:iCs/>
                <w:color w:val="auto"/>
              </w:rPr>
              <w:t>4</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E0DC7D2" w14:textId="77777777">
            <w:pPr>
              <w:pStyle w:val="RTableTextAbt"/>
              <w:rPr>
                <w:i/>
                <w:iCs/>
                <w:color w:val="auto"/>
                <w:highlight w:val="yellow"/>
              </w:rPr>
            </w:pPr>
            <w:r w:rsidRPr="00417E58">
              <w:rPr>
                <w:rFonts w:cs="Arial"/>
                <w:i/>
                <w:iCs/>
                <w:color w:val="auto"/>
              </w:rPr>
              <w:t>22</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1B7BFBE" w14:textId="77777777">
            <w:pPr>
              <w:pStyle w:val="RTableTextAbt"/>
              <w:rPr>
                <w:i/>
                <w:iCs/>
                <w:color w:val="auto"/>
                <w:highlight w:val="yellow"/>
              </w:rPr>
            </w:pPr>
            <w:r w:rsidRPr="00417E58">
              <w:rPr>
                <w:rFonts w:cs="Arial"/>
                <w:i/>
                <w:iCs/>
                <w:color w:val="auto"/>
              </w:rPr>
              <w:t>88</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3143D0FD" w14:textId="77777777">
            <w:pPr>
              <w:pStyle w:val="RTableTextAbt"/>
              <w:rPr>
                <w:i/>
                <w:iCs/>
                <w:color w:val="auto"/>
                <w:highlight w:val="yellow"/>
              </w:rPr>
            </w:pPr>
            <w:r w:rsidRPr="00417E58">
              <w:rPr>
                <w:rFonts w:cs="Arial"/>
                <w:i/>
                <w:iCs/>
                <w:color w:val="auto"/>
              </w:rPr>
              <w:t xml:space="preserve">$2,047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1B54238" w14:textId="77777777">
            <w:pPr>
              <w:pStyle w:val="RTableTextAbt"/>
              <w:rPr>
                <w:i/>
                <w:iCs/>
                <w:color w:val="auto"/>
                <w:highlight w:val="yellow"/>
              </w:rPr>
            </w:pPr>
            <w:r w:rsidRPr="00417E58">
              <w:rPr>
                <w:rFonts w:cs="Arial"/>
                <w:i/>
                <w:iCs/>
                <w:color w:val="auto"/>
              </w:rPr>
              <w:t xml:space="preserve">$8,189 </w:t>
            </w:r>
          </w:p>
        </w:tc>
      </w:tr>
      <w:tr w14:paraId="5ACE1255"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0BEB4436" w14:textId="77777777">
            <w:pPr>
              <w:pStyle w:val="LTableTextAbt"/>
              <w:rPr>
                <w:i/>
                <w:iCs/>
                <w:color w:val="auto"/>
              </w:rPr>
            </w:pPr>
            <w:r w:rsidRPr="00417E58">
              <w:rPr>
                <w:i/>
                <w:iCs/>
                <w:color w:val="auto"/>
              </w:rPr>
              <w:t xml:space="preserve">CBI Claim Substantiation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5BA48EFA"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30DF1F9" w14:textId="77777777">
            <w:pPr>
              <w:pStyle w:val="RTableTextAbt"/>
              <w:rPr>
                <w:i/>
                <w:iCs/>
                <w:color w:val="auto"/>
              </w:rPr>
            </w:pPr>
            <w:r w:rsidRPr="00417E58">
              <w:rPr>
                <w:rFonts w:cs="Arial"/>
                <w:i/>
                <w:iCs/>
                <w:color w:val="auto"/>
              </w:rPr>
              <w:t>4</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908BF89"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3FA8E20E" w14:textId="77777777">
            <w:pPr>
              <w:pStyle w:val="RTableTextAbt"/>
              <w:rPr>
                <w:i/>
                <w:iCs/>
                <w:color w:val="auto"/>
              </w:rPr>
            </w:pPr>
            <w:r w:rsidRPr="00417E58">
              <w:rPr>
                <w:rFonts w:cs="Arial"/>
                <w:i/>
                <w:iCs/>
                <w:color w:val="auto"/>
              </w:rPr>
              <w:t>3</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4CF51385" w14:textId="77777777">
            <w:pPr>
              <w:pStyle w:val="RTableTextAbt"/>
              <w:rPr>
                <w:i/>
                <w:iCs/>
                <w:color w:val="auto"/>
              </w:rPr>
            </w:pPr>
            <w:r w:rsidRPr="00417E58">
              <w:rPr>
                <w:rFonts w:cs="Arial"/>
                <w:i/>
                <w:iCs/>
                <w:color w:val="auto"/>
              </w:rPr>
              <w:t xml:space="preserve">$57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0FAA663" w14:textId="77777777">
            <w:pPr>
              <w:pStyle w:val="RTableTextAbt"/>
              <w:rPr>
                <w:i/>
                <w:iCs/>
                <w:color w:val="auto"/>
              </w:rPr>
            </w:pPr>
            <w:r w:rsidRPr="00417E58">
              <w:rPr>
                <w:rFonts w:cs="Arial"/>
                <w:i/>
                <w:iCs/>
                <w:color w:val="auto"/>
              </w:rPr>
              <w:t xml:space="preserve">$229 </w:t>
            </w:r>
          </w:p>
        </w:tc>
      </w:tr>
      <w:tr w14:paraId="64D8D495"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EA23626" w14:textId="77777777">
            <w:pPr>
              <w:pStyle w:val="LTableTextAbt"/>
              <w:rPr>
                <w:i/>
                <w:iCs/>
                <w:color w:val="auto"/>
              </w:rPr>
            </w:pPr>
            <w:r w:rsidRPr="00417E58">
              <w:rPr>
                <w:i/>
                <w:iCs/>
                <w:color w:val="auto"/>
              </w:rPr>
              <w:t xml:space="preserve">Recordkeeping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0041F88"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93A6212" w14:textId="77777777">
            <w:pPr>
              <w:pStyle w:val="RTableTextAbt"/>
              <w:rPr>
                <w:i/>
                <w:iCs/>
                <w:color w:val="auto"/>
              </w:rPr>
            </w:pPr>
            <w:r w:rsidRPr="00417E58">
              <w:rPr>
                <w:rFonts w:cs="Arial"/>
                <w:i/>
                <w:iCs/>
                <w:color w:val="auto"/>
              </w:rPr>
              <w:t>4</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2FD13930"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088BA874" w14:textId="77777777">
            <w:pPr>
              <w:pStyle w:val="RTableTextAbt"/>
              <w:rPr>
                <w:i/>
                <w:iCs/>
                <w:color w:val="auto"/>
              </w:rPr>
            </w:pPr>
            <w:r w:rsidRPr="00417E58">
              <w:rPr>
                <w:rFonts w:cs="Arial"/>
                <w:i/>
                <w:iCs/>
                <w:color w:val="auto"/>
              </w:rPr>
              <w:t>4</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70CA1E96" w14:textId="77777777">
            <w:pPr>
              <w:pStyle w:val="RTableTextAbt"/>
              <w:rPr>
                <w:i/>
                <w:iCs/>
                <w:color w:val="auto"/>
              </w:rPr>
            </w:pPr>
            <w:r w:rsidRPr="00417E58">
              <w:rPr>
                <w:rFonts w:cs="Arial"/>
                <w:i/>
                <w:iCs/>
                <w:color w:val="auto"/>
              </w:rPr>
              <w:t xml:space="preserve">$59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5046664" w14:textId="77777777">
            <w:pPr>
              <w:pStyle w:val="RTableTextAbt"/>
              <w:rPr>
                <w:i/>
                <w:iCs/>
                <w:color w:val="auto"/>
              </w:rPr>
            </w:pPr>
            <w:r w:rsidRPr="00417E58">
              <w:rPr>
                <w:rFonts w:cs="Arial"/>
                <w:i/>
                <w:iCs/>
                <w:color w:val="auto"/>
              </w:rPr>
              <w:t xml:space="preserve">$237 </w:t>
            </w:r>
          </w:p>
        </w:tc>
      </w:tr>
      <w:tr w14:paraId="4E1B8251"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6D603231" w14:textId="77777777">
            <w:pPr>
              <w:pStyle w:val="LTableTextAbt"/>
              <w:rPr>
                <w:i/>
                <w:iCs/>
                <w:color w:val="auto"/>
              </w:rPr>
            </w:pPr>
            <w:r w:rsidRPr="00417E58">
              <w:rPr>
                <w:i/>
                <w:iCs/>
                <w:color w:val="auto"/>
              </w:rPr>
              <w:t xml:space="preserve">CDX Registration and Electronic Signature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1E726861" w14:textId="77777777">
            <w:pPr>
              <w:pStyle w:val="RTableTextAbt"/>
              <w:rPr>
                <w:i/>
                <w:iCs/>
                <w:color w:val="auto"/>
              </w:rPr>
            </w:pPr>
            <w:r w:rsidRPr="00417E58">
              <w:rPr>
                <w:rFonts w:cs="Arial"/>
                <w:i/>
                <w:iCs/>
                <w:color w:val="auto"/>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261B1E57"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967C5EB" w14:textId="77777777">
            <w:pPr>
              <w:pStyle w:val="RTableTextAbt"/>
              <w:rPr>
                <w:i/>
                <w:iCs/>
                <w:color w:val="auto"/>
              </w:rPr>
            </w:pPr>
            <w:r w:rsidRPr="00417E58">
              <w:rPr>
                <w:rFonts w:cs="Arial"/>
                <w:i/>
                <w:iCs/>
                <w:color w:val="auto"/>
              </w:rPr>
              <w:t>3</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D20D22B" w14:textId="77777777">
            <w:pPr>
              <w:pStyle w:val="RTableTextAbt"/>
              <w:rPr>
                <w:i/>
                <w:iCs/>
                <w:color w:val="auto"/>
              </w:rPr>
            </w:pPr>
            <w:r w:rsidRPr="00417E58">
              <w:rPr>
                <w:rFonts w:cs="Arial"/>
                <w:i/>
                <w:iCs/>
                <w:color w:val="auto"/>
              </w:rPr>
              <w:t>5</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0F2B7099" w14:textId="77777777">
            <w:pPr>
              <w:pStyle w:val="RTableTextAbt"/>
              <w:rPr>
                <w:i/>
                <w:iCs/>
                <w:color w:val="auto"/>
              </w:rPr>
            </w:pPr>
            <w:r w:rsidRPr="00417E58">
              <w:rPr>
                <w:rFonts w:cs="Arial"/>
                <w:i/>
                <w:iCs/>
                <w:color w:val="auto"/>
              </w:rPr>
              <w:t xml:space="preserve">$231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08B612C" w14:textId="77777777">
            <w:pPr>
              <w:pStyle w:val="RTableTextAbt"/>
              <w:rPr>
                <w:i/>
                <w:iCs/>
                <w:color w:val="auto"/>
              </w:rPr>
            </w:pPr>
            <w:r w:rsidRPr="00417E58">
              <w:rPr>
                <w:rFonts w:cs="Arial"/>
                <w:i/>
                <w:iCs/>
                <w:color w:val="auto"/>
              </w:rPr>
              <w:t xml:space="preserve">$461 </w:t>
            </w:r>
          </w:p>
        </w:tc>
      </w:tr>
      <w:tr w14:paraId="35C38B37"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717" w:rsidRPr="00417E58" w:rsidP="00326B70" w14:paraId="10633326" w14:textId="77777777">
            <w:pPr>
              <w:pStyle w:val="RTableTextAbt"/>
              <w:rPr>
                <w:i/>
                <w:iCs/>
                <w:color w:val="auto"/>
              </w:rPr>
            </w:pPr>
            <w:r w:rsidRPr="00417E58">
              <w:rPr>
                <w:i/>
                <w:iCs/>
                <w:color w:val="auto"/>
              </w:rPr>
              <w:t>Subtotal</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48ADE47D"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2236547"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32F134C7" w14:textId="77777777">
            <w:pPr>
              <w:pStyle w:val="RTableTextAbt"/>
              <w:rPr>
                <w:i/>
                <w:iCs/>
                <w:color w:val="auto"/>
              </w:rPr>
            </w:pPr>
            <w:r w:rsidRPr="00417E58">
              <w:rPr>
                <w:rFonts w:cs="Arial"/>
                <w:i/>
                <w:iCs/>
                <w:color w:val="auto"/>
              </w:rPr>
              <w:t>-</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A8283EB" w14:textId="77777777">
            <w:pPr>
              <w:pStyle w:val="RTableTextAbt"/>
              <w:rPr>
                <w:i/>
                <w:iCs/>
                <w:color w:val="auto"/>
              </w:rPr>
            </w:pPr>
            <w:r w:rsidRPr="00417E58">
              <w:rPr>
                <w:rFonts w:cs="Arial"/>
                <w:i/>
                <w:iCs/>
                <w:color w:val="auto"/>
              </w:rPr>
              <w:t>148</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C0BAF1B" w14:textId="77777777">
            <w:pPr>
              <w:pStyle w:val="RTableTextAbt"/>
              <w:rPr>
                <w:i/>
                <w:iCs/>
                <w:color w:val="auto"/>
              </w:rPr>
            </w:pPr>
            <w:r w:rsidRPr="00417E58">
              <w:rPr>
                <w:rFonts w:cs="Arial"/>
                <w:i/>
                <w:iCs/>
                <w:color w:val="auto"/>
              </w:rPr>
              <w:t>-</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7496564" w14:textId="77777777">
            <w:pPr>
              <w:pStyle w:val="RTableTextAbt"/>
              <w:rPr>
                <w:i/>
                <w:iCs/>
                <w:color w:val="auto"/>
              </w:rPr>
            </w:pPr>
            <w:r w:rsidRPr="00417E58">
              <w:rPr>
                <w:rFonts w:cs="Arial"/>
                <w:i/>
                <w:iCs/>
                <w:color w:val="auto"/>
              </w:rPr>
              <w:t xml:space="preserve">$13,188 </w:t>
            </w:r>
          </w:p>
        </w:tc>
      </w:tr>
      <w:tr w14:paraId="5A13C2BB" w14:textId="77777777" w:rsidTr="005F2263">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C724C4" w14:paraId="29C08750" w14:textId="40FFC398">
            <w:pPr>
              <w:keepNext/>
              <w:keepLines/>
              <w:spacing w:after="0" w:line="240" w:lineRule="auto"/>
              <w:jc w:val="center"/>
              <w:rPr>
                <w:rFonts w:cs="Arial"/>
                <w:b/>
                <w:i/>
                <w:iCs/>
                <w:sz w:val="20"/>
              </w:rPr>
            </w:pPr>
            <w:r w:rsidRPr="00417E58">
              <w:rPr>
                <w:rFonts w:cs="Arial"/>
                <w:b/>
                <w:i/>
                <w:iCs/>
                <w:sz w:val="20"/>
              </w:rPr>
              <w:t>Article Importers – Intentional Use of Asbestos (Reported on Form B)</w:t>
            </w:r>
            <w:r w:rsidR="00B13338">
              <w:rPr>
                <w:rFonts w:cs="Arial"/>
                <w:b/>
                <w:i/>
                <w:iCs/>
                <w:sz w:val="20"/>
              </w:rPr>
              <w:t xml:space="preserve"> – Average Estimate</w:t>
            </w:r>
          </w:p>
        </w:tc>
      </w:tr>
      <w:tr w14:paraId="468052CE"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43226264" w14:textId="77777777">
            <w:pPr>
              <w:pStyle w:val="LTableTextAbt"/>
              <w:rPr>
                <w:i/>
                <w:iCs/>
                <w:color w:val="auto"/>
              </w:rPr>
            </w:pPr>
            <w:r w:rsidRPr="00417E58">
              <w:rPr>
                <w:i/>
                <w:iCs/>
                <w:color w:val="auto"/>
              </w:rPr>
              <w:t xml:space="preserve">Rule Familiarization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192563BB" w14:textId="77777777">
            <w:pPr>
              <w:pStyle w:val="RTableTextAbt"/>
              <w:rPr>
                <w:i/>
                <w:iCs/>
                <w:color w:val="auto"/>
              </w:rPr>
            </w:pPr>
            <w:r w:rsidRPr="00417E58">
              <w:rPr>
                <w:rFonts w:cs="Arial"/>
                <w:i/>
                <w:iCs/>
                <w:color w:val="auto"/>
              </w:rPr>
              <w:t>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A6FC8C3"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3D75B3C9" w14:textId="77777777">
            <w:pPr>
              <w:pStyle w:val="RTableTextAbt"/>
              <w:rPr>
                <w:i/>
                <w:iCs/>
                <w:color w:val="auto"/>
              </w:rPr>
            </w:pPr>
            <w:r w:rsidRPr="00417E58">
              <w:rPr>
                <w:rFonts w:cs="Arial"/>
                <w:i/>
                <w:iCs/>
                <w:color w:val="auto"/>
              </w:rPr>
              <w:t>24</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77F02C7" w14:textId="77777777">
            <w:pPr>
              <w:pStyle w:val="RTableTextAbt"/>
              <w:rPr>
                <w:i/>
                <w:iCs/>
                <w:color w:val="auto"/>
              </w:rPr>
            </w:pPr>
            <w:r w:rsidRPr="00417E58">
              <w:rPr>
                <w:rFonts w:cs="Arial"/>
                <w:i/>
                <w:iCs/>
                <w:color w:val="auto"/>
              </w:rPr>
              <w:t>240</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0E9A878E" w14:textId="77777777">
            <w:pPr>
              <w:pStyle w:val="RTableTextAbt"/>
              <w:rPr>
                <w:i/>
                <w:iCs/>
                <w:color w:val="auto"/>
              </w:rPr>
            </w:pPr>
            <w:r w:rsidRPr="00417E58">
              <w:rPr>
                <w:rFonts w:cs="Arial"/>
                <w:i/>
                <w:iCs/>
                <w:color w:val="auto"/>
              </w:rPr>
              <w:t xml:space="preserve">$2,036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94EFE58" w14:textId="77777777">
            <w:pPr>
              <w:pStyle w:val="RTableTextAbt"/>
              <w:rPr>
                <w:i/>
                <w:iCs/>
                <w:color w:val="auto"/>
              </w:rPr>
            </w:pPr>
            <w:r w:rsidRPr="00417E58">
              <w:rPr>
                <w:rFonts w:cs="Arial"/>
                <w:i/>
                <w:iCs/>
                <w:color w:val="auto"/>
              </w:rPr>
              <w:t xml:space="preserve">$20,361 </w:t>
            </w:r>
          </w:p>
        </w:tc>
      </w:tr>
      <w:tr w14:paraId="29E0958B"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43F584B3" w14:textId="77777777">
            <w:pPr>
              <w:pStyle w:val="LTableTextAbt"/>
              <w:rPr>
                <w:i/>
                <w:iCs/>
                <w:color w:val="auto"/>
              </w:rPr>
            </w:pPr>
            <w:r w:rsidRPr="00417E58">
              <w:rPr>
                <w:i/>
                <w:iCs/>
                <w:color w:val="auto"/>
              </w:rPr>
              <w:t xml:space="preserve">Form Completion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3CF09507"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4920AC0" w14:textId="77777777">
            <w:pPr>
              <w:pStyle w:val="RTableTextAbt"/>
              <w:rPr>
                <w:i/>
                <w:iCs/>
                <w:color w:val="auto"/>
                <w:highlight w:val="yellow"/>
              </w:rPr>
            </w:pPr>
            <w:r w:rsidRPr="00417E58">
              <w:rPr>
                <w:rFonts w:cs="Arial"/>
                <w:i/>
                <w:iCs/>
                <w:color w:val="auto"/>
              </w:rPr>
              <w:t>10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21B36675" w14:textId="77777777">
            <w:pPr>
              <w:pStyle w:val="RTableTextAbt"/>
              <w:rPr>
                <w:i/>
                <w:iCs/>
                <w:color w:val="auto"/>
                <w:highlight w:val="yellow"/>
              </w:rPr>
            </w:pPr>
            <w:r w:rsidRPr="00417E58">
              <w:rPr>
                <w:rFonts w:cs="Arial"/>
                <w:i/>
                <w:iCs/>
                <w:color w:val="auto"/>
              </w:rPr>
              <w:t>22</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A6E4FF8" w14:textId="77777777">
            <w:pPr>
              <w:pStyle w:val="RTableTextAbt"/>
              <w:rPr>
                <w:i/>
                <w:iCs/>
                <w:color w:val="auto"/>
                <w:highlight w:val="yellow"/>
              </w:rPr>
            </w:pPr>
            <w:r w:rsidRPr="00417E58">
              <w:rPr>
                <w:rFonts w:cs="Arial"/>
                <w:i/>
                <w:iCs/>
                <w:color w:val="auto"/>
              </w:rPr>
              <w:t>219</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4FEE982" w14:textId="77777777">
            <w:pPr>
              <w:pStyle w:val="RTableTextAbt"/>
              <w:rPr>
                <w:i/>
                <w:iCs/>
                <w:color w:val="auto"/>
                <w:highlight w:val="yellow"/>
              </w:rPr>
            </w:pPr>
            <w:r w:rsidRPr="00417E58">
              <w:rPr>
                <w:rFonts w:cs="Arial"/>
                <w:i/>
                <w:iCs/>
                <w:color w:val="auto"/>
              </w:rPr>
              <w:t xml:space="preserve">$2,047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2510959" w14:textId="77777777">
            <w:pPr>
              <w:pStyle w:val="RTableTextAbt"/>
              <w:rPr>
                <w:i/>
                <w:iCs/>
                <w:color w:val="auto"/>
                <w:highlight w:val="yellow"/>
              </w:rPr>
            </w:pPr>
            <w:r w:rsidRPr="00417E58">
              <w:rPr>
                <w:rFonts w:cs="Arial"/>
                <w:i/>
                <w:iCs/>
                <w:color w:val="auto"/>
              </w:rPr>
              <w:t xml:space="preserve">$20,472 </w:t>
            </w:r>
          </w:p>
        </w:tc>
      </w:tr>
      <w:tr w14:paraId="1F36CA6D"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27D5B2DD" w14:textId="77777777">
            <w:pPr>
              <w:pStyle w:val="LTableTextAbt"/>
              <w:rPr>
                <w:i/>
                <w:iCs/>
                <w:color w:val="auto"/>
              </w:rPr>
            </w:pPr>
            <w:r w:rsidRPr="00417E58">
              <w:rPr>
                <w:i/>
                <w:iCs/>
                <w:color w:val="auto"/>
              </w:rPr>
              <w:t xml:space="preserve">CBI Claim Substantiation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4C3B990F"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256BA6F2" w14:textId="77777777">
            <w:pPr>
              <w:pStyle w:val="RTableTextAbt"/>
              <w:rPr>
                <w:i/>
                <w:iCs/>
                <w:color w:val="auto"/>
              </w:rPr>
            </w:pPr>
            <w:r w:rsidRPr="00417E58">
              <w:rPr>
                <w:rFonts w:cs="Arial"/>
                <w:i/>
                <w:iCs/>
                <w:color w:val="auto"/>
              </w:rPr>
              <w:t>10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2DF06B3B"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B4E7DB0" w14:textId="77777777">
            <w:pPr>
              <w:pStyle w:val="RTableTextAbt"/>
              <w:rPr>
                <w:i/>
                <w:iCs/>
                <w:color w:val="auto"/>
              </w:rPr>
            </w:pPr>
            <w:r w:rsidRPr="00417E58">
              <w:rPr>
                <w:rFonts w:cs="Arial"/>
                <w:i/>
                <w:iCs/>
                <w:color w:val="auto"/>
              </w:rPr>
              <w:t>7</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0D38BF2E" w14:textId="77777777">
            <w:pPr>
              <w:pStyle w:val="RTableTextAbt"/>
              <w:rPr>
                <w:i/>
                <w:iCs/>
                <w:color w:val="auto"/>
              </w:rPr>
            </w:pPr>
            <w:r w:rsidRPr="00417E58">
              <w:rPr>
                <w:rFonts w:cs="Arial"/>
                <w:i/>
                <w:iCs/>
                <w:color w:val="auto"/>
              </w:rPr>
              <w:t xml:space="preserve">$57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550AED19" w14:textId="77777777">
            <w:pPr>
              <w:pStyle w:val="RTableTextAbt"/>
              <w:rPr>
                <w:i/>
                <w:iCs/>
                <w:color w:val="auto"/>
              </w:rPr>
            </w:pPr>
            <w:r w:rsidRPr="00417E58">
              <w:rPr>
                <w:rFonts w:cs="Arial"/>
                <w:i/>
                <w:iCs/>
                <w:color w:val="auto"/>
              </w:rPr>
              <w:t xml:space="preserve">$572 </w:t>
            </w:r>
          </w:p>
        </w:tc>
      </w:tr>
      <w:tr w14:paraId="49E6291B"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1400721F" w14:textId="77777777">
            <w:pPr>
              <w:pStyle w:val="LTableTextAbt"/>
              <w:rPr>
                <w:i/>
                <w:iCs/>
                <w:color w:val="auto"/>
              </w:rPr>
            </w:pPr>
            <w:r w:rsidRPr="00417E58">
              <w:rPr>
                <w:i/>
                <w:iCs/>
                <w:color w:val="auto"/>
              </w:rPr>
              <w:t xml:space="preserve">Recordkeeping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7026BD6A"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93D8784" w14:textId="77777777">
            <w:pPr>
              <w:pStyle w:val="RTableTextAbt"/>
              <w:rPr>
                <w:i/>
                <w:iCs/>
                <w:color w:val="auto"/>
              </w:rPr>
            </w:pPr>
            <w:r w:rsidRPr="00417E58">
              <w:rPr>
                <w:rFonts w:cs="Arial"/>
                <w:i/>
                <w:iCs/>
                <w:color w:val="auto"/>
              </w:rPr>
              <w:t>10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8849E1B"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2B252C4" w14:textId="77777777">
            <w:pPr>
              <w:pStyle w:val="RTableTextAbt"/>
              <w:rPr>
                <w:i/>
                <w:iCs/>
                <w:color w:val="auto"/>
              </w:rPr>
            </w:pPr>
            <w:r w:rsidRPr="00417E58">
              <w:rPr>
                <w:rFonts w:cs="Arial"/>
                <w:i/>
                <w:iCs/>
                <w:color w:val="auto"/>
              </w:rPr>
              <w:t>10</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E1E04B1" w14:textId="77777777">
            <w:pPr>
              <w:pStyle w:val="RTableTextAbt"/>
              <w:rPr>
                <w:i/>
                <w:iCs/>
                <w:color w:val="auto"/>
              </w:rPr>
            </w:pPr>
            <w:r w:rsidRPr="00417E58">
              <w:rPr>
                <w:rFonts w:cs="Arial"/>
                <w:i/>
                <w:iCs/>
                <w:color w:val="auto"/>
              </w:rPr>
              <w:t xml:space="preserve">$59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0A6CBD2" w14:textId="77777777">
            <w:pPr>
              <w:pStyle w:val="RTableTextAbt"/>
              <w:rPr>
                <w:i/>
                <w:iCs/>
                <w:color w:val="auto"/>
              </w:rPr>
            </w:pPr>
            <w:r w:rsidRPr="00417E58">
              <w:rPr>
                <w:rFonts w:cs="Arial"/>
                <w:i/>
                <w:iCs/>
                <w:color w:val="auto"/>
              </w:rPr>
              <w:t xml:space="preserve">$593 </w:t>
            </w:r>
          </w:p>
        </w:tc>
      </w:tr>
      <w:tr w14:paraId="3F7825C7"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1DC3C75A" w14:textId="77777777">
            <w:pPr>
              <w:pStyle w:val="LTableTextAbt"/>
              <w:rPr>
                <w:i/>
                <w:iCs/>
                <w:color w:val="auto"/>
              </w:rPr>
            </w:pPr>
            <w:r w:rsidRPr="00417E58">
              <w:rPr>
                <w:i/>
                <w:iCs/>
                <w:color w:val="auto"/>
              </w:rPr>
              <w:t xml:space="preserve">CDX Registration and Electronic Signature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7AC399AA" w14:textId="77777777">
            <w:pPr>
              <w:pStyle w:val="RTableTextAbt"/>
              <w:rPr>
                <w:i/>
                <w:iCs/>
                <w:color w:val="auto"/>
              </w:rPr>
            </w:pPr>
            <w:r w:rsidRPr="00417E58">
              <w:rPr>
                <w:rFonts w:cs="Arial"/>
                <w:i/>
                <w:iCs/>
                <w:color w:val="auto"/>
              </w:rPr>
              <w:t>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3CEB0405"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F0617FF" w14:textId="77777777">
            <w:pPr>
              <w:pStyle w:val="RTableTextAbt"/>
              <w:rPr>
                <w:i/>
                <w:iCs/>
                <w:color w:val="auto"/>
              </w:rPr>
            </w:pPr>
            <w:r w:rsidRPr="00417E58">
              <w:rPr>
                <w:rFonts w:cs="Arial"/>
                <w:i/>
                <w:iCs/>
                <w:color w:val="auto"/>
              </w:rPr>
              <w:t>3</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7D365DB" w14:textId="77777777">
            <w:pPr>
              <w:pStyle w:val="RTableTextAbt"/>
              <w:rPr>
                <w:i/>
                <w:iCs/>
                <w:color w:val="auto"/>
              </w:rPr>
            </w:pPr>
            <w:r w:rsidRPr="00417E58">
              <w:rPr>
                <w:rFonts w:cs="Arial"/>
                <w:i/>
                <w:iCs/>
                <w:color w:val="auto"/>
              </w:rPr>
              <w:t>27</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3F762B2" w14:textId="77777777">
            <w:pPr>
              <w:pStyle w:val="RTableTextAbt"/>
              <w:rPr>
                <w:i/>
                <w:iCs/>
                <w:color w:val="auto"/>
              </w:rPr>
            </w:pPr>
            <w:r w:rsidRPr="00417E58">
              <w:rPr>
                <w:rFonts w:cs="Arial"/>
                <w:i/>
                <w:iCs/>
                <w:color w:val="auto"/>
              </w:rPr>
              <w:t xml:space="preserve">$231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491FBDE" w14:textId="77777777">
            <w:pPr>
              <w:pStyle w:val="RTableTextAbt"/>
              <w:rPr>
                <w:i/>
                <w:iCs/>
                <w:color w:val="auto"/>
              </w:rPr>
            </w:pPr>
            <w:r w:rsidRPr="00417E58">
              <w:rPr>
                <w:rFonts w:cs="Arial"/>
                <w:i/>
                <w:iCs/>
                <w:color w:val="auto"/>
              </w:rPr>
              <w:t xml:space="preserve">$2,307 </w:t>
            </w:r>
          </w:p>
        </w:tc>
      </w:tr>
      <w:tr w14:paraId="4F8F6168"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717" w:rsidRPr="00417E58" w:rsidP="00C724C4" w14:paraId="7F4E0A9F" w14:textId="77777777">
            <w:pPr>
              <w:keepNext/>
              <w:keepLines/>
              <w:spacing w:after="0" w:line="240" w:lineRule="auto"/>
              <w:jc w:val="right"/>
              <w:rPr>
                <w:rFonts w:ascii="Arial Narrow" w:hAnsi="Arial Narrow" w:cs="Arial"/>
                <w:i/>
                <w:iCs/>
                <w:sz w:val="20"/>
              </w:rPr>
            </w:pPr>
            <w:r w:rsidRPr="00417E58">
              <w:rPr>
                <w:rFonts w:ascii="Arial Narrow" w:hAnsi="Arial Narrow" w:cs="Arial"/>
                <w:i/>
                <w:iCs/>
                <w:sz w:val="20"/>
              </w:rPr>
              <w:t>Subtotal</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717" w:rsidRPr="00417E58" w:rsidP="00326B70" w14:paraId="6FFA72F7"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76195BA6"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45DDDB20" w14:textId="77777777">
            <w:pPr>
              <w:pStyle w:val="RTableTextAbt"/>
              <w:rPr>
                <w:i/>
                <w:iCs/>
                <w:color w:val="auto"/>
              </w:rPr>
            </w:pPr>
            <w:r w:rsidRPr="00417E58">
              <w:rPr>
                <w:rFonts w:cs="Arial"/>
                <w:i/>
                <w:iCs/>
                <w:color w:val="auto"/>
              </w:rPr>
              <w:t>-</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6B2C4326" w14:textId="77777777">
            <w:pPr>
              <w:pStyle w:val="RTableTextAbt"/>
              <w:rPr>
                <w:i/>
                <w:iCs/>
                <w:color w:val="auto"/>
              </w:rPr>
            </w:pPr>
            <w:r w:rsidRPr="00417E58">
              <w:rPr>
                <w:rFonts w:cs="Arial"/>
                <w:i/>
                <w:iCs/>
                <w:color w:val="auto"/>
              </w:rPr>
              <w:t>503</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1C18F18F" w14:textId="77777777">
            <w:pPr>
              <w:pStyle w:val="RTableTextAbt"/>
              <w:rPr>
                <w:i/>
                <w:iCs/>
                <w:color w:val="auto"/>
              </w:rPr>
            </w:pPr>
            <w:r w:rsidRPr="00417E58">
              <w:rPr>
                <w:rFonts w:cs="Arial"/>
                <w:i/>
                <w:iCs/>
                <w:color w:val="auto"/>
              </w:rPr>
              <w:t>-</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C03717" w:rsidRPr="00417E58" w:rsidP="00326B70" w14:paraId="03F7AC08" w14:textId="77777777">
            <w:pPr>
              <w:pStyle w:val="RTableTextAbt"/>
              <w:rPr>
                <w:i/>
                <w:iCs/>
                <w:color w:val="auto"/>
              </w:rPr>
            </w:pPr>
            <w:r w:rsidRPr="00417E58">
              <w:rPr>
                <w:rFonts w:cs="Arial"/>
                <w:i/>
                <w:iCs/>
                <w:color w:val="auto"/>
              </w:rPr>
              <w:t xml:space="preserve">$44,304 </w:t>
            </w:r>
          </w:p>
        </w:tc>
      </w:tr>
      <w:tr w14:paraId="681BC177" w14:textId="77777777" w:rsidTr="003D336B">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B13338" w:rsidRPr="00417E58" w:rsidP="00A11743" w14:paraId="5E0B0716" w14:textId="15A65918">
            <w:pPr>
              <w:pStyle w:val="RTableTextAbt"/>
              <w:jc w:val="center"/>
              <w:rPr>
                <w:rFonts w:cs="Arial"/>
                <w:i/>
                <w:iCs/>
                <w:color w:val="auto"/>
              </w:rPr>
            </w:pPr>
            <w:r w:rsidRPr="00AB79AB">
              <w:rPr>
                <w:rFonts w:ascii="Arial" w:hAnsi="Arial" w:cs="Arial"/>
                <w:b/>
                <w:color w:val="FFFFFF" w:themeColor="background1"/>
              </w:rPr>
              <w:t>Article Importers</w:t>
            </w:r>
            <w:r w:rsidRPr="00AB79AB">
              <w:rPr>
                <w:rFonts w:ascii="Arial" w:hAnsi="Arial" w:cs="Arial"/>
                <w:b/>
                <w:color w:val="FFFFFF"/>
              </w:rPr>
              <w:t xml:space="preserve"> –</w:t>
            </w:r>
            <w:r w:rsidRPr="00AB79AB">
              <w:rPr>
                <w:rFonts w:ascii="Arial" w:hAnsi="Arial" w:cs="Arial"/>
                <w:b/>
                <w:color w:val="FFFFFF" w:themeColor="background1"/>
              </w:rPr>
              <w:t xml:space="preserve"> Intentional Use of Asbestos </w:t>
            </w:r>
            <w:r w:rsidRPr="00AB79AB">
              <w:rPr>
                <w:rFonts w:ascii="Arial" w:hAnsi="Arial" w:cs="Arial"/>
                <w:b/>
                <w:color w:val="FFFFFF"/>
              </w:rPr>
              <w:t>(Reported on Form B)</w:t>
            </w:r>
            <w:r w:rsidR="0061593A">
              <w:rPr>
                <w:rFonts w:cs="Arial"/>
                <w:b/>
                <w:i/>
                <w:iCs/>
              </w:rPr>
              <w:t xml:space="preserve"> –</w:t>
            </w:r>
            <w:r>
              <w:rPr>
                <w:rFonts w:ascii="Arial" w:hAnsi="Arial" w:cs="Arial"/>
                <w:b/>
                <w:color w:val="FFFFFF"/>
              </w:rPr>
              <w:t xml:space="preserve"> Upper Bound Estimate</w:t>
            </w:r>
          </w:p>
        </w:tc>
      </w:tr>
      <w:tr w14:paraId="2F3313D2" w14:textId="77777777" w:rsidTr="003C3B5F">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0C27D5" w:rsidP="00C37238" w14:paraId="3DAB7032" w14:textId="4FED75BE">
            <w:pPr>
              <w:keepNext/>
              <w:keepLines/>
              <w:spacing w:after="0" w:line="240" w:lineRule="auto"/>
              <w:rPr>
                <w:rFonts w:ascii="Arial Narrow" w:hAnsi="Arial Narrow" w:cs="Arial"/>
                <w:i/>
                <w:iCs/>
                <w:sz w:val="20"/>
                <w:szCs w:val="18"/>
              </w:rPr>
            </w:pPr>
            <w:r w:rsidRPr="000C27D5">
              <w:rPr>
                <w:rFonts w:ascii="Arial Narrow" w:hAnsi="Arial Narrow"/>
                <w:sz w:val="20"/>
                <w:szCs w:val="18"/>
              </w:rPr>
              <w:t xml:space="preserve">Rule Familiarization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74FC03A8" w14:textId="63CAEC96">
            <w:pPr>
              <w:pStyle w:val="RTableTextAbt"/>
              <w:rPr>
                <w:rFonts w:cs="Arial"/>
                <w:i/>
                <w:iCs/>
                <w:color w:val="auto"/>
              </w:rPr>
            </w:pPr>
            <w:r>
              <w:rPr>
                <w:rFonts w:cs="Arial"/>
              </w:rPr>
              <w:t>868</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325278A" w14:textId="7AE32C47">
            <w:pPr>
              <w:pStyle w:val="RTableTextAbt"/>
              <w:rPr>
                <w:rFonts w:cs="Arial"/>
                <w:i/>
                <w:iCs/>
                <w:color w:val="auto"/>
              </w:rPr>
            </w:pPr>
            <w:r>
              <w:rPr>
                <w:rFonts w:cs="Arial"/>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36A9500" w14:textId="78268E4F">
            <w:pPr>
              <w:pStyle w:val="RTableTextAbt"/>
              <w:rPr>
                <w:rFonts w:cs="Arial"/>
                <w:i/>
                <w:iCs/>
                <w:color w:val="auto"/>
              </w:rPr>
            </w:pPr>
            <w:r>
              <w:rPr>
                <w:rFonts w:cs="Arial"/>
              </w:rPr>
              <w:t>24</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AE2FFDC" w14:textId="7A2E69E7">
            <w:pPr>
              <w:pStyle w:val="RTableTextAbt"/>
              <w:rPr>
                <w:rFonts w:cs="Arial"/>
                <w:i/>
                <w:iCs/>
                <w:color w:val="auto"/>
              </w:rPr>
            </w:pPr>
            <w:r>
              <w:rPr>
                <w:rFonts w:cs="Arial"/>
              </w:rPr>
              <w:t>20,841</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217E8A1E" w14:textId="61A1B0D6">
            <w:pPr>
              <w:pStyle w:val="RTableTextAbt"/>
              <w:rPr>
                <w:rFonts w:cs="Arial"/>
                <w:i/>
                <w:iCs/>
                <w:color w:val="auto"/>
              </w:rPr>
            </w:pPr>
            <w:r>
              <w:rPr>
                <w:rFonts w:cs="Arial"/>
              </w:rPr>
              <w:t xml:space="preserve">$2,036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E8569A8" w14:textId="1309ED91">
            <w:pPr>
              <w:pStyle w:val="RTableTextAbt"/>
              <w:rPr>
                <w:rFonts w:cs="Arial"/>
                <w:i/>
                <w:iCs/>
                <w:color w:val="auto"/>
              </w:rPr>
            </w:pPr>
            <w:r>
              <w:rPr>
                <w:rFonts w:cs="Arial"/>
              </w:rPr>
              <w:t xml:space="preserve">$1,768,085 </w:t>
            </w:r>
          </w:p>
        </w:tc>
      </w:tr>
      <w:tr w14:paraId="0627D359" w14:textId="77777777" w:rsidTr="003C3B5F">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0C27D5" w:rsidP="00C37238" w14:paraId="19DDAE5C" w14:textId="7EEB95C2">
            <w:pPr>
              <w:keepNext/>
              <w:keepLines/>
              <w:spacing w:after="0" w:line="240" w:lineRule="auto"/>
              <w:rPr>
                <w:rFonts w:ascii="Arial Narrow" w:hAnsi="Arial Narrow" w:cs="Arial"/>
                <w:i/>
                <w:iCs/>
                <w:sz w:val="20"/>
                <w:szCs w:val="18"/>
              </w:rPr>
            </w:pPr>
            <w:r w:rsidRPr="000C27D5">
              <w:rPr>
                <w:rFonts w:ascii="Arial Narrow" w:hAnsi="Arial Narrow"/>
                <w:sz w:val="20"/>
                <w:szCs w:val="18"/>
              </w:rPr>
              <w:t xml:space="preserve">Form Completion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6876D121" w14:textId="2EDD3B9F">
            <w:pPr>
              <w:pStyle w:val="RTableTextAbt"/>
              <w:rPr>
                <w:rFonts w:cs="Arial"/>
                <w:i/>
                <w:iCs/>
                <w:color w:val="auto"/>
              </w:rPr>
            </w:pPr>
            <w:r>
              <w:rPr>
                <w:rFonts w:cs="Arial"/>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141CF0B" w14:textId="78451E3F">
            <w:pPr>
              <w:pStyle w:val="RTableTextAbt"/>
              <w:rPr>
                <w:rFonts w:cs="Arial"/>
                <w:i/>
                <w:iCs/>
                <w:color w:val="auto"/>
              </w:rPr>
            </w:pPr>
            <w:r>
              <w:rPr>
                <w:rFonts w:cs="Arial"/>
              </w:rPr>
              <w:t>868</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4B0B84E" w14:textId="0EA64EC6">
            <w:pPr>
              <w:pStyle w:val="RTableTextAbt"/>
              <w:rPr>
                <w:rFonts w:cs="Arial"/>
                <w:i/>
                <w:iCs/>
                <w:color w:val="auto"/>
              </w:rPr>
            </w:pPr>
            <w:r>
              <w:rPr>
                <w:rFonts w:cs="Arial"/>
              </w:rPr>
              <w:t>22</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A9B63F9" w14:textId="1D28CD63">
            <w:pPr>
              <w:pStyle w:val="RTableTextAbt"/>
              <w:rPr>
                <w:rFonts w:cs="Arial"/>
                <w:i/>
                <w:iCs/>
                <w:color w:val="auto"/>
              </w:rPr>
            </w:pPr>
            <w:r>
              <w:rPr>
                <w:rFonts w:cs="Arial"/>
              </w:rPr>
              <w:t>19,018</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65726EA" w14:textId="415BFF12">
            <w:pPr>
              <w:pStyle w:val="RTableTextAbt"/>
              <w:rPr>
                <w:rFonts w:cs="Arial"/>
                <w:i/>
                <w:iCs/>
                <w:color w:val="auto"/>
              </w:rPr>
            </w:pPr>
            <w:r>
              <w:rPr>
                <w:rFonts w:cs="Arial"/>
              </w:rPr>
              <w:t xml:space="preserve">$2,047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87CC896" w14:textId="0155208C">
            <w:pPr>
              <w:pStyle w:val="RTableTextAbt"/>
              <w:rPr>
                <w:rFonts w:cs="Arial"/>
                <w:i/>
                <w:iCs/>
                <w:color w:val="auto"/>
              </w:rPr>
            </w:pPr>
            <w:r>
              <w:rPr>
                <w:rFonts w:cs="Arial"/>
              </w:rPr>
              <w:t xml:space="preserve">$1,777,751 </w:t>
            </w:r>
          </w:p>
        </w:tc>
      </w:tr>
      <w:tr w14:paraId="74BFA01E" w14:textId="77777777" w:rsidTr="003C3B5F">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0C27D5" w:rsidP="00C37238" w14:paraId="5DCEF806" w14:textId="39CE4784">
            <w:pPr>
              <w:keepNext/>
              <w:keepLines/>
              <w:spacing w:after="0" w:line="240" w:lineRule="auto"/>
              <w:rPr>
                <w:rFonts w:ascii="Arial Narrow" w:hAnsi="Arial Narrow" w:cs="Arial"/>
                <w:i/>
                <w:iCs/>
                <w:sz w:val="20"/>
                <w:szCs w:val="18"/>
              </w:rPr>
            </w:pPr>
            <w:r w:rsidRPr="000C27D5">
              <w:rPr>
                <w:rFonts w:ascii="Arial Narrow" w:hAnsi="Arial Narrow"/>
                <w:sz w:val="20"/>
                <w:szCs w:val="18"/>
              </w:rPr>
              <w:t xml:space="preserve">CBI Claim Substantiation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680DDF49" w14:textId="399A76AF">
            <w:pPr>
              <w:pStyle w:val="RTableTextAbt"/>
              <w:rPr>
                <w:rFonts w:cs="Arial"/>
                <w:i/>
                <w:iCs/>
                <w:color w:val="auto"/>
              </w:rPr>
            </w:pPr>
            <w:r>
              <w:rPr>
                <w:rFonts w:cs="Arial"/>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773BDCF1" w14:textId="75C7F3CF">
            <w:pPr>
              <w:pStyle w:val="RTableTextAbt"/>
              <w:rPr>
                <w:rFonts w:cs="Arial"/>
                <w:i/>
                <w:iCs/>
                <w:color w:val="auto"/>
              </w:rPr>
            </w:pPr>
            <w:r>
              <w:rPr>
                <w:rFonts w:cs="Arial"/>
              </w:rPr>
              <w:t>868</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E97F932" w14:textId="12E13D0B">
            <w:pPr>
              <w:pStyle w:val="RTableTextAbt"/>
              <w:rPr>
                <w:rFonts w:cs="Arial"/>
                <w:i/>
                <w:iCs/>
                <w:color w:val="auto"/>
              </w:rPr>
            </w:pPr>
            <w:r>
              <w:rPr>
                <w:rFonts w:cs="Arial"/>
              </w:rPr>
              <w:t>1</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73FBF84" w14:textId="65EF97C0">
            <w:pPr>
              <w:pStyle w:val="RTableTextAbt"/>
              <w:rPr>
                <w:rFonts w:cs="Arial"/>
                <w:i/>
                <w:iCs/>
                <w:color w:val="auto"/>
              </w:rPr>
            </w:pPr>
            <w:r>
              <w:rPr>
                <w:rFonts w:cs="Arial"/>
              </w:rPr>
              <w:t>608</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23A30851" w14:textId="339D88E7">
            <w:pPr>
              <w:pStyle w:val="RTableTextAbt"/>
              <w:rPr>
                <w:rFonts w:cs="Arial"/>
                <w:i/>
                <w:iCs/>
                <w:color w:val="auto"/>
              </w:rPr>
            </w:pPr>
            <w:r>
              <w:rPr>
                <w:rFonts w:cs="Arial"/>
              </w:rPr>
              <w:t xml:space="preserve">$57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082CB57" w14:textId="3D99CBD4">
            <w:pPr>
              <w:pStyle w:val="RTableTextAbt"/>
              <w:rPr>
                <w:rFonts w:cs="Arial"/>
                <w:i/>
                <w:iCs/>
                <w:color w:val="auto"/>
              </w:rPr>
            </w:pPr>
            <w:r>
              <w:rPr>
                <w:rFonts w:cs="Arial"/>
              </w:rPr>
              <w:t xml:space="preserve">$49,632 </w:t>
            </w:r>
          </w:p>
        </w:tc>
      </w:tr>
      <w:tr w14:paraId="1C651B20" w14:textId="77777777" w:rsidTr="003C3B5F">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0C27D5" w:rsidP="00C37238" w14:paraId="743B8530" w14:textId="502D498C">
            <w:pPr>
              <w:keepNext/>
              <w:keepLines/>
              <w:spacing w:after="0" w:line="240" w:lineRule="auto"/>
              <w:rPr>
                <w:rFonts w:ascii="Arial Narrow" w:hAnsi="Arial Narrow" w:cs="Arial"/>
                <w:i/>
                <w:iCs/>
                <w:sz w:val="20"/>
                <w:szCs w:val="18"/>
              </w:rPr>
            </w:pPr>
            <w:r w:rsidRPr="000C27D5">
              <w:rPr>
                <w:rFonts w:ascii="Arial Narrow" w:hAnsi="Arial Narrow"/>
                <w:sz w:val="20"/>
                <w:szCs w:val="18"/>
              </w:rPr>
              <w:t xml:space="preserve">Recordkeeping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2A716A5D" w14:textId="746B6F46">
            <w:pPr>
              <w:pStyle w:val="RTableTextAbt"/>
              <w:rPr>
                <w:rFonts w:cs="Arial"/>
                <w:i/>
                <w:iCs/>
                <w:color w:val="auto"/>
              </w:rPr>
            </w:pPr>
            <w:r>
              <w:rPr>
                <w:rFonts w:cs="Arial"/>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C0A493A" w14:textId="5898D474">
            <w:pPr>
              <w:pStyle w:val="RTableTextAbt"/>
              <w:rPr>
                <w:rFonts w:cs="Arial"/>
                <w:i/>
                <w:iCs/>
                <w:color w:val="auto"/>
              </w:rPr>
            </w:pPr>
            <w:r>
              <w:rPr>
                <w:rFonts w:cs="Arial"/>
              </w:rPr>
              <w:t>868</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1A80EF0" w14:textId="7A1B4213">
            <w:pPr>
              <w:pStyle w:val="RTableTextAbt"/>
              <w:rPr>
                <w:rFonts w:cs="Arial"/>
                <w:i/>
                <w:iCs/>
                <w:color w:val="auto"/>
              </w:rPr>
            </w:pPr>
            <w:r>
              <w:rPr>
                <w:rFonts w:cs="Arial"/>
              </w:rPr>
              <w:t>1</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7751D0FF" w14:textId="02C2CE3D">
            <w:pPr>
              <w:pStyle w:val="RTableTextAbt"/>
              <w:rPr>
                <w:rFonts w:cs="Arial"/>
                <w:i/>
                <w:iCs/>
                <w:color w:val="auto"/>
              </w:rPr>
            </w:pPr>
            <w:r>
              <w:rPr>
                <w:rFonts w:cs="Arial"/>
              </w:rPr>
              <w:t>868</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8CBAF3D" w14:textId="066EAD0A">
            <w:pPr>
              <w:pStyle w:val="RTableTextAbt"/>
              <w:rPr>
                <w:rFonts w:cs="Arial"/>
                <w:i/>
                <w:iCs/>
                <w:color w:val="auto"/>
              </w:rPr>
            </w:pPr>
            <w:r>
              <w:rPr>
                <w:rFonts w:cs="Arial"/>
              </w:rPr>
              <w:t xml:space="preserve">$59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90E8084" w14:textId="5EF118EC">
            <w:pPr>
              <w:pStyle w:val="RTableTextAbt"/>
              <w:rPr>
                <w:rFonts w:cs="Arial"/>
                <w:i/>
                <w:iCs/>
                <w:color w:val="auto"/>
              </w:rPr>
            </w:pPr>
            <w:r>
              <w:rPr>
                <w:rFonts w:cs="Arial"/>
              </w:rPr>
              <w:t xml:space="preserve">$51,487 </w:t>
            </w:r>
          </w:p>
        </w:tc>
      </w:tr>
      <w:tr w14:paraId="1902C833" w14:textId="77777777" w:rsidTr="003C3B5F">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0C27D5" w:rsidP="00C37238" w14:paraId="0CF11BE4" w14:textId="625600B9">
            <w:pPr>
              <w:keepNext/>
              <w:keepLines/>
              <w:spacing w:after="0" w:line="240" w:lineRule="auto"/>
              <w:rPr>
                <w:rFonts w:ascii="Arial Narrow" w:hAnsi="Arial Narrow" w:cs="Arial"/>
                <w:i/>
                <w:iCs/>
                <w:sz w:val="20"/>
                <w:szCs w:val="18"/>
              </w:rPr>
            </w:pPr>
            <w:r w:rsidRPr="000C27D5">
              <w:rPr>
                <w:rFonts w:ascii="Arial Narrow" w:hAnsi="Arial Narrow"/>
                <w:sz w:val="20"/>
                <w:szCs w:val="18"/>
              </w:rPr>
              <w:t xml:space="preserve">CDX Registration and Electronic Signature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18C7A72A" w14:textId="18669273">
            <w:pPr>
              <w:pStyle w:val="RTableTextAbt"/>
              <w:rPr>
                <w:rFonts w:cs="Arial"/>
                <w:i/>
                <w:iCs/>
                <w:color w:val="auto"/>
              </w:rPr>
            </w:pPr>
            <w:r>
              <w:rPr>
                <w:rFonts w:cs="Arial"/>
              </w:rPr>
              <w:t>868</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E64A59D" w14:textId="320D0611">
            <w:pPr>
              <w:pStyle w:val="RTableTextAbt"/>
              <w:rPr>
                <w:rFonts w:cs="Arial"/>
                <w:i/>
                <w:iCs/>
                <w:color w:val="auto"/>
              </w:rPr>
            </w:pPr>
            <w:r>
              <w:rPr>
                <w:rFonts w:cs="Arial"/>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6324A15" w14:textId="38AE8E2C">
            <w:pPr>
              <w:pStyle w:val="RTableTextAbt"/>
              <w:rPr>
                <w:rFonts w:cs="Arial"/>
                <w:i/>
                <w:iCs/>
                <w:color w:val="auto"/>
              </w:rPr>
            </w:pPr>
            <w:r>
              <w:rPr>
                <w:rFonts w:cs="Arial"/>
              </w:rPr>
              <w:t>3</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250DD7F" w14:textId="1B90F937">
            <w:pPr>
              <w:pStyle w:val="RTableTextAbt"/>
              <w:rPr>
                <w:rFonts w:cs="Arial"/>
                <w:i/>
                <w:iCs/>
                <w:color w:val="auto"/>
              </w:rPr>
            </w:pPr>
            <w:r>
              <w:rPr>
                <w:rFonts w:cs="Arial"/>
              </w:rPr>
              <w:t>2,310</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34E311F" w14:textId="23B5748B">
            <w:pPr>
              <w:pStyle w:val="RTableTextAbt"/>
              <w:rPr>
                <w:rFonts w:cs="Arial"/>
                <w:i/>
                <w:iCs/>
                <w:color w:val="auto"/>
              </w:rPr>
            </w:pPr>
            <w:r>
              <w:rPr>
                <w:rFonts w:cs="Arial"/>
              </w:rPr>
              <w:t xml:space="preserve">$231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9BF3FE3" w14:textId="0344CFDE">
            <w:pPr>
              <w:pStyle w:val="RTableTextAbt"/>
              <w:rPr>
                <w:rFonts w:cs="Arial"/>
                <w:i/>
                <w:iCs/>
                <w:color w:val="auto"/>
              </w:rPr>
            </w:pPr>
            <w:r>
              <w:rPr>
                <w:rFonts w:cs="Arial"/>
              </w:rPr>
              <w:t xml:space="preserve">$200,363 </w:t>
            </w:r>
          </w:p>
        </w:tc>
      </w:tr>
      <w:tr w14:paraId="1AD28FF2"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B5F" w:rsidRPr="00417E58" w:rsidP="003C3B5F" w14:paraId="09B98495" w14:textId="01E72330">
            <w:pPr>
              <w:keepNext/>
              <w:keepLines/>
              <w:spacing w:after="0" w:line="240" w:lineRule="auto"/>
              <w:jc w:val="right"/>
              <w:rPr>
                <w:rFonts w:ascii="Arial Narrow" w:hAnsi="Arial Narrow" w:cs="Arial"/>
                <w:i/>
                <w:iCs/>
                <w:sz w:val="20"/>
              </w:rPr>
            </w:pPr>
            <w:r w:rsidRPr="00F34258">
              <w:rPr>
                <w:rFonts w:ascii="Arial Narrow" w:hAnsi="Arial Narrow" w:cs="Arial"/>
                <w:i/>
                <w:iCs/>
                <w:sz w:val="20"/>
              </w:rPr>
              <w:t>Subtotal</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2D1FFE4E" w14:textId="1B3D8A03">
            <w:pPr>
              <w:pStyle w:val="RTableTextAbt"/>
              <w:rPr>
                <w:rFonts w:cs="Arial"/>
                <w:i/>
                <w:iCs/>
                <w:color w:val="auto"/>
              </w:rPr>
            </w:pPr>
            <w:r>
              <w:rPr>
                <w:rFonts w:cs="Arial"/>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F6BB653" w14:textId="22E44797">
            <w:pPr>
              <w:pStyle w:val="RTableTextAbt"/>
              <w:rPr>
                <w:rFonts w:cs="Arial"/>
                <w:i/>
                <w:iCs/>
                <w:color w:val="auto"/>
              </w:rPr>
            </w:pPr>
            <w:r>
              <w:rPr>
                <w:rFonts w:cs="Arial"/>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223E6CA4" w14:textId="2A9B2806">
            <w:pPr>
              <w:pStyle w:val="RTableTextAbt"/>
              <w:rPr>
                <w:rFonts w:cs="Arial"/>
                <w:i/>
                <w:iCs/>
                <w:color w:val="auto"/>
              </w:rPr>
            </w:pPr>
            <w:r>
              <w:rPr>
                <w:rFonts w:cs="Arial"/>
              </w:rPr>
              <w:t>-</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FDA84ED" w14:textId="1D5B428D">
            <w:pPr>
              <w:pStyle w:val="RTableTextAbt"/>
              <w:rPr>
                <w:rFonts w:cs="Arial"/>
                <w:i/>
                <w:iCs/>
                <w:color w:val="auto"/>
              </w:rPr>
            </w:pPr>
            <w:r>
              <w:rPr>
                <w:rFonts w:cs="Arial"/>
                <w:i/>
                <w:iCs/>
              </w:rPr>
              <w:t>43,645</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D2A5E87" w14:textId="5114E2EE">
            <w:pPr>
              <w:pStyle w:val="RTableTextAbt"/>
              <w:rPr>
                <w:rFonts w:cs="Arial"/>
                <w:i/>
                <w:iCs/>
                <w:color w:val="auto"/>
              </w:rPr>
            </w:pPr>
            <w:r>
              <w:rPr>
                <w:rFonts w:cs="Arial"/>
              </w:rPr>
              <w:t>-</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2D792022" w14:textId="6095ACE5">
            <w:pPr>
              <w:pStyle w:val="RTableTextAbt"/>
              <w:rPr>
                <w:rFonts w:cs="Arial"/>
                <w:i/>
                <w:iCs/>
                <w:color w:val="auto"/>
              </w:rPr>
            </w:pPr>
            <w:r>
              <w:rPr>
                <w:rFonts w:cs="Arial"/>
                <w:i/>
                <w:iCs/>
              </w:rPr>
              <w:t xml:space="preserve">$3,847,317 </w:t>
            </w:r>
          </w:p>
        </w:tc>
      </w:tr>
      <w:tr w14:paraId="6095C53D" w14:textId="77777777" w:rsidTr="005F2263">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4A98BCF4" w14:textId="77777777">
            <w:pPr>
              <w:pStyle w:val="RTableTextAbt"/>
              <w:jc w:val="center"/>
              <w:rPr>
                <w:i/>
                <w:iCs/>
                <w:color w:val="auto"/>
              </w:rPr>
            </w:pPr>
            <w:r w:rsidRPr="00417E58">
              <w:rPr>
                <w:rFonts w:ascii="Arial" w:hAnsi="Arial" w:cs="Arial"/>
                <w:b/>
                <w:i/>
                <w:iCs/>
                <w:color w:val="auto"/>
              </w:rPr>
              <w:t>Reporting Firms – Asbestos as an Impurity (Reported on Form B)</w:t>
            </w:r>
          </w:p>
        </w:tc>
      </w:tr>
      <w:tr w14:paraId="2436ABC4"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6CBCA4E0"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 xml:space="preserve">Rule Familiarization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1C0E1EE9" w14:textId="77777777">
            <w:pPr>
              <w:pStyle w:val="RTableTextAbt"/>
              <w:rPr>
                <w:i/>
                <w:iCs/>
                <w:color w:val="auto"/>
              </w:rPr>
            </w:pPr>
            <w:r w:rsidRPr="00417E58">
              <w:rPr>
                <w:rFonts w:cs="Arial"/>
                <w:i/>
                <w:iCs/>
                <w:color w:val="auto"/>
              </w:rPr>
              <w:t>171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4C49C18"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5A5418C" w14:textId="77777777">
            <w:pPr>
              <w:pStyle w:val="RTableTextAbt"/>
              <w:rPr>
                <w:i/>
                <w:iCs/>
                <w:color w:val="auto"/>
              </w:rPr>
            </w:pPr>
            <w:r w:rsidRPr="00417E58">
              <w:rPr>
                <w:rFonts w:cs="Arial"/>
                <w:i/>
                <w:iCs/>
                <w:color w:val="auto"/>
              </w:rPr>
              <w:t>24</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FD0893B" w14:textId="77777777">
            <w:pPr>
              <w:pStyle w:val="RTableTextAbt"/>
              <w:rPr>
                <w:i/>
                <w:iCs/>
                <w:color w:val="auto"/>
              </w:rPr>
            </w:pPr>
            <w:r w:rsidRPr="00417E58">
              <w:rPr>
                <w:rFonts w:cs="Arial"/>
                <w:i/>
                <w:iCs/>
                <w:color w:val="auto"/>
              </w:rPr>
              <w:t>4,104</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E2D4917" w14:textId="77777777">
            <w:pPr>
              <w:pStyle w:val="RTableTextAbt"/>
              <w:rPr>
                <w:i/>
                <w:iCs/>
                <w:color w:val="auto"/>
              </w:rPr>
            </w:pPr>
            <w:r w:rsidRPr="00417E58">
              <w:rPr>
                <w:rFonts w:cs="Arial"/>
                <w:i/>
                <w:iCs/>
                <w:color w:val="auto"/>
              </w:rPr>
              <w:t xml:space="preserve">$2,036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A59DB16" w14:textId="77777777">
            <w:pPr>
              <w:pStyle w:val="RTableTextAbt"/>
              <w:rPr>
                <w:i/>
                <w:iCs/>
                <w:color w:val="auto"/>
              </w:rPr>
            </w:pPr>
            <w:r w:rsidRPr="00417E58">
              <w:rPr>
                <w:rFonts w:cs="Arial"/>
                <w:i/>
                <w:iCs/>
                <w:color w:val="auto"/>
              </w:rPr>
              <w:t xml:space="preserve">$348,166 </w:t>
            </w:r>
          </w:p>
        </w:tc>
      </w:tr>
      <w:tr w14:paraId="022A98D9"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606850B3"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Compliance Determination</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1CECBC58" w14:textId="77777777">
            <w:pPr>
              <w:pStyle w:val="RTableTextAbt"/>
              <w:rPr>
                <w:rFonts w:cs="Arial"/>
                <w:i/>
                <w:iCs/>
                <w:color w:val="auto"/>
              </w:rPr>
            </w:pPr>
            <w:r w:rsidRPr="00417E58">
              <w:rPr>
                <w:rFonts w:cs="Arial"/>
                <w:i/>
                <w:iCs/>
                <w:color w:val="auto"/>
              </w:rPr>
              <w:t>171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102433A" w14:textId="77777777">
            <w:pPr>
              <w:pStyle w:val="RTableTextAbt"/>
              <w:rPr>
                <w:rFonts w:cs="Arial"/>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ED9D7F2" w14:textId="77777777">
            <w:pPr>
              <w:pStyle w:val="RTableTextAbt"/>
              <w:rPr>
                <w:rFonts w:cs="Arial"/>
                <w:i/>
                <w:iCs/>
                <w:color w:val="auto"/>
              </w:rPr>
            </w:pPr>
            <w:r w:rsidRPr="00417E58">
              <w:rPr>
                <w:rFonts w:cs="Arial"/>
                <w:i/>
                <w:iCs/>
                <w:color w:val="auto"/>
              </w:rPr>
              <w:t>57</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63E2A84" w14:textId="77777777">
            <w:pPr>
              <w:pStyle w:val="RTableTextAbt"/>
              <w:rPr>
                <w:rFonts w:cs="Arial"/>
                <w:i/>
                <w:iCs/>
                <w:color w:val="auto"/>
              </w:rPr>
            </w:pPr>
            <w:r w:rsidRPr="00417E58">
              <w:rPr>
                <w:rFonts w:cs="Arial"/>
                <w:i/>
                <w:iCs/>
                <w:color w:val="auto"/>
              </w:rPr>
              <w:t>9,807</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29F1EE5C" w14:textId="77777777">
            <w:pPr>
              <w:pStyle w:val="RTableTextAbt"/>
              <w:rPr>
                <w:rFonts w:cs="Arial"/>
                <w:i/>
                <w:iCs/>
                <w:color w:val="auto"/>
              </w:rPr>
            </w:pPr>
            <w:r w:rsidRPr="00417E58">
              <w:rPr>
                <w:rFonts w:cs="Arial"/>
                <w:i/>
                <w:iCs/>
                <w:color w:val="auto"/>
              </w:rPr>
              <w:t xml:space="preserve">$3,917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152022F" w14:textId="77777777">
            <w:pPr>
              <w:pStyle w:val="RTableTextAbt"/>
              <w:rPr>
                <w:rFonts w:cs="Arial"/>
                <w:i/>
                <w:iCs/>
                <w:color w:val="auto"/>
              </w:rPr>
            </w:pPr>
            <w:r w:rsidRPr="00417E58">
              <w:rPr>
                <w:rFonts w:cs="Arial"/>
                <w:i/>
                <w:iCs/>
                <w:color w:val="auto"/>
              </w:rPr>
              <w:t xml:space="preserve">$669,730 </w:t>
            </w:r>
          </w:p>
        </w:tc>
      </w:tr>
      <w:tr w14:paraId="73888C1C"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37367328"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Form Completion</w:t>
            </w:r>
            <w:r w:rsidRPr="00417E58">
              <w:rPr>
                <w:rFonts w:cs="Arial"/>
                <w:bCs/>
                <w:i/>
                <w:iCs/>
                <w:vertAlign w:val="superscript"/>
              </w:rPr>
              <w:t>1</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3EEC9376"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4E1DCC1" w14:textId="77777777">
            <w:pPr>
              <w:pStyle w:val="RTableTextAbt"/>
              <w:rPr>
                <w:i/>
                <w:iCs/>
                <w:color w:val="auto"/>
              </w:rPr>
            </w:pPr>
            <w:r w:rsidRPr="00417E58">
              <w:rPr>
                <w:rFonts w:cs="Arial"/>
                <w:i/>
                <w:iCs/>
                <w:color w:val="auto"/>
              </w:rPr>
              <w:t>244</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7DE8525" w14:textId="77777777">
            <w:pPr>
              <w:pStyle w:val="RTableTextAbt"/>
              <w:rPr>
                <w:i/>
                <w:iCs/>
                <w:color w:val="auto"/>
              </w:rPr>
            </w:pPr>
            <w:r w:rsidRPr="00417E58">
              <w:rPr>
                <w:rFonts w:cs="Arial"/>
                <w:i/>
                <w:iCs/>
                <w:color w:val="auto"/>
              </w:rPr>
              <w:t>39</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EA6BCA6" w14:textId="77777777">
            <w:pPr>
              <w:pStyle w:val="RTableTextAbt"/>
              <w:rPr>
                <w:i/>
                <w:iCs/>
                <w:color w:val="auto"/>
              </w:rPr>
            </w:pPr>
            <w:r w:rsidRPr="00417E58">
              <w:rPr>
                <w:rFonts w:cs="Arial"/>
                <w:i/>
                <w:iCs/>
                <w:color w:val="auto"/>
              </w:rPr>
              <w:t>9,565</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DA00ED7" w14:textId="77777777">
            <w:pPr>
              <w:pStyle w:val="RTableTextAbt"/>
              <w:rPr>
                <w:i/>
                <w:iCs/>
                <w:color w:val="auto"/>
              </w:rPr>
            </w:pPr>
            <w:r w:rsidRPr="00417E58">
              <w:rPr>
                <w:rFonts w:cs="Arial"/>
                <w:i/>
                <w:iCs/>
                <w:color w:val="auto"/>
              </w:rPr>
              <w:t xml:space="preserve">$3,451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065FC30" w14:textId="77777777">
            <w:pPr>
              <w:pStyle w:val="RTableTextAbt"/>
              <w:rPr>
                <w:i/>
                <w:iCs/>
                <w:color w:val="auto"/>
              </w:rPr>
            </w:pPr>
            <w:r w:rsidRPr="00417E58">
              <w:rPr>
                <w:rFonts w:cs="Arial"/>
                <w:i/>
                <w:iCs/>
                <w:color w:val="auto"/>
              </w:rPr>
              <w:t xml:space="preserve">$841,966 </w:t>
            </w:r>
          </w:p>
        </w:tc>
      </w:tr>
      <w:tr w14:paraId="5447D05B"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587403BC"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 xml:space="preserve">CBI Claim Substantiation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75C01CFC"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624D9A5" w14:textId="77777777">
            <w:pPr>
              <w:pStyle w:val="RTableTextAbt"/>
              <w:rPr>
                <w:i/>
                <w:iCs/>
                <w:color w:val="auto"/>
              </w:rPr>
            </w:pPr>
            <w:r w:rsidRPr="00417E58">
              <w:rPr>
                <w:rFonts w:cs="Arial"/>
                <w:i/>
                <w:iCs/>
                <w:color w:val="auto"/>
              </w:rPr>
              <w:t>244</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2EBE7093"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AF184E0" w14:textId="77777777">
            <w:pPr>
              <w:pStyle w:val="RTableTextAbt"/>
              <w:rPr>
                <w:i/>
                <w:iCs/>
                <w:color w:val="auto"/>
              </w:rPr>
            </w:pPr>
            <w:r w:rsidRPr="00417E58">
              <w:rPr>
                <w:rFonts w:cs="Arial"/>
                <w:i/>
                <w:iCs/>
                <w:color w:val="auto"/>
              </w:rPr>
              <w:t>171</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7E837E88" w14:textId="77777777">
            <w:pPr>
              <w:pStyle w:val="RTableTextAbt"/>
              <w:rPr>
                <w:i/>
                <w:iCs/>
                <w:color w:val="auto"/>
              </w:rPr>
            </w:pPr>
            <w:r w:rsidRPr="00417E58">
              <w:rPr>
                <w:rFonts w:cs="Arial"/>
                <w:i/>
                <w:iCs/>
                <w:color w:val="auto"/>
              </w:rPr>
              <w:t xml:space="preserve">$57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59A1C99" w14:textId="77777777">
            <w:pPr>
              <w:pStyle w:val="RTableTextAbt"/>
              <w:rPr>
                <w:i/>
                <w:iCs/>
                <w:color w:val="auto"/>
              </w:rPr>
            </w:pPr>
            <w:r w:rsidRPr="00417E58">
              <w:rPr>
                <w:rFonts w:cs="Arial"/>
                <w:i/>
                <w:iCs/>
                <w:color w:val="auto"/>
              </w:rPr>
              <w:t xml:space="preserve">$13,946 </w:t>
            </w:r>
          </w:p>
        </w:tc>
      </w:tr>
      <w:tr w14:paraId="4F65E1F6"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6211046E"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 xml:space="preserve">Recordkeeping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41E3D3D7"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C42BDD0" w14:textId="77777777">
            <w:pPr>
              <w:pStyle w:val="RTableTextAbt"/>
              <w:rPr>
                <w:i/>
                <w:iCs/>
                <w:color w:val="auto"/>
              </w:rPr>
            </w:pPr>
            <w:r w:rsidRPr="00417E58">
              <w:rPr>
                <w:rFonts w:cs="Arial"/>
                <w:i/>
                <w:iCs/>
                <w:color w:val="auto"/>
              </w:rPr>
              <w:t>244</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778C52F" w14:textId="77777777">
            <w:pPr>
              <w:pStyle w:val="RTableTextAbt"/>
              <w:rPr>
                <w:i/>
                <w:iCs/>
                <w:color w:val="auto"/>
              </w:rPr>
            </w:pPr>
            <w:r w:rsidRPr="00417E58">
              <w:rPr>
                <w:rFonts w:cs="Arial"/>
                <w:i/>
                <w:iCs/>
                <w:color w:val="auto"/>
              </w:rPr>
              <w:t>1</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F314FC6" w14:textId="77777777">
            <w:pPr>
              <w:pStyle w:val="RTableTextAbt"/>
              <w:rPr>
                <w:i/>
                <w:iCs/>
                <w:color w:val="auto"/>
              </w:rPr>
            </w:pPr>
            <w:r w:rsidRPr="00417E58">
              <w:rPr>
                <w:rFonts w:cs="Arial"/>
                <w:i/>
                <w:iCs/>
                <w:color w:val="auto"/>
              </w:rPr>
              <w:t>244</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1CE4581" w14:textId="77777777">
            <w:pPr>
              <w:pStyle w:val="RTableTextAbt"/>
              <w:rPr>
                <w:i/>
                <w:iCs/>
                <w:color w:val="auto"/>
              </w:rPr>
            </w:pPr>
            <w:r w:rsidRPr="00417E58">
              <w:rPr>
                <w:rFonts w:cs="Arial"/>
                <w:i/>
                <w:iCs/>
                <w:color w:val="auto"/>
              </w:rPr>
              <w:t xml:space="preserve">$59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14D5941" w14:textId="77777777">
            <w:pPr>
              <w:pStyle w:val="RTableTextAbt"/>
              <w:rPr>
                <w:i/>
                <w:iCs/>
                <w:color w:val="auto"/>
              </w:rPr>
            </w:pPr>
            <w:r w:rsidRPr="00417E58">
              <w:rPr>
                <w:rFonts w:cs="Arial"/>
                <w:i/>
                <w:iCs/>
                <w:color w:val="auto"/>
              </w:rPr>
              <w:t xml:space="preserve">$14,467 </w:t>
            </w:r>
          </w:p>
        </w:tc>
      </w:tr>
      <w:tr w14:paraId="26B98177"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129A81EC"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 xml:space="preserve">CDX Registration and Electronic Signature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4C76EF42" w14:textId="77777777">
            <w:pPr>
              <w:pStyle w:val="RTableTextAbt"/>
              <w:rPr>
                <w:i/>
                <w:iCs/>
                <w:color w:val="auto"/>
              </w:rPr>
            </w:pPr>
            <w:r w:rsidRPr="00417E58">
              <w:rPr>
                <w:rFonts w:cs="Arial"/>
                <w:i/>
                <w:iCs/>
                <w:color w:val="auto"/>
              </w:rPr>
              <w:t>171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9C59D7B"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7D373DBD" w14:textId="77777777">
            <w:pPr>
              <w:pStyle w:val="RTableTextAbt"/>
              <w:rPr>
                <w:i/>
                <w:iCs/>
                <w:color w:val="auto"/>
              </w:rPr>
            </w:pPr>
            <w:r w:rsidRPr="00417E58">
              <w:rPr>
                <w:rFonts w:cs="Arial"/>
                <w:i/>
                <w:iCs/>
                <w:color w:val="auto"/>
              </w:rPr>
              <w:t>3</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B48757E" w14:textId="77777777">
            <w:pPr>
              <w:pStyle w:val="RTableTextAbt"/>
              <w:rPr>
                <w:i/>
                <w:iCs/>
                <w:color w:val="auto"/>
              </w:rPr>
            </w:pPr>
            <w:r w:rsidRPr="00417E58">
              <w:rPr>
                <w:rFonts w:cs="Arial"/>
                <w:i/>
                <w:iCs/>
                <w:color w:val="auto"/>
              </w:rPr>
              <w:t>455</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5D04A1A" w14:textId="77777777">
            <w:pPr>
              <w:pStyle w:val="RTableTextAbt"/>
              <w:rPr>
                <w:i/>
                <w:iCs/>
                <w:color w:val="auto"/>
              </w:rPr>
            </w:pPr>
            <w:r w:rsidRPr="00417E58">
              <w:rPr>
                <w:rFonts w:cs="Arial"/>
                <w:i/>
                <w:iCs/>
                <w:color w:val="auto"/>
              </w:rPr>
              <w:t xml:space="preserve">$231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2B78D6E" w14:textId="77777777">
            <w:pPr>
              <w:pStyle w:val="RTableTextAbt"/>
              <w:rPr>
                <w:i/>
                <w:iCs/>
                <w:color w:val="auto"/>
              </w:rPr>
            </w:pPr>
            <w:r w:rsidRPr="00417E58">
              <w:rPr>
                <w:rFonts w:cs="Arial"/>
                <w:i/>
                <w:iCs/>
                <w:color w:val="auto"/>
              </w:rPr>
              <w:t xml:space="preserve">$39,455 </w:t>
            </w:r>
          </w:p>
        </w:tc>
      </w:tr>
      <w:tr w14:paraId="60E7C356"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35A8772A" w14:textId="104969F2">
            <w:pPr>
              <w:keepNext/>
              <w:keepLines/>
              <w:spacing w:after="0" w:line="240" w:lineRule="auto"/>
              <w:jc w:val="right"/>
              <w:rPr>
                <w:rFonts w:ascii="Arial Narrow" w:hAnsi="Arial Narrow" w:cs="Arial"/>
                <w:i/>
                <w:iCs/>
                <w:sz w:val="20"/>
              </w:rPr>
            </w:pPr>
            <w:r w:rsidRPr="00417E58">
              <w:rPr>
                <w:rFonts w:cs="Arial"/>
                <w:i/>
                <w:iCs/>
              </w:rPr>
              <w:t xml:space="preserve">  </w:t>
            </w:r>
            <w:r w:rsidRPr="00417E58">
              <w:rPr>
                <w:rFonts w:cs="Arial"/>
                <w:i/>
                <w:iCs/>
              </w:rPr>
              <w:t xml:space="preserve"> </w:t>
            </w:r>
            <w:r w:rsidRPr="00417E58">
              <w:rPr>
                <w:rFonts w:ascii="Arial Narrow" w:hAnsi="Arial Narrow" w:cs="Arial"/>
                <w:i/>
                <w:iCs/>
                <w:sz w:val="20"/>
              </w:rPr>
              <w:t>Subtotal</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1AF0644C"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3446984"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2909F61" w14:textId="77777777">
            <w:pPr>
              <w:pStyle w:val="RTableTextAbt"/>
              <w:rPr>
                <w:i/>
                <w:iCs/>
                <w:color w:val="auto"/>
              </w:rPr>
            </w:pPr>
            <w:r w:rsidRPr="00417E58">
              <w:rPr>
                <w:rFonts w:cs="Arial"/>
                <w:i/>
                <w:iCs/>
                <w:color w:val="auto"/>
              </w:rPr>
              <w:t>-</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413F2F72" w14:textId="77777777">
            <w:pPr>
              <w:pStyle w:val="RTableTextAbt"/>
              <w:rPr>
                <w:i/>
                <w:iCs/>
                <w:color w:val="auto"/>
              </w:rPr>
            </w:pPr>
            <w:r w:rsidRPr="00417E58">
              <w:rPr>
                <w:rFonts w:cs="Arial"/>
                <w:i/>
                <w:iCs/>
                <w:color w:val="auto"/>
              </w:rPr>
              <w:t>24,345</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00BEEC6" w14:textId="77777777">
            <w:pPr>
              <w:pStyle w:val="RTableTextAbt"/>
              <w:rPr>
                <w:i/>
                <w:iCs/>
                <w:color w:val="auto"/>
              </w:rPr>
            </w:pPr>
            <w:r w:rsidRPr="00417E58">
              <w:rPr>
                <w:rFonts w:cs="Arial"/>
                <w:i/>
                <w:iCs/>
                <w:color w:val="auto"/>
              </w:rPr>
              <w:t>-</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4D3EAE9" w14:textId="77777777">
            <w:pPr>
              <w:pStyle w:val="RTableTextAbt"/>
              <w:rPr>
                <w:i/>
                <w:iCs/>
                <w:color w:val="auto"/>
              </w:rPr>
            </w:pPr>
            <w:r w:rsidRPr="00417E58">
              <w:rPr>
                <w:rFonts w:cs="Arial"/>
                <w:i/>
                <w:iCs/>
                <w:color w:val="auto"/>
              </w:rPr>
              <w:t xml:space="preserve">$1,927,730 </w:t>
            </w:r>
          </w:p>
        </w:tc>
      </w:tr>
      <w:tr w14:paraId="744F90D3" w14:textId="77777777" w:rsidTr="005F2263">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363D9A27" w14:textId="77777777">
            <w:pPr>
              <w:pStyle w:val="RTableTextAbt"/>
              <w:jc w:val="center"/>
              <w:rPr>
                <w:i/>
                <w:iCs/>
                <w:color w:val="auto"/>
              </w:rPr>
            </w:pPr>
            <w:r w:rsidRPr="00417E58">
              <w:rPr>
                <w:rFonts w:ascii="Arial" w:hAnsi="Arial" w:cs="Arial"/>
                <w:b/>
                <w:i/>
                <w:iCs/>
                <w:color w:val="auto"/>
              </w:rPr>
              <w:t>Non-Reporting Firms – Asbestos as an Impurity</w:t>
            </w:r>
          </w:p>
        </w:tc>
      </w:tr>
      <w:tr w14:paraId="22784DC0"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2B73D382"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 xml:space="preserve">Rule Familiarization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1585E896" w14:textId="77777777">
            <w:pPr>
              <w:pStyle w:val="RTableTextAbt"/>
              <w:rPr>
                <w:i/>
                <w:iCs/>
                <w:color w:val="auto"/>
              </w:rPr>
            </w:pPr>
            <w:r w:rsidRPr="00417E58">
              <w:rPr>
                <w:rFonts w:cs="Arial"/>
                <w:i/>
                <w:iCs/>
                <w:color w:val="auto"/>
              </w:rPr>
              <w:t>67,461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D388B79"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D4B77A7" w14:textId="77777777">
            <w:pPr>
              <w:pStyle w:val="RTableTextAbt"/>
              <w:rPr>
                <w:i/>
                <w:iCs/>
                <w:color w:val="auto"/>
              </w:rPr>
            </w:pPr>
            <w:r w:rsidRPr="00417E58">
              <w:rPr>
                <w:rFonts w:cs="Arial"/>
                <w:i/>
                <w:iCs/>
                <w:color w:val="auto"/>
              </w:rPr>
              <w:t>9</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2339FB37" w14:textId="77777777">
            <w:pPr>
              <w:pStyle w:val="RTableTextAbt"/>
              <w:rPr>
                <w:i/>
                <w:iCs/>
                <w:color w:val="auto"/>
              </w:rPr>
            </w:pPr>
            <w:r w:rsidRPr="00417E58">
              <w:rPr>
                <w:rFonts w:cs="Arial"/>
                <w:i/>
                <w:iCs/>
                <w:color w:val="auto"/>
              </w:rPr>
              <w:t>624,014</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26733A4" w14:textId="77777777">
            <w:pPr>
              <w:pStyle w:val="RTableTextAbt"/>
              <w:rPr>
                <w:i/>
                <w:iCs/>
                <w:color w:val="auto"/>
              </w:rPr>
            </w:pPr>
            <w:r w:rsidRPr="00417E58">
              <w:rPr>
                <w:rFonts w:cs="Arial"/>
                <w:i/>
                <w:iCs/>
                <w:color w:val="auto"/>
              </w:rPr>
              <w:t xml:space="preserve">$787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4C34D911" w14:textId="77777777">
            <w:pPr>
              <w:pStyle w:val="RTableTextAbt"/>
              <w:rPr>
                <w:i/>
                <w:iCs/>
                <w:color w:val="auto"/>
              </w:rPr>
            </w:pPr>
            <w:r w:rsidRPr="00417E58">
              <w:rPr>
                <w:rFonts w:cs="Arial"/>
                <w:i/>
                <w:iCs/>
                <w:color w:val="auto"/>
              </w:rPr>
              <w:t xml:space="preserve">$53,059,628 </w:t>
            </w:r>
          </w:p>
        </w:tc>
      </w:tr>
      <w:tr w14:paraId="73C967F8"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7C4B90CB" w14:textId="77777777">
            <w:pPr>
              <w:keepNext/>
              <w:keepLines/>
              <w:spacing w:after="0" w:line="240" w:lineRule="auto"/>
              <w:rPr>
                <w:rFonts w:ascii="Arial Narrow" w:hAnsi="Arial Narrow" w:cs="Arial"/>
                <w:i/>
                <w:iCs/>
                <w:sz w:val="20"/>
              </w:rPr>
            </w:pPr>
            <w:r w:rsidRPr="00417E58">
              <w:rPr>
                <w:rFonts w:ascii="Arial Narrow" w:hAnsi="Arial Narrow" w:cs="Arial"/>
                <w:i/>
                <w:iCs/>
                <w:sz w:val="20"/>
              </w:rPr>
              <w:t>Compliance Determination</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79FEB7F9" w14:textId="77777777">
            <w:pPr>
              <w:pStyle w:val="RTableTextAbt"/>
              <w:rPr>
                <w:i/>
                <w:iCs/>
                <w:color w:val="auto"/>
              </w:rPr>
            </w:pPr>
            <w:r w:rsidRPr="00417E58">
              <w:rPr>
                <w:rFonts w:cs="Arial"/>
                <w:i/>
                <w:iCs/>
                <w:color w:val="auto"/>
              </w:rPr>
              <w:t>67,461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BE4D1F4"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4575947" w14:textId="77777777">
            <w:pPr>
              <w:pStyle w:val="RTableTextAbt"/>
              <w:rPr>
                <w:i/>
                <w:iCs/>
                <w:color w:val="auto"/>
              </w:rPr>
            </w:pPr>
            <w:r w:rsidRPr="00417E58">
              <w:rPr>
                <w:rFonts w:cs="Arial"/>
                <w:i/>
                <w:iCs/>
                <w:color w:val="auto"/>
              </w:rPr>
              <w:t>57</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608D841" w14:textId="77777777">
            <w:pPr>
              <w:pStyle w:val="RTableTextAbt"/>
              <w:rPr>
                <w:i/>
                <w:iCs/>
                <w:color w:val="auto"/>
              </w:rPr>
            </w:pPr>
            <w:r w:rsidRPr="00417E58">
              <w:rPr>
                <w:rFonts w:cs="Arial"/>
                <w:i/>
                <w:iCs/>
                <w:color w:val="auto"/>
              </w:rPr>
              <w:t>3,868,888</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0C5CF8D4" w14:textId="77777777">
            <w:pPr>
              <w:pStyle w:val="RTableTextAbt"/>
              <w:rPr>
                <w:i/>
                <w:iCs/>
                <w:color w:val="auto"/>
              </w:rPr>
            </w:pPr>
            <w:r w:rsidRPr="00417E58">
              <w:rPr>
                <w:rFonts w:cs="Arial"/>
                <w:i/>
                <w:iCs/>
                <w:color w:val="auto"/>
              </w:rPr>
              <w:t xml:space="preserve">$3,917 </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5C28DDE" w14:textId="77777777">
            <w:pPr>
              <w:pStyle w:val="RTableTextAbt"/>
              <w:rPr>
                <w:i/>
                <w:iCs/>
                <w:color w:val="auto"/>
              </w:rPr>
            </w:pPr>
            <w:r w:rsidRPr="00417E58">
              <w:rPr>
                <w:rFonts w:cs="Arial"/>
                <w:i/>
                <w:iCs/>
                <w:color w:val="auto"/>
              </w:rPr>
              <w:t xml:space="preserve">$264,214,380 </w:t>
            </w:r>
          </w:p>
        </w:tc>
      </w:tr>
      <w:tr w14:paraId="14F03E06"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10A68BA2" w14:textId="77777777">
            <w:pPr>
              <w:keepNext/>
              <w:keepLines/>
              <w:spacing w:after="0" w:line="240" w:lineRule="auto"/>
              <w:jc w:val="right"/>
              <w:rPr>
                <w:rFonts w:ascii="Arial Narrow" w:hAnsi="Arial Narrow" w:cs="Arial"/>
                <w:i/>
                <w:iCs/>
                <w:sz w:val="20"/>
              </w:rPr>
            </w:pPr>
            <w:r w:rsidRPr="00417E58">
              <w:rPr>
                <w:rFonts w:ascii="Arial Narrow" w:hAnsi="Arial Narrow" w:cs="Arial"/>
                <w:i/>
                <w:iCs/>
                <w:sz w:val="20"/>
              </w:rPr>
              <w:t>Subtotal</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6047871D" w14:textId="77777777">
            <w:pPr>
              <w:pStyle w:val="RTableTextAbt"/>
              <w:rPr>
                <w:i/>
                <w:iCs/>
                <w:color w:val="auto"/>
              </w:rPr>
            </w:pPr>
            <w:r w:rsidRPr="00417E58">
              <w:rPr>
                <w:rFonts w:cs="Arial"/>
                <w:i/>
                <w:iCs/>
                <w:color w:val="auto"/>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33174565" w14:textId="77777777">
            <w:pPr>
              <w:pStyle w:val="RTableTextAbt"/>
              <w:rPr>
                <w:i/>
                <w:iCs/>
                <w:color w:val="auto"/>
              </w:rPr>
            </w:pPr>
            <w:r w:rsidRPr="00417E58">
              <w:rPr>
                <w:rFonts w:cs="Arial"/>
                <w:i/>
                <w:iCs/>
                <w:color w:val="auto"/>
              </w:rPr>
              <w:t>-</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1ECDEFB6" w14:textId="77777777">
            <w:pPr>
              <w:pStyle w:val="RTableTextAbt"/>
              <w:rPr>
                <w:i/>
                <w:iCs/>
                <w:color w:val="auto"/>
              </w:rPr>
            </w:pPr>
            <w:r w:rsidRPr="00417E58">
              <w:rPr>
                <w:rFonts w:cs="Arial"/>
                <w:i/>
                <w:iCs/>
                <w:color w:val="auto"/>
              </w:rPr>
              <w:t>-</w:t>
            </w:r>
          </w:p>
        </w:tc>
        <w:tc>
          <w:tcPr>
            <w:tcW w:w="167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D71DF8C" w14:textId="77777777">
            <w:pPr>
              <w:pStyle w:val="RTableTextAbt"/>
              <w:rPr>
                <w:i/>
                <w:iCs/>
                <w:color w:val="auto"/>
              </w:rPr>
            </w:pPr>
            <w:r w:rsidRPr="00417E58">
              <w:rPr>
                <w:rFonts w:cs="Arial"/>
                <w:i/>
                <w:iCs/>
                <w:color w:val="auto"/>
              </w:rPr>
              <w:t>4,492,903</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7499F42B" w14:textId="77777777">
            <w:pPr>
              <w:pStyle w:val="RTableTextAbt"/>
              <w:rPr>
                <w:i/>
                <w:iCs/>
                <w:color w:val="auto"/>
              </w:rPr>
            </w:pPr>
            <w:r w:rsidRPr="00417E58">
              <w:rPr>
                <w:rFonts w:cs="Arial"/>
                <w:i/>
                <w:iCs/>
                <w:color w:val="auto"/>
              </w:rPr>
              <w:t>-</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1390E8E" w14:textId="77777777">
            <w:pPr>
              <w:pStyle w:val="RTableTextAbt"/>
              <w:rPr>
                <w:i/>
                <w:iCs/>
                <w:color w:val="auto"/>
              </w:rPr>
            </w:pPr>
            <w:r w:rsidRPr="00417E58">
              <w:rPr>
                <w:rFonts w:cs="Arial"/>
                <w:i/>
                <w:iCs/>
                <w:color w:val="auto"/>
              </w:rPr>
              <w:t xml:space="preserve">$317,274,008 </w:t>
            </w:r>
          </w:p>
        </w:tc>
      </w:tr>
      <w:tr w14:paraId="02E2F0D7" w14:textId="77777777" w:rsidTr="005F2263">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C3B5F" w:rsidRPr="00417E58" w:rsidP="003C3B5F" w14:paraId="5F8816E3" w14:textId="77777777">
            <w:pPr>
              <w:keepNext/>
              <w:keepLines/>
              <w:spacing w:after="0" w:line="240" w:lineRule="auto"/>
              <w:jc w:val="center"/>
              <w:rPr>
                <w:rFonts w:ascii="Arial Narrow" w:hAnsi="Arial Narrow" w:cs="Arial"/>
                <w:b/>
                <w:i/>
                <w:iCs/>
                <w:sz w:val="20"/>
              </w:rPr>
            </w:pPr>
            <w:r w:rsidRPr="00417E58">
              <w:rPr>
                <w:rFonts w:ascii="Arial Narrow" w:hAnsi="Arial Narrow" w:cs="Arial"/>
                <w:b/>
                <w:i/>
                <w:iCs/>
                <w:sz w:val="20"/>
              </w:rPr>
              <w:t>Total</w:t>
            </w:r>
          </w:p>
        </w:tc>
      </w:tr>
      <w:tr w14:paraId="0C4B809D" w14:textId="77777777" w:rsidTr="005F2263">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B5F" w:rsidRPr="00417E58" w:rsidP="003C3B5F" w14:paraId="573E0A92" w14:textId="26C7CD0A">
            <w:pPr>
              <w:pStyle w:val="RTableTextAbt"/>
              <w:rPr>
                <w:b/>
                <w:bCs w:val="0"/>
                <w:i/>
                <w:iCs/>
              </w:rPr>
            </w:pPr>
            <w:r w:rsidRPr="00417E58">
              <w:rPr>
                <w:b/>
                <w:bCs w:val="0"/>
                <w:i/>
                <w:iCs/>
              </w:rPr>
              <w:t>Total</w:t>
            </w:r>
            <w:r w:rsidR="009D38FE">
              <w:rPr>
                <w:b/>
                <w:bCs w:val="0"/>
                <w:i/>
                <w:iCs/>
              </w:rPr>
              <w:t xml:space="preserve"> (Average Estimate)</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B5F" w:rsidRPr="00417E58" w:rsidP="003C3B5F" w14:paraId="0228722A" w14:textId="77777777">
            <w:pPr>
              <w:pStyle w:val="RTableTextAbt"/>
              <w:rPr>
                <w:b/>
                <w:i/>
                <w:iCs/>
              </w:rPr>
            </w:pPr>
            <w:r w:rsidRPr="00417E58">
              <w:rPr>
                <w:rFonts w:cs="Arial"/>
                <w:b/>
                <w:bCs w:val="0"/>
                <w:i/>
                <w:iCs/>
              </w:rPr>
              <w:t>67,647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64B067AF" w14:textId="77777777">
            <w:pPr>
              <w:pStyle w:val="RTableTextAbt"/>
              <w:rPr>
                <w:b/>
                <w:i/>
                <w:iCs/>
              </w:rPr>
            </w:pPr>
            <w:r w:rsidRPr="00417E58">
              <w:rPr>
                <w:rFonts w:cs="Arial"/>
                <w:b/>
                <w:bCs w:val="0"/>
                <w:i/>
                <w:iCs/>
              </w:rPr>
              <w:t>268</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3C3B5F" w:rsidRPr="00417E58" w:rsidP="003C3B5F" w14:paraId="5E8687C8" w14:textId="77777777">
            <w:pPr>
              <w:pStyle w:val="RTableTextAbt"/>
              <w:rPr>
                <w:b/>
                <w:i/>
                <w:iCs/>
              </w:rPr>
            </w:pPr>
            <w:r w:rsidRPr="00417E58">
              <w:rPr>
                <w:rFonts w:cs="Arial"/>
                <w:b/>
                <w:bCs w:val="0"/>
                <w:i/>
                <w:iCs/>
              </w:rPr>
              <w:t>-</w:t>
            </w:r>
          </w:p>
        </w:tc>
        <w:tc>
          <w:tcPr>
            <w:tcW w:w="1676" w:type="dxa"/>
            <w:tcBorders>
              <w:top w:val="single" w:sz="4" w:space="0" w:color="auto"/>
              <w:left w:val="nil"/>
              <w:bottom w:val="single" w:sz="4" w:space="0" w:color="auto"/>
              <w:right w:val="single" w:sz="4" w:space="0" w:color="auto"/>
            </w:tcBorders>
            <w:shd w:val="clear" w:color="auto" w:fill="auto"/>
            <w:noWrap/>
            <w:tcMar>
              <w:left w:w="14" w:type="dxa"/>
              <w:right w:w="14" w:type="dxa"/>
            </w:tcMar>
            <w:vAlign w:val="center"/>
          </w:tcPr>
          <w:p w:rsidR="003C3B5F" w:rsidRPr="00417E58" w:rsidP="003C3B5F" w14:paraId="6A13E104" w14:textId="77777777">
            <w:pPr>
              <w:pStyle w:val="RTableTextAbt"/>
              <w:ind w:right="80"/>
              <w:rPr>
                <w:b/>
                <w:bCs w:val="0"/>
                <w:i/>
                <w:iCs/>
              </w:rPr>
            </w:pPr>
            <w:r w:rsidRPr="00417E58">
              <w:rPr>
                <w:rFonts w:cs="Arial"/>
                <w:b/>
                <w:bCs w:val="0"/>
                <w:i/>
                <w:iCs/>
              </w:rPr>
              <w:t>4,518,254</w:t>
            </w:r>
          </w:p>
        </w:tc>
        <w:tc>
          <w:tcPr>
            <w:tcW w:w="1351" w:type="dxa"/>
            <w:tcBorders>
              <w:top w:val="single" w:sz="4" w:space="0" w:color="auto"/>
              <w:left w:val="nil"/>
              <w:bottom w:val="single" w:sz="4" w:space="0" w:color="auto"/>
              <w:right w:val="single" w:sz="4" w:space="0" w:color="auto"/>
            </w:tcBorders>
            <w:shd w:val="clear" w:color="auto" w:fill="auto"/>
            <w:noWrap/>
            <w:tcMar>
              <w:left w:w="14" w:type="dxa"/>
              <w:right w:w="14" w:type="dxa"/>
            </w:tcMar>
            <w:vAlign w:val="center"/>
          </w:tcPr>
          <w:p w:rsidR="003C3B5F" w:rsidRPr="00417E58" w:rsidP="003C3B5F" w14:paraId="17AC3CBC" w14:textId="77777777">
            <w:pPr>
              <w:pStyle w:val="RTableTextAbt"/>
              <w:ind w:right="80"/>
              <w:rPr>
                <w:b/>
                <w:bCs w:val="0"/>
                <w:i/>
                <w:iCs/>
              </w:rPr>
            </w:pPr>
            <w:r w:rsidRPr="00417E58">
              <w:rPr>
                <w:rFonts w:cs="Arial"/>
                <w:b/>
                <w:bCs w:val="0"/>
                <w:i/>
                <w:iCs/>
              </w:rPr>
              <w:t>-</w:t>
            </w:r>
          </w:p>
        </w:tc>
        <w:tc>
          <w:tcPr>
            <w:tcW w:w="1396" w:type="dxa"/>
            <w:tcBorders>
              <w:top w:val="single" w:sz="4" w:space="0" w:color="auto"/>
              <w:left w:val="nil"/>
              <w:bottom w:val="single" w:sz="4" w:space="0" w:color="auto"/>
              <w:right w:val="single" w:sz="4" w:space="0" w:color="auto"/>
            </w:tcBorders>
            <w:shd w:val="clear" w:color="auto" w:fill="auto"/>
            <w:noWrap/>
            <w:tcMar>
              <w:left w:w="14" w:type="dxa"/>
              <w:right w:w="14" w:type="dxa"/>
            </w:tcMar>
            <w:vAlign w:val="center"/>
          </w:tcPr>
          <w:p w:rsidR="003C3B5F" w:rsidRPr="00417E58" w:rsidP="003C3B5F" w14:paraId="45A2A973" w14:textId="77777777">
            <w:pPr>
              <w:pStyle w:val="RTableTextAbt"/>
              <w:ind w:left="-20" w:right="40"/>
              <w:rPr>
                <w:b/>
                <w:bCs w:val="0"/>
                <w:i/>
                <w:iCs/>
              </w:rPr>
            </w:pPr>
            <w:r w:rsidRPr="00417E58">
              <w:rPr>
                <w:rFonts w:cs="Arial"/>
                <w:b/>
                <w:bCs w:val="0"/>
                <w:i/>
                <w:iCs/>
              </w:rPr>
              <w:t xml:space="preserve">$319,290,914 </w:t>
            </w:r>
          </w:p>
        </w:tc>
      </w:tr>
      <w:tr w14:paraId="13DA0C07" w14:textId="77777777" w:rsidTr="00825E2A">
        <w:tblPrEx>
          <w:tblW w:w="10674" w:type="dxa"/>
          <w:tblInd w:w="-360" w:type="dxa"/>
          <w:tblLook w:val="04A0"/>
        </w:tblPrEx>
        <w:trPr>
          <w:trHeight w:val="2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E2A" w:rsidRPr="00417E58" w:rsidP="00825E2A" w14:paraId="335B3FC5" w14:textId="2487BD0D">
            <w:pPr>
              <w:pStyle w:val="RTableTextAbt"/>
              <w:rPr>
                <w:b/>
                <w:bCs w:val="0"/>
                <w:i/>
                <w:iCs/>
              </w:rPr>
            </w:pPr>
            <w:r>
              <w:rPr>
                <w:rFonts w:cs="Arial"/>
                <w:b/>
                <w:bCs w:val="0"/>
              </w:rPr>
              <w:t>Total (Upper Bound Estimate)</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E2A" w:rsidRPr="00417E58" w:rsidP="00825E2A" w14:paraId="4EAA270E" w14:textId="066C7424">
            <w:pPr>
              <w:pStyle w:val="RTableTextAbt"/>
              <w:rPr>
                <w:rFonts w:cs="Arial"/>
                <w:b/>
                <w:bCs w:val="0"/>
                <w:i/>
                <w:iCs/>
              </w:rPr>
            </w:pPr>
            <w:r>
              <w:rPr>
                <w:rFonts w:cs="Arial"/>
                <w:b/>
                <w:bCs w:val="0"/>
              </w:rPr>
              <w:t>68,505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25E2A" w:rsidRPr="00417E58" w:rsidP="00825E2A" w14:paraId="70A930A8" w14:textId="09B04972">
            <w:pPr>
              <w:pStyle w:val="RTableTextAbt"/>
              <w:rPr>
                <w:rFonts w:cs="Arial"/>
                <w:b/>
                <w:bCs w:val="0"/>
                <w:i/>
                <w:iCs/>
              </w:rPr>
            </w:pPr>
            <w:r>
              <w:rPr>
                <w:rFonts w:cs="Arial"/>
                <w:b/>
                <w:bCs w:val="0"/>
              </w:rPr>
              <w:t>1,126</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825E2A" w:rsidRPr="00417E58" w:rsidP="00825E2A" w14:paraId="25BC7E71" w14:textId="4AFE4F03">
            <w:pPr>
              <w:pStyle w:val="RTableTextAbt"/>
              <w:rPr>
                <w:rFonts w:cs="Arial"/>
                <w:b/>
                <w:bCs w:val="0"/>
                <w:i/>
                <w:iCs/>
              </w:rPr>
            </w:pPr>
            <w:r>
              <w:rPr>
                <w:rFonts w:cs="Arial"/>
                <w:b/>
                <w:bCs w:val="0"/>
              </w:rPr>
              <w:t>-</w:t>
            </w:r>
          </w:p>
        </w:tc>
        <w:tc>
          <w:tcPr>
            <w:tcW w:w="1676" w:type="dxa"/>
            <w:tcBorders>
              <w:top w:val="single" w:sz="4" w:space="0" w:color="auto"/>
              <w:left w:val="nil"/>
              <w:bottom w:val="single" w:sz="4" w:space="0" w:color="auto"/>
              <w:right w:val="single" w:sz="4" w:space="0" w:color="auto"/>
            </w:tcBorders>
            <w:shd w:val="clear" w:color="auto" w:fill="auto"/>
            <w:noWrap/>
            <w:tcMar>
              <w:left w:w="14" w:type="dxa"/>
              <w:right w:w="14" w:type="dxa"/>
            </w:tcMar>
            <w:vAlign w:val="center"/>
          </w:tcPr>
          <w:p w:rsidR="00825E2A" w:rsidRPr="00417E58" w:rsidP="00825E2A" w14:paraId="4B4B6D9F" w14:textId="192A1390">
            <w:pPr>
              <w:pStyle w:val="RTableTextAbt"/>
              <w:ind w:right="80"/>
              <w:rPr>
                <w:rFonts w:cs="Arial"/>
                <w:b/>
                <w:bCs w:val="0"/>
                <w:i/>
                <w:iCs/>
              </w:rPr>
            </w:pPr>
            <w:r>
              <w:rPr>
                <w:rFonts w:cs="Arial"/>
                <w:b/>
                <w:bCs w:val="0"/>
              </w:rPr>
              <w:t>4,561,397</w:t>
            </w:r>
          </w:p>
        </w:tc>
        <w:tc>
          <w:tcPr>
            <w:tcW w:w="1351" w:type="dxa"/>
            <w:tcBorders>
              <w:top w:val="single" w:sz="4" w:space="0" w:color="auto"/>
              <w:left w:val="nil"/>
              <w:bottom w:val="single" w:sz="4" w:space="0" w:color="auto"/>
              <w:right w:val="single" w:sz="4" w:space="0" w:color="auto"/>
            </w:tcBorders>
            <w:shd w:val="clear" w:color="auto" w:fill="auto"/>
            <w:noWrap/>
            <w:tcMar>
              <w:left w:w="14" w:type="dxa"/>
              <w:right w:w="14" w:type="dxa"/>
            </w:tcMar>
            <w:vAlign w:val="center"/>
          </w:tcPr>
          <w:p w:rsidR="00825E2A" w:rsidRPr="00417E58" w:rsidP="00825E2A" w14:paraId="27B94BEC" w14:textId="7E3D3D3F">
            <w:pPr>
              <w:pStyle w:val="RTableTextAbt"/>
              <w:ind w:right="80"/>
              <w:rPr>
                <w:rFonts w:cs="Arial"/>
                <w:b/>
                <w:bCs w:val="0"/>
                <w:i/>
                <w:iCs/>
              </w:rPr>
            </w:pPr>
            <w:r>
              <w:rPr>
                <w:rFonts w:cs="Arial"/>
                <w:b/>
                <w:bCs w:val="0"/>
              </w:rPr>
              <w:t>-</w:t>
            </w:r>
          </w:p>
        </w:tc>
        <w:tc>
          <w:tcPr>
            <w:tcW w:w="1396" w:type="dxa"/>
            <w:tcBorders>
              <w:top w:val="single" w:sz="4" w:space="0" w:color="auto"/>
              <w:left w:val="nil"/>
              <w:bottom w:val="single" w:sz="4" w:space="0" w:color="auto"/>
              <w:right w:val="single" w:sz="4" w:space="0" w:color="auto"/>
            </w:tcBorders>
            <w:shd w:val="clear" w:color="auto" w:fill="auto"/>
            <w:noWrap/>
            <w:tcMar>
              <w:left w:w="14" w:type="dxa"/>
              <w:right w:w="14" w:type="dxa"/>
            </w:tcMar>
            <w:vAlign w:val="center"/>
          </w:tcPr>
          <w:p w:rsidR="00825E2A" w:rsidRPr="00417E58" w:rsidP="00825E2A" w14:paraId="0AA26A70" w14:textId="1D354073">
            <w:pPr>
              <w:pStyle w:val="RTableTextAbt"/>
              <w:ind w:left="-20" w:right="40"/>
              <w:rPr>
                <w:rFonts w:cs="Arial"/>
                <w:b/>
                <w:bCs w:val="0"/>
                <w:i/>
                <w:iCs/>
              </w:rPr>
            </w:pPr>
            <w:r>
              <w:rPr>
                <w:rFonts w:cs="Arial"/>
                <w:b/>
                <w:bCs w:val="0"/>
              </w:rPr>
              <w:t xml:space="preserve">$323,093,926 </w:t>
            </w:r>
          </w:p>
        </w:tc>
      </w:tr>
      <w:tr w14:paraId="3E81902F" w14:textId="77777777" w:rsidTr="005F2263">
        <w:tblPrEx>
          <w:tblW w:w="10674" w:type="dxa"/>
          <w:tblInd w:w="-360" w:type="dxa"/>
          <w:tblLook w:val="04A0"/>
        </w:tblPrEx>
        <w:trPr>
          <w:trHeight w:val="20"/>
        </w:trPr>
        <w:tc>
          <w:tcPr>
            <w:tcW w:w="1067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C3B5F" w:rsidRPr="00417E58" w:rsidP="003C3B5F" w14:paraId="4791C6B9" w14:textId="77777777">
            <w:pPr>
              <w:pStyle w:val="RTableTextAbt"/>
              <w:jc w:val="left"/>
              <w:rPr>
                <w:rFonts w:cs="Arial"/>
                <w:i/>
                <w:iCs/>
              </w:rPr>
            </w:pPr>
            <w:r w:rsidRPr="00417E58">
              <w:rPr>
                <w:rFonts w:cs="Arial"/>
                <w:i/>
                <w:iCs/>
                <w:sz w:val="16"/>
                <w:szCs w:val="16"/>
                <w:vertAlign w:val="superscript"/>
              </w:rPr>
              <w:t xml:space="preserve">1 </w:t>
            </w:r>
            <w:r w:rsidRPr="00417E58">
              <w:rPr>
                <w:rFonts w:cs="Arial"/>
                <w:i/>
                <w:iCs/>
                <w:sz w:val="16"/>
                <w:szCs w:val="16"/>
              </w:rPr>
              <w:t>All firms reporting asbestos as an impurity are assumed to report as bulk importers/primary processors</w:t>
            </w:r>
            <w:r>
              <w:rPr>
                <w:rFonts w:cs="Arial"/>
                <w:i/>
                <w:iCs/>
                <w:sz w:val="16"/>
                <w:szCs w:val="16"/>
              </w:rPr>
              <w:t>, which may overestimate actual costs</w:t>
            </w:r>
            <w:r w:rsidRPr="00417E58">
              <w:rPr>
                <w:rFonts w:cs="Arial"/>
                <w:i/>
                <w:iCs/>
                <w:sz w:val="16"/>
                <w:szCs w:val="16"/>
              </w:rPr>
              <w:t xml:space="preserve">. </w:t>
            </w:r>
          </w:p>
        </w:tc>
      </w:tr>
    </w:tbl>
    <w:p w:rsidR="00C03717" w:rsidP="00C724C4" w14:paraId="0B8520E9" w14:textId="77777777">
      <w:pPr>
        <w:spacing w:line="240" w:lineRule="auto"/>
      </w:pPr>
    </w:p>
    <w:p w:rsidR="003B717B" w:rsidP="00326B70" w14:paraId="3FCD060D" w14:textId="77777777">
      <w:pPr>
        <w:pStyle w:val="BodyText"/>
        <w:spacing w:after="0"/>
        <w:rPr>
          <w:rFonts w:cs="Arial"/>
        </w:rPr>
      </w:pPr>
    </w:p>
    <w:p w:rsidR="001D3B37" w:rsidP="00326B70" w14:paraId="12CA65A0" w14:textId="77777777">
      <w:pPr>
        <w:pStyle w:val="BodyText"/>
        <w:spacing w:after="0"/>
        <w:rPr>
          <w:rFonts w:cs="Arial"/>
        </w:rPr>
      </w:pPr>
    </w:p>
    <w:p w:rsidR="007F3A69" w:rsidP="00326B70" w14:paraId="13966A39" w14:textId="77777777">
      <w:pPr>
        <w:pStyle w:val="Heading2"/>
      </w:pPr>
      <w:bookmarkStart w:id="20" w:name="_Toc49148207"/>
      <w:r>
        <w:t>Provide an estimate for the total annual cost burden to respondents or recordkeepers resulting from the collection of information.</w:t>
      </w:r>
      <w:r>
        <w:t xml:space="preserve"> (Do not include the cost of any hour burden already reflected on the burden worksheet).</w:t>
      </w:r>
    </w:p>
    <w:p w:rsidR="007F3A69" w:rsidP="00326B70" w14:paraId="0C75D53E" w14:textId="77777777">
      <w:pPr>
        <w:pStyle w:val="Heading3"/>
        <w:numPr>
          <w:ilvl w:val="0"/>
          <w:numId w:val="37"/>
        </w:numPr>
      </w:pPr>
      <w:r>
        <w:t xml:space="preserve">The cost estimate should be split into two components: (a) a total capital and start-up cost component (annualized over its expected useful life) and (b) a total operation and maintenance and purchase of services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326B70"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326B70" w14:paraId="6686600D" w14:textId="25BA3AFC">
      <w:pPr>
        <w:pStyle w:val="Heading3"/>
        <w:rPr>
          <w:b w:val="0"/>
          <w:bCs w:val="0"/>
        </w:rPr>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3B717B">
        <w:t xml:space="preserve"> </w:t>
      </w:r>
    </w:p>
    <w:p w:rsidR="003B717B" w:rsidP="00C724C4" w14:paraId="0598D0FC" w14:textId="6B723065">
      <w:pPr>
        <w:spacing w:after="0" w:line="240" w:lineRule="auto"/>
        <w:rPr>
          <w:rFonts w:cs="Arial"/>
        </w:rPr>
      </w:pPr>
      <w:r w:rsidRPr="005B772E">
        <w:rPr>
          <w:rFonts w:cs="Arial"/>
        </w:rPr>
        <w:t>The information collection activities in the rule do not involve capitalization, start-up, and/or operation and maintenance costs.</w:t>
      </w:r>
    </w:p>
    <w:p w:rsidR="00AB3B01" w:rsidRPr="005B772E" w:rsidP="00C724C4" w14:paraId="5770D628" w14:textId="77777777">
      <w:pPr>
        <w:spacing w:after="0" w:line="240" w:lineRule="auto"/>
        <w:rPr>
          <w:rFonts w:cs="Arial"/>
        </w:rPr>
      </w:pPr>
    </w:p>
    <w:bookmarkEnd w:id="20"/>
    <w:p w:rsidR="003D09E2" w:rsidP="00326B70" w14:paraId="391F5A09" w14:textId="065EE0E1">
      <w:pPr>
        <w:pStyle w:val="Heading2"/>
        <w:rPr>
          <w:b w:val="0"/>
          <w:bCs w:val="0"/>
        </w:rPr>
      </w:pPr>
      <w:r w:rsidRPr="00A640A9">
        <w:t>Provide estimates of annualized cost to the Federal government.</w:t>
      </w:r>
      <w:r w:rsidR="007F3A69">
        <w:t xml:space="preserve"> </w:t>
      </w:r>
      <w:r w:rsidRPr="00CB6A40" w:rsidR="007F3A69">
        <w:t xml:space="preserve">Also, provide a description of the method used to estimate cost, which should include quantification of hours, operational expenses (such as equipment, overhead, printing, and support staff), and any other expense that would not have been </w:t>
      </w:r>
      <w:r w:rsidRPr="00CB6A40" w:rsidR="007F3A69">
        <w:t>incurred without this collection of information. Agencies may also aggregate cost estimates from Items 12, 13, and 14 in a single table.</w:t>
      </w:r>
      <w:r w:rsidR="003B717B">
        <w:t xml:space="preserve"> </w:t>
      </w:r>
    </w:p>
    <w:p w:rsidR="001D3B37" w:rsidRPr="005B772E" w:rsidP="00326B70" w14:paraId="68A8F32A" w14:textId="77777777">
      <w:pPr>
        <w:pStyle w:val="BodyText"/>
        <w:spacing w:after="0"/>
        <w:rPr>
          <w:rFonts w:cs="Arial"/>
          <w:szCs w:val="22"/>
        </w:rPr>
      </w:pPr>
      <w:r w:rsidRPr="005B772E">
        <w:rPr>
          <w:rFonts w:cs="Arial"/>
          <w:szCs w:val="22"/>
        </w:rPr>
        <w:t>EPA develops and maintains the electronic tool used to collect and verify data and routinely conducts other activities related to the processing, analysis and storage of the information collected under this rule. EPA activities affected by the rule involve providing guidance, data processing, systems support, review of CBI claim substantiations, and IT infrastructure.</w:t>
      </w:r>
    </w:p>
    <w:p w:rsidR="001D3B37" w:rsidRPr="005B772E" w:rsidP="00326B70" w14:paraId="348585E0" w14:textId="77777777">
      <w:pPr>
        <w:pStyle w:val="BodyText"/>
        <w:spacing w:after="0"/>
        <w:rPr>
          <w:rFonts w:cs="Arial"/>
          <w:szCs w:val="22"/>
        </w:rPr>
      </w:pPr>
    </w:p>
    <w:p w:rsidR="001D3B37" w:rsidRPr="005B772E" w:rsidP="00326B70" w14:paraId="016DA045" w14:textId="4439E6F6">
      <w:pPr>
        <w:pStyle w:val="BodyText"/>
        <w:spacing w:after="0"/>
        <w:rPr>
          <w:rFonts w:cs="Arial"/>
          <w:szCs w:val="22"/>
        </w:rPr>
      </w:pPr>
      <w:r w:rsidRPr="005B772E">
        <w:rPr>
          <w:rFonts w:cs="Arial"/>
          <w:szCs w:val="22"/>
        </w:rPr>
        <w:t>EPA labor costs are based on federal hourly wage rates, as presented in</w:t>
      </w:r>
      <w:r w:rsidR="00A82D4D">
        <w:rPr>
          <w:rFonts w:cs="Arial"/>
          <w:szCs w:val="22"/>
        </w:rPr>
        <w:t xml:space="preserve"> </w:t>
      </w:r>
      <w:r w:rsidRPr="00A82D4D" w:rsidR="00A82D4D">
        <w:rPr>
          <w:rFonts w:cs="Arial"/>
          <w:szCs w:val="22"/>
        </w:rPr>
        <w:fldChar w:fldCharType="begin"/>
      </w:r>
      <w:r w:rsidRPr="00A82D4D" w:rsidR="00A82D4D">
        <w:rPr>
          <w:rFonts w:cs="Arial"/>
          <w:szCs w:val="22"/>
        </w:rPr>
        <w:instrText xml:space="preserve"> REF _Ref133342935  \* MERGEFORMAT </w:instrText>
      </w:r>
      <w:r w:rsidRPr="00A82D4D" w:rsidR="00A82D4D">
        <w:rPr>
          <w:rFonts w:cs="Arial"/>
          <w:szCs w:val="22"/>
        </w:rPr>
        <w:fldChar w:fldCharType="separate"/>
      </w:r>
      <w:r w:rsidRPr="009F0705" w:rsidR="009F0705">
        <w:rPr>
          <w:rFonts w:cs="Arial"/>
        </w:rPr>
        <w:t xml:space="preserve">Table </w:t>
      </w:r>
      <w:r w:rsidRPr="009F0705" w:rsidR="009F0705">
        <w:rPr>
          <w:rFonts w:cs="Arial"/>
          <w:noProof/>
        </w:rPr>
        <w:t>8</w:t>
      </w:r>
      <w:r w:rsidRPr="00A82D4D" w:rsidR="00A82D4D">
        <w:rPr>
          <w:rFonts w:cs="Arial"/>
          <w:szCs w:val="22"/>
        </w:rPr>
        <w:fldChar w:fldCharType="end"/>
      </w:r>
      <w:r w:rsidRPr="005B772E">
        <w:rPr>
          <w:rFonts w:cs="Arial"/>
          <w:szCs w:val="22"/>
        </w:rPr>
        <w:t xml:space="preserve">. EPA assumes that the collection and administrative activities associated with Agency responses to the rule will be accomplished by a GS-13, Step 5 federal employee in the Washington-Baltimore-Northern Virginia area. EPA assumes that a GS-14, Step 5 federal employee will perform attorney activities related to CBI claim substantiations. </w:t>
      </w:r>
    </w:p>
    <w:p w:rsidR="001D3B37" w:rsidRPr="005B772E" w:rsidP="00326B70" w14:paraId="65AA2BE4" w14:textId="77777777">
      <w:pPr>
        <w:pStyle w:val="Caption"/>
        <w:keepNext/>
        <w:spacing w:after="0"/>
        <w:rPr>
          <w:sz w:val="22"/>
          <w:szCs w:val="24"/>
        </w:rPr>
      </w:pPr>
    </w:p>
    <w:tbl>
      <w:tblPr>
        <w:tblStyle w:val="TableGrid"/>
        <w:tblW w:w="9360" w:type="dxa"/>
        <w:tblLayout w:type="fixed"/>
        <w:tblLook w:val="04A0"/>
      </w:tblPr>
      <w:tblGrid>
        <w:gridCol w:w="1021"/>
        <w:gridCol w:w="1206"/>
        <w:gridCol w:w="923"/>
        <w:gridCol w:w="900"/>
        <w:gridCol w:w="900"/>
        <w:gridCol w:w="990"/>
        <w:gridCol w:w="1530"/>
        <w:gridCol w:w="990"/>
        <w:gridCol w:w="900"/>
      </w:tblGrid>
      <w:tr w14:paraId="7F811081" w14:textId="77777777" w:rsidTr="0029204D">
        <w:tblPrEx>
          <w:tblW w:w="9360" w:type="dxa"/>
          <w:tblLayout w:type="fixed"/>
          <w:tblLook w:val="04A0"/>
        </w:tblPrEx>
        <w:tc>
          <w:tcPr>
            <w:tcW w:w="9360" w:type="dxa"/>
            <w:gridSpan w:val="9"/>
            <w:tcBorders>
              <w:top w:val="nil"/>
              <w:left w:val="nil"/>
              <w:bottom w:val="single" w:sz="4" w:space="0" w:color="auto"/>
              <w:right w:val="nil"/>
            </w:tcBorders>
            <w:shd w:val="clear" w:color="auto" w:fill="auto"/>
          </w:tcPr>
          <w:p w:rsidR="001D3B37" w:rsidRPr="00D07AA0" w:rsidP="00C724C4" w14:paraId="4C62A5D7" w14:textId="46F9173F">
            <w:pPr>
              <w:pStyle w:val="TableTitle"/>
              <w:spacing w:line="240" w:lineRule="auto"/>
              <w:rPr>
                <w:rFonts w:ascii="Arial" w:hAnsi="Arial" w:cs="Arial"/>
                <w:b/>
                <w:bCs/>
              </w:rPr>
            </w:pPr>
            <w:bookmarkStart w:id="21" w:name="_Ref133342935"/>
            <w:bookmarkStart w:id="22" w:name="_Ref93064764"/>
            <w:bookmarkStart w:id="23" w:name="_Toc90915383"/>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8</w:t>
            </w:r>
            <w:r w:rsidRPr="00DE66D8">
              <w:rPr>
                <w:rFonts w:cs="Arial"/>
                <w:b/>
              </w:rPr>
              <w:fldChar w:fldCharType="end"/>
            </w:r>
            <w:bookmarkEnd w:id="21"/>
            <w:r w:rsidRPr="00DE66D8">
              <w:rPr>
                <w:rFonts w:cs="Arial"/>
                <w:b/>
              </w:rPr>
              <w:t>:</w:t>
            </w:r>
            <w:r w:rsidRPr="00C52B2E">
              <w:rPr>
                <w:rFonts w:cs="Arial"/>
                <w:b/>
              </w:rPr>
              <w:t xml:space="preserve"> </w:t>
            </w:r>
            <w:bookmarkEnd w:id="22"/>
            <w:r w:rsidRPr="00D07AA0">
              <w:rPr>
                <w:rFonts w:ascii="Arial" w:hAnsi="Arial" w:cs="Arial"/>
                <w:b/>
                <w:bCs/>
              </w:rPr>
              <w:t>Agency Wage Rates (202</w:t>
            </w:r>
            <w:r w:rsidR="00F34C1D">
              <w:rPr>
                <w:rFonts w:ascii="Arial" w:hAnsi="Arial" w:cs="Arial"/>
                <w:b/>
                <w:bCs/>
              </w:rPr>
              <w:t>1</w:t>
            </w:r>
            <w:r w:rsidRPr="00D07AA0">
              <w:rPr>
                <w:rFonts w:ascii="Arial" w:hAnsi="Arial" w:cs="Arial"/>
                <w:b/>
                <w:bCs/>
              </w:rPr>
              <w:t>$)</w:t>
            </w:r>
            <w:bookmarkEnd w:id="23"/>
          </w:p>
        </w:tc>
      </w:tr>
      <w:tr w14:paraId="2BB40A02" w14:textId="77777777" w:rsidTr="0029204D">
        <w:tblPrEx>
          <w:tblW w:w="9360" w:type="dxa"/>
          <w:tblLayout w:type="fixed"/>
          <w:tblLook w:val="04A0"/>
        </w:tblPrEx>
        <w:tc>
          <w:tcPr>
            <w:tcW w:w="1021" w:type="dxa"/>
            <w:tcBorders>
              <w:top w:val="single" w:sz="4" w:space="0" w:color="auto"/>
            </w:tcBorders>
            <w:shd w:val="clear" w:color="auto" w:fill="auto"/>
          </w:tcPr>
          <w:p w:rsidR="001D3B37" w:rsidRPr="00D07AA0" w:rsidP="00326B70" w14:paraId="1563182E" w14:textId="77777777">
            <w:pPr>
              <w:pStyle w:val="TableSubtitle"/>
              <w:rPr>
                <w:rFonts w:ascii="Arial Narrow" w:hAnsi="Arial Narrow"/>
                <w:color w:val="auto"/>
                <w:sz w:val="20"/>
                <w:szCs w:val="20"/>
              </w:rPr>
            </w:pPr>
            <w:r w:rsidRPr="00D07AA0">
              <w:rPr>
                <w:rFonts w:ascii="Arial Narrow" w:hAnsi="Arial Narrow"/>
                <w:color w:val="auto"/>
                <w:sz w:val="20"/>
                <w:szCs w:val="20"/>
              </w:rPr>
              <w:t>Labor Category</w:t>
            </w:r>
          </w:p>
        </w:tc>
        <w:tc>
          <w:tcPr>
            <w:tcW w:w="1206" w:type="dxa"/>
            <w:tcBorders>
              <w:top w:val="single" w:sz="4" w:space="0" w:color="auto"/>
            </w:tcBorders>
            <w:shd w:val="clear" w:color="auto" w:fill="auto"/>
          </w:tcPr>
          <w:p w:rsidR="001D3B37" w:rsidRPr="00D07AA0" w:rsidP="00326B70" w14:paraId="15A3652B" w14:textId="77777777">
            <w:pPr>
              <w:pStyle w:val="TableSubtitle"/>
              <w:rPr>
                <w:rFonts w:ascii="Arial Narrow" w:hAnsi="Arial Narrow"/>
                <w:color w:val="auto"/>
                <w:sz w:val="20"/>
                <w:szCs w:val="20"/>
              </w:rPr>
            </w:pPr>
            <w:r w:rsidRPr="00D07AA0">
              <w:rPr>
                <w:rFonts w:ascii="Arial Narrow" w:hAnsi="Arial Narrow"/>
                <w:color w:val="auto"/>
                <w:sz w:val="20"/>
                <w:szCs w:val="20"/>
              </w:rPr>
              <w:t>Data Source for Wage Information</w:t>
            </w:r>
          </w:p>
        </w:tc>
        <w:tc>
          <w:tcPr>
            <w:tcW w:w="923" w:type="dxa"/>
            <w:tcBorders>
              <w:top w:val="single" w:sz="4" w:space="0" w:color="auto"/>
            </w:tcBorders>
            <w:shd w:val="clear" w:color="auto" w:fill="auto"/>
          </w:tcPr>
          <w:p w:rsidR="001D3B37" w:rsidRPr="00D07AA0" w:rsidP="00326B70" w14:paraId="386CEEE6" w14:textId="77777777">
            <w:pPr>
              <w:pStyle w:val="TableSubtitle"/>
              <w:rPr>
                <w:rFonts w:ascii="Arial Narrow" w:hAnsi="Arial Narrow"/>
                <w:color w:val="auto"/>
                <w:sz w:val="20"/>
                <w:szCs w:val="20"/>
              </w:rPr>
            </w:pPr>
            <w:r w:rsidRPr="00D07AA0">
              <w:rPr>
                <w:rFonts w:ascii="Arial Narrow" w:hAnsi="Arial Narrow"/>
                <w:color w:val="auto"/>
                <w:sz w:val="20"/>
                <w:szCs w:val="20"/>
              </w:rPr>
              <w:t>Wage ($/hour)</w:t>
            </w:r>
          </w:p>
        </w:tc>
        <w:tc>
          <w:tcPr>
            <w:tcW w:w="900" w:type="dxa"/>
            <w:tcBorders>
              <w:top w:val="single" w:sz="4" w:space="0" w:color="auto"/>
            </w:tcBorders>
            <w:shd w:val="clear" w:color="auto" w:fill="auto"/>
          </w:tcPr>
          <w:p w:rsidR="001D3B37" w:rsidRPr="00D07AA0" w:rsidP="00326B70" w14:paraId="4615C3F2" w14:textId="77777777">
            <w:pPr>
              <w:pStyle w:val="TableSubtitle"/>
              <w:rPr>
                <w:rFonts w:ascii="Arial Narrow" w:hAnsi="Arial Narrow"/>
                <w:color w:val="auto"/>
                <w:sz w:val="20"/>
                <w:szCs w:val="20"/>
                <w:vertAlign w:val="superscript"/>
              </w:rPr>
            </w:pPr>
            <w:r w:rsidRPr="00D07AA0">
              <w:rPr>
                <w:rFonts w:ascii="Arial Narrow" w:hAnsi="Arial Narrow"/>
                <w:color w:val="auto"/>
                <w:sz w:val="20"/>
                <w:szCs w:val="20"/>
              </w:rPr>
              <w:t>Fringes as % of Wage</w:t>
            </w:r>
            <w:r w:rsidRPr="00D07AA0">
              <w:rPr>
                <w:rFonts w:ascii="Arial Narrow" w:hAnsi="Arial Narrow"/>
                <w:color w:val="auto"/>
                <w:sz w:val="20"/>
                <w:szCs w:val="20"/>
                <w:vertAlign w:val="superscript"/>
              </w:rPr>
              <w:t>2</w:t>
            </w:r>
          </w:p>
        </w:tc>
        <w:tc>
          <w:tcPr>
            <w:tcW w:w="900" w:type="dxa"/>
            <w:tcBorders>
              <w:top w:val="single" w:sz="4" w:space="0" w:color="auto"/>
            </w:tcBorders>
            <w:shd w:val="clear" w:color="auto" w:fill="auto"/>
          </w:tcPr>
          <w:p w:rsidR="001D3B37" w:rsidRPr="00D07AA0" w:rsidP="00326B70" w14:paraId="4C0B0550" w14:textId="77777777">
            <w:pPr>
              <w:pStyle w:val="TableSubtitle"/>
              <w:rPr>
                <w:rFonts w:ascii="Arial Narrow" w:hAnsi="Arial Narrow"/>
                <w:color w:val="auto"/>
                <w:sz w:val="20"/>
                <w:szCs w:val="20"/>
              </w:rPr>
            </w:pPr>
            <w:r w:rsidRPr="00D07AA0">
              <w:rPr>
                <w:rFonts w:ascii="Arial Narrow" w:hAnsi="Arial Narrow"/>
                <w:color w:val="auto"/>
                <w:sz w:val="20"/>
                <w:szCs w:val="20"/>
              </w:rPr>
              <w:t>Fringe Benefit</w:t>
            </w:r>
          </w:p>
        </w:tc>
        <w:tc>
          <w:tcPr>
            <w:tcW w:w="990" w:type="dxa"/>
            <w:tcBorders>
              <w:top w:val="single" w:sz="4" w:space="0" w:color="auto"/>
            </w:tcBorders>
            <w:shd w:val="clear" w:color="auto" w:fill="auto"/>
          </w:tcPr>
          <w:p w:rsidR="001D3B37" w:rsidRPr="00D07AA0" w:rsidP="00326B70" w14:paraId="5DD7A534" w14:textId="77777777">
            <w:pPr>
              <w:pStyle w:val="TableSubtitle"/>
              <w:rPr>
                <w:rFonts w:ascii="Arial Narrow" w:hAnsi="Arial Narrow"/>
                <w:color w:val="auto"/>
                <w:sz w:val="20"/>
                <w:szCs w:val="20"/>
              </w:rPr>
            </w:pPr>
            <w:r w:rsidRPr="00D07AA0">
              <w:rPr>
                <w:rFonts w:ascii="Arial Narrow" w:hAnsi="Arial Narrow"/>
                <w:color w:val="auto"/>
                <w:sz w:val="20"/>
                <w:szCs w:val="20"/>
              </w:rPr>
              <w:t>Total Compensation</w:t>
            </w:r>
          </w:p>
        </w:tc>
        <w:tc>
          <w:tcPr>
            <w:tcW w:w="1530" w:type="dxa"/>
            <w:tcBorders>
              <w:top w:val="single" w:sz="4" w:space="0" w:color="auto"/>
            </w:tcBorders>
            <w:shd w:val="clear" w:color="auto" w:fill="auto"/>
          </w:tcPr>
          <w:p w:rsidR="001D3B37" w:rsidRPr="00D07AA0" w:rsidP="00326B70" w14:paraId="34E99F3F" w14:textId="77777777">
            <w:pPr>
              <w:pStyle w:val="TableSubtitle"/>
              <w:rPr>
                <w:rFonts w:ascii="Arial Narrow" w:hAnsi="Arial Narrow"/>
                <w:color w:val="auto"/>
                <w:sz w:val="20"/>
                <w:szCs w:val="20"/>
                <w:vertAlign w:val="superscript"/>
              </w:rPr>
            </w:pPr>
            <w:r w:rsidRPr="00D07AA0">
              <w:rPr>
                <w:rFonts w:ascii="Arial Narrow" w:hAnsi="Arial Narrow"/>
                <w:color w:val="auto"/>
                <w:sz w:val="20"/>
                <w:szCs w:val="20"/>
              </w:rPr>
              <w:t>Overhead as % of Total Compensation</w:t>
            </w:r>
            <w:r w:rsidRPr="00D07AA0">
              <w:rPr>
                <w:rFonts w:ascii="Arial Narrow" w:hAnsi="Arial Narrow"/>
                <w:color w:val="auto"/>
                <w:sz w:val="20"/>
                <w:szCs w:val="20"/>
                <w:vertAlign w:val="superscript"/>
              </w:rPr>
              <w:t>3</w:t>
            </w:r>
          </w:p>
        </w:tc>
        <w:tc>
          <w:tcPr>
            <w:tcW w:w="990" w:type="dxa"/>
            <w:tcBorders>
              <w:top w:val="single" w:sz="4" w:space="0" w:color="auto"/>
            </w:tcBorders>
            <w:shd w:val="clear" w:color="auto" w:fill="auto"/>
          </w:tcPr>
          <w:p w:rsidR="001D3B37" w:rsidRPr="00D07AA0" w:rsidP="00326B70" w14:paraId="018F082F" w14:textId="77777777">
            <w:pPr>
              <w:pStyle w:val="TableSubtitle"/>
              <w:rPr>
                <w:rFonts w:ascii="Arial Narrow" w:hAnsi="Arial Narrow"/>
                <w:color w:val="auto"/>
                <w:sz w:val="20"/>
                <w:szCs w:val="20"/>
              </w:rPr>
            </w:pPr>
            <w:r w:rsidRPr="00D07AA0">
              <w:rPr>
                <w:rFonts w:ascii="Arial Narrow" w:hAnsi="Arial Narrow"/>
                <w:color w:val="auto"/>
                <w:sz w:val="20"/>
                <w:szCs w:val="20"/>
              </w:rPr>
              <w:t>Overhead</w:t>
            </w:r>
          </w:p>
        </w:tc>
        <w:tc>
          <w:tcPr>
            <w:tcW w:w="900" w:type="dxa"/>
            <w:tcBorders>
              <w:top w:val="single" w:sz="4" w:space="0" w:color="auto"/>
            </w:tcBorders>
            <w:shd w:val="clear" w:color="auto" w:fill="auto"/>
          </w:tcPr>
          <w:p w:rsidR="001D3B37" w:rsidRPr="00D07AA0" w:rsidP="00326B70" w14:paraId="6739B3CF" w14:textId="77777777">
            <w:pPr>
              <w:pStyle w:val="TableSubtitle"/>
              <w:rPr>
                <w:rFonts w:ascii="Arial Narrow" w:hAnsi="Arial Narrow"/>
                <w:color w:val="auto"/>
                <w:sz w:val="20"/>
                <w:szCs w:val="20"/>
              </w:rPr>
            </w:pPr>
            <w:r w:rsidRPr="00D07AA0">
              <w:rPr>
                <w:rFonts w:ascii="Arial Narrow" w:hAnsi="Arial Narrow"/>
                <w:color w:val="auto"/>
                <w:sz w:val="20"/>
                <w:szCs w:val="20"/>
              </w:rPr>
              <w:t>Loaded Wage ($/hr)</w:t>
            </w:r>
          </w:p>
        </w:tc>
      </w:tr>
      <w:tr w14:paraId="375C3AB3" w14:textId="77777777" w:rsidTr="0029204D">
        <w:tblPrEx>
          <w:tblW w:w="9360" w:type="dxa"/>
          <w:tblLayout w:type="fixed"/>
          <w:tblLook w:val="04A0"/>
        </w:tblPrEx>
        <w:tc>
          <w:tcPr>
            <w:tcW w:w="1021" w:type="dxa"/>
            <w:shd w:val="clear" w:color="auto" w:fill="auto"/>
          </w:tcPr>
          <w:p w:rsidR="001D3B37" w:rsidRPr="00D07AA0" w:rsidP="00326B70" w14:paraId="34F0ACB1" w14:textId="77777777">
            <w:pPr>
              <w:pStyle w:val="TableSubtitle"/>
              <w:rPr>
                <w:rFonts w:ascii="Arial Narrow" w:hAnsi="Arial Narrow"/>
                <w:color w:val="auto"/>
                <w:sz w:val="20"/>
                <w:szCs w:val="20"/>
              </w:rPr>
            </w:pPr>
          </w:p>
        </w:tc>
        <w:tc>
          <w:tcPr>
            <w:tcW w:w="1206" w:type="dxa"/>
            <w:shd w:val="clear" w:color="auto" w:fill="auto"/>
          </w:tcPr>
          <w:p w:rsidR="001D3B37" w:rsidRPr="00D07AA0" w:rsidP="00326B70" w14:paraId="101DE476" w14:textId="77777777">
            <w:pPr>
              <w:pStyle w:val="TableSubtitle"/>
              <w:rPr>
                <w:rFonts w:ascii="Arial Narrow" w:hAnsi="Arial Narrow"/>
                <w:color w:val="auto"/>
                <w:sz w:val="20"/>
                <w:szCs w:val="20"/>
              </w:rPr>
            </w:pPr>
          </w:p>
        </w:tc>
        <w:tc>
          <w:tcPr>
            <w:tcW w:w="923" w:type="dxa"/>
            <w:shd w:val="clear" w:color="auto" w:fill="auto"/>
          </w:tcPr>
          <w:p w:rsidR="001D3B37" w:rsidRPr="00D07AA0" w:rsidP="00326B70" w14:paraId="65D23465" w14:textId="77777777">
            <w:pPr>
              <w:pStyle w:val="TableSubtitle"/>
              <w:rPr>
                <w:rFonts w:ascii="Arial Narrow" w:hAnsi="Arial Narrow"/>
                <w:color w:val="auto"/>
                <w:sz w:val="20"/>
                <w:szCs w:val="20"/>
              </w:rPr>
            </w:pPr>
            <w:r w:rsidRPr="00D07AA0">
              <w:rPr>
                <w:rFonts w:ascii="Arial Narrow" w:hAnsi="Arial Narrow"/>
                <w:color w:val="auto"/>
                <w:sz w:val="20"/>
                <w:szCs w:val="20"/>
              </w:rPr>
              <w:t>A</w:t>
            </w:r>
          </w:p>
        </w:tc>
        <w:tc>
          <w:tcPr>
            <w:tcW w:w="900" w:type="dxa"/>
            <w:shd w:val="clear" w:color="auto" w:fill="auto"/>
          </w:tcPr>
          <w:p w:rsidR="001D3B37" w:rsidRPr="00D07AA0" w:rsidP="00326B70" w14:paraId="4C30E301" w14:textId="77777777">
            <w:pPr>
              <w:pStyle w:val="TableSubtitle"/>
              <w:rPr>
                <w:rFonts w:ascii="Arial Narrow" w:hAnsi="Arial Narrow"/>
                <w:color w:val="auto"/>
                <w:sz w:val="20"/>
                <w:szCs w:val="20"/>
              </w:rPr>
            </w:pPr>
            <w:r w:rsidRPr="00D07AA0">
              <w:rPr>
                <w:rFonts w:ascii="Arial Narrow" w:hAnsi="Arial Narrow"/>
                <w:color w:val="auto"/>
                <w:sz w:val="20"/>
                <w:szCs w:val="20"/>
              </w:rPr>
              <w:t>B</w:t>
            </w:r>
          </w:p>
        </w:tc>
        <w:tc>
          <w:tcPr>
            <w:tcW w:w="900" w:type="dxa"/>
            <w:shd w:val="clear" w:color="auto" w:fill="auto"/>
          </w:tcPr>
          <w:p w:rsidR="001D3B37" w:rsidRPr="00D07AA0" w:rsidP="00326B70" w14:paraId="0A816ED0" w14:textId="77777777">
            <w:pPr>
              <w:pStyle w:val="TableSubtitle"/>
              <w:rPr>
                <w:rFonts w:ascii="Arial Narrow" w:hAnsi="Arial Narrow"/>
                <w:color w:val="auto"/>
                <w:sz w:val="20"/>
                <w:szCs w:val="20"/>
              </w:rPr>
            </w:pPr>
            <w:r w:rsidRPr="00D07AA0">
              <w:rPr>
                <w:rFonts w:ascii="Arial Narrow" w:hAnsi="Arial Narrow"/>
                <w:color w:val="auto"/>
                <w:sz w:val="20"/>
                <w:szCs w:val="20"/>
              </w:rPr>
              <w:t>C = A * B</w:t>
            </w:r>
          </w:p>
        </w:tc>
        <w:tc>
          <w:tcPr>
            <w:tcW w:w="990" w:type="dxa"/>
            <w:shd w:val="clear" w:color="auto" w:fill="auto"/>
          </w:tcPr>
          <w:p w:rsidR="001D3B37" w:rsidRPr="00D07AA0" w:rsidP="00326B70" w14:paraId="2284E60D" w14:textId="77777777">
            <w:pPr>
              <w:pStyle w:val="TableSubtitle"/>
              <w:rPr>
                <w:rFonts w:ascii="Arial Narrow" w:hAnsi="Arial Narrow"/>
                <w:color w:val="auto"/>
                <w:sz w:val="20"/>
                <w:szCs w:val="20"/>
              </w:rPr>
            </w:pPr>
            <w:r w:rsidRPr="00D07AA0">
              <w:rPr>
                <w:rFonts w:ascii="Arial Narrow" w:hAnsi="Arial Narrow"/>
                <w:color w:val="auto"/>
                <w:sz w:val="20"/>
                <w:szCs w:val="20"/>
              </w:rPr>
              <w:t>D = A + C</w:t>
            </w:r>
          </w:p>
        </w:tc>
        <w:tc>
          <w:tcPr>
            <w:tcW w:w="1530" w:type="dxa"/>
            <w:shd w:val="clear" w:color="auto" w:fill="auto"/>
          </w:tcPr>
          <w:p w:rsidR="001D3B37" w:rsidRPr="00D07AA0" w:rsidP="00326B70" w14:paraId="5F7A34F2" w14:textId="77777777">
            <w:pPr>
              <w:pStyle w:val="TableSubtitle"/>
              <w:rPr>
                <w:rFonts w:ascii="Arial Narrow" w:hAnsi="Arial Narrow"/>
                <w:color w:val="auto"/>
                <w:sz w:val="20"/>
                <w:szCs w:val="20"/>
              </w:rPr>
            </w:pPr>
            <w:r w:rsidRPr="00D07AA0">
              <w:rPr>
                <w:rFonts w:ascii="Arial Narrow" w:hAnsi="Arial Narrow"/>
                <w:color w:val="auto"/>
                <w:sz w:val="20"/>
                <w:szCs w:val="20"/>
              </w:rPr>
              <w:t>E</w:t>
            </w:r>
          </w:p>
        </w:tc>
        <w:tc>
          <w:tcPr>
            <w:tcW w:w="990" w:type="dxa"/>
            <w:shd w:val="clear" w:color="auto" w:fill="auto"/>
          </w:tcPr>
          <w:p w:rsidR="001D3B37" w:rsidRPr="00D07AA0" w:rsidP="00326B70" w14:paraId="6E4E18E7" w14:textId="77777777">
            <w:pPr>
              <w:pStyle w:val="TableSubtitle"/>
              <w:rPr>
                <w:rFonts w:ascii="Arial Narrow" w:hAnsi="Arial Narrow"/>
                <w:color w:val="auto"/>
                <w:sz w:val="20"/>
                <w:szCs w:val="20"/>
              </w:rPr>
            </w:pPr>
            <w:r w:rsidRPr="00D07AA0">
              <w:rPr>
                <w:rFonts w:ascii="Arial Narrow" w:hAnsi="Arial Narrow"/>
                <w:color w:val="auto"/>
                <w:sz w:val="20"/>
                <w:szCs w:val="20"/>
              </w:rPr>
              <w:t>F = D * E</w:t>
            </w:r>
          </w:p>
        </w:tc>
        <w:tc>
          <w:tcPr>
            <w:tcW w:w="900" w:type="dxa"/>
            <w:shd w:val="clear" w:color="auto" w:fill="auto"/>
          </w:tcPr>
          <w:p w:rsidR="001D3B37" w:rsidRPr="00D07AA0" w:rsidP="00326B70" w14:paraId="451E52D3" w14:textId="77777777">
            <w:pPr>
              <w:pStyle w:val="TableSubtitle"/>
              <w:rPr>
                <w:rFonts w:ascii="Arial Narrow" w:hAnsi="Arial Narrow"/>
                <w:color w:val="auto"/>
                <w:sz w:val="20"/>
                <w:szCs w:val="20"/>
              </w:rPr>
            </w:pPr>
            <w:r w:rsidRPr="00D07AA0">
              <w:rPr>
                <w:rFonts w:ascii="Arial Narrow" w:hAnsi="Arial Narrow"/>
                <w:color w:val="auto"/>
                <w:sz w:val="20"/>
                <w:szCs w:val="20"/>
              </w:rPr>
              <w:t>G = D + F</w:t>
            </w:r>
          </w:p>
        </w:tc>
      </w:tr>
      <w:tr w14:paraId="448C01E1" w14:textId="77777777" w:rsidTr="00987BD1">
        <w:tblPrEx>
          <w:tblW w:w="9360" w:type="dxa"/>
          <w:tblLayout w:type="fixed"/>
          <w:tblLook w:val="04A0"/>
        </w:tblPrEx>
        <w:tc>
          <w:tcPr>
            <w:tcW w:w="1021" w:type="dxa"/>
          </w:tcPr>
          <w:p w:rsidR="00E137AB" w:rsidRPr="00D07AA0" w:rsidP="00326B70" w14:paraId="6844BAE5" w14:textId="77777777">
            <w:pPr>
              <w:pStyle w:val="LTableTextAbt"/>
              <w:spacing w:before="0" w:after="0"/>
              <w:rPr>
                <w:rFonts w:cs="Arial"/>
              </w:rPr>
            </w:pPr>
            <w:r w:rsidRPr="00D07AA0">
              <w:rPr>
                <w:rFonts w:cs="Arial"/>
              </w:rPr>
              <w:t>Technical</w:t>
            </w:r>
          </w:p>
        </w:tc>
        <w:tc>
          <w:tcPr>
            <w:tcW w:w="1206" w:type="dxa"/>
          </w:tcPr>
          <w:p w:rsidR="00E137AB" w:rsidRPr="00D07AA0" w:rsidP="00326B70" w14:paraId="2FC2C32D" w14:textId="77777777">
            <w:pPr>
              <w:pStyle w:val="LTableTextAbt"/>
              <w:spacing w:before="0" w:after="0"/>
              <w:rPr>
                <w:rFonts w:cs="Arial"/>
              </w:rPr>
            </w:pPr>
            <w:r w:rsidRPr="00D07AA0">
              <w:rPr>
                <w:rFonts w:cs="Arial"/>
              </w:rPr>
              <w:t>GS-13 Step 5 pay rates</w:t>
            </w:r>
            <w:r w:rsidRPr="00D07AA0">
              <w:rPr>
                <w:rFonts w:cs="Arial"/>
                <w:vertAlign w:val="superscript"/>
              </w:rPr>
              <w:t>1</w:t>
            </w:r>
          </w:p>
        </w:tc>
        <w:tc>
          <w:tcPr>
            <w:tcW w:w="923" w:type="dxa"/>
            <w:vAlign w:val="center"/>
          </w:tcPr>
          <w:p w:rsidR="00E137AB" w:rsidRPr="00D07AA0" w:rsidP="00326B70" w14:paraId="5DC662F9" w14:textId="71C875FD">
            <w:pPr>
              <w:pStyle w:val="RTableTextAbt"/>
              <w:rPr>
                <w:rFonts w:eastAsia="Arial Narrow" w:cs="Arial"/>
                <w:color w:val="000000" w:themeColor="text1"/>
              </w:rPr>
            </w:pPr>
            <w:r w:rsidRPr="001D7DA6">
              <w:t xml:space="preserve">$56.31 </w:t>
            </w:r>
          </w:p>
        </w:tc>
        <w:tc>
          <w:tcPr>
            <w:tcW w:w="900" w:type="dxa"/>
            <w:vAlign w:val="center"/>
          </w:tcPr>
          <w:p w:rsidR="00E137AB" w:rsidRPr="00D07AA0" w:rsidP="00326B70" w14:paraId="1ECFCB31" w14:textId="32635456">
            <w:pPr>
              <w:pStyle w:val="RTableTextAbt"/>
              <w:rPr>
                <w:rFonts w:eastAsia="Arial Narrow" w:cs="Arial"/>
                <w:color w:val="000000" w:themeColor="text1"/>
              </w:rPr>
            </w:pPr>
            <w:r w:rsidRPr="001D7DA6">
              <w:t>63.9%</w:t>
            </w:r>
          </w:p>
        </w:tc>
        <w:tc>
          <w:tcPr>
            <w:tcW w:w="900" w:type="dxa"/>
            <w:vAlign w:val="center"/>
          </w:tcPr>
          <w:p w:rsidR="00E137AB" w:rsidRPr="00D07AA0" w:rsidP="00326B70" w14:paraId="24B2DD63" w14:textId="27A73099">
            <w:pPr>
              <w:pStyle w:val="RTableTextAbt"/>
              <w:rPr>
                <w:rFonts w:eastAsia="Arial Narrow" w:cs="Arial"/>
                <w:color w:val="000000" w:themeColor="text1"/>
              </w:rPr>
            </w:pPr>
            <w:r w:rsidRPr="001D7DA6">
              <w:t xml:space="preserve">$35.98 </w:t>
            </w:r>
          </w:p>
        </w:tc>
        <w:tc>
          <w:tcPr>
            <w:tcW w:w="990" w:type="dxa"/>
            <w:vAlign w:val="center"/>
          </w:tcPr>
          <w:p w:rsidR="00E137AB" w:rsidRPr="00D07AA0" w:rsidP="00326B70" w14:paraId="7CE3D67C" w14:textId="540030C0">
            <w:pPr>
              <w:pStyle w:val="RTableTextAbt"/>
              <w:rPr>
                <w:rFonts w:eastAsia="Arial Narrow" w:cs="Arial"/>
                <w:color w:val="000000" w:themeColor="text1"/>
              </w:rPr>
            </w:pPr>
            <w:r w:rsidRPr="001D7DA6">
              <w:t xml:space="preserve">$92.29 </w:t>
            </w:r>
          </w:p>
        </w:tc>
        <w:tc>
          <w:tcPr>
            <w:tcW w:w="1530" w:type="dxa"/>
            <w:vAlign w:val="center"/>
          </w:tcPr>
          <w:p w:rsidR="00E137AB" w:rsidRPr="00D07AA0" w:rsidP="00326B70" w14:paraId="4BA843BD" w14:textId="265B276B">
            <w:pPr>
              <w:pStyle w:val="RTableTextAbt"/>
              <w:rPr>
                <w:rFonts w:eastAsia="Arial Narrow" w:cs="Arial"/>
                <w:color w:val="000000" w:themeColor="text1"/>
              </w:rPr>
            </w:pPr>
            <w:r w:rsidRPr="001D7DA6">
              <w:t>20.0%</w:t>
            </w:r>
          </w:p>
        </w:tc>
        <w:tc>
          <w:tcPr>
            <w:tcW w:w="990" w:type="dxa"/>
            <w:vAlign w:val="center"/>
          </w:tcPr>
          <w:p w:rsidR="00E137AB" w:rsidRPr="00D07AA0" w:rsidP="00326B70" w14:paraId="113B8AB2" w14:textId="1203FC68">
            <w:pPr>
              <w:pStyle w:val="RTableTextAbt"/>
              <w:rPr>
                <w:rFonts w:eastAsia="Arial Narrow" w:cs="Arial"/>
                <w:color w:val="000000" w:themeColor="text1"/>
              </w:rPr>
            </w:pPr>
            <w:r w:rsidRPr="001D7DA6">
              <w:t xml:space="preserve">$18.46 </w:t>
            </w:r>
          </w:p>
        </w:tc>
        <w:tc>
          <w:tcPr>
            <w:tcW w:w="900" w:type="dxa"/>
            <w:vAlign w:val="center"/>
          </w:tcPr>
          <w:p w:rsidR="00E137AB" w:rsidRPr="00D07AA0" w:rsidP="00326B70" w14:paraId="34448AC2" w14:textId="3DF6CEAA">
            <w:pPr>
              <w:pStyle w:val="RTableTextAbt"/>
              <w:rPr>
                <w:rFonts w:eastAsia="Arial Narrow" w:cs="Arial"/>
                <w:color w:val="000000" w:themeColor="text1"/>
              </w:rPr>
            </w:pPr>
            <w:r w:rsidRPr="001D7DA6">
              <w:t xml:space="preserve">$110.75 </w:t>
            </w:r>
          </w:p>
        </w:tc>
      </w:tr>
      <w:tr w14:paraId="6778560A" w14:textId="77777777" w:rsidTr="00987BD1">
        <w:tblPrEx>
          <w:tblW w:w="9360" w:type="dxa"/>
          <w:tblLayout w:type="fixed"/>
          <w:tblLook w:val="04A0"/>
        </w:tblPrEx>
        <w:tc>
          <w:tcPr>
            <w:tcW w:w="1021" w:type="dxa"/>
          </w:tcPr>
          <w:p w:rsidR="00E137AB" w:rsidRPr="00D07AA0" w:rsidP="00326B70" w14:paraId="4A30E091" w14:textId="77777777">
            <w:pPr>
              <w:pStyle w:val="LTableTextAbt"/>
              <w:spacing w:before="0" w:after="0"/>
              <w:rPr>
                <w:rFonts w:cs="Arial"/>
              </w:rPr>
            </w:pPr>
            <w:r w:rsidRPr="00D07AA0">
              <w:rPr>
                <w:rFonts w:cs="Arial"/>
              </w:rPr>
              <w:t>Attorney</w:t>
            </w:r>
          </w:p>
        </w:tc>
        <w:tc>
          <w:tcPr>
            <w:tcW w:w="1206" w:type="dxa"/>
          </w:tcPr>
          <w:p w:rsidR="00E137AB" w:rsidRPr="00D07AA0" w:rsidP="00326B70" w14:paraId="5023ED9F" w14:textId="77777777">
            <w:pPr>
              <w:pStyle w:val="LTableTextAbt"/>
              <w:spacing w:before="0" w:after="0"/>
              <w:rPr>
                <w:rFonts w:cs="Arial"/>
              </w:rPr>
            </w:pPr>
            <w:r w:rsidRPr="00D07AA0">
              <w:rPr>
                <w:rFonts w:cs="Arial"/>
              </w:rPr>
              <w:t>GS-14 Step 5 pay rates</w:t>
            </w:r>
            <w:r w:rsidRPr="00D07AA0">
              <w:rPr>
                <w:rFonts w:cs="Arial"/>
                <w:vertAlign w:val="superscript"/>
              </w:rPr>
              <w:t>1</w:t>
            </w:r>
          </w:p>
        </w:tc>
        <w:tc>
          <w:tcPr>
            <w:tcW w:w="923" w:type="dxa"/>
            <w:vAlign w:val="center"/>
          </w:tcPr>
          <w:p w:rsidR="00E137AB" w:rsidRPr="00D07AA0" w:rsidP="00326B70" w14:paraId="0D5FC987" w14:textId="40632208">
            <w:pPr>
              <w:pStyle w:val="RTableTextAbt"/>
              <w:rPr>
                <w:rFonts w:eastAsia="Arial Narrow" w:cs="Arial"/>
                <w:color w:val="000000" w:themeColor="text1"/>
              </w:rPr>
            </w:pPr>
            <w:r w:rsidRPr="001D7DA6">
              <w:t xml:space="preserve">$66.54 </w:t>
            </w:r>
          </w:p>
        </w:tc>
        <w:tc>
          <w:tcPr>
            <w:tcW w:w="900" w:type="dxa"/>
            <w:vAlign w:val="center"/>
          </w:tcPr>
          <w:p w:rsidR="00E137AB" w:rsidRPr="00D07AA0" w:rsidP="00326B70" w14:paraId="2EC2EE93" w14:textId="361D5151">
            <w:pPr>
              <w:pStyle w:val="RTableTextAbt"/>
              <w:rPr>
                <w:rFonts w:eastAsia="Arial Narrow" w:cs="Arial"/>
                <w:color w:val="000000" w:themeColor="text1"/>
              </w:rPr>
            </w:pPr>
            <w:r w:rsidRPr="001D7DA6">
              <w:t>63.9%</w:t>
            </w:r>
          </w:p>
        </w:tc>
        <w:tc>
          <w:tcPr>
            <w:tcW w:w="900" w:type="dxa"/>
            <w:vAlign w:val="center"/>
          </w:tcPr>
          <w:p w:rsidR="00E137AB" w:rsidRPr="00D07AA0" w:rsidP="00326B70" w14:paraId="07474F87" w14:textId="1DC5640C">
            <w:pPr>
              <w:pStyle w:val="RTableTextAbt"/>
              <w:rPr>
                <w:rFonts w:eastAsia="Arial Narrow" w:cs="Arial"/>
                <w:color w:val="000000" w:themeColor="text1"/>
              </w:rPr>
            </w:pPr>
            <w:r w:rsidRPr="001D7DA6">
              <w:t xml:space="preserve">$42.52 </w:t>
            </w:r>
          </w:p>
        </w:tc>
        <w:tc>
          <w:tcPr>
            <w:tcW w:w="990" w:type="dxa"/>
            <w:vAlign w:val="center"/>
          </w:tcPr>
          <w:p w:rsidR="00E137AB" w:rsidRPr="00D07AA0" w:rsidP="00326B70" w14:paraId="55C2A484" w14:textId="389BEF1C">
            <w:pPr>
              <w:pStyle w:val="RTableTextAbt"/>
              <w:rPr>
                <w:rFonts w:eastAsia="Arial Narrow" w:cs="Arial"/>
                <w:color w:val="000000" w:themeColor="text1"/>
              </w:rPr>
            </w:pPr>
            <w:r w:rsidRPr="001D7DA6">
              <w:t xml:space="preserve">$109.06 </w:t>
            </w:r>
          </w:p>
        </w:tc>
        <w:tc>
          <w:tcPr>
            <w:tcW w:w="1530" w:type="dxa"/>
            <w:vAlign w:val="center"/>
          </w:tcPr>
          <w:p w:rsidR="00E137AB" w:rsidRPr="00D07AA0" w:rsidP="00326B70" w14:paraId="272E37D1" w14:textId="5130DB57">
            <w:pPr>
              <w:pStyle w:val="RTableTextAbt"/>
              <w:rPr>
                <w:rFonts w:eastAsia="Arial Narrow" w:cs="Arial"/>
                <w:color w:val="000000" w:themeColor="text1"/>
              </w:rPr>
            </w:pPr>
            <w:r w:rsidRPr="001D7DA6">
              <w:t>20.0%</w:t>
            </w:r>
          </w:p>
        </w:tc>
        <w:tc>
          <w:tcPr>
            <w:tcW w:w="990" w:type="dxa"/>
            <w:vAlign w:val="center"/>
          </w:tcPr>
          <w:p w:rsidR="00E137AB" w:rsidRPr="00D07AA0" w:rsidP="00326B70" w14:paraId="33201AED" w14:textId="5A5B6E19">
            <w:pPr>
              <w:pStyle w:val="RTableTextAbt"/>
              <w:rPr>
                <w:rFonts w:eastAsia="Arial Narrow" w:cs="Arial"/>
                <w:color w:val="000000" w:themeColor="text1"/>
              </w:rPr>
            </w:pPr>
            <w:r w:rsidRPr="001D7DA6">
              <w:t xml:space="preserve">$21.81 </w:t>
            </w:r>
          </w:p>
        </w:tc>
        <w:tc>
          <w:tcPr>
            <w:tcW w:w="900" w:type="dxa"/>
            <w:vAlign w:val="center"/>
          </w:tcPr>
          <w:p w:rsidR="00E137AB" w:rsidRPr="00D07AA0" w:rsidP="00326B70" w14:paraId="71B5D34E" w14:textId="009B9897">
            <w:pPr>
              <w:pStyle w:val="RTableTextAbt"/>
              <w:rPr>
                <w:rFonts w:eastAsia="Arial Narrow" w:cs="Arial"/>
                <w:color w:val="000000" w:themeColor="text1"/>
              </w:rPr>
            </w:pPr>
            <w:r w:rsidRPr="001D7DA6">
              <w:t xml:space="preserve">$130.87 </w:t>
            </w:r>
          </w:p>
        </w:tc>
      </w:tr>
    </w:tbl>
    <w:p w:rsidR="001D3B37" w:rsidRPr="005B772E" w:rsidP="00326B70" w14:paraId="0E899D78" w14:textId="77777777">
      <w:pPr>
        <w:pStyle w:val="BodyText"/>
        <w:spacing w:after="0"/>
        <w:rPr>
          <w:rFonts w:cs="Arial"/>
          <w:szCs w:val="22"/>
        </w:rPr>
      </w:pPr>
    </w:p>
    <w:p w:rsidR="001D3B37" w:rsidRPr="005B772E" w:rsidP="00326B70" w14:paraId="506AC448" w14:textId="6ED0E277">
      <w:pPr>
        <w:pStyle w:val="BodyText"/>
        <w:spacing w:after="0"/>
        <w:rPr>
          <w:rFonts w:cs="Arial"/>
          <w:szCs w:val="24"/>
        </w:rPr>
      </w:pPr>
      <w:r w:rsidRPr="005B772E">
        <w:rPr>
          <w:rFonts w:cs="Arial"/>
          <w:szCs w:val="22"/>
        </w:rPr>
        <w:t>EPA will incur costs in administering the rule associated with processing</w:t>
      </w:r>
      <w:r w:rsidRPr="005B772E">
        <w:rPr>
          <w:rFonts w:cs="Arial"/>
          <w:szCs w:val="24"/>
        </w:rPr>
        <w:t xml:space="preserve"> submitted reports, maintaining the information technology systems that support these activities, and reviewing CBI claim substantiations. The costs associated with data processing, systems support, and review of CBI claim substantiations performed by EPA staff, shown in</w:t>
      </w:r>
      <w:r w:rsidR="00A82D4D">
        <w:rPr>
          <w:rFonts w:cs="Arial"/>
          <w:szCs w:val="24"/>
        </w:rPr>
        <w:t xml:space="preserve"> </w:t>
      </w:r>
      <w:r w:rsidRPr="00A82D4D" w:rsidR="00A82D4D">
        <w:rPr>
          <w:rFonts w:cs="Arial"/>
          <w:szCs w:val="24"/>
        </w:rPr>
        <w:fldChar w:fldCharType="begin"/>
      </w:r>
      <w:r w:rsidRPr="00A82D4D" w:rsidR="00A82D4D">
        <w:rPr>
          <w:rFonts w:cs="Arial"/>
          <w:szCs w:val="24"/>
        </w:rPr>
        <w:instrText xml:space="preserve"> REF _Ref133342968  \* MERGEFORMAT </w:instrText>
      </w:r>
      <w:r w:rsidRPr="00A82D4D" w:rsidR="00A82D4D">
        <w:rPr>
          <w:rFonts w:cs="Arial"/>
          <w:szCs w:val="24"/>
        </w:rPr>
        <w:fldChar w:fldCharType="separate"/>
      </w:r>
      <w:r w:rsidRPr="009F0705" w:rsidR="009F0705">
        <w:rPr>
          <w:rFonts w:cs="Arial"/>
        </w:rPr>
        <w:t xml:space="preserve">Table </w:t>
      </w:r>
      <w:r w:rsidRPr="009F0705" w:rsidR="009F0705">
        <w:rPr>
          <w:rFonts w:cs="Arial"/>
          <w:noProof/>
        </w:rPr>
        <w:t>9</w:t>
      </w:r>
      <w:r w:rsidRPr="00A82D4D" w:rsidR="00A82D4D">
        <w:rPr>
          <w:rFonts w:cs="Arial"/>
          <w:szCs w:val="24"/>
        </w:rPr>
        <w:fldChar w:fldCharType="end"/>
      </w:r>
      <w:r w:rsidRPr="005B772E">
        <w:rPr>
          <w:rFonts w:cs="Arial"/>
          <w:szCs w:val="24"/>
        </w:rPr>
        <w:t>, are dependent on the number of reports received. In addition, EPA will need to develop the reporting tool and develop guidance on reporting, at an estimated cost of $5</w:t>
      </w:r>
      <w:r w:rsidR="00BB47F7">
        <w:rPr>
          <w:rFonts w:cs="Arial"/>
          <w:szCs w:val="24"/>
        </w:rPr>
        <w:t>50</w:t>
      </w:r>
      <w:r w:rsidRPr="005B772E">
        <w:rPr>
          <w:rFonts w:cs="Arial"/>
          <w:szCs w:val="24"/>
        </w:rPr>
        <w:t xml:space="preserve">,000. </w:t>
      </w:r>
    </w:p>
    <w:p w:rsidR="001D3B37" w:rsidRPr="005B772E" w:rsidP="00326B70" w14:paraId="29C7C930" w14:textId="77777777">
      <w:pPr>
        <w:pStyle w:val="BodyText"/>
        <w:rPr>
          <w:rFonts w:cs="Arial"/>
          <w:szCs w:val="22"/>
        </w:rPr>
      </w:pPr>
    </w:p>
    <w:tbl>
      <w:tblPr>
        <w:tblW w:w="94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170"/>
        <w:gridCol w:w="1080"/>
        <w:gridCol w:w="990"/>
        <w:gridCol w:w="1350"/>
        <w:gridCol w:w="1530"/>
        <w:gridCol w:w="1260"/>
      </w:tblGrid>
      <w:tr w14:paraId="2B2CF48B" w14:textId="77777777" w:rsidTr="003C73B7">
        <w:tblPrEx>
          <w:tblW w:w="94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right"/>
        </w:trPr>
        <w:tc>
          <w:tcPr>
            <w:tcW w:w="9450" w:type="dxa"/>
            <w:gridSpan w:val="7"/>
            <w:tcBorders>
              <w:top w:val="nil"/>
              <w:left w:val="nil"/>
              <w:bottom w:val="single" w:sz="4" w:space="0" w:color="auto"/>
              <w:right w:val="nil"/>
            </w:tcBorders>
            <w:shd w:val="clear" w:color="auto" w:fill="auto"/>
            <w:vAlign w:val="center"/>
          </w:tcPr>
          <w:p w:rsidR="001D3B37" w:rsidRPr="00D07AA0" w:rsidP="00C724C4" w14:paraId="707DF500" w14:textId="1E32FDC2">
            <w:pPr>
              <w:pStyle w:val="TableTitle"/>
              <w:spacing w:line="240" w:lineRule="auto"/>
              <w:rPr>
                <w:rFonts w:ascii="Arial" w:hAnsi="Arial" w:cs="Arial"/>
                <w:b/>
                <w:bCs/>
                <w:color w:val="FFFFFF"/>
              </w:rPr>
            </w:pPr>
            <w:bookmarkStart w:id="24" w:name="_Ref133342968"/>
            <w:bookmarkStart w:id="25" w:name="_Ref93064796"/>
            <w:bookmarkStart w:id="26" w:name="_Toc90915384"/>
            <w:r w:rsidRPr="00DE66D8">
              <w:rPr>
                <w:rFonts w:cs="Arial"/>
                <w:b/>
              </w:rPr>
              <w:t xml:space="preserve">Table </w:t>
            </w:r>
            <w:r w:rsidRPr="00DE66D8">
              <w:rPr>
                <w:rFonts w:cs="Arial"/>
                <w:b/>
              </w:rPr>
              <w:fldChar w:fldCharType="begin"/>
            </w:r>
            <w:r w:rsidRPr="00DE66D8">
              <w:rPr>
                <w:rFonts w:cs="Arial"/>
                <w:b/>
              </w:rPr>
              <w:instrText xml:space="preserve"> SEQ Table \* ARABIC </w:instrText>
            </w:r>
            <w:r w:rsidRPr="00DE66D8">
              <w:rPr>
                <w:rFonts w:cs="Arial"/>
                <w:b/>
              </w:rPr>
              <w:fldChar w:fldCharType="separate"/>
            </w:r>
            <w:r w:rsidR="009F0705">
              <w:rPr>
                <w:rFonts w:cs="Arial"/>
                <w:b/>
                <w:noProof/>
              </w:rPr>
              <w:t>9</w:t>
            </w:r>
            <w:r w:rsidRPr="00DE66D8">
              <w:rPr>
                <w:rFonts w:cs="Arial"/>
                <w:b/>
              </w:rPr>
              <w:fldChar w:fldCharType="end"/>
            </w:r>
            <w:bookmarkEnd w:id="24"/>
            <w:r w:rsidRPr="00DE66D8">
              <w:rPr>
                <w:rFonts w:cs="Arial"/>
                <w:b/>
              </w:rPr>
              <w:t>:</w:t>
            </w:r>
            <w:r w:rsidRPr="00C52B2E">
              <w:rPr>
                <w:rFonts w:cs="Arial"/>
                <w:b/>
              </w:rPr>
              <w:t xml:space="preserve"> </w:t>
            </w:r>
            <w:bookmarkEnd w:id="25"/>
            <w:r w:rsidRPr="00D07AA0">
              <w:rPr>
                <w:rFonts w:ascii="Arial" w:hAnsi="Arial" w:cs="Arial"/>
                <w:b/>
                <w:bCs/>
              </w:rPr>
              <w:t>Total</w:t>
            </w:r>
            <w:r w:rsidR="00DA11D4">
              <w:rPr>
                <w:rFonts w:ascii="Arial" w:hAnsi="Arial" w:cs="Arial"/>
                <w:b/>
                <w:bCs/>
              </w:rPr>
              <w:t xml:space="preserve"> 3-Year</w:t>
            </w:r>
            <w:r w:rsidRPr="00D07AA0">
              <w:rPr>
                <w:rFonts w:ascii="Arial" w:hAnsi="Arial" w:cs="Arial"/>
                <w:b/>
                <w:bCs/>
              </w:rPr>
              <w:t xml:space="preserve"> Agency Costs (202</w:t>
            </w:r>
            <w:r w:rsidR="007C3C62">
              <w:rPr>
                <w:rFonts w:ascii="Arial" w:hAnsi="Arial" w:cs="Arial"/>
                <w:b/>
                <w:bCs/>
              </w:rPr>
              <w:t>1</w:t>
            </w:r>
            <w:r w:rsidRPr="00D07AA0">
              <w:rPr>
                <w:rFonts w:ascii="Arial" w:hAnsi="Arial" w:cs="Arial"/>
                <w:b/>
                <w:bCs/>
              </w:rPr>
              <w:t>$)</w:t>
            </w:r>
            <w:bookmarkEnd w:id="26"/>
          </w:p>
        </w:tc>
      </w:tr>
      <w:tr w14:paraId="068C99A1" w14:textId="77777777" w:rsidTr="003C73B7">
        <w:tblPrEx>
          <w:tblW w:w="9450" w:type="dxa"/>
          <w:jc w:val="right"/>
          <w:tblLayout w:type="fixed"/>
          <w:tblLook w:val="04A0"/>
        </w:tblPrEx>
        <w:trPr>
          <w:trHeight w:val="280"/>
          <w:jc w:val="right"/>
        </w:trPr>
        <w:tc>
          <w:tcPr>
            <w:tcW w:w="2070" w:type="dxa"/>
            <w:vMerge w:val="restart"/>
            <w:tcBorders>
              <w:top w:val="single" w:sz="4" w:space="0" w:color="auto"/>
            </w:tcBorders>
            <w:shd w:val="clear" w:color="auto" w:fill="FFFFFF" w:themeFill="background1"/>
            <w:vAlign w:val="center"/>
            <w:hideMark/>
          </w:tcPr>
          <w:p w:rsidR="001D3B37" w:rsidRPr="000C09A8" w:rsidP="00C724C4" w14:paraId="76AE2F91" w14:textId="77777777">
            <w:pPr>
              <w:keepNext/>
              <w:keepLines/>
              <w:spacing w:after="0" w:line="240" w:lineRule="auto"/>
              <w:jc w:val="center"/>
              <w:rPr>
                <w:rFonts w:cs="Arial"/>
                <w:b/>
                <w:bCs/>
                <w:sz w:val="20"/>
                <w:szCs w:val="20"/>
              </w:rPr>
            </w:pPr>
            <w:r w:rsidRPr="000C09A8">
              <w:rPr>
                <w:rFonts w:cs="Arial"/>
                <w:b/>
                <w:bCs/>
                <w:sz w:val="20"/>
                <w:szCs w:val="20"/>
              </w:rPr>
              <w:t>EPA Activity</w:t>
            </w:r>
          </w:p>
        </w:tc>
        <w:tc>
          <w:tcPr>
            <w:tcW w:w="3240" w:type="dxa"/>
            <w:gridSpan w:val="3"/>
            <w:tcBorders>
              <w:top w:val="single" w:sz="4" w:space="0" w:color="auto"/>
            </w:tcBorders>
            <w:shd w:val="clear" w:color="auto" w:fill="FFFFFF" w:themeFill="background1"/>
            <w:noWrap/>
            <w:vAlign w:val="center"/>
            <w:hideMark/>
          </w:tcPr>
          <w:p w:rsidR="001D3B37" w:rsidRPr="000C09A8" w:rsidP="00C724C4" w14:paraId="1363BAED" w14:textId="77777777">
            <w:pPr>
              <w:keepNext/>
              <w:keepLines/>
              <w:spacing w:after="0" w:line="240" w:lineRule="auto"/>
              <w:jc w:val="center"/>
              <w:rPr>
                <w:rFonts w:cs="Arial"/>
                <w:b/>
                <w:bCs/>
                <w:sz w:val="20"/>
                <w:szCs w:val="20"/>
              </w:rPr>
            </w:pPr>
            <w:r w:rsidRPr="000C09A8">
              <w:rPr>
                <w:rFonts w:cs="Arial"/>
                <w:b/>
                <w:bCs/>
                <w:sz w:val="20"/>
                <w:szCs w:val="20"/>
              </w:rPr>
              <w:t>Hours</w:t>
            </w:r>
          </w:p>
          <w:p w:rsidR="001D3B37" w:rsidRPr="000C09A8" w:rsidP="00C724C4" w14:paraId="7406C347" w14:textId="77777777">
            <w:pPr>
              <w:keepNext/>
              <w:keepLines/>
              <w:spacing w:after="0" w:line="240" w:lineRule="auto"/>
              <w:jc w:val="center"/>
              <w:rPr>
                <w:rFonts w:cs="Arial"/>
                <w:b/>
                <w:bCs/>
                <w:sz w:val="20"/>
                <w:szCs w:val="20"/>
              </w:rPr>
            </w:pPr>
          </w:p>
        </w:tc>
        <w:tc>
          <w:tcPr>
            <w:tcW w:w="4140" w:type="dxa"/>
            <w:gridSpan w:val="3"/>
            <w:tcBorders>
              <w:top w:val="single" w:sz="4" w:space="0" w:color="auto"/>
            </w:tcBorders>
            <w:shd w:val="clear" w:color="auto" w:fill="FFFFFF" w:themeFill="background1"/>
            <w:noWrap/>
            <w:vAlign w:val="center"/>
            <w:hideMark/>
          </w:tcPr>
          <w:p w:rsidR="001D3B37" w:rsidRPr="000C09A8" w:rsidP="00C724C4" w14:paraId="427E68F0" w14:textId="32E9C603">
            <w:pPr>
              <w:keepNext/>
              <w:keepLines/>
              <w:spacing w:after="0" w:line="240" w:lineRule="auto"/>
              <w:jc w:val="center"/>
              <w:rPr>
                <w:rFonts w:cs="Arial"/>
                <w:b/>
                <w:bCs/>
                <w:sz w:val="20"/>
                <w:szCs w:val="20"/>
              </w:rPr>
            </w:pPr>
            <w:r w:rsidRPr="000C09A8">
              <w:rPr>
                <w:rFonts w:cs="Arial"/>
                <w:b/>
                <w:bCs/>
                <w:sz w:val="20"/>
                <w:szCs w:val="20"/>
              </w:rPr>
              <w:t>Cost (202</w:t>
            </w:r>
            <w:r w:rsidR="00552CD2">
              <w:rPr>
                <w:rFonts w:cs="Arial"/>
                <w:b/>
                <w:bCs/>
                <w:sz w:val="20"/>
                <w:szCs w:val="20"/>
              </w:rPr>
              <w:t>1</w:t>
            </w:r>
            <w:r w:rsidRPr="000C09A8">
              <w:rPr>
                <w:rFonts w:cs="Arial"/>
                <w:b/>
                <w:bCs/>
                <w:sz w:val="20"/>
                <w:szCs w:val="20"/>
              </w:rPr>
              <w:t>$)</w:t>
            </w:r>
          </w:p>
        </w:tc>
      </w:tr>
      <w:tr w14:paraId="7CEB1835" w14:textId="77777777" w:rsidTr="003C73B7">
        <w:tblPrEx>
          <w:tblW w:w="9450" w:type="dxa"/>
          <w:jc w:val="right"/>
          <w:tblLayout w:type="fixed"/>
          <w:tblLook w:val="04A0"/>
        </w:tblPrEx>
        <w:trPr>
          <w:trHeight w:val="520"/>
          <w:jc w:val="right"/>
        </w:trPr>
        <w:tc>
          <w:tcPr>
            <w:tcW w:w="2070" w:type="dxa"/>
            <w:vMerge/>
            <w:shd w:val="clear" w:color="auto" w:fill="FFFFFF" w:themeFill="background1"/>
            <w:vAlign w:val="center"/>
            <w:hideMark/>
          </w:tcPr>
          <w:p w:rsidR="001D3B37" w:rsidRPr="000C09A8" w:rsidP="003C73B7" w14:paraId="5AEE722E" w14:textId="77777777">
            <w:pPr>
              <w:keepNext/>
              <w:keepLines/>
              <w:spacing w:after="0" w:line="240" w:lineRule="auto"/>
              <w:rPr>
                <w:rFonts w:cs="Arial"/>
                <w:b/>
                <w:bCs/>
                <w:sz w:val="20"/>
                <w:szCs w:val="20"/>
              </w:rPr>
            </w:pPr>
          </w:p>
        </w:tc>
        <w:tc>
          <w:tcPr>
            <w:tcW w:w="1170" w:type="dxa"/>
            <w:shd w:val="clear" w:color="auto" w:fill="FFFFFF" w:themeFill="background1"/>
            <w:vAlign w:val="center"/>
            <w:hideMark/>
          </w:tcPr>
          <w:p w:rsidR="001D3B37" w:rsidRPr="000C09A8" w:rsidP="003C73B7" w14:paraId="089F2D80" w14:textId="77777777">
            <w:pPr>
              <w:keepNext/>
              <w:keepLines/>
              <w:spacing w:after="0" w:line="240" w:lineRule="auto"/>
              <w:jc w:val="center"/>
              <w:rPr>
                <w:rFonts w:cs="Arial"/>
                <w:b/>
                <w:bCs/>
                <w:sz w:val="20"/>
                <w:szCs w:val="20"/>
              </w:rPr>
            </w:pPr>
            <w:r w:rsidRPr="000C09A8">
              <w:rPr>
                <w:rFonts w:cs="Arial"/>
                <w:b/>
                <w:bCs/>
                <w:sz w:val="20"/>
                <w:szCs w:val="20"/>
              </w:rPr>
              <w:t>Technical</w:t>
            </w:r>
          </w:p>
        </w:tc>
        <w:tc>
          <w:tcPr>
            <w:tcW w:w="1080" w:type="dxa"/>
            <w:shd w:val="clear" w:color="auto" w:fill="FFFFFF" w:themeFill="background1"/>
            <w:vAlign w:val="center"/>
            <w:hideMark/>
          </w:tcPr>
          <w:p w:rsidR="001D3B37" w:rsidRPr="000C09A8" w:rsidP="003C73B7" w14:paraId="5DA1325C" w14:textId="77777777">
            <w:pPr>
              <w:keepNext/>
              <w:keepLines/>
              <w:spacing w:after="0" w:line="240" w:lineRule="auto"/>
              <w:jc w:val="center"/>
              <w:rPr>
                <w:rFonts w:cs="Arial"/>
                <w:b/>
                <w:bCs/>
                <w:sz w:val="20"/>
                <w:szCs w:val="20"/>
              </w:rPr>
            </w:pPr>
            <w:r w:rsidRPr="000C09A8">
              <w:rPr>
                <w:rFonts w:cs="Arial"/>
                <w:b/>
                <w:bCs/>
                <w:sz w:val="20"/>
                <w:szCs w:val="20"/>
              </w:rPr>
              <w:t>Attorney</w:t>
            </w:r>
          </w:p>
        </w:tc>
        <w:tc>
          <w:tcPr>
            <w:tcW w:w="990" w:type="dxa"/>
            <w:shd w:val="clear" w:color="auto" w:fill="FFFFFF" w:themeFill="background1"/>
            <w:noWrap/>
            <w:vAlign w:val="center"/>
            <w:hideMark/>
          </w:tcPr>
          <w:p w:rsidR="001D3B37" w:rsidRPr="000C09A8" w:rsidP="003C73B7" w14:paraId="0C15C95E" w14:textId="77777777">
            <w:pPr>
              <w:keepNext/>
              <w:keepLines/>
              <w:spacing w:after="0" w:line="240" w:lineRule="auto"/>
              <w:jc w:val="center"/>
              <w:rPr>
                <w:rFonts w:cs="Arial"/>
                <w:b/>
                <w:bCs/>
                <w:sz w:val="20"/>
                <w:szCs w:val="20"/>
              </w:rPr>
            </w:pPr>
            <w:r w:rsidRPr="000C09A8">
              <w:rPr>
                <w:rFonts w:cs="Arial"/>
                <w:b/>
                <w:bCs/>
                <w:sz w:val="20"/>
                <w:szCs w:val="20"/>
              </w:rPr>
              <w:t>Total</w:t>
            </w:r>
          </w:p>
        </w:tc>
        <w:tc>
          <w:tcPr>
            <w:tcW w:w="1350" w:type="dxa"/>
            <w:shd w:val="clear" w:color="auto" w:fill="FFFFFF" w:themeFill="background1"/>
            <w:vAlign w:val="center"/>
            <w:hideMark/>
          </w:tcPr>
          <w:p w:rsidR="001D3B37" w:rsidRPr="000C09A8" w:rsidP="003C73B7" w14:paraId="3ADADBBD" w14:textId="4D5E3D53">
            <w:pPr>
              <w:keepNext/>
              <w:keepLines/>
              <w:spacing w:after="0" w:line="240" w:lineRule="auto"/>
              <w:jc w:val="center"/>
              <w:rPr>
                <w:rFonts w:cs="Arial"/>
                <w:b/>
                <w:bCs/>
                <w:sz w:val="20"/>
                <w:szCs w:val="20"/>
              </w:rPr>
            </w:pPr>
            <w:r w:rsidRPr="000C09A8">
              <w:rPr>
                <w:rFonts w:cs="Arial"/>
                <w:b/>
                <w:bCs/>
                <w:sz w:val="20"/>
                <w:szCs w:val="20"/>
              </w:rPr>
              <w:t xml:space="preserve">Technical </w:t>
            </w:r>
            <w:r w:rsidR="007C3C62">
              <w:rPr>
                <w:rFonts w:cs="Arial"/>
                <w:b/>
                <w:bCs/>
                <w:sz w:val="20"/>
                <w:szCs w:val="20"/>
              </w:rPr>
              <w:t>(</w:t>
            </w:r>
            <w:r w:rsidRPr="007C3C62" w:rsidR="007C3C62">
              <w:rPr>
                <w:rFonts w:cs="Arial"/>
                <w:b/>
                <w:bCs/>
                <w:sz w:val="20"/>
                <w:szCs w:val="20"/>
              </w:rPr>
              <w:t>$110.75</w:t>
            </w:r>
            <w:r w:rsidR="007C3C62">
              <w:rPr>
                <w:rFonts w:cs="Arial"/>
                <w:b/>
                <w:bCs/>
                <w:sz w:val="20"/>
                <w:szCs w:val="20"/>
              </w:rPr>
              <w:t>)</w:t>
            </w:r>
          </w:p>
        </w:tc>
        <w:tc>
          <w:tcPr>
            <w:tcW w:w="1530" w:type="dxa"/>
            <w:shd w:val="clear" w:color="auto" w:fill="FFFFFF" w:themeFill="background1"/>
            <w:vAlign w:val="center"/>
            <w:hideMark/>
          </w:tcPr>
          <w:p w:rsidR="001D3B37" w:rsidP="003C73B7" w14:paraId="309D7C5B" w14:textId="336389FF">
            <w:pPr>
              <w:keepNext/>
              <w:keepLines/>
              <w:spacing w:after="0" w:line="240" w:lineRule="auto"/>
              <w:jc w:val="center"/>
              <w:rPr>
                <w:rFonts w:cs="Arial"/>
                <w:b/>
                <w:bCs/>
                <w:sz w:val="20"/>
                <w:szCs w:val="20"/>
              </w:rPr>
            </w:pPr>
            <w:r w:rsidRPr="000C09A8">
              <w:rPr>
                <w:rFonts w:cs="Arial"/>
                <w:b/>
                <w:bCs/>
                <w:sz w:val="20"/>
                <w:szCs w:val="20"/>
              </w:rPr>
              <w:t xml:space="preserve">Attorney </w:t>
            </w:r>
          </w:p>
          <w:p w:rsidR="007C3C62" w:rsidRPr="000C09A8" w:rsidP="003C73B7" w14:paraId="792CAB29" w14:textId="42F4958D">
            <w:pPr>
              <w:keepNext/>
              <w:keepLines/>
              <w:spacing w:after="0" w:line="240" w:lineRule="auto"/>
              <w:jc w:val="center"/>
              <w:rPr>
                <w:rFonts w:cs="Arial"/>
                <w:b/>
                <w:bCs/>
                <w:sz w:val="20"/>
                <w:szCs w:val="20"/>
              </w:rPr>
            </w:pPr>
            <w:r>
              <w:rPr>
                <w:rFonts w:cs="Arial"/>
                <w:b/>
                <w:bCs/>
                <w:sz w:val="20"/>
                <w:szCs w:val="20"/>
              </w:rPr>
              <w:t>(</w:t>
            </w:r>
            <w:r w:rsidRPr="007C3C62">
              <w:rPr>
                <w:rFonts w:cs="Arial"/>
                <w:b/>
                <w:bCs/>
                <w:sz w:val="20"/>
                <w:szCs w:val="20"/>
              </w:rPr>
              <w:t>$130.87</w:t>
            </w:r>
            <w:r>
              <w:rPr>
                <w:rFonts w:cs="Arial"/>
                <w:b/>
                <w:bCs/>
                <w:sz w:val="20"/>
                <w:szCs w:val="20"/>
              </w:rPr>
              <w:t>)</w:t>
            </w:r>
          </w:p>
        </w:tc>
        <w:tc>
          <w:tcPr>
            <w:tcW w:w="1260" w:type="dxa"/>
            <w:shd w:val="clear" w:color="auto" w:fill="FFFFFF" w:themeFill="background1"/>
            <w:noWrap/>
            <w:vAlign w:val="center"/>
            <w:hideMark/>
          </w:tcPr>
          <w:p w:rsidR="001D3B37" w:rsidRPr="000C09A8" w:rsidP="003C73B7" w14:paraId="41AF4B5D" w14:textId="77777777">
            <w:pPr>
              <w:keepNext/>
              <w:keepLines/>
              <w:spacing w:after="0" w:line="240" w:lineRule="auto"/>
              <w:jc w:val="center"/>
              <w:rPr>
                <w:rFonts w:cs="Arial"/>
                <w:b/>
                <w:bCs/>
                <w:sz w:val="20"/>
                <w:szCs w:val="20"/>
              </w:rPr>
            </w:pPr>
            <w:r w:rsidRPr="000C09A8">
              <w:rPr>
                <w:rFonts w:cs="Arial"/>
                <w:b/>
                <w:bCs/>
                <w:sz w:val="20"/>
                <w:szCs w:val="20"/>
              </w:rPr>
              <w:t>Total</w:t>
            </w:r>
          </w:p>
        </w:tc>
      </w:tr>
      <w:tr w14:paraId="6E69472D" w14:textId="77777777" w:rsidTr="003C73B7">
        <w:tblPrEx>
          <w:tblW w:w="9450" w:type="dxa"/>
          <w:jc w:val="right"/>
          <w:tblLayout w:type="fixed"/>
          <w:tblLook w:val="04A0"/>
        </w:tblPrEx>
        <w:trPr>
          <w:trHeight w:val="280"/>
          <w:jc w:val="right"/>
        </w:trPr>
        <w:tc>
          <w:tcPr>
            <w:tcW w:w="2070" w:type="dxa"/>
            <w:shd w:val="clear" w:color="auto" w:fill="auto"/>
            <w:vAlign w:val="center"/>
            <w:hideMark/>
          </w:tcPr>
          <w:p w:rsidR="00A13839" w:rsidRPr="000C09A8" w:rsidP="00326B70" w14:paraId="620C98E5" w14:textId="77777777">
            <w:pPr>
              <w:pStyle w:val="LTableTextAbt"/>
              <w:spacing w:before="0" w:after="0"/>
              <w:rPr>
                <w:rFonts w:ascii="Arial" w:hAnsi="Arial" w:cs="Arial"/>
              </w:rPr>
            </w:pPr>
            <w:r w:rsidRPr="000C09A8">
              <w:rPr>
                <w:rFonts w:ascii="Arial" w:hAnsi="Arial" w:cs="Arial"/>
              </w:rPr>
              <w:t>Data Processing and Systems Support (per Report)</w:t>
            </w:r>
          </w:p>
        </w:tc>
        <w:tc>
          <w:tcPr>
            <w:tcW w:w="1170" w:type="dxa"/>
            <w:shd w:val="clear" w:color="auto" w:fill="auto"/>
            <w:vAlign w:val="center"/>
          </w:tcPr>
          <w:p w:rsidR="00A13839" w:rsidRPr="00A13839" w:rsidP="00326B70" w14:paraId="18527BE9" w14:textId="0CB1C43F">
            <w:pPr>
              <w:pStyle w:val="RTableTextAbt"/>
              <w:rPr>
                <w:rFonts w:ascii="Arial" w:hAnsi="Arial" w:cs="Arial"/>
              </w:rPr>
            </w:pPr>
            <w:r w:rsidRPr="00B96328">
              <w:rPr>
                <w:rFonts w:ascii="Arial" w:hAnsi="Arial" w:cs="Arial"/>
              </w:rPr>
              <w:t>3.13</w:t>
            </w:r>
          </w:p>
        </w:tc>
        <w:tc>
          <w:tcPr>
            <w:tcW w:w="1080" w:type="dxa"/>
            <w:shd w:val="clear" w:color="auto" w:fill="auto"/>
            <w:vAlign w:val="center"/>
          </w:tcPr>
          <w:p w:rsidR="00A13839" w:rsidRPr="00A13839" w:rsidP="00326B70" w14:paraId="2F6850A5" w14:textId="1AC258BD">
            <w:pPr>
              <w:pStyle w:val="RTableTextAbt"/>
              <w:rPr>
                <w:rFonts w:ascii="Arial" w:hAnsi="Arial" w:cs="Arial"/>
              </w:rPr>
            </w:pPr>
            <w:r w:rsidRPr="00B96328">
              <w:rPr>
                <w:rFonts w:ascii="Arial" w:hAnsi="Arial" w:cs="Arial"/>
              </w:rPr>
              <w:t>0</w:t>
            </w:r>
          </w:p>
        </w:tc>
        <w:tc>
          <w:tcPr>
            <w:tcW w:w="990" w:type="dxa"/>
            <w:shd w:val="clear" w:color="auto" w:fill="auto"/>
            <w:vAlign w:val="center"/>
          </w:tcPr>
          <w:p w:rsidR="00A13839" w:rsidRPr="00A13839" w:rsidP="00326B70" w14:paraId="4FEA89DB" w14:textId="2CD318D0">
            <w:pPr>
              <w:pStyle w:val="RTableTextAbt"/>
              <w:rPr>
                <w:rFonts w:ascii="Arial" w:hAnsi="Arial" w:cs="Arial"/>
              </w:rPr>
            </w:pPr>
            <w:r w:rsidRPr="00B96328">
              <w:rPr>
                <w:rFonts w:ascii="Arial" w:hAnsi="Arial" w:cs="Arial"/>
              </w:rPr>
              <w:t>3.13</w:t>
            </w:r>
          </w:p>
        </w:tc>
        <w:tc>
          <w:tcPr>
            <w:tcW w:w="1350" w:type="dxa"/>
            <w:shd w:val="clear" w:color="auto" w:fill="auto"/>
            <w:vAlign w:val="center"/>
          </w:tcPr>
          <w:p w:rsidR="00A13839" w:rsidRPr="00A13839" w:rsidP="00326B70" w14:paraId="73B76E12" w14:textId="396BA859">
            <w:pPr>
              <w:pStyle w:val="RTableTextAbt"/>
              <w:rPr>
                <w:rFonts w:ascii="Arial" w:hAnsi="Arial" w:cs="Arial"/>
              </w:rPr>
            </w:pPr>
            <w:r w:rsidRPr="00B96328">
              <w:rPr>
                <w:rFonts w:ascii="Arial" w:hAnsi="Arial" w:cs="Arial"/>
              </w:rPr>
              <w:t xml:space="preserve">$346.65 </w:t>
            </w:r>
          </w:p>
        </w:tc>
        <w:tc>
          <w:tcPr>
            <w:tcW w:w="1530" w:type="dxa"/>
            <w:shd w:val="clear" w:color="auto" w:fill="auto"/>
            <w:vAlign w:val="center"/>
          </w:tcPr>
          <w:p w:rsidR="00A13839" w:rsidRPr="00A13839" w:rsidP="00326B70" w14:paraId="5F06AEBC" w14:textId="72262E6D">
            <w:pPr>
              <w:pStyle w:val="RTableTextAbt"/>
              <w:rPr>
                <w:rFonts w:ascii="Arial" w:hAnsi="Arial" w:cs="Arial"/>
              </w:rPr>
            </w:pPr>
            <w:r w:rsidRPr="00B96328">
              <w:rPr>
                <w:rFonts w:ascii="Arial" w:hAnsi="Arial" w:cs="Arial"/>
              </w:rPr>
              <w:t xml:space="preserve">$0.00 </w:t>
            </w:r>
          </w:p>
        </w:tc>
        <w:tc>
          <w:tcPr>
            <w:tcW w:w="1260" w:type="dxa"/>
            <w:shd w:val="clear" w:color="auto" w:fill="auto"/>
            <w:vAlign w:val="center"/>
          </w:tcPr>
          <w:p w:rsidR="00A13839" w:rsidRPr="00A13839" w:rsidP="00326B70" w14:paraId="1E6A486D" w14:textId="3DD01278">
            <w:pPr>
              <w:pStyle w:val="RTableTextAbt"/>
              <w:rPr>
                <w:rFonts w:ascii="Arial" w:hAnsi="Arial" w:cs="Arial"/>
              </w:rPr>
            </w:pPr>
            <w:r w:rsidRPr="00B96328">
              <w:rPr>
                <w:rFonts w:ascii="Arial" w:hAnsi="Arial" w:cs="Arial"/>
              </w:rPr>
              <w:t xml:space="preserve">$346.65 </w:t>
            </w:r>
          </w:p>
        </w:tc>
      </w:tr>
      <w:tr w14:paraId="0A5A17C3" w14:textId="77777777" w:rsidTr="003C73B7">
        <w:tblPrEx>
          <w:tblW w:w="9450" w:type="dxa"/>
          <w:jc w:val="right"/>
          <w:tblLayout w:type="fixed"/>
          <w:tblLook w:val="04A0"/>
        </w:tblPrEx>
        <w:trPr>
          <w:trHeight w:val="290"/>
          <w:jc w:val="right"/>
        </w:trPr>
        <w:tc>
          <w:tcPr>
            <w:tcW w:w="2070" w:type="dxa"/>
            <w:tcBorders>
              <w:bottom w:val="triple" w:sz="4" w:space="0" w:color="auto"/>
            </w:tcBorders>
            <w:shd w:val="clear" w:color="auto" w:fill="auto"/>
            <w:vAlign w:val="center"/>
            <w:hideMark/>
          </w:tcPr>
          <w:p w:rsidR="00A13839" w:rsidRPr="000C09A8" w:rsidP="00326B70" w14:paraId="57DC716C" w14:textId="77777777">
            <w:pPr>
              <w:pStyle w:val="LTableTextAbt"/>
              <w:spacing w:before="0" w:after="0"/>
              <w:rPr>
                <w:rFonts w:ascii="Arial" w:hAnsi="Arial" w:cs="Arial"/>
              </w:rPr>
            </w:pPr>
            <w:r w:rsidRPr="000C09A8">
              <w:rPr>
                <w:rFonts w:ascii="Arial" w:hAnsi="Arial" w:cs="Arial"/>
              </w:rPr>
              <w:t>Review of CBI Claim Substantiations for CBI claims (per Report)</w:t>
            </w:r>
          </w:p>
        </w:tc>
        <w:tc>
          <w:tcPr>
            <w:tcW w:w="1170" w:type="dxa"/>
            <w:tcBorders>
              <w:bottom w:val="triple" w:sz="4" w:space="0" w:color="auto"/>
            </w:tcBorders>
            <w:shd w:val="clear" w:color="auto" w:fill="auto"/>
            <w:vAlign w:val="center"/>
          </w:tcPr>
          <w:p w:rsidR="00A13839" w:rsidRPr="00A13839" w:rsidP="00326B70" w14:paraId="3EF8219D" w14:textId="72615DA2">
            <w:pPr>
              <w:pStyle w:val="RTableTextAbt"/>
              <w:rPr>
                <w:rFonts w:ascii="Arial" w:hAnsi="Arial" w:cs="Arial"/>
              </w:rPr>
            </w:pPr>
            <w:r w:rsidRPr="00B96328">
              <w:rPr>
                <w:rFonts w:ascii="Arial" w:hAnsi="Arial" w:cs="Arial"/>
              </w:rPr>
              <w:t>0.08</w:t>
            </w:r>
          </w:p>
        </w:tc>
        <w:tc>
          <w:tcPr>
            <w:tcW w:w="1080" w:type="dxa"/>
            <w:tcBorders>
              <w:bottom w:val="triple" w:sz="4" w:space="0" w:color="auto"/>
            </w:tcBorders>
            <w:shd w:val="clear" w:color="auto" w:fill="auto"/>
            <w:vAlign w:val="center"/>
          </w:tcPr>
          <w:p w:rsidR="00A13839" w:rsidRPr="00A13839" w:rsidP="00326B70" w14:paraId="502E54A8" w14:textId="1C51FA1A">
            <w:pPr>
              <w:pStyle w:val="RTableTextAbt"/>
              <w:rPr>
                <w:rFonts w:ascii="Arial" w:hAnsi="Arial" w:cs="Arial"/>
              </w:rPr>
            </w:pPr>
            <w:r w:rsidRPr="00B96328">
              <w:rPr>
                <w:rFonts w:ascii="Arial" w:hAnsi="Arial" w:cs="Arial"/>
              </w:rPr>
              <w:t>0.24</w:t>
            </w:r>
          </w:p>
        </w:tc>
        <w:tc>
          <w:tcPr>
            <w:tcW w:w="990" w:type="dxa"/>
            <w:tcBorders>
              <w:bottom w:val="triple" w:sz="4" w:space="0" w:color="auto"/>
            </w:tcBorders>
            <w:shd w:val="clear" w:color="auto" w:fill="auto"/>
            <w:vAlign w:val="center"/>
          </w:tcPr>
          <w:p w:rsidR="00A13839" w:rsidRPr="00A13839" w:rsidP="00326B70" w14:paraId="1C729BF5" w14:textId="0FF480CE">
            <w:pPr>
              <w:pStyle w:val="RTableTextAbt"/>
              <w:rPr>
                <w:rFonts w:ascii="Arial" w:hAnsi="Arial" w:cs="Arial"/>
              </w:rPr>
            </w:pPr>
            <w:r w:rsidRPr="00B96328">
              <w:rPr>
                <w:rFonts w:ascii="Arial" w:hAnsi="Arial" w:cs="Arial"/>
              </w:rPr>
              <w:t>0.32</w:t>
            </w:r>
          </w:p>
        </w:tc>
        <w:tc>
          <w:tcPr>
            <w:tcW w:w="1350" w:type="dxa"/>
            <w:tcBorders>
              <w:bottom w:val="triple" w:sz="4" w:space="0" w:color="auto"/>
            </w:tcBorders>
            <w:shd w:val="clear" w:color="auto" w:fill="auto"/>
            <w:vAlign w:val="center"/>
          </w:tcPr>
          <w:p w:rsidR="00A13839" w:rsidRPr="00A13839" w:rsidP="00326B70" w14:paraId="73D5C132" w14:textId="31FE0BA5">
            <w:pPr>
              <w:pStyle w:val="RTableTextAbt"/>
              <w:rPr>
                <w:rFonts w:ascii="Arial" w:hAnsi="Arial" w:cs="Arial"/>
              </w:rPr>
            </w:pPr>
            <w:r w:rsidRPr="00B96328">
              <w:rPr>
                <w:rFonts w:ascii="Arial" w:hAnsi="Arial" w:cs="Arial"/>
              </w:rPr>
              <w:t xml:space="preserve">$8.86 </w:t>
            </w:r>
          </w:p>
        </w:tc>
        <w:tc>
          <w:tcPr>
            <w:tcW w:w="1530" w:type="dxa"/>
            <w:tcBorders>
              <w:bottom w:val="triple" w:sz="4" w:space="0" w:color="auto"/>
            </w:tcBorders>
            <w:shd w:val="clear" w:color="auto" w:fill="auto"/>
            <w:vAlign w:val="center"/>
          </w:tcPr>
          <w:p w:rsidR="00A13839" w:rsidRPr="00A13839" w:rsidP="00326B70" w14:paraId="6A618808" w14:textId="7A11843E">
            <w:pPr>
              <w:pStyle w:val="RTableTextAbt"/>
              <w:rPr>
                <w:rFonts w:ascii="Arial" w:hAnsi="Arial" w:cs="Arial"/>
              </w:rPr>
            </w:pPr>
            <w:r w:rsidRPr="00B96328">
              <w:rPr>
                <w:rFonts w:ascii="Arial" w:hAnsi="Arial" w:cs="Arial"/>
              </w:rPr>
              <w:t xml:space="preserve">$31.41 </w:t>
            </w:r>
          </w:p>
        </w:tc>
        <w:tc>
          <w:tcPr>
            <w:tcW w:w="1260" w:type="dxa"/>
            <w:tcBorders>
              <w:bottom w:val="triple" w:sz="4" w:space="0" w:color="auto"/>
            </w:tcBorders>
            <w:shd w:val="clear" w:color="auto" w:fill="auto"/>
            <w:vAlign w:val="center"/>
          </w:tcPr>
          <w:p w:rsidR="00A13839" w:rsidRPr="00A13839" w:rsidP="00326B70" w14:paraId="3AAC9843" w14:textId="0D0B2D6C">
            <w:pPr>
              <w:pStyle w:val="RTableTextAbt"/>
              <w:rPr>
                <w:rFonts w:ascii="Arial" w:hAnsi="Arial" w:cs="Arial"/>
              </w:rPr>
            </w:pPr>
            <w:r w:rsidRPr="00B96328">
              <w:rPr>
                <w:rFonts w:ascii="Arial" w:hAnsi="Arial" w:cs="Arial"/>
              </w:rPr>
              <w:t xml:space="preserve">$40.27 </w:t>
            </w:r>
          </w:p>
        </w:tc>
      </w:tr>
      <w:tr w14:paraId="3FB32EA7" w14:textId="77777777" w:rsidTr="003C73B7">
        <w:tblPrEx>
          <w:tblW w:w="9450" w:type="dxa"/>
          <w:jc w:val="right"/>
          <w:tblLayout w:type="fixed"/>
          <w:tblLook w:val="04A0"/>
        </w:tblPrEx>
        <w:trPr>
          <w:trHeight w:val="290"/>
          <w:jc w:val="right"/>
        </w:trPr>
        <w:tc>
          <w:tcPr>
            <w:tcW w:w="2070" w:type="dxa"/>
            <w:tcBorders>
              <w:top w:val="triple" w:sz="4" w:space="0" w:color="auto"/>
            </w:tcBorders>
            <w:shd w:val="clear" w:color="auto" w:fill="auto"/>
            <w:vAlign w:val="center"/>
            <w:hideMark/>
          </w:tcPr>
          <w:p w:rsidR="00823728" w:rsidRPr="000C09A8" w:rsidP="00326B70" w14:paraId="3D4E4A03" w14:textId="72BFAD66">
            <w:pPr>
              <w:pStyle w:val="LTableTextAbt"/>
              <w:spacing w:before="0" w:after="0"/>
              <w:rPr>
                <w:rFonts w:ascii="Arial" w:hAnsi="Arial" w:cs="Arial"/>
              </w:rPr>
            </w:pPr>
            <w:r w:rsidRPr="000C09A8">
              <w:rPr>
                <w:rFonts w:ascii="Arial" w:hAnsi="Arial" w:cs="Arial"/>
              </w:rPr>
              <w:t>Total (</w:t>
            </w:r>
            <w:r w:rsidRPr="000C09A8">
              <w:rPr>
                <w:rFonts w:ascii="Arial" w:hAnsi="Arial" w:cs="Arial"/>
                <w:b/>
                <w:color w:val="auto"/>
              </w:rPr>
              <w:t>x 2</w:t>
            </w:r>
            <w:r>
              <w:rPr>
                <w:rFonts w:ascii="Arial" w:hAnsi="Arial" w:cs="Arial"/>
                <w:b/>
                <w:color w:val="auto"/>
              </w:rPr>
              <w:t>68</w:t>
            </w:r>
            <w:r w:rsidRPr="000C09A8">
              <w:rPr>
                <w:rFonts w:ascii="Arial" w:hAnsi="Arial" w:cs="Arial"/>
                <w:b/>
                <w:color w:val="auto"/>
              </w:rPr>
              <w:t xml:space="preserve"> reports</w:t>
            </w:r>
            <w:r w:rsidR="000F3D59">
              <w:rPr>
                <w:rFonts w:ascii="Arial" w:hAnsi="Arial" w:cs="Arial"/>
                <w:b/>
                <w:color w:val="auto"/>
              </w:rPr>
              <w:t>, Average Estimate</w:t>
            </w:r>
            <w:r w:rsidRPr="000C09A8">
              <w:rPr>
                <w:rFonts w:ascii="Arial" w:hAnsi="Arial" w:cs="Arial"/>
              </w:rPr>
              <w:t>)</w:t>
            </w:r>
          </w:p>
        </w:tc>
        <w:tc>
          <w:tcPr>
            <w:tcW w:w="1170" w:type="dxa"/>
            <w:tcBorders>
              <w:top w:val="nil"/>
              <w:left w:val="single" w:sz="4" w:space="0" w:color="auto"/>
              <w:bottom w:val="single" w:sz="4" w:space="0" w:color="auto"/>
              <w:right w:val="single" w:sz="4" w:space="0" w:color="auto"/>
            </w:tcBorders>
            <w:shd w:val="clear" w:color="auto" w:fill="auto"/>
          </w:tcPr>
          <w:p w:rsidR="00823728" w:rsidRPr="00A13839" w:rsidP="00326B70" w14:paraId="7F7A3B70" w14:textId="4E34922B">
            <w:pPr>
              <w:pStyle w:val="RTableTextAbt"/>
              <w:rPr>
                <w:rFonts w:ascii="Arial" w:hAnsi="Arial" w:cs="Arial"/>
                <w:highlight w:val="cyan"/>
              </w:rPr>
            </w:pPr>
            <w:r w:rsidRPr="00B96328">
              <w:rPr>
                <w:rFonts w:ascii="Arial" w:hAnsi="Arial" w:cs="Arial"/>
              </w:rPr>
              <w:t>860</w:t>
            </w:r>
          </w:p>
        </w:tc>
        <w:tc>
          <w:tcPr>
            <w:tcW w:w="1080" w:type="dxa"/>
            <w:tcBorders>
              <w:top w:val="nil"/>
              <w:left w:val="nil"/>
              <w:bottom w:val="single" w:sz="4" w:space="0" w:color="auto"/>
              <w:right w:val="single" w:sz="4" w:space="0" w:color="auto"/>
            </w:tcBorders>
            <w:shd w:val="clear" w:color="auto" w:fill="auto"/>
          </w:tcPr>
          <w:p w:rsidR="00823728" w:rsidRPr="00A13839" w:rsidP="00326B70" w14:paraId="0F473C8A" w14:textId="51D86665">
            <w:pPr>
              <w:pStyle w:val="RTableTextAbt"/>
              <w:rPr>
                <w:rFonts w:ascii="Arial" w:hAnsi="Arial" w:cs="Arial"/>
                <w:highlight w:val="cyan"/>
              </w:rPr>
            </w:pPr>
            <w:r w:rsidRPr="00B96328">
              <w:rPr>
                <w:rFonts w:ascii="Arial" w:hAnsi="Arial" w:cs="Arial"/>
              </w:rPr>
              <w:t>64</w:t>
            </w:r>
          </w:p>
        </w:tc>
        <w:tc>
          <w:tcPr>
            <w:tcW w:w="990" w:type="dxa"/>
            <w:tcBorders>
              <w:top w:val="nil"/>
              <w:left w:val="nil"/>
              <w:bottom w:val="single" w:sz="4" w:space="0" w:color="auto"/>
              <w:right w:val="single" w:sz="4" w:space="0" w:color="auto"/>
            </w:tcBorders>
            <w:shd w:val="clear" w:color="auto" w:fill="auto"/>
          </w:tcPr>
          <w:p w:rsidR="00823728" w:rsidRPr="00A13839" w:rsidP="00326B70" w14:paraId="3AEA2F8F" w14:textId="75DD0FC6">
            <w:pPr>
              <w:pStyle w:val="RTableTextAbt"/>
              <w:rPr>
                <w:rFonts w:ascii="Arial" w:hAnsi="Arial" w:cs="Arial"/>
                <w:highlight w:val="cyan"/>
              </w:rPr>
            </w:pPr>
            <w:r w:rsidRPr="00DE66D8">
              <w:rPr>
                <w:rFonts w:ascii="Arial" w:hAnsi="Arial" w:cs="Arial"/>
              </w:rPr>
              <w:t>925</w:t>
            </w:r>
          </w:p>
        </w:tc>
        <w:tc>
          <w:tcPr>
            <w:tcW w:w="1350" w:type="dxa"/>
            <w:tcBorders>
              <w:top w:val="nil"/>
              <w:left w:val="nil"/>
              <w:bottom w:val="single" w:sz="4" w:space="0" w:color="auto"/>
              <w:right w:val="single" w:sz="4" w:space="0" w:color="auto"/>
            </w:tcBorders>
            <w:shd w:val="clear" w:color="auto" w:fill="auto"/>
          </w:tcPr>
          <w:p w:rsidR="00823728" w:rsidRPr="00A13839" w:rsidP="00326B70" w14:paraId="452F47FB" w14:textId="3CB30C07">
            <w:pPr>
              <w:pStyle w:val="RTableTextAbt"/>
              <w:rPr>
                <w:rFonts w:ascii="Arial" w:hAnsi="Arial" w:cs="Arial"/>
                <w:highlight w:val="cyan"/>
              </w:rPr>
            </w:pPr>
            <w:r w:rsidRPr="00DE66D8">
              <w:rPr>
                <w:rFonts w:ascii="Arial" w:hAnsi="Arial" w:cs="Arial"/>
              </w:rPr>
              <w:t xml:space="preserve">$95,276 </w:t>
            </w:r>
          </w:p>
        </w:tc>
        <w:tc>
          <w:tcPr>
            <w:tcW w:w="1530" w:type="dxa"/>
            <w:tcBorders>
              <w:top w:val="nil"/>
              <w:left w:val="nil"/>
              <w:bottom w:val="single" w:sz="4" w:space="0" w:color="auto"/>
              <w:right w:val="single" w:sz="4" w:space="0" w:color="auto"/>
            </w:tcBorders>
            <w:shd w:val="clear" w:color="auto" w:fill="auto"/>
          </w:tcPr>
          <w:p w:rsidR="00823728" w:rsidRPr="00A13839" w:rsidP="00326B70" w14:paraId="41E94984" w14:textId="3BE12E01">
            <w:pPr>
              <w:pStyle w:val="RTableTextAbt"/>
              <w:rPr>
                <w:rFonts w:ascii="Arial" w:hAnsi="Arial" w:cs="Arial"/>
                <w:highlight w:val="cyan"/>
              </w:rPr>
            </w:pPr>
            <w:r w:rsidRPr="00DE66D8">
              <w:rPr>
                <w:rFonts w:ascii="Arial" w:hAnsi="Arial" w:cs="Arial"/>
              </w:rPr>
              <w:t xml:space="preserve">$8,418 </w:t>
            </w:r>
          </w:p>
        </w:tc>
        <w:tc>
          <w:tcPr>
            <w:tcW w:w="1260" w:type="dxa"/>
            <w:tcBorders>
              <w:top w:val="nil"/>
              <w:left w:val="nil"/>
              <w:bottom w:val="single" w:sz="4" w:space="0" w:color="auto"/>
              <w:right w:val="single" w:sz="4" w:space="0" w:color="auto"/>
            </w:tcBorders>
            <w:shd w:val="clear" w:color="auto" w:fill="auto"/>
          </w:tcPr>
          <w:p w:rsidR="00823728" w:rsidRPr="00A13839" w:rsidP="00326B70" w14:paraId="2DB624EC" w14:textId="48AE9E73">
            <w:pPr>
              <w:pStyle w:val="RTableTextAbt"/>
              <w:rPr>
                <w:rFonts w:ascii="Arial" w:hAnsi="Arial" w:cs="Arial"/>
                <w:highlight w:val="cyan"/>
              </w:rPr>
            </w:pPr>
            <w:r w:rsidRPr="00DE66D8">
              <w:rPr>
                <w:rFonts w:ascii="Arial" w:hAnsi="Arial" w:cs="Arial"/>
              </w:rPr>
              <w:t xml:space="preserve">$103,694 </w:t>
            </w:r>
          </w:p>
        </w:tc>
      </w:tr>
      <w:tr w14:paraId="4923871B" w14:textId="77777777" w:rsidTr="0073096B">
        <w:tblPrEx>
          <w:tblW w:w="9450" w:type="dxa"/>
          <w:jc w:val="right"/>
          <w:tblLayout w:type="fixed"/>
          <w:tblLook w:val="04A0"/>
        </w:tblPrEx>
        <w:trPr>
          <w:trHeight w:val="280"/>
          <w:jc w:val="right"/>
        </w:trPr>
        <w:tc>
          <w:tcPr>
            <w:tcW w:w="2070" w:type="dxa"/>
            <w:shd w:val="clear" w:color="auto" w:fill="auto"/>
            <w:vAlign w:val="center"/>
          </w:tcPr>
          <w:p w:rsidR="0073096B" w:rsidRPr="000C09A8" w:rsidP="0073096B" w14:paraId="7658FBB9" w14:textId="51D99163">
            <w:pPr>
              <w:pStyle w:val="LTableTextAbt"/>
              <w:spacing w:before="0" w:after="0"/>
              <w:rPr>
                <w:rFonts w:ascii="Arial" w:hAnsi="Arial" w:cs="Arial"/>
                <w:bCs w:val="0"/>
              </w:rPr>
            </w:pPr>
            <w:r w:rsidRPr="00B85320">
              <w:rPr>
                <w:rFonts w:ascii="Arial" w:hAnsi="Arial" w:cs="Arial"/>
              </w:rPr>
              <w:t>Total</w:t>
            </w:r>
            <w:r w:rsidRPr="00B85320">
              <w:rPr>
                <w:rFonts w:ascii="Arial" w:hAnsi="Arial" w:cs="Arial"/>
                <w:i/>
                <w:iCs/>
              </w:rPr>
              <w:t xml:space="preserve"> (</w:t>
            </w:r>
            <w:r w:rsidRPr="00B85320">
              <w:rPr>
                <w:rFonts w:ascii="Arial" w:hAnsi="Arial" w:cs="Arial"/>
                <w:b/>
                <w:bCs w:val="0"/>
              </w:rPr>
              <w:t>x 1,126 reports, Upper Bound Estimate</w:t>
            </w:r>
            <w:r w:rsidRPr="00B85320">
              <w:rPr>
                <w:rFonts w:ascii="Arial" w:hAnsi="Arial" w:cs="Arial"/>
                <w:i/>
                <w:iCs/>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3096B" w:rsidRPr="00DE66D8" w:rsidP="0073096B" w14:paraId="4EBDD108" w14:textId="22AB6E30">
            <w:pPr>
              <w:pStyle w:val="RTableTextAbt"/>
              <w:rPr>
                <w:rFonts w:ascii="Arial" w:hAnsi="Arial" w:cs="Arial"/>
              </w:rPr>
            </w:pPr>
            <w:r w:rsidRPr="00B85320">
              <w:rPr>
                <w:rFonts w:ascii="Arial" w:hAnsi="Arial" w:cs="Arial"/>
                <w:i/>
                <w:iCs/>
              </w:rPr>
              <w:t>3,616</w:t>
            </w:r>
          </w:p>
        </w:tc>
        <w:tc>
          <w:tcPr>
            <w:tcW w:w="1080" w:type="dxa"/>
            <w:tcBorders>
              <w:top w:val="single" w:sz="4" w:space="0" w:color="auto"/>
              <w:left w:val="nil"/>
              <w:bottom w:val="single" w:sz="4" w:space="0" w:color="auto"/>
              <w:right w:val="single" w:sz="4" w:space="0" w:color="auto"/>
            </w:tcBorders>
            <w:shd w:val="clear" w:color="auto" w:fill="auto"/>
            <w:vAlign w:val="center"/>
          </w:tcPr>
          <w:p w:rsidR="0073096B" w:rsidRPr="00DE66D8" w:rsidP="0073096B" w14:paraId="6308FE3D" w14:textId="25AEFE82">
            <w:pPr>
              <w:pStyle w:val="RTableTextAbt"/>
              <w:rPr>
                <w:rFonts w:ascii="Arial" w:hAnsi="Arial" w:cs="Arial"/>
              </w:rPr>
            </w:pPr>
            <w:r w:rsidRPr="00B85320">
              <w:rPr>
                <w:rFonts w:ascii="Arial" w:hAnsi="Arial" w:cs="Arial"/>
                <w:i/>
                <w:iCs/>
              </w:rPr>
              <w:t>270</w:t>
            </w:r>
          </w:p>
        </w:tc>
        <w:tc>
          <w:tcPr>
            <w:tcW w:w="990" w:type="dxa"/>
            <w:tcBorders>
              <w:top w:val="single" w:sz="4" w:space="0" w:color="auto"/>
              <w:left w:val="nil"/>
              <w:bottom w:val="single" w:sz="4" w:space="0" w:color="auto"/>
              <w:right w:val="single" w:sz="4" w:space="0" w:color="auto"/>
            </w:tcBorders>
            <w:shd w:val="clear" w:color="auto" w:fill="auto"/>
            <w:vAlign w:val="center"/>
          </w:tcPr>
          <w:p w:rsidR="0073096B" w:rsidRPr="00DE66D8" w:rsidP="0073096B" w14:paraId="6B0E5E4C" w14:textId="45667740">
            <w:pPr>
              <w:pStyle w:val="RTableTextAbt"/>
              <w:rPr>
                <w:rFonts w:ascii="Arial" w:hAnsi="Arial" w:cs="Arial"/>
              </w:rPr>
            </w:pPr>
            <w:r w:rsidRPr="00B85320">
              <w:rPr>
                <w:rFonts w:ascii="Arial" w:hAnsi="Arial" w:cs="Arial"/>
                <w:i/>
                <w:iCs/>
              </w:rPr>
              <w:t>3,886</w:t>
            </w:r>
          </w:p>
        </w:tc>
        <w:tc>
          <w:tcPr>
            <w:tcW w:w="1350" w:type="dxa"/>
            <w:tcBorders>
              <w:top w:val="single" w:sz="4" w:space="0" w:color="auto"/>
              <w:left w:val="nil"/>
              <w:bottom w:val="single" w:sz="4" w:space="0" w:color="auto"/>
              <w:right w:val="single" w:sz="4" w:space="0" w:color="auto"/>
            </w:tcBorders>
            <w:shd w:val="clear" w:color="auto" w:fill="auto"/>
            <w:vAlign w:val="center"/>
          </w:tcPr>
          <w:p w:rsidR="0073096B" w:rsidRPr="00DE66D8" w:rsidP="0073096B" w14:paraId="21447848" w14:textId="06F9AAAB">
            <w:pPr>
              <w:pStyle w:val="RTableTextAbt"/>
              <w:rPr>
                <w:rFonts w:ascii="Arial" w:hAnsi="Arial" w:cs="Arial"/>
              </w:rPr>
            </w:pPr>
            <w:r w:rsidRPr="00B85320">
              <w:rPr>
                <w:rFonts w:ascii="Arial" w:hAnsi="Arial" w:cs="Arial"/>
                <w:i/>
                <w:iCs/>
              </w:rPr>
              <w:t xml:space="preserve">$400,440 </w:t>
            </w:r>
          </w:p>
        </w:tc>
        <w:tc>
          <w:tcPr>
            <w:tcW w:w="1530" w:type="dxa"/>
            <w:tcBorders>
              <w:top w:val="single" w:sz="4" w:space="0" w:color="auto"/>
              <w:left w:val="nil"/>
              <w:bottom w:val="single" w:sz="4" w:space="0" w:color="auto"/>
              <w:right w:val="single" w:sz="4" w:space="0" w:color="auto"/>
            </w:tcBorders>
            <w:shd w:val="clear" w:color="auto" w:fill="auto"/>
            <w:vAlign w:val="center"/>
          </w:tcPr>
          <w:p w:rsidR="0073096B" w:rsidRPr="00DE66D8" w:rsidP="0073096B" w14:paraId="5AC72092" w14:textId="3315227C">
            <w:pPr>
              <w:pStyle w:val="RTableTextAbt"/>
              <w:rPr>
                <w:rFonts w:ascii="Arial" w:hAnsi="Arial" w:cs="Arial"/>
              </w:rPr>
            </w:pPr>
            <w:r w:rsidRPr="00B85320">
              <w:rPr>
                <w:rFonts w:ascii="Arial" w:hAnsi="Arial" w:cs="Arial"/>
                <w:i/>
                <w:iCs/>
              </w:rPr>
              <w:t xml:space="preserve">$35,379 </w:t>
            </w:r>
          </w:p>
        </w:tc>
        <w:tc>
          <w:tcPr>
            <w:tcW w:w="1260" w:type="dxa"/>
            <w:tcBorders>
              <w:top w:val="single" w:sz="4" w:space="0" w:color="auto"/>
              <w:left w:val="nil"/>
              <w:bottom w:val="single" w:sz="4" w:space="0" w:color="auto"/>
              <w:right w:val="single" w:sz="4" w:space="0" w:color="auto"/>
            </w:tcBorders>
            <w:shd w:val="clear" w:color="auto" w:fill="auto"/>
            <w:vAlign w:val="center"/>
          </w:tcPr>
          <w:p w:rsidR="0073096B" w:rsidRPr="00DE66D8" w:rsidP="0073096B" w14:paraId="243966A5" w14:textId="4CD8CA02">
            <w:pPr>
              <w:pStyle w:val="RTableTextAbt"/>
              <w:rPr>
                <w:rFonts w:ascii="Arial" w:hAnsi="Arial" w:cs="Arial"/>
              </w:rPr>
            </w:pPr>
            <w:r w:rsidRPr="00B85320">
              <w:rPr>
                <w:rFonts w:ascii="Arial" w:hAnsi="Arial" w:cs="Arial"/>
                <w:i/>
                <w:iCs/>
              </w:rPr>
              <w:t xml:space="preserve">$435,819 </w:t>
            </w:r>
          </w:p>
        </w:tc>
      </w:tr>
      <w:tr w14:paraId="1C99D5EA" w14:textId="77777777" w:rsidTr="003C73B7">
        <w:tblPrEx>
          <w:tblW w:w="9450" w:type="dxa"/>
          <w:jc w:val="right"/>
          <w:tblLayout w:type="fixed"/>
          <w:tblLook w:val="04A0"/>
        </w:tblPrEx>
        <w:trPr>
          <w:trHeight w:val="280"/>
          <w:jc w:val="right"/>
        </w:trPr>
        <w:tc>
          <w:tcPr>
            <w:tcW w:w="2070" w:type="dxa"/>
            <w:shd w:val="clear" w:color="auto" w:fill="auto"/>
            <w:vAlign w:val="center"/>
          </w:tcPr>
          <w:p w:rsidR="0073096B" w:rsidRPr="000C09A8" w:rsidP="0073096B" w14:paraId="581189FE" w14:textId="77777777">
            <w:pPr>
              <w:pStyle w:val="LTableTextAbt"/>
              <w:spacing w:before="0" w:after="0"/>
              <w:rPr>
                <w:rFonts w:ascii="Arial" w:hAnsi="Arial" w:cs="Arial"/>
                <w:bCs w:val="0"/>
              </w:rPr>
            </w:pPr>
            <w:r w:rsidRPr="000C09A8">
              <w:rPr>
                <w:rFonts w:ascii="Arial" w:hAnsi="Arial" w:cs="Arial"/>
                <w:bCs w:val="0"/>
              </w:rPr>
              <w:t>Reporting Tool and Guidance Development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3096B" w:rsidRPr="00A13839" w:rsidP="0073096B" w14:paraId="33E7C07F" w14:textId="6E01838E">
            <w:pPr>
              <w:pStyle w:val="RTableTextAbt"/>
              <w:rPr>
                <w:rFonts w:ascii="Arial" w:hAnsi="Arial" w:cs="Arial"/>
              </w:rPr>
            </w:pPr>
            <w:r w:rsidRPr="00DE66D8">
              <w:rPr>
                <w:rFonts w:ascii="Arial" w:hAnsi="Arial" w:cs="Arial"/>
              </w:rPr>
              <w:t>-</w:t>
            </w:r>
          </w:p>
        </w:tc>
        <w:tc>
          <w:tcPr>
            <w:tcW w:w="1080" w:type="dxa"/>
            <w:tcBorders>
              <w:top w:val="single" w:sz="4" w:space="0" w:color="auto"/>
              <w:left w:val="nil"/>
              <w:bottom w:val="single" w:sz="4" w:space="0" w:color="auto"/>
              <w:right w:val="single" w:sz="4" w:space="0" w:color="auto"/>
            </w:tcBorders>
            <w:shd w:val="clear" w:color="auto" w:fill="auto"/>
          </w:tcPr>
          <w:p w:rsidR="0073096B" w:rsidRPr="00A13839" w:rsidP="0073096B" w14:paraId="5CD09F34" w14:textId="4B20E05D">
            <w:pPr>
              <w:pStyle w:val="RTableTextAbt"/>
              <w:rPr>
                <w:rFonts w:ascii="Arial" w:hAnsi="Arial" w:cs="Arial"/>
              </w:rPr>
            </w:pPr>
            <w:r w:rsidRPr="00DE66D8">
              <w:rPr>
                <w:rFonts w:ascii="Arial" w:hAnsi="Arial" w:cs="Arial"/>
              </w:rPr>
              <w:t>-</w:t>
            </w:r>
          </w:p>
        </w:tc>
        <w:tc>
          <w:tcPr>
            <w:tcW w:w="990" w:type="dxa"/>
            <w:tcBorders>
              <w:top w:val="single" w:sz="4" w:space="0" w:color="auto"/>
              <w:left w:val="nil"/>
              <w:bottom w:val="single" w:sz="4" w:space="0" w:color="auto"/>
              <w:right w:val="single" w:sz="4" w:space="0" w:color="auto"/>
            </w:tcBorders>
            <w:shd w:val="clear" w:color="auto" w:fill="auto"/>
          </w:tcPr>
          <w:p w:rsidR="0073096B" w:rsidRPr="00A13839" w:rsidP="0073096B" w14:paraId="4A786A47" w14:textId="474C1A57">
            <w:pPr>
              <w:pStyle w:val="RTableTextAbt"/>
              <w:rPr>
                <w:rFonts w:ascii="Arial" w:hAnsi="Arial" w:cs="Arial"/>
                <w:b/>
                <w:bCs w:val="0"/>
              </w:rPr>
            </w:pPr>
            <w:r w:rsidRPr="00DE66D8">
              <w:rPr>
                <w:rFonts w:ascii="Arial" w:hAnsi="Arial" w:cs="Arial"/>
              </w:rPr>
              <w:t>-</w:t>
            </w:r>
          </w:p>
        </w:tc>
        <w:tc>
          <w:tcPr>
            <w:tcW w:w="1350" w:type="dxa"/>
            <w:tcBorders>
              <w:top w:val="single" w:sz="4" w:space="0" w:color="auto"/>
              <w:left w:val="nil"/>
              <w:bottom w:val="single" w:sz="4" w:space="0" w:color="auto"/>
              <w:right w:val="single" w:sz="4" w:space="0" w:color="auto"/>
            </w:tcBorders>
            <w:shd w:val="clear" w:color="auto" w:fill="auto"/>
          </w:tcPr>
          <w:p w:rsidR="0073096B" w:rsidRPr="00A13839" w:rsidP="0073096B" w14:paraId="0891FE36" w14:textId="4D9B4B2E">
            <w:pPr>
              <w:pStyle w:val="RTableTextAbt"/>
              <w:rPr>
                <w:rFonts w:ascii="Arial" w:hAnsi="Arial" w:cs="Arial"/>
              </w:rPr>
            </w:pPr>
            <w:r w:rsidRPr="00DE66D8">
              <w:rPr>
                <w:rFonts w:ascii="Arial" w:hAnsi="Arial" w:cs="Arial"/>
              </w:rPr>
              <w:t>-</w:t>
            </w:r>
          </w:p>
        </w:tc>
        <w:tc>
          <w:tcPr>
            <w:tcW w:w="1530" w:type="dxa"/>
            <w:tcBorders>
              <w:top w:val="single" w:sz="4" w:space="0" w:color="auto"/>
              <w:left w:val="nil"/>
              <w:bottom w:val="single" w:sz="4" w:space="0" w:color="auto"/>
              <w:right w:val="single" w:sz="4" w:space="0" w:color="auto"/>
            </w:tcBorders>
            <w:shd w:val="clear" w:color="auto" w:fill="auto"/>
          </w:tcPr>
          <w:p w:rsidR="0073096B" w:rsidRPr="00A13839" w:rsidP="0073096B" w14:paraId="63D21DFB" w14:textId="599FF9CD">
            <w:pPr>
              <w:pStyle w:val="RTableTextAbt"/>
              <w:rPr>
                <w:rFonts w:ascii="Arial" w:hAnsi="Arial" w:cs="Arial"/>
              </w:rPr>
            </w:pPr>
            <w:r w:rsidRPr="00DE66D8">
              <w:rPr>
                <w:rFonts w:ascii="Arial" w:hAnsi="Arial" w:cs="Arial"/>
              </w:rPr>
              <w:t>-</w:t>
            </w:r>
          </w:p>
        </w:tc>
        <w:tc>
          <w:tcPr>
            <w:tcW w:w="1260" w:type="dxa"/>
            <w:tcBorders>
              <w:top w:val="single" w:sz="4" w:space="0" w:color="auto"/>
              <w:left w:val="nil"/>
              <w:bottom w:val="single" w:sz="4" w:space="0" w:color="auto"/>
              <w:right w:val="single" w:sz="4" w:space="0" w:color="auto"/>
            </w:tcBorders>
            <w:shd w:val="clear" w:color="auto" w:fill="auto"/>
          </w:tcPr>
          <w:p w:rsidR="0073096B" w:rsidRPr="00A13839" w:rsidP="0073096B" w14:paraId="0ED50126" w14:textId="693F225C">
            <w:pPr>
              <w:pStyle w:val="RTableTextAbt"/>
              <w:rPr>
                <w:rFonts w:ascii="Arial" w:hAnsi="Arial" w:cs="Arial"/>
              </w:rPr>
            </w:pPr>
            <w:r w:rsidRPr="00DE66D8">
              <w:rPr>
                <w:rFonts w:ascii="Arial" w:hAnsi="Arial" w:cs="Arial"/>
              </w:rPr>
              <w:t xml:space="preserve">$550,000 </w:t>
            </w:r>
          </w:p>
        </w:tc>
      </w:tr>
      <w:tr w14:paraId="58C5E2BC" w14:textId="77777777" w:rsidTr="003C73B7">
        <w:tblPrEx>
          <w:tblW w:w="9450" w:type="dxa"/>
          <w:jc w:val="right"/>
          <w:tblLayout w:type="fixed"/>
          <w:tblLook w:val="04A0"/>
        </w:tblPrEx>
        <w:trPr>
          <w:trHeight w:val="280"/>
          <w:jc w:val="right"/>
        </w:trPr>
        <w:tc>
          <w:tcPr>
            <w:tcW w:w="2070" w:type="dxa"/>
            <w:shd w:val="clear" w:color="auto" w:fill="auto"/>
            <w:vAlign w:val="center"/>
            <w:hideMark/>
          </w:tcPr>
          <w:p w:rsidR="0073096B" w:rsidRPr="000C09A8" w:rsidP="0073096B" w14:paraId="54B033F2" w14:textId="0164F378">
            <w:pPr>
              <w:pStyle w:val="LTableTextAbt"/>
              <w:spacing w:before="0" w:after="0"/>
              <w:rPr>
                <w:rFonts w:ascii="Arial" w:hAnsi="Arial" w:cs="Arial"/>
                <w:b/>
              </w:rPr>
            </w:pPr>
            <w:r w:rsidRPr="000C09A8">
              <w:rPr>
                <w:rFonts w:ascii="Arial" w:hAnsi="Arial" w:cs="Arial"/>
                <w:b/>
              </w:rPr>
              <w:t>Total Agency Hours and</w:t>
            </w:r>
            <w:r w:rsidRPr="000C09A8">
              <w:rPr>
                <w:rFonts w:ascii="Arial" w:hAnsi="Arial" w:cs="Arial"/>
                <w:b/>
                <w:color w:val="auto"/>
              </w:rPr>
              <w:t xml:space="preserve"> Cost</w:t>
            </w:r>
            <w:r>
              <w:rPr>
                <w:rFonts w:ascii="Arial" w:hAnsi="Arial" w:cs="Arial"/>
                <w:b/>
                <w:color w:val="auto"/>
              </w:rPr>
              <w:t>, Average Estimate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3096B" w:rsidRPr="00A13839" w:rsidP="0073096B" w14:paraId="06C59EC3" w14:textId="36160B0C">
            <w:pPr>
              <w:pStyle w:val="RTableTextAbt"/>
              <w:rPr>
                <w:rFonts w:ascii="Arial" w:hAnsi="Arial" w:cs="Arial"/>
                <w:b/>
                <w:bCs w:val="0"/>
                <w:highlight w:val="cyan"/>
              </w:rPr>
            </w:pPr>
            <w:r w:rsidRPr="00DE66D8">
              <w:rPr>
                <w:rFonts w:ascii="Arial" w:hAnsi="Arial" w:cs="Arial"/>
              </w:rPr>
              <w:t xml:space="preserve">860 </w:t>
            </w:r>
          </w:p>
        </w:tc>
        <w:tc>
          <w:tcPr>
            <w:tcW w:w="1080" w:type="dxa"/>
            <w:tcBorders>
              <w:top w:val="single" w:sz="4" w:space="0" w:color="auto"/>
              <w:left w:val="nil"/>
              <w:bottom w:val="single" w:sz="4" w:space="0" w:color="auto"/>
              <w:right w:val="single" w:sz="4" w:space="0" w:color="auto"/>
            </w:tcBorders>
            <w:shd w:val="clear" w:color="auto" w:fill="auto"/>
          </w:tcPr>
          <w:p w:rsidR="0073096B" w:rsidRPr="00A13839" w:rsidP="0073096B" w14:paraId="66685C21" w14:textId="06B2AD38">
            <w:pPr>
              <w:pStyle w:val="RTableTextAbt"/>
              <w:rPr>
                <w:rFonts w:ascii="Arial" w:hAnsi="Arial" w:cs="Arial"/>
                <w:b/>
                <w:bCs w:val="0"/>
                <w:highlight w:val="cyan"/>
              </w:rPr>
            </w:pPr>
            <w:r w:rsidRPr="00DE66D8">
              <w:rPr>
                <w:rFonts w:ascii="Arial" w:hAnsi="Arial" w:cs="Arial"/>
              </w:rPr>
              <w:t xml:space="preserve">64 </w:t>
            </w:r>
          </w:p>
        </w:tc>
        <w:tc>
          <w:tcPr>
            <w:tcW w:w="990" w:type="dxa"/>
            <w:tcBorders>
              <w:top w:val="single" w:sz="4" w:space="0" w:color="auto"/>
              <w:left w:val="nil"/>
              <w:bottom w:val="single" w:sz="4" w:space="0" w:color="auto"/>
              <w:right w:val="single" w:sz="4" w:space="0" w:color="auto"/>
            </w:tcBorders>
            <w:shd w:val="clear" w:color="auto" w:fill="auto"/>
          </w:tcPr>
          <w:p w:rsidR="0073096B" w:rsidRPr="00A13839" w:rsidP="0073096B" w14:paraId="4CA34E28" w14:textId="0FABF95D">
            <w:pPr>
              <w:pStyle w:val="RTableTextAbt"/>
              <w:rPr>
                <w:rFonts w:ascii="Arial" w:hAnsi="Arial" w:cs="Arial"/>
                <w:b/>
                <w:bCs w:val="0"/>
                <w:highlight w:val="cyan"/>
              </w:rPr>
            </w:pPr>
            <w:r w:rsidRPr="00DE66D8">
              <w:rPr>
                <w:rFonts w:ascii="Arial" w:hAnsi="Arial" w:cs="Arial"/>
              </w:rPr>
              <w:t xml:space="preserve">925 </w:t>
            </w:r>
          </w:p>
        </w:tc>
        <w:tc>
          <w:tcPr>
            <w:tcW w:w="1350" w:type="dxa"/>
            <w:tcBorders>
              <w:top w:val="single" w:sz="4" w:space="0" w:color="auto"/>
              <w:left w:val="nil"/>
              <w:bottom w:val="single" w:sz="4" w:space="0" w:color="auto"/>
              <w:right w:val="single" w:sz="4" w:space="0" w:color="auto"/>
            </w:tcBorders>
            <w:shd w:val="clear" w:color="auto" w:fill="auto"/>
          </w:tcPr>
          <w:p w:rsidR="0073096B" w:rsidRPr="00A13839" w:rsidP="0073096B" w14:paraId="2FFA2B26" w14:textId="538A2B38">
            <w:pPr>
              <w:pStyle w:val="RTableTextAbt"/>
              <w:rPr>
                <w:rFonts w:ascii="Arial" w:hAnsi="Arial" w:cs="Arial"/>
                <w:b/>
                <w:bCs w:val="0"/>
              </w:rPr>
            </w:pPr>
            <w:r w:rsidRPr="00DE66D8">
              <w:rPr>
                <w:rFonts w:ascii="Arial" w:hAnsi="Arial" w:cs="Arial"/>
              </w:rPr>
              <w:t xml:space="preserve">$95,276 </w:t>
            </w:r>
          </w:p>
        </w:tc>
        <w:tc>
          <w:tcPr>
            <w:tcW w:w="1530" w:type="dxa"/>
            <w:tcBorders>
              <w:top w:val="single" w:sz="4" w:space="0" w:color="auto"/>
              <w:left w:val="nil"/>
              <w:bottom w:val="single" w:sz="4" w:space="0" w:color="auto"/>
              <w:right w:val="single" w:sz="4" w:space="0" w:color="auto"/>
            </w:tcBorders>
            <w:shd w:val="clear" w:color="auto" w:fill="auto"/>
          </w:tcPr>
          <w:p w:rsidR="0073096B" w:rsidRPr="00A13839" w:rsidP="0073096B" w14:paraId="2B5629BF" w14:textId="76A8D34A">
            <w:pPr>
              <w:pStyle w:val="RTableTextAbt"/>
              <w:rPr>
                <w:rFonts w:ascii="Arial" w:hAnsi="Arial" w:cs="Arial"/>
                <w:b/>
                <w:bCs w:val="0"/>
                <w:highlight w:val="cyan"/>
              </w:rPr>
            </w:pPr>
            <w:r w:rsidRPr="00DE66D8">
              <w:rPr>
                <w:rFonts w:ascii="Arial" w:hAnsi="Arial" w:cs="Arial"/>
              </w:rPr>
              <w:t xml:space="preserve">$8,418 </w:t>
            </w:r>
          </w:p>
        </w:tc>
        <w:tc>
          <w:tcPr>
            <w:tcW w:w="1260" w:type="dxa"/>
            <w:tcBorders>
              <w:top w:val="single" w:sz="4" w:space="0" w:color="auto"/>
              <w:left w:val="nil"/>
              <w:bottom w:val="single" w:sz="4" w:space="0" w:color="auto"/>
              <w:right w:val="single" w:sz="4" w:space="0" w:color="auto"/>
            </w:tcBorders>
            <w:shd w:val="clear" w:color="auto" w:fill="auto"/>
          </w:tcPr>
          <w:p w:rsidR="0073096B" w:rsidRPr="00A13839" w:rsidP="0073096B" w14:paraId="238C4F2B" w14:textId="45BEB6D1">
            <w:pPr>
              <w:pStyle w:val="RTableTextAbt"/>
              <w:rPr>
                <w:rFonts w:ascii="Arial" w:hAnsi="Arial" w:cs="Arial"/>
                <w:b/>
                <w:bCs w:val="0"/>
                <w:highlight w:val="cyan"/>
              </w:rPr>
            </w:pPr>
            <w:r w:rsidRPr="00DE66D8">
              <w:rPr>
                <w:rFonts w:ascii="Arial" w:hAnsi="Arial" w:cs="Arial"/>
              </w:rPr>
              <w:t xml:space="preserve">$653,694 </w:t>
            </w:r>
          </w:p>
        </w:tc>
      </w:tr>
      <w:tr w14:paraId="12754392" w14:textId="77777777" w:rsidTr="00B85320">
        <w:tblPrEx>
          <w:tblW w:w="9450" w:type="dxa"/>
          <w:jc w:val="right"/>
          <w:tblLayout w:type="fixed"/>
          <w:tblLook w:val="04A0"/>
        </w:tblPrEx>
        <w:trPr>
          <w:trHeight w:val="280"/>
          <w:jc w:val="right"/>
        </w:trPr>
        <w:tc>
          <w:tcPr>
            <w:tcW w:w="2070" w:type="dxa"/>
            <w:shd w:val="clear" w:color="auto" w:fill="auto"/>
            <w:vAlign w:val="center"/>
          </w:tcPr>
          <w:p w:rsidR="0073096B" w:rsidRPr="00B85320" w:rsidP="0073096B" w14:paraId="202F7410" w14:textId="26389518">
            <w:pPr>
              <w:pStyle w:val="LTableTextAbt"/>
              <w:spacing w:before="0" w:after="0"/>
              <w:rPr>
                <w:rFonts w:ascii="Arial" w:hAnsi="Arial" w:cs="Arial"/>
                <w:b/>
              </w:rPr>
            </w:pPr>
            <w:r w:rsidRPr="00B85320">
              <w:rPr>
                <w:rFonts w:ascii="Arial" w:hAnsi="Arial" w:cs="Arial"/>
                <w:b/>
                <w:bCs w:val="0"/>
              </w:rPr>
              <w:t>Total Agency Hours and Cost, Upper Bound Estimate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3096B" w:rsidRPr="00B85320" w:rsidP="0073096B" w14:paraId="57844C7F" w14:textId="63BC9009">
            <w:pPr>
              <w:pStyle w:val="RTableTextAbt"/>
              <w:rPr>
                <w:rFonts w:ascii="Arial" w:hAnsi="Arial" w:cs="Arial"/>
              </w:rPr>
            </w:pPr>
            <w:r w:rsidRPr="00B85320">
              <w:rPr>
                <w:rFonts w:ascii="Arial" w:hAnsi="Arial" w:cs="Arial"/>
              </w:rPr>
              <w:t xml:space="preserve">3,616 </w:t>
            </w:r>
          </w:p>
        </w:tc>
        <w:tc>
          <w:tcPr>
            <w:tcW w:w="1080" w:type="dxa"/>
            <w:tcBorders>
              <w:top w:val="single" w:sz="4" w:space="0" w:color="auto"/>
              <w:left w:val="nil"/>
              <w:bottom w:val="single" w:sz="4" w:space="0" w:color="auto"/>
              <w:right w:val="single" w:sz="4" w:space="0" w:color="auto"/>
            </w:tcBorders>
            <w:shd w:val="clear" w:color="auto" w:fill="auto"/>
            <w:vAlign w:val="center"/>
          </w:tcPr>
          <w:p w:rsidR="0073096B" w:rsidRPr="00B85320" w:rsidP="0073096B" w14:paraId="0977974E" w14:textId="53EE8CB3">
            <w:pPr>
              <w:pStyle w:val="RTableTextAbt"/>
              <w:rPr>
                <w:rFonts w:ascii="Arial" w:hAnsi="Arial" w:cs="Arial"/>
              </w:rPr>
            </w:pPr>
            <w:r w:rsidRPr="00B85320">
              <w:rPr>
                <w:rFonts w:ascii="Arial" w:hAnsi="Arial" w:cs="Arial"/>
              </w:rPr>
              <w:t xml:space="preserve">270 </w:t>
            </w:r>
          </w:p>
        </w:tc>
        <w:tc>
          <w:tcPr>
            <w:tcW w:w="990" w:type="dxa"/>
            <w:tcBorders>
              <w:top w:val="single" w:sz="4" w:space="0" w:color="auto"/>
              <w:left w:val="nil"/>
              <w:bottom w:val="single" w:sz="4" w:space="0" w:color="auto"/>
              <w:right w:val="single" w:sz="4" w:space="0" w:color="auto"/>
            </w:tcBorders>
            <w:shd w:val="clear" w:color="auto" w:fill="auto"/>
            <w:vAlign w:val="center"/>
          </w:tcPr>
          <w:p w:rsidR="0073096B" w:rsidRPr="00B85320" w:rsidP="0073096B" w14:paraId="4BF445C8" w14:textId="01988A4B">
            <w:pPr>
              <w:pStyle w:val="RTableTextAbt"/>
              <w:rPr>
                <w:rFonts w:ascii="Arial" w:hAnsi="Arial" w:cs="Arial"/>
              </w:rPr>
            </w:pPr>
            <w:r w:rsidRPr="00B85320">
              <w:rPr>
                <w:rFonts w:ascii="Arial" w:hAnsi="Arial" w:cs="Arial"/>
              </w:rPr>
              <w:t xml:space="preserve">3,886 </w:t>
            </w:r>
          </w:p>
        </w:tc>
        <w:tc>
          <w:tcPr>
            <w:tcW w:w="1350" w:type="dxa"/>
            <w:tcBorders>
              <w:top w:val="single" w:sz="4" w:space="0" w:color="auto"/>
              <w:left w:val="nil"/>
              <w:bottom w:val="single" w:sz="4" w:space="0" w:color="auto"/>
              <w:right w:val="single" w:sz="4" w:space="0" w:color="auto"/>
            </w:tcBorders>
            <w:shd w:val="clear" w:color="auto" w:fill="auto"/>
            <w:vAlign w:val="center"/>
          </w:tcPr>
          <w:p w:rsidR="0073096B" w:rsidRPr="00B85320" w:rsidP="0073096B" w14:paraId="7525D734" w14:textId="53FE1BDD">
            <w:pPr>
              <w:pStyle w:val="RTableTextAbt"/>
              <w:rPr>
                <w:rFonts w:ascii="Arial" w:hAnsi="Arial" w:cs="Arial"/>
              </w:rPr>
            </w:pPr>
            <w:r w:rsidRPr="00B85320">
              <w:rPr>
                <w:rFonts w:ascii="Arial" w:hAnsi="Arial" w:cs="Arial"/>
              </w:rPr>
              <w:t xml:space="preserve">$400,440 </w:t>
            </w:r>
          </w:p>
        </w:tc>
        <w:tc>
          <w:tcPr>
            <w:tcW w:w="1530" w:type="dxa"/>
            <w:tcBorders>
              <w:top w:val="single" w:sz="4" w:space="0" w:color="auto"/>
              <w:left w:val="nil"/>
              <w:bottom w:val="single" w:sz="4" w:space="0" w:color="auto"/>
              <w:right w:val="single" w:sz="4" w:space="0" w:color="auto"/>
            </w:tcBorders>
            <w:shd w:val="clear" w:color="auto" w:fill="auto"/>
            <w:vAlign w:val="center"/>
          </w:tcPr>
          <w:p w:rsidR="0073096B" w:rsidRPr="00B85320" w:rsidP="0073096B" w14:paraId="47BDE605" w14:textId="567FC51A">
            <w:pPr>
              <w:pStyle w:val="RTableTextAbt"/>
              <w:rPr>
                <w:rFonts w:ascii="Arial" w:hAnsi="Arial" w:cs="Arial"/>
              </w:rPr>
            </w:pPr>
            <w:r w:rsidRPr="00B85320">
              <w:rPr>
                <w:rFonts w:ascii="Arial" w:hAnsi="Arial" w:cs="Arial"/>
              </w:rPr>
              <w:t xml:space="preserve">$35,379 </w:t>
            </w:r>
          </w:p>
        </w:tc>
        <w:tc>
          <w:tcPr>
            <w:tcW w:w="1260" w:type="dxa"/>
            <w:tcBorders>
              <w:top w:val="single" w:sz="4" w:space="0" w:color="auto"/>
              <w:left w:val="nil"/>
              <w:bottom w:val="single" w:sz="4" w:space="0" w:color="auto"/>
              <w:right w:val="single" w:sz="4" w:space="0" w:color="auto"/>
            </w:tcBorders>
            <w:shd w:val="clear" w:color="auto" w:fill="auto"/>
            <w:vAlign w:val="center"/>
          </w:tcPr>
          <w:p w:rsidR="0073096B" w:rsidRPr="00B85320" w:rsidP="0073096B" w14:paraId="5B2E18AB" w14:textId="2755262A">
            <w:pPr>
              <w:pStyle w:val="RTableTextAbt"/>
              <w:rPr>
                <w:rFonts w:ascii="Arial" w:hAnsi="Arial" w:cs="Arial"/>
              </w:rPr>
            </w:pPr>
            <w:r w:rsidRPr="00B85320">
              <w:rPr>
                <w:rFonts w:ascii="Arial" w:hAnsi="Arial" w:cs="Arial"/>
                <w:b/>
                <w:bCs w:val="0"/>
              </w:rPr>
              <w:t xml:space="preserve">$985,819 </w:t>
            </w:r>
          </w:p>
        </w:tc>
      </w:tr>
    </w:tbl>
    <w:p w:rsidR="003B717B" w:rsidRPr="003B717B" w:rsidP="00C724C4" w14:paraId="00E5C034" w14:textId="77777777">
      <w:pPr>
        <w:spacing w:line="240" w:lineRule="auto"/>
        <w:rPr>
          <w:lang w:bidi="en-US"/>
        </w:rPr>
      </w:pPr>
    </w:p>
    <w:p w:rsidR="00BD1BAB" w:rsidP="00326B70" w14:paraId="3AB88F5C" w14:textId="2BFE75BC">
      <w:pPr>
        <w:pStyle w:val="Heading2"/>
        <w:rPr>
          <w:b w:val="0"/>
          <w:bCs w:val="0"/>
        </w:rPr>
      </w:pPr>
      <w:r w:rsidRPr="00A640A9">
        <w:t xml:space="preserve">Explain the reasons for any program changes or adjustments reported in </w:t>
      </w:r>
      <w:r w:rsidR="007F3A69">
        <w:t>hour or cost burden</w:t>
      </w:r>
      <w:r w:rsidRPr="00A640A9">
        <w:t>.</w:t>
      </w:r>
    </w:p>
    <w:p w:rsidR="001D3B37" w:rsidRPr="003C73B7" w:rsidP="003C73B7" w14:paraId="5BF77274" w14:textId="40B4EF63">
      <w:pPr>
        <w:pStyle w:val="BodyText"/>
        <w:rPr>
          <w:rFonts w:cs="Arial"/>
          <w:szCs w:val="22"/>
        </w:rPr>
      </w:pPr>
      <w:r w:rsidRPr="005B772E">
        <w:rPr>
          <w:rFonts w:cs="Arial"/>
          <w:szCs w:val="22"/>
        </w:rPr>
        <w:t>All of the burden associated with this activity represent a program change, due to a new rule collecting information on the manufacturing and processing of asbestos on a one-time basis.</w:t>
      </w:r>
    </w:p>
    <w:p w:rsidR="00A640A9" w:rsidP="00326B70" w14:paraId="67020DB0" w14:textId="1B004F49">
      <w:pPr>
        <w:pStyle w:val="Heading2"/>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00FC3DF4" w:rsidRPr="00FC3DF4" w:rsidP="00C724C4" w14:paraId="75EE6F1F" w14:textId="02126180">
      <w:pPr>
        <w:spacing w:line="240" w:lineRule="auto"/>
      </w:pPr>
      <w:r>
        <w:rPr>
          <w:lang w:bidi="en-US"/>
        </w:rPr>
        <w:t>Not applicable</w:t>
      </w:r>
    </w:p>
    <w:p w:rsidR="00D278E1" w:rsidP="00326B70" w14:paraId="3C058E98" w14:textId="7A499E1E">
      <w:pPr>
        <w:pStyle w:val="Heading2"/>
      </w:pPr>
      <w:r>
        <w:t>If</w:t>
      </w:r>
      <w:r>
        <w:t xml:space="preserve"> seeking approval to not display the expiration date for OMB approval of the information collection, explain the reasons why display would be inappropriate.</w:t>
      </w:r>
    </w:p>
    <w:p w:rsidR="00813076" w:rsidRPr="00813076" w:rsidP="00C724C4" w14:paraId="7543EA6B" w14:textId="67B021E4">
      <w:pPr>
        <w:spacing w:line="240" w:lineRule="auto"/>
        <w:rPr>
          <w:lang w:bidi="en-US"/>
        </w:rPr>
      </w:pPr>
      <w:r>
        <w:rPr>
          <w:lang w:bidi="en-US"/>
        </w:rPr>
        <w:t>Not applicable</w:t>
      </w:r>
    </w:p>
    <w:p w:rsidR="005D6FB8" w:rsidP="00326B70" w14:paraId="380B6953" w14:textId="68841D28">
      <w:pPr>
        <w:pStyle w:val="Heading2"/>
      </w:pPr>
      <w:r>
        <w:t xml:space="preserve">Explain each exception to the certification statement identified in </w:t>
      </w:r>
      <w:r w:rsidRPr="007F3A69" w:rsidR="007F3A69">
        <w:t>“Certification for Paperwork Reduction Act Submissions.”</w:t>
      </w:r>
    </w:p>
    <w:p w:rsidR="00813076" w:rsidP="00C724C4" w14:paraId="1E255B6E" w14:textId="7D009C97">
      <w:pPr>
        <w:spacing w:line="240" w:lineRule="auto"/>
      </w:pPr>
      <w:r w:rsidRPr="00813076">
        <w:t xml:space="preserve">EPA does not request an exception to the certification of this information collection. </w:t>
      </w:r>
    </w:p>
    <w:p w:rsidR="008E5177" w:rsidP="00326B70" w14:paraId="0244690F" w14:textId="77777777">
      <w:pPr>
        <w:pStyle w:val="Heading1"/>
      </w:pPr>
      <w:r>
        <w:t>Supplemental Information</w:t>
      </w:r>
    </w:p>
    <w:p w:rsidR="000B0316" w:rsidP="00C724C4" w14:paraId="2160B393" w14:textId="30EF5E46">
      <w:pPr>
        <w:spacing w:line="240" w:lineRule="auto"/>
        <w:rPr>
          <w:rFonts w:cs="Arial"/>
          <w:b/>
          <w:bCs/>
          <w:szCs w:val="24"/>
        </w:rPr>
      </w:pPr>
      <w:bookmarkStart w:id="27" w:name="_Hlk80787718"/>
      <w:r>
        <w:rPr>
          <w:szCs w:val="24"/>
        </w:rPr>
        <w:t>This collection of information is approved by OMB under the Paperwork Reduction Act, 44 U.S.C. 3501 et seq</w:t>
      </w:r>
      <w:r w:rsidRPr="001F77EC">
        <w:rPr>
          <w:szCs w:val="24"/>
        </w:rPr>
        <w:t>. (OMB Control No. 2070-</w:t>
      </w:r>
      <w:r w:rsidR="00CD7F67">
        <w:rPr>
          <w:szCs w:val="24"/>
        </w:rPr>
        <w:t>0222</w:t>
      </w:r>
      <w:r w:rsidRPr="001F77EC">
        <w:rPr>
          <w:szCs w:val="24"/>
        </w:rPr>
        <w:t xml:space="preserve">). Responses to this collection of information are mandatory for certain persons, as specified at </w:t>
      </w:r>
      <w:r>
        <w:rPr>
          <w:szCs w:val="24"/>
        </w:rPr>
        <w:t>40 CFR 711.15</w:t>
      </w:r>
      <w:r w:rsidRPr="001F77EC">
        <w:rPr>
          <w:szCs w:val="24"/>
        </w:rPr>
        <w:t xml:space="preserve">. An agency may not conduct or sponsor, and a person is not required to respond to, a </w:t>
      </w:r>
      <w:r w:rsidRPr="00C52B2E">
        <w:rPr>
          <w:szCs w:val="24"/>
        </w:rPr>
        <w:t xml:space="preserve">collection of information unless it displays a currently valid OMB control number. The public reporting and recordkeeping burden for this collection of information is estimated to be </w:t>
      </w:r>
      <w:r w:rsidRPr="00C52B2E" w:rsidR="00A31403">
        <w:rPr>
          <w:szCs w:val="24"/>
        </w:rPr>
        <w:t xml:space="preserve">16,859 </w:t>
      </w:r>
      <w:r w:rsidRPr="00C52B2E">
        <w:rPr>
          <w:szCs w:val="24"/>
        </w:rPr>
        <w:t>hours per response. Send comments on the Agency’s need for this information, the accuracy of the</w:t>
      </w:r>
      <w:r w:rsidRPr="001F77EC">
        <w:rPr>
          <w:szCs w:val="24"/>
        </w:rPr>
        <w:t xml:space="preserv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bookmarkEnd w:id="27"/>
    <w:p w:rsidR="008E5177" w:rsidP="00326B70" w14:paraId="4D6FE756" w14:textId="6F0E888E">
      <w:pPr>
        <w:pStyle w:val="Heading1"/>
      </w:pPr>
      <w:r>
        <w:t>List of Attachments</w:t>
      </w:r>
    </w:p>
    <w:p w:rsidR="008E5177" w:rsidP="00C724C4" w14:paraId="590AA801" w14:textId="5AC4C0D4">
      <w:pPr>
        <w:spacing w:line="240" w:lineRule="auto"/>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bookmarkStart w:id="28" w:name="_Hlk100052021"/>
      <w:hyperlink r:id="rId10" w:history="1">
        <w:r w:rsidRPr="00FD497D">
          <w:rPr>
            <w:rStyle w:val="Hyperlink"/>
          </w:rPr>
          <w:t>http://www.regulations.gov</w:t>
        </w:r>
      </w:hyperlink>
      <w:r>
        <w:rPr>
          <w:lang w:bidi="en-US"/>
        </w:rPr>
        <w:t xml:space="preserve"> </w:t>
      </w:r>
      <w:bookmarkEnd w:id="28"/>
      <w:r w:rsidRPr="00FD497D">
        <w:rPr>
          <w:lang w:bidi="en-US"/>
        </w:rPr>
        <w:t>using</w:t>
      </w:r>
      <w:r>
        <w:rPr>
          <w:lang w:bidi="en-US"/>
        </w:rPr>
        <w:t xml:space="preserve"> Docket ID Number: </w:t>
      </w:r>
      <w:r>
        <w:rPr>
          <w:rFonts w:cs="Arial"/>
          <w:szCs w:val="24"/>
        </w:rPr>
        <w:t>EPA-HQ-OPPT-2021-0</w:t>
      </w:r>
      <w:r w:rsidR="00CD7F67">
        <w:rPr>
          <w:rFonts w:cs="Arial"/>
          <w:szCs w:val="24"/>
        </w:rPr>
        <w:t>357</w:t>
      </w:r>
      <w:r>
        <w:rPr>
          <w:lang w:bidi="en-US"/>
        </w:rPr>
        <w:t>.</w:t>
      </w:r>
    </w:p>
    <w:tbl>
      <w:tblPr>
        <w:tblStyle w:val="TableGrid"/>
        <w:tblW w:w="0" w:type="auto"/>
        <w:tblLook w:val="04A0"/>
      </w:tblPr>
      <w:tblGrid>
        <w:gridCol w:w="670"/>
        <w:gridCol w:w="8680"/>
      </w:tblGrid>
      <w:tr w14:paraId="1A27238D" w14:textId="77777777" w:rsidTr="008E5177">
        <w:tblPrEx>
          <w:tblW w:w="0" w:type="auto"/>
          <w:tblLook w:val="04A0"/>
        </w:tblPrEx>
        <w:tc>
          <w:tcPr>
            <w:tcW w:w="670" w:type="dxa"/>
          </w:tcPr>
          <w:p w:rsidR="008E5177" w:rsidRPr="0026304B" w:rsidP="00C724C4" w14:paraId="7FAE9C78" w14:textId="77777777">
            <w:pPr>
              <w:spacing w:before="40" w:after="40" w:line="240" w:lineRule="auto"/>
              <w:rPr>
                <w:b/>
                <w:bCs/>
              </w:rPr>
            </w:pPr>
            <w:r w:rsidRPr="0026304B">
              <w:rPr>
                <w:b/>
                <w:bCs/>
              </w:rPr>
              <w:t>Ref.</w:t>
            </w:r>
          </w:p>
        </w:tc>
        <w:tc>
          <w:tcPr>
            <w:tcW w:w="8680" w:type="dxa"/>
          </w:tcPr>
          <w:p w:rsidR="008E5177" w:rsidRPr="0026304B" w:rsidP="00C724C4" w14:paraId="68B59BCE" w14:textId="77777777">
            <w:pPr>
              <w:spacing w:before="40" w:after="40" w:line="240" w:lineRule="auto"/>
              <w:rPr>
                <w:b/>
                <w:bCs/>
              </w:rPr>
            </w:pPr>
            <w:r w:rsidRPr="0026304B">
              <w:rPr>
                <w:b/>
                <w:bCs/>
              </w:rPr>
              <w:t xml:space="preserve">Title </w:t>
            </w:r>
          </w:p>
        </w:tc>
      </w:tr>
      <w:tr w14:paraId="116B1569" w14:textId="77777777" w:rsidTr="008E5177">
        <w:tblPrEx>
          <w:tblW w:w="0" w:type="auto"/>
          <w:tblLook w:val="04A0"/>
        </w:tblPrEx>
        <w:tc>
          <w:tcPr>
            <w:tcW w:w="670" w:type="dxa"/>
          </w:tcPr>
          <w:p w:rsidR="008E5177" w:rsidP="00C724C4" w14:paraId="6A8B9968" w14:textId="77777777">
            <w:pPr>
              <w:spacing w:before="40" w:after="40" w:line="240" w:lineRule="auto"/>
            </w:pPr>
            <w:r>
              <w:t>1.</w:t>
            </w:r>
          </w:p>
        </w:tc>
        <w:tc>
          <w:tcPr>
            <w:tcW w:w="8680" w:type="dxa"/>
          </w:tcPr>
          <w:p w:rsidR="008E5177" w:rsidP="00C724C4" w14:paraId="08892C09" w14:textId="0A711229">
            <w:pPr>
              <w:spacing w:before="40" w:after="40" w:line="240" w:lineRule="auto"/>
            </w:pPr>
            <w:r>
              <w:t xml:space="preserve">Proposed Rule </w:t>
            </w:r>
          </w:p>
        </w:tc>
      </w:tr>
      <w:tr w14:paraId="22E7919A" w14:textId="77777777" w:rsidTr="008E5177">
        <w:tblPrEx>
          <w:tblW w:w="0" w:type="auto"/>
          <w:tblLook w:val="04A0"/>
        </w:tblPrEx>
        <w:tc>
          <w:tcPr>
            <w:tcW w:w="670" w:type="dxa"/>
          </w:tcPr>
          <w:p w:rsidR="008E5177" w:rsidP="00C724C4" w14:paraId="54212334" w14:textId="77777777">
            <w:pPr>
              <w:spacing w:before="40" w:after="40" w:line="240" w:lineRule="auto"/>
            </w:pPr>
            <w:r>
              <w:t>2.</w:t>
            </w:r>
          </w:p>
        </w:tc>
        <w:tc>
          <w:tcPr>
            <w:tcW w:w="8680" w:type="dxa"/>
          </w:tcPr>
          <w:p w:rsidR="008E5177" w:rsidP="00C724C4" w14:paraId="1650555D" w14:textId="533A3E27">
            <w:pPr>
              <w:spacing w:before="40" w:after="40" w:line="240" w:lineRule="auto"/>
            </w:pPr>
            <w:r>
              <w:t>Screenshots for Submission of Form A and Form B</w:t>
            </w:r>
          </w:p>
        </w:tc>
      </w:tr>
    </w:tbl>
    <w:p w:rsidR="008E5177" w:rsidRPr="00813076" w:rsidP="00560CB8" w14:paraId="1B8439A7" w14:textId="77777777">
      <w:pPr>
        <w:spacing w:line="240" w:lineRule="auto"/>
      </w:pPr>
    </w:p>
    <w:sectPr w:rsidSect="002059F4">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9505AD" w:rsidP="009505AD" w14:paraId="1FDD3C08" w14:textId="5334498E">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5AD" w:rsidP="009505AD" w14:paraId="79EB01F2" w14:textId="39482EC5">
    <w:pPr>
      <w:pStyle w:val="Footer"/>
      <w:spacing w:before="120"/>
      <w:jc w:val="center"/>
    </w:pPr>
    <w:sdt>
      <w:sdtPr>
        <w:id w:val="1988427682"/>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sz w:val="20"/>
            <w:szCs w:val="20"/>
          </w:rPr>
          <w:t>5</w:t>
        </w:r>
        <w:r w:rsidRPr="009505AD">
          <w:rPr>
            <w:b/>
            <w:bCs/>
            <w:sz w:val="20"/>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036" w:rsidRPr="009F0705" w:rsidP="009F0705" w14:paraId="796E471D" w14:textId="5C55262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1CE2A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BA33BA"/>
    <w:multiLevelType w:val="hybridMultilevel"/>
    <w:tmpl w:val="C92292F4"/>
    <w:lvl w:ilvl="0">
      <w:start w:val="1"/>
      <w:numFmt w:val="decimal"/>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305E64"/>
    <w:multiLevelType w:val="hybridMultilevel"/>
    <w:tmpl w:val="F2BA8778"/>
    <w:lvl w:ilvl="0">
      <w:start w:val="1"/>
      <w:numFmt w:val="lowerLetter"/>
      <w:pStyle w:val="Heading3"/>
      <w:lvlText w:val="%1)"/>
      <w:lvlJc w:val="center"/>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77932FF"/>
    <w:multiLevelType w:val="hybridMultilevel"/>
    <w:tmpl w:val="DDDCF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5">
    <w:nsid w:val="29C64153"/>
    <w:multiLevelType w:val="hybridMultilevel"/>
    <w:tmpl w:val="752EF3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7">
    <w:nsid w:val="46C24AD7"/>
    <w:multiLevelType w:val="hybridMultilevel"/>
    <w:tmpl w:val="A3322AC8"/>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8">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4E7B110C"/>
    <w:multiLevelType w:val="hybridMultilevel"/>
    <w:tmpl w:val="88A253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0B13BC"/>
    <w:multiLevelType w:val="hybridMultilevel"/>
    <w:tmpl w:val="866E91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53B1795D"/>
    <w:multiLevelType w:val="hybridMultilevel"/>
    <w:tmpl w:val="EBACBF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A2B71BC"/>
    <w:multiLevelType w:val="hybridMultilevel"/>
    <w:tmpl w:val="1864F8C4"/>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AB546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D3D2873"/>
    <w:multiLevelType w:val="hybridMultilevel"/>
    <w:tmpl w:val="821E1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FEC376A"/>
    <w:multiLevelType w:val="hybridMultilevel"/>
    <w:tmpl w:val="05E217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39A547E"/>
    <w:multiLevelType w:val="hybrid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B7C3D92"/>
    <w:multiLevelType w:val="hybridMultilevel"/>
    <w:tmpl w:val="726642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6F644F"/>
    <w:multiLevelType w:val="hybridMultilevel"/>
    <w:tmpl w:val="1738080E"/>
    <w:lvl w:ilvl="0">
      <w:start w:val="1"/>
      <w:numFmt w:val="bullet"/>
      <w:lvlText w:val=""/>
      <w:lvlJc w:val="left"/>
      <w:pPr>
        <w:tabs>
          <w:tab w:val="num" w:pos="720"/>
        </w:tabs>
        <w:ind w:left="720" w:hanging="72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5477D97"/>
    <w:multiLevelType w:val="hybridMultilevel"/>
    <w:tmpl w:val="F42AAF2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4">
    <w:nsid w:val="7BEA0123"/>
    <w:multiLevelType w:val="hybridMultilevel"/>
    <w:tmpl w:val="AF54D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274068"/>
    <w:multiLevelType w:val="hybridMultilevel"/>
    <w:tmpl w:val="99329B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2945172">
    <w:abstractNumId w:val="6"/>
  </w:num>
  <w:num w:numId="2" w16cid:durableId="29574770">
    <w:abstractNumId w:val="14"/>
  </w:num>
  <w:num w:numId="3" w16cid:durableId="643702867">
    <w:abstractNumId w:val="25"/>
  </w:num>
  <w:num w:numId="4" w16cid:durableId="1305937559">
    <w:abstractNumId w:val="17"/>
  </w:num>
  <w:num w:numId="5" w16cid:durableId="1961452533">
    <w:abstractNumId w:val="5"/>
  </w:num>
  <w:num w:numId="6" w16cid:durableId="363098086">
    <w:abstractNumId w:val="8"/>
  </w:num>
  <w:num w:numId="7" w16cid:durableId="1371957559">
    <w:abstractNumId w:val="3"/>
  </w:num>
  <w:num w:numId="8" w16cid:durableId="195626900">
    <w:abstractNumId w:val="20"/>
  </w:num>
  <w:num w:numId="9" w16cid:durableId="842820430">
    <w:abstractNumId w:val="19"/>
  </w:num>
  <w:num w:numId="10" w16cid:durableId="8222703">
    <w:abstractNumId w:val="16"/>
  </w:num>
  <w:num w:numId="11" w16cid:durableId="1334340792">
    <w:abstractNumId w:val="10"/>
  </w:num>
  <w:num w:numId="12" w16cid:durableId="1440641799">
    <w:abstractNumId w:val="7"/>
  </w:num>
  <w:num w:numId="13" w16cid:durableId="118883579">
    <w:abstractNumId w:val="4"/>
  </w:num>
  <w:num w:numId="14" w16cid:durableId="582645754">
    <w:abstractNumId w:val="23"/>
  </w:num>
  <w:num w:numId="15" w16cid:durableId="1846632189">
    <w:abstractNumId w:val="24"/>
  </w:num>
  <w:num w:numId="16" w16cid:durableId="890187854">
    <w:abstractNumId w:val="15"/>
  </w:num>
  <w:num w:numId="17" w16cid:durableId="1703170721">
    <w:abstractNumId w:val="9"/>
  </w:num>
  <w:num w:numId="18" w16cid:durableId="773474173">
    <w:abstractNumId w:val="22"/>
  </w:num>
  <w:num w:numId="19" w16cid:durableId="1395347334">
    <w:abstractNumId w:val="18"/>
  </w:num>
  <w:num w:numId="20" w16cid:durableId="603616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6011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7523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0295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2142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94171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085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791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0144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4420435">
    <w:abstractNumId w:val="6"/>
    <w:lvlOverride w:ilvl="0">
      <w:startOverride w:val="17"/>
    </w:lvlOverride>
  </w:num>
  <w:num w:numId="30" w16cid:durableId="40516274">
    <w:abstractNumId w:val="6"/>
    <w:lvlOverride w:ilvl="0">
      <w:startOverride w:val="17"/>
    </w:lvlOverride>
  </w:num>
  <w:num w:numId="31" w16cid:durableId="2099715465">
    <w:abstractNumId w:val="1"/>
  </w:num>
  <w:num w:numId="32" w16cid:durableId="1110394661">
    <w:abstractNumId w:val="12"/>
  </w:num>
  <w:num w:numId="33" w16cid:durableId="1055931071">
    <w:abstractNumId w:val="13"/>
  </w:num>
  <w:num w:numId="34" w16cid:durableId="186531056">
    <w:abstractNumId w:val="2"/>
  </w:num>
  <w:num w:numId="35" w16cid:durableId="1326980512">
    <w:abstractNumId w:val="2"/>
    <w:lvlOverride w:ilvl="0">
      <w:startOverride w:val="1"/>
    </w:lvlOverride>
  </w:num>
  <w:num w:numId="36" w16cid:durableId="909193507">
    <w:abstractNumId w:val="2"/>
    <w:lvlOverride w:ilvl="0">
      <w:startOverride w:val="1"/>
    </w:lvlOverride>
  </w:num>
  <w:num w:numId="37" w16cid:durableId="527253134">
    <w:abstractNumId w:val="2"/>
    <w:lvlOverride w:ilvl="0">
      <w:startOverride w:val="1"/>
    </w:lvlOverride>
  </w:num>
  <w:num w:numId="38" w16cid:durableId="1587886213">
    <w:abstractNumId w:val="21"/>
  </w:num>
  <w:num w:numId="39" w16cid:durableId="1021783925">
    <w:abstractNumId w:val="0"/>
  </w:num>
  <w:num w:numId="40" w16cid:durableId="516848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24BC"/>
    <w:rsid w:val="000057D3"/>
    <w:rsid w:val="0000593B"/>
    <w:rsid w:val="0000670B"/>
    <w:rsid w:val="00006B5B"/>
    <w:rsid w:val="000130DA"/>
    <w:rsid w:val="00020DFF"/>
    <w:rsid w:val="00027743"/>
    <w:rsid w:val="0003093D"/>
    <w:rsid w:val="0003181D"/>
    <w:rsid w:val="000352EA"/>
    <w:rsid w:val="0004330C"/>
    <w:rsid w:val="00044D56"/>
    <w:rsid w:val="000453DB"/>
    <w:rsid w:val="00047FD4"/>
    <w:rsid w:val="00052E2D"/>
    <w:rsid w:val="00053EEE"/>
    <w:rsid w:val="000546AF"/>
    <w:rsid w:val="00056DC6"/>
    <w:rsid w:val="00057D8D"/>
    <w:rsid w:val="00061012"/>
    <w:rsid w:val="00061DFC"/>
    <w:rsid w:val="0006464F"/>
    <w:rsid w:val="00064F95"/>
    <w:rsid w:val="00065570"/>
    <w:rsid w:val="000656A4"/>
    <w:rsid w:val="00072BEA"/>
    <w:rsid w:val="00073171"/>
    <w:rsid w:val="00086DC2"/>
    <w:rsid w:val="00092204"/>
    <w:rsid w:val="0009346F"/>
    <w:rsid w:val="00095701"/>
    <w:rsid w:val="00097C0A"/>
    <w:rsid w:val="000A0451"/>
    <w:rsid w:val="000A144A"/>
    <w:rsid w:val="000B0316"/>
    <w:rsid w:val="000B207D"/>
    <w:rsid w:val="000B2D25"/>
    <w:rsid w:val="000B43DB"/>
    <w:rsid w:val="000B75EF"/>
    <w:rsid w:val="000C09A8"/>
    <w:rsid w:val="000C1D69"/>
    <w:rsid w:val="000C27D5"/>
    <w:rsid w:val="000C37F7"/>
    <w:rsid w:val="000C3E30"/>
    <w:rsid w:val="000C60EE"/>
    <w:rsid w:val="000D5B2A"/>
    <w:rsid w:val="000D5E31"/>
    <w:rsid w:val="000E1909"/>
    <w:rsid w:val="000E26DD"/>
    <w:rsid w:val="000F3685"/>
    <w:rsid w:val="000F3D59"/>
    <w:rsid w:val="000F431D"/>
    <w:rsid w:val="000F5CA2"/>
    <w:rsid w:val="000F7974"/>
    <w:rsid w:val="00101D55"/>
    <w:rsid w:val="00103B2E"/>
    <w:rsid w:val="001049AF"/>
    <w:rsid w:val="00107247"/>
    <w:rsid w:val="00113B7C"/>
    <w:rsid w:val="00114EAF"/>
    <w:rsid w:val="00115EF4"/>
    <w:rsid w:val="0012070B"/>
    <w:rsid w:val="00120736"/>
    <w:rsid w:val="001223F8"/>
    <w:rsid w:val="001248C0"/>
    <w:rsid w:val="001278AD"/>
    <w:rsid w:val="00130933"/>
    <w:rsid w:val="00134A47"/>
    <w:rsid w:val="001369C5"/>
    <w:rsid w:val="00136C5B"/>
    <w:rsid w:val="0014435A"/>
    <w:rsid w:val="00144DCD"/>
    <w:rsid w:val="00145A52"/>
    <w:rsid w:val="001506AC"/>
    <w:rsid w:val="001511FC"/>
    <w:rsid w:val="00161ED7"/>
    <w:rsid w:val="00165D93"/>
    <w:rsid w:val="00167682"/>
    <w:rsid w:val="00171E1A"/>
    <w:rsid w:val="00171EB7"/>
    <w:rsid w:val="0017327E"/>
    <w:rsid w:val="00173588"/>
    <w:rsid w:val="00174CD9"/>
    <w:rsid w:val="00183A5E"/>
    <w:rsid w:val="0018575F"/>
    <w:rsid w:val="00185C78"/>
    <w:rsid w:val="00185E52"/>
    <w:rsid w:val="001864DB"/>
    <w:rsid w:val="00192218"/>
    <w:rsid w:val="00192D91"/>
    <w:rsid w:val="001934A2"/>
    <w:rsid w:val="00194EC4"/>
    <w:rsid w:val="00196A95"/>
    <w:rsid w:val="001A122F"/>
    <w:rsid w:val="001A1377"/>
    <w:rsid w:val="001A2800"/>
    <w:rsid w:val="001A3E1B"/>
    <w:rsid w:val="001A4BBA"/>
    <w:rsid w:val="001A6934"/>
    <w:rsid w:val="001A6A94"/>
    <w:rsid w:val="001A7965"/>
    <w:rsid w:val="001B32F8"/>
    <w:rsid w:val="001B3DBE"/>
    <w:rsid w:val="001B45B0"/>
    <w:rsid w:val="001B53C7"/>
    <w:rsid w:val="001B6FB9"/>
    <w:rsid w:val="001C3187"/>
    <w:rsid w:val="001D3B37"/>
    <w:rsid w:val="001D4C92"/>
    <w:rsid w:val="001D7DA6"/>
    <w:rsid w:val="001E0DDA"/>
    <w:rsid w:val="001E1364"/>
    <w:rsid w:val="001E2318"/>
    <w:rsid w:val="001E25B6"/>
    <w:rsid w:val="001E5236"/>
    <w:rsid w:val="001E5E19"/>
    <w:rsid w:val="001F1A90"/>
    <w:rsid w:val="001F2AA0"/>
    <w:rsid w:val="001F2C6E"/>
    <w:rsid w:val="001F77EC"/>
    <w:rsid w:val="00200E63"/>
    <w:rsid w:val="00204299"/>
    <w:rsid w:val="00204B8E"/>
    <w:rsid w:val="002059F4"/>
    <w:rsid w:val="002061D9"/>
    <w:rsid w:val="0020654C"/>
    <w:rsid w:val="00206E49"/>
    <w:rsid w:val="0020785F"/>
    <w:rsid w:val="00215B24"/>
    <w:rsid w:val="00217DB5"/>
    <w:rsid w:val="00226598"/>
    <w:rsid w:val="0022704E"/>
    <w:rsid w:val="00231D74"/>
    <w:rsid w:val="00232C48"/>
    <w:rsid w:val="0023602B"/>
    <w:rsid w:val="00241B30"/>
    <w:rsid w:val="002433C3"/>
    <w:rsid w:val="0024760A"/>
    <w:rsid w:val="00251590"/>
    <w:rsid w:val="00253A81"/>
    <w:rsid w:val="0026304B"/>
    <w:rsid w:val="00263B10"/>
    <w:rsid w:val="00264BB6"/>
    <w:rsid w:val="00267A7F"/>
    <w:rsid w:val="00271285"/>
    <w:rsid w:val="00271F91"/>
    <w:rsid w:val="00274D8D"/>
    <w:rsid w:val="00281C62"/>
    <w:rsid w:val="002910C3"/>
    <w:rsid w:val="002917DB"/>
    <w:rsid w:val="002941DE"/>
    <w:rsid w:val="00294EAC"/>
    <w:rsid w:val="002A3714"/>
    <w:rsid w:val="002A656D"/>
    <w:rsid w:val="002A6BA7"/>
    <w:rsid w:val="002B1D96"/>
    <w:rsid w:val="002B290C"/>
    <w:rsid w:val="002B5A9F"/>
    <w:rsid w:val="002C1BA7"/>
    <w:rsid w:val="002C2FC3"/>
    <w:rsid w:val="002C4D62"/>
    <w:rsid w:val="002E1ABC"/>
    <w:rsid w:val="002E20B5"/>
    <w:rsid w:val="002E371B"/>
    <w:rsid w:val="002E3A57"/>
    <w:rsid w:val="002E3F81"/>
    <w:rsid w:val="002E7BFC"/>
    <w:rsid w:val="002F07ED"/>
    <w:rsid w:val="002F0984"/>
    <w:rsid w:val="002F21F7"/>
    <w:rsid w:val="00302E7E"/>
    <w:rsid w:val="003041B0"/>
    <w:rsid w:val="00305BBA"/>
    <w:rsid w:val="00306EBC"/>
    <w:rsid w:val="003127F5"/>
    <w:rsid w:val="003179C2"/>
    <w:rsid w:val="00322A4C"/>
    <w:rsid w:val="003230CB"/>
    <w:rsid w:val="00323F57"/>
    <w:rsid w:val="00325708"/>
    <w:rsid w:val="00325AF5"/>
    <w:rsid w:val="00326B70"/>
    <w:rsid w:val="003277AB"/>
    <w:rsid w:val="00331590"/>
    <w:rsid w:val="00331683"/>
    <w:rsid w:val="00332046"/>
    <w:rsid w:val="0033220F"/>
    <w:rsid w:val="003324C4"/>
    <w:rsid w:val="0033266F"/>
    <w:rsid w:val="0033273D"/>
    <w:rsid w:val="00337D94"/>
    <w:rsid w:val="00341695"/>
    <w:rsid w:val="00341D6A"/>
    <w:rsid w:val="0034575B"/>
    <w:rsid w:val="0036424B"/>
    <w:rsid w:val="003645F8"/>
    <w:rsid w:val="00366271"/>
    <w:rsid w:val="00366A89"/>
    <w:rsid w:val="00366FA9"/>
    <w:rsid w:val="003704B3"/>
    <w:rsid w:val="00370A1E"/>
    <w:rsid w:val="003727B6"/>
    <w:rsid w:val="00377490"/>
    <w:rsid w:val="00381146"/>
    <w:rsid w:val="003832B9"/>
    <w:rsid w:val="003845EA"/>
    <w:rsid w:val="00384C23"/>
    <w:rsid w:val="003853DC"/>
    <w:rsid w:val="00385A79"/>
    <w:rsid w:val="00387316"/>
    <w:rsid w:val="0039298A"/>
    <w:rsid w:val="00393ED4"/>
    <w:rsid w:val="003940A3"/>
    <w:rsid w:val="003951A1"/>
    <w:rsid w:val="00395C2C"/>
    <w:rsid w:val="003A6B3A"/>
    <w:rsid w:val="003B20FB"/>
    <w:rsid w:val="003B6DAA"/>
    <w:rsid w:val="003B717B"/>
    <w:rsid w:val="003C3B5F"/>
    <w:rsid w:val="003C41B6"/>
    <w:rsid w:val="003C48A3"/>
    <w:rsid w:val="003C4C75"/>
    <w:rsid w:val="003C52F0"/>
    <w:rsid w:val="003C73B7"/>
    <w:rsid w:val="003D0878"/>
    <w:rsid w:val="003D096C"/>
    <w:rsid w:val="003D09E2"/>
    <w:rsid w:val="003D16E7"/>
    <w:rsid w:val="003D4175"/>
    <w:rsid w:val="003D71D0"/>
    <w:rsid w:val="003D7DF6"/>
    <w:rsid w:val="003E219D"/>
    <w:rsid w:val="003E2EB3"/>
    <w:rsid w:val="003E2F88"/>
    <w:rsid w:val="003E32C1"/>
    <w:rsid w:val="003E5CB4"/>
    <w:rsid w:val="003E6C51"/>
    <w:rsid w:val="003F1A38"/>
    <w:rsid w:val="003F2112"/>
    <w:rsid w:val="00401717"/>
    <w:rsid w:val="00404A43"/>
    <w:rsid w:val="004073C6"/>
    <w:rsid w:val="0041053B"/>
    <w:rsid w:val="004123C7"/>
    <w:rsid w:val="0041353E"/>
    <w:rsid w:val="00415B45"/>
    <w:rsid w:val="00417E58"/>
    <w:rsid w:val="00421311"/>
    <w:rsid w:val="00421667"/>
    <w:rsid w:val="00433DB3"/>
    <w:rsid w:val="004371E7"/>
    <w:rsid w:val="00450976"/>
    <w:rsid w:val="004512B9"/>
    <w:rsid w:val="0045503C"/>
    <w:rsid w:val="004559E4"/>
    <w:rsid w:val="00461214"/>
    <w:rsid w:val="0046124E"/>
    <w:rsid w:val="0046322D"/>
    <w:rsid w:val="0047706F"/>
    <w:rsid w:val="00477F26"/>
    <w:rsid w:val="00480053"/>
    <w:rsid w:val="00480C83"/>
    <w:rsid w:val="0048297B"/>
    <w:rsid w:val="00483711"/>
    <w:rsid w:val="00485CB9"/>
    <w:rsid w:val="0049003D"/>
    <w:rsid w:val="00490481"/>
    <w:rsid w:val="00490A83"/>
    <w:rsid w:val="004917AF"/>
    <w:rsid w:val="00495AA5"/>
    <w:rsid w:val="004962D9"/>
    <w:rsid w:val="00496E0C"/>
    <w:rsid w:val="004A0907"/>
    <w:rsid w:val="004A24DF"/>
    <w:rsid w:val="004A5D7F"/>
    <w:rsid w:val="004A6ECD"/>
    <w:rsid w:val="004A7019"/>
    <w:rsid w:val="004A7159"/>
    <w:rsid w:val="004A73E2"/>
    <w:rsid w:val="004B3376"/>
    <w:rsid w:val="004B4857"/>
    <w:rsid w:val="004B575B"/>
    <w:rsid w:val="004B5CF5"/>
    <w:rsid w:val="004C2DAC"/>
    <w:rsid w:val="004C3EE4"/>
    <w:rsid w:val="004C56AF"/>
    <w:rsid w:val="004D2145"/>
    <w:rsid w:val="004D7774"/>
    <w:rsid w:val="004D7F9E"/>
    <w:rsid w:val="004E72C5"/>
    <w:rsid w:val="004F78BF"/>
    <w:rsid w:val="00500B6E"/>
    <w:rsid w:val="00501378"/>
    <w:rsid w:val="005025CA"/>
    <w:rsid w:val="00502D91"/>
    <w:rsid w:val="00505E22"/>
    <w:rsid w:val="00515F16"/>
    <w:rsid w:val="00521FE4"/>
    <w:rsid w:val="005228E0"/>
    <w:rsid w:val="005265DC"/>
    <w:rsid w:val="005273EC"/>
    <w:rsid w:val="005313CD"/>
    <w:rsid w:val="00534AA1"/>
    <w:rsid w:val="00543D8E"/>
    <w:rsid w:val="005505C7"/>
    <w:rsid w:val="00551637"/>
    <w:rsid w:val="00552CD2"/>
    <w:rsid w:val="00552D96"/>
    <w:rsid w:val="005542EE"/>
    <w:rsid w:val="0055456C"/>
    <w:rsid w:val="00554A99"/>
    <w:rsid w:val="00555904"/>
    <w:rsid w:val="00560CB8"/>
    <w:rsid w:val="00561F8B"/>
    <w:rsid w:val="005645B8"/>
    <w:rsid w:val="00564A76"/>
    <w:rsid w:val="005654B9"/>
    <w:rsid w:val="00566595"/>
    <w:rsid w:val="00566EA2"/>
    <w:rsid w:val="00575DC0"/>
    <w:rsid w:val="0057700D"/>
    <w:rsid w:val="0057765B"/>
    <w:rsid w:val="0059087E"/>
    <w:rsid w:val="00595EF1"/>
    <w:rsid w:val="005A1036"/>
    <w:rsid w:val="005A119E"/>
    <w:rsid w:val="005A2291"/>
    <w:rsid w:val="005A5281"/>
    <w:rsid w:val="005B19A0"/>
    <w:rsid w:val="005B772E"/>
    <w:rsid w:val="005C4158"/>
    <w:rsid w:val="005D6245"/>
    <w:rsid w:val="005D6FB8"/>
    <w:rsid w:val="005E1B2A"/>
    <w:rsid w:val="005E2799"/>
    <w:rsid w:val="005E304F"/>
    <w:rsid w:val="005F5C84"/>
    <w:rsid w:val="005F768A"/>
    <w:rsid w:val="005F7FD9"/>
    <w:rsid w:val="006032EE"/>
    <w:rsid w:val="006053EF"/>
    <w:rsid w:val="00611576"/>
    <w:rsid w:val="00613B1E"/>
    <w:rsid w:val="00614476"/>
    <w:rsid w:val="0061593A"/>
    <w:rsid w:val="006168A7"/>
    <w:rsid w:val="00616A62"/>
    <w:rsid w:val="00621B31"/>
    <w:rsid w:val="00624305"/>
    <w:rsid w:val="00630001"/>
    <w:rsid w:val="006308BF"/>
    <w:rsid w:val="00631DD2"/>
    <w:rsid w:val="0064734A"/>
    <w:rsid w:val="006563B1"/>
    <w:rsid w:val="0065761B"/>
    <w:rsid w:val="006619B4"/>
    <w:rsid w:val="006652B6"/>
    <w:rsid w:val="00665A7A"/>
    <w:rsid w:val="00666FEA"/>
    <w:rsid w:val="0067332A"/>
    <w:rsid w:val="00676674"/>
    <w:rsid w:val="00677BEE"/>
    <w:rsid w:val="00683A86"/>
    <w:rsid w:val="00691461"/>
    <w:rsid w:val="00692962"/>
    <w:rsid w:val="006943C3"/>
    <w:rsid w:val="00695B20"/>
    <w:rsid w:val="006A00A7"/>
    <w:rsid w:val="006A07BE"/>
    <w:rsid w:val="006A3408"/>
    <w:rsid w:val="006A44D6"/>
    <w:rsid w:val="006B1716"/>
    <w:rsid w:val="006B24D7"/>
    <w:rsid w:val="006B52E1"/>
    <w:rsid w:val="006B59F3"/>
    <w:rsid w:val="006B76BC"/>
    <w:rsid w:val="006C4607"/>
    <w:rsid w:val="006D7F33"/>
    <w:rsid w:val="006E06E0"/>
    <w:rsid w:val="006E598B"/>
    <w:rsid w:val="006E777B"/>
    <w:rsid w:val="006F214C"/>
    <w:rsid w:val="006F3735"/>
    <w:rsid w:val="006F4EB0"/>
    <w:rsid w:val="006F5E2C"/>
    <w:rsid w:val="006F6E89"/>
    <w:rsid w:val="00700FC7"/>
    <w:rsid w:val="00705AA7"/>
    <w:rsid w:val="00710616"/>
    <w:rsid w:val="0071358A"/>
    <w:rsid w:val="00720AA3"/>
    <w:rsid w:val="007218AB"/>
    <w:rsid w:val="00724D4F"/>
    <w:rsid w:val="00730386"/>
    <w:rsid w:val="0073054C"/>
    <w:rsid w:val="0073096B"/>
    <w:rsid w:val="00741050"/>
    <w:rsid w:val="0074221E"/>
    <w:rsid w:val="0074456B"/>
    <w:rsid w:val="00744DC3"/>
    <w:rsid w:val="007453F8"/>
    <w:rsid w:val="00747A48"/>
    <w:rsid w:val="00751437"/>
    <w:rsid w:val="007564AD"/>
    <w:rsid w:val="00762A05"/>
    <w:rsid w:val="0077391E"/>
    <w:rsid w:val="00773DB2"/>
    <w:rsid w:val="00792002"/>
    <w:rsid w:val="0079430B"/>
    <w:rsid w:val="007A01E7"/>
    <w:rsid w:val="007A3C9E"/>
    <w:rsid w:val="007A3DE7"/>
    <w:rsid w:val="007A5B5D"/>
    <w:rsid w:val="007A6A3B"/>
    <w:rsid w:val="007B244D"/>
    <w:rsid w:val="007B2485"/>
    <w:rsid w:val="007B2E04"/>
    <w:rsid w:val="007B3187"/>
    <w:rsid w:val="007B737A"/>
    <w:rsid w:val="007C3C62"/>
    <w:rsid w:val="007C60BC"/>
    <w:rsid w:val="007C6E82"/>
    <w:rsid w:val="007C79EC"/>
    <w:rsid w:val="007E0AFB"/>
    <w:rsid w:val="007E4531"/>
    <w:rsid w:val="007E53E3"/>
    <w:rsid w:val="007F0723"/>
    <w:rsid w:val="007F1C03"/>
    <w:rsid w:val="007F3A69"/>
    <w:rsid w:val="007F616B"/>
    <w:rsid w:val="007F6D4D"/>
    <w:rsid w:val="00801FF3"/>
    <w:rsid w:val="00802A93"/>
    <w:rsid w:val="00811CAF"/>
    <w:rsid w:val="008128B7"/>
    <w:rsid w:val="00813076"/>
    <w:rsid w:val="00814A54"/>
    <w:rsid w:val="00823728"/>
    <w:rsid w:val="00825E2A"/>
    <w:rsid w:val="00826A2C"/>
    <w:rsid w:val="00830333"/>
    <w:rsid w:val="00830C5F"/>
    <w:rsid w:val="00831D58"/>
    <w:rsid w:val="00831F62"/>
    <w:rsid w:val="008360FF"/>
    <w:rsid w:val="0084154A"/>
    <w:rsid w:val="00842AF9"/>
    <w:rsid w:val="008471E2"/>
    <w:rsid w:val="00855B83"/>
    <w:rsid w:val="008572A8"/>
    <w:rsid w:val="0086259E"/>
    <w:rsid w:val="00863C6D"/>
    <w:rsid w:val="008645F4"/>
    <w:rsid w:val="00876695"/>
    <w:rsid w:val="00876918"/>
    <w:rsid w:val="00883EA3"/>
    <w:rsid w:val="00883F7A"/>
    <w:rsid w:val="008851C4"/>
    <w:rsid w:val="008851E4"/>
    <w:rsid w:val="00885220"/>
    <w:rsid w:val="00897D7E"/>
    <w:rsid w:val="008A094B"/>
    <w:rsid w:val="008A1327"/>
    <w:rsid w:val="008A2D7D"/>
    <w:rsid w:val="008A4AFD"/>
    <w:rsid w:val="008B3413"/>
    <w:rsid w:val="008B3E00"/>
    <w:rsid w:val="008C2FE3"/>
    <w:rsid w:val="008C31D3"/>
    <w:rsid w:val="008C3339"/>
    <w:rsid w:val="008C4E34"/>
    <w:rsid w:val="008C7706"/>
    <w:rsid w:val="008D2C32"/>
    <w:rsid w:val="008E0644"/>
    <w:rsid w:val="008E5177"/>
    <w:rsid w:val="008F36BF"/>
    <w:rsid w:val="008F45AE"/>
    <w:rsid w:val="008F4E50"/>
    <w:rsid w:val="008F7229"/>
    <w:rsid w:val="0090072E"/>
    <w:rsid w:val="00906840"/>
    <w:rsid w:val="009070D7"/>
    <w:rsid w:val="0091102D"/>
    <w:rsid w:val="0093316B"/>
    <w:rsid w:val="00933CC3"/>
    <w:rsid w:val="009349AE"/>
    <w:rsid w:val="00934B60"/>
    <w:rsid w:val="00936003"/>
    <w:rsid w:val="00936E89"/>
    <w:rsid w:val="0094013E"/>
    <w:rsid w:val="00943E22"/>
    <w:rsid w:val="009464FA"/>
    <w:rsid w:val="009505AD"/>
    <w:rsid w:val="00950C10"/>
    <w:rsid w:val="0095279C"/>
    <w:rsid w:val="009538F8"/>
    <w:rsid w:val="009554E4"/>
    <w:rsid w:val="00963FBC"/>
    <w:rsid w:val="0096484B"/>
    <w:rsid w:val="009664DB"/>
    <w:rsid w:val="009677E2"/>
    <w:rsid w:val="009767E8"/>
    <w:rsid w:val="009803E7"/>
    <w:rsid w:val="00985133"/>
    <w:rsid w:val="00987BD1"/>
    <w:rsid w:val="009911E8"/>
    <w:rsid w:val="009926EA"/>
    <w:rsid w:val="00993D9E"/>
    <w:rsid w:val="00995696"/>
    <w:rsid w:val="00997639"/>
    <w:rsid w:val="009A0CB8"/>
    <w:rsid w:val="009A4757"/>
    <w:rsid w:val="009A5162"/>
    <w:rsid w:val="009A7738"/>
    <w:rsid w:val="009B0932"/>
    <w:rsid w:val="009B12A8"/>
    <w:rsid w:val="009B42F0"/>
    <w:rsid w:val="009B6BDD"/>
    <w:rsid w:val="009C1516"/>
    <w:rsid w:val="009C1B04"/>
    <w:rsid w:val="009C25B3"/>
    <w:rsid w:val="009C2A9F"/>
    <w:rsid w:val="009D1902"/>
    <w:rsid w:val="009D38FE"/>
    <w:rsid w:val="009E4966"/>
    <w:rsid w:val="009E4A37"/>
    <w:rsid w:val="009E4C2C"/>
    <w:rsid w:val="009E64B4"/>
    <w:rsid w:val="009E7504"/>
    <w:rsid w:val="009F0705"/>
    <w:rsid w:val="009F0D69"/>
    <w:rsid w:val="009F4FB0"/>
    <w:rsid w:val="009F52D6"/>
    <w:rsid w:val="00A042D3"/>
    <w:rsid w:val="00A06A7C"/>
    <w:rsid w:val="00A076E8"/>
    <w:rsid w:val="00A11629"/>
    <w:rsid w:val="00A11743"/>
    <w:rsid w:val="00A126FF"/>
    <w:rsid w:val="00A13839"/>
    <w:rsid w:val="00A13E06"/>
    <w:rsid w:val="00A15A82"/>
    <w:rsid w:val="00A15DA9"/>
    <w:rsid w:val="00A20E41"/>
    <w:rsid w:val="00A27C0C"/>
    <w:rsid w:val="00A27E33"/>
    <w:rsid w:val="00A3096D"/>
    <w:rsid w:val="00A31403"/>
    <w:rsid w:val="00A33137"/>
    <w:rsid w:val="00A4103A"/>
    <w:rsid w:val="00A43218"/>
    <w:rsid w:val="00A435C5"/>
    <w:rsid w:val="00A44B85"/>
    <w:rsid w:val="00A46F3E"/>
    <w:rsid w:val="00A47159"/>
    <w:rsid w:val="00A51D87"/>
    <w:rsid w:val="00A54A64"/>
    <w:rsid w:val="00A56015"/>
    <w:rsid w:val="00A56A24"/>
    <w:rsid w:val="00A60631"/>
    <w:rsid w:val="00A62217"/>
    <w:rsid w:val="00A640A9"/>
    <w:rsid w:val="00A72919"/>
    <w:rsid w:val="00A72ADD"/>
    <w:rsid w:val="00A73090"/>
    <w:rsid w:val="00A739E2"/>
    <w:rsid w:val="00A73E64"/>
    <w:rsid w:val="00A75086"/>
    <w:rsid w:val="00A7646D"/>
    <w:rsid w:val="00A7688B"/>
    <w:rsid w:val="00A82D4D"/>
    <w:rsid w:val="00A82F38"/>
    <w:rsid w:val="00A834E7"/>
    <w:rsid w:val="00A83CD4"/>
    <w:rsid w:val="00A8414E"/>
    <w:rsid w:val="00A84C99"/>
    <w:rsid w:val="00A854A1"/>
    <w:rsid w:val="00A85561"/>
    <w:rsid w:val="00A85B28"/>
    <w:rsid w:val="00A8734E"/>
    <w:rsid w:val="00A9011A"/>
    <w:rsid w:val="00A9026C"/>
    <w:rsid w:val="00A92DD1"/>
    <w:rsid w:val="00AA077C"/>
    <w:rsid w:val="00AA1FAF"/>
    <w:rsid w:val="00AA6B79"/>
    <w:rsid w:val="00AA7A7A"/>
    <w:rsid w:val="00AB3B01"/>
    <w:rsid w:val="00AB40C4"/>
    <w:rsid w:val="00AB5D6B"/>
    <w:rsid w:val="00AB79AB"/>
    <w:rsid w:val="00AB7EC0"/>
    <w:rsid w:val="00AB7ED9"/>
    <w:rsid w:val="00AC0DFD"/>
    <w:rsid w:val="00AD2BE1"/>
    <w:rsid w:val="00AD7842"/>
    <w:rsid w:val="00AD790C"/>
    <w:rsid w:val="00AE031F"/>
    <w:rsid w:val="00AE4271"/>
    <w:rsid w:val="00AE47C0"/>
    <w:rsid w:val="00AE669E"/>
    <w:rsid w:val="00AE6CAB"/>
    <w:rsid w:val="00AF2ED0"/>
    <w:rsid w:val="00AF3885"/>
    <w:rsid w:val="00AF3A8F"/>
    <w:rsid w:val="00AF4ABA"/>
    <w:rsid w:val="00AF7129"/>
    <w:rsid w:val="00B0006D"/>
    <w:rsid w:val="00B002FA"/>
    <w:rsid w:val="00B10468"/>
    <w:rsid w:val="00B107DF"/>
    <w:rsid w:val="00B116A1"/>
    <w:rsid w:val="00B13338"/>
    <w:rsid w:val="00B1352E"/>
    <w:rsid w:val="00B15B7B"/>
    <w:rsid w:val="00B17413"/>
    <w:rsid w:val="00B23162"/>
    <w:rsid w:val="00B25727"/>
    <w:rsid w:val="00B262D4"/>
    <w:rsid w:val="00B2665D"/>
    <w:rsid w:val="00B32A36"/>
    <w:rsid w:val="00B337DD"/>
    <w:rsid w:val="00B33E4E"/>
    <w:rsid w:val="00B34C6C"/>
    <w:rsid w:val="00B406B8"/>
    <w:rsid w:val="00B40723"/>
    <w:rsid w:val="00B42AE8"/>
    <w:rsid w:val="00B42BCE"/>
    <w:rsid w:val="00B43FF9"/>
    <w:rsid w:val="00B440E8"/>
    <w:rsid w:val="00B45008"/>
    <w:rsid w:val="00B5789C"/>
    <w:rsid w:val="00B57BED"/>
    <w:rsid w:val="00B57C21"/>
    <w:rsid w:val="00B61ECA"/>
    <w:rsid w:val="00B63A76"/>
    <w:rsid w:val="00B65576"/>
    <w:rsid w:val="00B71703"/>
    <w:rsid w:val="00B744D6"/>
    <w:rsid w:val="00B76216"/>
    <w:rsid w:val="00B85320"/>
    <w:rsid w:val="00B87AA8"/>
    <w:rsid w:val="00B91E6F"/>
    <w:rsid w:val="00B942CC"/>
    <w:rsid w:val="00B96328"/>
    <w:rsid w:val="00B969BA"/>
    <w:rsid w:val="00B973EE"/>
    <w:rsid w:val="00BA33E2"/>
    <w:rsid w:val="00BB0C2C"/>
    <w:rsid w:val="00BB47F7"/>
    <w:rsid w:val="00BB7017"/>
    <w:rsid w:val="00BB7F86"/>
    <w:rsid w:val="00BC169B"/>
    <w:rsid w:val="00BC584B"/>
    <w:rsid w:val="00BC6D25"/>
    <w:rsid w:val="00BC7016"/>
    <w:rsid w:val="00BC7A0C"/>
    <w:rsid w:val="00BD09EE"/>
    <w:rsid w:val="00BD1BAB"/>
    <w:rsid w:val="00BD2018"/>
    <w:rsid w:val="00BD34E9"/>
    <w:rsid w:val="00BD4CA9"/>
    <w:rsid w:val="00BD6887"/>
    <w:rsid w:val="00BD6E2A"/>
    <w:rsid w:val="00BD7577"/>
    <w:rsid w:val="00BD7929"/>
    <w:rsid w:val="00BE0693"/>
    <w:rsid w:val="00BE461C"/>
    <w:rsid w:val="00BE6812"/>
    <w:rsid w:val="00BF04C3"/>
    <w:rsid w:val="00BF0CB4"/>
    <w:rsid w:val="00BF4A0B"/>
    <w:rsid w:val="00BF52B6"/>
    <w:rsid w:val="00C01373"/>
    <w:rsid w:val="00C0168B"/>
    <w:rsid w:val="00C01896"/>
    <w:rsid w:val="00C0267F"/>
    <w:rsid w:val="00C03717"/>
    <w:rsid w:val="00C049D1"/>
    <w:rsid w:val="00C06667"/>
    <w:rsid w:val="00C068EE"/>
    <w:rsid w:val="00C12EA2"/>
    <w:rsid w:val="00C13C64"/>
    <w:rsid w:val="00C22B95"/>
    <w:rsid w:val="00C237E2"/>
    <w:rsid w:val="00C27CBE"/>
    <w:rsid w:val="00C32122"/>
    <w:rsid w:val="00C37238"/>
    <w:rsid w:val="00C405C9"/>
    <w:rsid w:val="00C42A23"/>
    <w:rsid w:val="00C42EF5"/>
    <w:rsid w:val="00C455D4"/>
    <w:rsid w:val="00C45B19"/>
    <w:rsid w:val="00C460B5"/>
    <w:rsid w:val="00C5240E"/>
    <w:rsid w:val="00C52B2E"/>
    <w:rsid w:val="00C53DF2"/>
    <w:rsid w:val="00C5554F"/>
    <w:rsid w:val="00C55A99"/>
    <w:rsid w:val="00C56605"/>
    <w:rsid w:val="00C568F9"/>
    <w:rsid w:val="00C569A2"/>
    <w:rsid w:val="00C60793"/>
    <w:rsid w:val="00C608C8"/>
    <w:rsid w:val="00C61D56"/>
    <w:rsid w:val="00C624CE"/>
    <w:rsid w:val="00C6353F"/>
    <w:rsid w:val="00C65161"/>
    <w:rsid w:val="00C7069B"/>
    <w:rsid w:val="00C713DB"/>
    <w:rsid w:val="00C720D3"/>
    <w:rsid w:val="00C724C4"/>
    <w:rsid w:val="00C748B3"/>
    <w:rsid w:val="00C759ED"/>
    <w:rsid w:val="00C76C50"/>
    <w:rsid w:val="00C801A9"/>
    <w:rsid w:val="00C81FAD"/>
    <w:rsid w:val="00C8297D"/>
    <w:rsid w:val="00C84271"/>
    <w:rsid w:val="00C86A21"/>
    <w:rsid w:val="00C906CF"/>
    <w:rsid w:val="00C9105A"/>
    <w:rsid w:val="00C9534A"/>
    <w:rsid w:val="00C962B5"/>
    <w:rsid w:val="00CA72F6"/>
    <w:rsid w:val="00CB3E06"/>
    <w:rsid w:val="00CB5180"/>
    <w:rsid w:val="00CB6172"/>
    <w:rsid w:val="00CB6A40"/>
    <w:rsid w:val="00CC4D3C"/>
    <w:rsid w:val="00CC5AC8"/>
    <w:rsid w:val="00CD1493"/>
    <w:rsid w:val="00CD536C"/>
    <w:rsid w:val="00CD5A5F"/>
    <w:rsid w:val="00CD7F67"/>
    <w:rsid w:val="00CE4BAD"/>
    <w:rsid w:val="00CF04D6"/>
    <w:rsid w:val="00CF3015"/>
    <w:rsid w:val="00CF42E8"/>
    <w:rsid w:val="00CF723F"/>
    <w:rsid w:val="00D001AA"/>
    <w:rsid w:val="00D01870"/>
    <w:rsid w:val="00D025F8"/>
    <w:rsid w:val="00D0290A"/>
    <w:rsid w:val="00D03BFF"/>
    <w:rsid w:val="00D07AA0"/>
    <w:rsid w:val="00D07EF9"/>
    <w:rsid w:val="00D11812"/>
    <w:rsid w:val="00D129DA"/>
    <w:rsid w:val="00D15A8B"/>
    <w:rsid w:val="00D1604F"/>
    <w:rsid w:val="00D21E9B"/>
    <w:rsid w:val="00D2240E"/>
    <w:rsid w:val="00D26291"/>
    <w:rsid w:val="00D278E1"/>
    <w:rsid w:val="00D33015"/>
    <w:rsid w:val="00D367BB"/>
    <w:rsid w:val="00D40FD1"/>
    <w:rsid w:val="00D410E7"/>
    <w:rsid w:val="00D46182"/>
    <w:rsid w:val="00D51B35"/>
    <w:rsid w:val="00D53902"/>
    <w:rsid w:val="00D564AC"/>
    <w:rsid w:val="00D60B36"/>
    <w:rsid w:val="00D63099"/>
    <w:rsid w:val="00D630AA"/>
    <w:rsid w:val="00D643D0"/>
    <w:rsid w:val="00D66EA1"/>
    <w:rsid w:val="00D67847"/>
    <w:rsid w:val="00D714BB"/>
    <w:rsid w:val="00D73EEB"/>
    <w:rsid w:val="00D75616"/>
    <w:rsid w:val="00D80D21"/>
    <w:rsid w:val="00D816F7"/>
    <w:rsid w:val="00D83509"/>
    <w:rsid w:val="00D84776"/>
    <w:rsid w:val="00D85C31"/>
    <w:rsid w:val="00D85CD3"/>
    <w:rsid w:val="00D87724"/>
    <w:rsid w:val="00D923B8"/>
    <w:rsid w:val="00D945B6"/>
    <w:rsid w:val="00D970EA"/>
    <w:rsid w:val="00DA0CBF"/>
    <w:rsid w:val="00DA119E"/>
    <w:rsid w:val="00DA11D4"/>
    <w:rsid w:val="00DA182B"/>
    <w:rsid w:val="00DA3156"/>
    <w:rsid w:val="00DA6078"/>
    <w:rsid w:val="00DB199E"/>
    <w:rsid w:val="00DB1F1B"/>
    <w:rsid w:val="00DB2F69"/>
    <w:rsid w:val="00DC42CC"/>
    <w:rsid w:val="00DC6056"/>
    <w:rsid w:val="00DC6905"/>
    <w:rsid w:val="00DD23E4"/>
    <w:rsid w:val="00DD3644"/>
    <w:rsid w:val="00DD38BD"/>
    <w:rsid w:val="00DD3B69"/>
    <w:rsid w:val="00DD52A5"/>
    <w:rsid w:val="00DE0FBD"/>
    <w:rsid w:val="00DE2410"/>
    <w:rsid w:val="00DE27A8"/>
    <w:rsid w:val="00DE5258"/>
    <w:rsid w:val="00DE5415"/>
    <w:rsid w:val="00DE66D8"/>
    <w:rsid w:val="00DF0D59"/>
    <w:rsid w:val="00DF1F84"/>
    <w:rsid w:val="00DF49C5"/>
    <w:rsid w:val="00DF591D"/>
    <w:rsid w:val="00DF5F2E"/>
    <w:rsid w:val="00E00E93"/>
    <w:rsid w:val="00E01C47"/>
    <w:rsid w:val="00E024DB"/>
    <w:rsid w:val="00E026A9"/>
    <w:rsid w:val="00E101E9"/>
    <w:rsid w:val="00E11585"/>
    <w:rsid w:val="00E1310E"/>
    <w:rsid w:val="00E13704"/>
    <w:rsid w:val="00E137AB"/>
    <w:rsid w:val="00E13BB1"/>
    <w:rsid w:val="00E14613"/>
    <w:rsid w:val="00E16322"/>
    <w:rsid w:val="00E16D00"/>
    <w:rsid w:val="00E17AB1"/>
    <w:rsid w:val="00E2272D"/>
    <w:rsid w:val="00E25EC5"/>
    <w:rsid w:val="00E26DF3"/>
    <w:rsid w:val="00E27EDB"/>
    <w:rsid w:val="00E30005"/>
    <w:rsid w:val="00E30863"/>
    <w:rsid w:val="00E30CAA"/>
    <w:rsid w:val="00E36936"/>
    <w:rsid w:val="00E437DF"/>
    <w:rsid w:val="00E44FEF"/>
    <w:rsid w:val="00E453DD"/>
    <w:rsid w:val="00E46982"/>
    <w:rsid w:val="00E50592"/>
    <w:rsid w:val="00E608B6"/>
    <w:rsid w:val="00E641E7"/>
    <w:rsid w:val="00E65043"/>
    <w:rsid w:val="00E67101"/>
    <w:rsid w:val="00E72E9D"/>
    <w:rsid w:val="00E750D6"/>
    <w:rsid w:val="00E75321"/>
    <w:rsid w:val="00E83B47"/>
    <w:rsid w:val="00E9052D"/>
    <w:rsid w:val="00E96FA6"/>
    <w:rsid w:val="00E9724E"/>
    <w:rsid w:val="00E97849"/>
    <w:rsid w:val="00E97B1B"/>
    <w:rsid w:val="00EA107A"/>
    <w:rsid w:val="00EA35A8"/>
    <w:rsid w:val="00EA454E"/>
    <w:rsid w:val="00EA5804"/>
    <w:rsid w:val="00EA6571"/>
    <w:rsid w:val="00EA6E39"/>
    <w:rsid w:val="00EB3CB9"/>
    <w:rsid w:val="00EC352F"/>
    <w:rsid w:val="00EC39BB"/>
    <w:rsid w:val="00EC7BCD"/>
    <w:rsid w:val="00EC7D58"/>
    <w:rsid w:val="00ED0340"/>
    <w:rsid w:val="00ED21EA"/>
    <w:rsid w:val="00ED4D26"/>
    <w:rsid w:val="00ED6AC6"/>
    <w:rsid w:val="00EE0077"/>
    <w:rsid w:val="00EE0AC3"/>
    <w:rsid w:val="00EE1070"/>
    <w:rsid w:val="00EE2A4B"/>
    <w:rsid w:val="00EE2D97"/>
    <w:rsid w:val="00EE6200"/>
    <w:rsid w:val="00EF02D8"/>
    <w:rsid w:val="00EF5826"/>
    <w:rsid w:val="00EF5A45"/>
    <w:rsid w:val="00EF6576"/>
    <w:rsid w:val="00F01A02"/>
    <w:rsid w:val="00F072B0"/>
    <w:rsid w:val="00F11CA1"/>
    <w:rsid w:val="00F13081"/>
    <w:rsid w:val="00F25865"/>
    <w:rsid w:val="00F27ACA"/>
    <w:rsid w:val="00F31907"/>
    <w:rsid w:val="00F32230"/>
    <w:rsid w:val="00F33E8F"/>
    <w:rsid w:val="00F34258"/>
    <w:rsid w:val="00F34C1D"/>
    <w:rsid w:val="00F41B64"/>
    <w:rsid w:val="00F41DF1"/>
    <w:rsid w:val="00F4329E"/>
    <w:rsid w:val="00F47DAC"/>
    <w:rsid w:val="00F47EF1"/>
    <w:rsid w:val="00F6006E"/>
    <w:rsid w:val="00F67A4C"/>
    <w:rsid w:val="00F73708"/>
    <w:rsid w:val="00F802F2"/>
    <w:rsid w:val="00F8083E"/>
    <w:rsid w:val="00F85602"/>
    <w:rsid w:val="00F87F6D"/>
    <w:rsid w:val="00F908EB"/>
    <w:rsid w:val="00F90DA7"/>
    <w:rsid w:val="00F97ED8"/>
    <w:rsid w:val="00FA21C9"/>
    <w:rsid w:val="00FA370A"/>
    <w:rsid w:val="00FA3A7E"/>
    <w:rsid w:val="00FA64A1"/>
    <w:rsid w:val="00FB7F61"/>
    <w:rsid w:val="00FC1ADD"/>
    <w:rsid w:val="00FC3DF4"/>
    <w:rsid w:val="00FC5C10"/>
    <w:rsid w:val="00FC6848"/>
    <w:rsid w:val="00FC79DE"/>
    <w:rsid w:val="00FD497D"/>
    <w:rsid w:val="00FD4F67"/>
    <w:rsid w:val="00FD7B0B"/>
    <w:rsid w:val="00FF0C86"/>
    <w:rsid w:val="00FF297A"/>
    <w:rsid w:val="00FF3957"/>
    <w:rsid w:val="00FF3DE3"/>
    <w:rsid w:val="00FF699A"/>
    <w:rsid w:val="01DFDDD7"/>
    <w:rsid w:val="04D1F032"/>
    <w:rsid w:val="04FE3817"/>
    <w:rsid w:val="061A1E83"/>
    <w:rsid w:val="0693CDA9"/>
    <w:rsid w:val="08C07B66"/>
    <w:rsid w:val="090C30DE"/>
    <w:rsid w:val="09B5D2DE"/>
    <w:rsid w:val="0CAB2A88"/>
    <w:rsid w:val="0CD4AFEA"/>
    <w:rsid w:val="0E7E93F4"/>
    <w:rsid w:val="0EB0AF42"/>
    <w:rsid w:val="10B55B34"/>
    <w:rsid w:val="1148C9EF"/>
    <w:rsid w:val="123241BC"/>
    <w:rsid w:val="13F8F615"/>
    <w:rsid w:val="1457697A"/>
    <w:rsid w:val="14E4340A"/>
    <w:rsid w:val="15245417"/>
    <w:rsid w:val="16A526D7"/>
    <w:rsid w:val="16B51294"/>
    <w:rsid w:val="181B3D54"/>
    <w:rsid w:val="182A4FA4"/>
    <w:rsid w:val="183CBDFD"/>
    <w:rsid w:val="191603D2"/>
    <w:rsid w:val="1A1D0807"/>
    <w:rsid w:val="1A24FBD8"/>
    <w:rsid w:val="1A427B39"/>
    <w:rsid w:val="1AAEB09A"/>
    <w:rsid w:val="1B656929"/>
    <w:rsid w:val="1F62A06C"/>
    <w:rsid w:val="2092D550"/>
    <w:rsid w:val="22E65B5A"/>
    <w:rsid w:val="232B1F78"/>
    <w:rsid w:val="2546C522"/>
    <w:rsid w:val="25CF7BD6"/>
    <w:rsid w:val="25D87400"/>
    <w:rsid w:val="25DD11C6"/>
    <w:rsid w:val="261D64A4"/>
    <w:rsid w:val="27D9B100"/>
    <w:rsid w:val="290F442E"/>
    <w:rsid w:val="29A459E6"/>
    <w:rsid w:val="29BDBD10"/>
    <w:rsid w:val="2A0E0A25"/>
    <w:rsid w:val="2A87982A"/>
    <w:rsid w:val="2B2CB68B"/>
    <w:rsid w:val="2B40A964"/>
    <w:rsid w:val="2CAFCF6B"/>
    <w:rsid w:val="2F238E8F"/>
    <w:rsid w:val="30A07517"/>
    <w:rsid w:val="323A2BEE"/>
    <w:rsid w:val="33051469"/>
    <w:rsid w:val="3468F423"/>
    <w:rsid w:val="34C6BF24"/>
    <w:rsid w:val="35117B04"/>
    <w:rsid w:val="36EA24DF"/>
    <w:rsid w:val="374B0C1C"/>
    <w:rsid w:val="375B067E"/>
    <w:rsid w:val="3A63C305"/>
    <w:rsid w:val="3B50830C"/>
    <w:rsid w:val="3D2A59F0"/>
    <w:rsid w:val="3D9C1B90"/>
    <w:rsid w:val="3F75F274"/>
    <w:rsid w:val="3FA3781A"/>
    <w:rsid w:val="401B0B85"/>
    <w:rsid w:val="40915614"/>
    <w:rsid w:val="40DADF8F"/>
    <w:rsid w:val="414FC958"/>
    <w:rsid w:val="41649A9C"/>
    <w:rsid w:val="42F9AD62"/>
    <w:rsid w:val="43449F9D"/>
    <w:rsid w:val="440FC74B"/>
    <w:rsid w:val="467D6850"/>
    <w:rsid w:val="467FF806"/>
    <w:rsid w:val="4733EE0E"/>
    <w:rsid w:val="48829C34"/>
    <w:rsid w:val="488409E5"/>
    <w:rsid w:val="496A21D2"/>
    <w:rsid w:val="4BBD5012"/>
    <w:rsid w:val="4E7B738E"/>
    <w:rsid w:val="509537E3"/>
    <w:rsid w:val="54C70C38"/>
    <w:rsid w:val="56A3CD01"/>
    <w:rsid w:val="57013C5D"/>
    <w:rsid w:val="58496CA2"/>
    <w:rsid w:val="59190079"/>
    <w:rsid w:val="5975E409"/>
    <w:rsid w:val="5AAD1C85"/>
    <w:rsid w:val="5BB086B8"/>
    <w:rsid w:val="5BD75849"/>
    <w:rsid w:val="5C3A7496"/>
    <w:rsid w:val="5DFD48A2"/>
    <w:rsid w:val="5E47B164"/>
    <w:rsid w:val="5F241473"/>
    <w:rsid w:val="5F2EEB1C"/>
    <w:rsid w:val="5F49636D"/>
    <w:rsid w:val="6122E9CE"/>
    <w:rsid w:val="64CD816B"/>
    <w:rsid w:val="64CF8FE3"/>
    <w:rsid w:val="65BA1AD6"/>
    <w:rsid w:val="6663BCD6"/>
    <w:rsid w:val="668A664D"/>
    <w:rsid w:val="67F574A2"/>
    <w:rsid w:val="698A8768"/>
    <w:rsid w:val="699F58AC"/>
    <w:rsid w:val="6BEAF130"/>
    <w:rsid w:val="6C1B16DB"/>
    <w:rsid w:val="6D29EAD3"/>
    <w:rsid w:val="6DC4C814"/>
    <w:rsid w:val="6DDA83A4"/>
    <w:rsid w:val="6F1B5483"/>
    <w:rsid w:val="71D23E0F"/>
    <w:rsid w:val="7353FB79"/>
    <w:rsid w:val="7546925B"/>
    <w:rsid w:val="761DACA7"/>
    <w:rsid w:val="76F36856"/>
    <w:rsid w:val="7B6EE76F"/>
    <w:rsid w:val="7BA6386E"/>
    <w:rsid w:val="7DEF382A"/>
    <w:rsid w:val="7DFF328C"/>
    <w:rsid w:val="7E741C55"/>
    <w:rsid w:val="7EB23B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C61A0DCF-E56C-4B5A-B32B-826553BD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33"/>
      </w:numPr>
      <w:pBdr>
        <w:top w:val="single" w:sz="4" w:space="1" w:color="auto"/>
      </w:pBdr>
      <w:tabs>
        <w:tab w:val="left" w:pos="1080"/>
      </w:tabs>
      <w:spacing w:line="240" w:lineRule="auto"/>
      <w:ind w:left="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53A81"/>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0D5E31"/>
    <w:rPr>
      <w:sz w:val="16"/>
      <w:szCs w:val="16"/>
    </w:rPr>
  </w:style>
  <w:style w:type="paragraph" w:styleId="CommentText">
    <w:name w:val="annotation text"/>
    <w:aliases w:val="Bubble Text"/>
    <w:basedOn w:val="Normal"/>
    <w:link w:val="CommentTextChar"/>
    <w:uiPriority w:val="99"/>
    <w:unhideWhenUsed/>
    <w:qFormat/>
    <w:rsid w:val="000D5E31"/>
    <w:pPr>
      <w:spacing w:line="240" w:lineRule="auto"/>
    </w:pPr>
    <w:rPr>
      <w:sz w:val="20"/>
      <w:szCs w:val="20"/>
    </w:rPr>
  </w:style>
  <w:style w:type="character" w:customStyle="1" w:styleId="CommentTextChar">
    <w:name w:val="Comment Text Char"/>
    <w:aliases w:val="Bubble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qFormat/>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aliases w:val="Caption Char Char C... + 12 pt,Caption Char1 Char,Caption1,Char"/>
    <w:basedOn w:val="Normal"/>
    <w:next w:val="Normal"/>
    <w:link w:val="CaptionChar"/>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customStyle="1" w:styleId="paragraph">
    <w:name w:val="paragraph"/>
    <w:basedOn w:val="Normal"/>
    <w:rsid w:val="00BD7577"/>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BD7577"/>
  </w:style>
  <w:style w:type="character" w:customStyle="1" w:styleId="eop">
    <w:name w:val="eop"/>
    <w:basedOn w:val="DefaultParagraphFont"/>
    <w:rsid w:val="00BD7577"/>
  </w:style>
  <w:style w:type="character" w:customStyle="1" w:styleId="spellingerror">
    <w:name w:val="spellingerror"/>
    <w:basedOn w:val="DefaultParagraphFont"/>
    <w:rsid w:val="00C8297D"/>
  </w:style>
  <w:style w:type="character" w:customStyle="1" w:styleId="tabchar">
    <w:name w:val="tabchar"/>
    <w:basedOn w:val="DefaultParagraphFont"/>
    <w:rsid w:val="00C8297D"/>
  </w:style>
  <w:style w:type="character" w:customStyle="1" w:styleId="advancedproofingissue">
    <w:name w:val="advancedproofingissue"/>
    <w:basedOn w:val="DefaultParagraphFont"/>
    <w:rsid w:val="00C8297D"/>
  </w:style>
  <w:style w:type="paragraph" w:customStyle="1" w:styleId="TableTitle">
    <w:name w:val="Table Title"/>
    <w:basedOn w:val="Normal"/>
    <w:next w:val="Normal"/>
    <w:link w:val="TableTitleChar"/>
    <w:qFormat/>
    <w:rsid w:val="003B717B"/>
    <w:pPr>
      <w:keepNext/>
      <w:keepLines/>
      <w:spacing w:after="0" w:line="264" w:lineRule="auto"/>
    </w:pPr>
    <w:rPr>
      <w:rFonts w:ascii="Arial Bold" w:eastAsia="Times New Roman" w:hAnsi="Arial Bold" w:cs="Times New Roman"/>
      <w:sz w:val="20"/>
      <w:szCs w:val="24"/>
    </w:rPr>
  </w:style>
  <w:style w:type="character" w:customStyle="1" w:styleId="TableTitleChar">
    <w:name w:val="Table Title Char"/>
    <w:link w:val="TableTitle"/>
    <w:rsid w:val="003B717B"/>
    <w:rPr>
      <w:rFonts w:ascii="Arial Bold" w:eastAsia="Times New Roman" w:hAnsi="Arial Bold" w:cs="Times New Roman"/>
      <w:sz w:val="20"/>
      <w:szCs w:val="24"/>
    </w:rPr>
  </w:style>
  <w:style w:type="paragraph" w:customStyle="1" w:styleId="LTableTextAbt">
    <w:name w:val="(L)Table Text Abt"/>
    <w:link w:val="LTableTextAbtChar"/>
    <w:uiPriority w:val="12"/>
    <w:qFormat/>
    <w:rsid w:val="003B717B"/>
    <w:pPr>
      <w:keepNext/>
      <w:keepLines/>
      <w:spacing w:before="20" w:after="20" w:line="240" w:lineRule="auto"/>
    </w:pPr>
    <w:rPr>
      <w:rFonts w:ascii="Arial Narrow" w:hAnsi="Arial Narrow" w:cs="Times New Roman"/>
      <w:bCs/>
      <w:color w:val="000000"/>
      <w:sz w:val="20"/>
      <w:szCs w:val="20"/>
    </w:rPr>
  </w:style>
  <w:style w:type="character" w:customStyle="1" w:styleId="LTableTextAbtChar">
    <w:name w:val="(L)Table Text Abt Char"/>
    <w:link w:val="LTableTextAbt"/>
    <w:uiPriority w:val="12"/>
    <w:rsid w:val="003B717B"/>
    <w:rPr>
      <w:rFonts w:ascii="Arial Narrow" w:hAnsi="Arial Narrow" w:cs="Times New Roman"/>
      <w:bCs/>
      <w:color w:val="000000"/>
      <w:sz w:val="20"/>
      <w:szCs w:val="20"/>
    </w:rPr>
  </w:style>
  <w:style w:type="paragraph" w:customStyle="1" w:styleId="RTableTextAbt">
    <w:name w:val="(R) Table Text Abt"/>
    <w:link w:val="RTableTextAbtChar"/>
    <w:uiPriority w:val="14"/>
    <w:qFormat/>
    <w:rsid w:val="003B717B"/>
    <w:pPr>
      <w:keepNext/>
      <w:keepLines/>
      <w:spacing w:after="0" w:line="240" w:lineRule="auto"/>
      <w:jc w:val="right"/>
    </w:pPr>
    <w:rPr>
      <w:rFonts w:ascii="Arial Narrow" w:hAnsi="Arial Narrow" w:cs="Times New Roman"/>
      <w:bCs/>
      <w:color w:val="000000"/>
      <w:sz w:val="20"/>
      <w:szCs w:val="20"/>
    </w:rPr>
  </w:style>
  <w:style w:type="character" w:customStyle="1" w:styleId="RTableTextAbtChar">
    <w:name w:val="(R) Table Text Abt Char"/>
    <w:basedOn w:val="LTableTextAbtChar"/>
    <w:link w:val="RTableTextAbt"/>
    <w:uiPriority w:val="14"/>
    <w:rsid w:val="003B717B"/>
    <w:rPr>
      <w:rFonts w:ascii="Arial Narrow" w:hAnsi="Arial Narrow" w:cs="Times New Roman"/>
      <w:bCs/>
      <w:color w:val="000000"/>
      <w:sz w:val="20"/>
      <w:szCs w:val="20"/>
    </w:rPr>
  </w:style>
  <w:style w:type="paragraph" w:customStyle="1" w:styleId="RefNumbers">
    <w:name w:val="Ref Numbers"/>
    <w:basedOn w:val="BodyText"/>
    <w:uiPriority w:val="99"/>
    <w:rsid w:val="003B717B"/>
    <w:pPr>
      <w:widowControl/>
      <w:autoSpaceDE/>
      <w:autoSpaceDN/>
      <w:adjustRightInd/>
      <w:spacing w:after="180"/>
    </w:pPr>
    <w:rPr>
      <w:rFonts w:ascii="Times New Roman" w:hAnsi="Times New Roman"/>
      <w:sz w:val="22"/>
      <w:lang w:val="en"/>
    </w:rPr>
  </w:style>
  <w:style w:type="character" w:customStyle="1" w:styleId="CaptionChar">
    <w:name w:val="Caption Char"/>
    <w:aliases w:val="Caption Char Char C... + 12 pt Char,Caption Char1 Char Char,Caption1 Char,Char Char"/>
    <w:basedOn w:val="DefaultParagraphFont"/>
    <w:link w:val="Caption"/>
    <w:locked/>
    <w:rsid w:val="003B717B"/>
    <w:rPr>
      <w:rFonts w:ascii="Arial" w:hAnsi="Arial" w:cs="Arial"/>
      <w:b/>
      <w:bCs/>
      <w:color w:val="000000" w:themeColor="text1"/>
      <w:sz w:val="24"/>
      <w:szCs w:val="18"/>
    </w:rPr>
  </w:style>
  <w:style w:type="paragraph" w:customStyle="1" w:styleId="TableSource">
    <w:name w:val="Table Source"/>
    <w:basedOn w:val="Normal"/>
    <w:next w:val="BodyText"/>
    <w:link w:val="TableSourceChar"/>
    <w:qFormat/>
    <w:rsid w:val="003B717B"/>
    <w:pPr>
      <w:spacing w:before="120" w:after="180" w:line="240" w:lineRule="auto"/>
    </w:pPr>
    <w:rPr>
      <w:rFonts w:ascii="Arial Narrow" w:eastAsia="Times New Roman" w:hAnsi="Arial Narrow" w:cs="Arial"/>
      <w:sz w:val="18"/>
      <w:szCs w:val="20"/>
    </w:rPr>
  </w:style>
  <w:style w:type="paragraph" w:customStyle="1" w:styleId="BodyTextNoSpaceAfter">
    <w:name w:val="Body Text No Space After"/>
    <w:basedOn w:val="BodyText"/>
    <w:qFormat/>
    <w:rsid w:val="003B717B"/>
    <w:pPr>
      <w:widowControl/>
      <w:autoSpaceDE/>
      <w:autoSpaceDN/>
      <w:adjustRightInd/>
      <w:spacing w:after="0"/>
    </w:pPr>
    <w:rPr>
      <w:rFonts w:ascii="Times New Roman" w:hAnsi="Times New Roman"/>
      <w:sz w:val="22"/>
      <w:lang w:val="en"/>
    </w:rPr>
  </w:style>
  <w:style w:type="paragraph" w:styleId="ListBullet">
    <w:name w:val="List Bullet"/>
    <w:basedOn w:val="Normal"/>
    <w:unhideWhenUsed/>
    <w:rsid w:val="003B717B"/>
    <w:pPr>
      <w:numPr>
        <w:numId w:val="39"/>
      </w:numPr>
      <w:spacing w:after="0" w:line="264" w:lineRule="auto"/>
      <w:contextualSpacing/>
    </w:pPr>
    <w:rPr>
      <w:rFonts w:ascii="Times New Roman" w:eastAsia="Times New Roman" w:hAnsi="Times New Roman" w:cs="Times New Roman"/>
      <w:sz w:val="22"/>
      <w:szCs w:val="20"/>
    </w:rPr>
  </w:style>
  <w:style w:type="paragraph" w:customStyle="1" w:styleId="CTableTextAbt">
    <w:name w:val="(C)Table Text Abt"/>
    <w:link w:val="CTableTextAbtChar"/>
    <w:uiPriority w:val="13"/>
    <w:qFormat/>
    <w:rsid w:val="003B717B"/>
    <w:pPr>
      <w:spacing w:after="0" w:line="240" w:lineRule="auto"/>
      <w:jc w:val="center"/>
    </w:pPr>
    <w:rPr>
      <w:rFonts w:ascii="Arial Narrow" w:hAnsi="Arial Narrow" w:cs="Times New Roman"/>
      <w:bCs/>
      <w:color w:val="000000"/>
      <w:sz w:val="20"/>
      <w:szCs w:val="20"/>
    </w:rPr>
  </w:style>
  <w:style w:type="character" w:customStyle="1" w:styleId="CTableTextAbtChar">
    <w:name w:val="(C)Table Text Abt Char"/>
    <w:basedOn w:val="RTableTextAbtChar"/>
    <w:link w:val="CTableTextAbt"/>
    <w:uiPriority w:val="13"/>
    <w:rsid w:val="003B717B"/>
    <w:rPr>
      <w:rFonts w:ascii="Arial Narrow" w:hAnsi="Arial Narrow" w:cs="Times New Roman"/>
      <w:bCs/>
      <w:color w:val="000000"/>
      <w:sz w:val="20"/>
      <w:szCs w:val="20"/>
    </w:rPr>
  </w:style>
  <w:style w:type="character" w:customStyle="1" w:styleId="TableSourceChar">
    <w:name w:val="Table Source Char"/>
    <w:link w:val="TableSource"/>
    <w:locked/>
    <w:rsid w:val="003B717B"/>
    <w:rPr>
      <w:rFonts w:ascii="Arial Narrow" w:eastAsia="Times New Roman" w:hAnsi="Arial Narrow" w:cs="Arial"/>
      <w:sz w:val="18"/>
      <w:szCs w:val="20"/>
    </w:rPr>
  </w:style>
  <w:style w:type="paragraph" w:customStyle="1" w:styleId="TableSubtitle">
    <w:name w:val="TableSubtitle"/>
    <w:basedOn w:val="Normal"/>
    <w:qFormat/>
    <w:rsid w:val="001D3B37"/>
    <w:pPr>
      <w:keepNext/>
      <w:keepLines/>
      <w:autoSpaceDE w:val="0"/>
      <w:autoSpaceDN w:val="0"/>
      <w:adjustRightInd w:val="0"/>
      <w:spacing w:after="0" w:line="240" w:lineRule="auto"/>
      <w:jc w:val="center"/>
    </w:pPr>
    <w:rPr>
      <w:rFonts w:eastAsia="Arial Narrow" w:cs="Arial"/>
      <w:b/>
      <w:bCs/>
      <w:color w:val="FFFFFF" w:themeColor="background1"/>
      <w:sz w:val="18"/>
      <w:szCs w:val="18"/>
    </w:rPr>
  </w:style>
  <w:style w:type="character" w:styleId="Emphasis">
    <w:name w:val="Emphasis"/>
    <w:basedOn w:val="DefaultParagraphFont"/>
    <w:uiPriority w:val="20"/>
    <w:qFormat/>
    <w:rsid w:val="008E5177"/>
    <w:rPr>
      <w:i/>
      <w:iCs/>
    </w:rPr>
  </w:style>
  <w:style w:type="character" w:customStyle="1" w:styleId="NoSpacingChar">
    <w:name w:val="No Spacing Char"/>
    <w:basedOn w:val="DefaultParagraphFont"/>
    <w:link w:val="NoSpacing"/>
    <w:uiPriority w:val="1"/>
    <w:locked/>
    <w:rsid w:val="008E5177"/>
  </w:style>
  <w:style w:type="paragraph" w:styleId="Subtitle">
    <w:name w:val="Subtitle"/>
    <w:basedOn w:val="Normal"/>
    <w:link w:val="SubtitleChar"/>
    <w:uiPriority w:val="99"/>
    <w:qFormat/>
    <w:rsid w:val="00C42A23"/>
    <w:pPr>
      <w:framePr w:hSpace="180" w:wrap="around" w:vAnchor="text" w:hAnchor="margin" w:y="-429"/>
      <w:spacing w:after="480" w:line="240" w:lineRule="auto"/>
    </w:pPr>
    <w:rPr>
      <w:rFonts w:asciiTheme="minorHAnsi" w:hAnsiTheme="minorHAnsi" w:cstheme="minorHAnsi"/>
      <w:i/>
      <w:color w:val="FFFFFF" w:themeColor="background1"/>
      <w:sz w:val="40"/>
      <w:szCs w:val="24"/>
    </w:rPr>
  </w:style>
  <w:style w:type="character" w:customStyle="1" w:styleId="SubtitleChar">
    <w:name w:val="Subtitle Char"/>
    <w:basedOn w:val="DefaultParagraphFont"/>
    <w:link w:val="Subtitle"/>
    <w:uiPriority w:val="99"/>
    <w:rsid w:val="00C42A23"/>
    <w:rPr>
      <w:rFonts w:cstheme="minorHAnsi"/>
      <w:i/>
      <w:color w:val="FFFFFF" w:themeColor="background1"/>
      <w:sz w:val="40"/>
      <w:szCs w:val="24"/>
    </w:rPr>
  </w:style>
  <w:style w:type="table" w:styleId="MediumList1Accent1">
    <w:name w:val="Medium List 1 Accent 1"/>
    <w:basedOn w:val="TableNormal"/>
    <w:uiPriority w:val="65"/>
    <w:rsid w:val="00C42A23"/>
    <w:pPr>
      <w:spacing w:after="0" w:line="240" w:lineRule="auto"/>
    </w:pPr>
    <w:rPr>
      <w:rFonts w:ascii="Calibri" w:eastAsia="Calibri" w:hAnsi="Calibri" w:cs="Times New Roman"/>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3A%2F%2Fcsrc.nist.gov%2Fpublications%2FPubsFIPS.html&amp;data=04%7C01%7CGorder.Chris%40epa.gov%7C30fce2ad2c1c412fe34908d9bc030652%7C88b378b367484867acf976aacbeca6a7%7C0%7C0%7C637747543432983224%7CUnknown%7CTWFpbGZsb3d8eyJWIjoiMC4wLjAwMDAiLCJQIjoiV2luMzIiLCJBTiI6Ik1haWwiLCJXVCI6Mn0%3D%7C3000&amp;sdata=kaY1gcX6TP5qUMi3VdAfgjWPeZnIU3zJjOtNywjZ1JE%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Brinkhuis, Randall</DisplayName>
        <AccountId>17</AccountId>
        <AccountType/>
      </UserInfo>
      <UserInfo>
        <DisplayName>Alwood, Jim</DisplayName>
        <AccountId>25</AccountId>
        <AccountType/>
      </UserInfo>
      <UserInfo>
        <DisplayName>National Program Office QA Community Members (original)</DisplayName>
        <AccountId>111</AccountId>
        <AccountType/>
      </UserInfo>
      <UserInfo>
        <DisplayName>SharePoint_Early_Adopters</DisplayName>
        <AccountId>18</AccountId>
        <AccountType/>
      </UserInfo>
      <UserInfo>
        <DisplayName>Stewart, Troy</DisplayName>
        <AccountId>15</AccountId>
        <AccountType/>
      </UserInfo>
      <UserInfo>
        <DisplayName>Downs, Teresa</DisplayName>
        <AccountId>344</AccountId>
        <AccountType/>
      </UserInfo>
      <UserInfo>
        <DisplayName>Ward, Ingrid</DisplayName>
        <AccountId>85</AccountId>
        <AccountType/>
      </UserInfo>
      <UserInfo>
        <DisplayName>Sharkey, Susan</DisplayName>
        <AccountId>1734</AccountId>
        <AccountType/>
      </UserInfo>
      <UserInfo>
        <DisplayName>Silagi, William</DisplayName>
        <AccountId>256</AccountId>
        <AccountType/>
      </UserInfo>
      <UserInfo>
        <DisplayName>Comnes, Meredith</DisplayName>
        <AccountId>3752</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2023-06-15T15:52:52+00:00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8" ma:contentTypeDescription="Create a new document." ma:contentTypeScope="" ma:versionID="2339b61f2606bbf15f076d8ab4ba290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57355f7ee088fbf7c0e645697f72504"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BEFDE-1DDC-4968-BF28-1B6FD55E0EFF}">
  <ds:schemaRefs>
    <ds:schemaRef ds:uri="http://schemas.openxmlformats.org/officeDocument/2006/bibliography"/>
  </ds:schemaRefs>
</ds:datastoreItem>
</file>

<file path=customXml/itemProps2.xml><?xml version="1.0" encoding="utf-8"?>
<ds:datastoreItem xmlns:ds="http://schemas.openxmlformats.org/officeDocument/2006/customXml" ds:itemID="{FF444B56-BA86-4284-B1F7-B5381B365F4F}">
  <ds:schemaRefs>
    <ds:schemaRef ds:uri="http://purl.org/dc/elements/1.1/"/>
    <ds:schemaRef ds:uri="http://schemas.microsoft.com/office/2006/documentManagement/types"/>
    <ds:schemaRef ds:uri="http://schemas.openxmlformats.org/package/2006/metadata/core-properties"/>
    <ds:schemaRef ds:uri="a5d1ca4e-0a3f-4119-b619-e20b93ebd1aa"/>
    <ds:schemaRef ds:uri="http://schemas.microsoft.com/sharepoint/v3/fields"/>
    <ds:schemaRef ds:uri="http://purl.org/dc/terms/"/>
    <ds:schemaRef ds:uri="http://schemas.microsoft.com/sharepoint/v3"/>
    <ds:schemaRef ds:uri="9a50e4ce-b6ec-4690-8f1f-bcfa060d877d"/>
    <ds:schemaRef ds:uri="4ffa91fb-a0ff-4ac5-b2db-65c790d184a4"/>
    <ds:schemaRef ds:uri="http://schemas.microsoft.com/office/infopath/2007/PartnerControls"/>
    <ds:schemaRef ds:uri="http://www.w3.org/XML/1998/namespace"/>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6B7D12B-64EE-41AC-B330-341E1078089A}">
  <ds:schemaRefs>
    <ds:schemaRef ds:uri="Microsoft.SharePoint.Taxonomy.ContentTypeSync"/>
  </ds:schemaRefs>
</ds:datastoreItem>
</file>

<file path=customXml/itemProps4.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5.xml><?xml version="1.0" encoding="utf-8"?>
<ds:datastoreItem xmlns:ds="http://schemas.openxmlformats.org/officeDocument/2006/customXml" ds:itemID="{308FB17A-2015-450D-99AF-0FC0305E3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6576</Words>
  <Characters>37484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Johnson, Amaris</cp:lastModifiedBy>
  <cp:revision>2</cp:revision>
  <cp:lastPrinted>2023-06-15T15:05:00Z</cp:lastPrinted>
  <dcterms:created xsi:type="dcterms:W3CDTF">2023-07-11T14:50:00Z</dcterms:created>
  <dcterms:modified xsi:type="dcterms:W3CDTF">2023-07-11T14:50:00Z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