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GridTable1LightAccent5"/>
        <w:tblW w:w="13405" w:type="dxa"/>
        <w:tblInd w:w="-455" w:type="dxa"/>
        <w:tblLook w:val="04A0"/>
      </w:tblPr>
      <w:tblGrid>
        <w:gridCol w:w="2103"/>
        <w:gridCol w:w="2514"/>
        <w:gridCol w:w="4515"/>
        <w:gridCol w:w="4273"/>
      </w:tblGrid>
      <w:tr w14:paraId="63623162" w14:textId="56CD5D59" w:rsidTr="00597ADA">
        <w:tblPrEx>
          <w:tblW w:w="13405" w:type="dxa"/>
          <w:tblInd w:w="-455" w:type="dxa"/>
          <w:tblLook w:val="04A0"/>
        </w:tblPrEx>
        <w:tc>
          <w:tcPr>
            <w:tcW w:w="2103" w:type="dxa"/>
          </w:tcPr>
          <w:p w:rsidR="00597ADA" w14:paraId="23D20794" w14:textId="3AF31E52">
            <w:r>
              <w:t>Who</w:t>
            </w:r>
          </w:p>
        </w:tc>
        <w:tc>
          <w:tcPr>
            <w:tcW w:w="2514" w:type="dxa"/>
          </w:tcPr>
          <w:p w:rsidR="00597ADA" w14:paraId="4B798125" w14:textId="23778EE4">
            <w:r>
              <w:t>Comment</w:t>
            </w:r>
          </w:p>
        </w:tc>
        <w:tc>
          <w:tcPr>
            <w:tcW w:w="4515" w:type="dxa"/>
          </w:tcPr>
          <w:p w:rsidR="00597ADA" w14:paraId="0F5C541E" w14:textId="08648F3D">
            <w:r>
              <w:t xml:space="preserve">PRA </w:t>
            </w:r>
            <w:r>
              <w:t>Response</w:t>
            </w:r>
          </w:p>
        </w:tc>
        <w:tc>
          <w:tcPr>
            <w:tcW w:w="4273" w:type="dxa"/>
          </w:tcPr>
          <w:p w:rsidR="00597ADA" w14:paraId="1F83095C" w14:textId="4FE1C992">
            <w:r>
              <w:t>Background</w:t>
            </w:r>
          </w:p>
        </w:tc>
      </w:tr>
      <w:tr w14:paraId="09889917" w14:textId="010AC2BA" w:rsidTr="00597ADA">
        <w:tblPrEx>
          <w:tblW w:w="13405" w:type="dxa"/>
          <w:tblInd w:w="-455" w:type="dxa"/>
          <w:tblLook w:val="04A0"/>
        </w:tblPrEx>
        <w:tc>
          <w:tcPr>
            <w:tcW w:w="2103" w:type="dxa"/>
          </w:tcPr>
          <w:p w:rsidR="00597ADA" w:rsidRPr="00D70500" w14:paraId="490D5744" w14:textId="6555AADE">
            <w:pPr>
              <w:rPr>
                <w:b w:val="0"/>
                <w:bCs w:val="0"/>
              </w:rPr>
            </w:pPr>
            <w:r w:rsidRPr="00D70500">
              <w:rPr>
                <w:b w:val="0"/>
                <w:bCs w:val="0"/>
              </w:rPr>
              <w:t>Port</w:t>
            </w:r>
            <w:r>
              <w:rPr>
                <w:b w:val="0"/>
                <w:bCs w:val="0"/>
              </w:rPr>
              <w:t xml:space="preserve"> Authority of New York/New Jersey</w:t>
            </w:r>
          </w:p>
        </w:tc>
        <w:tc>
          <w:tcPr>
            <w:tcW w:w="2514" w:type="dxa"/>
          </w:tcPr>
          <w:p w:rsidR="00597ADA" w14:paraId="1FD99D4D" w14:textId="5CD49358">
            <w:bookmarkStart w:id="0" w:name="_Hlk152333598"/>
            <w:r>
              <w:t>FAA’s estimate of the annual public burden could be improved.</w:t>
            </w:r>
            <w:bookmarkEnd w:id="0"/>
          </w:p>
        </w:tc>
        <w:tc>
          <w:tcPr>
            <w:tcW w:w="4515" w:type="dxa"/>
          </w:tcPr>
          <w:p w:rsidR="00597ADA" w14:paraId="7A746564" w14:textId="77777777"/>
        </w:tc>
        <w:tc>
          <w:tcPr>
            <w:tcW w:w="4273" w:type="dxa"/>
          </w:tcPr>
          <w:p w:rsidR="00597ADA" w14:paraId="14DD04CF" w14:textId="77777777"/>
        </w:tc>
      </w:tr>
      <w:tr w14:paraId="4C67ADFD" w14:textId="7E0E2541" w:rsidTr="00597ADA">
        <w:tblPrEx>
          <w:tblW w:w="13405" w:type="dxa"/>
          <w:tblInd w:w="-455" w:type="dxa"/>
          <w:tblLook w:val="04A0"/>
        </w:tblPrEx>
        <w:tc>
          <w:tcPr>
            <w:tcW w:w="2103" w:type="dxa"/>
          </w:tcPr>
          <w:p w:rsidR="00B0203A" w:rsidP="00B0203A" w14:paraId="5865B775" w14:textId="77777777"/>
        </w:tc>
        <w:tc>
          <w:tcPr>
            <w:tcW w:w="2514" w:type="dxa"/>
          </w:tcPr>
          <w:p w:rsidR="00B0203A" w:rsidP="00B0203A" w14:paraId="513BF4DF" w14:textId="728EE4DE">
            <w:bookmarkStart w:id="1" w:name="_Hlk152333624"/>
            <w:r>
              <w:t>FAA estimates the annual public burden per Competition plan to be 150 hours or roughly 19 business days.  The Port Authority finds this estimate to be inaccurate, particularly for large hub airports when added due diligence seems to be necessary to ensure comprehensive reporting.</w:t>
            </w:r>
            <w:bookmarkEnd w:id="1"/>
          </w:p>
        </w:tc>
        <w:tc>
          <w:tcPr>
            <w:tcW w:w="4515" w:type="dxa"/>
          </w:tcPr>
          <w:p w:rsidR="00B0203A" w:rsidP="00B0203A" w14:paraId="042DE209" w14:textId="4A5831E3">
            <w:bookmarkStart w:id="2" w:name="_Hlk152333803"/>
            <w:r>
              <w:t>The FAA will take this comment into consideration.</w:t>
            </w:r>
            <w:bookmarkEnd w:id="2"/>
          </w:p>
        </w:tc>
        <w:tc>
          <w:tcPr>
            <w:tcW w:w="4273" w:type="dxa"/>
          </w:tcPr>
          <w:p w:rsidR="00B0203A" w:rsidP="00B0203A" w14:paraId="7FB832D2" w14:textId="717E859A">
            <w:r>
              <w:t xml:space="preserve">The FAA estimates the FAA’s burden hours to review each Competition Plan or Plan Update to be 30 hours.  The competition plan and plan update require coordination with multiple offices.  The burden hours do not include the time allowed for coordination with the offices reviewing the plans.  Some Competition Plans or Plan Updates are more complex and/or require further clarification and coordination.  Each clarification event requires additional time to allow for review and response of any concerns.  Only actual time in review is used to calculate the burden hours. </w:t>
            </w:r>
          </w:p>
        </w:tc>
      </w:tr>
      <w:tr w14:paraId="79FF084A" w14:textId="5882A2CA" w:rsidTr="00597ADA">
        <w:tblPrEx>
          <w:tblW w:w="13405" w:type="dxa"/>
          <w:tblInd w:w="-455" w:type="dxa"/>
          <w:tblLook w:val="04A0"/>
        </w:tblPrEx>
        <w:tc>
          <w:tcPr>
            <w:tcW w:w="2103" w:type="dxa"/>
          </w:tcPr>
          <w:p w:rsidR="00B0203A" w:rsidP="00B0203A" w14:paraId="1EF1DE25" w14:textId="77777777">
            <w:bookmarkStart w:id="3" w:name="_Hlk152333829"/>
          </w:p>
        </w:tc>
        <w:tc>
          <w:tcPr>
            <w:tcW w:w="2514" w:type="dxa"/>
          </w:tcPr>
          <w:p w:rsidR="00B0203A" w:rsidP="00B0203A" w14:paraId="3FE401C4" w14:textId="54A6B2F2">
            <w:r>
              <w:t xml:space="preserve">The Port Authority assumes the FAA’s burden was more than 19 hours, as the FAA reviewed this plan and submitted approval over the course of 293 calendar days, or 197 business days. Notwithstanding any changes to the reporting requirements for covered airports, the Port Authority recommends that FAA modify its estimated administrative </w:t>
            </w:r>
            <w:r>
              <w:t>burden to provide greater transparency to covered airports regarding how long they would be anticipated to await review and approval of a Competition Plan.</w:t>
            </w:r>
          </w:p>
        </w:tc>
        <w:tc>
          <w:tcPr>
            <w:tcW w:w="4515" w:type="dxa"/>
          </w:tcPr>
          <w:p w:rsidR="00B0203A" w:rsidP="00B0203A" w14:paraId="29248B41" w14:textId="1D51280A">
            <w:r>
              <w:t xml:space="preserve">The FAA estimates the FAA’s burden hours to review each Competition Plan or Plan Update to be 30 hours.  The competition plan and plan update require coordination with multiple offices.  The burden hours do not include the time allowed for coordination with the offices reviewing the plans.  Some Competition Plans or Plan Updates are more complex and/or require further clarification and coordination.  Each clarification event requires additional time to allow for review and response of any concerns.  Only actual time in review is used to calculate the burden hours. </w:t>
            </w:r>
          </w:p>
        </w:tc>
        <w:tc>
          <w:tcPr>
            <w:tcW w:w="4273" w:type="dxa"/>
          </w:tcPr>
          <w:p w:rsidR="00B0203A" w:rsidP="00B0203A" w14:paraId="26AC0D01" w14:textId="2E637067">
            <w:r>
              <w:t>PANYNJ submitted the competition plan on the last day of the fiscal year.  An initial review was performed. The FAA reached out to the internal stakeholders to discuss the approach for review and decision considering the slots element.  A comprehensive list of questions was drafted in collaboration with internal stakeholders</w:t>
            </w:r>
            <w:r w:rsidR="009B3ED2">
              <w:t>.</w:t>
            </w:r>
            <w:r>
              <w:t xml:space="preserve">  </w:t>
            </w:r>
            <w:r w:rsidR="009B3ED2">
              <w:t>A</w:t>
            </w:r>
            <w:r>
              <w:t xml:space="preserve"> meeting </w:t>
            </w:r>
            <w:r w:rsidR="009B3ED2">
              <w:t xml:space="preserve">was held </w:t>
            </w:r>
            <w:r>
              <w:t xml:space="preserve">with PANYNJ around the same time.  A follow-up meeting was supposed to be scheduled, but it is uncertain if it occurred.  The PANYNJ was supposed to provide </w:t>
            </w:r>
            <w:r w:rsidR="009B3ED2">
              <w:t xml:space="preserve">a </w:t>
            </w:r>
            <w:r>
              <w:t xml:space="preserve">written </w:t>
            </w:r>
            <w:r w:rsidR="009B3ED2">
              <w:t>response</w:t>
            </w:r>
            <w:r>
              <w:t xml:space="preserve"> by a certain date, </w:t>
            </w:r>
            <w:r w:rsidR="009B3ED2">
              <w:t>but</w:t>
            </w:r>
            <w:r>
              <w:t xml:space="preserve"> the PANYNJ kept pushing it out further and further.  The FAA received the response sometime in April or May.  The information </w:t>
            </w:r>
            <w:r>
              <w:t>was circulated to the internal stakeholders for review and coordination.  A letter was drafted and sent to the internal stakeholders for concurrence before a letter was issued July 19, 2023.  The entire process may have been 7 – 9 months instead of the normal 2-month process</w:t>
            </w:r>
            <w:r w:rsidR="009B3ED2">
              <w:t xml:space="preserve"> due to the additional coordination required to address the complex nature of the competition plan</w:t>
            </w:r>
            <w:r>
              <w:t>.</w:t>
            </w:r>
          </w:p>
        </w:tc>
      </w:tr>
      <w:bookmarkEnd w:id="3"/>
      <w:tr w14:paraId="123EC407" w14:textId="317BAF3D" w:rsidTr="00597ADA">
        <w:tblPrEx>
          <w:tblW w:w="13405" w:type="dxa"/>
          <w:tblInd w:w="-455" w:type="dxa"/>
          <w:tblLook w:val="04A0"/>
        </w:tblPrEx>
        <w:tc>
          <w:tcPr>
            <w:tcW w:w="2103" w:type="dxa"/>
          </w:tcPr>
          <w:p w:rsidR="00B0203A" w:rsidP="00B0203A" w14:paraId="408A958E" w14:textId="77777777"/>
        </w:tc>
        <w:tc>
          <w:tcPr>
            <w:tcW w:w="2514" w:type="dxa"/>
          </w:tcPr>
          <w:p w:rsidR="00B0203A" w:rsidP="00B0203A" w14:paraId="1F984FD7" w14:textId="4C345470">
            <w:bookmarkStart w:id="4" w:name="_Hlk152333892"/>
            <w:r>
              <w:t>FAA may consider improvements that could shorten its review and approval process of submitted competition plans.</w:t>
            </w:r>
            <w:bookmarkEnd w:id="4"/>
          </w:p>
        </w:tc>
        <w:tc>
          <w:tcPr>
            <w:tcW w:w="4515" w:type="dxa"/>
          </w:tcPr>
          <w:p w:rsidR="00B0203A" w:rsidP="00B0203A" w14:paraId="313BAA1F" w14:textId="1B220335">
            <w:bookmarkStart w:id="5" w:name="_Hlk152334039"/>
            <w:r>
              <w:t>The FAA will take this comment into consideration.</w:t>
            </w:r>
            <w:bookmarkEnd w:id="5"/>
          </w:p>
        </w:tc>
        <w:tc>
          <w:tcPr>
            <w:tcW w:w="4273" w:type="dxa"/>
          </w:tcPr>
          <w:p w:rsidR="00B0203A" w:rsidP="00B0203A" w14:paraId="70FE82C3" w14:textId="07D6E921">
            <w:r>
              <w:t xml:space="preserve">Due to the amount of information to cover and number of internal stakeholders involved in coordination, the process timeline is estimated </w:t>
            </w:r>
            <w:r w:rsidR="001A0BF2">
              <w:t>as</w:t>
            </w:r>
            <w:r w:rsidR="009B3ED2">
              <w:t xml:space="preserve"> 60 days. The FAA will look for </w:t>
            </w:r>
            <w:r w:rsidR="00D853E3">
              <w:t xml:space="preserve">possible </w:t>
            </w:r>
            <w:r w:rsidR="009B3ED2">
              <w:t>ways to reduce the time without compromising the ability to adequately review the information.</w:t>
            </w:r>
          </w:p>
        </w:tc>
      </w:tr>
      <w:tr w14:paraId="18B230CA" w14:textId="6EEB573E" w:rsidTr="00597ADA">
        <w:tblPrEx>
          <w:tblW w:w="13405" w:type="dxa"/>
          <w:tblInd w:w="-455" w:type="dxa"/>
          <w:tblLook w:val="04A0"/>
        </w:tblPrEx>
        <w:tc>
          <w:tcPr>
            <w:tcW w:w="2103" w:type="dxa"/>
          </w:tcPr>
          <w:p w:rsidR="00B0203A" w:rsidP="00B0203A" w14:paraId="0CF2FBBD" w14:textId="515646FA">
            <w:bookmarkStart w:id="6" w:name="_Hlk152334073"/>
            <w:r w:rsidRPr="00D70500">
              <w:rPr>
                <w:b w:val="0"/>
                <w:bCs w:val="0"/>
              </w:rPr>
              <w:t>Port</w:t>
            </w:r>
            <w:r>
              <w:rPr>
                <w:b w:val="0"/>
                <w:bCs w:val="0"/>
              </w:rPr>
              <w:t xml:space="preserve"> Authority of New York/New Jersey</w:t>
            </w:r>
          </w:p>
        </w:tc>
        <w:tc>
          <w:tcPr>
            <w:tcW w:w="2514" w:type="dxa"/>
          </w:tcPr>
          <w:p w:rsidR="00B0203A" w:rsidP="00B0203A" w14:paraId="60B0482A" w14:textId="7A67FB7B">
            <w:bookmarkStart w:id="7" w:name="_Hlk152334064"/>
            <w:r>
              <w:t xml:space="preserve">Certain capacity-constrained airports do not have sufficient information regarding air carrier access </w:t>
            </w:r>
            <w:bookmarkEnd w:id="7"/>
            <w:r>
              <w:t>to airports to prepare meaningful competition plans.</w:t>
            </w:r>
          </w:p>
        </w:tc>
        <w:tc>
          <w:tcPr>
            <w:tcW w:w="4515" w:type="dxa"/>
          </w:tcPr>
          <w:p w:rsidR="00B0203A" w:rsidP="00B0203A" w14:paraId="65CD7089" w14:textId="27A7D34F">
            <w:r>
              <w:t>49 U.S.C. 47106(f) defines the type of airport to file a competition plan.  The FAA does not have authority to change the type of airport required to file this plan.</w:t>
            </w:r>
          </w:p>
        </w:tc>
        <w:tc>
          <w:tcPr>
            <w:tcW w:w="4273" w:type="dxa"/>
          </w:tcPr>
          <w:p w:rsidR="00B0203A" w:rsidP="00B0203A" w14:paraId="557ECEA6" w14:textId="1A9340CE">
            <w:r>
              <w:t>Much of the competition plan is review</w:t>
            </w:r>
            <w:r w:rsidR="002F0A42">
              <w:t>ing of</w:t>
            </w:r>
            <w:r>
              <w:t xml:space="preserve"> the airport’s lease </w:t>
            </w:r>
            <w:r w:rsidR="00D853E3">
              <w:t xml:space="preserve">with air carriers.  The review identifies </w:t>
            </w:r>
            <w:r w:rsidR="00DF78AB">
              <w:t>pro-competitive</w:t>
            </w:r>
            <w:r w:rsidR="00D853E3">
              <w:t xml:space="preserve"> practices</w:t>
            </w:r>
            <w:r w:rsidR="00DA4C84">
              <w:t>, transparency</w:t>
            </w:r>
            <w:r w:rsidR="00D853E3">
              <w:t xml:space="preserve"> and </w:t>
            </w:r>
            <w:r w:rsidR="00DF78AB">
              <w:t>potential deficiencies</w:t>
            </w:r>
            <w:r>
              <w:t xml:space="preserve"> </w:t>
            </w:r>
            <w:r w:rsidR="00DF78AB">
              <w:t xml:space="preserve">meeting the requirements of the statutes, </w:t>
            </w:r>
            <w:r w:rsidR="00DF78AB">
              <w:t>regulation,  and</w:t>
            </w:r>
            <w:r w:rsidR="00DF78AB">
              <w:t xml:space="preserve"> assurances.</w:t>
            </w:r>
            <w:r w:rsidR="00706066">
              <w:br/>
            </w:r>
          </w:p>
        </w:tc>
      </w:tr>
      <w:tr w14:paraId="4C08B816" w14:textId="7CCA8A25" w:rsidTr="00597ADA">
        <w:tblPrEx>
          <w:tblW w:w="13405" w:type="dxa"/>
          <w:tblInd w:w="-455" w:type="dxa"/>
          <w:tblLook w:val="04A0"/>
        </w:tblPrEx>
        <w:tc>
          <w:tcPr>
            <w:tcW w:w="2103" w:type="dxa"/>
          </w:tcPr>
          <w:p w:rsidR="00B0203A" w:rsidP="00B0203A" w14:paraId="07067500" w14:textId="77777777">
            <w:bookmarkStart w:id="8" w:name="_Hlk152334098"/>
            <w:bookmarkEnd w:id="6"/>
          </w:p>
        </w:tc>
        <w:tc>
          <w:tcPr>
            <w:tcW w:w="2514" w:type="dxa"/>
          </w:tcPr>
          <w:p w:rsidR="00B0203A" w:rsidP="00B0203A" w14:paraId="1DC33CA5" w14:textId="732DC8CC">
            <w:r>
              <w:t>FAA’s exclusive control over Slot Coordination and Schedule Facilitation severely impacts the ability of those airports to encourage new entrants and incumbents to commence or expand service.</w:t>
            </w:r>
          </w:p>
        </w:tc>
        <w:tc>
          <w:tcPr>
            <w:tcW w:w="4515" w:type="dxa"/>
          </w:tcPr>
          <w:p w:rsidR="00B0203A" w:rsidP="00B0203A" w14:paraId="65FA4FE5" w14:textId="5657CCFE">
            <w:bookmarkStart w:id="9" w:name="_Hlk152334109"/>
            <w:r>
              <w:t>The FAA takes into consideration unique circumstances of each airport when reviewing the competition plans.</w:t>
            </w:r>
            <w:bookmarkEnd w:id="9"/>
          </w:p>
        </w:tc>
        <w:tc>
          <w:tcPr>
            <w:tcW w:w="4273" w:type="dxa"/>
          </w:tcPr>
          <w:p w:rsidR="00706066" w:rsidP="00B0203A" w14:paraId="35EDF003" w14:textId="793A87BE">
            <w:r>
              <w:t>The competition plan looks at:</w:t>
            </w:r>
          </w:p>
          <w:p w:rsidR="00706066" w:rsidRPr="00706066" w:rsidP="00706066" w14:paraId="34FDF45E" w14:textId="3659BAE7">
            <w:pPr>
              <w:pStyle w:val="ListParagraph"/>
              <w:numPr>
                <w:ilvl w:val="0"/>
                <w:numId w:val="1"/>
              </w:numPr>
              <w:rPr>
                <w:rFonts w:asciiTheme="minorHAnsi" w:hAnsiTheme="minorHAnsi" w:cstheme="minorHAnsi"/>
              </w:rPr>
            </w:pPr>
            <w:r w:rsidRPr="00706066">
              <w:rPr>
                <w:rFonts w:asciiTheme="minorHAnsi" w:hAnsiTheme="minorHAnsi" w:cstheme="minorHAnsi"/>
              </w:rPr>
              <w:t xml:space="preserve">The availability of airport gates and related facilities, </w:t>
            </w:r>
          </w:p>
          <w:p w:rsidR="00706066" w:rsidRPr="00706066" w:rsidP="00706066" w14:paraId="17BEF0EE" w14:textId="55768294">
            <w:pPr>
              <w:pStyle w:val="ListParagraph"/>
              <w:numPr>
                <w:ilvl w:val="0"/>
                <w:numId w:val="1"/>
              </w:numPr>
              <w:rPr>
                <w:rFonts w:asciiTheme="minorHAnsi" w:hAnsiTheme="minorHAnsi" w:cstheme="minorHAnsi"/>
              </w:rPr>
            </w:pPr>
            <w:r w:rsidRPr="00706066">
              <w:rPr>
                <w:rFonts w:asciiTheme="minorHAnsi" w:hAnsiTheme="minorHAnsi" w:cstheme="minorHAnsi"/>
              </w:rPr>
              <w:t xml:space="preserve">reviews the lease and subleasing arrangements to ensure the airport has a process to accommodate new or expanding carriers, </w:t>
            </w:r>
          </w:p>
          <w:p w:rsidR="00706066" w:rsidRPr="00706066" w:rsidP="00706066" w14:paraId="0EA0C368" w14:textId="7067301A">
            <w:pPr>
              <w:pStyle w:val="ListParagraph"/>
              <w:numPr>
                <w:ilvl w:val="0"/>
                <w:numId w:val="1"/>
              </w:numPr>
            </w:pPr>
            <w:r w:rsidRPr="00706066">
              <w:rPr>
                <w:rFonts w:asciiTheme="minorHAnsi" w:hAnsiTheme="minorHAnsi" w:cstheme="minorHAnsi"/>
              </w:rPr>
              <w:t xml:space="preserve">gate use requirements </w:t>
            </w:r>
            <w:r w:rsidR="0057713C">
              <w:rPr>
                <w:rFonts w:asciiTheme="minorHAnsi" w:hAnsiTheme="minorHAnsi" w:cstheme="minorHAnsi"/>
              </w:rPr>
              <w:t xml:space="preserve">to review </w:t>
            </w:r>
            <w:r w:rsidRPr="00706066">
              <w:rPr>
                <w:rFonts w:asciiTheme="minorHAnsi" w:hAnsiTheme="minorHAnsi" w:cstheme="minorHAnsi"/>
              </w:rPr>
              <w:t>the airport</w:t>
            </w:r>
            <w:r w:rsidR="0057713C">
              <w:rPr>
                <w:rFonts w:asciiTheme="minorHAnsi" w:hAnsiTheme="minorHAnsi" w:cstheme="minorHAnsi"/>
              </w:rPr>
              <w:t>’s</w:t>
            </w:r>
            <w:r w:rsidRPr="00706066">
              <w:rPr>
                <w:rFonts w:asciiTheme="minorHAnsi" w:hAnsiTheme="minorHAnsi" w:cstheme="minorHAnsi"/>
              </w:rPr>
              <w:t xml:space="preserve"> process to recapture gates, </w:t>
            </w:r>
          </w:p>
          <w:p w:rsidR="00B0203A" w:rsidP="00706066" w14:paraId="3006E0B3" w14:textId="3582A2B6">
            <w:pPr>
              <w:pStyle w:val="ListParagraph"/>
              <w:numPr>
                <w:ilvl w:val="0"/>
                <w:numId w:val="1"/>
              </w:numPr>
              <w:rPr>
                <w:rFonts w:asciiTheme="minorHAnsi" w:hAnsiTheme="minorHAnsi" w:cstheme="minorHAnsi"/>
              </w:rPr>
            </w:pPr>
            <w:r w:rsidRPr="00706066">
              <w:rPr>
                <w:rFonts w:asciiTheme="minorHAnsi" w:hAnsiTheme="minorHAnsi" w:cstheme="minorHAnsi"/>
              </w:rPr>
              <w:t>gate-assignment policy so existing and new entrant air carriers</w:t>
            </w:r>
            <w:r>
              <w:rPr>
                <w:rFonts w:asciiTheme="minorHAnsi" w:hAnsiTheme="minorHAnsi" w:cstheme="minorHAnsi"/>
              </w:rPr>
              <w:t xml:space="preserve"> know the method of announcing </w:t>
            </w:r>
            <w:r w:rsidR="0057713C">
              <w:rPr>
                <w:rFonts w:asciiTheme="minorHAnsi" w:hAnsiTheme="minorHAnsi" w:cstheme="minorHAnsi"/>
              </w:rPr>
              <w:t xml:space="preserve">gate </w:t>
            </w:r>
            <w:r w:rsidR="00DF78AB">
              <w:rPr>
                <w:rFonts w:asciiTheme="minorHAnsi" w:hAnsiTheme="minorHAnsi" w:cstheme="minorHAnsi"/>
              </w:rPr>
              <w:t>availability.</w:t>
            </w:r>
          </w:p>
          <w:p w:rsidR="0057713C" w:rsidP="00706066" w14:paraId="166CF41D" w14:textId="77777777">
            <w:pPr>
              <w:pStyle w:val="ListParagraph"/>
              <w:numPr>
                <w:ilvl w:val="0"/>
                <w:numId w:val="1"/>
              </w:numPr>
              <w:rPr>
                <w:rFonts w:asciiTheme="minorHAnsi" w:hAnsiTheme="minorHAnsi" w:cstheme="minorHAnsi"/>
              </w:rPr>
            </w:pPr>
            <w:r>
              <w:rPr>
                <w:rFonts w:asciiTheme="minorHAnsi" w:hAnsiTheme="minorHAnsi" w:cstheme="minorHAnsi"/>
              </w:rPr>
              <w:t>Airport controls over air and ground-side capacity.  The FAA pays particular attention to MII conditions and the effect they may have on capital construction projects.</w:t>
            </w:r>
          </w:p>
          <w:p w:rsidR="0057713C" w:rsidRPr="00773AD1" w:rsidP="00773AD1" w14:paraId="0122B777" w14:textId="741747E8">
            <w:pPr>
              <w:rPr>
                <w:rFonts w:cstheme="minorHAnsi"/>
              </w:rPr>
            </w:pPr>
            <w:r w:rsidRPr="00773AD1">
              <w:rPr>
                <w:rFonts w:cstheme="minorHAnsi"/>
              </w:rPr>
              <w:t>The competition plan review</w:t>
            </w:r>
            <w:r w:rsidRPr="00773AD1" w:rsidR="00094571">
              <w:rPr>
                <w:rFonts w:cstheme="minorHAnsi"/>
              </w:rPr>
              <w:t>s</w:t>
            </w:r>
            <w:r w:rsidRPr="00773AD1">
              <w:rPr>
                <w:rFonts w:cstheme="minorHAnsi"/>
              </w:rPr>
              <w:t xml:space="preserve"> the </w:t>
            </w:r>
            <w:r w:rsidRPr="00773AD1" w:rsidR="00094571">
              <w:rPr>
                <w:rFonts w:cstheme="minorHAnsi"/>
              </w:rPr>
              <w:t xml:space="preserve">sponsor’s </w:t>
            </w:r>
            <w:r w:rsidRPr="00773AD1" w:rsidR="00773AD1">
              <w:rPr>
                <w:rFonts w:cstheme="minorHAnsi"/>
              </w:rPr>
              <w:t>lease</w:t>
            </w:r>
            <w:r w:rsidR="00773AD1">
              <w:rPr>
                <w:rFonts w:cstheme="minorHAnsi"/>
              </w:rPr>
              <w:t xml:space="preserve"> and other documents for the airport’s process to convey information to new and expanding air carriers.  The completion plan</w:t>
            </w:r>
          </w:p>
        </w:tc>
      </w:tr>
      <w:bookmarkEnd w:id="8"/>
      <w:tr w14:paraId="3E0D8D1D" w14:textId="2BE4F3D3" w:rsidTr="00597ADA">
        <w:tblPrEx>
          <w:tblW w:w="13405" w:type="dxa"/>
          <w:tblInd w:w="-455" w:type="dxa"/>
          <w:tblLook w:val="04A0"/>
        </w:tblPrEx>
        <w:tc>
          <w:tcPr>
            <w:tcW w:w="2103" w:type="dxa"/>
          </w:tcPr>
          <w:p w:rsidR="00B0203A" w:rsidP="00B0203A" w14:paraId="058AEF86" w14:textId="65020315">
            <w:r w:rsidRPr="00D70500">
              <w:rPr>
                <w:b w:val="0"/>
                <w:bCs w:val="0"/>
              </w:rPr>
              <w:t>Port</w:t>
            </w:r>
            <w:r>
              <w:rPr>
                <w:b w:val="0"/>
                <w:bCs w:val="0"/>
              </w:rPr>
              <w:t xml:space="preserve"> Authority of New York/New Jersey</w:t>
            </w:r>
          </w:p>
        </w:tc>
        <w:tc>
          <w:tcPr>
            <w:tcW w:w="2514" w:type="dxa"/>
          </w:tcPr>
          <w:p w:rsidR="00B0203A" w:rsidP="00B0203A" w14:paraId="3E139EC1" w14:textId="24D42AE0">
            <w:bookmarkStart w:id="10" w:name="_Hlk152334158"/>
            <w:r>
              <w:t>The proposed collection of information may be unnecessary for the FAA’s performance when triggered by extraordinary circumstances.</w:t>
            </w:r>
            <w:bookmarkEnd w:id="10"/>
          </w:p>
        </w:tc>
        <w:tc>
          <w:tcPr>
            <w:tcW w:w="4515" w:type="dxa"/>
          </w:tcPr>
          <w:p w:rsidR="00B0203A" w:rsidP="00B0203A" w14:paraId="11BE1900" w14:textId="0FD2527D">
            <w:bookmarkStart w:id="11" w:name="_Hlk152334182"/>
            <w:r>
              <w:t xml:space="preserve">49 U.S.C. 47106(f) does </w:t>
            </w:r>
            <w:r w:rsidR="006D04D4">
              <w:t>contain any exceptions during COVID</w:t>
            </w:r>
            <w:r>
              <w:t xml:space="preserve">.  </w:t>
            </w:r>
            <w:bookmarkEnd w:id="11"/>
          </w:p>
        </w:tc>
        <w:tc>
          <w:tcPr>
            <w:tcW w:w="4273" w:type="dxa"/>
          </w:tcPr>
          <w:p w:rsidR="00B0203A" w:rsidP="00B0203A" w14:paraId="096AA3D9" w14:textId="10A3E4FD">
            <w:r>
              <w:t xml:space="preserve">Congress did not </w:t>
            </w:r>
            <w:r w:rsidR="006D04D4">
              <w:t>provide an</w:t>
            </w:r>
            <w:r>
              <w:t xml:space="preserve"> exception </w:t>
            </w:r>
            <w:r w:rsidR="006D04D4">
              <w:t>during</w:t>
            </w:r>
            <w:r>
              <w:t xml:space="preserve"> COVID</w:t>
            </w:r>
            <w:r w:rsidR="00E93E39">
              <w:t xml:space="preserve"> for </w:t>
            </w:r>
            <w:r w:rsidR="00E93E39">
              <w:t xml:space="preserve">49 USC 47106(f) </w:t>
            </w:r>
          </w:p>
        </w:tc>
      </w:tr>
      <w:tr w14:paraId="5D9F0EBF" w14:textId="5B1C71AB" w:rsidTr="00597ADA">
        <w:tblPrEx>
          <w:tblW w:w="13405" w:type="dxa"/>
          <w:tblInd w:w="-455" w:type="dxa"/>
          <w:tblLook w:val="04A0"/>
        </w:tblPrEx>
        <w:tc>
          <w:tcPr>
            <w:tcW w:w="2103" w:type="dxa"/>
          </w:tcPr>
          <w:p w:rsidR="00B0203A" w:rsidP="00B0203A" w14:paraId="28EB7411" w14:textId="77777777"/>
        </w:tc>
        <w:tc>
          <w:tcPr>
            <w:tcW w:w="2514" w:type="dxa"/>
          </w:tcPr>
          <w:p w:rsidR="00B0203A" w:rsidP="00B0203A" w14:paraId="6BD0848B" w14:textId="793A82A5">
            <w:bookmarkStart w:id="12" w:name="_Hlk152334347"/>
            <w:r>
              <w:t xml:space="preserve">The composition of passenger enplanement during the period based on 2020 passenger </w:t>
            </w:r>
            <w:r>
              <w:t>boardings  was</w:t>
            </w:r>
            <w:r>
              <w:t xml:space="preserve"> highly altered by (1) the effect of the COVID-19 pandemic on global air travel and (certain air carriers’ response to FAA’s waiver of the slot usage requirement.</w:t>
            </w:r>
            <w:bookmarkEnd w:id="12"/>
          </w:p>
        </w:tc>
        <w:tc>
          <w:tcPr>
            <w:tcW w:w="4515" w:type="dxa"/>
          </w:tcPr>
          <w:p w:rsidR="00B0203A" w:rsidP="00B0203A" w14:paraId="3979B691" w14:textId="54BFF597"/>
        </w:tc>
        <w:tc>
          <w:tcPr>
            <w:tcW w:w="4273" w:type="dxa"/>
          </w:tcPr>
          <w:p w:rsidR="00B0203A" w:rsidP="00B0203A" w14:paraId="6D41874B" w14:textId="7D903DEB">
            <w:r>
              <w:t>JFK became a covered airport based CY2020 enplanements.  The enplanements continue to recover in CY2022.  JFK continues to be a covered airport</w:t>
            </w:r>
            <w:r w:rsidR="006D04D4">
              <w:t xml:space="preserve">. </w:t>
            </w:r>
            <w:r>
              <w:t xml:space="preserve"> </w:t>
            </w:r>
          </w:p>
        </w:tc>
      </w:tr>
    </w:tbl>
    <w:p w:rsidR="00E470F7" w14:paraId="06247415" w14:textId="77777777"/>
    <w:sectPr w:rsidSect="00597AD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CBA2033"/>
    <w:multiLevelType w:val="hybridMultilevel"/>
    <w:tmpl w:val="4ECC584C"/>
    <w:lvl w:ilvl="0">
      <w:start w:val="1"/>
      <w:numFmt w:val="bullet"/>
      <w:lvlText w:val=""/>
      <w:lvlJc w:val="left"/>
      <w:pPr>
        <w:ind w:left="766" w:hanging="360"/>
      </w:pPr>
      <w:rPr>
        <w:rFonts w:ascii="Symbol" w:hAnsi="Symbol" w:hint="default"/>
      </w:rPr>
    </w:lvl>
    <w:lvl w:ilvl="1" w:tentative="1">
      <w:start w:val="1"/>
      <w:numFmt w:val="bullet"/>
      <w:lvlText w:val="o"/>
      <w:lvlJc w:val="left"/>
      <w:pPr>
        <w:ind w:left="1486" w:hanging="360"/>
      </w:pPr>
      <w:rPr>
        <w:rFonts w:ascii="Courier New" w:hAnsi="Courier New" w:cs="Courier New" w:hint="default"/>
      </w:rPr>
    </w:lvl>
    <w:lvl w:ilvl="2" w:tentative="1">
      <w:start w:val="1"/>
      <w:numFmt w:val="bullet"/>
      <w:lvlText w:val=""/>
      <w:lvlJc w:val="left"/>
      <w:pPr>
        <w:ind w:left="2206" w:hanging="360"/>
      </w:pPr>
      <w:rPr>
        <w:rFonts w:ascii="Wingdings" w:hAnsi="Wingdings" w:hint="default"/>
      </w:rPr>
    </w:lvl>
    <w:lvl w:ilvl="3" w:tentative="1">
      <w:start w:val="1"/>
      <w:numFmt w:val="bullet"/>
      <w:lvlText w:val=""/>
      <w:lvlJc w:val="left"/>
      <w:pPr>
        <w:ind w:left="2926" w:hanging="360"/>
      </w:pPr>
      <w:rPr>
        <w:rFonts w:ascii="Symbol" w:hAnsi="Symbol" w:hint="default"/>
      </w:rPr>
    </w:lvl>
    <w:lvl w:ilvl="4" w:tentative="1">
      <w:start w:val="1"/>
      <w:numFmt w:val="bullet"/>
      <w:lvlText w:val="o"/>
      <w:lvlJc w:val="left"/>
      <w:pPr>
        <w:ind w:left="3646" w:hanging="360"/>
      </w:pPr>
      <w:rPr>
        <w:rFonts w:ascii="Courier New" w:hAnsi="Courier New" w:cs="Courier New" w:hint="default"/>
      </w:rPr>
    </w:lvl>
    <w:lvl w:ilvl="5" w:tentative="1">
      <w:start w:val="1"/>
      <w:numFmt w:val="bullet"/>
      <w:lvlText w:val=""/>
      <w:lvlJc w:val="left"/>
      <w:pPr>
        <w:ind w:left="4366" w:hanging="360"/>
      </w:pPr>
      <w:rPr>
        <w:rFonts w:ascii="Wingdings" w:hAnsi="Wingdings" w:hint="default"/>
      </w:rPr>
    </w:lvl>
    <w:lvl w:ilvl="6" w:tentative="1">
      <w:start w:val="1"/>
      <w:numFmt w:val="bullet"/>
      <w:lvlText w:val=""/>
      <w:lvlJc w:val="left"/>
      <w:pPr>
        <w:ind w:left="5086" w:hanging="360"/>
      </w:pPr>
      <w:rPr>
        <w:rFonts w:ascii="Symbol" w:hAnsi="Symbol" w:hint="default"/>
      </w:rPr>
    </w:lvl>
    <w:lvl w:ilvl="7" w:tentative="1">
      <w:start w:val="1"/>
      <w:numFmt w:val="bullet"/>
      <w:lvlText w:val="o"/>
      <w:lvlJc w:val="left"/>
      <w:pPr>
        <w:ind w:left="5806" w:hanging="360"/>
      </w:pPr>
      <w:rPr>
        <w:rFonts w:ascii="Courier New" w:hAnsi="Courier New" w:cs="Courier New" w:hint="default"/>
      </w:rPr>
    </w:lvl>
    <w:lvl w:ilvl="8" w:tentative="1">
      <w:start w:val="1"/>
      <w:numFmt w:val="bullet"/>
      <w:lvlText w:val=""/>
      <w:lvlJc w:val="left"/>
      <w:pPr>
        <w:ind w:left="6526" w:hanging="360"/>
      </w:pPr>
      <w:rPr>
        <w:rFonts w:ascii="Wingdings" w:hAnsi="Wingdings" w:hint="default"/>
      </w:rPr>
    </w:lvl>
  </w:abstractNum>
  <w:num w:numId="1" w16cid:durableId="321739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00"/>
    <w:rsid w:val="00065497"/>
    <w:rsid w:val="00082842"/>
    <w:rsid w:val="00094571"/>
    <w:rsid w:val="000F5CC3"/>
    <w:rsid w:val="00180E15"/>
    <w:rsid w:val="001A0BF2"/>
    <w:rsid w:val="001D3D75"/>
    <w:rsid w:val="002A3454"/>
    <w:rsid w:val="002F0A42"/>
    <w:rsid w:val="003A33D9"/>
    <w:rsid w:val="003B2616"/>
    <w:rsid w:val="0057713C"/>
    <w:rsid w:val="00597ADA"/>
    <w:rsid w:val="005B760D"/>
    <w:rsid w:val="005D0238"/>
    <w:rsid w:val="00657746"/>
    <w:rsid w:val="0067710A"/>
    <w:rsid w:val="006938CB"/>
    <w:rsid w:val="006D04D4"/>
    <w:rsid w:val="00706066"/>
    <w:rsid w:val="00773AD1"/>
    <w:rsid w:val="00782313"/>
    <w:rsid w:val="008B475D"/>
    <w:rsid w:val="00980AB1"/>
    <w:rsid w:val="00993ABF"/>
    <w:rsid w:val="009A7499"/>
    <w:rsid w:val="009B3ED2"/>
    <w:rsid w:val="00A855CC"/>
    <w:rsid w:val="00AA7BB0"/>
    <w:rsid w:val="00AD33DE"/>
    <w:rsid w:val="00B0203A"/>
    <w:rsid w:val="00B22C08"/>
    <w:rsid w:val="00BE2226"/>
    <w:rsid w:val="00D64725"/>
    <w:rsid w:val="00D70500"/>
    <w:rsid w:val="00D71501"/>
    <w:rsid w:val="00D853E3"/>
    <w:rsid w:val="00DA4C84"/>
    <w:rsid w:val="00DF23B5"/>
    <w:rsid w:val="00DF78AB"/>
    <w:rsid w:val="00E2486F"/>
    <w:rsid w:val="00E4351E"/>
    <w:rsid w:val="00E470F7"/>
    <w:rsid w:val="00E93E39"/>
    <w:rsid w:val="00EF5A49"/>
    <w:rsid w:val="00F510BD"/>
    <w:rsid w:val="00F57078"/>
    <w:rsid w:val="00FE4F5B"/>
    <w:rsid w:val="00FF16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7D26D1"/>
  <w15:chartTrackingRefBased/>
  <w15:docId w15:val="{5B97A74A-DC04-4789-8596-F68460DD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7710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7710A"/>
    <w:rPr>
      <w:rFonts w:ascii="Times New Roman" w:eastAsia="Times New Roman" w:hAnsi="Times New Roman" w:cs="Times New Roman"/>
      <w:sz w:val="24"/>
      <w:szCs w:val="24"/>
    </w:rPr>
  </w:style>
  <w:style w:type="paragraph" w:styleId="ListParagraph">
    <w:name w:val="List Paragraph"/>
    <w:basedOn w:val="Normal"/>
    <w:uiPriority w:val="1"/>
    <w:qFormat/>
    <w:rsid w:val="0067710A"/>
    <w:pPr>
      <w:widowControl w:val="0"/>
      <w:autoSpaceDE w:val="0"/>
      <w:autoSpaceDN w:val="0"/>
      <w:spacing w:after="0" w:line="240" w:lineRule="auto"/>
      <w:ind w:left="820" w:hanging="360"/>
    </w:pPr>
    <w:rPr>
      <w:rFonts w:ascii="Times New Roman" w:eastAsia="Times New Roman" w:hAnsi="Times New Roman" w:cs="Times New Roman"/>
    </w:rPr>
  </w:style>
  <w:style w:type="table" w:styleId="TableGrid">
    <w:name w:val="Table Grid"/>
    <w:basedOn w:val="TableNormal"/>
    <w:uiPriority w:val="39"/>
    <w:rsid w:val="00D70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D70500"/>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4E30-3ADF-4071-8FDD-A1B707F2A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3</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Jane (FAA)</dc:creator>
  <cp:lastModifiedBy>Johnson, Jane (FAA)</cp:lastModifiedBy>
  <cp:revision>8</cp:revision>
  <dcterms:created xsi:type="dcterms:W3CDTF">2023-11-06T19:09:00Z</dcterms:created>
  <dcterms:modified xsi:type="dcterms:W3CDTF">2023-12-18T16:34:00Z</dcterms:modified>
</cp:coreProperties>
</file>