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38CF" w:rsidP="0075306D" w14:paraId="5D228493" w14:textId="501E7FD6"/>
    <w:p w:rsidR="00D14FB5" w:rsidP="0075306D" w14:paraId="147697A2" w14:textId="233F164C">
      <w:pPr>
        <w:pStyle w:val="NoSpacing"/>
        <w:jc w:val="center"/>
        <w:rPr>
          <w:b/>
          <w:bCs/>
        </w:rPr>
      </w:pPr>
      <w:bookmarkStart w:id="0" w:name="_Hlk108527486"/>
      <w:r>
        <w:rPr>
          <w:b/>
          <w:bCs/>
        </w:rPr>
        <w:t>Evaluation of the Eviction Protection Grant Program</w:t>
      </w:r>
    </w:p>
    <w:p w:rsidR="00BF38CF" w:rsidRPr="00641266" w:rsidP="0075306D" w14:paraId="06A94F97" w14:textId="04B54807">
      <w:pPr>
        <w:pStyle w:val="NoSpacing"/>
        <w:jc w:val="center"/>
        <w:rPr>
          <w:b/>
          <w:bCs/>
        </w:rPr>
      </w:pPr>
      <w:r w:rsidRPr="00641266">
        <w:rPr>
          <w:b/>
          <w:bCs/>
        </w:rPr>
        <w:t xml:space="preserve">Part A </w:t>
      </w:r>
      <w:r w:rsidRPr="00641266">
        <w:rPr>
          <w:b/>
          <w:bCs/>
        </w:rPr>
        <w:t>Supporting Statement for Paperwork Reduction Act Submission</w:t>
      </w:r>
    </w:p>
    <w:bookmarkEnd w:id="0"/>
    <w:p w:rsidR="00BF38CF" w:rsidRPr="0061554B" w:rsidP="0075306D" w14:paraId="285EF580" w14:textId="77777777">
      <w:pPr>
        <w:pStyle w:val="NoSpacing"/>
      </w:pPr>
    </w:p>
    <w:p w:rsidR="00BF38CF" w:rsidRPr="0075306D" w:rsidP="006870B9" w14:paraId="5DFCF854" w14:textId="77777777">
      <w:pPr>
        <w:pStyle w:val="Heading1"/>
      </w:pPr>
      <w:bookmarkStart w:id="1" w:name="_Hlk108527294"/>
      <w:r w:rsidRPr="0075306D">
        <w:t>A. Justification</w:t>
      </w:r>
    </w:p>
    <w:bookmarkEnd w:id="1"/>
    <w:p w:rsidR="00BF38CF" w:rsidRPr="00135146" w:rsidP="0075306D" w14:paraId="4CCF9DA2" w14:textId="77777777">
      <w:pPr>
        <w:pStyle w:val="NoSpacing"/>
        <w:rPr>
          <w:b/>
          <w:bCs/>
        </w:rPr>
      </w:pPr>
    </w:p>
    <w:p w:rsidR="00BF38CF" w:rsidRPr="0075306D" w:rsidP="006870B9" w14:paraId="53DF3800" w14:textId="3CD247B7">
      <w:pPr>
        <w:pStyle w:val="Heading2"/>
      </w:pPr>
      <w:r w:rsidRPr="0075306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38CF" w:rsidP="0075306D" w14:paraId="35744446" w14:textId="53B72335">
      <w:pPr>
        <w:widowControl w:val="0"/>
        <w:kinsoku w:val="0"/>
        <w:ind w:left="360"/>
        <w:rPr>
          <w:b/>
          <w:bCs/>
        </w:rPr>
      </w:pPr>
    </w:p>
    <w:p w:rsidR="002861C0" w:rsidP="0075306D" w14:paraId="4AC3692C" w14:textId="0DD0A227">
      <w:r w:rsidRPr="00D970EF">
        <w:t xml:space="preserve">The U.S. Department of Housing and Urban Development (HUD)’s Office of Policy Development and Research (PD&amp;R) is undertaking an evaluation of the Eviction Protection Grant Program. </w:t>
      </w:r>
      <w:r w:rsidRPr="00EA1C48" w:rsidR="00EA1C48">
        <w:t xml:space="preserve">The overall purpose of the Eviction Protection Grant Program is to support experienced legal service providers, not limited to legal service corporations, in providing legal assistance at no cost to low-income tenants at risk of or subject to eviction. In 2021, HUD selected 10 grantees for the first round of awards, and in FY 2022, HUD selected 11 additional grantees for the second round of awards. HUD’s evaluation of the Eviction Protection Grant Program will include data collection from the first two rounds of 21 grantees and </w:t>
      </w:r>
      <w:r w:rsidR="00931245">
        <w:t>21</w:t>
      </w:r>
      <w:r w:rsidRPr="00EA1C48" w:rsidR="00931245">
        <w:t xml:space="preserve"> </w:t>
      </w:r>
      <w:r w:rsidRPr="00EA1C48" w:rsidR="00EA1C48">
        <w:t xml:space="preserve">subrecipients that are helping to administer the program, as well as program participants.  </w:t>
      </w:r>
    </w:p>
    <w:p w:rsidR="00FC59A8" w:rsidP="0075306D" w14:paraId="592D6538" w14:textId="77777777"/>
    <w:p w:rsidR="00BF071F" w:rsidRPr="00D970EF" w:rsidP="0075306D" w14:paraId="36E02A36" w14:textId="390E2C4D">
      <w:pPr>
        <w:rPr>
          <w:shd w:val="clear" w:color="auto" w:fill="FFFFFF"/>
        </w:rPr>
      </w:pPr>
      <w:r w:rsidRPr="00ED215B">
        <w:rPr>
          <w:shd w:val="clear" w:color="auto" w:fill="FFFFFF"/>
        </w:rPr>
        <w:t>The Eviction Protection Grant Program was established to achieve the following four program objectives</w:t>
      </w:r>
      <w:r w:rsidRPr="00ED215B">
        <w:rPr>
          <w:shd w:val="clear" w:color="auto" w:fill="FFFFFF"/>
        </w:rPr>
        <w:t>:</w:t>
      </w:r>
    </w:p>
    <w:p w:rsidR="00D970EF" w:rsidRPr="00D970EF" w:rsidP="0075306D" w14:paraId="6E3DF71D" w14:textId="3F0A8C5B">
      <w:pPr>
        <w:pStyle w:val="ListParagraph"/>
        <w:numPr>
          <w:ilvl w:val="0"/>
          <w:numId w:val="12"/>
        </w:numPr>
      </w:pPr>
      <w:r w:rsidRPr="00D970EF">
        <w:t>Distribute federal financial support to nonprofit and government entities to provide legal assistance at no cost to low-income renters facing eviction or at risk of eviction in areas with high rates of evictions or risk of evictions.</w:t>
      </w:r>
    </w:p>
    <w:p w:rsidR="00D970EF" w:rsidRPr="00D970EF" w:rsidP="006870B9" w14:paraId="5A3E0546" w14:textId="77777777">
      <w:pPr>
        <w:pStyle w:val="ListParagraph"/>
        <w:numPr>
          <w:ilvl w:val="0"/>
          <w:numId w:val="12"/>
        </w:numPr>
        <w:contextualSpacing/>
      </w:pPr>
      <w:r w:rsidRPr="00D970EF">
        <w:t>Provide eviction protection services to historically underserved populations, including people of color, persons with limited English proficiency, and persons with disabilities.</w:t>
      </w:r>
    </w:p>
    <w:p w:rsidR="00D970EF" w:rsidRPr="00D970EF" w:rsidP="006870B9" w14:paraId="185D4472" w14:textId="77777777">
      <w:pPr>
        <w:pStyle w:val="ListParagraph"/>
        <w:numPr>
          <w:ilvl w:val="0"/>
          <w:numId w:val="12"/>
        </w:numPr>
        <w:contextualSpacing/>
      </w:pPr>
      <w:r w:rsidRPr="00D970EF">
        <w:t>Ensure a proportionate distribution of funding amounts for rural areas, including Tribal lands.</w:t>
      </w:r>
    </w:p>
    <w:p w:rsidR="00D970EF" w:rsidP="0075306D" w14:paraId="610DDCC5" w14:textId="77777777">
      <w:pPr>
        <w:pStyle w:val="ListParagraph"/>
        <w:widowControl w:val="0"/>
        <w:numPr>
          <w:ilvl w:val="0"/>
          <w:numId w:val="12"/>
        </w:numPr>
        <w:kinsoku w:val="0"/>
      </w:pPr>
      <w:r w:rsidRPr="00D970EF">
        <w:t>Build the evidence base for the activities most effective at preventing evictions or mitigating negative consequences that result from evictions.</w:t>
      </w:r>
    </w:p>
    <w:p w:rsidR="005A6533" w:rsidP="0075306D" w14:paraId="7FB3AD96" w14:textId="77777777">
      <w:pPr>
        <w:widowControl w:val="0"/>
        <w:kinsoku w:val="0"/>
      </w:pPr>
    </w:p>
    <w:p w:rsidR="005A6533" w:rsidP="0075306D" w14:paraId="41C85D11" w14:textId="1619C5AD">
      <w:r w:rsidRPr="002861C0">
        <w:t xml:space="preserve">Funding for HUD's </w:t>
      </w:r>
      <w:r>
        <w:t xml:space="preserve">FY 2021 </w:t>
      </w:r>
      <w:r w:rsidRPr="002861C0">
        <w:t>Eviction Protection Grant Program is provided by the Consolidated Appropriations Act, 2021, Division L, Title II - HUD Appropriations Act, 2021, provision on legal services regarding evictions (Pub. L. No. 116-260, approved December 27, 2020).</w:t>
      </w:r>
    </w:p>
    <w:p w:rsidR="00A16B59" w:rsidP="0075306D" w14:paraId="75C13644" w14:textId="3FD940F3"/>
    <w:p w:rsidR="00C728E7" w:rsidP="0075306D" w14:paraId="59D221FC" w14:textId="5B991C0D">
      <w:pPr>
        <w:widowControl w:val="0"/>
        <w:kinsoku w:val="0"/>
      </w:pPr>
      <w:r>
        <w:t>In addition,</w:t>
      </w:r>
      <w:r w:rsidR="00E60462">
        <w:t xml:space="preserve"> </w:t>
      </w:r>
      <w:r w:rsidR="00BD4453">
        <w:t>grantees</w:t>
      </w:r>
      <w:r w:rsidR="00E60462">
        <w:t xml:space="preserve"> are required to participate in research with HUD’s Office of Policy Development and Research (PD</w:t>
      </w:r>
      <w:r w:rsidR="00504278">
        <w:t>&amp;</w:t>
      </w:r>
      <w:r w:rsidR="00E60462">
        <w:t>R).</w:t>
      </w:r>
      <w:r w:rsidR="00E476B5">
        <w:t xml:space="preserve"> </w:t>
      </w:r>
      <w:r w:rsidR="001205EF">
        <w:t xml:space="preserve">The notice of funding opportunity </w:t>
      </w:r>
      <w:r w:rsidR="00CE18A0">
        <w:t xml:space="preserve">(NOFO) </w:t>
      </w:r>
      <w:r w:rsidR="001205EF">
        <w:t xml:space="preserve">stated that </w:t>
      </w:r>
      <w:r w:rsidR="00464853">
        <w:t>“</w:t>
      </w:r>
      <w:r w:rsidR="00BD4453">
        <w:t>p</w:t>
      </w:r>
      <w:r w:rsidR="001205EF">
        <w:t>articipation in HUD-</w:t>
      </w:r>
      <w:r w:rsidR="00CE18A0">
        <w:t>S</w:t>
      </w:r>
      <w:r w:rsidR="001205EF">
        <w:t xml:space="preserve">ponsored </w:t>
      </w:r>
      <w:r w:rsidR="00FD1453">
        <w:t>Program Evaluation</w:t>
      </w:r>
      <w:r w:rsidR="00464853">
        <w:t>”</w:t>
      </w:r>
      <w:r w:rsidR="00FD1453">
        <w:t xml:space="preserve"> applies as </w:t>
      </w:r>
      <w:r w:rsidR="00BD4453">
        <w:t>one of the</w:t>
      </w:r>
      <w:r w:rsidR="00FD1453">
        <w:t xml:space="preserve"> Administrative, National and Department Policy Requirements</w:t>
      </w:r>
      <w:r w:rsidR="00CE18A0">
        <w:t xml:space="preserve"> </w:t>
      </w:r>
      <w:r w:rsidR="00FD1453">
        <w:t>and Terms for HUD Financial Assistance Award</w:t>
      </w:r>
      <w:r w:rsidR="00A53A25">
        <w:t xml:space="preserve"> (</w:t>
      </w:r>
      <w:r w:rsidR="00BD4453">
        <w:t>s</w:t>
      </w:r>
      <w:r w:rsidR="00A53A25">
        <w:t xml:space="preserve">ee page 35 of </w:t>
      </w:r>
      <w:r w:rsidRPr="00631405" w:rsidR="00A53A25">
        <w:rPr>
          <w:b/>
          <w:bCs/>
        </w:rPr>
        <w:t xml:space="preserve">Appendix </w:t>
      </w:r>
      <w:r w:rsidRPr="00631405" w:rsidR="00464853">
        <w:rPr>
          <w:b/>
          <w:bCs/>
        </w:rPr>
        <w:t>A</w:t>
      </w:r>
      <w:r w:rsidR="00A53A25">
        <w:t>)</w:t>
      </w:r>
      <w:r w:rsidR="00763E7E">
        <w:t xml:space="preserve">. </w:t>
      </w:r>
      <w:r w:rsidRPr="00C91963" w:rsidR="00763E7E">
        <w:t xml:space="preserve">Similarly, </w:t>
      </w:r>
      <w:r w:rsidR="00BD4453">
        <w:t xml:space="preserve">Section 11.2 of </w:t>
      </w:r>
      <w:r w:rsidRPr="00C91963" w:rsidR="00E138A7">
        <w:t xml:space="preserve">the </w:t>
      </w:r>
      <w:r w:rsidR="00BD4453">
        <w:t xml:space="preserve">Program Requirements in the Grant </w:t>
      </w:r>
      <w:r w:rsidRPr="00C91963" w:rsidR="007D5FCB">
        <w:t>Terms and Conditions</w:t>
      </w:r>
      <w:r w:rsidR="00BD4453">
        <w:t xml:space="preserve"> state</w:t>
      </w:r>
      <w:r w:rsidR="006121D9">
        <w:t>s</w:t>
      </w:r>
      <w:r w:rsidR="00BD4453">
        <w:t xml:space="preserve"> that </w:t>
      </w:r>
      <w:r w:rsidRPr="00C91963" w:rsidR="007D5FCB">
        <w:t>“</w:t>
      </w:r>
      <w:r w:rsidR="00BD4453">
        <w:t>t</w:t>
      </w:r>
      <w:r w:rsidRPr="00C91963" w:rsidR="007D5FCB">
        <w:t xml:space="preserve">he Grantee shall cooperate fully with any research or evaluation sponsored by </w:t>
      </w:r>
      <w:r w:rsidRPr="00C91963" w:rsidR="007D5FCB">
        <w:t>HUD</w:t>
      </w:r>
      <w:r w:rsidRPr="00C91963" w:rsidR="007D5FCB">
        <w:t xml:space="preserve"> or another government agency associated with this grant program, including preservation of project data and records and compiling requested information in formats provided by the researchers, evaluators, or HUD</w:t>
      </w:r>
      <w:r w:rsidR="00D2714A">
        <w:t>”</w:t>
      </w:r>
      <w:r w:rsidR="000B419E">
        <w:t xml:space="preserve"> (see page 17 of </w:t>
      </w:r>
      <w:r w:rsidRPr="00631405" w:rsidR="000B419E">
        <w:rPr>
          <w:b/>
          <w:bCs/>
        </w:rPr>
        <w:t>Appendix B</w:t>
      </w:r>
      <w:r w:rsidR="000B419E">
        <w:t>).</w:t>
      </w:r>
    </w:p>
    <w:p w:rsidR="00103922" w:rsidP="0075306D" w14:paraId="320D6EC1" w14:textId="77777777">
      <w:pPr>
        <w:widowControl w:val="0"/>
        <w:kinsoku w:val="0"/>
      </w:pPr>
    </w:p>
    <w:p w:rsidR="00D970EF" w:rsidRPr="0075306D" w:rsidP="006870B9" w14:paraId="537F2827" w14:textId="58F6F0D1">
      <w:pPr>
        <w:pStyle w:val="Heading3"/>
        <w:spacing w:line="240" w:lineRule="auto"/>
      </w:pPr>
      <w:r w:rsidRPr="0075306D">
        <w:t>Overview of</w:t>
      </w:r>
      <w:r w:rsidRPr="0075306D" w:rsidR="00A37F95">
        <w:t xml:space="preserve"> Evaluation</w:t>
      </w:r>
      <w:r w:rsidRPr="0075306D">
        <w:t xml:space="preserve"> and Data Collection Request</w:t>
      </w:r>
      <w:r w:rsidRPr="0075306D">
        <w:br/>
      </w:r>
    </w:p>
    <w:p w:rsidR="000C3551" w:rsidRPr="00EE727C" w:rsidP="006870B9" w14:paraId="78205C3D" w14:textId="0CD80C71">
      <w:pPr>
        <w:rPr>
          <w:color w:val="000000"/>
        </w:rPr>
      </w:pPr>
      <w:r w:rsidRPr="00852DBE">
        <w:t xml:space="preserve">HUD </w:t>
      </w:r>
      <w:r w:rsidR="009D1315">
        <w:t xml:space="preserve">has </w:t>
      </w:r>
      <w:r w:rsidRPr="00852DBE">
        <w:t xml:space="preserve">contracted with 2M Research for </w:t>
      </w:r>
      <w:r w:rsidR="00631349">
        <w:t>the evaluation of the Eviction Protection Grant Program</w:t>
      </w:r>
      <w:r w:rsidRPr="00852DBE">
        <w:t xml:space="preserve">. </w:t>
      </w:r>
      <w:r>
        <w:rPr>
          <w:color w:val="000000"/>
        </w:rPr>
        <w:t>A</w:t>
      </w:r>
      <w:r w:rsidRPr="00D9122F">
        <w:rPr>
          <w:color w:val="000000"/>
        </w:rPr>
        <w:t xml:space="preserve"> copy of the </w:t>
      </w:r>
      <w:r>
        <w:rPr>
          <w:color w:val="000000"/>
        </w:rPr>
        <w:t>relevant s</w:t>
      </w:r>
      <w:r w:rsidRPr="00D9122F">
        <w:rPr>
          <w:color w:val="000000"/>
        </w:rPr>
        <w:t xml:space="preserve">ection </w:t>
      </w:r>
      <w:r>
        <w:rPr>
          <w:color w:val="000000"/>
        </w:rPr>
        <w:t xml:space="preserve">of law </w:t>
      </w:r>
      <w:r w:rsidRPr="00D9122F">
        <w:rPr>
          <w:color w:val="000000"/>
        </w:rPr>
        <w:t>authoriz</w:t>
      </w:r>
      <w:r>
        <w:rPr>
          <w:color w:val="000000"/>
        </w:rPr>
        <w:t xml:space="preserve">ing the Department to undertake “such programs of research, studies, testing, and demonstration relating to the mission and programs of the Department” (12 USC 1701z-1 et seq.) is included as </w:t>
      </w:r>
      <w:r w:rsidRPr="00631405">
        <w:rPr>
          <w:b/>
          <w:bCs/>
          <w:color w:val="000000"/>
        </w:rPr>
        <w:t xml:space="preserve">Appendix </w:t>
      </w:r>
      <w:r w:rsidRPr="00631405" w:rsidR="000B419E">
        <w:rPr>
          <w:b/>
          <w:bCs/>
          <w:color w:val="000000"/>
        </w:rPr>
        <w:t>C</w:t>
      </w:r>
      <w:r w:rsidRPr="005A6533">
        <w:rPr>
          <w:color w:val="000000"/>
        </w:rPr>
        <w:t>.</w:t>
      </w:r>
      <w:r>
        <w:rPr>
          <w:color w:val="000000"/>
        </w:rPr>
        <w:t xml:space="preserve"> </w:t>
      </w:r>
    </w:p>
    <w:p w:rsidR="00D970EF" w:rsidRPr="00D970EF" w:rsidP="0075306D" w14:paraId="00543CE0" w14:textId="77777777">
      <w:pPr>
        <w:widowControl w:val="0"/>
        <w:kinsoku w:val="0"/>
        <w:ind w:left="360"/>
      </w:pPr>
    </w:p>
    <w:p w:rsidR="00D632BA" w:rsidP="0075306D" w14:paraId="2F63FC07" w14:textId="175BDB71">
      <w:pPr>
        <w:rPr>
          <w:color w:val="000000"/>
        </w:rPr>
      </w:pPr>
      <w:r w:rsidRPr="00D970EF">
        <w:t xml:space="preserve">The </w:t>
      </w:r>
      <w:r w:rsidR="00A37F95">
        <w:t>e</w:t>
      </w:r>
      <w:r w:rsidRPr="00D970EF">
        <w:t xml:space="preserve">valuation of </w:t>
      </w:r>
      <w:r w:rsidR="00A32082">
        <w:t xml:space="preserve">the </w:t>
      </w:r>
      <w:r w:rsidRPr="00D970EF">
        <w:t>Eviction Protection Grant Program</w:t>
      </w:r>
      <w:r w:rsidR="002B29CE">
        <w:t xml:space="preserve"> will be conducted using </w:t>
      </w:r>
      <w:r w:rsidRPr="00D970EF">
        <w:t>a mixed-methods and multi</w:t>
      </w:r>
      <w:r w:rsidR="00482FBC">
        <w:t>-</w:t>
      </w:r>
      <w:r w:rsidRPr="00D970EF">
        <w:t xml:space="preserve">phase </w:t>
      </w:r>
      <w:r w:rsidR="00354DFC">
        <w:t>approach</w:t>
      </w:r>
      <w:r w:rsidRPr="00D970EF" w:rsidR="00354DFC">
        <w:t xml:space="preserve"> </w:t>
      </w:r>
      <w:r w:rsidR="00A32082">
        <w:t xml:space="preserve">designed </w:t>
      </w:r>
      <w:r w:rsidRPr="00D970EF">
        <w:t xml:space="preserve">to understand how </w:t>
      </w:r>
      <w:r w:rsidR="00A32082">
        <w:t>grantees implemented this new program</w:t>
      </w:r>
      <w:r w:rsidRPr="00D970EF">
        <w:t xml:space="preserve"> and </w:t>
      </w:r>
      <w:r w:rsidR="00F040E2">
        <w:t>to assess the</w:t>
      </w:r>
      <w:r w:rsidRPr="00D970EF">
        <w:t xml:space="preserve"> effectiveness </w:t>
      </w:r>
      <w:r w:rsidR="00F040E2">
        <w:t>of the grant program in</w:t>
      </w:r>
      <w:r w:rsidRPr="00D970EF" w:rsidR="00F040E2">
        <w:t xml:space="preserve"> </w:t>
      </w:r>
      <w:r w:rsidRPr="001F0C63">
        <w:rPr>
          <w:color w:val="000000"/>
        </w:rPr>
        <w:t xml:space="preserve">supporting low-income families at risk </w:t>
      </w:r>
      <w:r w:rsidR="00BD4453">
        <w:rPr>
          <w:color w:val="000000"/>
        </w:rPr>
        <w:t xml:space="preserve">of </w:t>
      </w:r>
      <w:r w:rsidRPr="001F0C63">
        <w:rPr>
          <w:color w:val="000000"/>
        </w:rPr>
        <w:t xml:space="preserve">or facing eviction through </w:t>
      </w:r>
      <w:r>
        <w:rPr>
          <w:color w:val="000000"/>
        </w:rPr>
        <w:t xml:space="preserve">the </w:t>
      </w:r>
      <w:r w:rsidRPr="001F0C63">
        <w:rPr>
          <w:color w:val="000000"/>
        </w:rPr>
        <w:t>provi</w:t>
      </w:r>
      <w:r>
        <w:rPr>
          <w:color w:val="000000"/>
        </w:rPr>
        <w:t xml:space="preserve">sion of </w:t>
      </w:r>
      <w:r w:rsidRPr="001F0C63">
        <w:rPr>
          <w:color w:val="000000"/>
        </w:rPr>
        <w:t>legal assistance at no-cost</w:t>
      </w:r>
      <w:r>
        <w:rPr>
          <w:color w:val="000000"/>
        </w:rPr>
        <w:t xml:space="preserve"> to eligible households</w:t>
      </w:r>
      <w:r w:rsidRPr="001F0C63">
        <w:rPr>
          <w:color w:val="000000"/>
        </w:rPr>
        <w:t xml:space="preserve">. </w:t>
      </w:r>
      <w:r w:rsidRPr="00A93DB5" w:rsidR="00A93DB5">
        <w:rPr>
          <w:color w:val="000000"/>
        </w:rPr>
        <w:t>The evaluation is comprised of an implementation analysis utilizing qualitative and quantitative data to understand how the Eviction Protection Grant Program reduces or prevents eviction among program participants. The evaluation will comprehensively document the implementation of the Eviction Protection Grant Program, including a review and collection of data to understand successes and challenges to program implementation, the characteristics of grantees and other stakeholders, the types of client services provided, how grantees work with other social service providers, and program outcomes.</w:t>
      </w:r>
    </w:p>
    <w:p w:rsidR="00D632BA" w:rsidRPr="00572A55" w:rsidP="0075306D" w14:paraId="6865CFBF" w14:textId="77777777"/>
    <w:p w:rsidR="00687063" w:rsidP="0075306D" w14:paraId="566867A8" w14:textId="0EC5D9F8">
      <w:pPr>
        <w:widowControl w:val="0"/>
        <w:kinsoku w:val="0"/>
        <w:rPr>
          <w:color w:val="000000"/>
        </w:rPr>
      </w:pPr>
      <w:r w:rsidRPr="00487D86">
        <w:t xml:space="preserve">Over the course of the evaluation, HUD plans to conduct two rounds of </w:t>
      </w:r>
      <w:r w:rsidR="004C79E0">
        <w:t xml:space="preserve">primary </w:t>
      </w:r>
      <w:r w:rsidRPr="00487D86">
        <w:t>data collection</w:t>
      </w:r>
      <w:r w:rsidR="004C79E0">
        <w:t>, which is the subject of this information collection request</w:t>
      </w:r>
      <w:r w:rsidRPr="00487D86">
        <w:t>. The first round of primary data collection will take place early in the grant period and be focused on assessing program rollout, program take-up, and program implementation. The second round of primary data collection will take place later in the grant period and will focus on the overall experience of grantees, subrecipients, and program participants with the Eviction Protection Grant Program. Each round of data collection will include semi-structured interviews with staff from each of the 21 grantees and 21 subrecipients, as well as data collection from program participants to understand their perspective</w:t>
      </w:r>
      <w:r w:rsidR="005432B4">
        <w:t>s</w:t>
      </w:r>
      <w:r w:rsidRPr="00487D86">
        <w:t xml:space="preserve"> on the program. </w:t>
      </w:r>
      <w:r w:rsidR="00381B2D">
        <w:rPr>
          <w:color w:val="000000"/>
        </w:rPr>
        <w:t>HUD intends to conduct focus groups with program participants, but if that is not feasible, HUD will conduct</w:t>
      </w:r>
      <w:r w:rsidR="00D16803">
        <w:rPr>
          <w:color w:val="000000"/>
        </w:rPr>
        <w:t xml:space="preserve"> individual</w:t>
      </w:r>
      <w:r w:rsidR="00381B2D">
        <w:rPr>
          <w:color w:val="000000"/>
        </w:rPr>
        <w:t xml:space="preserve"> </w:t>
      </w:r>
      <w:r w:rsidR="003D054F">
        <w:rPr>
          <w:color w:val="000000"/>
        </w:rPr>
        <w:t xml:space="preserve">online </w:t>
      </w:r>
      <w:r w:rsidR="00381B2D">
        <w:rPr>
          <w:color w:val="000000"/>
        </w:rPr>
        <w:t xml:space="preserve">interviews with a </w:t>
      </w:r>
      <w:r w:rsidR="00A5194F">
        <w:rPr>
          <w:color w:val="000000"/>
        </w:rPr>
        <w:t xml:space="preserve">small number </w:t>
      </w:r>
      <w:r w:rsidR="00381B2D">
        <w:rPr>
          <w:color w:val="000000"/>
        </w:rPr>
        <w:t xml:space="preserve">of program participants. </w:t>
      </w:r>
    </w:p>
    <w:p w:rsidR="00687063" w:rsidP="0075306D" w14:paraId="5E745494" w14:textId="77777777">
      <w:pPr>
        <w:widowControl w:val="0"/>
        <w:kinsoku w:val="0"/>
      </w:pPr>
    </w:p>
    <w:p w:rsidR="00890866" w:rsidP="0075306D" w14:paraId="5ED04360" w14:textId="2B365018">
      <w:pPr>
        <w:widowControl w:val="0"/>
        <w:kinsoku w:val="0"/>
      </w:pPr>
      <w:r w:rsidRPr="00890866">
        <w:t xml:space="preserve">In the first round of data collection, HUD plans to conduct </w:t>
      </w:r>
      <w:r w:rsidR="00A149AB">
        <w:t xml:space="preserve">a total of </w:t>
      </w:r>
      <w:r w:rsidRPr="00890866">
        <w:t>42 semi-structured interviews</w:t>
      </w:r>
      <w:r w:rsidR="00A149AB">
        <w:t xml:space="preserve">, one with each of the grantees and one with each </w:t>
      </w:r>
      <w:r w:rsidR="00BD4453">
        <w:t xml:space="preserve">selected </w:t>
      </w:r>
      <w:r w:rsidR="00A149AB">
        <w:t xml:space="preserve">subrecipient. </w:t>
      </w:r>
      <w:r w:rsidR="00452F43">
        <w:t xml:space="preserve">These interviews will </w:t>
      </w:r>
      <w:r w:rsidR="00A149AB">
        <w:t>includ</w:t>
      </w:r>
      <w:r w:rsidR="00452F43">
        <w:t xml:space="preserve">e approximately </w:t>
      </w:r>
      <w:r w:rsidRPr="00890866">
        <w:t xml:space="preserve">126 grantee and subrecipient staff (an average of three staff per interview). In the second round of data collection, HUD again plans to conduct 42 semi-structured interviews, </w:t>
      </w:r>
      <w:r w:rsidRPr="00452F43" w:rsidR="00452F43">
        <w:t xml:space="preserve">one with each of the grantees and one with each </w:t>
      </w:r>
      <w:r w:rsidR="00BD4453">
        <w:t xml:space="preserve">selected </w:t>
      </w:r>
      <w:r w:rsidRPr="00452F43" w:rsidR="00452F43">
        <w:t>subrecipient</w:t>
      </w:r>
      <w:r w:rsidR="007D60E2">
        <w:t xml:space="preserve">.  This round of interviews will also include approximately </w:t>
      </w:r>
      <w:r w:rsidRPr="00890866">
        <w:t xml:space="preserve">126 grantee and subrecipient staff (an average of three staff per interview). Across both rounds of data collection, HUD will </w:t>
      </w:r>
      <w:r w:rsidR="00E60066">
        <w:t xml:space="preserve">attempt to </w:t>
      </w:r>
      <w:r w:rsidRPr="00890866">
        <w:t xml:space="preserve">facilitate </w:t>
      </w:r>
      <w:r w:rsidR="00E60066">
        <w:t xml:space="preserve">a total of </w:t>
      </w:r>
      <w:r w:rsidRPr="00890866">
        <w:t>21 focus groups</w:t>
      </w:r>
      <w:r w:rsidRPr="0031550B" w:rsidR="0031550B">
        <w:t xml:space="preserve"> </w:t>
      </w:r>
      <w:r w:rsidR="0031550B">
        <w:t>with participants</w:t>
      </w:r>
      <w:r w:rsidR="003D6591">
        <w:t>, on</w:t>
      </w:r>
      <w:r w:rsidR="009B3469">
        <w:t>e focus group f</w:t>
      </w:r>
      <w:r w:rsidR="00F065DF">
        <w:t>or</w:t>
      </w:r>
      <w:r w:rsidR="009B3469">
        <w:t xml:space="preserve"> each of the 21 grant programs. E</w:t>
      </w:r>
      <w:r w:rsidR="003D6591">
        <w:t xml:space="preserve">ach </w:t>
      </w:r>
      <w:r w:rsidR="009B3469">
        <w:t xml:space="preserve">focus group will include </w:t>
      </w:r>
      <w:r w:rsidR="003D6591">
        <w:t xml:space="preserve">no more than 5 participants each, for a total of </w:t>
      </w:r>
      <w:r w:rsidRPr="00890866">
        <w:t>105 program participants</w:t>
      </w:r>
      <w:r w:rsidR="003D6591">
        <w:t xml:space="preserve">. </w:t>
      </w:r>
      <w:r w:rsidR="009B3469">
        <w:t xml:space="preserve">As mentioned above, </w:t>
      </w:r>
      <w:r w:rsidR="004C4344">
        <w:t xml:space="preserve">HUD acknowledges that it may be difficult to implement focus groups at every grantee site and </w:t>
      </w:r>
      <w:r w:rsidR="00534B14">
        <w:t xml:space="preserve">has identified individual </w:t>
      </w:r>
      <w:r w:rsidR="00D140DC">
        <w:t>online</w:t>
      </w:r>
      <w:r w:rsidRPr="00890866">
        <w:t xml:space="preserve"> interviews </w:t>
      </w:r>
      <w:r w:rsidR="009713E6">
        <w:t>as an alternate approach to captur</w:t>
      </w:r>
      <w:r w:rsidR="000C4971">
        <w:t>e</w:t>
      </w:r>
      <w:r w:rsidR="009713E6">
        <w:t xml:space="preserve"> participant experience</w:t>
      </w:r>
      <w:r w:rsidR="0064156C">
        <w:t>s</w:t>
      </w:r>
      <w:r w:rsidR="009713E6">
        <w:t xml:space="preserve"> with the program if focus groups are infeasible. </w:t>
      </w:r>
      <w:r w:rsidR="00200356">
        <w:t>HUD</w:t>
      </w:r>
      <w:r w:rsidR="009713E6">
        <w:t xml:space="preserve"> expect</w:t>
      </w:r>
      <w:r w:rsidR="00200356">
        <w:t>s</w:t>
      </w:r>
      <w:r w:rsidR="009713E6">
        <w:t xml:space="preserve"> to conduct interviews with approximately </w:t>
      </w:r>
      <w:r w:rsidRPr="00890866">
        <w:t xml:space="preserve">42 program participants. </w:t>
      </w:r>
    </w:p>
    <w:p w:rsidR="002B6987" w:rsidP="0075306D" w14:paraId="35540A7E" w14:textId="77777777">
      <w:pPr>
        <w:widowControl w:val="0"/>
        <w:kinsoku w:val="0"/>
      </w:pPr>
    </w:p>
    <w:p w:rsidR="00487D86" w:rsidP="0075306D" w14:paraId="7F7F096B" w14:textId="442A4FC1">
      <w:pPr>
        <w:widowControl w:val="0"/>
        <w:kinsoku w:val="0"/>
      </w:pPr>
      <w:r w:rsidRPr="00687063">
        <w:t xml:space="preserve">In total, </w:t>
      </w:r>
      <w:r w:rsidR="009D6BB7">
        <w:t xml:space="preserve">over the course of both rounds of data collection, </w:t>
      </w:r>
      <w:r w:rsidRPr="00687063">
        <w:t xml:space="preserve">HUD plans to conduct 84 grantee and subrecipient interviews, 21 focus groups with </w:t>
      </w:r>
      <w:r w:rsidR="00A7150D">
        <w:t>105</w:t>
      </w:r>
      <w:r w:rsidRPr="00687063">
        <w:t xml:space="preserve"> program participants, and </w:t>
      </w:r>
      <w:r w:rsidR="00A7150D">
        <w:t>42</w:t>
      </w:r>
      <w:r w:rsidRPr="00687063">
        <w:t xml:space="preserve"> </w:t>
      </w:r>
      <w:r w:rsidR="00890866">
        <w:t>online</w:t>
      </w:r>
      <w:r w:rsidRPr="00687063" w:rsidR="00890866">
        <w:t xml:space="preserve"> </w:t>
      </w:r>
      <w:r w:rsidRPr="00687063">
        <w:t>interviews with program participants.</w:t>
      </w:r>
    </w:p>
    <w:p w:rsidR="00530AF6" w:rsidP="0075306D" w14:paraId="33FD4294" w14:textId="77777777">
      <w:pPr>
        <w:widowControl w:val="0"/>
        <w:kinsoku w:val="0"/>
      </w:pPr>
    </w:p>
    <w:p w:rsidR="008A1B8C" w:rsidRPr="001574E9" w:rsidP="006870B9" w14:paraId="55DB5F56" w14:textId="18A6C990">
      <w:pPr>
        <w:keepNext/>
        <w:ind w:left="936" w:hanging="936"/>
        <w:rPr>
          <w:rFonts w:eastAsia="Calibri"/>
          <w:b/>
          <w:iCs/>
          <w:sz w:val="22"/>
          <w:szCs w:val="18"/>
        </w:rPr>
      </w:pPr>
      <w:r w:rsidRPr="001574E9">
        <w:rPr>
          <w:rFonts w:eastAsia="Calibri"/>
          <w:b/>
          <w:iCs/>
          <w:sz w:val="22"/>
          <w:szCs w:val="18"/>
        </w:rPr>
        <w:t>Exhibit A | Summary of Qualitative Data Collection</w:t>
      </w:r>
    </w:p>
    <w:tbl>
      <w:tblPr>
        <w:tblStyle w:val="GridTable4-Accent21"/>
        <w:tblW w:w="5000" w:type="pct"/>
        <w:tblLook w:val="06A0"/>
      </w:tblPr>
      <w:tblGrid>
        <w:gridCol w:w="3116"/>
        <w:gridCol w:w="3117"/>
        <w:gridCol w:w="3117"/>
      </w:tblGrid>
      <w:tr w14:paraId="7511CA21" w14:textId="77777777" w:rsidTr="00495448">
        <w:tblPrEx>
          <w:tblW w:w="5000" w:type="pct"/>
          <w:tblLook w:val="06A0"/>
        </w:tblPrEx>
        <w:tc>
          <w:tcPr>
            <w:tcW w:w="1666" w:type="pct"/>
            <w:shd w:val="clear" w:color="auto" w:fill="B4C6E7" w:themeFill="accent1" w:themeFillTint="66"/>
            <w:vAlign w:val="center"/>
          </w:tcPr>
          <w:p w:rsidR="008A1B8C" w:rsidRPr="00A807AF" w:rsidP="006870B9" w14:paraId="5BE54E2B" w14:textId="77777777">
            <w:pPr>
              <w:rPr>
                <w:rFonts w:eastAsia="Calibri"/>
                <w:color w:val="auto"/>
              </w:rPr>
            </w:pPr>
            <w:r w:rsidRPr="00A807AF">
              <w:rPr>
                <w:rFonts w:eastAsia="Calibri"/>
                <w:color w:val="auto"/>
              </w:rPr>
              <w:t>Stakeholder Role</w:t>
            </w:r>
          </w:p>
        </w:tc>
        <w:tc>
          <w:tcPr>
            <w:tcW w:w="1667" w:type="pct"/>
            <w:shd w:val="clear" w:color="auto" w:fill="B4C6E7" w:themeFill="accent1" w:themeFillTint="66"/>
            <w:vAlign w:val="center"/>
          </w:tcPr>
          <w:p w:rsidR="008A1B8C" w:rsidRPr="00A807AF" w:rsidP="006870B9" w14:paraId="06F49EFE" w14:textId="77777777">
            <w:pPr>
              <w:jc w:val="center"/>
              <w:rPr>
                <w:rFonts w:eastAsia="Calibri"/>
                <w:color w:val="auto"/>
              </w:rPr>
            </w:pPr>
            <w:r w:rsidRPr="00A807AF">
              <w:rPr>
                <w:rFonts w:eastAsia="Calibri"/>
                <w:color w:val="auto"/>
              </w:rPr>
              <w:t>Number of Semi-Structured Interviews</w:t>
            </w:r>
          </w:p>
        </w:tc>
        <w:tc>
          <w:tcPr>
            <w:tcW w:w="1667" w:type="pct"/>
            <w:shd w:val="clear" w:color="auto" w:fill="B4C6E7" w:themeFill="accent1" w:themeFillTint="66"/>
            <w:vAlign w:val="center"/>
          </w:tcPr>
          <w:p w:rsidR="008A1B8C" w:rsidRPr="00A807AF" w:rsidP="006870B9" w14:paraId="718421CE" w14:textId="77777777">
            <w:pPr>
              <w:jc w:val="center"/>
              <w:rPr>
                <w:rFonts w:eastAsia="Calibri"/>
                <w:color w:val="auto"/>
              </w:rPr>
            </w:pPr>
            <w:r w:rsidRPr="00A807AF">
              <w:rPr>
                <w:rFonts w:eastAsia="Calibri"/>
                <w:color w:val="auto"/>
              </w:rPr>
              <w:t>Number of Focus Groups</w:t>
            </w:r>
          </w:p>
        </w:tc>
      </w:tr>
      <w:tr w14:paraId="5A06D6EE" w14:textId="77777777" w:rsidTr="00386ECC">
        <w:tblPrEx>
          <w:tblW w:w="5000" w:type="pct"/>
          <w:tblLook w:val="06A0"/>
        </w:tblPrEx>
        <w:tc>
          <w:tcPr>
            <w:tcW w:w="1666" w:type="pct"/>
            <w:shd w:val="clear" w:color="auto" w:fill="E7E6E6"/>
            <w:vAlign w:val="center"/>
          </w:tcPr>
          <w:p w:rsidR="00386ECC" w:rsidRPr="00A807AF" w:rsidP="006870B9" w14:paraId="27880345" w14:textId="77777777">
            <w:pPr>
              <w:jc w:val="center"/>
              <w:rPr>
                <w:rFonts w:eastAsia="Calibri"/>
                <w:b w:val="0"/>
                <w:bCs w:val="0"/>
              </w:rPr>
            </w:pPr>
            <w:r w:rsidRPr="00A807AF">
              <w:rPr>
                <w:rFonts w:eastAsia="Calibri"/>
              </w:rPr>
              <w:t>Round 1 of Primary Data Collection</w:t>
            </w:r>
          </w:p>
        </w:tc>
        <w:tc>
          <w:tcPr>
            <w:tcW w:w="1667" w:type="pct"/>
            <w:shd w:val="clear" w:color="auto" w:fill="E7E6E6"/>
            <w:vAlign w:val="center"/>
          </w:tcPr>
          <w:p w:rsidR="00386ECC" w:rsidRPr="00A807AF" w:rsidP="006870B9" w14:paraId="27F243DC" w14:textId="77777777">
            <w:pPr>
              <w:jc w:val="center"/>
              <w:rPr>
                <w:rFonts w:eastAsia="Calibri"/>
                <w:b/>
                <w:bCs/>
              </w:rPr>
            </w:pPr>
          </w:p>
        </w:tc>
        <w:tc>
          <w:tcPr>
            <w:tcW w:w="1667" w:type="pct"/>
            <w:shd w:val="clear" w:color="auto" w:fill="E7E6E6"/>
            <w:vAlign w:val="center"/>
          </w:tcPr>
          <w:p w:rsidR="00386ECC" w:rsidRPr="00A807AF" w:rsidP="006870B9" w14:paraId="46843C37" w14:textId="66535F9D">
            <w:pPr>
              <w:jc w:val="center"/>
              <w:rPr>
                <w:rFonts w:eastAsia="Calibri"/>
              </w:rPr>
            </w:pPr>
          </w:p>
        </w:tc>
      </w:tr>
      <w:tr w14:paraId="2030D645" w14:textId="77777777" w:rsidTr="00386ECC">
        <w:tblPrEx>
          <w:tblW w:w="5000" w:type="pct"/>
          <w:tblLook w:val="06A0"/>
        </w:tblPrEx>
        <w:tc>
          <w:tcPr>
            <w:tcW w:w="1666" w:type="pct"/>
            <w:vAlign w:val="center"/>
          </w:tcPr>
          <w:p w:rsidR="008A1B8C" w:rsidRPr="00A807AF" w:rsidP="006870B9" w14:paraId="4B122283" w14:textId="6DCAAABF">
            <w:pPr>
              <w:rPr>
                <w:rFonts w:eastAsia="Calibri"/>
              </w:rPr>
            </w:pPr>
            <w:r w:rsidRPr="00A807AF">
              <w:rPr>
                <w:rFonts w:eastAsia="Calibri"/>
              </w:rPr>
              <w:t>Grantees</w:t>
            </w:r>
            <w:r w:rsidRPr="00A807AF" w:rsidR="00474D1A">
              <w:rPr>
                <w:rFonts w:eastAsia="Calibri"/>
              </w:rPr>
              <w:t>/Subrecipients</w:t>
            </w:r>
          </w:p>
        </w:tc>
        <w:tc>
          <w:tcPr>
            <w:tcW w:w="1667" w:type="pct"/>
            <w:vAlign w:val="center"/>
          </w:tcPr>
          <w:p w:rsidR="008A1B8C" w:rsidRPr="00A807AF" w:rsidP="006870B9" w14:paraId="11C2CD31" w14:textId="605E81B1">
            <w:pPr>
              <w:jc w:val="center"/>
              <w:rPr>
                <w:rFonts w:eastAsia="Calibri"/>
              </w:rPr>
            </w:pPr>
            <w:r w:rsidRPr="00A807AF">
              <w:rPr>
                <w:rFonts w:eastAsia="Calibri"/>
              </w:rPr>
              <w:t>42</w:t>
            </w:r>
          </w:p>
        </w:tc>
        <w:tc>
          <w:tcPr>
            <w:tcW w:w="1667" w:type="pct"/>
            <w:vAlign w:val="center"/>
          </w:tcPr>
          <w:p w:rsidR="008A1B8C" w:rsidRPr="00A807AF" w:rsidP="006870B9" w14:paraId="79467CDB" w14:textId="77777777">
            <w:pPr>
              <w:jc w:val="center"/>
              <w:rPr>
                <w:rFonts w:eastAsia="Calibri"/>
              </w:rPr>
            </w:pPr>
          </w:p>
        </w:tc>
      </w:tr>
      <w:tr w14:paraId="6473AD33" w14:textId="77777777" w:rsidTr="00386ECC">
        <w:tblPrEx>
          <w:tblW w:w="5000" w:type="pct"/>
          <w:tblLook w:val="06A0"/>
        </w:tblPrEx>
        <w:tc>
          <w:tcPr>
            <w:tcW w:w="1666" w:type="pct"/>
            <w:vAlign w:val="center"/>
          </w:tcPr>
          <w:p w:rsidR="008A1B8C" w:rsidRPr="00A807AF" w:rsidP="006870B9" w14:paraId="09AD2B43" w14:textId="77777777">
            <w:pPr>
              <w:rPr>
                <w:rFonts w:eastAsia="Calibri"/>
              </w:rPr>
            </w:pPr>
            <w:r w:rsidRPr="00A807AF">
              <w:rPr>
                <w:rFonts w:eastAsia="Calibri"/>
              </w:rPr>
              <w:t>Program Participants</w:t>
            </w:r>
          </w:p>
        </w:tc>
        <w:tc>
          <w:tcPr>
            <w:tcW w:w="1667" w:type="pct"/>
            <w:vAlign w:val="center"/>
          </w:tcPr>
          <w:p w:rsidR="008A1B8C" w:rsidRPr="00A807AF" w:rsidP="006870B9" w14:paraId="536153C0" w14:textId="4B1E880E">
            <w:pPr>
              <w:jc w:val="center"/>
              <w:rPr>
                <w:rFonts w:eastAsia="Calibri"/>
              </w:rPr>
            </w:pPr>
            <w:r w:rsidRPr="00A807AF">
              <w:rPr>
                <w:rFonts w:eastAsia="Calibri"/>
              </w:rPr>
              <w:t>20</w:t>
            </w:r>
          </w:p>
        </w:tc>
        <w:tc>
          <w:tcPr>
            <w:tcW w:w="1667" w:type="pct"/>
            <w:vAlign w:val="center"/>
          </w:tcPr>
          <w:p w:rsidR="008A1B8C" w:rsidRPr="00A807AF" w:rsidP="006870B9" w14:paraId="57D6BF3F" w14:textId="3059FD25">
            <w:pPr>
              <w:jc w:val="center"/>
              <w:rPr>
                <w:rFonts w:eastAsia="Calibri"/>
              </w:rPr>
            </w:pPr>
            <w:r w:rsidRPr="00A807AF">
              <w:rPr>
                <w:rFonts w:eastAsia="Calibri"/>
              </w:rPr>
              <w:t>10</w:t>
            </w:r>
          </w:p>
        </w:tc>
      </w:tr>
      <w:tr w14:paraId="57C360AD" w14:textId="77777777" w:rsidTr="00386ECC">
        <w:tblPrEx>
          <w:tblW w:w="5000" w:type="pct"/>
          <w:tblLook w:val="06A0"/>
        </w:tblPrEx>
        <w:tc>
          <w:tcPr>
            <w:tcW w:w="1666" w:type="pct"/>
            <w:shd w:val="clear" w:color="auto" w:fill="E7E6E6"/>
            <w:vAlign w:val="center"/>
          </w:tcPr>
          <w:p w:rsidR="00386ECC" w:rsidRPr="00A807AF" w:rsidP="006870B9" w14:paraId="7ED96B47" w14:textId="77777777">
            <w:pPr>
              <w:jc w:val="center"/>
              <w:rPr>
                <w:rFonts w:eastAsia="Calibri"/>
                <w:b w:val="0"/>
                <w:bCs w:val="0"/>
              </w:rPr>
            </w:pPr>
            <w:r w:rsidRPr="00A807AF">
              <w:rPr>
                <w:rFonts w:eastAsia="Calibri"/>
              </w:rPr>
              <w:t>Round 2 of Primary Data Collection</w:t>
            </w:r>
          </w:p>
        </w:tc>
        <w:tc>
          <w:tcPr>
            <w:tcW w:w="1667" w:type="pct"/>
            <w:shd w:val="clear" w:color="auto" w:fill="E7E6E6"/>
            <w:vAlign w:val="center"/>
          </w:tcPr>
          <w:p w:rsidR="00386ECC" w:rsidRPr="00A807AF" w:rsidP="006870B9" w14:paraId="75F59187" w14:textId="77777777">
            <w:pPr>
              <w:jc w:val="center"/>
              <w:rPr>
                <w:rFonts w:eastAsia="Calibri"/>
                <w:b/>
                <w:bCs/>
              </w:rPr>
            </w:pPr>
          </w:p>
        </w:tc>
        <w:tc>
          <w:tcPr>
            <w:tcW w:w="1667" w:type="pct"/>
            <w:shd w:val="clear" w:color="auto" w:fill="E7E6E6"/>
            <w:vAlign w:val="center"/>
          </w:tcPr>
          <w:p w:rsidR="00386ECC" w:rsidRPr="00A807AF" w:rsidP="006870B9" w14:paraId="44C86B26" w14:textId="324AE900">
            <w:pPr>
              <w:jc w:val="center"/>
              <w:rPr>
                <w:rFonts w:eastAsia="Calibri"/>
              </w:rPr>
            </w:pPr>
          </w:p>
        </w:tc>
      </w:tr>
      <w:tr w14:paraId="6805AB28" w14:textId="77777777" w:rsidTr="00386ECC">
        <w:tblPrEx>
          <w:tblW w:w="5000" w:type="pct"/>
          <w:tblLook w:val="06A0"/>
        </w:tblPrEx>
        <w:tc>
          <w:tcPr>
            <w:tcW w:w="1666" w:type="pct"/>
            <w:vAlign w:val="center"/>
          </w:tcPr>
          <w:p w:rsidR="008A1B8C" w:rsidRPr="00A807AF" w:rsidP="006870B9" w14:paraId="639C1933" w14:textId="2959F7A9">
            <w:pPr>
              <w:rPr>
                <w:rFonts w:eastAsia="Calibri"/>
              </w:rPr>
            </w:pPr>
            <w:r w:rsidRPr="00A807AF">
              <w:rPr>
                <w:rFonts w:eastAsia="Calibri"/>
              </w:rPr>
              <w:t>Grantees</w:t>
            </w:r>
            <w:r w:rsidRPr="00A807AF" w:rsidR="0084536F">
              <w:rPr>
                <w:rFonts w:eastAsia="Calibri"/>
              </w:rPr>
              <w:t>/Subrecipients</w:t>
            </w:r>
          </w:p>
        </w:tc>
        <w:tc>
          <w:tcPr>
            <w:tcW w:w="1667" w:type="pct"/>
            <w:vAlign w:val="center"/>
          </w:tcPr>
          <w:p w:rsidR="008A1B8C" w:rsidRPr="00A807AF" w:rsidP="006870B9" w14:paraId="767FADD0" w14:textId="4C8A1A81">
            <w:pPr>
              <w:jc w:val="center"/>
              <w:rPr>
                <w:rFonts w:eastAsia="Calibri"/>
              </w:rPr>
            </w:pPr>
            <w:r w:rsidRPr="00A807AF">
              <w:rPr>
                <w:rFonts w:eastAsia="Calibri"/>
              </w:rPr>
              <w:t>42</w:t>
            </w:r>
          </w:p>
        </w:tc>
        <w:tc>
          <w:tcPr>
            <w:tcW w:w="1667" w:type="pct"/>
            <w:vAlign w:val="center"/>
          </w:tcPr>
          <w:p w:rsidR="008A1B8C" w:rsidRPr="00A807AF" w:rsidP="006870B9" w14:paraId="1B3C012C" w14:textId="77777777">
            <w:pPr>
              <w:jc w:val="center"/>
              <w:rPr>
                <w:rFonts w:eastAsia="Calibri"/>
              </w:rPr>
            </w:pPr>
          </w:p>
        </w:tc>
      </w:tr>
      <w:tr w14:paraId="67D6773A" w14:textId="77777777" w:rsidTr="00386ECC">
        <w:tblPrEx>
          <w:tblW w:w="5000" w:type="pct"/>
          <w:tblLook w:val="06A0"/>
        </w:tblPrEx>
        <w:tc>
          <w:tcPr>
            <w:tcW w:w="1666" w:type="pct"/>
            <w:vAlign w:val="center"/>
          </w:tcPr>
          <w:p w:rsidR="008A1B8C" w:rsidRPr="00A807AF" w:rsidP="006870B9" w14:paraId="76E4FAE0" w14:textId="77777777">
            <w:pPr>
              <w:rPr>
                <w:rFonts w:eastAsia="Calibri"/>
              </w:rPr>
            </w:pPr>
            <w:r w:rsidRPr="00A807AF">
              <w:rPr>
                <w:rFonts w:eastAsia="Calibri"/>
              </w:rPr>
              <w:t>Program Participants</w:t>
            </w:r>
          </w:p>
        </w:tc>
        <w:tc>
          <w:tcPr>
            <w:tcW w:w="1667" w:type="pct"/>
            <w:vAlign w:val="center"/>
          </w:tcPr>
          <w:p w:rsidR="008A1B8C" w:rsidRPr="00A807AF" w:rsidP="006870B9" w14:paraId="49796154" w14:textId="4D95058B">
            <w:pPr>
              <w:jc w:val="center"/>
              <w:rPr>
                <w:rFonts w:eastAsia="Calibri"/>
              </w:rPr>
            </w:pPr>
            <w:r w:rsidRPr="00A807AF">
              <w:rPr>
                <w:rFonts w:eastAsia="Calibri"/>
              </w:rPr>
              <w:t>2</w:t>
            </w:r>
            <w:r w:rsidRPr="00A807AF" w:rsidR="00EE59C2">
              <w:rPr>
                <w:rFonts w:eastAsia="Calibri"/>
              </w:rPr>
              <w:t>2</w:t>
            </w:r>
          </w:p>
        </w:tc>
        <w:tc>
          <w:tcPr>
            <w:tcW w:w="1667" w:type="pct"/>
            <w:vAlign w:val="center"/>
          </w:tcPr>
          <w:p w:rsidR="008A1B8C" w:rsidRPr="00A807AF" w:rsidP="006870B9" w14:paraId="5097BA64" w14:textId="7C235F5D">
            <w:pPr>
              <w:jc w:val="center"/>
              <w:rPr>
                <w:rFonts w:eastAsia="Calibri"/>
              </w:rPr>
            </w:pPr>
            <w:r w:rsidRPr="00A807AF">
              <w:rPr>
                <w:rFonts w:eastAsia="Calibri"/>
              </w:rPr>
              <w:t>11</w:t>
            </w:r>
          </w:p>
        </w:tc>
      </w:tr>
    </w:tbl>
    <w:p w:rsidR="00D970EF" w:rsidRPr="00D970EF" w:rsidP="0075306D" w14:paraId="792514D8" w14:textId="77777777">
      <w:pPr>
        <w:widowControl w:val="0"/>
        <w:kinsoku w:val="0"/>
      </w:pPr>
    </w:p>
    <w:p w:rsidR="00D970EF" w:rsidRPr="002B6987" w:rsidP="0075306D" w14:paraId="284A49C2" w14:textId="1075769C">
      <w:pPr>
        <w:widowControl w:val="0"/>
        <w:kinsoku w:val="0"/>
      </w:pPr>
      <w:r w:rsidRPr="00D970EF">
        <w:t>This submission requests OMB approval for the following data collection activities:</w:t>
      </w:r>
      <w:r w:rsidRPr="00D970EF">
        <w:br/>
      </w:r>
    </w:p>
    <w:p w:rsidR="0018448E" w:rsidRPr="002B6987" w:rsidP="0075306D" w14:paraId="2A0F12A0" w14:textId="634EFF78">
      <w:pPr>
        <w:pStyle w:val="ListParagraph"/>
        <w:widowControl w:val="0"/>
        <w:numPr>
          <w:ilvl w:val="0"/>
          <w:numId w:val="7"/>
        </w:numPr>
        <w:kinsoku w:val="0"/>
      </w:pPr>
      <w:r w:rsidRPr="00890866">
        <w:t>Round</w:t>
      </w:r>
      <w:r w:rsidRPr="00890866" w:rsidR="00D970EF">
        <w:t xml:space="preserve"> 1</w:t>
      </w:r>
      <w:r w:rsidRPr="00890866">
        <w:t xml:space="preserve"> </w:t>
      </w:r>
      <w:r w:rsidRPr="00890866" w:rsidR="00062C69">
        <w:t>i</w:t>
      </w:r>
      <w:r w:rsidRPr="00890866">
        <w:t>nterviews</w:t>
      </w:r>
      <w:r w:rsidRPr="00890866">
        <w:t xml:space="preserve"> with </w:t>
      </w:r>
      <w:r w:rsidRPr="002B6987" w:rsidR="00062C69">
        <w:t>g</w:t>
      </w:r>
      <w:r w:rsidRPr="002B6987" w:rsidR="00FD7D39">
        <w:t xml:space="preserve">rantees and </w:t>
      </w:r>
      <w:r w:rsidRPr="002B6987" w:rsidR="00062C69">
        <w:t>s</w:t>
      </w:r>
      <w:r w:rsidRPr="002B6987" w:rsidR="00FD7D39">
        <w:t>ubrecipients</w:t>
      </w:r>
      <w:r w:rsidR="00CC3A87">
        <w:t xml:space="preserve"> (see </w:t>
      </w:r>
      <w:r w:rsidR="00E06BDB">
        <w:t xml:space="preserve">protocol in </w:t>
      </w:r>
      <w:r w:rsidRPr="00631405" w:rsidR="00CC3A87">
        <w:rPr>
          <w:b/>
          <w:bCs/>
        </w:rPr>
        <w:t xml:space="preserve">Appendix </w:t>
      </w:r>
      <w:r w:rsidR="00295C86">
        <w:rPr>
          <w:b/>
          <w:bCs/>
        </w:rPr>
        <w:t>G</w:t>
      </w:r>
      <w:r w:rsidRPr="00631405" w:rsidR="00CC3A87">
        <w:rPr>
          <w:b/>
          <w:bCs/>
        </w:rPr>
        <w:t>.1</w:t>
      </w:r>
      <w:r w:rsidR="00CC3A87">
        <w:t>)</w:t>
      </w:r>
    </w:p>
    <w:p w:rsidR="00D970EF" w:rsidRPr="002B6987" w:rsidP="0075306D" w14:paraId="06BB53E9" w14:textId="1571896A">
      <w:pPr>
        <w:pStyle w:val="ListParagraph"/>
        <w:widowControl w:val="0"/>
        <w:numPr>
          <w:ilvl w:val="0"/>
          <w:numId w:val="7"/>
        </w:numPr>
        <w:kinsoku w:val="0"/>
      </w:pPr>
      <w:r w:rsidRPr="00890866">
        <w:t>Round 2</w:t>
      </w:r>
      <w:r w:rsidRPr="00890866" w:rsidR="00C332CA">
        <w:t xml:space="preserve"> </w:t>
      </w:r>
      <w:r w:rsidRPr="00890866" w:rsidR="00062C69">
        <w:t>i</w:t>
      </w:r>
      <w:r w:rsidRPr="00890866" w:rsidR="00C332CA">
        <w:t xml:space="preserve">nterviews with </w:t>
      </w:r>
      <w:r w:rsidRPr="002B6987" w:rsidR="00062C69">
        <w:t>g</w:t>
      </w:r>
      <w:r w:rsidRPr="002B6987" w:rsidR="00FD7D39">
        <w:t xml:space="preserve">rantees and </w:t>
      </w:r>
      <w:r w:rsidRPr="002B6987" w:rsidR="00062C69">
        <w:t>s</w:t>
      </w:r>
      <w:r w:rsidRPr="002B6987" w:rsidR="00FD7D39">
        <w:t>ubrecipients</w:t>
      </w:r>
      <w:r w:rsidR="00CC3A87">
        <w:t xml:space="preserve"> (see</w:t>
      </w:r>
      <w:r w:rsidR="00E06BDB">
        <w:t xml:space="preserve"> protocol in</w:t>
      </w:r>
      <w:r w:rsidR="00CC3A87">
        <w:t xml:space="preserve"> </w:t>
      </w:r>
      <w:r w:rsidRPr="00631405" w:rsidR="00CC3A87">
        <w:rPr>
          <w:b/>
          <w:bCs/>
        </w:rPr>
        <w:t xml:space="preserve">Appendix </w:t>
      </w:r>
      <w:r w:rsidR="00295C86">
        <w:rPr>
          <w:b/>
          <w:bCs/>
        </w:rPr>
        <w:t>G</w:t>
      </w:r>
      <w:r w:rsidRPr="00631405" w:rsidR="00CC3A87">
        <w:rPr>
          <w:b/>
          <w:bCs/>
        </w:rPr>
        <w:t>.2</w:t>
      </w:r>
      <w:r w:rsidR="00CC3A87">
        <w:t>)</w:t>
      </w:r>
    </w:p>
    <w:p w:rsidR="0018448E" w:rsidRPr="002B6987" w:rsidP="0075306D" w14:paraId="7EFAF0EA" w14:textId="111091D4">
      <w:pPr>
        <w:pStyle w:val="ListParagraph"/>
        <w:widowControl w:val="0"/>
        <w:numPr>
          <w:ilvl w:val="0"/>
          <w:numId w:val="7"/>
        </w:numPr>
        <w:kinsoku w:val="0"/>
      </w:pPr>
      <w:r w:rsidRPr="00890866">
        <w:t>Focus group</w:t>
      </w:r>
      <w:r w:rsidRPr="00890866" w:rsidR="00C332CA">
        <w:t>s with program participants</w:t>
      </w:r>
      <w:r w:rsidR="00CC3A87">
        <w:t xml:space="preserve"> (see </w:t>
      </w:r>
      <w:r w:rsidR="00E06BDB">
        <w:t xml:space="preserve">protocol in </w:t>
      </w:r>
      <w:r w:rsidRPr="00631405" w:rsidR="00CC3A87">
        <w:rPr>
          <w:b/>
          <w:bCs/>
        </w:rPr>
        <w:t xml:space="preserve">Appendix </w:t>
      </w:r>
      <w:r w:rsidR="00295C86">
        <w:rPr>
          <w:b/>
          <w:bCs/>
        </w:rPr>
        <w:t>G</w:t>
      </w:r>
      <w:r w:rsidRPr="00631405" w:rsidR="00CC3A87">
        <w:rPr>
          <w:b/>
          <w:bCs/>
        </w:rPr>
        <w:t>.3</w:t>
      </w:r>
      <w:r w:rsidR="00CC3A87">
        <w:t>)</w:t>
      </w:r>
    </w:p>
    <w:p w:rsidR="00D970EF" w:rsidRPr="002B6987" w:rsidP="0075306D" w14:paraId="0B8AEC0D" w14:textId="62FB31E5">
      <w:pPr>
        <w:pStyle w:val="ListParagraph"/>
        <w:widowControl w:val="0"/>
        <w:numPr>
          <w:ilvl w:val="0"/>
          <w:numId w:val="7"/>
        </w:numPr>
        <w:kinsoku w:val="0"/>
      </w:pPr>
      <w:r w:rsidRPr="00890866">
        <w:t>Interviews with program participants</w:t>
      </w:r>
      <w:r w:rsidRPr="002B6987">
        <w:t xml:space="preserve"> </w:t>
      </w:r>
      <w:r w:rsidR="00CC3A87">
        <w:t xml:space="preserve">(see </w:t>
      </w:r>
      <w:r w:rsidR="00E06BDB">
        <w:t xml:space="preserve">protocol in </w:t>
      </w:r>
      <w:r w:rsidRPr="00631405" w:rsidR="00CC3A87">
        <w:rPr>
          <w:b/>
          <w:bCs/>
        </w:rPr>
        <w:t xml:space="preserve">Appendix </w:t>
      </w:r>
      <w:r w:rsidR="00295C86">
        <w:rPr>
          <w:b/>
          <w:bCs/>
        </w:rPr>
        <w:t>G</w:t>
      </w:r>
      <w:r w:rsidRPr="00631405" w:rsidR="00CC3A87">
        <w:rPr>
          <w:b/>
          <w:bCs/>
        </w:rPr>
        <w:t>.4</w:t>
      </w:r>
      <w:r w:rsidR="00CC3A87">
        <w:t>)</w:t>
      </w:r>
    </w:p>
    <w:p w:rsidR="00484C9A" w:rsidP="006870B9" w14:paraId="078A884B" w14:textId="7B7C53F2">
      <w:pPr>
        <w:rPr>
          <w:b/>
          <w:bCs/>
        </w:rPr>
      </w:pPr>
    </w:p>
    <w:p w:rsidR="00BF38CF" w:rsidRPr="00135146" w:rsidP="006870B9" w14:paraId="486BF6F7" w14:textId="68A11AB5">
      <w:pPr>
        <w:pStyle w:val="Heading2"/>
      </w:pPr>
      <w:r w:rsidRPr="00135146">
        <w:t>Indicate how, by whom, and for what purpose the information is to be used. Except for a new collection, indicate the actual use the agency has made of the information received from the current collection.</w:t>
      </w:r>
    </w:p>
    <w:p w:rsidR="00BF38CF" w:rsidRPr="00135146" w:rsidP="0075306D" w14:paraId="70EE2AC8" w14:textId="77777777">
      <w:pPr>
        <w:pStyle w:val="ListParagraph"/>
        <w:rPr>
          <w:b/>
          <w:bCs/>
        </w:rPr>
      </w:pPr>
    </w:p>
    <w:p w:rsidR="00D970EF" w:rsidP="0075306D" w14:paraId="14E3AB10" w14:textId="6BF17D40">
      <w:pPr>
        <w:widowControl w:val="0"/>
        <w:kinsoku w:val="0"/>
      </w:pPr>
      <w:bookmarkStart w:id="2" w:name="_Hlk138848801"/>
      <w:r w:rsidRPr="00D970EF">
        <w:t>This is a new data collection</w:t>
      </w:r>
      <w:bookmarkEnd w:id="2"/>
      <w:r w:rsidRPr="00D970EF">
        <w:t>. HUD will use the information collected to</w:t>
      </w:r>
      <w:r w:rsidR="00FF4B95">
        <w:t xml:space="preserve"> </w:t>
      </w:r>
      <w:r w:rsidRPr="00FF4B95" w:rsidR="00FF4B95">
        <w:t>understand successes and challenges to program implementation, the characteristics of grantees and other stakeholders, the types of client services provided, how grantees work with other social service providers, and program outcomes</w:t>
      </w:r>
      <w:r w:rsidRPr="00D970EF">
        <w:t>.</w:t>
      </w:r>
      <w:r w:rsidR="005C4297">
        <w:t xml:space="preserve"> </w:t>
      </w:r>
      <w:r w:rsidR="00EB0723">
        <w:t xml:space="preserve">HUD anticipates that the </w:t>
      </w:r>
      <w:r w:rsidR="005C4297">
        <w:t>information</w:t>
      </w:r>
      <w:r w:rsidR="00EB0723">
        <w:t xml:space="preserve"> will</w:t>
      </w:r>
      <w:r w:rsidR="003737CF">
        <w:t xml:space="preserve"> </w:t>
      </w:r>
      <w:r w:rsidR="007C0BEC">
        <w:t xml:space="preserve">be </w:t>
      </w:r>
      <w:r w:rsidR="003737CF">
        <w:t xml:space="preserve">synthesized </w:t>
      </w:r>
      <w:r w:rsidR="00915EED">
        <w:t xml:space="preserve">in the </w:t>
      </w:r>
      <w:r w:rsidR="00EB0723">
        <w:t>interim and final report</w:t>
      </w:r>
      <w:r w:rsidR="00211715">
        <w:t>s</w:t>
      </w:r>
      <w:r w:rsidR="00BE5D37">
        <w:t xml:space="preserve">, which </w:t>
      </w:r>
      <w:r w:rsidR="00E06475">
        <w:t>may be</w:t>
      </w:r>
      <w:r w:rsidR="00BE5D37">
        <w:t xml:space="preserve"> published</w:t>
      </w:r>
      <w:r w:rsidR="00E06475">
        <w:t xml:space="preserve"> and made publicly available. </w:t>
      </w:r>
      <w:r w:rsidR="005C4297">
        <w:t xml:space="preserve">HUD </w:t>
      </w:r>
      <w:r w:rsidR="00FE6C12">
        <w:t>intends to</w:t>
      </w:r>
      <w:r w:rsidR="005C4297">
        <w:t xml:space="preserve"> use the information to </w:t>
      </w:r>
      <w:r w:rsidR="001B0696">
        <w:t xml:space="preserve">understand program implementation, </w:t>
      </w:r>
      <w:r w:rsidR="00341E1E">
        <w:t>highlight best practices</w:t>
      </w:r>
      <w:r w:rsidR="001B0696">
        <w:t>,</w:t>
      </w:r>
      <w:r w:rsidR="00341E1E">
        <w:t xml:space="preserve"> and </w:t>
      </w:r>
      <w:r w:rsidR="005C4297">
        <w:t>develop policy or programmatic recommendations, which may be implemented in future iterations of this program</w:t>
      </w:r>
      <w:r w:rsidR="00813FBE">
        <w:t xml:space="preserve"> or similar programs</w:t>
      </w:r>
      <w:r w:rsidR="005C4297">
        <w:t xml:space="preserve">. </w:t>
      </w:r>
      <w:r w:rsidRPr="00D970EF">
        <w:t>2M Research, the evaluation contractor, will carry out the data collection</w:t>
      </w:r>
      <w:r w:rsidR="00941452">
        <w:t xml:space="preserve">, data analysis, and report writing </w:t>
      </w:r>
      <w:r w:rsidRPr="00D970EF">
        <w:t>on HUD’s behalf.</w:t>
      </w:r>
    </w:p>
    <w:p w:rsidR="00F40AD7" w:rsidRPr="00D970EF" w:rsidP="0075306D" w14:paraId="1CE9241A" w14:textId="77777777">
      <w:pPr>
        <w:widowControl w:val="0"/>
        <w:kinsoku w:val="0"/>
      </w:pPr>
    </w:p>
    <w:p w:rsidR="007D27DA" w:rsidP="0075306D" w14:paraId="49C286EA" w14:textId="07CD8A13">
      <w:pPr>
        <w:widowControl w:val="0"/>
        <w:kinsoku w:val="0"/>
      </w:pPr>
      <w:r w:rsidRPr="001D5EFC">
        <w:rPr>
          <w:i/>
          <w:iCs/>
        </w:rPr>
        <w:t>Grantee interviews:</w:t>
      </w:r>
      <w:r>
        <w:rPr>
          <w:b/>
          <w:bCs/>
        </w:rPr>
        <w:t xml:space="preserve"> </w:t>
      </w:r>
      <w:r w:rsidRPr="007D27DA">
        <w:t xml:space="preserve">Qualitative data from grantee staff interviews will be </w:t>
      </w:r>
      <w:r w:rsidR="002C45DC">
        <w:t xml:space="preserve">synthesized in the </w:t>
      </w:r>
      <w:r w:rsidR="00C33079">
        <w:t>interim</w:t>
      </w:r>
      <w:r w:rsidR="009F1418">
        <w:t xml:space="preserve"> and </w:t>
      </w:r>
      <w:r w:rsidR="00C33079">
        <w:t xml:space="preserve">final reports and </w:t>
      </w:r>
      <w:r w:rsidR="00F936BB">
        <w:t xml:space="preserve">will be </w:t>
      </w:r>
      <w:r w:rsidRPr="007D27DA">
        <w:t xml:space="preserve">used to describe how the grant </w:t>
      </w:r>
      <w:r w:rsidR="00B026AE">
        <w:t xml:space="preserve">program </w:t>
      </w:r>
      <w:r w:rsidRPr="007D27DA">
        <w:t xml:space="preserve">was intended </w:t>
      </w:r>
      <w:r w:rsidR="00CE024E">
        <w:t xml:space="preserve">to be </w:t>
      </w:r>
      <w:r w:rsidR="00B026AE">
        <w:t xml:space="preserve">implemented, how it was </w:t>
      </w:r>
      <w:r w:rsidRPr="007D27DA">
        <w:t xml:space="preserve">actually implemented, </w:t>
      </w:r>
      <w:r w:rsidR="005A3BE2">
        <w:t xml:space="preserve">grantees’ </w:t>
      </w:r>
      <w:r w:rsidRPr="007D27DA">
        <w:t xml:space="preserve">perception of the extent to which the program is achieving the desired outcomes, </w:t>
      </w:r>
      <w:r w:rsidR="00843AAB">
        <w:t xml:space="preserve">implementation </w:t>
      </w:r>
      <w:r w:rsidRPr="007D27DA">
        <w:t>successes and challenges</w:t>
      </w:r>
      <w:r w:rsidR="00843AAB">
        <w:t>,</w:t>
      </w:r>
      <w:r w:rsidRPr="007D27DA">
        <w:t xml:space="preserve"> suggested improvements to the program design and delivery</w:t>
      </w:r>
      <w:r w:rsidR="00CE024E">
        <w:t xml:space="preserve">, </w:t>
      </w:r>
      <w:r w:rsidR="00C53554">
        <w:t>characteristics of participants served</w:t>
      </w:r>
      <w:r>
        <w:t xml:space="preserve">, </w:t>
      </w:r>
      <w:r w:rsidR="00C76E73">
        <w:t xml:space="preserve">program outreach, </w:t>
      </w:r>
      <w:r w:rsidR="00C53554">
        <w:t>and service provision.</w:t>
      </w:r>
      <w:r>
        <w:t xml:space="preserve"> </w:t>
      </w:r>
    </w:p>
    <w:p w:rsidR="007D27DA" w:rsidP="0075306D" w14:paraId="61FF6B5A" w14:textId="77777777">
      <w:pPr>
        <w:widowControl w:val="0"/>
        <w:kinsoku w:val="0"/>
      </w:pPr>
    </w:p>
    <w:p w:rsidR="007D27DA" w:rsidP="0075306D" w14:paraId="46BEAE5A" w14:textId="2F0A3D22">
      <w:pPr>
        <w:widowControl w:val="0"/>
        <w:kinsoku w:val="0"/>
      </w:pPr>
      <w:r>
        <w:rPr>
          <w:i/>
          <w:iCs/>
        </w:rPr>
        <w:t>Subrecipient</w:t>
      </w:r>
      <w:r w:rsidRPr="001D5EFC">
        <w:rPr>
          <w:i/>
          <w:iCs/>
        </w:rPr>
        <w:t xml:space="preserve"> interviews:</w:t>
      </w:r>
      <w:r>
        <w:rPr>
          <w:b/>
          <w:bCs/>
        </w:rPr>
        <w:t xml:space="preserve"> </w:t>
      </w:r>
      <w:r>
        <w:t>Qualitative data from subrecipient staff interviews will be</w:t>
      </w:r>
      <w:r w:rsidR="00F936BB">
        <w:t xml:space="preserve"> synthesized in the interim</w:t>
      </w:r>
      <w:r w:rsidR="009F1418">
        <w:t xml:space="preserve"> and </w:t>
      </w:r>
      <w:r w:rsidR="00F936BB">
        <w:t>final reports and will be</w:t>
      </w:r>
      <w:r>
        <w:t xml:space="preserve"> used </w:t>
      </w:r>
      <w:r w:rsidR="000522C8">
        <w:t>in the same manner</w:t>
      </w:r>
      <w:r>
        <w:t xml:space="preserve"> as </w:t>
      </w:r>
      <w:r>
        <w:t xml:space="preserve">data from </w:t>
      </w:r>
      <w:r>
        <w:t xml:space="preserve">grantee </w:t>
      </w:r>
      <w:r w:rsidR="000522C8">
        <w:t>interviews.</w:t>
      </w:r>
      <w:r>
        <w:t xml:space="preserve"> </w:t>
      </w:r>
    </w:p>
    <w:p w:rsidR="007D27DA" w:rsidP="0075306D" w14:paraId="79A3D058" w14:textId="77777777">
      <w:pPr>
        <w:widowControl w:val="0"/>
        <w:kinsoku w:val="0"/>
      </w:pPr>
    </w:p>
    <w:p w:rsidR="00D970EF" w:rsidP="0075306D" w14:paraId="7D264300" w14:textId="7174EBA8">
      <w:pPr>
        <w:widowControl w:val="0"/>
        <w:kinsoku w:val="0"/>
      </w:pPr>
      <w:r w:rsidRPr="001D5EFC">
        <w:rPr>
          <w:i/>
          <w:iCs/>
        </w:rPr>
        <w:t>Program participant focus groups:</w:t>
      </w:r>
      <w:r>
        <w:rPr>
          <w:b/>
          <w:bCs/>
        </w:rPr>
        <w:t xml:space="preserve"> </w:t>
      </w:r>
      <w:r w:rsidR="00B95EDE">
        <w:t>Qualitative data from the</w:t>
      </w:r>
      <w:r>
        <w:t xml:space="preserve"> </w:t>
      </w:r>
      <w:r w:rsidR="00F24EAE">
        <w:t>program participant focus groups</w:t>
      </w:r>
      <w:r>
        <w:t xml:space="preserve"> </w:t>
      </w:r>
      <w:r w:rsidR="00B95EDE">
        <w:t xml:space="preserve">will be </w:t>
      </w:r>
      <w:r w:rsidR="00B2787E">
        <w:t>includ</w:t>
      </w:r>
      <w:r w:rsidR="00F936BB">
        <w:t>ed in the interim</w:t>
      </w:r>
      <w:r w:rsidR="007401A7">
        <w:t xml:space="preserve"> and </w:t>
      </w:r>
      <w:r w:rsidR="00F936BB">
        <w:t xml:space="preserve">final reports and will be </w:t>
      </w:r>
      <w:r w:rsidR="00B95EDE">
        <w:t xml:space="preserve">used </w:t>
      </w:r>
      <w:r>
        <w:t xml:space="preserve">to capture important insights </w:t>
      </w:r>
      <w:r w:rsidR="009A2F6A">
        <w:t>regarding the program participants</w:t>
      </w:r>
      <w:r w:rsidR="00273917">
        <w:t>’</w:t>
      </w:r>
      <w:r w:rsidR="009A2F6A">
        <w:t xml:space="preserve"> experience</w:t>
      </w:r>
      <w:r w:rsidR="00C93D65">
        <w:t>s</w:t>
      </w:r>
      <w:r w:rsidR="009A2F6A">
        <w:t xml:space="preserve"> with the </w:t>
      </w:r>
      <w:r>
        <w:t>program</w:t>
      </w:r>
      <w:r w:rsidR="00B60B73">
        <w:t>,</w:t>
      </w:r>
      <w:r w:rsidR="009A2F6A">
        <w:t xml:space="preserve"> their perspective</w:t>
      </w:r>
      <w:r w:rsidR="00C93D65">
        <w:t>s</w:t>
      </w:r>
      <w:r w:rsidR="009A2F6A">
        <w:t xml:space="preserve"> on the </w:t>
      </w:r>
      <w:r>
        <w:t>services offered</w:t>
      </w:r>
      <w:r w:rsidR="00B60B73">
        <w:t>,</w:t>
      </w:r>
      <w:r w:rsidR="009A2F6A">
        <w:t xml:space="preserve"> </w:t>
      </w:r>
      <w:r w:rsidR="00446506">
        <w:t>a</w:t>
      </w:r>
      <w:r w:rsidR="009A2F6A">
        <w:t xml:space="preserve">nd the usefulness of the </w:t>
      </w:r>
      <w:r w:rsidR="00FB59A3">
        <w:t>program</w:t>
      </w:r>
      <w:r>
        <w:t>.</w:t>
      </w:r>
    </w:p>
    <w:p w:rsidR="007D27DA" w:rsidP="0075306D" w14:paraId="45E485B8" w14:textId="77777777">
      <w:pPr>
        <w:widowControl w:val="0"/>
        <w:kinsoku w:val="0"/>
      </w:pPr>
    </w:p>
    <w:p w:rsidR="007D27DA" w:rsidP="0075306D" w14:paraId="480350B3" w14:textId="18299131">
      <w:pPr>
        <w:widowControl w:val="0"/>
        <w:kinsoku w:val="0"/>
      </w:pPr>
      <w:r w:rsidRPr="001D5EFC">
        <w:rPr>
          <w:i/>
          <w:iCs/>
        </w:rPr>
        <w:t xml:space="preserve">Program participant interviews: </w:t>
      </w:r>
      <w:r w:rsidRPr="00B95EDE" w:rsidR="00B95EDE">
        <w:t>Qualitative</w:t>
      </w:r>
      <w:r w:rsidR="00B95EDE">
        <w:t xml:space="preserve"> data from the </w:t>
      </w:r>
      <w:r w:rsidR="00F24EAE">
        <w:t>program participant interviews</w:t>
      </w:r>
      <w:r w:rsidR="00B95EDE">
        <w:t xml:space="preserve"> will</w:t>
      </w:r>
      <w:r w:rsidR="00B60B73">
        <w:t xml:space="preserve"> also</w:t>
      </w:r>
      <w:r w:rsidR="00B95EDE">
        <w:t xml:space="preserve"> be </w:t>
      </w:r>
      <w:r w:rsidR="00F936BB">
        <w:t>captured in the interim</w:t>
      </w:r>
      <w:r w:rsidR="007401A7">
        <w:t xml:space="preserve"> and </w:t>
      </w:r>
      <w:r w:rsidR="00F936BB">
        <w:t xml:space="preserve">final reports and will be </w:t>
      </w:r>
      <w:r w:rsidR="00B95EDE">
        <w:t xml:space="preserve">used </w:t>
      </w:r>
      <w:r w:rsidR="006121C4">
        <w:t xml:space="preserve">in the same manner as </w:t>
      </w:r>
      <w:r w:rsidR="00F24EAE">
        <w:t xml:space="preserve">data from </w:t>
      </w:r>
      <w:r w:rsidR="006121C4">
        <w:t>the program participant focus groups.</w:t>
      </w:r>
    </w:p>
    <w:p w:rsidR="002573EB" w:rsidP="0075306D" w14:paraId="55B4AA44" w14:textId="726CC17A">
      <w:pPr>
        <w:widowControl w:val="0"/>
        <w:kinsoku w:val="0"/>
      </w:pPr>
    </w:p>
    <w:p w:rsidR="002573EB" w:rsidP="0075306D" w14:paraId="51475989" w14:textId="6E6FB1A0">
      <w:pPr>
        <w:widowControl w:val="0"/>
        <w:kinsoku w:val="0"/>
      </w:pPr>
      <w:r>
        <w:t xml:space="preserve">Below </w:t>
      </w:r>
      <w:r w:rsidR="00200356">
        <w:t>are</w:t>
      </w:r>
      <w:r>
        <w:t xml:space="preserve"> </w:t>
      </w:r>
      <w:r w:rsidR="00D822EE">
        <w:t>detail</w:t>
      </w:r>
      <w:r w:rsidR="00200356">
        <w:t>s on</w:t>
      </w:r>
      <w:r w:rsidR="00D822EE">
        <w:t xml:space="preserve"> </w:t>
      </w:r>
      <w:r w:rsidR="00200356">
        <w:t>the</w:t>
      </w:r>
      <w:r w:rsidR="00D822EE">
        <w:t xml:space="preserve"> recruitment strategy for program participants.</w:t>
      </w:r>
    </w:p>
    <w:p w:rsidR="006A4CF3" w:rsidRPr="007D6522" w:rsidP="0075306D" w14:paraId="19F0E78A" w14:textId="477B8A20">
      <w:pPr>
        <w:rPr>
          <w:b/>
          <w:bCs/>
        </w:rPr>
      </w:pPr>
    </w:p>
    <w:p w:rsidR="001848A2" w:rsidP="0075306D" w14:paraId="54A2CEA2" w14:textId="64E9E47B">
      <w:r w:rsidRPr="00AF795F">
        <w:rPr>
          <w:b/>
        </w:rPr>
        <w:t>Recruitment of Program Participants</w:t>
      </w:r>
      <w:r>
        <w:t xml:space="preserve">: 2M plans to collect information from </w:t>
      </w:r>
      <w:r w:rsidRPr="00134772">
        <w:t>five</w:t>
      </w:r>
      <w:r>
        <w:t xml:space="preserve"> </w:t>
      </w:r>
      <w:r w:rsidRPr="00134772">
        <w:t>program</w:t>
      </w:r>
      <w:r>
        <w:t xml:space="preserve"> </w:t>
      </w:r>
      <w:r w:rsidRPr="00134772">
        <w:t>participants</w:t>
      </w:r>
      <w:r>
        <w:t xml:space="preserve"> per grantee. </w:t>
      </w:r>
      <w:r w:rsidR="00FC20D8">
        <w:t>2M</w:t>
      </w:r>
      <w:r>
        <w:t xml:space="preserve"> will provide grantees with electronic materials advertising the opportunity for interested program participants to contact 2M directly to participate in the focus group on a voluntary basis</w:t>
      </w:r>
      <w:r w:rsidR="00EC599F">
        <w:t xml:space="preserve"> (see Recruitment Flyer included in </w:t>
      </w:r>
      <w:r w:rsidRPr="009D643D" w:rsidR="00EC599F">
        <w:rPr>
          <w:b/>
          <w:bCs/>
        </w:rPr>
        <w:t xml:space="preserve">Appendix </w:t>
      </w:r>
      <w:r w:rsidR="00295C86">
        <w:rPr>
          <w:b/>
          <w:bCs/>
        </w:rPr>
        <w:t>D</w:t>
      </w:r>
      <w:r w:rsidR="00EC599F">
        <w:rPr>
          <w:b/>
          <w:bCs/>
        </w:rPr>
        <w:t>)</w:t>
      </w:r>
      <w:r>
        <w:t xml:space="preserve">. </w:t>
      </w:r>
      <w:r w:rsidR="00FC20D8">
        <w:t>2M</w:t>
      </w:r>
      <w:r>
        <w:t xml:space="preserve"> will emphasize the $50 gift card incentive for participation. Additionally, </w:t>
      </w:r>
      <w:r w:rsidR="00FC20D8">
        <w:t>2M</w:t>
      </w:r>
      <w:r>
        <w:t xml:space="preserve"> will provide the grantee point of contact with informed consent forms to be administered to interested program participants.</w:t>
      </w:r>
      <w:r w:rsidR="00FC20D8">
        <w:t xml:space="preserve"> </w:t>
      </w:r>
      <w:r>
        <w:t xml:space="preserve">If signed by the program participant, the informed consent form would allow the grantee to share the program participant’s contact information with 2M so that </w:t>
      </w:r>
      <w:r w:rsidR="00FC20D8">
        <w:t xml:space="preserve">2M </w:t>
      </w:r>
      <w:r>
        <w:t xml:space="preserve">can recruit them for focus groups. </w:t>
      </w:r>
      <w:r w:rsidR="00FC20D8">
        <w:t xml:space="preserve">The informed consent for sharing participant information is included in </w:t>
      </w:r>
      <w:r w:rsidRPr="00631405" w:rsidR="00FC20D8">
        <w:rPr>
          <w:b/>
          <w:bCs/>
        </w:rPr>
        <w:t xml:space="preserve">Appendix </w:t>
      </w:r>
      <w:r w:rsidR="00295C86">
        <w:rPr>
          <w:b/>
          <w:bCs/>
        </w:rPr>
        <w:t>E</w:t>
      </w:r>
      <w:r w:rsidRPr="00631405" w:rsidR="00FC20D8">
        <w:t>.</w:t>
      </w:r>
      <w:r w:rsidR="00FC20D8">
        <w:t xml:space="preserve"> </w:t>
      </w:r>
    </w:p>
    <w:p w:rsidR="006A4CF3" w:rsidP="0075306D" w14:paraId="113D8828" w14:textId="77777777"/>
    <w:p w:rsidR="009B4D16" w:rsidP="0075306D" w14:paraId="24E87FCD" w14:textId="73CF43F2">
      <w:r w:rsidRPr="00F848CB">
        <w:t>To ensure that recruitment reaches people with disabilities and those with limited English proficiency, 2M will make reasonable efforts to distribute materials in languages specified by grantees as significant among their beneficiary population. HUD’s Office of Policy Development and Research has a translation services contract that may be used to translate written materials into other languages. 2M will ensure that all written materials distributed to participants meet accessibility requirements covered by Section 508 of the Rehabilitation Act and include information about the right to request reasonable accommodation and the process for doing so. 2M encourages prospective participants who require reasonable accommodations to contact the research team</w:t>
      </w:r>
      <w:r w:rsidRPr="00F848CB" w:rsidR="00C01805">
        <w:t>.</w:t>
      </w:r>
    </w:p>
    <w:p w:rsidR="009B4D16" w:rsidP="0075306D" w14:paraId="75BB3319" w14:textId="77777777"/>
    <w:p w:rsidR="001848A2" w:rsidP="0075306D" w14:paraId="04DE078E" w14:textId="25A4233C">
      <w:r>
        <w:t>If 2M is unable to recruit at least two participants</w:t>
      </w:r>
      <w:r w:rsidR="00BA170C">
        <w:t xml:space="preserve"> for a grantee</w:t>
      </w:r>
      <w:r>
        <w:t xml:space="preserve">, </w:t>
      </w:r>
      <w:r w:rsidR="00FC20D8">
        <w:t>2M</w:t>
      </w:r>
      <w:r>
        <w:t xml:space="preserve"> </w:t>
      </w:r>
      <w:r w:rsidRPr="00134772">
        <w:t>will</w:t>
      </w:r>
      <w:r>
        <w:t xml:space="preserve"> </w:t>
      </w:r>
      <w:r w:rsidRPr="00134772">
        <w:t>seek</w:t>
      </w:r>
      <w:r>
        <w:t xml:space="preserve"> </w:t>
      </w:r>
      <w:r w:rsidRPr="00134772">
        <w:t>assistance</w:t>
      </w:r>
      <w:r>
        <w:t xml:space="preserve"> </w:t>
      </w:r>
      <w:r w:rsidRPr="00134772">
        <w:t>from</w:t>
      </w:r>
      <w:r>
        <w:t xml:space="preserve"> grantee or subrecipient </w:t>
      </w:r>
      <w:r w:rsidRPr="00134772">
        <w:t>staff</w:t>
      </w:r>
      <w:r>
        <w:t xml:space="preserve"> </w:t>
      </w:r>
      <w:r w:rsidRPr="00134772">
        <w:t>to</w:t>
      </w:r>
      <w:r>
        <w:t xml:space="preserve"> identify and provide contact information for alternate participants to the extent that the grantee or subrecipient has the organizational capacity to support this recruitment effort. Additionally, once the prospective participants have been identified and contacted, </w:t>
      </w:r>
      <w:r w:rsidR="00FC20D8">
        <w:t>2M</w:t>
      </w:r>
      <w:r>
        <w:t xml:space="preserve"> </w:t>
      </w:r>
      <w:r w:rsidRPr="00134772">
        <w:t>will</w:t>
      </w:r>
      <w:r>
        <w:t xml:space="preserve"> </w:t>
      </w:r>
      <w:r w:rsidRPr="00134772">
        <w:t>collaborate</w:t>
      </w:r>
      <w:r>
        <w:t xml:space="preserve"> </w:t>
      </w:r>
      <w:r w:rsidRPr="00134772">
        <w:t>with</w:t>
      </w:r>
      <w:r>
        <w:t xml:space="preserve"> </w:t>
      </w:r>
      <w:r w:rsidRPr="00134772">
        <w:t>pertinent</w:t>
      </w:r>
      <w:r>
        <w:t xml:space="preserve"> </w:t>
      </w:r>
      <w:r w:rsidRPr="00134772">
        <w:t>staff</w:t>
      </w:r>
      <w:r>
        <w:t xml:space="preserve"> </w:t>
      </w:r>
      <w:r w:rsidRPr="00134772">
        <w:t>to</w:t>
      </w:r>
      <w:r>
        <w:t xml:space="preserve"> find alternate </w:t>
      </w:r>
      <w:r w:rsidRPr="00134772">
        <w:t>respondents</w:t>
      </w:r>
      <w:r>
        <w:t xml:space="preserve"> </w:t>
      </w:r>
      <w:r w:rsidRPr="00134772">
        <w:t>if</w:t>
      </w:r>
      <w:r>
        <w:t xml:space="preserve"> participants are </w:t>
      </w:r>
      <w:r w:rsidRPr="00134772">
        <w:t>unresponsive</w:t>
      </w:r>
      <w:r>
        <w:t xml:space="preserve"> </w:t>
      </w:r>
      <w:r w:rsidRPr="00134772">
        <w:t>or</w:t>
      </w:r>
      <w:r>
        <w:t xml:space="preserve"> un</w:t>
      </w:r>
      <w:r w:rsidRPr="00134772">
        <w:t>available</w:t>
      </w:r>
      <w:r>
        <w:t xml:space="preserve"> (</w:t>
      </w:r>
      <w:r w:rsidRPr="00134772">
        <w:t>during</w:t>
      </w:r>
      <w:r>
        <w:t xml:space="preserve"> </w:t>
      </w:r>
      <w:r w:rsidRPr="00134772">
        <w:t>the</w:t>
      </w:r>
      <w:r>
        <w:t xml:space="preserve"> </w:t>
      </w:r>
      <w:r w:rsidRPr="00134772">
        <w:t>data</w:t>
      </w:r>
      <w:r>
        <w:t xml:space="preserve"> </w:t>
      </w:r>
      <w:r w:rsidRPr="00134772">
        <w:t>collection</w:t>
      </w:r>
      <w:r>
        <w:t xml:space="preserve"> </w:t>
      </w:r>
      <w:r w:rsidRPr="00134772">
        <w:t>period</w:t>
      </w:r>
      <w:r>
        <w:t>) and conduct additional outreach efforts for participant self-selection</w:t>
      </w:r>
      <w:r w:rsidRPr="00134772">
        <w:t>.</w:t>
      </w:r>
      <w:r>
        <w:t xml:space="preserve"> </w:t>
      </w:r>
    </w:p>
    <w:p w:rsidR="006A4CF3" w:rsidP="0075306D" w14:paraId="5C824578" w14:textId="77777777"/>
    <w:p w:rsidR="001848A2" w:rsidP="0075306D" w14:paraId="54D478E0" w14:textId="0F00A26F">
      <w:r>
        <w:t>If interested program participants express hesitancy in participating in a focus group,</w:t>
      </w:r>
      <w:r w:rsidR="00FC20D8">
        <w:t xml:space="preserve"> 2M</w:t>
      </w:r>
      <w:r>
        <w:t xml:space="preserve"> will provide them with alternate options like one-on-one interviewing without being recorded while emphasizing confidentiality (e.g., interviews will be anonymous</w:t>
      </w:r>
      <w:r w:rsidR="008D3FF1">
        <w:t>,</w:t>
      </w:r>
      <w:r>
        <w:t xml:space="preserve"> and names will not be shared in reports). </w:t>
      </w:r>
      <w:r w:rsidR="004D6429">
        <w:t>If</w:t>
      </w:r>
      <w:r>
        <w:t xml:space="preserve"> the number of program participants for any grantee is less than three, </w:t>
      </w:r>
      <w:r w:rsidR="004D6429">
        <w:t>2M</w:t>
      </w:r>
      <w:r>
        <w:t xml:space="preserve"> will schedule a 45-minute one-on-one interview with the two individual participants (instead of the focus group). </w:t>
      </w:r>
    </w:p>
    <w:p w:rsidR="006A4CF3" w:rsidP="0075306D" w14:paraId="1C4A4D4E" w14:textId="28FDD9E8">
      <w:pPr>
        <w:rPr>
          <w:b/>
          <w:bCs/>
        </w:rPr>
      </w:pPr>
    </w:p>
    <w:p w:rsidR="009D5DFA" w:rsidRPr="00FC20D8" w:rsidP="0075306D" w14:paraId="57CC7284" w14:textId="77777777">
      <w:r w:rsidRPr="00EA02F5">
        <w:t>The focus group protocol and one-on-one interview guide will remain the same for both rounds</w:t>
      </w:r>
      <w:r w:rsidRPr="00FC20D8">
        <w:t>.</w:t>
      </w:r>
    </w:p>
    <w:p w:rsidR="00C354D5" w:rsidP="0075306D" w14:paraId="014AA3AB" w14:textId="77777777"/>
    <w:p w:rsidR="009D5DFA" w:rsidP="0075306D" w14:paraId="59521A07" w14:textId="2EDBD61B">
      <w:r>
        <w:t xml:space="preserve">2M will utilize Microsoft Teams to conduct focus groups and one-on-one interviews virtually and </w:t>
      </w:r>
      <w:r w:rsidR="00C354D5">
        <w:t xml:space="preserve">will provide </w:t>
      </w:r>
      <w:r>
        <w:t xml:space="preserve">the participants </w:t>
      </w:r>
      <w:r w:rsidR="00C354D5">
        <w:t>with</w:t>
      </w:r>
      <w:r>
        <w:t xml:space="preserve"> </w:t>
      </w:r>
      <w:r w:rsidR="00DE29F2">
        <w:t xml:space="preserve">a </w:t>
      </w:r>
      <w:r>
        <w:t xml:space="preserve">call-in phone number if they do not have access to a computer. </w:t>
      </w:r>
    </w:p>
    <w:p w:rsidR="009D5DFA" w:rsidP="006870B9" w14:paraId="25AC457D" w14:textId="54F0C772">
      <w:pPr>
        <w:pStyle w:val="ListParagraph"/>
        <w:numPr>
          <w:ilvl w:val="0"/>
          <w:numId w:val="22"/>
        </w:numPr>
        <w:contextualSpacing/>
      </w:pPr>
      <w:r w:rsidRPr="00D95434">
        <w:rPr>
          <w:b/>
          <w:bCs/>
        </w:rPr>
        <w:t>Protocol for Focus Group Recruitment:</w:t>
      </w:r>
      <w:r>
        <w:t xml:space="preserve"> 2M will conduct outreach to all program participants who contact </w:t>
      </w:r>
      <w:r w:rsidR="004D6429">
        <w:t>2M</w:t>
      </w:r>
      <w:r>
        <w:t xml:space="preserve"> directly or for whom </w:t>
      </w:r>
      <w:r w:rsidR="004D6429">
        <w:t>2M</w:t>
      </w:r>
      <w:r>
        <w:t xml:space="preserve"> receive</w:t>
      </w:r>
      <w:r w:rsidR="004D6429">
        <w:t>s</w:t>
      </w:r>
      <w:r>
        <w:t xml:space="preserve"> contact information from the </w:t>
      </w:r>
      <w:r>
        <w:t>grantee</w:t>
      </w:r>
      <w:r w:rsidR="00813FFA">
        <w:t xml:space="preserve">, </w:t>
      </w:r>
      <w:r w:rsidRPr="00F848CB" w:rsidR="00591429">
        <w:t>and</w:t>
      </w:r>
      <w:r w:rsidRPr="00F848CB" w:rsidR="00591429">
        <w:t xml:space="preserve"> will make reasonable efforts to </w:t>
      </w:r>
      <w:r w:rsidRPr="00F848CB" w:rsidR="00813FFA">
        <w:t>us</w:t>
      </w:r>
      <w:r w:rsidRPr="00F848CB" w:rsidR="00591429">
        <w:t>e</w:t>
      </w:r>
      <w:r w:rsidRPr="00F848CB" w:rsidR="00813FFA">
        <w:t xml:space="preserve"> a means and language of communication most appropriate for the selected participant depending on language proficiency and disability status. 2M </w:t>
      </w:r>
      <w:r w:rsidRPr="00F848CB" w:rsidR="00813FFA">
        <w:t>is capable of conducting</w:t>
      </w:r>
      <w:r w:rsidRPr="00F848CB" w:rsidR="00813FFA">
        <w:t xml:space="preserve"> Spanish-language interviews and focus groups</w:t>
      </w:r>
      <w:r w:rsidRPr="00F848CB">
        <w:t>.</w:t>
      </w:r>
      <w:r>
        <w:t xml:space="preserve"> Respondents will be provided with up to five possible times and dates for the focus group, after which they will be asked to select all possible 90-minute slots for which they are available to participate. </w:t>
      </w:r>
      <w:r w:rsidR="00B45161">
        <w:t>2M</w:t>
      </w:r>
      <w:r>
        <w:t xml:space="preserve"> will provide additional time slots if the initial five slots do not work for at least three participants. The focus groups will be scheduled according to respondent availability. Informed consent will be administered at the outset of the focus group, with verbal consent requested from each respondent and maintained as part of the session recording. Respondents will also be provided with an informed consent statement </w:t>
      </w:r>
      <w:r w:rsidR="00776014">
        <w:t xml:space="preserve">(see </w:t>
      </w:r>
      <w:r w:rsidR="000F1193">
        <w:t xml:space="preserve">informed consent for participation in </w:t>
      </w:r>
      <w:r w:rsidRPr="00631405" w:rsidR="00776014">
        <w:rPr>
          <w:b/>
          <w:bCs/>
        </w:rPr>
        <w:t xml:space="preserve">Appendix </w:t>
      </w:r>
      <w:r w:rsidR="00295C86">
        <w:rPr>
          <w:b/>
          <w:bCs/>
        </w:rPr>
        <w:t>F</w:t>
      </w:r>
      <w:r w:rsidR="00776014">
        <w:t xml:space="preserve">) </w:t>
      </w:r>
      <w:r>
        <w:t>prior to attending the interview via email</w:t>
      </w:r>
      <w:r w:rsidR="00BC276D">
        <w:t xml:space="preserve"> or other accessible means of delivery</w:t>
      </w:r>
      <w:r>
        <w:t xml:space="preserve">. For those who do not provide us with their email </w:t>
      </w:r>
      <w:r w:rsidR="004D6429">
        <w:t>address</w:t>
      </w:r>
      <w:r>
        <w:t xml:space="preserve">, </w:t>
      </w:r>
      <w:r w:rsidR="004D6429">
        <w:t>2M</w:t>
      </w:r>
      <w:r>
        <w:t xml:space="preserve"> will read the informed consent during the interview and record their response.</w:t>
      </w:r>
    </w:p>
    <w:p w:rsidR="001848A2" w:rsidP="006870B9" w14:paraId="1255D655" w14:textId="59223599">
      <w:pPr>
        <w:pStyle w:val="ListParagraph"/>
        <w:numPr>
          <w:ilvl w:val="0"/>
          <w:numId w:val="22"/>
        </w:numPr>
        <w:contextualSpacing/>
      </w:pPr>
      <w:r w:rsidRPr="00D95434">
        <w:rPr>
          <w:b/>
          <w:bCs/>
        </w:rPr>
        <w:t>Protocol for One-on-one Interview Recruitment:</w:t>
      </w:r>
      <w:r>
        <w:t xml:space="preserve"> 2M anticipates focus groups will include five participants. If fewer than three program participants from a given grantee/subrecipient are interested in participating in a focus group, 2M will instead conduct a 45-minute individual interview with those program participants who are interested in participating. Informed consent </w:t>
      </w:r>
      <w:r w:rsidR="00233A01">
        <w:t xml:space="preserve">(see informed consent for participation in </w:t>
      </w:r>
      <w:r w:rsidRPr="00631405" w:rsidR="00233A01">
        <w:rPr>
          <w:b/>
          <w:bCs/>
        </w:rPr>
        <w:t xml:space="preserve">Appendix </w:t>
      </w:r>
      <w:r w:rsidR="00295C86">
        <w:rPr>
          <w:b/>
          <w:bCs/>
        </w:rPr>
        <w:t>F</w:t>
      </w:r>
      <w:r w:rsidR="00233A01">
        <w:t xml:space="preserve">) </w:t>
      </w:r>
      <w:r>
        <w:t>to participate will be administered at the outset of the interview, with verbal consent requested from the individual respondent and maintained as part of the interview recording. Respondents will also be provided with an informed consent statement prior to attending the interview via email</w:t>
      </w:r>
      <w:r w:rsidR="00BC276D">
        <w:t xml:space="preserve"> or other accessible means of delivery</w:t>
      </w:r>
      <w:r>
        <w:t xml:space="preserve">. For those who do not provide us with their email </w:t>
      </w:r>
      <w:r w:rsidR="004D6429">
        <w:t>address</w:t>
      </w:r>
      <w:r>
        <w:t xml:space="preserve">, </w:t>
      </w:r>
      <w:r w:rsidR="004D6429">
        <w:t>2M</w:t>
      </w:r>
      <w:r>
        <w:t xml:space="preserve"> will read the informed consent during the interview and record their response.</w:t>
      </w:r>
    </w:p>
    <w:p w:rsidR="000F759E" w:rsidRPr="00B95EDE" w:rsidP="000F759E" w14:paraId="54F0D5CC" w14:textId="77777777">
      <w:pPr>
        <w:contextualSpacing/>
      </w:pPr>
    </w:p>
    <w:p w:rsidR="00C72E05" w:rsidP="0075306D" w14:paraId="19119F47" w14:textId="7C3D6B9E">
      <w:pPr>
        <w:rPr>
          <w:color w:val="000000"/>
        </w:rPr>
      </w:pPr>
      <w:r>
        <w:t xml:space="preserve">2M plans to </w:t>
      </w:r>
      <w:r w:rsidR="00A0026F">
        <w:t xml:space="preserve">conduct </w:t>
      </w:r>
      <w:r>
        <w:t xml:space="preserve">two rounds of data collection </w:t>
      </w:r>
      <w:r w:rsidR="00E83E3E">
        <w:t>and</w:t>
      </w:r>
      <w:r w:rsidRPr="00D970EF" w:rsidR="00D970EF">
        <w:rPr>
          <w:color w:val="000000"/>
        </w:rPr>
        <w:t xml:space="preserve"> envision</w:t>
      </w:r>
      <w:r w:rsidR="00A0026F">
        <w:rPr>
          <w:color w:val="000000"/>
        </w:rPr>
        <w:t>s that</w:t>
      </w:r>
      <w:r w:rsidRPr="00D970EF" w:rsidR="00D970EF">
        <w:rPr>
          <w:color w:val="000000"/>
        </w:rPr>
        <w:t xml:space="preserve"> this effort </w:t>
      </w:r>
      <w:r w:rsidR="00A0026F">
        <w:rPr>
          <w:color w:val="000000"/>
        </w:rPr>
        <w:t>will</w:t>
      </w:r>
      <w:r w:rsidRPr="00D970EF" w:rsidR="00A0026F">
        <w:rPr>
          <w:color w:val="000000"/>
        </w:rPr>
        <w:t xml:space="preserve"> </w:t>
      </w:r>
      <w:r w:rsidRPr="00D970EF" w:rsidR="00D970EF">
        <w:rPr>
          <w:color w:val="000000"/>
        </w:rPr>
        <w:t xml:space="preserve">last up to </w:t>
      </w:r>
      <w:r>
        <w:rPr>
          <w:color w:val="000000"/>
        </w:rPr>
        <w:t>two</w:t>
      </w:r>
      <w:r w:rsidRPr="00D970EF">
        <w:rPr>
          <w:color w:val="000000"/>
        </w:rPr>
        <w:t xml:space="preserve"> </w:t>
      </w:r>
      <w:r w:rsidRPr="00D970EF" w:rsidR="00D970EF">
        <w:rPr>
          <w:color w:val="000000"/>
        </w:rPr>
        <w:t>months</w:t>
      </w:r>
      <w:r>
        <w:rPr>
          <w:color w:val="000000"/>
        </w:rPr>
        <w:t xml:space="preserve"> for each round</w:t>
      </w:r>
      <w:r w:rsidRPr="00D970EF" w:rsidR="00D970EF">
        <w:rPr>
          <w:color w:val="000000"/>
        </w:rPr>
        <w:t xml:space="preserve">. </w:t>
      </w:r>
    </w:p>
    <w:p w:rsidR="002666A8" w:rsidRPr="007C57A1" w:rsidP="0075306D" w14:paraId="763C3152" w14:textId="712DA7E3">
      <w:pPr>
        <w:pStyle w:val="ListParagraph"/>
        <w:numPr>
          <w:ilvl w:val="3"/>
          <w:numId w:val="7"/>
        </w:numPr>
        <w:ind w:left="360"/>
        <w:rPr>
          <w:color w:val="000000"/>
        </w:rPr>
      </w:pPr>
      <w:r w:rsidRPr="00484C9A">
        <w:rPr>
          <w:color w:val="000000"/>
        </w:rPr>
        <w:t xml:space="preserve">Round </w:t>
      </w:r>
      <w:r w:rsidRPr="00484C9A" w:rsidR="00C72E05">
        <w:rPr>
          <w:color w:val="000000"/>
        </w:rPr>
        <w:t xml:space="preserve">1 </w:t>
      </w:r>
      <w:r w:rsidRPr="00484C9A">
        <w:rPr>
          <w:color w:val="000000"/>
        </w:rPr>
        <w:t xml:space="preserve">of data collection is expected to occur between </w:t>
      </w:r>
      <w:r w:rsidRPr="00D970EF">
        <w:t>October and November 2023</w:t>
      </w:r>
      <w:r w:rsidR="006D371C">
        <w:t>.</w:t>
      </w:r>
      <w:r w:rsidRPr="00D970EF">
        <w:t xml:space="preserve"> </w:t>
      </w:r>
    </w:p>
    <w:p w:rsidR="002666A8" w:rsidRPr="00D86EC2" w:rsidP="0075306D" w14:paraId="3E36CEAD" w14:textId="1C00C918">
      <w:pPr>
        <w:pStyle w:val="ListParagraph"/>
        <w:numPr>
          <w:ilvl w:val="3"/>
          <w:numId w:val="7"/>
        </w:numPr>
        <w:ind w:left="360"/>
        <w:rPr>
          <w:color w:val="000000"/>
        </w:rPr>
      </w:pPr>
      <w:r>
        <w:t>R</w:t>
      </w:r>
      <w:r w:rsidRPr="00D970EF" w:rsidR="00D970EF">
        <w:t xml:space="preserve">ound </w:t>
      </w:r>
      <w:r>
        <w:t>2</w:t>
      </w:r>
      <w:r w:rsidRPr="00D970EF">
        <w:t xml:space="preserve"> </w:t>
      </w:r>
      <w:r w:rsidRPr="00D970EF" w:rsidR="00D970EF">
        <w:t>of data collection is expected to occur between March and April 2024.</w:t>
      </w:r>
    </w:p>
    <w:p w:rsidR="00B30B7C" w:rsidRPr="001D5EFC" w:rsidP="0075306D" w14:paraId="712E3DE3" w14:textId="77777777">
      <w:pPr>
        <w:rPr>
          <w:color w:val="000000"/>
        </w:rPr>
      </w:pPr>
    </w:p>
    <w:p w:rsidR="00135146" w:rsidP="0075306D" w14:paraId="44A4D800" w14:textId="47A296BE">
      <w:pPr>
        <w:rPr>
          <w:color w:val="000000"/>
        </w:rPr>
      </w:pPr>
      <w:r w:rsidRPr="007C57A1">
        <w:rPr>
          <w:color w:val="000000"/>
        </w:rPr>
        <w:t xml:space="preserve">Once the data collection phase is complete, </w:t>
      </w:r>
      <w:r w:rsidR="0029794E">
        <w:rPr>
          <w:color w:val="000000"/>
        </w:rPr>
        <w:t>2M</w:t>
      </w:r>
      <w:r w:rsidRPr="007C57A1">
        <w:rPr>
          <w:color w:val="000000"/>
        </w:rPr>
        <w:t xml:space="preserve"> will then clean the transcriptions for use in a multistep coding process to conduct a rigorous qualitative analysis of the interview data. </w:t>
      </w:r>
      <w:r w:rsidR="004D6429">
        <w:rPr>
          <w:color w:val="000000"/>
        </w:rPr>
        <w:t xml:space="preserve">The </w:t>
      </w:r>
      <w:r w:rsidR="00DC3F89">
        <w:rPr>
          <w:color w:val="000000"/>
        </w:rPr>
        <w:t>data analysis</w:t>
      </w:r>
      <w:r w:rsidR="004D6429">
        <w:rPr>
          <w:color w:val="000000"/>
        </w:rPr>
        <w:t xml:space="preserve"> will be summarized </w:t>
      </w:r>
      <w:r w:rsidR="00DC3F89">
        <w:rPr>
          <w:color w:val="000000"/>
        </w:rPr>
        <w:t xml:space="preserve">in </w:t>
      </w:r>
      <w:r w:rsidR="004D6429">
        <w:rPr>
          <w:color w:val="000000"/>
        </w:rPr>
        <w:t xml:space="preserve">and </w:t>
      </w:r>
      <w:r w:rsidR="00DC3F89">
        <w:rPr>
          <w:color w:val="000000"/>
        </w:rPr>
        <w:t xml:space="preserve">publicly </w:t>
      </w:r>
      <w:r w:rsidR="004D6429">
        <w:rPr>
          <w:color w:val="000000"/>
        </w:rPr>
        <w:t xml:space="preserve">disseminated </w:t>
      </w:r>
      <w:r w:rsidR="00DC3F89">
        <w:rPr>
          <w:color w:val="000000"/>
        </w:rPr>
        <w:t>through</w:t>
      </w:r>
      <w:r w:rsidR="004D6429">
        <w:rPr>
          <w:color w:val="000000"/>
        </w:rPr>
        <w:t xml:space="preserve"> the </w:t>
      </w:r>
      <w:r w:rsidR="00DC3F89">
        <w:rPr>
          <w:color w:val="000000"/>
        </w:rPr>
        <w:t xml:space="preserve">interim and </w:t>
      </w:r>
      <w:r w:rsidR="004D6429">
        <w:rPr>
          <w:color w:val="000000"/>
        </w:rPr>
        <w:t>final report</w:t>
      </w:r>
      <w:r w:rsidR="00DC3F89">
        <w:rPr>
          <w:color w:val="000000"/>
        </w:rPr>
        <w:t>s</w:t>
      </w:r>
      <w:r w:rsidR="004D6429">
        <w:rPr>
          <w:color w:val="000000"/>
        </w:rPr>
        <w:t>.</w:t>
      </w:r>
      <w:r w:rsidRPr="007C57A1">
        <w:rPr>
          <w:color w:val="000000"/>
        </w:rPr>
        <w:t xml:space="preserve"> </w:t>
      </w:r>
    </w:p>
    <w:p w:rsidR="00AF53E3" w:rsidP="0075306D" w14:paraId="3F52D1D9" w14:textId="77777777">
      <w:pPr>
        <w:rPr>
          <w:b/>
          <w:bCs/>
        </w:rPr>
      </w:pPr>
    </w:p>
    <w:p w:rsidR="00BF38CF" w:rsidRPr="00135146" w:rsidP="006870B9" w14:paraId="7BEC3EAD" w14:textId="07B1A21D">
      <w:pPr>
        <w:pStyle w:val="Heading2"/>
      </w:pPr>
      <w:r w:rsidRPr="00135146">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38CF" w:rsidRPr="00135146" w:rsidP="0075306D" w14:paraId="312D7526" w14:textId="77777777">
      <w:pPr>
        <w:pStyle w:val="ListParagraph"/>
        <w:rPr>
          <w:b/>
          <w:bCs/>
        </w:rPr>
      </w:pPr>
    </w:p>
    <w:p w:rsidR="00135146" w:rsidP="006870B9" w14:paraId="16EB02AE" w14:textId="1EE2F50C">
      <w:r>
        <w:t>2M is not planning to administer any electronic data collection</w:t>
      </w:r>
      <w:r w:rsidR="00480C1E">
        <w:t xml:space="preserve">. </w:t>
      </w:r>
      <w:r w:rsidR="00980193">
        <w:t>I</w:t>
      </w:r>
      <w:r w:rsidRPr="00875B10" w:rsidR="00D970EF">
        <w:t xml:space="preserve">nterviews and </w:t>
      </w:r>
      <w:r w:rsidRPr="00484C9A" w:rsidR="00D970EF">
        <w:t>focus groups</w:t>
      </w:r>
      <w:r w:rsidRPr="00875B10" w:rsidR="00D970EF">
        <w:t xml:space="preserve"> </w:t>
      </w:r>
      <w:r w:rsidR="00980193">
        <w:t xml:space="preserve">will be conducted </w:t>
      </w:r>
      <w:r w:rsidRPr="00875B10" w:rsidR="00D970EF">
        <w:t>remotely via a secure videoconference platform (e.g., Microsoft Teams) or over the telephone</w:t>
      </w:r>
      <w:r w:rsidR="00480C1E">
        <w:t xml:space="preserve"> as requested by the participant to reduce </w:t>
      </w:r>
      <w:r w:rsidR="004C459D">
        <w:t>burden</w:t>
      </w:r>
      <w:r w:rsidRPr="00875B10" w:rsidR="00D970EF">
        <w:t xml:space="preserve">. </w:t>
      </w:r>
      <w:r w:rsidRPr="00F848CB" w:rsidR="003F7711">
        <w:t>If any language interpretation services are available, including ASL services, the availability of such services will be communicated to all potential participants during outreach and again during the informed consent process.</w:t>
      </w:r>
      <w:r w:rsidR="003F7711">
        <w:t xml:space="preserve"> </w:t>
      </w:r>
      <w:r w:rsidR="00EA5E90">
        <w:t>2M will review all available data prior to starting data collection to ensure that the interviews conducted</w:t>
      </w:r>
      <w:r w:rsidR="00020D52">
        <w:t xml:space="preserve"> </w:t>
      </w:r>
      <w:r w:rsidR="00482AE7">
        <w:t>are</w:t>
      </w:r>
      <w:r w:rsidR="00020D52">
        <w:t xml:space="preserve"> focused and nonduplicative to already available information. The use of recording </w:t>
      </w:r>
      <w:r w:rsidR="00E54C4D">
        <w:t>during interviews and focus groups</w:t>
      </w:r>
      <w:r w:rsidR="004565AB">
        <w:t xml:space="preserve">, with the respondent’s permission, </w:t>
      </w:r>
      <w:r w:rsidR="00020D52">
        <w:t xml:space="preserve">will </w:t>
      </w:r>
      <w:r w:rsidR="00E54C4D">
        <w:t xml:space="preserve">further reduce the need to </w:t>
      </w:r>
      <w:r w:rsidR="00C67A6C">
        <w:t>follow-up</w:t>
      </w:r>
      <w:r w:rsidR="00E54C4D">
        <w:t xml:space="preserve"> </w:t>
      </w:r>
      <w:r w:rsidR="004D3B5F">
        <w:t xml:space="preserve">with </w:t>
      </w:r>
      <w:r w:rsidR="00E54C4D">
        <w:t>and burden the respondent</w:t>
      </w:r>
      <w:r w:rsidR="00C67A6C">
        <w:t xml:space="preserve">. </w:t>
      </w:r>
    </w:p>
    <w:p w:rsidR="000F759E" w:rsidP="006870B9" w14:paraId="6205E4E4" w14:textId="77777777">
      <w:pPr>
        <w:rPr>
          <w:b/>
          <w:bCs/>
        </w:rPr>
      </w:pPr>
    </w:p>
    <w:p w:rsidR="00BF38CF" w:rsidRPr="00135146" w:rsidP="006870B9" w14:paraId="37F407D9" w14:textId="02FF4AF3">
      <w:pPr>
        <w:pStyle w:val="Heading2"/>
      </w:pPr>
      <w:r w:rsidRPr="00135146">
        <w:t>Describe efforts to identify duplication. Show specifically why any similar information already available cannot be used or modified for use for the purposes described in Item 2 above.</w:t>
      </w:r>
    </w:p>
    <w:p w:rsidR="00BF38CF" w:rsidRPr="00135146" w:rsidP="0075306D" w14:paraId="27DDEFE4" w14:textId="77777777">
      <w:pPr>
        <w:pStyle w:val="ListParagraph"/>
        <w:rPr>
          <w:b/>
          <w:bCs/>
        </w:rPr>
      </w:pPr>
    </w:p>
    <w:p w:rsidR="0057434D" w:rsidRPr="005078F1" w:rsidP="006870B9" w14:paraId="7136044C" w14:textId="7D376668">
      <w:pPr>
        <w:pStyle w:val="BodyText"/>
        <w:spacing w:after="0" w:line="240" w:lineRule="auto"/>
        <w:rPr>
          <w:sz w:val="24"/>
          <w:szCs w:val="24"/>
        </w:rPr>
      </w:pPr>
      <w:r>
        <w:rPr>
          <w:sz w:val="24"/>
          <w:szCs w:val="24"/>
        </w:rPr>
        <w:t xml:space="preserve">The Eviction Protection Grant Program is a new HUD program, and there have not been studies </w:t>
      </w:r>
      <w:r w:rsidR="00793659">
        <w:rPr>
          <w:sz w:val="24"/>
          <w:szCs w:val="24"/>
        </w:rPr>
        <w:t xml:space="preserve">on </w:t>
      </w:r>
      <w:r>
        <w:rPr>
          <w:sz w:val="24"/>
          <w:szCs w:val="24"/>
        </w:rPr>
        <w:t>or evaluations o</w:t>
      </w:r>
      <w:r w:rsidR="00793659">
        <w:rPr>
          <w:sz w:val="24"/>
          <w:szCs w:val="24"/>
        </w:rPr>
        <w:t>f</w:t>
      </w:r>
      <w:r>
        <w:rPr>
          <w:sz w:val="24"/>
          <w:szCs w:val="24"/>
        </w:rPr>
        <w:t xml:space="preserve"> this program to date. </w:t>
      </w:r>
    </w:p>
    <w:p w:rsidR="00D970EF" w:rsidRPr="005078F1" w:rsidP="006870B9" w14:paraId="447EB51D" w14:textId="77777777">
      <w:pPr>
        <w:pStyle w:val="BodyText"/>
        <w:spacing w:after="0" w:line="240" w:lineRule="auto"/>
        <w:rPr>
          <w:sz w:val="24"/>
          <w:szCs w:val="24"/>
        </w:rPr>
      </w:pPr>
    </w:p>
    <w:p w:rsidR="00C67A6C" w:rsidP="006870B9" w14:paraId="3D2C3AEE" w14:textId="1641D513">
      <w:pPr>
        <w:pStyle w:val="BodyText"/>
        <w:spacing w:after="0" w:line="240" w:lineRule="auto"/>
        <w:rPr>
          <w:sz w:val="24"/>
          <w:szCs w:val="24"/>
        </w:rPr>
      </w:pPr>
      <w:r w:rsidRPr="00484C9A">
        <w:rPr>
          <w:sz w:val="24"/>
          <w:szCs w:val="24"/>
        </w:rPr>
        <w:t xml:space="preserve">Before conducting interviews with grantee and subrecipient staff, </w:t>
      </w:r>
      <w:r w:rsidR="00064443">
        <w:rPr>
          <w:sz w:val="24"/>
          <w:szCs w:val="24"/>
        </w:rPr>
        <w:t>2M</w:t>
      </w:r>
      <w:r w:rsidRPr="00484C9A">
        <w:rPr>
          <w:sz w:val="24"/>
          <w:szCs w:val="24"/>
        </w:rPr>
        <w:t xml:space="preserve"> will review all available information for each grantee and subrecipient</w:t>
      </w:r>
      <w:r w:rsidRPr="00484C9A" w:rsidR="00B67C56">
        <w:rPr>
          <w:sz w:val="24"/>
          <w:szCs w:val="24"/>
        </w:rPr>
        <w:t xml:space="preserve"> through the documents </w:t>
      </w:r>
      <w:r w:rsidRPr="00484C9A" w:rsidR="005078F1">
        <w:rPr>
          <w:sz w:val="24"/>
          <w:szCs w:val="24"/>
        </w:rPr>
        <w:t xml:space="preserve">and spreadsheets </w:t>
      </w:r>
      <w:r w:rsidRPr="00484C9A" w:rsidR="00B67C56">
        <w:rPr>
          <w:sz w:val="24"/>
          <w:szCs w:val="24"/>
        </w:rPr>
        <w:t>submitted by the grantees</w:t>
      </w:r>
      <w:r w:rsidR="00FD1B1C">
        <w:rPr>
          <w:sz w:val="24"/>
          <w:szCs w:val="24"/>
        </w:rPr>
        <w:t xml:space="preserve"> to</w:t>
      </w:r>
      <w:r w:rsidRPr="007966EB" w:rsidR="007966EB">
        <w:rPr>
          <w:sz w:val="24"/>
          <w:szCs w:val="24"/>
        </w:rPr>
        <w:t xml:space="preserve"> </w:t>
      </w:r>
      <w:r w:rsidRPr="00484C9A" w:rsidR="007966EB">
        <w:rPr>
          <w:sz w:val="24"/>
          <w:szCs w:val="24"/>
        </w:rPr>
        <w:t>reduce respondent burden</w:t>
      </w:r>
      <w:r w:rsidRPr="00484C9A">
        <w:rPr>
          <w:sz w:val="24"/>
          <w:szCs w:val="24"/>
        </w:rPr>
        <w:t xml:space="preserve">. </w:t>
      </w:r>
      <w:r w:rsidR="00064443">
        <w:rPr>
          <w:sz w:val="24"/>
          <w:szCs w:val="24"/>
        </w:rPr>
        <w:t>2M</w:t>
      </w:r>
      <w:r w:rsidRPr="00484C9A">
        <w:rPr>
          <w:sz w:val="24"/>
          <w:szCs w:val="24"/>
        </w:rPr>
        <w:t xml:space="preserve"> will pre-populate the interview guides with information collected through a review of </w:t>
      </w:r>
      <w:r w:rsidRPr="00484C9A" w:rsidR="005078F1">
        <w:rPr>
          <w:sz w:val="24"/>
          <w:szCs w:val="24"/>
        </w:rPr>
        <w:t xml:space="preserve">these </w:t>
      </w:r>
      <w:r w:rsidRPr="00484C9A">
        <w:rPr>
          <w:sz w:val="24"/>
          <w:szCs w:val="24"/>
        </w:rPr>
        <w:t>documents to minimize the respondent burden on program staff.</w:t>
      </w:r>
    </w:p>
    <w:p w:rsidR="00135146" w:rsidP="006870B9" w14:paraId="35E21126" w14:textId="06452396">
      <w:pPr>
        <w:pStyle w:val="BodyText"/>
        <w:spacing w:after="0" w:line="240" w:lineRule="auto"/>
        <w:ind w:left="360"/>
      </w:pPr>
    </w:p>
    <w:p w:rsidR="00BF38CF" w:rsidRPr="00135146" w:rsidP="006870B9" w14:paraId="0848D26D" w14:textId="50D27BBE">
      <w:pPr>
        <w:pStyle w:val="Heading2"/>
      </w:pPr>
      <w:r w:rsidRPr="00135146">
        <w:t>If the collection of information impacts small businesses or other small entities (Item 5 of OMB Form 83-I), describe any methods used to minimize burden.</w:t>
      </w:r>
    </w:p>
    <w:p w:rsidR="00BF38CF" w:rsidRPr="00135146" w:rsidP="0075306D" w14:paraId="6CBD55D8" w14:textId="77777777">
      <w:pPr>
        <w:pStyle w:val="ListParagraph"/>
        <w:rPr>
          <w:b/>
          <w:bCs/>
        </w:rPr>
      </w:pPr>
    </w:p>
    <w:p w:rsidR="00C67A6C" w:rsidP="006870B9" w14:paraId="76C8517A" w14:textId="5DBABCC7">
      <w:pPr>
        <w:pStyle w:val="BodyText"/>
        <w:spacing w:after="0" w:line="240" w:lineRule="auto"/>
        <w:rPr>
          <w:sz w:val="24"/>
          <w:szCs w:val="24"/>
        </w:rPr>
      </w:pPr>
      <w:r w:rsidRPr="00054352">
        <w:rPr>
          <w:sz w:val="24"/>
          <w:szCs w:val="24"/>
        </w:rPr>
        <w:t xml:space="preserve">This data collection </w:t>
      </w:r>
      <w:r w:rsidR="00DC6856">
        <w:rPr>
          <w:sz w:val="24"/>
          <w:szCs w:val="24"/>
        </w:rPr>
        <w:t xml:space="preserve">will not </w:t>
      </w:r>
      <w:r w:rsidRPr="00DC6856" w:rsidR="00DC6856">
        <w:rPr>
          <w:sz w:val="24"/>
          <w:szCs w:val="24"/>
        </w:rPr>
        <w:t>have a significant economic impact on a</w:t>
      </w:r>
      <w:r w:rsidR="00DC6856">
        <w:rPr>
          <w:sz w:val="24"/>
          <w:szCs w:val="24"/>
        </w:rPr>
        <w:t xml:space="preserve"> </w:t>
      </w:r>
      <w:r w:rsidRPr="00DC6856" w:rsidR="00DC6856">
        <w:rPr>
          <w:sz w:val="24"/>
          <w:szCs w:val="24"/>
        </w:rPr>
        <w:t>substantial number of small entities</w:t>
      </w:r>
      <w:r w:rsidR="00DC6856">
        <w:rPr>
          <w:sz w:val="24"/>
          <w:szCs w:val="24"/>
        </w:rPr>
        <w:t xml:space="preserve">. Methods used to minimize burden will apply to all respondents. </w:t>
      </w:r>
    </w:p>
    <w:p w:rsidR="00135146" w:rsidP="006870B9" w14:paraId="14A78E17" w14:textId="0002F518">
      <w:pPr>
        <w:pStyle w:val="BodyText"/>
        <w:spacing w:after="0" w:line="240" w:lineRule="auto"/>
        <w:ind w:left="360"/>
      </w:pPr>
    </w:p>
    <w:p w:rsidR="00BF38CF" w:rsidRPr="00135146" w:rsidP="006870B9" w14:paraId="36932CCA" w14:textId="3CB8B293">
      <w:pPr>
        <w:pStyle w:val="Heading2"/>
      </w:pPr>
      <w:r w:rsidRPr="00135146">
        <w:t>Describe the consequence to Federal program or policy activities if the collection is not conducted or is conducted less frequently, as well as any technical or legal obstacles to reducing burden.</w:t>
      </w:r>
    </w:p>
    <w:p w:rsidR="00BF38CF" w:rsidRPr="00135146" w:rsidP="0075306D" w14:paraId="472A1BD2" w14:textId="77777777">
      <w:pPr>
        <w:pStyle w:val="ListParagraph"/>
        <w:rPr>
          <w:b/>
          <w:bCs/>
        </w:rPr>
      </w:pPr>
    </w:p>
    <w:p w:rsidR="00135146" w:rsidP="006870B9" w14:paraId="36E35E66" w14:textId="69E9BA9A">
      <w:r>
        <w:t xml:space="preserve">Without this data collection effort, HUD will be unable to </w:t>
      </w:r>
      <w:r w:rsidRPr="00874435" w:rsidR="00D970EF">
        <w:t xml:space="preserve">evaluate the implementation </w:t>
      </w:r>
      <w:r w:rsidR="00220BE4">
        <w:t xml:space="preserve">of the </w:t>
      </w:r>
      <w:r w:rsidR="00D970EF">
        <w:t xml:space="preserve">Eviction Protection Grant Program and </w:t>
      </w:r>
      <w:r w:rsidR="003A5947">
        <w:t xml:space="preserve">understand the program’s </w:t>
      </w:r>
      <w:r w:rsidRPr="00D970EF" w:rsidR="00D970EF">
        <w:t>role in helping low-income individuals and families avoid eviction or minimize the damage caused by eviction</w:t>
      </w:r>
      <w:r w:rsidR="003A5947">
        <w:t xml:space="preserve">. This is a critical policy question for HUD, </w:t>
      </w:r>
      <w:r w:rsidR="006F791B">
        <w:t xml:space="preserve">as outlined in HUD’s Learning Agenda FY 2022–2026. </w:t>
      </w:r>
      <w:r w:rsidRPr="00874435" w:rsidR="00D970EF">
        <w:t>The data collection covered by this</w:t>
      </w:r>
      <w:r w:rsidR="00D970EF">
        <w:t xml:space="preserve"> information collection request</w:t>
      </w:r>
      <w:r w:rsidRPr="00874435" w:rsidR="00D970EF">
        <w:t xml:space="preserve"> </w:t>
      </w:r>
      <w:r w:rsidR="00D970EF">
        <w:t>(</w:t>
      </w:r>
      <w:r w:rsidRPr="00874435" w:rsidR="00D970EF">
        <w:t>ICR</w:t>
      </w:r>
      <w:r w:rsidR="00D970EF">
        <w:t>)</w:t>
      </w:r>
      <w:r w:rsidRPr="00874435" w:rsidR="00D970EF">
        <w:t xml:space="preserve"> is essential for </w:t>
      </w:r>
      <w:r w:rsidR="00D970EF">
        <w:t xml:space="preserve">answering </w:t>
      </w:r>
      <w:r w:rsidR="009927FE">
        <w:t xml:space="preserve">the research questions </w:t>
      </w:r>
      <w:r w:rsidR="00D970EF">
        <w:t xml:space="preserve">regarding Eviction Protection Grant Program implementation and providing context </w:t>
      </w:r>
      <w:r w:rsidR="00D307E9">
        <w:t>to</w:t>
      </w:r>
      <w:r w:rsidR="00D970EF">
        <w:t xml:space="preserve"> interpreting any administrative data analysis</w:t>
      </w:r>
      <w:r w:rsidRPr="00874435" w:rsidR="00D970EF">
        <w:t xml:space="preserve">. </w:t>
      </w:r>
    </w:p>
    <w:p w:rsidR="000F759E" w:rsidP="006870B9" w14:paraId="56246383" w14:textId="77777777"/>
    <w:p w:rsidR="00BF38CF" w:rsidRPr="00135146" w:rsidP="006870B9" w14:paraId="357A2A58" w14:textId="7B02D647">
      <w:pPr>
        <w:pStyle w:val="Heading2"/>
      </w:pPr>
      <w:r w:rsidRPr="00135146">
        <w:t xml:space="preserve">Explain any special circumstances that would cause an information collection to be conducted in a manner: </w:t>
      </w:r>
    </w:p>
    <w:p w:rsidR="00BF38CF" w:rsidRPr="00135146" w:rsidP="0075306D" w14:paraId="5170F820" w14:textId="77777777">
      <w:pPr>
        <w:widowControl w:val="0"/>
        <w:kinsoku w:val="0"/>
        <w:ind w:left="765"/>
        <w:rPr>
          <w:b/>
          <w:bCs/>
        </w:rPr>
      </w:pPr>
    </w:p>
    <w:p w:rsidR="00B40A0B" w:rsidP="006870B9" w14:paraId="561851AE" w14:textId="77777777">
      <w:pPr>
        <w:pStyle w:val="BodyText"/>
        <w:spacing w:after="0" w:line="240" w:lineRule="auto"/>
        <w:rPr>
          <w:sz w:val="24"/>
          <w:szCs w:val="24"/>
        </w:rPr>
      </w:pPr>
      <w:r>
        <w:rPr>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conditions are </w:t>
      </w:r>
      <w:r w:rsidRPr="008412F6">
        <w:rPr>
          <w:sz w:val="24"/>
          <w:szCs w:val="24"/>
        </w:rPr>
        <w:t>“Not Applicable”</w:t>
      </w:r>
      <w:r>
        <w:rPr>
          <w:sz w:val="24"/>
          <w:szCs w:val="24"/>
        </w:rPr>
        <w:t xml:space="preserve"> to this collection:</w:t>
      </w:r>
      <w:r>
        <w:rPr>
          <w:sz w:val="24"/>
          <w:szCs w:val="24"/>
        </w:rPr>
        <w:tab/>
      </w:r>
    </w:p>
    <w:p w:rsidR="00B40A0B" w:rsidP="006870B9" w14:paraId="7E026356" w14:textId="77777777">
      <w:pPr>
        <w:widowControl w:val="0"/>
        <w:numPr>
          <w:ilvl w:val="0"/>
          <w:numId w:val="5"/>
        </w:numPr>
        <w:tabs>
          <w:tab w:val="left" w:pos="-1440"/>
        </w:tabs>
        <w:autoSpaceDE w:val="0"/>
        <w:autoSpaceDN w:val="0"/>
        <w:adjustRightInd w:val="0"/>
      </w:pPr>
      <w:r>
        <w:t>requiring respondents to report information to the agency more than quarterly – “</w:t>
      </w:r>
      <w:r>
        <w:rPr>
          <w:b/>
        </w:rPr>
        <w:t xml:space="preserve">Not </w:t>
      </w:r>
      <w:r>
        <w:rPr>
          <w:b/>
        </w:rPr>
        <w:t>Applicable</w:t>
      </w:r>
      <w:r>
        <w:t>”</w:t>
      </w:r>
    </w:p>
    <w:p w:rsidR="00B40A0B" w:rsidP="006870B9" w14:paraId="3CA9E65C" w14:textId="77777777">
      <w:pPr>
        <w:widowControl w:val="0"/>
        <w:numPr>
          <w:ilvl w:val="0"/>
          <w:numId w:val="5"/>
        </w:numPr>
        <w:tabs>
          <w:tab w:val="left" w:pos="-1440"/>
        </w:tabs>
        <w:autoSpaceDE w:val="0"/>
        <w:autoSpaceDN w:val="0"/>
        <w:adjustRightInd w:val="0"/>
      </w:pPr>
      <w:r>
        <w:t>requiring respondents to prepare a written response to a collection of information in fewer than 30 days after receipt of the request – “</w:t>
      </w:r>
      <w:r>
        <w:rPr>
          <w:b/>
        </w:rPr>
        <w:t xml:space="preserve">Not </w:t>
      </w:r>
      <w:r>
        <w:rPr>
          <w:b/>
        </w:rPr>
        <w:t>Applicable</w:t>
      </w:r>
      <w:r>
        <w:t>”</w:t>
      </w:r>
    </w:p>
    <w:p w:rsidR="00B40A0B" w:rsidP="006870B9" w14:paraId="5CF724AC" w14:textId="77777777">
      <w:pPr>
        <w:widowControl w:val="0"/>
        <w:numPr>
          <w:ilvl w:val="0"/>
          <w:numId w:val="5"/>
        </w:numPr>
        <w:tabs>
          <w:tab w:val="left" w:pos="-1440"/>
        </w:tabs>
        <w:autoSpaceDE w:val="0"/>
        <w:autoSpaceDN w:val="0"/>
        <w:adjustRightInd w:val="0"/>
      </w:pPr>
      <w:r>
        <w:t>requiring respondents to submit more than an original and two copies of any document – “</w:t>
      </w:r>
      <w:r>
        <w:rPr>
          <w:b/>
        </w:rPr>
        <w:t xml:space="preserve">Not </w:t>
      </w:r>
      <w:r>
        <w:rPr>
          <w:b/>
        </w:rPr>
        <w:t>Applicable</w:t>
      </w:r>
      <w:r>
        <w:t>”</w:t>
      </w:r>
    </w:p>
    <w:p w:rsidR="00B40A0B" w:rsidP="006870B9" w14:paraId="1046BEBE" w14:textId="77777777">
      <w:pPr>
        <w:widowControl w:val="0"/>
        <w:numPr>
          <w:ilvl w:val="0"/>
          <w:numId w:val="5"/>
        </w:numPr>
        <w:tabs>
          <w:tab w:val="left" w:pos="-1440"/>
        </w:tabs>
        <w:autoSpaceDE w:val="0"/>
        <w:autoSpaceDN w:val="0"/>
        <w:adjustRightInd w:val="0"/>
      </w:pPr>
      <w:r>
        <w:t>requiring respondents to retain records other than health, medical, government contract, grant-in-aid, or tax records for more than three years – “</w:t>
      </w:r>
      <w:r>
        <w:rPr>
          <w:b/>
        </w:rPr>
        <w:t xml:space="preserve">Not </w:t>
      </w:r>
      <w:r>
        <w:rPr>
          <w:b/>
        </w:rPr>
        <w:t>Applicable</w:t>
      </w:r>
      <w:r>
        <w:t>”</w:t>
      </w:r>
    </w:p>
    <w:p w:rsidR="00B40A0B" w:rsidP="006870B9" w14:paraId="051033DA" w14:textId="77777777">
      <w:pPr>
        <w:widowControl w:val="0"/>
        <w:numPr>
          <w:ilvl w:val="0"/>
          <w:numId w:val="5"/>
        </w:numPr>
        <w:tabs>
          <w:tab w:val="left" w:pos="-1440"/>
        </w:tabs>
        <w:autoSpaceDE w:val="0"/>
        <w:autoSpaceDN w:val="0"/>
        <w:adjustRightInd w:val="0"/>
      </w:pPr>
      <w:r>
        <w:t>requiring a request in connection with a statistical survey that is not designed to produce valid and reliable results than can be generalized to the universe of study – “</w:t>
      </w:r>
      <w:r>
        <w:rPr>
          <w:b/>
        </w:rPr>
        <w:t xml:space="preserve">Not </w:t>
      </w:r>
      <w:r>
        <w:rPr>
          <w:b/>
        </w:rPr>
        <w:t>Applicable</w:t>
      </w:r>
      <w:r>
        <w:t>”</w:t>
      </w:r>
    </w:p>
    <w:p w:rsidR="00B40A0B" w:rsidP="006870B9" w14:paraId="59A1E7D8" w14:textId="77777777">
      <w:pPr>
        <w:widowControl w:val="0"/>
        <w:numPr>
          <w:ilvl w:val="0"/>
          <w:numId w:val="5"/>
        </w:numPr>
        <w:tabs>
          <w:tab w:val="left" w:pos="-1440"/>
        </w:tabs>
        <w:autoSpaceDE w:val="0"/>
        <w:autoSpaceDN w:val="0"/>
        <w:adjustRightInd w:val="0"/>
      </w:pPr>
      <w:r>
        <w:t>requiring the use of a statistical data classification that has not been reviewed and approved by OMB – “</w:t>
      </w:r>
      <w:r>
        <w:rPr>
          <w:b/>
        </w:rPr>
        <w:t xml:space="preserve">Not </w:t>
      </w:r>
      <w:r>
        <w:rPr>
          <w:b/>
        </w:rPr>
        <w:t>Applicable</w:t>
      </w:r>
      <w:r>
        <w:t>”</w:t>
      </w:r>
    </w:p>
    <w:p w:rsidR="00B40A0B" w:rsidP="006870B9" w14:paraId="33482568" w14:textId="77777777">
      <w:pPr>
        <w:widowControl w:val="0"/>
        <w:numPr>
          <w:ilvl w:val="0"/>
          <w:numId w:val="5"/>
        </w:numPr>
        <w:tabs>
          <w:tab w:val="left" w:pos="-1440"/>
        </w:tabs>
        <w:autoSpaceDE w:val="0"/>
        <w:autoSpaceDN w:val="0"/>
        <w:adjustRightInd w:val="0"/>
      </w:pPr>
      <w:r>
        <w:t>requiring a request that includes a pledge of confidentiality that is not supported by authority established in statute or regulation (and that is not supported by disclosure and data security policies that are consistent with the pledge, or which unnecessarily impedes sharing of data with other agencies for compatible confidential use) – “</w:t>
      </w:r>
      <w:r>
        <w:rPr>
          <w:b/>
        </w:rPr>
        <w:t xml:space="preserve">Not </w:t>
      </w:r>
      <w:r>
        <w:rPr>
          <w:b/>
        </w:rPr>
        <w:t>Applicable</w:t>
      </w:r>
      <w:r>
        <w:t xml:space="preserve">” </w:t>
      </w:r>
    </w:p>
    <w:p w:rsidR="00135146" w:rsidRPr="000F759E" w:rsidP="006870B9" w14:paraId="38C5C635" w14:textId="65AEEF6F">
      <w:pPr>
        <w:pStyle w:val="ListParagraph"/>
        <w:numPr>
          <w:ilvl w:val="0"/>
          <w:numId w:val="5"/>
        </w:numPr>
        <w:rPr>
          <w:b/>
        </w:rPr>
      </w:pPr>
      <w:r>
        <w:t>requiring respondents to submit proprietary trade secrets or other confidential information unless the agency can demonstrate that it has instituted procedures to protect the information’s confidentiality to the fullest extent permitted by law – “</w:t>
      </w:r>
      <w:r w:rsidRPr="00D970EF">
        <w:rPr>
          <w:b/>
        </w:rPr>
        <w:t xml:space="preserve">Not </w:t>
      </w:r>
      <w:r w:rsidRPr="00D970EF">
        <w:rPr>
          <w:b/>
        </w:rPr>
        <w:t>Applicable</w:t>
      </w:r>
      <w:r>
        <w:t>”</w:t>
      </w:r>
    </w:p>
    <w:p w:rsidR="000F759E" w:rsidRPr="000F759E" w:rsidP="000F759E" w14:paraId="1D5F6880" w14:textId="77777777">
      <w:pPr>
        <w:rPr>
          <w:b/>
        </w:rPr>
      </w:pPr>
    </w:p>
    <w:p w:rsidR="00BF38CF" w:rsidRPr="00135146" w:rsidP="006870B9" w14:paraId="75EBD224" w14:textId="4BA94B97">
      <w:pPr>
        <w:pStyle w:val="Heading2"/>
      </w:pPr>
      <w:r w:rsidRPr="00135146">
        <w:t xml:space="preserve">If applicable, provide a copy and identify the date and page number of </w:t>
      </w:r>
      <w:r w:rsidRPr="00135146">
        <w:t>publication</w:t>
      </w:r>
      <w:r w:rsidRPr="00135146">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F38CF" w:rsidRPr="001D5EFC" w:rsidP="0075306D" w14:paraId="09805449" w14:textId="346B7657">
      <w:pPr>
        <w:pStyle w:val="ListParagraph"/>
        <w:widowControl w:val="0"/>
        <w:numPr>
          <w:ilvl w:val="0"/>
          <w:numId w:val="19"/>
        </w:numPr>
        <w:kinsoku w:val="0"/>
        <w:rPr>
          <w:b/>
          <w:bCs/>
        </w:rPr>
      </w:pPr>
      <w:r w:rsidRPr="001D5EFC">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F38CF" w:rsidRPr="001D5EFC" w:rsidP="0075306D" w14:paraId="535CC358" w14:textId="77777777">
      <w:pPr>
        <w:pStyle w:val="ListParagraph"/>
        <w:widowControl w:val="0"/>
        <w:numPr>
          <w:ilvl w:val="0"/>
          <w:numId w:val="19"/>
        </w:numPr>
        <w:kinsoku w:val="0"/>
        <w:rPr>
          <w:b/>
          <w:bCs/>
        </w:rPr>
      </w:pPr>
      <w:r w:rsidRPr="001D5EFC">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F38CF" w:rsidRPr="00135146" w:rsidP="0075306D" w14:paraId="28BEECA6" w14:textId="77777777">
      <w:pPr>
        <w:widowControl w:val="0"/>
        <w:kinsoku w:val="0"/>
        <w:ind w:left="360"/>
        <w:rPr>
          <w:b/>
          <w:bCs/>
        </w:rPr>
      </w:pPr>
    </w:p>
    <w:p w:rsidR="00B40A0B" w:rsidP="006870B9" w14:paraId="07A4ECE1" w14:textId="39ADDE9E">
      <w:r w:rsidRPr="008A6B2F">
        <w:t xml:space="preserve">In accordance with 5 CFR 1320.8 (Paperwork Reduction Act of 1995), a Notice of Proposed Information Collection for publication in the Federal Register has been prepared to announce the agency’s intention to request an OMB review of data collection activities for the </w:t>
      </w:r>
      <w:r>
        <w:t xml:space="preserve">Evaluation of PHA CARES Act Waivers. </w:t>
      </w:r>
      <w:r w:rsidRPr="008A6B2F">
        <w:t xml:space="preserve">HUD published </w:t>
      </w:r>
      <w:r w:rsidRPr="00EC043B">
        <w:t xml:space="preserve">a 60-Day Notice of Proposed Information Collection in the Federal Register on </w:t>
      </w:r>
      <w:r w:rsidRPr="009530E8" w:rsidR="00EC043B">
        <w:t>April 12</w:t>
      </w:r>
      <w:r w:rsidRPr="009530E8">
        <w:t xml:space="preserve">, </w:t>
      </w:r>
      <w:r w:rsidRPr="00EC043B" w:rsidR="00EC043B">
        <w:t xml:space="preserve">2023 </w:t>
      </w:r>
      <w:r w:rsidRPr="00EC043B">
        <w:t>(</w:t>
      </w:r>
      <w:r w:rsidRPr="00EC043B" w:rsidR="00EC043B">
        <w:t>FR–7075–N–03, page</w:t>
      </w:r>
      <w:r w:rsidR="00EC043B">
        <w:t>s</w:t>
      </w:r>
      <w:r w:rsidRPr="00EC043B" w:rsidR="00EC043B">
        <w:t xml:space="preserve"> 22063</w:t>
      </w:r>
      <w:r w:rsidR="00EC043B">
        <w:t>-22064</w:t>
      </w:r>
      <w:r w:rsidRPr="00EC043B">
        <w:t xml:space="preserve">). The notice provided a 60-day period for public comments. Comments are due </w:t>
      </w:r>
      <w:r w:rsidRPr="009530E8" w:rsidR="00EC043B">
        <w:t>June 12, 2023</w:t>
      </w:r>
      <w:r w:rsidRPr="009530E8">
        <w:t>.</w:t>
      </w:r>
    </w:p>
    <w:p w:rsidR="000F759E" w:rsidP="006870B9" w14:paraId="3B05B245" w14:textId="77777777"/>
    <w:p w:rsidR="00504278" w:rsidP="006870B9" w14:paraId="7EB998F8" w14:textId="77777777">
      <w:r w:rsidRPr="00ED215B">
        <w:t>The evaluation was developed and is being implemented by 2M Research</w:t>
      </w:r>
      <w:r w:rsidR="00AD4639">
        <w:t xml:space="preserve"> under contract to HUD.  </w:t>
      </w:r>
      <w:r w:rsidRPr="00ED215B">
        <w:t xml:space="preserve">Key members of the 2M team include Principal Investigator Dr. Hiren Nisar; </w:t>
      </w:r>
      <w:r w:rsidRPr="00ED215B" w:rsidR="00BC2F43">
        <w:t>Quantitative Lead</w:t>
      </w:r>
      <w:r w:rsidRPr="00ED215B">
        <w:t xml:space="preserve"> Dr. </w:t>
      </w:r>
      <w:r w:rsidRPr="00ED215B" w:rsidR="007653F6">
        <w:t>Arpita Chakravorty</w:t>
      </w:r>
      <w:r w:rsidRPr="00ED215B">
        <w:t xml:space="preserve">; and Qualitative Lead Dr. Emily </w:t>
      </w:r>
      <w:r w:rsidRPr="00ED215B">
        <w:t>Brimsek</w:t>
      </w:r>
      <w:r w:rsidRPr="00ED215B">
        <w:t xml:space="preserve">. </w:t>
      </w:r>
      <w:r w:rsidR="00B03710">
        <w:t xml:space="preserve">The 2M </w:t>
      </w:r>
      <w:r w:rsidR="00A3519B">
        <w:t>staff</w:t>
      </w:r>
      <w:r w:rsidR="00B03710">
        <w:t xml:space="preserve"> </w:t>
      </w:r>
      <w:r w:rsidR="00A3519B">
        <w:t>are</w:t>
      </w:r>
      <w:r w:rsidR="00B03710">
        <w:t xml:space="preserve"> supported by two subject matter experts, Carl </w:t>
      </w:r>
      <w:r w:rsidR="00B03710">
        <w:t>Gershenson</w:t>
      </w:r>
      <w:r w:rsidR="00B03710">
        <w:t xml:space="preserve"> from Eviction Lab</w:t>
      </w:r>
      <w:r w:rsidR="00B8794D">
        <w:t xml:space="preserve"> at the Princeton Un</w:t>
      </w:r>
      <w:r>
        <w:t>i</w:t>
      </w:r>
      <w:r w:rsidR="00B8794D">
        <w:t>versity</w:t>
      </w:r>
      <w:r w:rsidR="00B03710">
        <w:t xml:space="preserve"> and </w:t>
      </w:r>
      <w:r w:rsidR="003C5CE6">
        <w:t xml:space="preserve">Mark Melton from the Dallas Eviction </w:t>
      </w:r>
      <w:r w:rsidR="0043343E">
        <w:t xml:space="preserve">Advocacy Center. </w:t>
      </w:r>
    </w:p>
    <w:p w:rsidR="000F759E" w:rsidP="006870B9" w14:paraId="1ED5D02D" w14:textId="77777777"/>
    <w:p w:rsidR="00B40A0B" w:rsidP="006870B9" w14:paraId="5D2029FC" w14:textId="6A346916">
      <w:r w:rsidRPr="00ED215B">
        <w:t xml:space="preserve">Staff from HUD’s Office of Policy Development and Research (PD&amp;R) have collaborated with </w:t>
      </w:r>
      <w:r w:rsidR="005D3244">
        <w:t>2M</w:t>
      </w:r>
      <w:r w:rsidRPr="00ED215B">
        <w:t xml:space="preserve"> on the study design and data collection plan.</w:t>
      </w:r>
      <w:r w:rsidR="009F04C8">
        <w:t xml:space="preserve"> In addition, </w:t>
      </w:r>
      <w:r w:rsidR="006A3C2D">
        <w:t xml:space="preserve">the study </w:t>
      </w:r>
      <w:r w:rsidR="00AD4639">
        <w:t>design includes the establishment of an Expert Panel to pro</w:t>
      </w:r>
      <w:r w:rsidR="00851834">
        <w:t xml:space="preserve">vide guidance </w:t>
      </w:r>
      <w:r w:rsidR="00606FDD">
        <w:t xml:space="preserve">to </w:t>
      </w:r>
      <w:r w:rsidR="009E5555">
        <w:t>2M</w:t>
      </w:r>
      <w:r w:rsidR="00606FDD">
        <w:t xml:space="preserve"> </w:t>
      </w:r>
      <w:r w:rsidR="00851834">
        <w:t>at key points throughout the</w:t>
      </w:r>
      <w:r w:rsidR="00D536A3">
        <w:t xml:space="preserve"> research effort. Members of the Expert Panel include </w:t>
      </w:r>
      <w:r w:rsidR="006A3C2D">
        <w:t>experts in the field of eviction prevention</w:t>
      </w:r>
      <w:r w:rsidR="00D536A3">
        <w:t>, atto</w:t>
      </w:r>
      <w:r w:rsidR="000D397D">
        <w:t xml:space="preserve">rneys with experience in providing legal services to individuals facing eviction, and persons with lived experience. </w:t>
      </w:r>
      <w:r w:rsidR="00606FDD">
        <w:t xml:space="preserve">The Expert Panel </w:t>
      </w:r>
      <w:r w:rsidR="00295C2D">
        <w:t xml:space="preserve">has provided input into the </w:t>
      </w:r>
      <w:r w:rsidR="00860270">
        <w:t>study design</w:t>
      </w:r>
      <w:r w:rsidR="000F15BD">
        <w:t xml:space="preserve">, </w:t>
      </w:r>
      <w:r w:rsidR="00860270">
        <w:t>data collection plan</w:t>
      </w:r>
      <w:r w:rsidR="000F15BD">
        <w:t>, and data collection instruments</w:t>
      </w:r>
      <w:r w:rsidR="00860270">
        <w:t xml:space="preserve">. </w:t>
      </w:r>
    </w:p>
    <w:p w:rsidR="000F759E" w:rsidP="006870B9" w14:paraId="1F20A32E" w14:textId="77777777">
      <w:pPr>
        <w:rPr>
          <w:rStyle w:val="cf01"/>
        </w:rPr>
      </w:pPr>
    </w:p>
    <w:p w:rsidR="00C25001" w:rsidP="006870B9" w14:paraId="6FF5B5D3" w14:textId="018B0EC5">
      <w:r w:rsidRPr="004060EE">
        <w:t xml:space="preserve">Additionally, </w:t>
      </w:r>
      <w:r w:rsidR="009E5555">
        <w:t>2M</w:t>
      </w:r>
      <w:r>
        <w:t xml:space="preserve"> will </w:t>
      </w:r>
      <w:r w:rsidR="00A07630">
        <w:t xml:space="preserve">submit the data collection materials to </w:t>
      </w:r>
      <w:r w:rsidR="00DE29F2">
        <w:t xml:space="preserve">an </w:t>
      </w:r>
      <w:r w:rsidR="00A07630">
        <w:t>IRB for approval</w:t>
      </w:r>
      <w:r w:rsidRPr="004060EE">
        <w:t xml:space="preserve">. </w:t>
      </w:r>
      <w:r w:rsidR="00DE29F2">
        <w:t xml:space="preserve">Of </w:t>
      </w:r>
      <w:r w:rsidR="00DE29F2">
        <w:t>particular note</w:t>
      </w:r>
      <w:r w:rsidR="00081190">
        <w:t xml:space="preserve">, the </w:t>
      </w:r>
      <w:r w:rsidR="00A769FC">
        <w:t xml:space="preserve">data collection instruments for program participants will be sent </w:t>
      </w:r>
      <w:r w:rsidR="00037398">
        <w:t>for review</w:t>
      </w:r>
      <w:r w:rsidR="00CA6C9A">
        <w:t xml:space="preserve"> and</w:t>
      </w:r>
      <w:r w:rsidR="00037398">
        <w:t xml:space="preserve"> approval </w:t>
      </w:r>
      <w:r w:rsidR="00513305">
        <w:t>prior to use</w:t>
      </w:r>
      <w:r w:rsidR="00037398">
        <w:t xml:space="preserve">. </w:t>
      </w:r>
    </w:p>
    <w:p w:rsidR="000F759E" w:rsidRPr="00CF29F1" w:rsidP="006870B9" w14:paraId="479A8CCE" w14:textId="77777777"/>
    <w:p w:rsidR="00135146" w:rsidP="006870B9" w14:paraId="58E8D75F" w14:textId="0F5A6AD0">
      <w:r w:rsidRPr="00CF29F1">
        <w:t xml:space="preserve">The study’s data collection period is </w:t>
      </w:r>
      <w:r w:rsidR="007C57A1">
        <w:t>2</w:t>
      </w:r>
      <w:r w:rsidRPr="00CF29F1">
        <w:t xml:space="preserve"> </w:t>
      </w:r>
      <w:r>
        <w:t>months</w:t>
      </w:r>
      <w:r w:rsidR="007C57A1">
        <w:t xml:space="preserve"> for each round</w:t>
      </w:r>
      <w:r w:rsidRPr="00CF29F1">
        <w:t xml:space="preserve">. Throughout the data collection period, </w:t>
      </w:r>
      <w:r w:rsidR="00CA6C9A">
        <w:t>2M</w:t>
      </w:r>
      <w:r w:rsidRPr="00CF29F1">
        <w:t xml:space="preserve"> will </w:t>
      </w:r>
      <w:r>
        <w:t xml:space="preserve">submit Monthly Data Collection Disposition Reports to </w:t>
      </w:r>
      <w:r w:rsidRPr="00CF29F1">
        <w:t xml:space="preserve">keep </w:t>
      </w:r>
      <w:r>
        <w:t>HUD</w:t>
      </w:r>
      <w:r w:rsidRPr="00CF29F1">
        <w:t xml:space="preserve"> apprised of data collection activities.</w:t>
      </w:r>
    </w:p>
    <w:p w:rsidR="000F759E" w:rsidP="006870B9" w14:paraId="00A2FB0C" w14:textId="77777777"/>
    <w:p w:rsidR="00BF38CF" w:rsidRPr="00135146" w:rsidP="006870B9" w14:paraId="3F896270" w14:textId="4B012EBF">
      <w:pPr>
        <w:pStyle w:val="Heading2"/>
      </w:pPr>
      <w:r w:rsidRPr="00135146">
        <w:t>Explain any decision to provide any payment or gift to respondents, other than renumeration of contractors or grantees.</w:t>
      </w:r>
    </w:p>
    <w:p w:rsidR="00BF38CF" w:rsidRPr="00135146" w:rsidP="0075306D" w14:paraId="14923D21" w14:textId="77777777">
      <w:pPr>
        <w:widowControl w:val="0"/>
        <w:kinsoku w:val="0"/>
        <w:ind w:left="360"/>
        <w:rPr>
          <w:b/>
          <w:bCs/>
        </w:rPr>
      </w:pPr>
    </w:p>
    <w:p w:rsidR="00B40A0B" w:rsidP="0075306D" w14:paraId="0689B9EF" w14:textId="4ED442EC">
      <w:pPr>
        <w:widowControl w:val="0"/>
        <w:kinsoku w:val="0"/>
      </w:pPr>
      <w:r>
        <w:t xml:space="preserve">Program participants </w:t>
      </w:r>
      <w:r w:rsidR="00A7309F">
        <w:t>who</w:t>
      </w:r>
      <w:r>
        <w:t xml:space="preserve"> take part in focus groups or interviews</w:t>
      </w:r>
      <w:r w:rsidR="00365B0A">
        <w:t xml:space="preserve"> will </w:t>
      </w:r>
      <w:r>
        <w:t xml:space="preserve">receive </w:t>
      </w:r>
      <w:r w:rsidR="005E75A1">
        <w:t>renumeration</w:t>
      </w:r>
      <w:r>
        <w:t xml:space="preserve"> </w:t>
      </w:r>
      <w:r w:rsidR="006A1ACE">
        <w:t xml:space="preserve">for their time </w:t>
      </w:r>
      <w:r>
        <w:t>in the form of a</w:t>
      </w:r>
      <w:r w:rsidR="005E75A1">
        <w:t>n incentive payment</w:t>
      </w:r>
      <w:r>
        <w:t xml:space="preserve"> </w:t>
      </w:r>
      <w:r w:rsidR="006A1ACE">
        <w:t xml:space="preserve">in </w:t>
      </w:r>
      <w:r w:rsidR="00B941C2">
        <w:t xml:space="preserve">the </w:t>
      </w:r>
      <w:r w:rsidR="006A1ACE">
        <w:t xml:space="preserve">form of a </w:t>
      </w:r>
      <w:r w:rsidR="00B941C2">
        <w:t xml:space="preserve">$50 </w:t>
      </w:r>
      <w:r w:rsidR="006A1ACE">
        <w:t>gift card</w:t>
      </w:r>
      <w:r w:rsidR="003A68D3">
        <w:t xml:space="preserve">. </w:t>
      </w:r>
    </w:p>
    <w:p w:rsidR="00F3391C" w:rsidP="0075306D" w14:paraId="3A93FCD3" w14:textId="77777777">
      <w:pPr>
        <w:widowControl w:val="0"/>
        <w:kinsoku w:val="0"/>
      </w:pPr>
    </w:p>
    <w:p w:rsidR="00BF38CF" w:rsidRPr="00135146" w:rsidP="006870B9" w14:paraId="493FD7AE" w14:textId="779B3DF0">
      <w:pPr>
        <w:pStyle w:val="Heading2"/>
      </w:pPr>
      <w:r w:rsidRPr="00135146">
        <w:t>Describe any assurance of confidentiality provided to respondents and the basis for the assurance in statute, regulation, or agency policy.</w:t>
      </w:r>
    </w:p>
    <w:p w:rsidR="00BF38CF" w:rsidRPr="00135146" w:rsidP="0075306D" w14:paraId="31420CFF" w14:textId="77777777">
      <w:pPr>
        <w:pStyle w:val="ListParagraph"/>
        <w:rPr>
          <w:b/>
          <w:bCs/>
        </w:rPr>
      </w:pPr>
    </w:p>
    <w:p w:rsidR="00B40A0B" w:rsidRPr="00A43BC1" w:rsidP="0075306D" w14:paraId="21B31451" w14:textId="7628AAB9">
      <w:r w:rsidRPr="00A43BC1">
        <w:t xml:space="preserve">HUD has entered a contract with an independent research team, </w:t>
      </w:r>
      <w:r>
        <w:t>2M Research,</w:t>
      </w:r>
      <w:r w:rsidRPr="00A43BC1">
        <w:t xml:space="preserve"> to conduct this research effort. HUD and </w:t>
      </w:r>
      <w:r>
        <w:t>2M Research</w:t>
      </w:r>
      <w:r w:rsidRPr="00A43BC1">
        <w:t xml:space="preserve"> will make every effort to maintain the privacy of respondents to the </w:t>
      </w:r>
      <w:r>
        <w:t xml:space="preserve">fullest </w:t>
      </w:r>
      <w:r w:rsidRPr="00A43BC1">
        <w:t xml:space="preserve">extent permitted by law. </w:t>
      </w:r>
    </w:p>
    <w:p w:rsidR="00B40A0B" w:rsidRPr="00A43BC1" w:rsidP="0075306D" w14:paraId="6E1F35B9" w14:textId="77777777"/>
    <w:p w:rsidR="00135146" w:rsidP="0075306D" w14:paraId="7A0BE429" w14:textId="076B3453">
      <w:r w:rsidRPr="00A43BC1">
        <w:t xml:space="preserve">All </w:t>
      </w:r>
      <w:r w:rsidR="00C91BC0">
        <w:t>2M</w:t>
      </w:r>
      <w:r w:rsidRPr="00A43BC1" w:rsidR="00C91BC0">
        <w:t xml:space="preserve"> </w:t>
      </w:r>
      <w:r w:rsidRPr="00A43BC1">
        <w:t>staff working on the project have been trained to protect private information and the study has a Data Security Plan governing the storage and use of the data collected through the study. Individuals will not be cited as sources of information in prepared reports.</w:t>
      </w:r>
      <w:r>
        <w:t xml:space="preserve"> </w:t>
      </w:r>
      <w:r w:rsidRPr="00A43BC1">
        <w:t xml:space="preserve">All respondents included in the study will be informed that their participation in the data collection is voluntary and </w:t>
      </w:r>
      <w:r>
        <w:t xml:space="preserve">that </w:t>
      </w:r>
      <w:r w:rsidRPr="00A43BC1">
        <w:t>the information they provide will be used for research purposes</w:t>
      </w:r>
      <w:r>
        <w:t xml:space="preserve"> only</w:t>
      </w:r>
      <w:r w:rsidRPr="00A43BC1">
        <w:t>.</w:t>
      </w:r>
    </w:p>
    <w:p w:rsidR="009530E8" w:rsidP="0075306D" w14:paraId="0228882D" w14:textId="77777777"/>
    <w:p w:rsidR="0018448E" w:rsidRPr="0018448E" w:rsidP="0075306D" w14:paraId="6200BB51" w14:textId="77777777"/>
    <w:p w:rsidR="00BF38CF" w:rsidP="006870B9" w14:paraId="4DF963DC" w14:textId="2620E0E3">
      <w:pPr>
        <w:pStyle w:val="Heading2"/>
      </w:pPr>
      <w:r w:rsidRPr="00135146">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4E4" w:rsidRPr="00135146" w:rsidP="0075306D" w14:paraId="566018D7" w14:textId="77777777">
      <w:pPr>
        <w:widowControl w:val="0"/>
        <w:kinsoku w:val="0"/>
        <w:ind w:left="360"/>
        <w:rPr>
          <w:b/>
          <w:bCs/>
        </w:rPr>
      </w:pPr>
    </w:p>
    <w:p w:rsidR="00135146" w:rsidP="006870B9" w14:paraId="7F274615" w14:textId="7C2286C7">
      <w:r w:rsidRPr="00C31620">
        <w:t xml:space="preserve">The data collection instruments do not contain any </w:t>
      </w:r>
      <w:r>
        <w:t xml:space="preserve">questions </w:t>
      </w:r>
      <w:r w:rsidR="00C55DF5">
        <w:t>that collect personal</w:t>
      </w:r>
      <w:r w:rsidR="00DE29F2">
        <w:t>ly</w:t>
      </w:r>
      <w:r w:rsidR="00C55DF5">
        <w:t xml:space="preserve"> identifying information. </w:t>
      </w:r>
      <w:r w:rsidR="00DE29F2">
        <w:t xml:space="preserve">2M </w:t>
      </w:r>
      <w:r w:rsidR="00C55DF5">
        <w:t xml:space="preserve">may ask program participants to discuss </w:t>
      </w:r>
      <w:r w:rsidR="00BC0905">
        <w:t>their eviction-related experience</w:t>
      </w:r>
      <w:r w:rsidR="00787551">
        <w:t>s</w:t>
      </w:r>
      <w:r w:rsidR="00BC0905">
        <w:t>, which could be considered o</w:t>
      </w:r>
      <w:r>
        <w:t>f a sensitive or private nature.</w:t>
      </w:r>
      <w:r w:rsidR="00BC0905">
        <w:t xml:space="preserve"> However, </w:t>
      </w:r>
      <w:r w:rsidR="00DE29F2">
        <w:t>2M</w:t>
      </w:r>
      <w:r w:rsidR="00ED4C8E">
        <w:t xml:space="preserve"> plan</w:t>
      </w:r>
      <w:r w:rsidR="00DE29F2">
        <w:t>s</w:t>
      </w:r>
      <w:r w:rsidR="00ED4C8E">
        <w:t xml:space="preserve"> to </w:t>
      </w:r>
      <w:r w:rsidR="00AD57AA">
        <w:t xml:space="preserve">remind the program participants that </w:t>
      </w:r>
      <w:r w:rsidR="00BC0905">
        <w:t xml:space="preserve">none of the questions </w:t>
      </w:r>
      <w:r w:rsidR="00AD57AA">
        <w:t>are</w:t>
      </w:r>
      <w:r w:rsidR="00BC0905">
        <w:t xml:space="preserve"> mandatory</w:t>
      </w:r>
      <w:r w:rsidR="004D727A">
        <w:t xml:space="preserve">, </w:t>
      </w:r>
      <w:r w:rsidR="0005008C">
        <w:t>participants</w:t>
      </w:r>
      <w:r w:rsidR="00ED4C8E">
        <w:t xml:space="preserve"> </w:t>
      </w:r>
      <w:r w:rsidR="0005008C">
        <w:t>may</w:t>
      </w:r>
      <w:r w:rsidR="00ED4C8E">
        <w:t xml:space="preserve"> skip </w:t>
      </w:r>
      <w:r w:rsidR="00AD57AA">
        <w:t xml:space="preserve">any </w:t>
      </w:r>
      <w:r w:rsidR="00ED4C8E">
        <w:t xml:space="preserve">questions </w:t>
      </w:r>
      <w:r w:rsidR="00D83586">
        <w:t xml:space="preserve">that </w:t>
      </w:r>
      <w:r w:rsidR="00AD57AA">
        <w:t xml:space="preserve">they do not want to </w:t>
      </w:r>
      <w:r w:rsidR="006F3F06">
        <w:t>answer</w:t>
      </w:r>
      <w:r w:rsidR="0005008C">
        <w:t>,</w:t>
      </w:r>
      <w:r w:rsidR="006F3F06">
        <w:t xml:space="preserve"> and </w:t>
      </w:r>
      <w:r w:rsidR="0005008C">
        <w:t xml:space="preserve">participants may </w:t>
      </w:r>
      <w:r w:rsidR="004D727A">
        <w:t xml:space="preserve">stop their participation at any time. </w:t>
      </w:r>
      <w:r w:rsidR="00DE29F2">
        <w:t>2M is</w:t>
      </w:r>
      <w:r w:rsidR="00C004EF">
        <w:t xml:space="preserve"> currently working with</w:t>
      </w:r>
      <w:r w:rsidR="004D727A">
        <w:t xml:space="preserve"> an IRB to approve the final data collection materials for program participants to ensure that any questions that are deemed to be necessary and sensitive are presented in an appropriate manner. </w:t>
      </w:r>
    </w:p>
    <w:p w:rsidR="000F759E" w:rsidP="006870B9" w14:paraId="44F0BD74" w14:textId="77777777"/>
    <w:p w:rsidR="00BF38CF" w:rsidRPr="00135146" w:rsidP="006870B9" w14:paraId="7378C4DD" w14:textId="353CF8F3">
      <w:pPr>
        <w:pStyle w:val="Heading2"/>
      </w:pPr>
      <w:r w:rsidRPr="00135146">
        <w:t>Provide estimates of the hour burden of the collection of information. The statement should:</w:t>
      </w:r>
    </w:p>
    <w:p w:rsidR="00BF38CF" w:rsidRPr="00135146" w:rsidP="0075306D" w14:paraId="7B25393C" w14:textId="4C557B44">
      <w:pPr>
        <w:widowControl w:val="0"/>
        <w:numPr>
          <w:ilvl w:val="0"/>
          <w:numId w:val="1"/>
        </w:numPr>
        <w:kinsoku w:val="0"/>
        <w:rPr>
          <w:b/>
          <w:bCs/>
        </w:rPr>
      </w:pPr>
      <w:r w:rsidRPr="00135146">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002A6BBF">
        <w:rPr>
          <w:b/>
          <w:bCs/>
        </w:rPr>
        <w:t xml:space="preserve"> </w:t>
      </w:r>
      <w:r w:rsidRPr="00135146">
        <w:rPr>
          <w:b/>
          <w:bCs/>
        </w:rPr>
        <w:t>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F38CF" w:rsidRPr="00135146" w:rsidP="0075306D" w14:paraId="5E11A2D0" w14:textId="77777777">
      <w:pPr>
        <w:widowControl w:val="0"/>
        <w:numPr>
          <w:ilvl w:val="0"/>
          <w:numId w:val="1"/>
        </w:numPr>
        <w:kinsoku w:val="0"/>
        <w:rPr>
          <w:b/>
          <w:bCs/>
          <w:sz w:val="19"/>
          <w:szCs w:val="19"/>
        </w:rPr>
      </w:pPr>
      <w:r w:rsidRPr="00135146">
        <w:rPr>
          <w:b/>
          <w:bCs/>
        </w:rPr>
        <w:t xml:space="preserve">If this request for approval covers more than one form, provide separate hour burden estimates for each </w:t>
      </w:r>
      <w:r w:rsidRPr="00135146">
        <w:rPr>
          <w:b/>
          <w:bCs/>
        </w:rPr>
        <w:t>form</w:t>
      </w:r>
      <w:r w:rsidRPr="00135146">
        <w:rPr>
          <w:b/>
          <w:bCs/>
        </w:rPr>
        <w:t xml:space="preserve"> and aggregate the hour burdens in Item 13 of OMB Form </w:t>
      </w:r>
      <w:r w:rsidRPr="00135146">
        <w:rPr>
          <w:b/>
          <w:bCs/>
          <w:sz w:val="19"/>
          <w:szCs w:val="19"/>
        </w:rPr>
        <w:t>83-I.</w:t>
      </w:r>
    </w:p>
    <w:p w:rsidR="00BF38CF" w:rsidRPr="00135146" w:rsidP="0075306D" w14:paraId="659FF4AE" w14:textId="77777777">
      <w:pPr>
        <w:widowControl w:val="0"/>
        <w:numPr>
          <w:ilvl w:val="0"/>
          <w:numId w:val="1"/>
        </w:numPr>
        <w:kinsoku w:val="0"/>
        <w:rPr>
          <w:b/>
          <w:bCs/>
        </w:rPr>
      </w:pPr>
      <w:r w:rsidRPr="00135146">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F38CF" w:rsidP="0075306D" w14:paraId="40F516E5" w14:textId="2AFB34A0">
      <w:pPr>
        <w:widowControl w:val="0"/>
        <w:kinsoku w:val="0"/>
        <w:ind w:left="360"/>
        <w:rPr>
          <w:b/>
          <w:bCs/>
        </w:rPr>
      </w:pPr>
    </w:p>
    <w:p w:rsidR="00CE691F" w:rsidP="0075306D" w14:paraId="294AF1AE" w14:textId="49D4F3B6">
      <w:pPr>
        <w:contextualSpacing/>
        <w:rPr>
          <w:color w:val="000000"/>
        </w:rPr>
      </w:pPr>
      <w:r w:rsidRPr="00995D35">
        <w:rPr>
          <w:color w:val="000000"/>
        </w:rPr>
        <w:t xml:space="preserve">Each </w:t>
      </w:r>
      <w:r w:rsidRPr="006D12F9">
        <w:rPr>
          <w:color w:val="000000"/>
        </w:rPr>
        <w:t>round of data collection will include semi-structured interviews with staff from each of the 21 grantees and</w:t>
      </w:r>
      <w:r>
        <w:rPr>
          <w:color w:val="000000"/>
        </w:rPr>
        <w:t xml:space="preserve"> 21 </w:t>
      </w:r>
      <w:r w:rsidRPr="001F0C63">
        <w:rPr>
          <w:color w:val="000000"/>
        </w:rPr>
        <w:t>subrecipients</w:t>
      </w:r>
      <w:r>
        <w:rPr>
          <w:color w:val="000000"/>
        </w:rPr>
        <w:t>, as well as data collection from program participants to understand their perspective</w:t>
      </w:r>
      <w:r w:rsidR="006C51C3">
        <w:rPr>
          <w:color w:val="000000"/>
        </w:rPr>
        <w:t>s</w:t>
      </w:r>
      <w:r>
        <w:rPr>
          <w:color w:val="000000"/>
        </w:rPr>
        <w:t xml:space="preserve"> on the program. HUD intends to conduct focus groups with program participants, but if that is not feasible, HUD will conduct </w:t>
      </w:r>
      <w:r w:rsidR="00127FA0">
        <w:rPr>
          <w:color w:val="000000"/>
        </w:rPr>
        <w:t>individual</w:t>
      </w:r>
      <w:r>
        <w:rPr>
          <w:color w:val="000000"/>
        </w:rPr>
        <w:t xml:space="preserve"> online interviews with a </w:t>
      </w:r>
      <w:r w:rsidR="005432B4">
        <w:rPr>
          <w:color w:val="000000"/>
        </w:rPr>
        <w:t xml:space="preserve">small number </w:t>
      </w:r>
      <w:r>
        <w:rPr>
          <w:color w:val="000000"/>
        </w:rPr>
        <w:t xml:space="preserve">of program participants. </w:t>
      </w:r>
    </w:p>
    <w:p w:rsidR="006D31CA" w:rsidP="0075306D" w14:paraId="01110CBF" w14:textId="77777777">
      <w:pPr>
        <w:ind w:firstLine="720"/>
        <w:contextualSpacing/>
        <w:rPr>
          <w:color w:val="000000"/>
        </w:rPr>
      </w:pPr>
    </w:p>
    <w:p w:rsidR="00CE691F" w:rsidP="0075306D" w14:paraId="3B267687" w14:textId="4F526DC3">
      <w:pPr>
        <w:contextualSpacing/>
        <w:rPr>
          <w:color w:val="000000"/>
        </w:rPr>
      </w:pPr>
      <w:r>
        <w:rPr>
          <w:color w:val="000000"/>
        </w:rPr>
        <w:t>In the first round of data collection, HUD plans to conduct 42 semi-structured interviews, which will include 126 grantee and subrecipient staff (an average of three staff per interview). In the second round of data collection, HUD again plans to conduct 42 semi-structured interviews, which will include 126 grantee and subrecipient staff (an average of three staff per interview). Across both rounds of data collection, HUD</w:t>
      </w:r>
      <w:r w:rsidRPr="001F0C63">
        <w:rPr>
          <w:color w:val="000000"/>
        </w:rPr>
        <w:t xml:space="preserve"> will facilitate </w:t>
      </w:r>
      <w:r>
        <w:rPr>
          <w:color w:val="000000"/>
        </w:rPr>
        <w:t xml:space="preserve">21 </w:t>
      </w:r>
      <w:r w:rsidRPr="001F0C63">
        <w:rPr>
          <w:color w:val="000000"/>
        </w:rPr>
        <w:t xml:space="preserve">focus groups with </w:t>
      </w:r>
      <w:r>
        <w:rPr>
          <w:color w:val="000000"/>
        </w:rPr>
        <w:t>105</w:t>
      </w:r>
      <w:r w:rsidRPr="001F0C63">
        <w:rPr>
          <w:color w:val="000000"/>
        </w:rPr>
        <w:t xml:space="preserve"> program participants</w:t>
      </w:r>
      <w:r>
        <w:rPr>
          <w:color w:val="000000"/>
        </w:rPr>
        <w:t xml:space="preserve"> (5 program participants per focus group),</w:t>
      </w:r>
      <w:r w:rsidRPr="001F0C63">
        <w:rPr>
          <w:color w:val="000000"/>
        </w:rPr>
        <w:t xml:space="preserve"> </w:t>
      </w:r>
      <w:r>
        <w:rPr>
          <w:color w:val="000000"/>
        </w:rPr>
        <w:t xml:space="preserve">and </w:t>
      </w:r>
      <w:r w:rsidR="00127FA0">
        <w:rPr>
          <w:color w:val="000000"/>
        </w:rPr>
        <w:t>individual</w:t>
      </w:r>
      <w:r>
        <w:rPr>
          <w:color w:val="000000"/>
        </w:rPr>
        <w:t xml:space="preserve"> online interviews with 42 program participants. </w:t>
      </w:r>
      <w:r w:rsidR="009862CB">
        <w:rPr>
          <w:color w:val="000000"/>
        </w:rPr>
        <w:t>H</w:t>
      </w:r>
      <w:r w:rsidR="00CC6F7C">
        <w:rPr>
          <w:color w:val="000000"/>
        </w:rPr>
        <w:t>our burden</w:t>
      </w:r>
      <w:r w:rsidR="009862CB">
        <w:rPr>
          <w:color w:val="000000"/>
        </w:rPr>
        <w:t xml:space="preserve">s are </w:t>
      </w:r>
      <w:r w:rsidR="00CC6F7C">
        <w:rPr>
          <w:color w:val="000000"/>
        </w:rPr>
        <w:t xml:space="preserve">detailed in </w:t>
      </w:r>
      <w:r w:rsidRPr="00890866" w:rsidR="00CC6F7C">
        <w:rPr>
          <w:b/>
          <w:bCs/>
          <w:color w:val="000000"/>
        </w:rPr>
        <w:t>Exhibit B</w:t>
      </w:r>
      <w:r w:rsidR="00CC6F7C">
        <w:rPr>
          <w:color w:val="000000"/>
        </w:rPr>
        <w:t xml:space="preserve">. </w:t>
      </w:r>
    </w:p>
    <w:p w:rsidR="00CC6F7C" w:rsidP="0075306D" w14:paraId="7144F957" w14:textId="77777777">
      <w:pPr>
        <w:ind w:firstLine="720"/>
        <w:contextualSpacing/>
        <w:rPr>
          <w:color w:val="000000"/>
        </w:rPr>
      </w:pPr>
    </w:p>
    <w:p w:rsidR="00CE691F" w:rsidP="0075306D" w14:paraId="4D9DFC79" w14:textId="11130B50">
      <w:pPr>
        <w:tabs>
          <w:tab w:val="left" w:pos="-720"/>
        </w:tabs>
        <w:suppressAutoHyphens/>
        <w:rPr>
          <w:color w:val="000000"/>
        </w:rPr>
      </w:pPr>
      <w:r w:rsidRPr="001F0C63">
        <w:rPr>
          <w:color w:val="000000"/>
          <w:u w:val="single"/>
        </w:rPr>
        <w:t xml:space="preserve">Respondents </w:t>
      </w:r>
      <w:r w:rsidRPr="001F0C63">
        <w:rPr>
          <w:color w:val="000000"/>
        </w:rPr>
        <w:t>(</w:t>
      </w:r>
      <w:r w:rsidRPr="001F0C63">
        <w:rPr>
          <w:color w:val="000000"/>
        </w:rPr>
        <w:t>i.e.</w:t>
      </w:r>
      <w:r w:rsidRPr="001F0C63">
        <w:rPr>
          <w:color w:val="000000"/>
        </w:rPr>
        <w:t xml:space="preserve"> affected public): </w:t>
      </w:r>
      <w:r>
        <w:rPr>
          <w:color w:val="000000"/>
        </w:rPr>
        <w:t>Staff from the 21 grantees of HUD’s Eviction Protection Grant Program, staff from the 21 grant subrecipients, and a sample of program participants.</w:t>
      </w:r>
    </w:p>
    <w:p w:rsidR="00CC6F7C" w:rsidRPr="001F0C63" w:rsidP="0075306D" w14:paraId="2C68D326" w14:textId="77777777">
      <w:pPr>
        <w:tabs>
          <w:tab w:val="left" w:pos="-720"/>
        </w:tabs>
        <w:suppressAutoHyphens/>
        <w:rPr>
          <w:color w:val="000000"/>
        </w:rPr>
      </w:pPr>
    </w:p>
    <w:p w:rsidR="00CE691F" w:rsidP="0075306D" w14:paraId="40EB8938" w14:textId="25FBDA7A">
      <w:pPr>
        <w:tabs>
          <w:tab w:val="left" w:pos="-720"/>
        </w:tabs>
        <w:suppressAutoHyphens/>
        <w:rPr>
          <w:color w:val="000000"/>
        </w:rPr>
      </w:pPr>
      <w:r w:rsidRPr="003C645C">
        <w:rPr>
          <w:color w:val="000000"/>
          <w:u w:val="single"/>
        </w:rPr>
        <w:t>Estimated Number of Respondents</w:t>
      </w:r>
      <w:r w:rsidRPr="003C645C">
        <w:rPr>
          <w:color w:val="000000"/>
        </w:rPr>
        <w:t xml:space="preserve">: 273 </w:t>
      </w:r>
      <w:r>
        <w:rPr>
          <w:color w:val="000000"/>
        </w:rPr>
        <w:t xml:space="preserve">unique </w:t>
      </w:r>
      <w:r w:rsidRPr="003C645C">
        <w:rPr>
          <w:color w:val="000000"/>
        </w:rPr>
        <w:t>respondents</w:t>
      </w:r>
      <w:r w:rsidRPr="00123DB3">
        <w:rPr>
          <w:color w:val="000000"/>
        </w:rPr>
        <w:t xml:space="preserve"> (126 grantee and subrecipient staff, and 147 program participants). </w:t>
      </w:r>
    </w:p>
    <w:p w:rsidR="00CC6F7C" w:rsidRPr="00E00B42" w:rsidP="0075306D" w14:paraId="60680858" w14:textId="77777777">
      <w:pPr>
        <w:tabs>
          <w:tab w:val="left" w:pos="-720"/>
        </w:tabs>
        <w:suppressAutoHyphens/>
        <w:rPr>
          <w:color w:val="000000"/>
          <w:highlight w:val="yellow"/>
        </w:rPr>
      </w:pPr>
    </w:p>
    <w:p w:rsidR="00CE691F" w:rsidP="0075306D" w14:paraId="26FC0C53" w14:textId="4A2F08D0">
      <w:pPr>
        <w:tabs>
          <w:tab w:val="left" w:pos="-720"/>
        </w:tabs>
        <w:suppressAutoHyphens/>
        <w:rPr>
          <w:color w:val="000000"/>
        </w:rPr>
      </w:pPr>
      <w:r w:rsidRPr="00123DB3">
        <w:rPr>
          <w:color w:val="000000"/>
          <w:u w:val="single"/>
        </w:rPr>
        <w:t>Frequency</w:t>
      </w:r>
      <w:r w:rsidRPr="001F0C63">
        <w:rPr>
          <w:color w:val="000000"/>
          <w:u w:val="single"/>
        </w:rPr>
        <w:t xml:space="preserve"> </w:t>
      </w:r>
      <w:r w:rsidRPr="00123DB3">
        <w:rPr>
          <w:color w:val="000000"/>
          <w:u w:val="single"/>
        </w:rPr>
        <w:t>of Response</w:t>
      </w:r>
      <w:r w:rsidRPr="00123DB3">
        <w:rPr>
          <w:color w:val="000000"/>
        </w:rPr>
        <w:t xml:space="preserve">: Once for grantee and subrecipient </w:t>
      </w:r>
      <w:r w:rsidRPr="00830517">
        <w:rPr>
          <w:color w:val="000000"/>
        </w:rPr>
        <w:t>staff in the first round of data collection; once for grantee and subrecipient staff in the second round</w:t>
      </w:r>
      <w:r w:rsidRPr="004C2D82">
        <w:rPr>
          <w:color w:val="000000"/>
        </w:rPr>
        <w:t xml:space="preserve">; </w:t>
      </w:r>
      <w:r w:rsidRPr="00123DB3">
        <w:rPr>
          <w:color w:val="000000"/>
        </w:rPr>
        <w:t>once for program participants.</w:t>
      </w:r>
    </w:p>
    <w:p w:rsidR="00CC6F7C" w:rsidRPr="001F0C63" w:rsidP="0075306D" w14:paraId="283CEF2C" w14:textId="77777777">
      <w:pPr>
        <w:tabs>
          <w:tab w:val="left" w:pos="-720"/>
        </w:tabs>
        <w:suppressAutoHyphens/>
        <w:rPr>
          <w:color w:val="000000"/>
        </w:rPr>
      </w:pPr>
    </w:p>
    <w:p w:rsidR="00CE691F" w:rsidP="0075306D" w14:paraId="2E71A3F8" w14:textId="7D6A0FEE">
      <w:pPr>
        <w:tabs>
          <w:tab w:val="left" w:pos="-720"/>
        </w:tabs>
        <w:suppressAutoHyphens/>
      </w:pPr>
      <w:r w:rsidRPr="001F0C63">
        <w:rPr>
          <w:color w:val="000000"/>
          <w:u w:val="single"/>
        </w:rPr>
        <w:t>Average Hours per Response</w:t>
      </w:r>
      <w:r w:rsidRPr="001F0C63">
        <w:rPr>
          <w:color w:val="000000"/>
        </w:rPr>
        <w:t xml:space="preserve">: </w:t>
      </w:r>
      <w:r>
        <w:t>S</w:t>
      </w:r>
      <w:r w:rsidRPr="001F0C63">
        <w:t>emi-structured interview</w:t>
      </w:r>
      <w:r>
        <w:t>s</w:t>
      </w:r>
      <w:r w:rsidRPr="001F0C63">
        <w:t xml:space="preserve"> </w:t>
      </w:r>
      <w:r>
        <w:t>with grantee and subrecipient staff are</w:t>
      </w:r>
      <w:r w:rsidRPr="001F0C63">
        <w:t xml:space="preserve"> expected to last an average of 1 hour</w:t>
      </w:r>
      <w:r>
        <w:t xml:space="preserve"> in the first round of data collection</w:t>
      </w:r>
      <w:r w:rsidRPr="001F0C63">
        <w:t>.</w:t>
      </w:r>
      <w:r w:rsidRPr="00C64777">
        <w:t xml:space="preserve"> </w:t>
      </w:r>
      <w:r>
        <w:t>S</w:t>
      </w:r>
      <w:r w:rsidRPr="001F0C63">
        <w:t>emi-structured interview</w:t>
      </w:r>
      <w:r>
        <w:t>s</w:t>
      </w:r>
      <w:r w:rsidRPr="001F0C63">
        <w:t xml:space="preserve"> </w:t>
      </w:r>
      <w:r>
        <w:t>with grantee and subrecipient staff are</w:t>
      </w:r>
      <w:r w:rsidRPr="001F0C63">
        <w:t xml:space="preserve"> expected to last an average of 1 hour</w:t>
      </w:r>
      <w:r>
        <w:t xml:space="preserve"> in the second round of data collection</w:t>
      </w:r>
      <w:r w:rsidRPr="001F0C63">
        <w:t xml:space="preserve">. </w:t>
      </w:r>
      <w:r>
        <w:t>F</w:t>
      </w:r>
      <w:r w:rsidRPr="001F0C63">
        <w:t>ocus group</w:t>
      </w:r>
      <w:r>
        <w:t>s</w:t>
      </w:r>
      <w:r w:rsidRPr="001F0C63">
        <w:t xml:space="preserve"> </w:t>
      </w:r>
      <w:r>
        <w:t>with program participants are</w:t>
      </w:r>
      <w:r w:rsidRPr="001F0C63">
        <w:t xml:space="preserve"> expected to last 90 min</w:t>
      </w:r>
      <w:r>
        <w:t>ute</w:t>
      </w:r>
      <w:r w:rsidRPr="001F0C63">
        <w:t xml:space="preserve">s. </w:t>
      </w:r>
      <w:r w:rsidR="00731DD8">
        <w:t>I</w:t>
      </w:r>
      <w:r w:rsidR="00127FA0">
        <w:t>ndividual</w:t>
      </w:r>
      <w:r>
        <w:t xml:space="preserve"> online interviews with program participants are expected to last 45 minutes. Informed consent for the program participants to provide contact information is expected to take 10 minutes. Informed consent for the program participants to participate in the study is expected to take 5 minutes.</w:t>
      </w:r>
    </w:p>
    <w:p w:rsidR="00CC6F7C" w:rsidRPr="001F0C63" w:rsidP="0075306D" w14:paraId="2E70D014" w14:textId="77777777">
      <w:pPr>
        <w:tabs>
          <w:tab w:val="left" w:pos="-720"/>
        </w:tabs>
        <w:suppressAutoHyphens/>
        <w:rPr>
          <w:highlight w:val="yellow"/>
        </w:rPr>
      </w:pPr>
    </w:p>
    <w:p w:rsidR="00CC6F7C" w:rsidRPr="00890866" w:rsidP="0075306D" w14:paraId="42BDCBAF" w14:textId="4D36ED5B">
      <w:pPr>
        <w:tabs>
          <w:tab w:val="left" w:pos="-720"/>
        </w:tabs>
        <w:suppressAutoHyphens/>
        <w:rPr>
          <w:color w:val="000000" w:themeColor="text1"/>
        </w:rPr>
      </w:pPr>
      <w:r w:rsidRPr="5916561A">
        <w:rPr>
          <w:color w:val="000000" w:themeColor="text1"/>
          <w:u w:val="single"/>
        </w:rPr>
        <w:t>Total Estimated Burdens</w:t>
      </w:r>
      <w:r w:rsidRPr="5916561A">
        <w:rPr>
          <w:color w:val="000000" w:themeColor="text1"/>
        </w:rPr>
        <w:t>:  477.75 hours</w:t>
      </w:r>
    </w:p>
    <w:p w:rsidR="002954E4" w:rsidRPr="00D970EF" w:rsidP="0075306D" w14:paraId="30A61BFA" w14:textId="77777777">
      <w:pPr>
        <w:widowControl w:val="0"/>
        <w:kinsoku w:val="0"/>
        <w:ind w:left="360"/>
      </w:pPr>
    </w:p>
    <w:p w:rsidR="00B11CA0" w:rsidRPr="001574E9" w:rsidP="006870B9" w14:paraId="20FBA00A" w14:textId="369EF09C">
      <w:pPr>
        <w:ind w:left="930" w:hanging="930"/>
        <w:textAlignment w:val="baseline"/>
        <w:rPr>
          <w:rFonts w:eastAsia="Calibri"/>
        </w:rPr>
      </w:pPr>
      <w:r w:rsidRPr="001574E9">
        <w:rPr>
          <w:b/>
          <w:bCs/>
        </w:rPr>
        <w:t xml:space="preserve">Exhibit </w:t>
      </w:r>
      <w:r w:rsidRPr="001574E9" w:rsidR="000D6479">
        <w:rPr>
          <w:b/>
          <w:bCs/>
        </w:rPr>
        <w:t>B</w:t>
      </w:r>
      <w:r w:rsidRPr="001574E9">
        <w:rPr>
          <w:b/>
          <w:bCs/>
        </w:rPr>
        <w:t xml:space="preserve"> | Annualized Burden Table</w:t>
      </w:r>
    </w:p>
    <w:tbl>
      <w:tblPr>
        <w:tblStyle w:val="TableGrid"/>
        <w:tblW w:w="10080" w:type="dxa"/>
        <w:tblInd w:w="-545" w:type="dxa"/>
        <w:tblLook w:val="04A0"/>
      </w:tblPr>
      <w:tblGrid>
        <w:gridCol w:w="2462"/>
        <w:gridCol w:w="1308"/>
        <w:gridCol w:w="1127"/>
        <w:gridCol w:w="1102"/>
        <w:gridCol w:w="1034"/>
        <w:gridCol w:w="897"/>
        <w:gridCol w:w="1034"/>
        <w:gridCol w:w="1116"/>
      </w:tblGrid>
      <w:tr w14:paraId="11F2579D" w14:textId="77777777" w:rsidTr="00090D0F">
        <w:tblPrEx>
          <w:tblW w:w="10080" w:type="dxa"/>
          <w:tblInd w:w="-545" w:type="dxa"/>
          <w:tblLook w:val="04A0"/>
        </w:tblPrEx>
        <w:trPr>
          <w:trHeight w:val="845"/>
        </w:trPr>
        <w:tc>
          <w:tcPr>
            <w:tcW w:w="2462" w:type="dxa"/>
            <w:shd w:val="clear" w:color="auto" w:fill="D9E2F3" w:themeFill="accent1" w:themeFillTint="33"/>
            <w:hideMark/>
          </w:tcPr>
          <w:p w:rsidR="00B11CA0" w:rsidRPr="00090D0F" w:rsidP="0075306D" w14:paraId="045AFD5E" w14:textId="77777777">
            <w:pPr>
              <w:jc w:val="center"/>
              <w:rPr>
                <w:sz w:val="18"/>
                <w:szCs w:val="18"/>
              </w:rPr>
            </w:pPr>
            <w:r w:rsidRPr="00090D0F">
              <w:rPr>
                <w:b/>
                <w:bCs/>
                <w:color w:val="000000"/>
                <w:sz w:val="18"/>
                <w:szCs w:val="18"/>
              </w:rPr>
              <w:t>Information Collection</w:t>
            </w:r>
          </w:p>
        </w:tc>
        <w:tc>
          <w:tcPr>
            <w:tcW w:w="1308" w:type="dxa"/>
            <w:shd w:val="clear" w:color="auto" w:fill="D9E2F3" w:themeFill="accent1" w:themeFillTint="33"/>
            <w:hideMark/>
          </w:tcPr>
          <w:p w:rsidR="00B11CA0" w:rsidRPr="00090D0F" w:rsidP="0075306D" w14:paraId="31B6BC4B" w14:textId="77777777">
            <w:pPr>
              <w:jc w:val="center"/>
              <w:rPr>
                <w:sz w:val="18"/>
                <w:szCs w:val="18"/>
              </w:rPr>
            </w:pPr>
            <w:r w:rsidRPr="00090D0F">
              <w:rPr>
                <w:b/>
                <w:bCs/>
                <w:color w:val="000000"/>
                <w:sz w:val="18"/>
                <w:szCs w:val="18"/>
              </w:rPr>
              <w:t>Number of Respondents</w:t>
            </w:r>
          </w:p>
        </w:tc>
        <w:tc>
          <w:tcPr>
            <w:tcW w:w="1127" w:type="dxa"/>
            <w:shd w:val="clear" w:color="auto" w:fill="D9E2F3" w:themeFill="accent1" w:themeFillTint="33"/>
            <w:hideMark/>
          </w:tcPr>
          <w:p w:rsidR="00B11CA0" w:rsidRPr="00090D0F" w:rsidP="0075306D" w14:paraId="4A62451D" w14:textId="77777777">
            <w:pPr>
              <w:jc w:val="center"/>
              <w:rPr>
                <w:sz w:val="18"/>
                <w:szCs w:val="18"/>
              </w:rPr>
            </w:pPr>
            <w:r w:rsidRPr="00090D0F">
              <w:rPr>
                <w:b/>
                <w:bCs/>
                <w:color w:val="000000"/>
                <w:sz w:val="18"/>
                <w:szCs w:val="18"/>
              </w:rPr>
              <w:t>Frequency of Response</w:t>
            </w:r>
          </w:p>
        </w:tc>
        <w:tc>
          <w:tcPr>
            <w:tcW w:w="1102" w:type="dxa"/>
            <w:shd w:val="clear" w:color="auto" w:fill="D9E2F3" w:themeFill="accent1" w:themeFillTint="33"/>
            <w:hideMark/>
          </w:tcPr>
          <w:p w:rsidR="00B11CA0" w:rsidRPr="00090D0F" w:rsidP="0075306D" w14:paraId="37024865" w14:textId="77777777">
            <w:pPr>
              <w:jc w:val="center"/>
              <w:rPr>
                <w:sz w:val="18"/>
                <w:szCs w:val="18"/>
              </w:rPr>
            </w:pPr>
            <w:r w:rsidRPr="00090D0F">
              <w:rPr>
                <w:b/>
                <w:bCs/>
                <w:color w:val="000000"/>
                <w:sz w:val="18"/>
                <w:szCs w:val="18"/>
              </w:rPr>
              <w:t>Responses Per Annum</w:t>
            </w:r>
          </w:p>
        </w:tc>
        <w:tc>
          <w:tcPr>
            <w:tcW w:w="1034" w:type="dxa"/>
            <w:shd w:val="clear" w:color="auto" w:fill="D9E2F3" w:themeFill="accent1" w:themeFillTint="33"/>
            <w:hideMark/>
          </w:tcPr>
          <w:p w:rsidR="00B11CA0" w:rsidRPr="00090D0F" w:rsidP="0075306D" w14:paraId="6DA022E1" w14:textId="77777777">
            <w:pPr>
              <w:jc w:val="center"/>
              <w:rPr>
                <w:sz w:val="18"/>
                <w:szCs w:val="18"/>
              </w:rPr>
            </w:pPr>
            <w:r w:rsidRPr="00090D0F">
              <w:rPr>
                <w:b/>
                <w:bCs/>
                <w:color w:val="000000"/>
                <w:sz w:val="18"/>
                <w:szCs w:val="18"/>
              </w:rPr>
              <w:t>Burden Hour Per Response</w:t>
            </w:r>
          </w:p>
        </w:tc>
        <w:tc>
          <w:tcPr>
            <w:tcW w:w="897" w:type="dxa"/>
            <w:shd w:val="clear" w:color="auto" w:fill="D9E2F3" w:themeFill="accent1" w:themeFillTint="33"/>
            <w:hideMark/>
          </w:tcPr>
          <w:p w:rsidR="00B11CA0" w:rsidRPr="00090D0F" w:rsidP="0075306D" w14:paraId="336709ED" w14:textId="77777777">
            <w:pPr>
              <w:jc w:val="center"/>
              <w:rPr>
                <w:sz w:val="18"/>
                <w:szCs w:val="18"/>
              </w:rPr>
            </w:pPr>
            <w:r w:rsidRPr="00090D0F">
              <w:rPr>
                <w:b/>
                <w:bCs/>
                <w:color w:val="000000"/>
                <w:sz w:val="18"/>
                <w:szCs w:val="18"/>
              </w:rPr>
              <w:t>Annual Burden Hours</w:t>
            </w:r>
          </w:p>
        </w:tc>
        <w:tc>
          <w:tcPr>
            <w:tcW w:w="1034" w:type="dxa"/>
            <w:shd w:val="clear" w:color="auto" w:fill="D9E2F3" w:themeFill="accent1" w:themeFillTint="33"/>
            <w:hideMark/>
          </w:tcPr>
          <w:p w:rsidR="00B11CA0" w:rsidRPr="00090D0F" w:rsidP="0075306D" w14:paraId="12F48A10" w14:textId="77777777">
            <w:pPr>
              <w:jc w:val="center"/>
              <w:rPr>
                <w:sz w:val="18"/>
                <w:szCs w:val="18"/>
              </w:rPr>
            </w:pPr>
            <w:r w:rsidRPr="00090D0F">
              <w:rPr>
                <w:b/>
                <w:bCs/>
                <w:color w:val="000000"/>
                <w:sz w:val="18"/>
                <w:szCs w:val="18"/>
              </w:rPr>
              <w:t>Hourly Cost Per Response</w:t>
            </w:r>
          </w:p>
        </w:tc>
        <w:tc>
          <w:tcPr>
            <w:tcW w:w="1116" w:type="dxa"/>
            <w:shd w:val="clear" w:color="auto" w:fill="D9E2F3" w:themeFill="accent1" w:themeFillTint="33"/>
            <w:hideMark/>
          </w:tcPr>
          <w:p w:rsidR="00B11CA0" w:rsidRPr="00090D0F" w:rsidP="0075306D" w14:paraId="4A614DCC" w14:textId="77777777">
            <w:pPr>
              <w:jc w:val="center"/>
              <w:rPr>
                <w:sz w:val="18"/>
                <w:szCs w:val="18"/>
              </w:rPr>
            </w:pPr>
            <w:r w:rsidRPr="00090D0F">
              <w:rPr>
                <w:b/>
                <w:bCs/>
                <w:color w:val="000000"/>
                <w:sz w:val="18"/>
                <w:szCs w:val="18"/>
              </w:rPr>
              <w:t>Cost</w:t>
            </w:r>
            <w:r w:rsidRPr="00090D0F">
              <w:rPr>
                <w:color w:val="000000"/>
                <w:sz w:val="18"/>
                <w:szCs w:val="18"/>
              </w:rPr>
              <w:t> </w:t>
            </w:r>
          </w:p>
        </w:tc>
      </w:tr>
      <w:tr w14:paraId="663A105D" w14:textId="77777777" w:rsidTr="00090D0F">
        <w:tblPrEx>
          <w:tblW w:w="10080" w:type="dxa"/>
          <w:tblInd w:w="-545" w:type="dxa"/>
          <w:tblLook w:val="04A0"/>
        </w:tblPrEx>
        <w:trPr>
          <w:trHeight w:val="300"/>
        </w:trPr>
        <w:tc>
          <w:tcPr>
            <w:tcW w:w="2462" w:type="dxa"/>
            <w:hideMark/>
          </w:tcPr>
          <w:p w:rsidR="00090D0F" w:rsidRPr="00090D0F" w:rsidP="00090D0F" w14:paraId="5C004841" w14:textId="747F51B9">
            <w:pPr>
              <w:jc w:val="center"/>
              <w:rPr>
                <w:sz w:val="18"/>
                <w:szCs w:val="18"/>
              </w:rPr>
            </w:pPr>
            <w:r w:rsidRPr="00090D0F">
              <w:rPr>
                <w:color w:val="000000"/>
                <w:sz w:val="18"/>
                <w:szCs w:val="18"/>
              </w:rPr>
              <w:t>Round 1: Interview with Grantee/Subrecipient Staff</w:t>
            </w:r>
          </w:p>
        </w:tc>
        <w:tc>
          <w:tcPr>
            <w:tcW w:w="1308" w:type="dxa"/>
            <w:hideMark/>
          </w:tcPr>
          <w:p w:rsidR="00090D0F" w:rsidRPr="00090D0F" w:rsidP="00090D0F" w14:paraId="11E0BE68" w14:textId="77777777">
            <w:pPr>
              <w:jc w:val="center"/>
              <w:rPr>
                <w:sz w:val="18"/>
                <w:szCs w:val="18"/>
              </w:rPr>
            </w:pPr>
            <w:r w:rsidRPr="00090D0F">
              <w:rPr>
                <w:color w:val="000000"/>
                <w:sz w:val="18"/>
                <w:szCs w:val="18"/>
              </w:rPr>
              <w:t>126</w:t>
            </w:r>
          </w:p>
        </w:tc>
        <w:tc>
          <w:tcPr>
            <w:tcW w:w="1127" w:type="dxa"/>
            <w:hideMark/>
          </w:tcPr>
          <w:p w:rsidR="00090D0F" w:rsidRPr="00090D0F" w:rsidP="00090D0F" w14:paraId="75F5589F" w14:textId="77777777">
            <w:pPr>
              <w:jc w:val="center"/>
              <w:rPr>
                <w:sz w:val="18"/>
                <w:szCs w:val="18"/>
              </w:rPr>
            </w:pPr>
            <w:r w:rsidRPr="00090D0F">
              <w:rPr>
                <w:color w:val="000000"/>
                <w:sz w:val="18"/>
                <w:szCs w:val="18"/>
              </w:rPr>
              <w:t>1</w:t>
            </w:r>
          </w:p>
        </w:tc>
        <w:tc>
          <w:tcPr>
            <w:tcW w:w="1102" w:type="dxa"/>
            <w:hideMark/>
          </w:tcPr>
          <w:p w:rsidR="00090D0F" w:rsidRPr="00090D0F" w:rsidP="00090D0F" w14:paraId="6055B87B" w14:textId="72F533EF">
            <w:pPr>
              <w:jc w:val="center"/>
              <w:rPr>
                <w:sz w:val="18"/>
                <w:szCs w:val="18"/>
              </w:rPr>
            </w:pPr>
            <w:r w:rsidRPr="00090D0F">
              <w:rPr>
                <w:sz w:val="18"/>
                <w:szCs w:val="18"/>
              </w:rPr>
              <w:t>126</w:t>
            </w:r>
          </w:p>
        </w:tc>
        <w:tc>
          <w:tcPr>
            <w:tcW w:w="1034" w:type="dxa"/>
            <w:hideMark/>
          </w:tcPr>
          <w:p w:rsidR="00090D0F" w:rsidRPr="00090D0F" w:rsidP="00090D0F" w14:paraId="5393361A" w14:textId="77777777">
            <w:pPr>
              <w:jc w:val="center"/>
              <w:rPr>
                <w:sz w:val="18"/>
                <w:szCs w:val="18"/>
              </w:rPr>
            </w:pPr>
            <w:r w:rsidRPr="00090D0F">
              <w:rPr>
                <w:color w:val="000000"/>
                <w:sz w:val="18"/>
                <w:szCs w:val="18"/>
              </w:rPr>
              <w:t>1</w:t>
            </w:r>
          </w:p>
        </w:tc>
        <w:tc>
          <w:tcPr>
            <w:tcW w:w="897" w:type="dxa"/>
            <w:hideMark/>
          </w:tcPr>
          <w:p w:rsidR="00090D0F" w:rsidRPr="00090D0F" w:rsidP="00090D0F" w14:paraId="518F611B" w14:textId="77777777">
            <w:pPr>
              <w:jc w:val="center"/>
              <w:rPr>
                <w:sz w:val="18"/>
                <w:szCs w:val="18"/>
              </w:rPr>
            </w:pPr>
            <w:r w:rsidRPr="00090D0F">
              <w:rPr>
                <w:color w:val="000000"/>
                <w:sz w:val="18"/>
                <w:szCs w:val="18"/>
              </w:rPr>
              <w:t>126</w:t>
            </w:r>
          </w:p>
        </w:tc>
        <w:tc>
          <w:tcPr>
            <w:tcW w:w="1034" w:type="dxa"/>
            <w:hideMark/>
          </w:tcPr>
          <w:p w:rsidR="00090D0F" w:rsidRPr="00090D0F" w:rsidP="00090D0F" w14:paraId="048D249A" w14:textId="77777777">
            <w:pPr>
              <w:jc w:val="center"/>
              <w:rPr>
                <w:sz w:val="18"/>
                <w:szCs w:val="18"/>
              </w:rPr>
            </w:pPr>
            <w:r w:rsidRPr="00090D0F">
              <w:rPr>
                <w:color w:val="000000"/>
                <w:sz w:val="18"/>
                <w:szCs w:val="18"/>
              </w:rPr>
              <w:t xml:space="preserve">$77.42 </w:t>
            </w:r>
          </w:p>
        </w:tc>
        <w:tc>
          <w:tcPr>
            <w:tcW w:w="1116" w:type="dxa"/>
            <w:hideMark/>
          </w:tcPr>
          <w:p w:rsidR="00090D0F" w:rsidRPr="00090D0F" w:rsidP="00090D0F" w14:paraId="35C1C89D" w14:textId="77777777">
            <w:pPr>
              <w:jc w:val="center"/>
              <w:rPr>
                <w:sz w:val="18"/>
                <w:szCs w:val="18"/>
              </w:rPr>
            </w:pPr>
            <w:r w:rsidRPr="00090D0F">
              <w:rPr>
                <w:color w:val="000000"/>
                <w:sz w:val="18"/>
                <w:szCs w:val="18"/>
              </w:rPr>
              <w:t xml:space="preserve">$9,754.92 </w:t>
            </w:r>
          </w:p>
        </w:tc>
      </w:tr>
      <w:tr w14:paraId="26457F88" w14:textId="77777777" w:rsidTr="00090D0F">
        <w:tblPrEx>
          <w:tblW w:w="10080" w:type="dxa"/>
          <w:tblInd w:w="-545" w:type="dxa"/>
          <w:tblLook w:val="04A0"/>
        </w:tblPrEx>
        <w:trPr>
          <w:trHeight w:val="300"/>
        </w:trPr>
        <w:tc>
          <w:tcPr>
            <w:tcW w:w="2462" w:type="dxa"/>
            <w:hideMark/>
          </w:tcPr>
          <w:p w:rsidR="00090D0F" w:rsidRPr="00090D0F" w:rsidP="00090D0F" w14:paraId="46ADBC40" w14:textId="7ED84A69">
            <w:pPr>
              <w:jc w:val="center"/>
              <w:rPr>
                <w:sz w:val="18"/>
                <w:szCs w:val="18"/>
              </w:rPr>
            </w:pPr>
            <w:r w:rsidRPr="00090D0F">
              <w:rPr>
                <w:color w:val="000000"/>
                <w:sz w:val="18"/>
                <w:szCs w:val="18"/>
              </w:rPr>
              <w:t>Round 2: Interview with Grantee/Subrecipient Staff</w:t>
            </w:r>
          </w:p>
        </w:tc>
        <w:tc>
          <w:tcPr>
            <w:tcW w:w="1308" w:type="dxa"/>
            <w:hideMark/>
          </w:tcPr>
          <w:p w:rsidR="00090D0F" w:rsidRPr="00090D0F" w:rsidP="00090D0F" w14:paraId="121BCE7A" w14:textId="77777777">
            <w:pPr>
              <w:jc w:val="center"/>
              <w:rPr>
                <w:sz w:val="18"/>
                <w:szCs w:val="18"/>
              </w:rPr>
            </w:pPr>
            <w:r w:rsidRPr="00090D0F">
              <w:rPr>
                <w:color w:val="000000"/>
                <w:sz w:val="18"/>
                <w:szCs w:val="18"/>
              </w:rPr>
              <w:t>126</w:t>
            </w:r>
          </w:p>
        </w:tc>
        <w:tc>
          <w:tcPr>
            <w:tcW w:w="1127" w:type="dxa"/>
            <w:hideMark/>
          </w:tcPr>
          <w:p w:rsidR="00090D0F" w:rsidRPr="00090D0F" w:rsidP="00090D0F" w14:paraId="4FCCCF06" w14:textId="77777777">
            <w:pPr>
              <w:jc w:val="center"/>
              <w:rPr>
                <w:sz w:val="18"/>
                <w:szCs w:val="18"/>
              </w:rPr>
            </w:pPr>
            <w:r w:rsidRPr="00090D0F">
              <w:rPr>
                <w:color w:val="000000"/>
                <w:sz w:val="18"/>
                <w:szCs w:val="18"/>
              </w:rPr>
              <w:t>1</w:t>
            </w:r>
          </w:p>
        </w:tc>
        <w:tc>
          <w:tcPr>
            <w:tcW w:w="1102" w:type="dxa"/>
            <w:hideMark/>
          </w:tcPr>
          <w:p w:rsidR="00090D0F" w:rsidRPr="00090D0F" w:rsidP="00090D0F" w14:paraId="7F2EF590" w14:textId="109FDA6E">
            <w:pPr>
              <w:jc w:val="center"/>
              <w:rPr>
                <w:sz w:val="18"/>
                <w:szCs w:val="18"/>
              </w:rPr>
            </w:pPr>
            <w:r w:rsidRPr="00090D0F">
              <w:rPr>
                <w:sz w:val="18"/>
                <w:szCs w:val="18"/>
              </w:rPr>
              <w:t>126</w:t>
            </w:r>
          </w:p>
        </w:tc>
        <w:tc>
          <w:tcPr>
            <w:tcW w:w="1034" w:type="dxa"/>
            <w:hideMark/>
          </w:tcPr>
          <w:p w:rsidR="00090D0F" w:rsidRPr="00090D0F" w:rsidP="00090D0F" w14:paraId="478F9417" w14:textId="77777777">
            <w:pPr>
              <w:jc w:val="center"/>
              <w:rPr>
                <w:sz w:val="18"/>
                <w:szCs w:val="18"/>
              </w:rPr>
            </w:pPr>
            <w:r w:rsidRPr="00090D0F">
              <w:rPr>
                <w:color w:val="000000"/>
                <w:sz w:val="18"/>
                <w:szCs w:val="18"/>
              </w:rPr>
              <w:t>1</w:t>
            </w:r>
          </w:p>
        </w:tc>
        <w:tc>
          <w:tcPr>
            <w:tcW w:w="897" w:type="dxa"/>
            <w:hideMark/>
          </w:tcPr>
          <w:p w:rsidR="00090D0F" w:rsidRPr="00090D0F" w:rsidP="00090D0F" w14:paraId="6A311D14" w14:textId="77777777">
            <w:pPr>
              <w:jc w:val="center"/>
              <w:rPr>
                <w:sz w:val="18"/>
                <w:szCs w:val="18"/>
              </w:rPr>
            </w:pPr>
            <w:r w:rsidRPr="00090D0F">
              <w:rPr>
                <w:color w:val="000000"/>
                <w:sz w:val="18"/>
                <w:szCs w:val="18"/>
              </w:rPr>
              <w:t>126</w:t>
            </w:r>
          </w:p>
        </w:tc>
        <w:tc>
          <w:tcPr>
            <w:tcW w:w="1034" w:type="dxa"/>
            <w:hideMark/>
          </w:tcPr>
          <w:p w:rsidR="00090D0F" w:rsidRPr="00090D0F" w:rsidP="00090D0F" w14:paraId="79358997" w14:textId="77777777">
            <w:pPr>
              <w:jc w:val="center"/>
              <w:rPr>
                <w:sz w:val="18"/>
                <w:szCs w:val="18"/>
              </w:rPr>
            </w:pPr>
            <w:r w:rsidRPr="00090D0F">
              <w:rPr>
                <w:color w:val="000000"/>
                <w:sz w:val="18"/>
                <w:szCs w:val="18"/>
              </w:rPr>
              <w:t xml:space="preserve">$77.42 </w:t>
            </w:r>
          </w:p>
        </w:tc>
        <w:tc>
          <w:tcPr>
            <w:tcW w:w="1116" w:type="dxa"/>
            <w:hideMark/>
          </w:tcPr>
          <w:p w:rsidR="00090D0F" w:rsidRPr="00090D0F" w:rsidP="00090D0F" w14:paraId="15EC5354" w14:textId="77777777">
            <w:pPr>
              <w:jc w:val="center"/>
              <w:rPr>
                <w:sz w:val="18"/>
                <w:szCs w:val="18"/>
              </w:rPr>
            </w:pPr>
            <w:r w:rsidRPr="00090D0F">
              <w:rPr>
                <w:color w:val="000000"/>
                <w:sz w:val="18"/>
                <w:szCs w:val="18"/>
              </w:rPr>
              <w:t xml:space="preserve">$9,754.92 </w:t>
            </w:r>
          </w:p>
        </w:tc>
      </w:tr>
      <w:tr w14:paraId="1AD4AF04" w14:textId="77777777" w:rsidTr="00090D0F">
        <w:tblPrEx>
          <w:tblW w:w="10080" w:type="dxa"/>
          <w:tblInd w:w="-545" w:type="dxa"/>
          <w:tblLook w:val="04A0"/>
        </w:tblPrEx>
        <w:trPr>
          <w:trHeight w:val="300"/>
        </w:trPr>
        <w:tc>
          <w:tcPr>
            <w:tcW w:w="2462" w:type="dxa"/>
            <w:hideMark/>
          </w:tcPr>
          <w:p w:rsidR="00090D0F" w:rsidRPr="00090D0F" w:rsidP="00090D0F" w14:paraId="5EFDA7E5" w14:textId="77777777">
            <w:pPr>
              <w:jc w:val="center"/>
              <w:rPr>
                <w:sz w:val="18"/>
                <w:szCs w:val="18"/>
              </w:rPr>
            </w:pPr>
            <w:r w:rsidRPr="00090D0F">
              <w:rPr>
                <w:color w:val="000000"/>
                <w:sz w:val="18"/>
                <w:szCs w:val="18"/>
              </w:rPr>
              <w:t>Focus Group with Program Participants</w:t>
            </w:r>
          </w:p>
        </w:tc>
        <w:tc>
          <w:tcPr>
            <w:tcW w:w="1308" w:type="dxa"/>
            <w:hideMark/>
          </w:tcPr>
          <w:p w:rsidR="00090D0F" w:rsidRPr="00090D0F" w:rsidP="00090D0F" w14:paraId="441EF5CD" w14:textId="77777777">
            <w:pPr>
              <w:jc w:val="center"/>
              <w:rPr>
                <w:sz w:val="18"/>
                <w:szCs w:val="18"/>
              </w:rPr>
            </w:pPr>
            <w:r w:rsidRPr="00090D0F">
              <w:rPr>
                <w:color w:val="000000"/>
                <w:sz w:val="18"/>
                <w:szCs w:val="18"/>
              </w:rPr>
              <w:t>105</w:t>
            </w:r>
          </w:p>
        </w:tc>
        <w:tc>
          <w:tcPr>
            <w:tcW w:w="1127" w:type="dxa"/>
            <w:hideMark/>
          </w:tcPr>
          <w:p w:rsidR="00090D0F" w:rsidRPr="00090D0F" w:rsidP="00090D0F" w14:paraId="72C88BBE" w14:textId="77777777">
            <w:pPr>
              <w:jc w:val="center"/>
              <w:rPr>
                <w:sz w:val="18"/>
                <w:szCs w:val="18"/>
              </w:rPr>
            </w:pPr>
            <w:r w:rsidRPr="00090D0F">
              <w:rPr>
                <w:color w:val="000000"/>
                <w:sz w:val="18"/>
                <w:szCs w:val="18"/>
              </w:rPr>
              <w:t>1</w:t>
            </w:r>
          </w:p>
        </w:tc>
        <w:tc>
          <w:tcPr>
            <w:tcW w:w="1102" w:type="dxa"/>
            <w:hideMark/>
          </w:tcPr>
          <w:p w:rsidR="00090D0F" w:rsidRPr="00090D0F" w:rsidP="00090D0F" w14:paraId="12A5E2CD" w14:textId="04A3CF25">
            <w:pPr>
              <w:jc w:val="center"/>
              <w:rPr>
                <w:sz w:val="18"/>
                <w:szCs w:val="18"/>
              </w:rPr>
            </w:pPr>
            <w:r w:rsidRPr="00090D0F">
              <w:rPr>
                <w:sz w:val="18"/>
                <w:szCs w:val="18"/>
              </w:rPr>
              <w:t>105</w:t>
            </w:r>
          </w:p>
        </w:tc>
        <w:tc>
          <w:tcPr>
            <w:tcW w:w="1034" w:type="dxa"/>
            <w:hideMark/>
          </w:tcPr>
          <w:p w:rsidR="00090D0F" w:rsidRPr="00090D0F" w:rsidP="00090D0F" w14:paraId="00FA7FCF" w14:textId="77777777">
            <w:pPr>
              <w:jc w:val="center"/>
              <w:rPr>
                <w:sz w:val="18"/>
                <w:szCs w:val="18"/>
              </w:rPr>
            </w:pPr>
            <w:r w:rsidRPr="00090D0F">
              <w:rPr>
                <w:color w:val="000000"/>
                <w:sz w:val="18"/>
                <w:szCs w:val="18"/>
              </w:rPr>
              <w:t>1.5</w:t>
            </w:r>
          </w:p>
        </w:tc>
        <w:tc>
          <w:tcPr>
            <w:tcW w:w="897" w:type="dxa"/>
            <w:hideMark/>
          </w:tcPr>
          <w:p w:rsidR="00090D0F" w:rsidRPr="00090D0F" w:rsidP="00090D0F" w14:paraId="2505D78E" w14:textId="77777777">
            <w:pPr>
              <w:jc w:val="center"/>
              <w:rPr>
                <w:sz w:val="18"/>
                <w:szCs w:val="18"/>
              </w:rPr>
            </w:pPr>
            <w:r w:rsidRPr="00090D0F">
              <w:rPr>
                <w:color w:val="000000"/>
                <w:sz w:val="18"/>
                <w:szCs w:val="18"/>
              </w:rPr>
              <w:t>157.5</w:t>
            </w:r>
          </w:p>
        </w:tc>
        <w:tc>
          <w:tcPr>
            <w:tcW w:w="1034" w:type="dxa"/>
            <w:hideMark/>
          </w:tcPr>
          <w:p w:rsidR="00090D0F" w:rsidRPr="00090D0F" w:rsidP="00090D0F" w14:paraId="6C2B34A2" w14:textId="77777777">
            <w:pPr>
              <w:jc w:val="center"/>
              <w:rPr>
                <w:sz w:val="18"/>
                <w:szCs w:val="18"/>
              </w:rPr>
            </w:pPr>
            <w:r w:rsidRPr="00090D0F">
              <w:rPr>
                <w:color w:val="000000"/>
                <w:sz w:val="18"/>
                <w:szCs w:val="18"/>
              </w:rPr>
              <w:t xml:space="preserve">$41.86 </w:t>
            </w:r>
          </w:p>
        </w:tc>
        <w:tc>
          <w:tcPr>
            <w:tcW w:w="1116" w:type="dxa"/>
            <w:hideMark/>
          </w:tcPr>
          <w:p w:rsidR="00090D0F" w:rsidRPr="00090D0F" w:rsidP="00090D0F" w14:paraId="508F0C38" w14:textId="77777777">
            <w:pPr>
              <w:jc w:val="center"/>
              <w:rPr>
                <w:sz w:val="18"/>
                <w:szCs w:val="18"/>
              </w:rPr>
            </w:pPr>
            <w:r w:rsidRPr="00090D0F">
              <w:rPr>
                <w:color w:val="000000"/>
                <w:sz w:val="18"/>
                <w:szCs w:val="18"/>
              </w:rPr>
              <w:t xml:space="preserve">$6,592.95 </w:t>
            </w:r>
          </w:p>
        </w:tc>
      </w:tr>
      <w:tr w14:paraId="298351F2" w14:textId="77777777" w:rsidTr="00090D0F">
        <w:tblPrEx>
          <w:tblW w:w="10080" w:type="dxa"/>
          <w:tblInd w:w="-545" w:type="dxa"/>
          <w:tblLook w:val="04A0"/>
        </w:tblPrEx>
        <w:trPr>
          <w:trHeight w:val="300"/>
        </w:trPr>
        <w:tc>
          <w:tcPr>
            <w:tcW w:w="2462" w:type="dxa"/>
            <w:hideMark/>
          </w:tcPr>
          <w:p w:rsidR="00090D0F" w:rsidRPr="00090D0F" w:rsidP="00090D0F" w14:paraId="6C4AEACB" w14:textId="77777777">
            <w:pPr>
              <w:jc w:val="center"/>
              <w:rPr>
                <w:sz w:val="18"/>
                <w:szCs w:val="18"/>
              </w:rPr>
            </w:pPr>
            <w:r w:rsidRPr="00090D0F">
              <w:rPr>
                <w:color w:val="000000"/>
                <w:sz w:val="18"/>
                <w:szCs w:val="18"/>
              </w:rPr>
              <w:t>Interview with Program Participants</w:t>
            </w:r>
          </w:p>
        </w:tc>
        <w:tc>
          <w:tcPr>
            <w:tcW w:w="1308" w:type="dxa"/>
            <w:hideMark/>
          </w:tcPr>
          <w:p w:rsidR="00090D0F" w:rsidRPr="00090D0F" w:rsidP="00090D0F" w14:paraId="111E4C62" w14:textId="77777777">
            <w:pPr>
              <w:jc w:val="center"/>
              <w:rPr>
                <w:sz w:val="18"/>
                <w:szCs w:val="18"/>
              </w:rPr>
            </w:pPr>
            <w:r w:rsidRPr="00090D0F">
              <w:rPr>
                <w:color w:val="000000"/>
                <w:sz w:val="18"/>
                <w:szCs w:val="18"/>
              </w:rPr>
              <w:t>42</w:t>
            </w:r>
          </w:p>
        </w:tc>
        <w:tc>
          <w:tcPr>
            <w:tcW w:w="1127" w:type="dxa"/>
            <w:hideMark/>
          </w:tcPr>
          <w:p w:rsidR="00090D0F" w:rsidRPr="00090D0F" w:rsidP="00090D0F" w14:paraId="52650EF6" w14:textId="77777777">
            <w:pPr>
              <w:jc w:val="center"/>
              <w:rPr>
                <w:sz w:val="18"/>
                <w:szCs w:val="18"/>
              </w:rPr>
            </w:pPr>
            <w:r w:rsidRPr="00090D0F">
              <w:rPr>
                <w:color w:val="000000"/>
                <w:sz w:val="18"/>
                <w:szCs w:val="18"/>
              </w:rPr>
              <w:t>1</w:t>
            </w:r>
          </w:p>
        </w:tc>
        <w:tc>
          <w:tcPr>
            <w:tcW w:w="1102" w:type="dxa"/>
            <w:hideMark/>
          </w:tcPr>
          <w:p w:rsidR="00090D0F" w:rsidRPr="00090D0F" w:rsidP="00090D0F" w14:paraId="09FBD886" w14:textId="290B11DA">
            <w:pPr>
              <w:jc w:val="center"/>
              <w:rPr>
                <w:sz w:val="18"/>
                <w:szCs w:val="18"/>
              </w:rPr>
            </w:pPr>
            <w:r w:rsidRPr="00090D0F">
              <w:rPr>
                <w:sz w:val="18"/>
                <w:szCs w:val="18"/>
              </w:rPr>
              <w:t>42</w:t>
            </w:r>
          </w:p>
        </w:tc>
        <w:tc>
          <w:tcPr>
            <w:tcW w:w="1034" w:type="dxa"/>
            <w:hideMark/>
          </w:tcPr>
          <w:p w:rsidR="00090D0F" w:rsidRPr="00090D0F" w:rsidP="00090D0F" w14:paraId="1DAE4866" w14:textId="77777777">
            <w:pPr>
              <w:jc w:val="center"/>
              <w:rPr>
                <w:sz w:val="18"/>
                <w:szCs w:val="18"/>
              </w:rPr>
            </w:pPr>
            <w:r w:rsidRPr="00090D0F">
              <w:rPr>
                <w:color w:val="000000"/>
                <w:sz w:val="18"/>
                <w:szCs w:val="18"/>
              </w:rPr>
              <w:t>0.75</w:t>
            </w:r>
          </w:p>
        </w:tc>
        <w:tc>
          <w:tcPr>
            <w:tcW w:w="897" w:type="dxa"/>
            <w:hideMark/>
          </w:tcPr>
          <w:p w:rsidR="00090D0F" w:rsidRPr="00090D0F" w:rsidP="00090D0F" w14:paraId="421C41FA" w14:textId="77777777">
            <w:pPr>
              <w:jc w:val="center"/>
              <w:rPr>
                <w:sz w:val="18"/>
                <w:szCs w:val="18"/>
              </w:rPr>
            </w:pPr>
            <w:r w:rsidRPr="00090D0F">
              <w:rPr>
                <w:color w:val="000000"/>
                <w:sz w:val="18"/>
                <w:szCs w:val="18"/>
              </w:rPr>
              <w:t>31.5</w:t>
            </w:r>
          </w:p>
        </w:tc>
        <w:tc>
          <w:tcPr>
            <w:tcW w:w="1034" w:type="dxa"/>
            <w:hideMark/>
          </w:tcPr>
          <w:p w:rsidR="00090D0F" w:rsidRPr="00090D0F" w:rsidP="00090D0F" w14:paraId="511BF441" w14:textId="77777777">
            <w:pPr>
              <w:jc w:val="center"/>
              <w:rPr>
                <w:sz w:val="18"/>
                <w:szCs w:val="18"/>
              </w:rPr>
            </w:pPr>
            <w:r w:rsidRPr="00090D0F">
              <w:rPr>
                <w:color w:val="000000"/>
                <w:sz w:val="18"/>
                <w:szCs w:val="18"/>
              </w:rPr>
              <w:t xml:space="preserve">$41.86 </w:t>
            </w:r>
          </w:p>
        </w:tc>
        <w:tc>
          <w:tcPr>
            <w:tcW w:w="1116" w:type="dxa"/>
            <w:hideMark/>
          </w:tcPr>
          <w:p w:rsidR="00090D0F" w:rsidRPr="00090D0F" w:rsidP="00090D0F" w14:paraId="387632B0" w14:textId="77777777">
            <w:pPr>
              <w:jc w:val="center"/>
              <w:rPr>
                <w:sz w:val="18"/>
                <w:szCs w:val="18"/>
              </w:rPr>
            </w:pPr>
            <w:r w:rsidRPr="00090D0F">
              <w:rPr>
                <w:color w:val="000000"/>
                <w:sz w:val="18"/>
                <w:szCs w:val="18"/>
              </w:rPr>
              <w:t xml:space="preserve">$1,318.59 </w:t>
            </w:r>
          </w:p>
        </w:tc>
      </w:tr>
      <w:tr w14:paraId="0DFEDB71" w14:textId="77777777" w:rsidTr="00090D0F">
        <w:tblPrEx>
          <w:tblW w:w="10080" w:type="dxa"/>
          <w:tblInd w:w="-545" w:type="dxa"/>
          <w:tblLook w:val="04A0"/>
        </w:tblPrEx>
        <w:trPr>
          <w:trHeight w:val="300"/>
        </w:trPr>
        <w:tc>
          <w:tcPr>
            <w:tcW w:w="2462" w:type="dxa"/>
            <w:hideMark/>
          </w:tcPr>
          <w:p w:rsidR="00090D0F" w:rsidRPr="00090D0F" w:rsidP="00090D0F" w14:paraId="2DEB79BF" w14:textId="77777777">
            <w:pPr>
              <w:jc w:val="center"/>
              <w:rPr>
                <w:sz w:val="18"/>
                <w:szCs w:val="18"/>
              </w:rPr>
            </w:pPr>
            <w:r w:rsidRPr="00090D0F">
              <w:rPr>
                <w:color w:val="000000"/>
                <w:sz w:val="18"/>
                <w:szCs w:val="18"/>
              </w:rPr>
              <w:t>Informed Consent to Provide Contact Information</w:t>
            </w:r>
          </w:p>
        </w:tc>
        <w:tc>
          <w:tcPr>
            <w:tcW w:w="1308" w:type="dxa"/>
            <w:hideMark/>
          </w:tcPr>
          <w:p w:rsidR="00090D0F" w:rsidRPr="00090D0F" w:rsidP="00090D0F" w14:paraId="3DAA5D24" w14:textId="77777777">
            <w:pPr>
              <w:jc w:val="center"/>
              <w:rPr>
                <w:sz w:val="18"/>
                <w:szCs w:val="18"/>
              </w:rPr>
            </w:pPr>
            <w:r w:rsidRPr="00090D0F">
              <w:rPr>
                <w:color w:val="000000"/>
                <w:sz w:val="18"/>
                <w:szCs w:val="18"/>
              </w:rPr>
              <w:t>147</w:t>
            </w:r>
          </w:p>
        </w:tc>
        <w:tc>
          <w:tcPr>
            <w:tcW w:w="1127" w:type="dxa"/>
            <w:hideMark/>
          </w:tcPr>
          <w:p w:rsidR="00090D0F" w:rsidRPr="00090D0F" w:rsidP="00090D0F" w14:paraId="4BC4163A" w14:textId="77777777">
            <w:pPr>
              <w:jc w:val="center"/>
              <w:rPr>
                <w:sz w:val="18"/>
                <w:szCs w:val="18"/>
              </w:rPr>
            </w:pPr>
            <w:r w:rsidRPr="00090D0F">
              <w:rPr>
                <w:color w:val="000000"/>
                <w:sz w:val="18"/>
                <w:szCs w:val="18"/>
              </w:rPr>
              <w:t>1</w:t>
            </w:r>
          </w:p>
        </w:tc>
        <w:tc>
          <w:tcPr>
            <w:tcW w:w="1102" w:type="dxa"/>
            <w:hideMark/>
          </w:tcPr>
          <w:p w:rsidR="00090D0F" w:rsidRPr="00090D0F" w:rsidP="00090D0F" w14:paraId="3C959B58" w14:textId="4B4EB198">
            <w:pPr>
              <w:jc w:val="center"/>
              <w:rPr>
                <w:sz w:val="18"/>
                <w:szCs w:val="18"/>
              </w:rPr>
            </w:pPr>
            <w:r w:rsidRPr="00090D0F">
              <w:rPr>
                <w:sz w:val="18"/>
                <w:szCs w:val="18"/>
              </w:rPr>
              <w:t>147</w:t>
            </w:r>
          </w:p>
        </w:tc>
        <w:tc>
          <w:tcPr>
            <w:tcW w:w="1034" w:type="dxa"/>
            <w:hideMark/>
          </w:tcPr>
          <w:p w:rsidR="00090D0F" w:rsidRPr="00090D0F" w:rsidP="00090D0F" w14:paraId="52754480" w14:textId="7B5DC085">
            <w:pPr>
              <w:jc w:val="center"/>
              <w:rPr>
                <w:sz w:val="18"/>
                <w:szCs w:val="18"/>
              </w:rPr>
            </w:pPr>
            <w:r w:rsidRPr="00090D0F">
              <w:rPr>
                <w:color w:val="000000"/>
                <w:sz w:val="18"/>
                <w:szCs w:val="18"/>
              </w:rPr>
              <w:t>0.17</w:t>
            </w:r>
          </w:p>
        </w:tc>
        <w:tc>
          <w:tcPr>
            <w:tcW w:w="897" w:type="dxa"/>
            <w:hideMark/>
          </w:tcPr>
          <w:p w:rsidR="00090D0F" w:rsidRPr="00090D0F" w:rsidP="00090D0F" w14:paraId="77D1D1EA" w14:textId="5E42200C">
            <w:pPr>
              <w:jc w:val="center"/>
              <w:rPr>
                <w:sz w:val="18"/>
                <w:szCs w:val="18"/>
              </w:rPr>
            </w:pPr>
            <w:r w:rsidRPr="00090D0F">
              <w:rPr>
                <w:color w:val="000000"/>
                <w:sz w:val="18"/>
                <w:szCs w:val="18"/>
              </w:rPr>
              <w:t>24.</w:t>
            </w:r>
            <w:r w:rsidR="00D76E24">
              <w:rPr>
                <w:color w:val="000000"/>
                <w:sz w:val="18"/>
                <w:szCs w:val="18"/>
              </w:rPr>
              <w:t>99</w:t>
            </w:r>
          </w:p>
        </w:tc>
        <w:tc>
          <w:tcPr>
            <w:tcW w:w="1034" w:type="dxa"/>
            <w:hideMark/>
          </w:tcPr>
          <w:p w:rsidR="00090D0F" w:rsidRPr="00090D0F" w:rsidP="00090D0F" w14:paraId="476F0208" w14:textId="77777777">
            <w:pPr>
              <w:jc w:val="center"/>
              <w:rPr>
                <w:sz w:val="18"/>
                <w:szCs w:val="18"/>
              </w:rPr>
            </w:pPr>
            <w:r w:rsidRPr="00090D0F">
              <w:rPr>
                <w:color w:val="000000"/>
                <w:sz w:val="18"/>
                <w:szCs w:val="18"/>
              </w:rPr>
              <w:t xml:space="preserve">$41.86 </w:t>
            </w:r>
          </w:p>
        </w:tc>
        <w:tc>
          <w:tcPr>
            <w:tcW w:w="1116" w:type="dxa"/>
            <w:hideMark/>
          </w:tcPr>
          <w:p w:rsidR="00090D0F" w:rsidRPr="00090D0F" w:rsidP="00090D0F" w14:paraId="08ADC8D9" w14:textId="77777777">
            <w:pPr>
              <w:jc w:val="center"/>
              <w:rPr>
                <w:sz w:val="18"/>
                <w:szCs w:val="18"/>
              </w:rPr>
            </w:pPr>
            <w:r w:rsidRPr="00090D0F">
              <w:rPr>
                <w:color w:val="000000"/>
                <w:sz w:val="18"/>
                <w:szCs w:val="18"/>
              </w:rPr>
              <w:t xml:space="preserve">$1,025.57 </w:t>
            </w:r>
          </w:p>
        </w:tc>
      </w:tr>
      <w:tr w14:paraId="40D88716" w14:textId="77777777" w:rsidTr="00090D0F">
        <w:tblPrEx>
          <w:tblW w:w="10080" w:type="dxa"/>
          <w:tblInd w:w="-545" w:type="dxa"/>
          <w:tblLook w:val="04A0"/>
        </w:tblPrEx>
        <w:trPr>
          <w:trHeight w:val="300"/>
        </w:trPr>
        <w:tc>
          <w:tcPr>
            <w:tcW w:w="2462" w:type="dxa"/>
            <w:hideMark/>
          </w:tcPr>
          <w:p w:rsidR="00090D0F" w:rsidRPr="00090D0F" w:rsidP="00090D0F" w14:paraId="053530C8" w14:textId="77777777">
            <w:pPr>
              <w:jc w:val="center"/>
              <w:rPr>
                <w:sz w:val="18"/>
                <w:szCs w:val="18"/>
              </w:rPr>
            </w:pPr>
            <w:r w:rsidRPr="00090D0F">
              <w:rPr>
                <w:color w:val="000000"/>
                <w:sz w:val="18"/>
                <w:szCs w:val="18"/>
              </w:rPr>
              <w:t>Informed Consent to Participate in the Study</w:t>
            </w:r>
          </w:p>
        </w:tc>
        <w:tc>
          <w:tcPr>
            <w:tcW w:w="1308" w:type="dxa"/>
            <w:hideMark/>
          </w:tcPr>
          <w:p w:rsidR="00090D0F" w:rsidRPr="00090D0F" w:rsidP="00090D0F" w14:paraId="649D1B02" w14:textId="77777777">
            <w:pPr>
              <w:jc w:val="center"/>
              <w:rPr>
                <w:sz w:val="18"/>
                <w:szCs w:val="18"/>
              </w:rPr>
            </w:pPr>
            <w:r w:rsidRPr="00090D0F">
              <w:rPr>
                <w:color w:val="000000"/>
                <w:sz w:val="18"/>
                <w:szCs w:val="18"/>
              </w:rPr>
              <w:t>147</w:t>
            </w:r>
          </w:p>
        </w:tc>
        <w:tc>
          <w:tcPr>
            <w:tcW w:w="1127" w:type="dxa"/>
            <w:hideMark/>
          </w:tcPr>
          <w:p w:rsidR="00090D0F" w:rsidRPr="00090D0F" w:rsidP="00090D0F" w14:paraId="7A21F7F6" w14:textId="77777777">
            <w:pPr>
              <w:jc w:val="center"/>
              <w:rPr>
                <w:sz w:val="18"/>
                <w:szCs w:val="18"/>
              </w:rPr>
            </w:pPr>
            <w:r w:rsidRPr="00090D0F">
              <w:rPr>
                <w:color w:val="000000"/>
                <w:sz w:val="18"/>
                <w:szCs w:val="18"/>
              </w:rPr>
              <w:t>1</w:t>
            </w:r>
          </w:p>
        </w:tc>
        <w:tc>
          <w:tcPr>
            <w:tcW w:w="1102" w:type="dxa"/>
            <w:hideMark/>
          </w:tcPr>
          <w:p w:rsidR="00090D0F" w:rsidRPr="00090D0F" w:rsidP="00090D0F" w14:paraId="04328937" w14:textId="0B7BCEAF">
            <w:pPr>
              <w:jc w:val="center"/>
              <w:rPr>
                <w:sz w:val="18"/>
                <w:szCs w:val="18"/>
              </w:rPr>
            </w:pPr>
            <w:r w:rsidRPr="00090D0F">
              <w:rPr>
                <w:sz w:val="18"/>
                <w:szCs w:val="18"/>
              </w:rPr>
              <w:t>147</w:t>
            </w:r>
          </w:p>
        </w:tc>
        <w:tc>
          <w:tcPr>
            <w:tcW w:w="1034" w:type="dxa"/>
            <w:hideMark/>
          </w:tcPr>
          <w:p w:rsidR="00090D0F" w:rsidRPr="00090D0F" w:rsidP="00090D0F" w14:paraId="21C6A560" w14:textId="7D28262A">
            <w:pPr>
              <w:jc w:val="center"/>
              <w:rPr>
                <w:sz w:val="18"/>
                <w:szCs w:val="18"/>
              </w:rPr>
            </w:pPr>
            <w:r w:rsidRPr="00090D0F">
              <w:rPr>
                <w:color w:val="000000"/>
                <w:sz w:val="18"/>
                <w:szCs w:val="18"/>
              </w:rPr>
              <w:t>0.08</w:t>
            </w:r>
          </w:p>
        </w:tc>
        <w:tc>
          <w:tcPr>
            <w:tcW w:w="897" w:type="dxa"/>
            <w:hideMark/>
          </w:tcPr>
          <w:p w:rsidR="00090D0F" w:rsidRPr="00090D0F" w:rsidP="00090D0F" w14:paraId="5CC315A9" w14:textId="29D46598">
            <w:pPr>
              <w:jc w:val="center"/>
              <w:rPr>
                <w:sz w:val="18"/>
                <w:szCs w:val="18"/>
              </w:rPr>
            </w:pPr>
            <w:r w:rsidRPr="00090D0F">
              <w:rPr>
                <w:color w:val="000000"/>
                <w:sz w:val="18"/>
                <w:szCs w:val="18"/>
              </w:rPr>
              <w:t>1</w:t>
            </w:r>
            <w:r w:rsidR="00D76E24">
              <w:rPr>
                <w:color w:val="000000"/>
                <w:sz w:val="18"/>
                <w:szCs w:val="18"/>
              </w:rPr>
              <w:t>1.76</w:t>
            </w:r>
          </w:p>
        </w:tc>
        <w:tc>
          <w:tcPr>
            <w:tcW w:w="1034" w:type="dxa"/>
            <w:hideMark/>
          </w:tcPr>
          <w:p w:rsidR="00090D0F" w:rsidRPr="00090D0F" w:rsidP="00090D0F" w14:paraId="4322E0AB" w14:textId="77777777">
            <w:pPr>
              <w:jc w:val="center"/>
              <w:rPr>
                <w:sz w:val="18"/>
                <w:szCs w:val="18"/>
              </w:rPr>
            </w:pPr>
            <w:r w:rsidRPr="00090D0F">
              <w:rPr>
                <w:color w:val="000000"/>
                <w:sz w:val="18"/>
                <w:szCs w:val="18"/>
              </w:rPr>
              <w:t xml:space="preserve">$41.86 </w:t>
            </w:r>
          </w:p>
        </w:tc>
        <w:tc>
          <w:tcPr>
            <w:tcW w:w="1116" w:type="dxa"/>
            <w:hideMark/>
          </w:tcPr>
          <w:p w:rsidR="00090D0F" w:rsidRPr="00090D0F" w:rsidP="00090D0F" w14:paraId="2C11C5A8" w14:textId="77777777">
            <w:pPr>
              <w:jc w:val="center"/>
              <w:rPr>
                <w:sz w:val="18"/>
                <w:szCs w:val="18"/>
              </w:rPr>
            </w:pPr>
            <w:r w:rsidRPr="00090D0F">
              <w:rPr>
                <w:color w:val="000000"/>
                <w:sz w:val="18"/>
                <w:szCs w:val="18"/>
              </w:rPr>
              <w:t xml:space="preserve">$512.79 </w:t>
            </w:r>
          </w:p>
        </w:tc>
      </w:tr>
      <w:tr w14:paraId="14D563F7" w14:textId="77777777" w:rsidTr="00090D0F">
        <w:tblPrEx>
          <w:tblW w:w="10080" w:type="dxa"/>
          <w:tblInd w:w="-545" w:type="dxa"/>
          <w:tblLook w:val="04A0"/>
        </w:tblPrEx>
        <w:trPr>
          <w:trHeight w:val="300"/>
        </w:trPr>
        <w:tc>
          <w:tcPr>
            <w:tcW w:w="2462" w:type="dxa"/>
            <w:hideMark/>
          </w:tcPr>
          <w:p w:rsidR="00B11CA0" w:rsidRPr="00090D0F" w:rsidP="0075306D" w14:paraId="4DC334A7" w14:textId="77777777">
            <w:pPr>
              <w:jc w:val="center"/>
              <w:rPr>
                <w:sz w:val="18"/>
                <w:szCs w:val="18"/>
              </w:rPr>
            </w:pPr>
            <w:r w:rsidRPr="00090D0F">
              <w:rPr>
                <w:b/>
                <w:bCs/>
                <w:color w:val="000000"/>
                <w:sz w:val="18"/>
                <w:szCs w:val="18"/>
              </w:rPr>
              <w:t>Total</w:t>
            </w:r>
          </w:p>
        </w:tc>
        <w:tc>
          <w:tcPr>
            <w:tcW w:w="1308" w:type="dxa"/>
            <w:hideMark/>
          </w:tcPr>
          <w:p w:rsidR="00B11CA0" w:rsidRPr="00090D0F" w:rsidP="0075306D" w14:paraId="54C7C674" w14:textId="77777777">
            <w:pPr>
              <w:jc w:val="center"/>
              <w:rPr>
                <w:sz w:val="18"/>
                <w:szCs w:val="18"/>
              </w:rPr>
            </w:pPr>
          </w:p>
        </w:tc>
        <w:tc>
          <w:tcPr>
            <w:tcW w:w="1127" w:type="dxa"/>
            <w:hideMark/>
          </w:tcPr>
          <w:p w:rsidR="00B11CA0" w:rsidRPr="00090D0F" w:rsidP="0075306D" w14:paraId="0F153D8A" w14:textId="77777777">
            <w:pPr>
              <w:jc w:val="center"/>
              <w:rPr>
                <w:sz w:val="18"/>
                <w:szCs w:val="18"/>
              </w:rPr>
            </w:pPr>
            <w:r w:rsidRPr="00090D0F">
              <w:rPr>
                <w:b/>
                <w:bCs/>
                <w:color w:val="000000"/>
                <w:sz w:val="18"/>
                <w:szCs w:val="18"/>
              </w:rPr>
              <w:t> </w:t>
            </w:r>
          </w:p>
        </w:tc>
        <w:tc>
          <w:tcPr>
            <w:tcW w:w="1102" w:type="dxa"/>
            <w:hideMark/>
          </w:tcPr>
          <w:p w:rsidR="00B11CA0" w:rsidRPr="00090D0F" w:rsidP="0075306D" w14:paraId="3CE6921A" w14:textId="77777777">
            <w:pPr>
              <w:jc w:val="center"/>
              <w:rPr>
                <w:sz w:val="18"/>
                <w:szCs w:val="18"/>
              </w:rPr>
            </w:pPr>
            <w:r w:rsidRPr="00090D0F">
              <w:rPr>
                <w:b/>
                <w:bCs/>
                <w:color w:val="000000"/>
                <w:sz w:val="18"/>
                <w:szCs w:val="18"/>
              </w:rPr>
              <w:t> </w:t>
            </w:r>
          </w:p>
        </w:tc>
        <w:tc>
          <w:tcPr>
            <w:tcW w:w="1034" w:type="dxa"/>
            <w:hideMark/>
          </w:tcPr>
          <w:p w:rsidR="00B11CA0" w:rsidRPr="00090D0F" w:rsidP="0075306D" w14:paraId="747FC769" w14:textId="77777777">
            <w:pPr>
              <w:jc w:val="center"/>
              <w:rPr>
                <w:sz w:val="18"/>
                <w:szCs w:val="18"/>
              </w:rPr>
            </w:pPr>
            <w:r w:rsidRPr="00090D0F">
              <w:rPr>
                <w:b/>
                <w:bCs/>
                <w:color w:val="000000"/>
                <w:sz w:val="18"/>
                <w:szCs w:val="18"/>
              </w:rPr>
              <w:t> </w:t>
            </w:r>
          </w:p>
        </w:tc>
        <w:tc>
          <w:tcPr>
            <w:tcW w:w="897" w:type="dxa"/>
            <w:hideMark/>
          </w:tcPr>
          <w:p w:rsidR="00B11CA0" w:rsidRPr="00090D0F" w:rsidP="0075306D" w14:paraId="6511EA6C" w14:textId="77777777">
            <w:pPr>
              <w:jc w:val="center"/>
              <w:rPr>
                <w:sz w:val="18"/>
                <w:szCs w:val="18"/>
              </w:rPr>
            </w:pPr>
            <w:r w:rsidRPr="00090D0F">
              <w:rPr>
                <w:b/>
                <w:bCs/>
                <w:color w:val="000000"/>
                <w:sz w:val="18"/>
                <w:szCs w:val="18"/>
              </w:rPr>
              <w:t>477.75</w:t>
            </w:r>
          </w:p>
        </w:tc>
        <w:tc>
          <w:tcPr>
            <w:tcW w:w="1034" w:type="dxa"/>
            <w:hideMark/>
          </w:tcPr>
          <w:p w:rsidR="00B11CA0" w:rsidRPr="00090D0F" w:rsidP="0075306D" w14:paraId="7B5B24FF" w14:textId="77777777">
            <w:pPr>
              <w:jc w:val="center"/>
              <w:rPr>
                <w:sz w:val="18"/>
                <w:szCs w:val="18"/>
              </w:rPr>
            </w:pPr>
            <w:r w:rsidRPr="00090D0F">
              <w:rPr>
                <w:b/>
                <w:bCs/>
                <w:color w:val="000000"/>
                <w:sz w:val="18"/>
                <w:szCs w:val="18"/>
              </w:rPr>
              <w:t> </w:t>
            </w:r>
          </w:p>
        </w:tc>
        <w:tc>
          <w:tcPr>
            <w:tcW w:w="1116" w:type="dxa"/>
            <w:hideMark/>
          </w:tcPr>
          <w:p w:rsidR="00B11CA0" w:rsidRPr="00090D0F" w:rsidP="0075306D" w14:paraId="72A73CD3" w14:textId="77777777">
            <w:pPr>
              <w:jc w:val="center"/>
              <w:rPr>
                <w:sz w:val="18"/>
                <w:szCs w:val="18"/>
              </w:rPr>
            </w:pPr>
            <w:r w:rsidRPr="00090D0F">
              <w:rPr>
                <w:b/>
                <w:bCs/>
                <w:color w:val="000000"/>
                <w:sz w:val="18"/>
                <w:szCs w:val="18"/>
              </w:rPr>
              <w:t xml:space="preserve">$28,959.74 </w:t>
            </w:r>
          </w:p>
        </w:tc>
      </w:tr>
    </w:tbl>
    <w:p w:rsidR="00B11CA0" w:rsidP="006870B9" w14:paraId="7DE7EC8F" w14:textId="77777777">
      <w:pPr>
        <w:pStyle w:val="BodyText"/>
        <w:spacing w:after="0" w:line="240" w:lineRule="auto"/>
        <w:rPr>
          <w:color w:val="000000"/>
          <w:sz w:val="24"/>
          <w:szCs w:val="24"/>
        </w:rPr>
      </w:pPr>
    </w:p>
    <w:p w:rsidR="002954E4" w:rsidRPr="00D970EF" w:rsidP="006870B9" w14:paraId="6F8C0E46" w14:textId="61CE967A">
      <w:pPr>
        <w:pStyle w:val="BodyText"/>
        <w:spacing w:after="0" w:line="240" w:lineRule="auto"/>
        <w:rPr>
          <w:sz w:val="24"/>
          <w:szCs w:val="24"/>
        </w:rPr>
      </w:pPr>
      <w:r w:rsidRPr="00D970EF">
        <w:rPr>
          <w:color w:val="000000"/>
          <w:sz w:val="24"/>
          <w:szCs w:val="24"/>
        </w:rPr>
        <w:t>The total estimated annual cost for this information collection is $</w:t>
      </w:r>
      <w:r w:rsidR="006D31CA">
        <w:rPr>
          <w:color w:val="000000"/>
          <w:sz w:val="24"/>
          <w:szCs w:val="24"/>
        </w:rPr>
        <w:t>28</w:t>
      </w:r>
      <w:r w:rsidRPr="00D970EF" w:rsidR="00D970EF">
        <w:rPr>
          <w:color w:val="000000"/>
          <w:sz w:val="24"/>
          <w:szCs w:val="24"/>
        </w:rPr>
        <w:t>,</w:t>
      </w:r>
      <w:r w:rsidR="006D31CA">
        <w:rPr>
          <w:color w:val="000000"/>
          <w:sz w:val="24"/>
          <w:szCs w:val="24"/>
        </w:rPr>
        <w:t>959</w:t>
      </w:r>
      <w:r w:rsidRPr="00D970EF" w:rsidR="00D970EF">
        <w:rPr>
          <w:color w:val="000000"/>
          <w:sz w:val="24"/>
          <w:szCs w:val="24"/>
        </w:rPr>
        <w:t>.</w:t>
      </w:r>
      <w:r w:rsidR="006D31CA">
        <w:rPr>
          <w:color w:val="000000"/>
          <w:sz w:val="24"/>
          <w:szCs w:val="24"/>
        </w:rPr>
        <w:t>7</w:t>
      </w:r>
      <w:r w:rsidR="002D6403">
        <w:rPr>
          <w:color w:val="000000"/>
          <w:sz w:val="24"/>
          <w:szCs w:val="24"/>
        </w:rPr>
        <w:t>4</w:t>
      </w:r>
      <w:r w:rsidRPr="00D970EF">
        <w:rPr>
          <w:color w:val="000000"/>
          <w:sz w:val="24"/>
          <w:szCs w:val="24"/>
        </w:rPr>
        <w:t xml:space="preserve">. The total estimated annual cost is the total </w:t>
      </w:r>
      <w:r w:rsidR="006D31CA">
        <w:rPr>
          <w:color w:val="000000"/>
          <w:sz w:val="24"/>
          <w:szCs w:val="24"/>
        </w:rPr>
        <w:t>annual burden</w:t>
      </w:r>
      <w:r w:rsidRPr="00D970EF">
        <w:rPr>
          <w:color w:val="000000"/>
          <w:sz w:val="24"/>
          <w:szCs w:val="24"/>
        </w:rPr>
        <w:t xml:space="preserve"> hours multiplied by the hourly cost per respondent. To estimate the hourly cost per respondent, 2M used the average hourly compensation (wages and benefits) </w:t>
      </w:r>
      <w:r w:rsidR="003C7F72">
        <w:rPr>
          <w:color w:val="000000"/>
          <w:sz w:val="24"/>
          <w:szCs w:val="24"/>
        </w:rPr>
        <w:t>of</w:t>
      </w:r>
      <w:r w:rsidRPr="00816F9C">
        <w:rPr>
          <w:color w:val="000000"/>
          <w:sz w:val="24"/>
          <w:szCs w:val="24"/>
        </w:rPr>
        <w:t xml:space="preserve"> </w:t>
      </w:r>
      <w:r w:rsidRPr="00816F9C" w:rsidR="000972BF">
        <w:rPr>
          <w:sz w:val="24"/>
          <w:szCs w:val="24"/>
        </w:rPr>
        <w:t>civilian worker</w:t>
      </w:r>
      <w:r w:rsidR="003C7F72">
        <w:rPr>
          <w:sz w:val="24"/>
          <w:szCs w:val="24"/>
        </w:rPr>
        <w:t>s</w:t>
      </w:r>
      <w:r w:rsidRPr="00816F9C" w:rsidR="000972BF">
        <w:rPr>
          <w:sz w:val="24"/>
          <w:szCs w:val="24"/>
        </w:rPr>
        <w:t xml:space="preserve"> for program participants </w:t>
      </w:r>
      <w:r w:rsidR="00A3645D">
        <w:rPr>
          <w:sz w:val="24"/>
          <w:szCs w:val="24"/>
        </w:rPr>
        <w:t>and</w:t>
      </w:r>
      <w:r w:rsidRPr="00816F9C" w:rsidR="000972BF">
        <w:rPr>
          <w:sz w:val="24"/>
          <w:szCs w:val="24"/>
        </w:rPr>
        <w:t xml:space="preserve"> </w:t>
      </w:r>
      <w:r w:rsidR="003C7F72">
        <w:rPr>
          <w:sz w:val="24"/>
          <w:szCs w:val="24"/>
        </w:rPr>
        <w:t xml:space="preserve">of </w:t>
      </w:r>
      <w:r w:rsidRPr="00816F9C" w:rsidR="000972BF">
        <w:rPr>
          <w:sz w:val="24"/>
          <w:szCs w:val="24"/>
        </w:rPr>
        <w:t xml:space="preserve">private workers who are in </w:t>
      </w:r>
      <w:r w:rsidR="00002633">
        <w:rPr>
          <w:sz w:val="24"/>
          <w:szCs w:val="24"/>
        </w:rPr>
        <w:t>m</w:t>
      </w:r>
      <w:r w:rsidRPr="00816F9C" w:rsidR="000972BF">
        <w:rPr>
          <w:sz w:val="24"/>
          <w:szCs w:val="24"/>
        </w:rPr>
        <w:t>anagement, business, and financial occupations for Grantee and Subrecipient Staff</w:t>
      </w:r>
      <w:r w:rsidR="003C7F72">
        <w:rPr>
          <w:sz w:val="24"/>
          <w:szCs w:val="24"/>
        </w:rPr>
        <w:t>,</w:t>
      </w:r>
      <w:r w:rsidRPr="00816F9C" w:rsidR="000972BF">
        <w:rPr>
          <w:sz w:val="24"/>
          <w:szCs w:val="24"/>
        </w:rPr>
        <w:t xml:space="preserve"> </w:t>
      </w:r>
      <w:r w:rsidRPr="00816F9C">
        <w:rPr>
          <w:color w:val="000000"/>
          <w:sz w:val="24"/>
          <w:szCs w:val="24"/>
        </w:rPr>
        <w:t>a</w:t>
      </w:r>
      <w:r w:rsidRPr="00816F9C">
        <w:rPr>
          <w:sz w:val="24"/>
          <w:szCs w:val="24"/>
        </w:rPr>
        <w:t>ccording</w:t>
      </w:r>
      <w:r w:rsidRPr="00D970EF">
        <w:rPr>
          <w:sz w:val="24"/>
          <w:szCs w:val="24"/>
        </w:rPr>
        <w:t xml:space="preserve"> to the U.S. Bureau of Labor Statistics’ Employer Costs for Employee Compensation Survey from </w:t>
      </w:r>
      <w:r w:rsidRPr="00D970EF" w:rsidR="00D970EF">
        <w:rPr>
          <w:sz w:val="24"/>
          <w:szCs w:val="24"/>
        </w:rPr>
        <w:t>September</w:t>
      </w:r>
      <w:r w:rsidRPr="00D970EF">
        <w:rPr>
          <w:sz w:val="24"/>
          <w:szCs w:val="24"/>
        </w:rPr>
        <w:t xml:space="preserve"> 2022 </w:t>
      </w:r>
      <w:r w:rsidRPr="00D970EF">
        <w:rPr>
          <w:color w:val="000000"/>
          <w:sz w:val="24"/>
          <w:szCs w:val="24"/>
        </w:rPr>
        <w:t>(</w:t>
      </w:r>
      <w:hyperlink r:id="rId10" w:history="1">
        <w:r w:rsidRPr="00D970EF">
          <w:rPr>
            <w:rStyle w:val="Hyperlink"/>
            <w:sz w:val="24"/>
            <w:szCs w:val="24"/>
          </w:rPr>
          <w:t>https://www.bls.gov/news.release/pdf/ecec.pdf</w:t>
        </w:r>
      </w:hyperlink>
      <w:r w:rsidRPr="00D970EF">
        <w:rPr>
          <w:color w:val="000000"/>
          <w:sz w:val="24"/>
          <w:szCs w:val="24"/>
        </w:rPr>
        <w:t>)</w:t>
      </w:r>
      <w:r w:rsidRPr="00D970EF">
        <w:rPr>
          <w:sz w:val="24"/>
          <w:szCs w:val="24"/>
        </w:rPr>
        <w:t>.</w:t>
      </w:r>
    </w:p>
    <w:p w:rsidR="002954E4" w:rsidRPr="00D970EF" w:rsidP="006870B9" w14:paraId="6B0C8611" w14:textId="77777777">
      <w:pPr>
        <w:pStyle w:val="BodyText"/>
        <w:spacing w:after="0" w:line="240" w:lineRule="auto"/>
        <w:rPr>
          <w:sz w:val="24"/>
          <w:szCs w:val="24"/>
        </w:rPr>
      </w:pPr>
    </w:p>
    <w:p w:rsidR="00D970EF" w:rsidP="006870B9" w14:paraId="1CA78BD7" w14:textId="05CF6825">
      <w:pPr>
        <w:pStyle w:val="BodyText"/>
        <w:spacing w:after="0" w:line="240" w:lineRule="auto"/>
        <w:rPr>
          <w:sz w:val="24"/>
          <w:szCs w:val="24"/>
        </w:rPr>
      </w:pPr>
      <w:r w:rsidRPr="00D970EF">
        <w:rPr>
          <w:sz w:val="24"/>
          <w:szCs w:val="24"/>
        </w:rPr>
        <w:t xml:space="preserve">There is a maximum of </w:t>
      </w:r>
      <w:r w:rsidR="00874603">
        <w:rPr>
          <w:sz w:val="24"/>
          <w:szCs w:val="24"/>
        </w:rPr>
        <w:t>273</w:t>
      </w:r>
      <w:r w:rsidRPr="00D970EF">
        <w:rPr>
          <w:sz w:val="24"/>
          <w:szCs w:val="24"/>
        </w:rPr>
        <w:t xml:space="preserve"> respondents, an estimated annualized hour burden of </w:t>
      </w:r>
      <w:r w:rsidR="00002633">
        <w:rPr>
          <w:sz w:val="24"/>
          <w:szCs w:val="24"/>
        </w:rPr>
        <w:t>477.75</w:t>
      </w:r>
      <w:r w:rsidRPr="00D970EF">
        <w:rPr>
          <w:sz w:val="24"/>
          <w:szCs w:val="24"/>
        </w:rPr>
        <w:t xml:space="preserve"> hours, and an average annualized cost of </w:t>
      </w:r>
      <w:r w:rsidRPr="00D970EF">
        <w:rPr>
          <w:color w:val="000000"/>
          <w:sz w:val="24"/>
          <w:szCs w:val="24"/>
        </w:rPr>
        <w:t>$</w:t>
      </w:r>
      <w:r w:rsidR="00AC466E">
        <w:rPr>
          <w:color w:val="000000"/>
          <w:sz w:val="24"/>
          <w:szCs w:val="24"/>
        </w:rPr>
        <w:t>28</w:t>
      </w:r>
      <w:r w:rsidRPr="00D970EF">
        <w:rPr>
          <w:color w:val="000000"/>
          <w:sz w:val="24"/>
          <w:szCs w:val="24"/>
        </w:rPr>
        <w:t>,</w:t>
      </w:r>
      <w:r w:rsidR="00AC466E">
        <w:rPr>
          <w:color w:val="000000"/>
          <w:sz w:val="24"/>
          <w:szCs w:val="24"/>
        </w:rPr>
        <w:t>959</w:t>
      </w:r>
      <w:r w:rsidRPr="00D970EF">
        <w:rPr>
          <w:color w:val="000000"/>
          <w:sz w:val="24"/>
          <w:szCs w:val="24"/>
        </w:rPr>
        <w:t>.</w:t>
      </w:r>
      <w:r w:rsidR="00AC466E">
        <w:rPr>
          <w:color w:val="000000"/>
          <w:sz w:val="24"/>
          <w:szCs w:val="24"/>
        </w:rPr>
        <w:t>7</w:t>
      </w:r>
      <w:r w:rsidR="00DD25C8">
        <w:rPr>
          <w:color w:val="000000"/>
          <w:sz w:val="24"/>
          <w:szCs w:val="24"/>
        </w:rPr>
        <w:t>4</w:t>
      </w:r>
      <w:r w:rsidRPr="00D970EF">
        <w:rPr>
          <w:sz w:val="24"/>
          <w:szCs w:val="24"/>
        </w:rPr>
        <w:t>.</w:t>
      </w:r>
    </w:p>
    <w:p w:rsidR="0018448E" w:rsidRPr="0018448E" w:rsidP="006870B9" w14:paraId="5F12DD88" w14:textId="77777777">
      <w:pPr>
        <w:pStyle w:val="BodyText"/>
        <w:spacing w:after="0" w:line="240" w:lineRule="auto"/>
        <w:rPr>
          <w:sz w:val="24"/>
          <w:szCs w:val="24"/>
        </w:rPr>
      </w:pPr>
    </w:p>
    <w:p w:rsidR="00BF38CF" w:rsidRPr="00135146" w:rsidP="006870B9" w14:paraId="7475A5C7" w14:textId="1A99E309">
      <w:pPr>
        <w:pStyle w:val="Heading2"/>
      </w:pPr>
      <w:r w:rsidRPr="00135146">
        <w:t>Provide an estimate for the total annual cost burden to respondents or record keepers resulting from the collection of information. (Do not include the cost of any hour burden shown in Items 12 and 14).</w:t>
      </w:r>
    </w:p>
    <w:p w:rsidR="00BF38CF" w:rsidRPr="00135146" w:rsidP="0075306D" w14:paraId="6065C73D" w14:textId="77777777">
      <w:pPr>
        <w:widowControl w:val="0"/>
        <w:kinsoku w:val="0"/>
        <w:rPr>
          <w:b/>
          <w:bCs/>
        </w:rPr>
      </w:pPr>
    </w:p>
    <w:p w:rsidR="00BF38CF" w:rsidRPr="00135146" w:rsidP="0075306D" w14:paraId="3B996A6B" w14:textId="77777777">
      <w:pPr>
        <w:widowControl w:val="0"/>
        <w:numPr>
          <w:ilvl w:val="0"/>
          <w:numId w:val="2"/>
        </w:numPr>
        <w:kinsoku w:val="0"/>
        <w:rPr>
          <w:b/>
          <w:bCs/>
        </w:rPr>
      </w:pPr>
      <w:r w:rsidRPr="00135146">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135146">
        <w:rPr>
          <w:b/>
          <w:bCs/>
        </w:rPr>
        <w:t>take into account</w:t>
      </w:r>
      <w:r w:rsidRPr="00135146">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135146">
        <w:rPr>
          <w:b/>
          <w:bCs/>
        </w:rPr>
        <w:t>time period</w:t>
      </w:r>
      <w:r w:rsidRPr="00135146">
        <w:rPr>
          <w:b/>
          <w:bCs/>
        </w:rPr>
        <w:t xml:space="preserve"> over which costs will be incurred. Capital and start-up costs include, among other items, preparations for collecting information such as purchasing computers and software; monitoring, sampling, </w:t>
      </w:r>
      <w:r w:rsidRPr="00135146">
        <w:rPr>
          <w:b/>
          <w:bCs/>
        </w:rPr>
        <w:t>drilling</w:t>
      </w:r>
      <w:r w:rsidRPr="00135146">
        <w:rPr>
          <w:b/>
          <w:bCs/>
        </w:rPr>
        <w:t xml:space="preserve"> and testing equipment; and record storage facilities.</w:t>
      </w:r>
    </w:p>
    <w:p w:rsidR="00BF38CF" w:rsidRPr="00135146" w:rsidP="0075306D" w14:paraId="07945CFF" w14:textId="77777777">
      <w:pPr>
        <w:widowControl w:val="0"/>
        <w:numPr>
          <w:ilvl w:val="0"/>
          <w:numId w:val="2"/>
        </w:numPr>
        <w:kinsoku w:val="0"/>
        <w:rPr>
          <w:b/>
          <w:bCs/>
        </w:rPr>
      </w:pPr>
      <w:r w:rsidRPr="00135146">
        <w:rPr>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135146">
        <w:rPr>
          <w:b/>
          <w:bCs/>
        </w:rPr>
        <w:t>process</w:t>
      </w:r>
      <w:r w:rsidRPr="00135146">
        <w:rPr>
          <w:b/>
          <w:bCs/>
        </w:rPr>
        <w:t xml:space="preserve"> and use existing economic or regulatory impact analysis associated with the rulemaking containing the information collection, as appropriate.</w:t>
      </w:r>
    </w:p>
    <w:p w:rsidR="00BF38CF" w:rsidRPr="00135146" w:rsidP="0075306D" w14:paraId="61C0591C" w14:textId="77777777">
      <w:pPr>
        <w:widowControl w:val="0"/>
        <w:numPr>
          <w:ilvl w:val="0"/>
          <w:numId w:val="2"/>
        </w:numPr>
        <w:kinsoku w:val="0"/>
        <w:rPr>
          <w:b/>
          <w:bCs/>
        </w:rPr>
      </w:pPr>
      <w:r w:rsidRPr="00135146">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F38CF" w:rsidRPr="00135146" w:rsidP="0075306D" w14:paraId="2B276309" w14:textId="77777777">
      <w:pPr>
        <w:widowControl w:val="0"/>
        <w:kinsoku w:val="0"/>
        <w:ind w:left="720"/>
        <w:rPr>
          <w:b/>
          <w:bCs/>
        </w:rPr>
      </w:pPr>
    </w:p>
    <w:p w:rsidR="00135146" w:rsidP="0075306D" w14:paraId="7B44B9C3" w14:textId="6A56BFF2">
      <w:pPr>
        <w:widowControl w:val="0"/>
        <w:kinsoku w:val="0"/>
      </w:pPr>
      <w:r w:rsidRPr="00C31620">
        <w:t xml:space="preserve">This data collection effort involves no recordkeeping or reporting costs for respondents other than the time burden to respond to questions on the data collection instruments as described in </w:t>
      </w:r>
      <w:r>
        <w:t>I</w:t>
      </w:r>
      <w:r w:rsidRPr="00C31620">
        <w:t xml:space="preserve">tem 12 above. There is no known </w:t>
      </w:r>
      <w:r>
        <w:t xml:space="preserve">additional </w:t>
      </w:r>
      <w:r w:rsidRPr="00C31620">
        <w:t>cost burden to the respondents.</w:t>
      </w:r>
    </w:p>
    <w:p w:rsidR="0018448E" w:rsidRPr="0018448E" w:rsidP="0075306D" w14:paraId="1D0E8759" w14:textId="77777777">
      <w:pPr>
        <w:widowControl w:val="0"/>
        <w:kinsoku w:val="0"/>
        <w:ind w:left="360"/>
      </w:pPr>
    </w:p>
    <w:p w:rsidR="00BF38CF" w:rsidP="006870B9" w14:paraId="210F1E46" w14:textId="3CD94CB1">
      <w:pPr>
        <w:pStyle w:val="Heading2"/>
      </w:pPr>
      <w:r w:rsidRPr="00135146">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954E4" w:rsidRPr="00135146" w:rsidP="0075306D" w14:paraId="775FF000" w14:textId="77777777">
      <w:pPr>
        <w:widowControl w:val="0"/>
        <w:kinsoku w:val="0"/>
        <w:ind w:left="360"/>
        <w:rPr>
          <w:b/>
          <w:bCs/>
        </w:rPr>
      </w:pPr>
    </w:p>
    <w:p w:rsidR="002954E4" w:rsidRPr="00637299" w:rsidP="006870B9" w14:paraId="44BC7612" w14:textId="2E26CBB9">
      <w:r w:rsidRPr="003B22BD">
        <w:t>HUD estimates t</w:t>
      </w:r>
      <w:r w:rsidRPr="003B22BD">
        <w:t xml:space="preserve">he costs </w:t>
      </w:r>
      <w:r w:rsidRPr="003B22BD" w:rsidR="00407380">
        <w:t xml:space="preserve">of this data collection </w:t>
      </w:r>
      <w:r w:rsidRPr="003B22BD">
        <w:t>to the Federal government to be approximately $</w:t>
      </w:r>
      <w:r w:rsidRPr="003B22BD" w:rsidR="00914BC7">
        <w:t>5</w:t>
      </w:r>
      <w:r w:rsidR="007D4B77">
        <w:t>51,567</w:t>
      </w:r>
      <w:r w:rsidRPr="003B22BD">
        <w:t xml:space="preserve"> for </w:t>
      </w:r>
      <w:r w:rsidRPr="003B22BD" w:rsidR="00914BC7">
        <w:t>the two rounds of data collection</w:t>
      </w:r>
      <w:r w:rsidRPr="003B22BD" w:rsidR="00294B37">
        <w:t xml:space="preserve"> and analysis</w:t>
      </w:r>
      <w:r w:rsidRPr="003B22BD">
        <w:t xml:space="preserve"> in professional services.</w:t>
      </w:r>
      <w:r>
        <w:rPr>
          <w:rStyle w:val="FootnoteReference"/>
        </w:rPr>
        <w:footnoteReference w:id="3"/>
      </w:r>
      <w:r w:rsidRPr="003B22BD">
        <w:t xml:space="preserve"> The professional labor cost estimates for this information collection include project management staff, survey methodologists, interviewers, IT support staff, and data analysis and reporting staff. </w:t>
      </w:r>
      <w:r w:rsidRPr="003B22BD">
        <w:rPr>
          <w:b/>
        </w:rPr>
        <w:t>Exhibit</w:t>
      </w:r>
      <w:r w:rsidRPr="003B22BD">
        <w:rPr>
          <w:b/>
        </w:rPr>
        <w:t xml:space="preserve"> </w:t>
      </w:r>
      <w:r w:rsidRPr="003B22BD" w:rsidR="000F2BD5">
        <w:rPr>
          <w:b/>
        </w:rPr>
        <w:t>C</w:t>
      </w:r>
      <w:r w:rsidRPr="003B22BD">
        <w:t xml:space="preserve"> summarizes the cost breakdown.</w:t>
      </w:r>
    </w:p>
    <w:p w:rsidR="002954E4" w:rsidRPr="00637299" w:rsidP="0075306D" w14:paraId="0D0A57A6" w14:textId="77777777">
      <w:pPr>
        <w:pStyle w:val="ListParagraph"/>
        <w:widowControl w:val="0"/>
        <w:kinsoku w:val="0"/>
        <w:ind w:left="360"/>
      </w:pPr>
    </w:p>
    <w:p w:rsidR="002954E4" w:rsidRPr="001574E9" w:rsidP="006870B9" w14:paraId="60D13D3D" w14:textId="6FA6FB9B">
      <w:pPr>
        <w:pStyle w:val="ListParagraph"/>
        <w:ind w:left="0"/>
        <w:textAlignment w:val="baseline"/>
        <w:rPr>
          <w:rFonts w:eastAsia="Calibri"/>
        </w:rPr>
      </w:pPr>
      <w:r w:rsidRPr="001574E9">
        <w:rPr>
          <w:b/>
          <w:bCs/>
        </w:rPr>
        <w:t xml:space="preserve">Exhibit </w:t>
      </w:r>
      <w:r w:rsidRPr="001574E9" w:rsidR="000F2BD5">
        <w:rPr>
          <w:b/>
          <w:bCs/>
        </w:rPr>
        <w:t>C</w:t>
      </w:r>
      <w:r w:rsidRPr="001574E9" w:rsidR="008E5914">
        <w:rPr>
          <w:b/>
          <w:bCs/>
        </w:rPr>
        <w:t xml:space="preserve"> </w:t>
      </w:r>
      <w:r w:rsidRPr="001574E9">
        <w:rPr>
          <w:b/>
          <w:bCs/>
        </w:rPr>
        <w:t>| Estimated Cost Breakdown</w:t>
      </w:r>
    </w:p>
    <w:tbl>
      <w:tblPr>
        <w:tblStyle w:val="ListTable31"/>
        <w:tblW w:w="5000" w:type="pct"/>
        <w:tblLook w:val="0020"/>
      </w:tblPr>
      <w:tblGrid>
        <w:gridCol w:w="3116"/>
        <w:gridCol w:w="3117"/>
        <w:gridCol w:w="3117"/>
      </w:tblGrid>
      <w:tr w14:paraId="51305632" w14:textId="77777777" w:rsidTr="0031423B">
        <w:tblPrEx>
          <w:tblW w:w="5000" w:type="pct"/>
          <w:tblLook w:val="0020"/>
        </w:tblPrEx>
        <w:trPr>
          <w:trHeight w:val="20"/>
        </w:trPr>
        <w:tc>
          <w:tcPr>
            <w:tcW w:w="1666" w:type="pct"/>
            <w:shd w:val="clear" w:color="auto" w:fill="D9E2F3" w:themeFill="accent1" w:themeFillTint="33"/>
            <w:vAlign w:val="center"/>
          </w:tcPr>
          <w:p w:rsidR="002954E4" w:rsidRPr="00637299" w:rsidP="006870B9" w14:paraId="5627475E" w14:textId="77777777">
            <w:pPr>
              <w:rPr>
                <w:b w:val="0"/>
                <w:szCs w:val="22"/>
              </w:rPr>
            </w:pPr>
            <w:r w:rsidRPr="00637299">
              <w:rPr>
                <w:rFonts w:eastAsia="Calibri"/>
                <w:color w:val="000000"/>
              </w:rPr>
              <w:t>Activity</w:t>
            </w:r>
          </w:p>
        </w:tc>
        <w:tc>
          <w:tcPr>
            <w:tcW w:w="1667" w:type="pct"/>
            <w:shd w:val="clear" w:color="auto" w:fill="D9E2F3" w:themeFill="accent1" w:themeFillTint="33"/>
            <w:vAlign w:val="center"/>
          </w:tcPr>
          <w:p w:rsidR="002954E4" w:rsidRPr="00637299" w:rsidP="006870B9" w14:paraId="3BE9C4CE" w14:textId="77777777">
            <w:pPr>
              <w:rPr>
                <w:b w:val="0"/>
                <w:szCs w:val="22"/>
              </w:rPr>
            </w:pPr>
            <w:r w:rsidRPr="00637299">
              <w:rPr>
                <w:rFonts w:eastAsia="Calibri"/>
                <w:color w:val="000000"/>
              </w:rPr>
              <w:t>Estimated Cost to Federal Government</w:t>
            </w:r>
          </w:p>
        </w:tc>
        <w:tc>
          <w:tcPr>
            <w:tcW w:w="1667" w:type="pct"/>
            <w:shd w:val="clear" w:color="auto" w:fill="D9E2F3" w:themeFill="accent1" w:themeFillTint="33"/>
          </w:tcPr>
          <w:p w:rsidR="002954E4" w:rsidRPr="00637299" w:rsidP="006870B9" w14:paraId="122FDCA5" w14:textId="77777777">
            <w:pPr>
              <w:rPr>
                <w:rFonts w:eastAsia="Calibri"/>
                <w:b w:val="0"/>
                <w:color w:val="000000"/>
              </w:rPr>
            </w:pPr>
            <w:r w:rsidRPr="00637299">
              <w:rPr>
                <w:rFonts w:eastAsia="Calibri"/>
                <w:color w:val="000000"/>
              </w:rPr>
              <w:t xml:space="preserve">Total Labor Hours </w:t>
            </w:r>
            <w:r w:rsidRPr="00637299">
              <w:rPr>
                <w:rFonts w:eastAsia="Calibri"/>
                <w:color w:val="000000"/>
              </w:rPr>
              <w:t>For</w:t>
            </w:r>
            <w:r w:rsidRPr="00637299">
              <w:rPr>
                <w:rFonts w:eastAsia="Calibri"/>
                <w:color w:val="000000"/>
              </w:rPr>
              <w:t xml:space="preserve"> Information Collection</w:t>
            </w:r>
          </w:p>
        </w:tc>
      </w:tr>
      <w:tr w14:paraId="2AA32F30" w14:textId="77777777" w:rsidTr="0031423B">
        <w:tblPrEx>
          <w:tblW w:w="5000" w:type="pct"/>
          <w:tblLook w:val="0020"/>
        </w:tblPrEx>
        <w:trPr>
          <w:trHeight w:val="20"/>
        </w:trPr>
        <w:tc>
          <w:tcPr>
            <w:tcW w:w="1666" w:type="pct"/>
            <w:vAlign w:val="center"/>
          </w:tcPr>
          <w:p w:rsidR="002954E4" w:rsidRPr="00637299" w:rsidP="006870B9" w14:paraId="4667951B" w14:textId="1FD30E07">
            <w:pPr>
              <w:pStyle w:val="NoSpacing"/>
              <w:rPr>
                <w:szCs w:val="22"/>
              </w:rPr>
            </w:pPr>
            <w:r>
              <w:rPr>
                <w:color w:val="000000"/>
              </w:rPr>
              <w:t>Data Collection</w:t>
            </w:r>
          </w:p>
        </w:tc>
        <w:tc>
          <w:tcPr>
            <w:tcW w:w="1667" w:type="pct"/>
            <w:vAlign w:val="center"/>
          </w:tcPr>
          <w:p w:rsidR="002954E4" w:rsidRPr="00637299" w:rsidP="006870B9" w14:paraId="0ECFF797" w14:textId="3ECE137B">
            <w:pPr>
              <w:pStyle w:val="NoSpacing"/>
              <w:rPr>
                <w:szCs w:val="22"/>
              </w:rPr>
            </w:pPr>
            <w:r w:rsidRPr="00637299">
              <w:rPr>
                <w:color w:val="000000"/>
              </w:rPr>
              <w:t xml:space="preserve">$ </w:t>
            </w:r>
            <w:r w:rsidR="009E22D6">
              <w:rPr>
                <w:color w:val="000000"/>
              </w:rPr>
              <w:t>3</w:t>
            </w:r>
            <w:r w:rsidR="007108EA">
              <w:rPr>
                <w:color w:val="000000"/>
              </w:rPr>
              <w:t>3</w:t>
            </w:r>
            <w:r w:rsidR="009E22D6">
              <w:rPr>
                <w:color w:val="000000"/>
              </w:rPr>
              <w:t>5</w:t>
            </w:r>
            <w:r w:rsidRPr="00637299" w:rsidR="00790E20">
              <w:rPr>
                <w:color w:val="000000"/>
              </w:rPr>
              <w:t>,</w:t>
            </w:r>
            <w:r w:rsidR="007108EA">
              <w:rPr>
                <w:color w:val="000000"/>
              </w:rPr>
              <w:t>841</w:t>
            </w:r>
            <w:r w:rsidRPr="00637299">
              <w:rPr>
                <w:color w:val="000000"/>
              </w:rPr>
              <w:t>.00</w:t>
            </w:r>
          </w:p>
        </w:tc>
        <w:tc>
          <w:tcPr>
            <w:tcW w:w="1667" w:type="pct"/>
          </w:tcPr>
          <w:p w:rsidR="002954E4" w:rsidRPr="00637299" w:rsidP="006870B9" w14:paraId="5B5A19F8" w14:textId="3BDC6F86">
            <w:pPr>
              <w:pStyle w:val="NoSpacing"/>
              <w:rPr>
                <w:color w:val="000000"/>
              </w:rPr>
            </w:pPr>
            <w:r>
              <w:rPr>
                <w:color w:val="000000"/>
              </w:rPr>
              <w:t>2</w:t>
            </w:r>
            <w:r w:rsidRPr="00637299">
              <w:rPr>
                <w:color w:val="000000"/>
              </w:rPr>
              <w:t>,</w:t>
            </w:r>
            <w:r>
              <w:rPr>
                <w:color w:val="000000"/>
              </w:rPr>
              <w:t>218</w:t>
            </w:r>
            <w:r w:rsidRPr="00637299">
              <w:rPr>
                <w:color w:val="000000"/>
              </w:rPr>
              <w:t xml:space="preserve"> hours</w:t>
            </w:r>
          </w:p>
        </w:tc>
      </w:tr>
      <w:tr w14:paraId="5F45BA57" w14:textId="77777777" w:rsidTr="0031423B">
        <w:tblPrEx>
          <w:tblW w:w="5000" w:type="pct"/>
          <w:tblLook w:val="0020"/>
        </w:tblPrEx>
        <w:trPr>
          <w:trHeight w:val="20"/>
        </w:trPr>
        <w:tc>
          <w:tcPr>
            <w:tcW w:w="1666" w:type="pct"/>
            <w:vAlign w:val="center"/>
          </w:tcPr>
          <w:p w:rsidR="00967AD0" w:rsidRPr="00637299" w:rsidP="006870B9" w14:paraId="50BCD26A" w14:textId="26072932">
            <w:pPr>
              <w:pStyle w:val="NoSpacing"/>
              <w:rPr>
                <w:color w:val="000000"/>
              </w:rPr>
            </w:pPr>
            <w:r>
              <w:rPr>
                <w:color w:val="000000"/>
              </w:rPr>
              <w:t>Data Analysis</w:t>
            </w:r>
          </w:p>
        </w:tc>
        <w:tc>
          <w:tcPr>
            <w:tcW w:w="1667" w:type="pct"/>
            <w:vAlign w:val="center"/>
          </w:tcPr>
          <w:p w:rsidR="00967AD0" w:rsidRPr="00637299" w:rsidP="006870B9" w14:paraId="76E1049F" w14:textId="60304947">
            <w:pPr>
              <w:pStyle w:val="NoSpacing"/>
              <w:rPr>
                <w:color w:val="000000"/>
              </w:rPr>
            </w:pPr>
            <w:r>
              <w:rPr>
                <w:color w:val="000000"/>
              </w:rPr>
              <w:t>$ 208</w:t>
            </w:r>
            <w:r w:rsidR="003D6E84">
              <w:rPr>
                <w:color w:val="000000"/>
              </w:rPr>
              <w:t>,376.00</w:t>
            </w:r>
          </w:p>
        </w:tc>
        <w:tc>
          <w:tcPr>
            <w:tcW w:w="1667" w:type="pct"/>
          </w:tcPr>
          <w:p w:rsidR="00967AD0" w:rsidRPr="00637299" w:rsidP="006870B9" w14:paraId="317B38FB" w14:textId="0188AF36">
            <w:pPr>
              <w:pStyle w:val="NoSpacing"/>
              <w:rPr>
                <w:color w:val="000000"/>
              </w:rPr>
            </w:pPr>
            <w:r>
              <w:rPr>
                <w:color w:val="000000"/>
              </w:rPr>
              <w:t>1,371</w:t>
            </w:r>
            <w:r w:rsidR="009C745D">
              <w:rPr>
                <w:color w:val="000000"/>
              </w:rPr>
              <w:t xml:space="preserve"> hours</w:t>
            </w:r>
          </w:p>
        </w:tc>
      </w:tr>
      <w:tr w14:paraId="137B07D1" w14:textId="77777777" w:rsidTr="0031423B">
        <w:tblPrEx>
          <w:tblW w:w="5000" w:type="pct"/>
          <w:tblLook w:val="0020"/>
        </w:tblPrEx>
        <w:trPr>
          <w:trHeight w:val="20"/>
        </w:trPr>
        <w:tc>
          <w:tcPr>
            <w:tcW w:w="0" w:type="pct"/>
            <w:shd w:val="clear" w:color="auto" w:fill="FFFFFF" w:themeFill="background1"/>
            <w:vAlign w:val="center"/>
          </w:tcPr>
          <w:p w:rsidR="00F15683" w:rsidRPr="00890866" w:rsidP="006870B9" w14:paraId="3B5707DE" w14:textId="12463892">
            <w:pPr>
              <w:pStyle w:val="NoSpacing"/>
              <w:rPr>
                <w:color w:val="000000"/>
              </w:rPr>
            </w:pPr>
            <w:r w:rsidRPr="00890866">
              <w:rPr>
                <w:color w:val="000000"/>
              </w:rPr>
              <w:t>Incentive</w:t>
            </w:r>
            <w:r w:rsidR="00264E7D">
              <w:rPr>
                <w:color w:val="000000"/>
              </w:rPr>
              <w:t>s</w:t>
            </w:r>
          </w:p>
        </w:tc>
        <w:tc>
          <w:tcPr>
            <w:tcW w:w="0" w:type="pct"/>
            <w:shd w:val="clear" w:color="auto" w:fill="FFFFFF" w:themeFill="background1"/>
            <w:vAlign w:val="center"/>
          </w:tcPr>
          <w:p w:rsidR="00F15683" w:rsidRPr="00890866" w:rsidP="006870B9" w14:paraId="14D5B40E" w14:textId="3B122CB3">
            <w:pPr>
              <w:pStyle w:val="NoSpacing"/>
              <w:rPr>
                <w:color w:val="000000"/>
              </w:rPr>
            </w:pPr>
            <w:r w:rsidRPr="00890866">
              <w:rPr>
                <w:color w:val="000000"/>
              </w:rPr>
              <w:t>$</w:t>
            </w:r>
            <w:r w:rsidR="006078E3">
              <w:rPr>
                <w:color w:val="000000"/>
              </w:rPr>
              <w:t xml:space="preserve">     </w:t>
            </w:r>
            <w:r w:rsidR="00D96EB0">
              <w:rPr>
                <w:color w:val="000000"/>
              </w:rPr>
              <w:t>7,350.00</w:t>
            </w:r>
          </w:p>
        </w:tc>
        <w:tc>
          <w:tcPr>
            <w:tcW w:w="0" w:type="pct"/>
            <w:shd w:val="clear" w:color="auto" w:fill="FFFFFF" w:themeFill="background1"/>
          </w:tcPr>
          <w:p w:rsidR="00F15683" w:rsidRPr="00890866" w:rsidP="006870B9" w14:paraId="65694B4F" w14:textId="7A234C18">
            <w:pPr>
              <w:pStyle w:val="NoSpacing"/>
              <w:rPr>
                <w:color w:val="000000"/>
              </w:rPr>
            </w:pPr>
            <w:r w:rsidRPr="00890866">
              <w:rPr>
                <w:color w:val="000000"/>
              </w:rPr>
              <w:t>-</w:t>
            </w:r>
          </w:p>
        </w:tc>
      </w:tr>
      <w:tr w14:paraId="2BBC07C4" w14:textId="77777777" w:rsidTr="0031423B">
        <w:tblPrEx>
          <w:tblW w:w="5000" w:type="pct"/>
          <w:tblLook w:val="0020"/>
        </w:tblPrEx>
        <w:trPr>
          <w:trHeight w:val="20"/>
        </w:trPr>
        <w:tc>
          <w:tcPr>
            <w:tcW w:w="0" w:type="pct"/>
            <w:shd w:val="clear" w:color="auto" w:fill="E7E6E6" w:themeFill="background2"/>
            <w:vAlign w:val="center"/>
          </w:tcPr>
          <w:p w:rsidR="00287E62" w:rsidRPr="00890866" w:rsidP="006870B9" w14:paraId="38EC4F6F" w14:textId="1F0C49C6">
            <w:pPr>
              <w:pStyle w:val="NoSpacing"/>
              <w:rPr>
                <w:b/>
                <w:bCs/>
                <w:color w:val="000000"/>
              </w:rPr>
            </w:pPr>
            <w:r w:rsidRPr="00890866">
              <w:rPr>
                <w:b/>
                <w:bCs/>
                <w:color w:val="000000"/>
              </w:rPr>
              <w:t>TOTAL</w:t>
            </w:r>
          </w:p>
        </w:tc>
        <w:tc>
          <w:tcPr>
            <w:tcW w:w="0" w:type="pct"/>
            <w:shd w:val="clear" w:color="auto" w:fill="E7E6E6" w:themeFill="background2"/>
            <w:vAlign w:val="center"/>
          </w:tcPr>
          <w:p w:rsidR="00287E62" w:rsidRPr="00890866" w:rsidP="006870B9" w14:paraId="5CB02233" w14:textId="44C2AB5F">
            <w:pPr>
              <w:pStyle w:val="NoSpacing"/>
              <w:rPr>
                <w:b/>
                <w:bCs/>
                <w:color w:val="000000"/>
              </w:rPr>
            </w:pPr>
            <w:r w:rsidRPr="00890866">
              <w:rPr>
                <w:b/>
                <w:bCs/>
                <w:color w:val="000000"/>
              </w:rPr>
              <w:t xml:space="preserve">$ </w:t>
            </w:r>
            <w:r w:rsidRPr="00D96EB0" w:rsidR="00D96EB0">
              <w:rPr>
                <w:b/>
                <w:bCs/>
                <w:color w:val="000000"/>
              </w:rPr>
              <w:t>551,567</w:t>
            </w:r>
            <w:r w:rsidRPr="00D96EB0" w:rsidR="00D96EB0">
              <w:rPr>
                <w:b/>
                <w:bCs/>
                <w:color w:val="000000"/>
              </w:rPr>
              <w:t>‬</w:t>
            </w:r>
            <w:r w:rsidR="00D96EB0">
              <w:rPr>
                <w:b/>
                <w:bCs/>
                <w:color w:val="000000"/>
              </w:rPr>
              <w:t>.00</w:t>
            </w:r>
          </w:p>
        </w:tc>
        <w:tc>
          <w:tcPr>
            <w:tcW w:w="0" w:type="pct"/>
            <w:shd w:val="clear" w:color="auto" w:fill="E7E6E6" w:themeFill="background2"/>
          </w:tcPr>
          <w:p w:rsidR="00287E62" w:rsidRPr="00890866" w:rsidP="006870B9" w14:paraId="6C1CE64D" w14:textId="5E018EA2">
            <w:pPr>
              <w:pStyle w:val="NoSpacing"/>
              <w:rPr>
                <w:b/>
                <w:bCs/>
                <w:color w:val="000000"/>
              </w:rPr>
            </w:pPr>
            <w:r w:rsidRPr="00890866">
              <w:rPr>
                <w:b/>
                <w:bCs/>
                <w:color w:val="000000"/>
              </w:rPr>
              <w:t>3,589 hours</w:t>
            </w:r>
          </w:p>
        </w:tc>
      </w:tr>
    </w:tbl>
    <w:p w:rsidR="00135146" w:rsidP="006870B9" w14:paraId="49431AE1" w14:textId="42A70539">
      <w:pPr>
        <w:rPr>
          <w:b/>
          <w:bCs/>
        </w:rPr>
      </w:pPr>
    </w:p>
    <w:p w:rsidR="00BF38CF" w:rsidRPr="00135146" w:rsidP="006870B9" w14:paraId="66391127" w14:textId="1697667A">
      <w:pPr>
        <w:pStyle w:val="Heading2"/>
      </w:pPr>
      <w:r w:rsidRPr="00135146">
        <w:t xml:space="preserve">Explain the reasons for any program changes or adjustments reported in Items 13 or 14 of the OMB Form 83-I. </w:t>
      </w:r>
    </w:p>
    <w:p w:rsidR="00BF38CF" w:rsidRPr="00135146" w:rsidP="0075306D" w14:paraId="3653E47A" w14:textId="77777777">
      <w:pPr>
        <w:pStyle w:val="ListParagraph"/>
        <w:rPr>
          <w:b/>
          <w:bCs/>
        </w:rPr>
      </w:pPr>
    </w:p>
    <w:p w:rsidR="00135146" w:rsidP="0075306D" w14:paraId="5B9D291E" w14:textId="06E31BBD">
      <w:r w:rsidRPr="00C31620">
        <w:t>This submission to OMB is an initial submission and does not involve any program changes or adjustments.</w:t>
      </w:r>
    </w:p>
    <w:p w:rsidR="0018448E" w:rsidRPr="0018448E" w:rsidP="0075306D" w14:paraId="51ABE372" w14:textId="77777777"/>
    <w:p w:rsidR="00BF38CF" w:rsidRPr="00135146" w:rsidP="006870B9" w14:paraId="43730571" w14:textId="2E6B0B4C">
      <w:pPr>
        <w:pStyle w:val="Heading2"/>
      </w:pPr>
      <w:r w:rsidRPr="00135146">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38CF" w:rsidRPr="00135146" w:rsidP="0075306D" w14:paraId="2EA49745" w14:textId="77777777">
      <w:pPr>
        <w:pStyle w:val="ListParagraph"/>
        <w:rPr>
          <w:b/>
          <w:bCs/>
        </w:rPr>
      </w:pPr>
    </w:p>
    <w:p w:rsidR="00D970EF" w:rsidP="006870B9" w14:paraId="15FDAC00" w14:textId="61B11847">
      <w:pPr>
        <w:pStyle w:val="BodyText"/>
        <w:spacing w:after="0" w:line="240" w:lineRule="auto"/>
        <w:rPr>
          <w:sz w:val="24"/>
          <w:szCs w:val="24"/>
        </w:rPr>
      </w:pPr>
      <w:r w:rsidRPr="00A438DC">
        <w:rPr>
          <w:sz w:val="24"/>
          <w:szCs w:val="24"/>
        </w:rPr>
        <w:t>The data collected for the</w:t>
      </w:r>
      <w:r>
        <w:rPr>
          <w:sz w:val="24"/>
          <w:szCs w:val="24"/>
        </w:rPr>
        <w:t xml:space="preserve"> study</w:t>
      </w:r>
      <w:r w:rsidRPr="00A438DC">
        <w:rPr>
          <w:sz w:val="24"/>
          <w:szCs w:val="24"/>
        </w:rPr>
        <w:t xml:space="preserve"> will be analyzed, tabulated, and reported to HUD by </w:t>
      </w:r>
      <w:r>
        <w:rPr>
          <w:sz w:val="24"/>
          <w:szCs w:val="24"/>
        </w:rPr>
        <w:t>2M Research</w:t>
      </w:r>
      <w:r w:rsidR="00B64FBD">
        <w:rPr>
          <w:sz w:val="24"/>
          <w:szCs w:val="24"/>
        </w:rPr>
        <w:t xml:space="preserve"> </w:t>
      </w:r>
      <w:r w:rsidR="00266E00">
        <w:rPr>
          <w:sz w:val="24"/>
          <w:szCs w:val="24"/>
        </w:rPr>
        <w:t>in</w:t>
      </w:r>
      <w:r w:rsidR="00B64FBD">
        <w:rPr>
          <w:sz w:val="24"/>
          <w:szCs w:val="24"/>
        </w:rPr>
        <w:t xml:space="preserve"> the interim</w:t>
      </w:r>
      <w:r w:rsidR="00B953D1">
        <w:rPr>
          <w:sz w:val="24"/>
          <w:szCs w:val="24"/>
        </w:rPr>
        <w:t xml:space="preserve"> and final </w:t>
      </w:r>
      <w:r w:rsidR="0065233F">
        <w:rPr>
          <w:sz w:val="24"/>
          <w:szCs w:val="24"/>
        </w:rPr>
        <w:t>briefing</w:t>
      </w:r>
      <w:r w:rsidR="006E10D0">
        <w:rPr>
          <w:sz w:val="24"/>
          <w:szCs w:val="24"/>
        </w:rPr>
        <w:t>s</w:t>
      </w:r>
      <w:r w:rsidR="0065233F">
        <w:rPr>
          <w:sz w:val="24"/>
          <w:szCs w:val="24"/>
        </w:rPr>
        <w:t xml:space="preserve"> and the</w:t>
      </w:r>
      <w:r w:rsidR="00B953D1">
        <w:rPr>
          <w:sz w:val="24"/>
          <w:szCs w:val="24"/>
        </w:rPr>
        <w:t xml:space="preserve"> interim and final </w:t>
      </w:r>
      <w:r w:rsidR="0065233F">
        <w:rPr>
          <w:sz w:val="24"/>
          <w:szCs w:val="24"/>
        </w:rPr>
        <w:t>report</w:t>
      </w:r>
      <w:r w:rsidR="006E10D0">
        <w:rPr>
          <w:sz w:val="24"/>
          <w:szCs w:val="24"/>
        </w:rPr>
        <w:t>s</w:t>
      </w:r>
      <w:r w:rsidRPr="00A438DC">
        <w:rPr>
          <w:sz w:val="24"/>
          <w:szCs w:val="24"/>
        </w:rPr>
        <w:t xml:space="preserve">. </w:t>
      </w:r>
      <w:r w:rsidR="00266E00">
        <w:rPr>
          <w:sz w:val="24"/>
          <w:szCs w:val="24"/>
        </w:rPr>
        <w:t xml:space="preserve">The interim and final reports are expected to be published. </w:t>
      </w:r>
      <w:r w:rsidRPr="00163087">
        <w:rPr>
          <w:b/>
          <w:sz w:val="24"/>
          <w:szCs w:val="24"/>
        </w:rPr>
        <w:t xml:space="preserve">Exhibit </w:t>
      </w:r>
      <w:r w:rsidR="000F2BD5">
        <w:rPr>
          <w:b/>
          <w:sz w:val="24"/>
          <w:szCs w:val="24"/>
        </w:rPr>
        <w:t>D</w:t>
      </w:r>
      <w:r w:rsidRPr="00A438DC">
        <w:rPr>
          <w:sz w:val="24"/>
          <w:szCs w:val="24"/>
        </w:rPr>
        <w:t xml:space="preserve"> presents an overview of </w:t>
      </w:r>
      <w:r>
        <w:rPr>
          <w:sz w:val="24"/>
          <w:szCs w:val="24"/>
        </w:rPr>
        <w:t xml:space="preserve">the </w:t>
      </w:r>
      <w:r w:rsidR="00E7349F">
        <w:rPr>
          <w:sz w:val="24"/>
          <w:szCs w:val="24"/>
        </w:rPr>
        <w:t>project schedule</w:t>
      </w:r>
      <w:r w:rsidR="0065233F">
        <w:rPr>
          <w:sz w:val="24"/>
          <w:szCs w:val="24"/>
        </w:rPr>
        <w:t xml:space="preserve"> for these deliverables</w:t>
      </w:r>
      <w:r>
        <w:rPr>
          <w:sz w:val="24"/>
          <w:szCs w:val="24"/>
        </w:rPr>
        <w:t>.</w:t>
      </w:r>
    </w:p>
    <w:p w:rsidR="00D970EF" w:rsidP="006870B9" w14:paraId="331CB9FB" w14:textId="77777777">
      <w:pPr>
        <w:pStyle w:val="BodyText"/>
        <w:spacing w:after="0" w:line="240" w:lineRule="auto"/>
        <w:rPr>
          <w:sz w:val="24"/>
          <w:szCs w:val="24"/>
        </w:rPr>
      </w:pPr>
    </w:p>
    <w:p w:rsidR="00D970EF" w:rsidRPr="001574E9" w:rsidP="006870B9" w14:paraId="773F8DA5" w14:textId="385C6396">
      <w:pPr>
        <w:pStyle w:val="ListParagraph"/>
        <w:ind w:left="0"/>
        <w:textAlignment w:val="baseline"/>
        <w:rPr>
          <w:rFonts w:eastAsia="Calibri"/>
        </w:rPr>
      </w:pPr>
      <w:r w:rsidRPr="001574E9">
        <w:rPr>
          <w:b/>
          <w:bCs/>
        </w:rPr>
        <w:t xml:space="preserve">Exhibit </w:t>
      </w:r>
      <w:r w:rsidRPr="001574E9" w:rsidR="000F2BD5">
        <w:rPr>
          <w:b/>
          <w:bCs/>
        </w:rPr>
        <w:t>D</w:t>
      </w:r>
      <w:r w:rsidRPr="001574E9" w:rsidR="008E5914">
        <w:rPr>
          <w:b/>
          <w:bCs/>
        </w:rPr>
        <w:t xml:space="preserve"> </w:t>
      </w:r>
      <w:r w:rsidRPr="001574E9">
        <w:rPr>
          <w:b/>
          <w:bCs/>
        </w:rPr>
        <w:t xml:space="preserve">| Estimated </w:t>
      </w:r>
      <w:r w:rsidRPr="001574E9" w:rsidR="002D307B">
        <w:rPr>
          <w:b/>
          <w:bCs/>
        </w:rPr>
        <w:t>Schedule</w:t>
      </w:r>
    </w:p>
    <w:tbl>
      <w:tblPr>
        <w:tblStyle w:val="TableGrid"/>
        <w:tblW w:w="3321" w:type="pct"/>
        <w:tblLook w:val="04A0"/>
      </w:tblPr>
      <w:tblGrid>
        <w:gridCol w:w="3522"/>
        <w:gridCol w:w="2688"/>
      </w:tblGrid>
      <w:tr w14:paraId="6D2B096E" w14:textId="77777777" w:rsidTr="006870B9">
        <w:tblPrEx>
          <w:tblW w:w="3321" w:type="pct"/>
          <w:tblLook w:val="04A0"/>
        </w:tblPrEx>
        <w:trPr>
          <w:trHeight w:val="300"/>
        </w:trPr>
        <w:tc>
          <w:tcPr>
            <w:tcW w:w="2836" w:type="pct"/>
            <w:shd w:val="clear" w:color="auto" w:fill="D9E2F3" w:themeFill="accent1" w:themeFillTint="33"/>
            <w:hideMark/>
          </w:tcPr>
          <w:p w:rsidR="00BE6249" w:rsidRPr="001079C8" w:rsidP="0075306D" w14:paraId="7133CC76" w14:textId="77777777">
            <w:pPr>
              <w:rPr>
                <w:b/>
                <w:bCs/>
              </w:rPr>
            </w:pPr>
            <w:r w:rsidRPr="001079C8">
              <w:rPr>
                <w:b/>
                <w:bCs/>
              </w:rPr>
              <w:t>Deliverable</w:t>
            </w:r>
          </w:p>
        </w:tc>
        <w:tc>
          <w:tcPr>
            <w:tcW w:w="2164" w:type="pct"/>
            <w:shd w:val="clear" w:color="auto" w:fill="D9E2F3" w:themeFill="accent1" w:themeFillTint="33"/>
            <w:hideMark/>
          </w:tcPr>
          <w:p w:rsidR="00BE6249" w:rsidRPr="001079C8" w:rsidP="0075306D" w14:paraId="548219CA" w14:textId="77777777">
            <w:pPr>
              <w:jc w:val="center"/>
              <w:rPr>
                <w:b/>
                <w:bCs/>
              </w:rPr>
            </w:pPr>
            <w:r w:rsidRPr="001079C8">
              <w:rPr>
                <w:b/>
                <w:bCs/>
              </w:rPr>
              <w:t>Due Date</w:t>
            </w:r>
          </w:p>
        </w:tc>
      </w:tr>
      <w:tr w14:paraId="0EF5F874" w14:textId="77777777" w:rsidTr="006870B9">
        <w:tblPrEx>
          <w:tblW w:w="3321" w:type="pct"/>
          <w:tblLook w:val="04A0"/>
        </w:tblPrEx>
        <w:trPr>
          <w:trHeight w:val="250"/>
        </w:trPr>
        <w:tc>
          <w:tcPr>
            <w:tcW w:w="2836" w:type="pct"/>
            <w:hideMark/>
          </w:tcPr>
          <w:p w:rsidR="00BE6249" w:rsidRPr="000F759E" w:rsidP="0075306D" w14:paraId="1D7DC002" w14:textId="513230B2">
            <w:pPr>
              <w:rPr>
                <w:color w:val="000000"/>
              </w:rPr>
            </w:pPr>
            <w:r w:rsidRPr="000F759E">
              <w:rPr>
                <w:color w:val="000000"/>
              </w:rPr>
              <w:t xml:space="preserve">Data </w:t>
            </w:r>
            <w:r w:rsidRPr="000F759E" w:rsidR="00717EFE">
              <w:rPr>
                <w:color w:val="000000"/>
              </w:rPr>
              <w:t>c</w:t>
            </w:r>
            <w:r w:rsidRPr="000F759E">
              <w:rPr>
                <w:color w:val="000000"/>
              </w:rPr>
              <w:t>ollection</w:t>
            </w:r>
          </w:p>
        </w:tc>
        <w:tc>
          <w:tcPr>
            <w:tcW w:w="2164" w:type="pct"/>
            <w:hideMark/>
          </w:tcPr>
          <w:p w:rsidR="00BE6249" w:rsidRPr="001079C8" w:rsidP="0075306D" w14:paraId="1BF2F4EF" w14:textId="701310DD">
            <w:pPr>
              <w:jc w:val="center"/>
              <w:rPr>
                <w:color w:val="000000"/>
              </w:rPr>
            </w:pPr>
            <w:r w:rsidRPr="001079C8">
              <w:rPr>
                <w:color w:val="000000" w:themeColor="text1"/>
              </w:rPr>
              <w:t>Round 1: Oct-</w:t>
            </w:r>
            <w:r w:rsidRPr="001079C8" w:rsidR="007246ED">
              <w:rPr>
                <w:color w:val="000000" w:themeColor="text1"/>
              </w:rPr>
              <w:t>Nov</w:t>
            </w:r>
            <w:r w:rsidRPr="001079C8">
              <w:rPr>
                <w:color w:val="000000" w:themeColor="text1"/>
              </w:rPr>
              <w:t xml:space="preserve"> 23</w:t>
            </w:r>
            <w:r w:rsidRPr="001079C8">
              <w:br/>
            </w:r>
            <w:r w:rsidRPr="001079C8">
              <w:rPr>
                <w:color w:val="000000" w:themeColor="text1"/>
              </w:rPr>
              <w:t>Round 2:</w:t>
            </w:r>
            <w:r w:rsidRPr="001079C8" w:rsidR="004121A6">
              <w:rPr>
                <w:color w:val="000000" w:themeColor="text1"/>
              </w:rPr>
              <w:t xml:space="preserve"> </w:t>
            </w:r>
            <w:r w:rsidRPr="001079C8" w:rsidR="007246ED">
              <w:rPr>
                <w:color w:val="000000" w:themeColor="text1"/>
              </w:rPr>
              <w:t>March-</w:t>
            </w:r>
            <w:r w:rsidRPr="001079C8">
              <w:rPr>
                <w:color w:val="000000" w:themeColor="text1"/>
              </w:rPr>
              <w:t>April 24</w:t>
            </w:r>
          </w:p>
        </w:tc>
      </w:tr>
      <w:tr w14:paraId="5D5DDB1D" w14:textId="77777777" w:rsidTr="006870B9">
        <w:tblPrEx>
          <w:tblW w:w="3321" w:type="pct"/>
          <w:tblLook w:val="04A0"/>
        </w:tblPrEx>
        <w:trPr>
          <w:trHeight w:val="70"/>
        </w:trPr>
        <w:tc>
          <w:tcPr>
            <w:tcW w:w="2836" w:type="pct"/>
            <w:hideMark/>
          </w:tcPr>
          <w:p w:rsidR="0075306D" w:rsidRPr="000F759E" w:rsidP="0075306D" w14:paraId="4FE2F1FC" w14:textId="77777777">
            <w:pPr>
              <w:rPr>
                <w:color w:val="000000"/>
              </w:rPr>
            </w:pPr>
            <w:r w:rsidRPr="000F759E">
              <w:rPr>
                <w:b/>
                <w:bCs/>
                <w:color w:val="000000"/>
              </w:rPr>
              <w:t>BRIEFINGS</w:t>
            </w:r>
          </w:p>
        </w:tc>
        <w:tc>
          <w:tcPr>
            <w:tcW w:w="2164" w:type="pct"/>
          </w:tcPr>
          <w:p w:rsidR="0075306D" w:rsidRPr="001079C8" w:rsidP="0075306D" w14:paraId="7E2A1B0A" w14:textId="4532FB64">
            <w:pPr>
              <w:rPr>
                <w:color w:val="000000"/>
              </w:rPr>
            </w:pPr>
          </w:p>
        </w:tc>
      </w:tr>
      <w:tr w14:paraId="2F928934" w14:textId="77777777" w:rsidTr="006870B9">
        <w:tblPrEx>
          <w:tblW w:w="3321" w:type="pct"/>
          <w:tblLook w:val="04A0"/>
        </w:tblPrEx>
        <w:trPr>
          <w:trHeight w:val="106"/>
        </w:trPr>
        <w:tc>
          <w:tcPr>
            <w:tcW w:w="2836" w:type="pct"/>
            <w:hideMark/>
          </w:tcPr>
          <w:p w:rsidR="00BE6249" w:rsidRPr="000F759E" w:rsidP="0075306D" w14:paraId="7CB8EAF3" w14:textId="46E0AE6E">
            <w:pPr>
              <w:rPr>
                <w:color w:val="000000"/>
              </w:rPr>
            </w:pPr>
            <w:r w:rsidRPr="000F759E">
              <w:rPr>
                <w:color w:val="000000"/>
              </w:rPr>
              <w:t>Draft inte</w:t>
            </w:r>
            <w:r w:rsidRPr="000F759E" w:rsidR="000E041F">
              <w:rPr>
                <w:color w:val="000000"/>
              </w:rPr>
              <w:t>r</w:t>
            </w:r>
            <w:r w:rsidRPr="000F759E">
              <w:rPr>
                <w:color w:val="000000"/>
              </w:rPr>
              <w:t>im briefing materials</w:t>
            </w:r>
          </w:p>
        </w:tc>
        <w:tc>
          <w:tcPr>
            <w:tcW w:w="2164" w:type="pct"/>
            <w:hideMark/>
          </w:tcPr>
          <w:p w:rsidR="00BE6249" w:rsidRPr="001079C8" w:rsidP="0075306D" w14:paraId="56F1DCC3" w14:textId="2719971D">
            <w:pPr>
              <w:jc w:val="center"/>
              <w:rPr>
                <w:color w:val="000000"/>
              </w:rPr>
            </w:pPr>
            <w:r w:rsidRPr="001079C8">
              <w:rPr>
                <w:color w:val="000000"/>
              </w:rPr>
              <w:t>11</w:t>
            </w:r>
            <w:r w:rsidRPr="001079C8">
              <w:rPr>
                <w:color w:val="000000"/>
              </w:rPr>
              <w:t>-</w:t>
            </w:r>
            <w:r w:rsidRPr="001079C8">
              <w:rPr>
                <w:color w:val="000000"/>
              </w:rPr>
              <w:t>Dec-</w:t>
            </w:r>
            <w:r w:rsidRPr="001079C8">
              <w:rPr>
                <w:color w:val="000000"/>
              </w:rPr>
              <w:t>23</w:t>
            </w:r>
          </w:p>
        </w:tc>
      </w:tr>
      <w:tr w14:paraId="50AE8BAE" w14:textId="77777777" w:rsidTr="006870B9">
        <w:tblPrEx>
          <w:tblW w:w="3321" w:type="pct"/>
          <w:tblLook w:val="04A0"/>
        </w:tblPrEx>
        <w:trPr>
          <w:trHeight w:val="151"/>
        </w:trPr>
        <w:tc>
          <w:tcPr>
            <w:tcW w:w="2836" w:type="pct"/>
            <w:hideMark/>
          </w:tcPr>
          <w:p w:rsidR="00BE6249" w:rsidRPr="000F759E" w:rsidP="0075306D" w14:paraId="3FDA37A3" w14:textId="77777777">
            <w:pPr>
              <w:rPr>
                <w:color w:val="000000"/>
              </w:rPr>
            </w:pPr>
            <w:r w:rsidRPr="000F759E">
              <w:rPr>
                <w:color w:val="000000"/>
              </w:rPr>
              <w:t>Interim briefing</w:t>
            </w:r>
          </w:p>
        </w:tc>
        <w:tc>
          <w:tcPr>
            <w:tcW w:w="2164" w:type="pct"/>
            <w:hideMark/>
          </w:tcPr>
          <w:p w:rsidR="00BE6249" w:rsidRPr="001079C8" w:rsidP="0075306D" w14:paraId="42DAE9E0" w14:textId="3BFD48B5">
            <w:pPr>
              <w:jc w:val="center"/>
              <w:rPr>
                <w:color w:val="000000"/>
              </w:rPr>
            </w:pPr>
            <w:r w:rsidRPr="001079C8">
              <w:rPr>
                <w:color w:val="000000"/>
              </w:rPr>
              <w:t>3-</w:t>
            </w:r>
            <w:r w:rsidRPr="001079C8" w:rsidR="007246ED">
              <w:rPr>
                <w:color w:val="000000"/>
              </w:rPr>
              <w:t>Jan</w:t>
            </w:r>
            <w:r w:rsidRPr="001079C8">
              <w:rPr>
                <w:color w:val="000000"/>
              </w:rPr>
              <w:t>-2</w:t>
            </w:r>
            <w:r w:rsidRPr="001079C8" w:rsidR="007246ED">
              <w:rPr>
                <w:color w:val="000000"/>
              </w:rPr>
              <w:t>4</w:t>
            </w:r>
          </w:p>
        </w:tc>
      </w:tr>
      <w:tr w14:paraId="4EE7A911" w14:textId="77777777" w:rsidTr="006870B9">
        <w:tblPrEx>
          <w:tblW w:w="3321" w:type="pct"/>
          <w:tblLook w:val="04A0"/>
        </w:tblPrEx>
        <w:trPr>
          <w:trHeight w:val="44"/>
        </w:trPr>
        <w:tc>
          <w:tcPr>
            <w:tcW w:w="2836" w:type="pct"/>
            <w:hideMark/>
          </w:tcPr>
          <w:p w:rsidR="00BE6249" w:rsidRPr="000F759E" w:rsidP="0075306D" w14:paraId="29EB61D2" w14:textId="77777777">
            <w:pPr>
              <w:rPr>
                <w:color w:val="000000"/>
              </w:rPr>
            </w:pPr>
            <w:r w:rsidRPr="000F759E">
              <w:rPr>
                <w:color w:val="000000"/>
              </w:rPr>
              <w:t>Draft final briefing materials</w:t>
            </w:r>
          </w:p>
        </w:tc>
        <w:tc>
          <w:tcPr>
            <w:tcW w:w="2164" w:type="pct"/>
            <w:hideMark/>
          </w:tcPr>
          <w:p w:rsidR="00BE6249" w:rsidRPr="001079C8" w:rsidP="0075306D" w14:paraId="18FE0DA0" w14:textId="7EDB1035">
            <w:pPr>
              <w:jc w:val="center"/>
              <w:rPr>
                <w:color w:val="000000"/>
              </w:rPr>
            </w:pPr>
            <w:r w:rsidRPr="001079C8">
              <w:rPr>
                <w:color w:val="000000"/>
              </w:rPr>
              <w:t>16-</w:t>
            </w:r>
            <w:r w:rsidRPr="001079C8" w:rsidR="007246ED">
              <w:rPr>
                <w:color w:val="000000"/>
              </w:rPr>
              <w:t>Sep</w:t>
            </w:r>
            <w:r w:rsidRPr="001079C8">
              <w:rPr>
                <w:color w:val="000000"/>
              </w:rPr>
              <w:t>-24</w:t>
            </w:r>
          </w:p>
        </w:tc>
      </w:tr>
      <w:tr w14:paraId="6B6859BD" w14:textId="77777777" w:rsidTr="006870B9">
        <w:tblPrEx>
          <w:tblW w:w="3321" w:type="pct"/>
          <w:tblLook w:val="04A0"/>
        </w:tblPrEx>
        <w:trPr>
          <w:trHeight w:val="61"/>
        </w:trPr>
        <w:tc>
          <w:tcPr>
            <w:tcW w:w="2836" w:type="pct"/>
            <w:hideMark/>
          </w:tcPr>
          <w:p w:rsidR="00BE6249" w:rsidRPr="000F759E" w:rsidP="0075306D" w14:paraId="4F299F51" w14:textId="77777777">
            <w:pPr>
              <w:rPr>
                <w:color w:val="000000"/>
              </w:rPr>
            </w:pPr>
            <w:r w:rsidRPr="000F759E">
              <w:rPr>
                <w:color w:val="000000"/>
              </w:rPr>
              <w:t>Final briefing</w:t>
            </w:r>
          </w:p>
        </w:tc>
        <w:tc>
          <w:tcPr>
            <w:tcW w:w="2164" w:type="pct"/>
            <w:hideMark/>
          </w:tcPr>
          <w:p w:rsidR="00BE6249" w:rsidRPr="001079C8" w:rsidP="0075306D" w14:paraId="2E4505CC" w14:textId="50472EBC">
            <w:pPr>
              <w:jc w:val="center"/>
              <w:rPr>
                <w:color w:val="000000"/>
              </w:rPr>
            </w:pPr>
            <w:r w:rsidRPr="001079C8">
              <w:rPr>
                <w:color w:val="000000"/>
              </w:rPr>
              <w:t>1</w:t>
            </w:r>
            <w:r w:rsidRPr="001079C8" w:rsidR="008B5700">
              <w:rPr>
                <w:color w:val="000000"/>
              </w:rPr>
              <w:t>4</w:t>
            </w:r>
            <w:r w:rsidRPr="001079C8">
              <w:rPr>
                <w:color w:val="000000"/>
              </w:rPr>
              <w:t>-</w:t>
            </w:r>
            <w:r w:rsidRPr="001079C8" w:rsidR="008B5700">
              <w:rPr>
                <w:color w:val="000000"/>
              </w:rPr>
              <w:t>Oct</w:t>
            </w:r>
            <w:r w:rsidRPr="001079C8">
              <w:rPr>
                <w:color w:val="000000"/>
              </w:rPr>
              <w:t>-24</w:t>
            </w:r>
          </w:p>
        </w:tc>
      </w:tr>
      <w:tr w14:paraId="47B7FA1C" w14:textId="77777777" w:rsidTr="006870B9">
        <w:tblPrEx>
          <w:tblW w:w="3321" w:type="pct"/>
          <w:tblLook w:val="04A0"/>
        </w:tblPrEx>
        <w:trPr>
          <w:trHeight w:val="97"/>
        </w:trPr>
        <w:tc>
          <w:tcPr>
            <w:tcW w:w="2836" w:type="pct"/>
          </w:tcPr>
          <w:p w:rsidR="0075306D" w:rsidRPr="000F759E" w:rsidP="0075306D" w14:paraId="42B03DA1" w14:textId="77777777">
            <w:pPr>
              <w:rPr>
                <w:color w:val="000000"/>
              </w:rPr>
            </w:pPr>
            <w:r w:rsidRPr="000F759E">
              <w:rPr>
                <w:b/>
                <w:bCs/>
                <w:color w:val="000000"/>
              </w:rPr>
              <w:t>REPORTS</w:t>
            </w:r>
          </w:p>
        </w:tc>
        <w:tc>
          <w:tcPr>
            <w:tcW w:w="2164" w:type="pct"/>
          </w:tcPr>
          <w:p w:rsidR="0075306D" w:rsidRPr="001079C8" w:rsidP="0075306D" w14:paraId="76FFA05D" w14:textId="440659CF">
            <w:pPr>
              <w:rPr>
                <w:color w:val="000000"/>
              </w:rPr>
            </w:pPr>
          </w:p>
        </w:tc>
      </w:tr>
      <w:tr w14:paraId="0F5FFAD2" w14:textId="77777777" w:rsidTr="006870B9">
        <w:tblPrEx>
          <w:tblW w:w="3321" w:type="pct"/>
          <w:tblLook w:val="04A0"/>
        </w:tblPrEx>
        <w:trPr>
          <w:trHeight w:val="97"/>
        </w:trPr>
        <w:tc>
          <w:tcPr>
            <w:tcW w:w="2836" w:type="pct"/>
            <w:hideMark/>
          </w:tcPr>
          <w:p w:rsidR="00BE6249" w:rsidRPr="000F759E" w:rsidP="0075306D" w14:paraId="5D3CA648" w14:textId="77777777">
            <w:pPr>
              <w:rPr>
                <w:color w:val="000000"/>
              </w:rPr>
            </w:pPr>
            <w:r w:rsidRPr="000F759E">
              <w:rPr>
                <w:color w:val="000000"/>
              </w:rPr>
              <w:t>Draft interim report</w:t>
            </w:r>
          </w:p>
        </w:tc>
        <w:tc>
          <w:tcPr>
            <w:tcW w:w="2164" w:type="pct"/>
            <w:hideMark/>
          </w:tcPr>
          <w:p w:rsidR="00BE6249" w:rsidRPr="001079C8" w:rsidP="0075306D" w14:paraId="4A0236FD" w14:textId="758889F7">
            <w:pPr>
              <w:jc w:val="center"/>
              <w:rPr>
                <w:color w:val="000000"/>
              </w:rPr>
            </w:pPr>
            <w:r w:rsidRPr="001079C8">
              <w:rPr>
                <w:color w:val="000000"/>
              </w:rPr>
              <w:t>4</w:t>
            </w:r>
            <w:r w:rsidRPr="001079C8">
              <w:rPr>
                <w:color w:val="000000"/>
              </w:rPr>
              <w:t>-</w:t>
            </w:r>
            <w:r w:rsidRPr="001079C8">
              <w:rPr>
                <w:color w:val="000000"/>
              </w:rPr>
              <w:t>Dec</w:t>
            </w:r>
            <w:r w:rsidRPr="001079C8">
              <w:rPr>
                <w:color w:val="000000"/>
              </w:rPr>
              <w:t>-23</w:t>
            </w:r>
          </w:p>
        </w:tc>
      </w:tr>
      <w:tr w14:paraId="11753B3B" w14:textId="77777777" w:rsidTr="006870B9">
        <w:tblPrEx>
          <w:tblW w:w="3321" w:type="pct"/>
          <w:tblLook w:val="04A0"/>
        </w:tblPrEx>
        <w:trPr>
          <w:trHeight w:val="52"/>
        </w:trPr>
        <w:tc>
          <w:tcPr>
            <w:tcW w:w="2836" w:type="pct"/>
            <w:hideMark/>
          </w:tcPr>
          <w:p w:rsidR="00BE6249" w:rsidRPr="000F759E" w:rsidP="0075306D" w14:paraId="7AE72C7F" w14:textId="72237DB0">
            <w:pPr>
              <w:rPr>
                <w:color w:val="000000"/>
              </w:rPr>
            </w:pPr>
            <w:r w:rsidRPr="000F759E">
              <w:rPr>
                <w:color w:val="000000"/>
              </w:rPr>
              <w:t xml:space="preserve">Final </w:t>
            </w:r>
            <w:r w:rsidRPr="000F759E" w:rsidR="006E1A86">
              <w:rPr>
                <w:color w:val="000000"/>
              </w:rPr>
              <w:t>i</w:t>
            </w:r>
            <w:r w:rsidRPr="000F759E">
              <w:rPr>
                <w:color w:val="000000"/>
              </w:rPr>
              <w:t>nterim report</w:t>
            </w:r>
          </w:p>
        </w:tc>
        <w:tc>
          <w:tcPr>
            <w:tcW w:w="2164" w:type="pct"/>
            <w:hideMark/>
          </w:tcPr>
          <w:p w:rsidR="00BE6249" w:rsidRPr="001079C8" w:rsidP="0075306D" w14:paraId="32D0F30C" w14:textId="1221ACD6">
            <w:pPr>
              <w:jc w:val="center"/>
              <w:rPr>
                <w:color w:val="000000"/>
              </w:rPr>
            </w:pPr>
            <w:r w:rsidRPr="001079C8">
              <w:rPr>
                <w:color w:val="000000"/>
              </w:rPr>
              <w:t>2-</w:t>
            </w:r>
            <w:r w:rsidRPr="001079C8" w:rsidR="008B5700">
              <w:rPr>
                <w:color w:val="000000"/>
              </w:rPr>
              <w:t>Feb</w:t>
            </w:r>
            <w:r w:rsidRPr="001079C8">
              <w:rPr>
                <w:color w:val="000000"/>
              </w:rPr>
              <w:t>-24</w:t>
            </w:r>
          </w:p>
        </w:tc>
      </w:tr>
      <w:tr w14:paraId="31396186" w14:textId="77777777" w:rsidTr="006870B9">
        <w:tblPrEx>
          <w:tblW w:w="3321" w:type="pct"/>
          <w:tblLook w:val="04A0"/>
        </w:tblPrEx>
        <w:trPr>
          <w:trHeight w:val="178"/>
        </w:trPr>
        <w:tc>
          <w:tcPr>
            <w:tcW w:w="2836" w:type="pct"/>
            <w:hideMark/>
          </w:tcPr>
          <w:p w:rsidR="00BE6249" w:rsidRPr="000F759E" w:rsidP="0075306D" w14:paraId="6AF992BD" w14:textId="77777777">
            <w:pPr>
              <w:rPr>
                <w:color w:val="000000"/>
              </w:rPr>
            </w:pPr>
            <w:r w:rsidRPr="000F759E">
              <w:rPr>
                <w:color w:val="000000"/>
              </w:rPr>
              <w:t>Draft final report</w:t>
            </w:r>
          </w:p>
        </w:tc>
        <w:tc>
          <w:tcPr>
            <w:tcW w:w="2164" w:type="pct"/>
            <w:hideMark/>
          </w:tcPr>
          <w:p w:rsidR="00BE6249" w:rsidRPr="001079C8" w:rsidP="0075306D" w14:paraId="4354B312" w14:textId="0FDFA688">
            <w:pPr>
              <w:jc w:val="center"/>
              <w:rPr>
                <w:color w:val="000000"/>
              </w:rPr>
            </w:pPr>
            <w:r w:rsidRPr="001079C8">
              <w:rPr>
                <w:color w:val="000000"/>
              </w:rPr>
              <w:t>9</w:t>
            </w:r>
            <w:r w:rsidRPr="001079C8">
              <w:rPr>
                <w:color w:val="000000"/>
              </w:rPr>
              <w:t>-</w:t>
            </w:r>
            <w:r w:rsidRPr="001079C8">
              <w:rPr>
                <w:color w:val="000000"/>
              </w:rPr>
              <w:t>Sep</w:t>
            </w:r>
            <w:r w:rsidRPr="001079C8">
              <w:rPr>
                <w:color w:val="000000"/>
              </w:rPr>
              <w:t>-24</w:t>
            </w:r>
          </w:p>
        </w:tc>
      </w:tr>
      <w:tr w14:paraId="6B998367" w14:textId="77777777" w:rsidTr="006870B9">
        <w:tblPrEx>
          <w:tblW w:w="3321" w:type="pct"/>
          <w:tblLook w:val="04A0"/>
        </w:tblPrEx>
        <w:trPr>
          <w:trHeight w:val="52"/>
        </w:trPr>
        <w:tc>
          <w:tcPr>
            <w:tcW w:w="2836" w:type="pct"/>
            <w:hideMark/>
          </w:tcPr>
          <w:p w:rsidR="00BE6249" w:rsidRPr="000F759E" w:rsidP="0075306D" w14:paraId="3929D51B" w14:textId="5699D068">
            <w:pPr>
              <w:rPr>
                <w:color w:val="000000"/>
              </w:rPr>
            </w:pPr>
            <w:r w:rsidRPr="000F759E">
              <w:rPr>
                <w:color w:val="000000"/>
              </w:rPr>
              <w:t xml:space="preserve">Final </w:t>
            </w:r>
            <w:r w:rsidRPr="000F759E" w:rsidR="006E1A86">
              <w:rPr>
                <w:color w:val="000000"/>
              </w:rPr>
              <w:t>r</w:t>
            </w:r>
            <w:r w:rsidRPr="000F759E">
              <w:rPr>
                <w:color w:val="000000"/>
              </w:rPr>
              <w:t>eport</w:t>
            </w:r>
          </w:p>
        </w:tc>
        <w:tc>
          <w:tcPr>
            <w:tcW w:w="2164" w:type="pct"/>
            <w:hideMark/>
          </w:tcPr>
          <w:p w:rsidR="00BE6249" w:rsidRPr="001079C8" w:rsidP="0075306D" w14:paraId="1DAE75FE" w14:textId="4D860772">
            <w:pPr>
              <w:jc w:val="center"/>
              <w:rPr>
                <w:color w:val="000000"/>
              </w:rPr>
            </w:pPr>
            <w:r w:rsidRPr="001079C8">
              <w:rPr>
                <w:color w:val="000000"/>
              </w:rPr>
              <w:t>9</w:t>
            </w:r>
            <w:r w:rsidRPr="001079C8">
              <w:rPr>
                <w:color w:val="000000"/>
              </w:rPr>
              <w:t>-</w:t>
            </w:r>
            <w:r w:rsidRPr="001079C8">
              <w:rPr>
                <w:color w:val="000000"/>
              </w:rPr>
              <w:t>Dec</w:t>
            </w:r>
            <w:r w:rsidRPr="001079C8">
              <w:rPr>
                <w:color w:val="000000"/>
              </w:rPr>
              <w:t>-24</w:t>
            </w:r>
          </w:p>
        </w:tc>
      </w:tr>
    </w:tbl>
    <w:p w:rsidR="00D970EF" w:rsidP="0075306D" w14:paraId="77BB6012" w14:textId="77777777">
      <w:pPr>
        <w:widowControl w:val="0"/>
        <w:kinsoku w:val="0"/>
        <w:ind w:left="360"/>
        <w:rPr>
          <w:b/>
          <w:bCs/>
        </w:rPr>
      </w:pPr>
    </w:p>
    <w:p w:rsidR="00090D0F" w:rsidP="0075306D" w14:paraId="5FDCE3AC" w14:textId="77777777">
      <w:pPr>
        <w:widowControl w:val="0"/>
        <w:kinsoku w:val="0"/>
        <w:ind w:left="360"/>
        <w:rPr>
          <w:b/>
          <w:bCs/>
        </w:rPr>
      </w:pPr>
    </w:p>
    <w:p w:rsidR="00090D0F" w:rsidP="0075306D" w14:paraId="6A454D0B" w14:textId="77777777">
      <w:pPr>
        <w:widowControl w:val="0"/>
        <w:kinsoku w:val="0"/>
        <w:ind w:left="360"/>
        <w:rPr>
          <w:b/>
          <w:bCs/>
        </w:rPr>
      </w:pPr>
    </w:p>
    <w:p w:rsidR="00090D0F" w:rsidP="0075306D" w14:paraId="28A0C0F6" w14:textId="77777777">
      <w:pPr>
        <w:widowControl w:val="0"/>
        <w:kinsoku w:val="0"/>
        <w:ind w:left="360"/>
        <w:rPr>
          <w:b/>
          <w:bCs/>
        </w:rPr>
      </w:pPr>
    </w:p>
    <w:p w:rsidR="00BF38CF" w:rsidRPr="00135146" w:rsidP="006870B9" w14:paraId="7B4BF606" w14:textId="6D447EA5">
      <w:pPr>
        <w:pStyle w:val="Heading2"/>
      </w:pPr>
      <w:r w:rsidRPr="00135146">
        <w:t>If seeking approval to not display the expiration date for OMB approval of the information collection, explain the reasons that display would be inappropriate.</w:t>
      </w:r>
    </w:p>
    <w:p w:rsidR="00BF38CF" w:rsidRPr="00135146" w:rsidP="0075306D" w14:paraId="2C2A3AB8" w14:textId="77777777">
      <w:pPr>
        <w:pStyle w:val="ListParagraph"/>
        <w:rPr>
          <w:b/>
          <w:bCs/>
        </w:rPr>
      </w:pPr>
    </w:p>
    <w:p w:rsidR="00135146" w:rsidP="006870B9" w14:paraId="10CBE063" w14:textId="603F14C0">
      <w:pPr>
        <w:rPr>
          <w:szCs w:val="22"/>
        </w:rPr>
      </w:pPr>
      <w:r>
        <w:t xml:space="preserve">Not applicable. </w:t>
      </w:r>
      <w:r>
        <w:t>All data collection instruments will prominently display the expiration date for OMB approval.</w:t>
      </w:r>
    </w:p>
    <w:p w:rsidR="0018448E" w:rsidRPr="0018448E" w:rsidP="006870B9" w14:paraId="6F0BE5AF" w14:textId="77777777">
      <w:pPr>
        <w:ind w:left="360"/>
        <w:rPr>
          <w:szCs w:val="22"/>
        </w:rPr>
      </w:pPr>
    </w:p>
    <w:p w:rsidR="00BF38CF" w:rsidRPr="00135146" w:rsidP="006870B9" w14:paraId="6B1B661B" w14:textId="5B596D88">
      <w:pPr>
        <w:pStyle w:val="Heading2"/>
      </w:pPr>
      <w:r w:rsidRPr="00135146">
        <w:t>Explain each exception to the certification statement identified in Item 19, “Certification for Paperwork Reduction Act Submissions,” of OMB Form 83-I.</w:t>
      </w:r>
    </w:p>
    <w:p w:rsidR="00BF38CF" w:rsidP="0075306D" w14:paraId="717F0B6B" w14:textId="68CB849B"/>
    <w:p w:rsidR="00135146" w:rsidP="006870B9" w14:paraId="204DBADF" w14:textId="77777777">
      <w:pPr>
        <w:rPr>
          <w:szCs w:val="22"/>
        </w:rPr>
      </w:pPr>
      <w:r>
        <w:t>This submission describing data collection requests no exceptions to the Certificate for Paperwork Reduction Act (5 CFR 1320.9).</w:t>
      </w:r>
    </w:p>
    <w:p w:rsidR="00135146" w:rsidP="0075306D" w14:paraId="62AB25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3E45" w:rsidP="002954E4" w14:paraId="305AAD65" w14:textId="77777777">
      <w:r>
        <w:separator/>
      </w:r>
    </w:p>
  </w:footnote>
  <w:footnote w:type="continuationSeparator" w:id="1">
    <w:p w:rsidR="00C53E45" w:rsidP="002954E4" w14:paraId="16B2DEB0" w14:textId="77777777">
      <w:r>
        <w:continuationSeparator/>
      </w:r>
    </w:p>
  </w:footnote>
  <w:footnote w:type="continuationNotice" w:id="2">
    <w:p w:rsidR="00C53E45" w14:paraId="464BF6A1" w14:textId="77777777"/>
  </w:footnote>
  <w:footnote w:id="3">
    <w:p w:rsidR="002954E4" w:rsidP="002954E4" w14:paraId="6E4D6D0D" w14:textId="65DD0F34">
      <w:pPr>
        <w:pStyle w:val="FootnoteText"/>
      </w:pPr>
      <w:r>
        <w:rPr>
          <w:rStyle w:val="FootnoteReference"/>
        </w:rPr>
        <w:footnoteRef/>
      </w:r>
      <w:r>
        <w:t xml:space="preserve"> This covers all the </w:t>
      </w:r>
      <w:r w:rsidR="00294B37">
        <w:t xml:space="preserve">qualitative data collection and analysis </w:t>
      </w:r>
      <w:r>
        <w:t>tasks for the entire project, including developing, administering, and analysis of interview</w:t>
      </w:r>
      <w:r w:rsidR="00637299">
        <w:t>s and focus group</w:t>
      </w:r>
      <w:r w:rsidR="006448CF">
        <w:t>s</w:t>
      </w:r>
      <w:r>
        <w:t xml:space="preserve">. </w:t>
      </w:r>
      <w:r w:rsidR="00342724">
        <w:t>It also includes the incentives for the program participants.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27F887A"/>
    <w:multiLevelType w:val="hybridMultilevel"/>
    <w:tmpl w:val="FFFFFFFF"/>
    <w:lvl w:ilvl="0">
      <w:start w:val="1"/>
      <w:numFmt w:val="upperRoman"/>
      <w:lvlText w:val="%1"/>
      <w:lvlJc w:val="left"/>
    </w:lvl>
    <w:lvl w:ilvl="1">
      <w:start w:val="1"/>
      <w:numFmt w:val="ideographDigit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B60F8A"/>
    <w:multiLevelType w:val="hybridMultilevel"/>
    <w:tmpl w:val="A23A36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3C69EC"/>
    <w:multiLevelType w:val="hybridMultilevel"/>
    <w:tmpl w:val="C20857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D7D70FD"/>
    <w:multiLevelType w:val="hybridMultilevel"/>
    <w:tmpl w:val="3FFAC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5A6613"/>
    <w:multiLevelType w:val="hybridMultilevel"/>
    <w:tmpl w:val="7688C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52B11E3"/>
    <w:multiLevelType w:val="hybridMultilevel"/>
    <w:tmpl w:val="A9F47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3F4720"/>
    <w:multiLevelType w:val="hybridMultilevel"/>
    <w:tmpl w:val="988A5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A9205F"/>
    <w:multiLevelType w:val="hybridMultilevel"/>
    <w:tmpl w:val="1424E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83C5B30"/>
    <w:multiLevelType w:val="hybridMultilevel"/>
    <w:tmpl w:val="157C870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B553804"/>
    <w:multiLevelType w:val="hybridMultilevel"/>
    <w:tmpl w:val="AC98DA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BE2B66"/>
    <w:multiLevelType w:val="hybridMultilevel"/>
    <w:tmpl w:val="4B7655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2F67D8B"/>
    <w:multiLevelType w:val="hybridMultilevel"/>
    <w:tmpl w:val="37041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2524F1"/>
    <w:multiLevelType w:val="hybridMultilevel"/>
    <w:tmpl w:val="4BAC9B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252"/>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69306F"/>
    <w:multiLevelType w:val="hybridMultilevel"/>
    <w:tmpl w:val="EAE60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037B25"/>
    <w:multiLevelType w:val="hybridMultilevel"/>
    <w:tmpl w:val="368876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2761F49"/>
    <w:multiLevelType w:val="hybridMultilevel"/>
    <w:tmpl w:val="EE26A9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B113A10"/>
    <w:multiLevelType w:val="hybridMultilevel"/>
    <w:tmpl w:val="73446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4927C0"/>
    <w:multiLevelType w:val="hybridMultilevel"/>
    <w:tmpl w:val="35CE6AFE"/>
    <w:lvl w:ilvl="0">
      <w:start w:val="1"/>
      <w:numFmt w:val="decimal"/>
      <w:pStyle w:val="Heading2"/>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987841"/>
    <w:multiLevelType w:val="hybridMultilevel"/>
    <w:tmpl w:val="59268D7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1">
    <w:nsid w:val="760B50B1"/>
    <w:multiLevelType w:val="hybridMultilevel"/>
    <w:tmpl w:val="9F8C6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097C66"/>
    <w:multiLevelType w:val="hybridMultilevel"/>
    <w:tmpl w:val="2E78412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5482154">
    <w:abstractNumId w:val="17"/>
  </w:num>
  <w:num w:numId="2" w16cid:durableId="362218589">
    <w:abstractNumId w:val="6"/>
  </w:num>
  <w:num w:numId="3" w16cid:durableId="403071615">
    <w:abstractNumId w:val="20"/>
  </w:num>
  <w:num w:numId="4" w16cid:durableId="2016566792">
    <w:abstractNumId w:val="19"/>
  </w:num>
  <w:num w:numId="5" w16cid:durableId="1173573824">
    <w:abstractNumId w:val="14"/>
  </w:num>
  <w:num w:numId="6" w16cid:durableId="854274054">
    <w:abstractNumId w:val="9"/>
  </w:num>
  <w:num w:numId="7" w16cid:durableId="15228849">
    <w:abstractNumId w:val="13"/>
  </w:num>
  <w:num w:numId="8" w16cid:durableId="1448038231">
    <w:abstractNumId w:val="15"/>
  </w:num>
  <w:num w:numId="9" w16cid:durableId="196554167">
    <w:abstractNumId w:val="4"/>
  </w:num>
  <w:num w:numId="10" w16cid:durableId="1947888974">
    <w:abstractNumId w:val="11"/>
  </w:num>
  <w:num w:numId="11" w16cid:durableId="727610704">
    <w:abstractNumId w:val="8"/>
  </w:num>
  <w:num w:numId="12" w16cid:durableId="1801419809">
    <w:abstractNumId w:val="10"/>
  </w:num>
  <w:num w:numId="13" w16cid:durableId="522015440">
    <w:abstractNumId w:val="12"/>
  </w:num>
  <w:num w:numId="14" w16cid:durableId="880286797">
    <w:abstractNumId w:val="7"/>
  </w:num>
  <w:num w:numId="15" w16cid:durableId="1681203578">
    <w:abstractNumId w:val="21"/>
  </w:num>
  <w:num w:numId="16" w16cid:durableId="1982147312">
    <w:abstractNumId w:val="18"/>
  </w:num>
  <w:num w:numId="17" w16cid:durableId="698353657">
    <w:abstractNumId w:val="1"/>
  </w:num>
  <w:num w:numId="18" w16cid:durableId="935746880">
    <w:abstractNumId w:val="3"/>
  </w:num>
  <w:num w:numId="19" w16cid:durableId="605429478">
    <w:abstractNumId w:val="2"/>
  </w:num>
  <w:num w:numId="20" w16cid:durableId="433014178">
    <w:abstractNumId w:val="5"/>
  </w:num>
  <w:num w:numId="21" w16cid:durableId="763918775">
    <w:abstractNumId w:val="16"/>
  </w:num>
  <w:num w:numId="22" w16cid:durableId="265506188">
    <w:abstractNumId w:val="22"/>
  </w:num>
  <w:num w:numId="23" w16cid:durableId="187233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CF"/>
    <w:rsid w:val="00000700"/>
    <w:rsid w:val="00002633"/>
    <w:rsid w:val="000059F0"/>
    <w:rsid w:val="00006135"/>
    <w:rsid w:val="00010C66"/>
    <w:rsid w:val="000160A9"/>
    <w:rsid w:val="00020D52"/>
    <w:rsid w:val="0002590E"/>
    <w:rsid w:val="000260AB"/>
    <w:rsid w:val="00032F87"/>
    <w:rsid w:val="00037398"/>
    <w:rsid w:val="000373C9"/>
    <w:rsid w:val="000428DF"/>
    <w:rsid w:val="0005008C"/>
    <w:rsid w:val="000522C8"/>
    <w:rsid w:val="000536D3"/>
    <w:rsid w:val="00054352"/>
    <w:rsid w:val="00062C69"/>
    <w:rsid w:val="00064443"/>
    <w:rsid w:val="00081190"/>
    <w:rsid w:val="000851D3"/>
    <w:rsid w:val="00087945"/>
    <w:rsid w:val="00090D0F"/>
    <w:rsid w:val="000972BF"/>
    <w:rsid w:val="000A1424"/>
    <w:rsid w:val="000A151F"/>
    <w:rsid w:val="000A31C7"/>
    <w:rsid w:val="000B1696"/>
    <w:rsid w:val="000B419E"/>
    <w:rsid w:val="000B5D5A"/>
    <w:rsid w:val="000B6BBC"/>
    <w:rsid w:val="000C1477"/>
    <w:rsid w:val="000C2864"/>
    <w:rsid w:val="000C3551"/>
    <w:rsid w:val="000C485D"/>
    <w:rsid w:val="000C4971"/>
    <w:rsid w:val="000D397D"/>
    <w:rsid w:val="000D3C20"/>
    <w:rsid w:val="000D5BFC"/>
    <w:rsid w:val="000D6479"/>
    <w:rsid w:val="000D66A9"/>
    <w:rsid w:val="000E041F"/>
    <w:rsid w:val="000E536D"/>
    <w:rsid w:val="000E7DC0"/>
    <w:rsid w:val="000F1193"/>
    <w:rsid w:val="000F15BD"/>
    <w:rsid w:val="000F2BD5"/>
    <w:rsid w:val="000F4993"/>
    <w:rsid w:val="000F6D20"/>
    <w:rsid w:val="000F759E"/>
    <w:rsid w:val="00103922"/>
    <w:rsid w:val="00105A5F"/>
    <w:rsid w:val="001079C8"/>
    <w:rsid w:val="001158BC"/>
    <w:rsid w:val="001205EF"/>
    <w:rsid w:val="0012320B"/>
    <w:rsid w:val="00123DB3"/>
    <w:rsid w:val="001245E4"/>
    <w:rsid w:val="00127FA0"/>
    <w:rsid w:val="00131184"/>
    <w:rsid w:val="00134772"/>
    <w:rsid w:val="00135146"/>
    <w:rsid w:val="00137632"/>
    <w:rsid w:val="001405CB"/>
    <w:rsid w:val="0014446B"/>
    <w:rsid w:val="00144526"/>
    <w:rsid w:val="00144CC6"/>
    <w:rsid w:val="001511C9"/>
    <w:rsid w:val="001574E9"/>
    <w:rsid w:val="00163087"/>
    <w:rsid w:val="00172FB2"/>
    <w:rsid w:val="00177832"/>
    <w:rsid w:val="00177CEB"/>
    <w:rsid w:val="00181EA3"/>
    <w:rsid w:val="0018448E"/>
    <w:rsid w:val="00184540"/>
    <w:rsid w:val="001848A2"/>
    <w:rsid w:val="00190723"/>
    <w:rsid w:val="001919E1"/>
    <w:rsid w:val="00193A4A"/>
    <w:rsid w:val="001959E1"/>
    <w:rsid w:val="001970D6"/>
    <w:rsid w:val="001A043B"/>
    <w:rsid w:val="001A24CF"/>
    <w:rsid w:val="001A7738"/>
    <w:rsid w:val="001A7E76"/>
    <w:rsid w:val="001B0696"/>
    <w:rsid w:val="001B5F3B"/>
    <w:rsid w:val="001C1326"/>
    <w:rsid w:val="001C4041"/>
    <w:rsid w:val="001C5B93"/>
    <w:rsid w:val="001D24CF"/>
    <w:rsid w:val="001D5EFC"/>
    <w:rsid w:val="001D66C8"/>
    <w:rsid w:val="001E043D"/>
    <w:rsid w:val="001F0C63"/>
    <w:rsid w:val="001F6632"/>
    <w:rsid w:val="00200356"/>
    <w:rsid w:val="00201686"/>
    <w:rsid w:val="00205CEC"/>
    <w:rsid w:val="00211715"/>
    <w:rsid w:val="00213EC4"/>
    <w:rsid w:val="00214F59"/>
    <w:rsid w:val="00215CEA"/>
    <w:rsid w:val="0022065C"/>
    <w:rsid w:val="00220BE4"/>
    <w:rsid w:val="00221CDB"/>
    <w:rsid w:val="0023199C"/>
    <w:rsid w:val="00233A01"/>
    <w:rsid w:val="00237A69"/>
    <w:rsid w:val="00240C1D"/>
    <w:rsid w:val="00253BD8"/>
    <w:rsid w:val="002573EB"/>
    <w:rsid w:val="00261477"/>
    <w:rsid w:val="00261F94"/>
    <w:rsid w:val="00264E7D"/>
    <w:rsid w:val="0026532D"/>
    <w:rsid w:val="002666A8"/>
    <w:rsid w:val="00266E00"/>
    <w:rsid w:val="00266F70"/>
    <w:rsid w:val="00267F92"/>
    <w:rsid w:val="00273917"/>
    <w:rsid w:val="00274AD0"/>
    <w:rsid w:val="002770E7"/>
    <w:rsid w:val="002825A1"/>
    <w:rsid w:val="00283235"/>
    <w:rsid w:val="00284478"/>
    <w:rsid w:val="00284F3F"/>
    <w:rsid w:val="002861C0"/>
    <w:rsid w:val="00287E62"/>
    <w:rsid w:val="002909D1"/>
    <w:rsid w:val="00292060"/>
    <w:rsid w:val="002937E3"/>
    <w:rsid w:val="00294173"/>
    <w:rsid w:val="00294B37"/>
    <w:rsid w:val="002954E4"/>
    <w:rsid w:val="00295C2D"/>
    <w:rsid w:val="00295C86"/>
    <w:rsid w:val="00297637"/>
    <w:rsid w:val="0029776E"/>
    <w:rsid w:val="0029794E"/>
    <w:rsid w:val="002A003A"/>
    <w:rsid w:val="002A41A2"/>
    <w:rsid w:val="002A5CC5"/>
    <w:rsid w:val="002A6BBF"/>
    <w:rsid w:val="002A6EEE"/>
    <w:rsid w:val="002A7E40"/>
    <w:rsid w:val="002B1820"/>
    <w:rsid w:val="002B29CE"/>
    <w:rsid w:val="002B37F1"/>
    <w:rsid w:val="002B6987"/>
    <w:rsid w:val="002C45DC"/>
    <w:rsid w:val="002D307B"/>
    <w:rsid w:val="002D456E"/>
    <w:rsid w:val="002D6403"/>
    <w:rsid w:val="002D7257"/>
    <w:rsid w:val="002E5530"/>
    <w:rsid w:val="002E5F4F"/>
    <w:rsid w:val="002E69B2"/>
    <w:rsid w:val="002F2D8A"/>
    <w:rsid w:val="00302FEE"/>
    <w:rsid w:val="0031423B"/>
    <w:rsid w:val="00314560"/>
    <w:rsid w:val="0031550B"/>
    <w:rsid w:val="003159DD"/>
    <w:rsid w:val="003165AE"/>
    <w:rsid w:val="003230C3"/>
    <w:rsid w:val="003258DC"/>
    <w:rsid w:val="00326FB8"/>
    <w:rsid w:val="00341E1E"/>
    <w:rsid w:val="00342724"/>
    <w:rsid w:val="00343E49"/>
    <w:rsid w:val="003444A6"/>
    <w:rsid w:val="003464D9"/>
    <w:rsid w:val="00346779"/>
    <w:rsid w:val="00350C5D"/>
    <w:rsid w:val="00353109"/>
    <w:rsid w:val="00353213"/>
    <w:rsid w:val="00354DFC"/>
    <w:rsid w:val="00356FA9"/>
    <w:rsid w:val="00365B0A"/>
    <w:rsid w:val="003677B2"/>
    <w:rsid w:val="00371C5A"/>
    <w:rsid w:val="003737CF"/>
    <w:rsid w:val="0037554F"/>
    <w:rsid w:val="00381B2D"/>
    <w:rsid w:val="00382540"/>
    <w:rsid w:val="00383A1C"/>
    <w:rsid w:val="00385FD0"/>
    <w:rsid w:val="00386ECC"/>
    <w:rsid w:val="00395DCB"/>
    <w:rsid w:val="003A02DB"/>
    <w:rsid w:val="003A2AF8"/>
    <w:rsid w:val="003A5947"/>
    <w:rsid w:val="003A68D3"/>
    <w:rsid w:val="003B0215"/>
    <w:rsid w:val="003B09E3"/>
    <w:rsid w:val="003B109C"/>
    <w:rsid w:val="003B22BD"/>
    <w:rsid w:val="003B26DB"/>
    <w:rsid w:val="003B3997"/>
    <w:rsid w:val="003C2527"/>
    <w:rsid w:val="003C5CE6"/>
    <w:rsid w:val="003C645C"/>
    <w:rsid w:val="003C7F72"/>
    <w:rsid w:val="003D054F"/>
    <w:rsid w:val="003D0C84"/>
    <w:rsid w:val="003D6591"/>
    <w:rsid w:val="003D6E84"/>
    <w:rsid w:val="003D7306"/>
    <w:rsid w:val="003E3791"/>
    <w:rsid w:val="003E59FC"/>
    <w:rsid w:val="003F1ADC"/>
    <w:rsid w:val="003F5FC8"/>
    <w:rsid w:val="003F7711"/>
    <w:rsid w:val="004060EE"/>
    <w:rsid w:val="00407380"/>
    <w:rsid w:val="00410780"/>
    <w:rsid w:val="004121A6"/>
    <w:rsid w:val="00414C79"/>
    <w:rsid w:val="00414FCD"/>
    <w:rsid w:val="00420AA6"/>
    <w:rsid w:val="004250B3"/>
    <w:rsid w:val="00425D90"/>
    <w:rsid w:val="004269DF"/>
    <w:rsid w:val="00427888"/>
    <w:rsid w:val="0043343E"/>
    <w:rsid w:val="00435F25"/>
    <w:rsid w:val="00437B27"/>
    <w:rsid w:val="00443F63"/>
    <w:rsid w:val="0044439A"/>
    <w:rsid w:val="00445F4A"/>
    <w:rsid w:val="00446506"/>
    <w:rsid w:val="004477CB"/>
    <w:rsid w:val="00452F43"/>
    <w:rsid w:val="004565AB"/>
    <w:rsid w:val="00464853"/>
    <w:rsid w:val="00464CF7"/>
    <w:rsid w:val="004712B8"/>
    <w:rsid w:val="00472D23"/>
    <w:rsid w:val="00474D1A"/>
    <w:rsid w:val="0047650D"/>
    <w:rsid w:val="00480C1E"/>
    <w:rsid w:val="00481DE9"/>
    <w:rsid w:val="00482AE7"/>
    <w:rsid w:val="00482FBC"/>
    <w:rsid w:val="00484C9A"/>
    <w:rsid w:val="00487D86"/>
    <w:rsid w:val="00495448"/>
    <w:rsid w:val="004A1AB8"/>
    <w:rsid w:val="004B2C0C"/>
    <w:rsid w:val="004B5649"/>
    <w:rsid w:val="004C2D82"/>
    <w:rsid w:val="004C4344"/>
    <w:rsid w:val="004C459D"/>
    <w:rsid w:val="004C79E0"/>
    <w:rsid w:val="004D3AA3"/>
    <w:rsid w:val="004D3B5F"/>
    <w:rsid w:val="004D4AC4"/>
    <w:rsid w:val="004D527F"/>
    <w:rsid w:val="004D6429"/>
    <w:rsid w:val="004D727A"/>
    <w:rsid w:val="004E7EFC"/>
    <w:rsid w:val="004F2471"/>
    <w:rsid w:val="004F2BBF"/>
    <w:rsid w:val="004F2CDE"/>
    <w:rsid w:val="004F62F6"/>
    <w:rsid w:val="00504278"/>
    <w:rsid w:val="00505374"/>
    <w:rsid w:val="005078F1"/>
    <w:rsid w:val="00513305"/>
    <w:rsid w:val="00520E6C"/>
    <w:rsid w:val="00526147"/>
    <w:rsid w:val="005300A9"/>
    <w:rsid w:val="00530AF6"/>
    <w:rsid w:val="00534B14"/>
    <w:rsid w:val="00535F97"/>
    <w:rsid w:val="005372CF"/>
    <w:rsid w:val="0054094C"/>
    <w:rsid w:val="005416B1"/>
    <w:rsid w:val="00543274"/>
    <w:rsid w:val="005432B4"/>
    <w:rsid w:val="0054686E"/>
    <w:rsid w:val="005578C8"/>
    <w:rsid w:val="00557C27"/>
    <w:rsid w:val="0056392F"/>
    <w:rsid w:val="00572A55"/>
    <w:rsid w:val="00573501"/>
    <w:rsid w:val="0057434D"/>
    <w:rsid w:val="00574F04"/>
    <w:rsid w:val="00575CE0"/>
    <w:rsid w:val="0057642D"/>
    <w:rsid w:val="00577033"/>
    <w:rsid w:val="0058027E"/>
    <w:rsid w:val="005843DF"/>
    <w:rsid w:val="00584F00"/>
    <w:rsid w:val="00591429"/>
    <w:rsid w:val="00594A5D"/>
    <w:rsid w:val="00596B8A"/>
    <w:rsid w:val="005A3BE2"/>
    <w:rsid w:val="005A6533"/>
    <w:rsid w:val="005B4212"/>
    <w:rsid w:val="005C4297"/>
    <w:rsid w:val="005C52E9"/>
    <w:rsid w:val="005D3244"/>
    <w:rsid w:val="005D67F6"/>
    <w:rsid w:val="005E3176"/>
    <w:rsid w:val="005E75A1"/>
    <w:rsid w:val="005F378D"/>
    <w:rsid w:val="005F67A9"/>
    <w:rsid w:val="005F73D4"/>
    <w:rsid w:val="005F75EC"/>
    <w:rsid w:val="00604F2D"/>
    <w:rsid w:val="006065D0"/>
    <w:rsid w:val="00606FDD"/>
    <w:rsid w:val="006078E3"/>
    <w:rsid w:val="00610FC2"/>
    <w:rsid w:val="0061191D"/>
    <w:rsid w:val="006121C4"/>
    <w:rsid w:val="006121D9"/>
    <w:rsid w:val="00614063"/>
    <w:rsid w:val="00614D13"/>
    <w:rsid w:val="0061554B"/>
    <w:rsid w:val="00616459"/>
    <w:rsid w:val="00616E24"/>
    <w:rsid w:val="00622797"/>
    <w:rsid w:val="00623839"/>
    <w:rsid w:val="00623DE7"/>
    <w:rsid w:val="00625C5C"/>
    <w:rsid w:val="00627532"/>
    <w:rsid w:val="00631349"/>
    <w:rsid w:val="00631405"/>
    <w:rsid w:val="00631896"/>
    <w:rsid w:val="00634A6B"/>
    <w:rsid w:val="00637299"/>
    <w:rsid w:val="00641266"/>
    <w:rsid w:val="0064156C"/>
    <w:rsid w:val="00643EF7"/>
    <w:rsid w:val="006448CF"/>
    <w:rsid w:val="00646053"/>
    <w:rsid w:val="00651B1A"/>
    <w:rsid w:val="0065233F"/>
    <w:rsid w:val="0065694A"/>
    <w:rsid w:val="00660462"/>
    <w:rsid w:val="00666CDE"/>
    <w:rsid w:val="00667B50"/>
    <w:rsid w:val="00674669"/>
    <w:rsid w:val="00681DBE"/>
    <w:rsid w:val="00683242"/>
    <w:rsid w:val="00685DFD"/>
    <w:rsid w:val="00686169"/>
    <w:rsid w:val="00687063"/>
    <w:rsid w:val="006870B9"/>
    <w:rsid w:val="006955A3"/>
    <w:rsid w:val="006A1ACE"/>
    <w:rsid w:val="006A2098"/>
    <w:rsid w:val="006A2AF7"/>
    <w:rsid w:val="006A3C2D"/>
    <w:rsid w:val="006A4CF3"/>
    <w:rsid w:val="006A7445"/>
    <w:rsid w:val="006B1A94"/>
    <w:rsid w:val="006B1D4D"/>
    <w:rsid w:val="006B69D6"/>
    <w:rsid w:val="006C064C"/>
    <w:rsid w:val="006C1224"/>
    <w:rsid w:val="006C51C3"/>
    <w:rsid w:val="006D073B"/>
    <w:rsid w:val="006D12F9"/>
    <w:rsid w:val="006D1A8A"/>
    <w:rsid w:val="006D31CA"/>
    <w:rsid w:val="006D371C"/>
    <w:rsid w:val="006D397A"/>
    <w:rsid w:val="006D3FEB"/>
    <w:rsid w:val="006D6602"/>
    <w:rsid w:val="006E001D"/>
    <w:rsid w:val="006E10D0"/>
    <w:rsid w:val="006E18CC"/>
    <w:rsid w:val="006E1A40"/>
    <w:rsid w:val="006E1A86"/>
    <w:rsid w:val="006F3893"/>
    <w:rsid w:val="006F3F06"/>
    <w:rsid w:val="006F5565"/>
    <w:rsid w:val="006F791B"/>
    <w:rsid w:val="0070294B"/>
    <w:rsid w:val="007034A0"/>
    <w:rsid w:val="007068D8"/>
    <w:rsid w:val="007108EA"/>
    <w:rsid w:val="00717EFE"/>
    <w:rsid w:val="007240DC"/>
    <w:rsid w:val="00724150"/>
    <w:rsid w:val="007246ED"/>
    <w:rsid w:val="00724D87"/>
    <w:rsid w:val="007251D5"/>
    <w:rsid w:val="00727FCA"/>
    <w:rsid w:val="00731DD8"/>
    <w:rsid w:val="0073256D"/>
    <w:rsid w:val="00733CDD"/>
    <w:rsid w:val="00733D11"/>
    <w:rsid w:val="00734BAE"/>
    <w:rsid w:val="007369E0"/>
    <w:rsid w:val="00737C54"/>
    <w:rsid w:val="007401A7"/>
    <w:rsid w:val="0074095C"/>
    <w:rsid w:val="0075306D"/>
    <w:rsid w:val="00753BFD"/>
    <w:rsid w:val="00757DC5"/>
    <w:rsid w:val="00763E7E"/>
    <w:rsid w:val="007647BB"/>
    <w:rsid w:val="007653F6"/>
    <w:rsid w:val="00770E9E"/>
    <w:rsid w:val="00775674"/>
    <w:rsid w:val="00776014"/>
    <w:rsid w:val="00776367"/>
    <w:rsid w:val="0078119F"/>
    <w:rsid w:val="00783981"/>
    <w:rsid w:val="00785888"/>
    <w:rsid w:val="007862D6"/>
    <w:rsid w:val="0078644A"/>
    <w:rsid w:val="00787551"/>
    <w:rsid w:val="00787E27"/>
    <w:rsid w:val="00787F1F"/>
    <w:rsid w:val="007908CF"/>
    <w:rsid w:val="00790E20"/>
    <w:rsid w:val="00793659"/>
    <w:rsid w:val="00794465"/>
    <w:rsid w:val="007945FA"/>
    <w:rsid w:val="007950EB"/>
    <w:rsid w:val="007966EB"/>
    <w:rsid w:val="007A023F"/>
    <w:rsid w:val="007A3107"/>
    <w:rsid w:val="007B1A0D"/>
    <w:rsid w:val="007C0BEC"/>
    <w:rsid w:val="007C5037"/>
    <w:rsid w:val="007C57A1"/>
    <w:rsid w:val="007C63A6"/>
    <w:rsid w:val="007C7312"/>
    <w:rsid w:val="007D27DA"/>
    <w:rsid w:val="007D4B77"/>
    <w:rsid w:val="007D5FCB"/>
    <w:rsid w:val="007D60E2"/>
    <w:rsid w:val="007D6522"/>
    <w:rsid w:val="007E2BF5"/>
    <w:rsid w:val="007E2D05"/>
    <w:rsid w:val="007E4E32"/>
    <w:rsid w:val="007E569C"/>
    <w:rsid w:val="007F3006"/>
    <w:rsid w:val="007F5B99"/>
    <w:rsid w:val="007F6528"/>
    <w:rsid w:val="007F7834"/>
    <w:rsid w:val="007F7FB9"/>
    <w:rsid w:val="008035EB"/>
    <w:rsid w:val="008069EB"/>
    <w:rsid w:val="00810982"/>
    <w:rsid w:val="00813FBE"/>
    <w:rsid w:val="00813FFA"/>
    <w:rsid w:val="00816F9C"/>
    <w:rsid w:val="0081722C"/>
    <w:rsid w:val="00830517"/>
    <w:rsid w:val="00834057"/>
    <w:rsid w:val="00836771"/>
    <w:rsid w:val="008412F6"/>
    <w:rsid w:val="00843AAB"/>
    <w:rsid w:val="0084536F"/>
    <w:rsid w:val="00850482"/>
    <w:rsid w:val="00851541"/>
    <w:rsid w:val="00851708"/>
    <w:rsid w:val="00851834"/>
    <w:rsid w:val="00852DBE"/>
    <w:rsid w:val="008572CD"/>
    <w:rsid w:val="00860270"/>
    <w:rsid w:val="00860D58"/>
    <w:rsid w:val="00871B19"/>
    <w:rsid w:val="00874435"/>
    <w:rsid w:val="00874603"/>
    <w:rsid w:val="00875B10"/>
    <w:rsid w:val="008778C3"/>
    <w:rsid w:val="0088470D"/>
    <w:rsid w:val="0088508A"/>
    <w:rsid w:val="00886F8F"/>
    <w:rsid w:val="00887A01"/>
    <w:rsid w:val="00890866"/>
    <w:rsid w:val="0089737D"/>
    <w:rsid w:val="008A1B8C"/>
    <w:rsid w:val="008A6B2F"/>
    <w:rsid w:val="008B3D94"/>
    <w:rsid w:val="008B5700"/>
    <w:rsid w:val="008B57AA"/>
    <w:rsid w:val="008C559A"/>
    <w:rsid w:val="008C6848"/>
    <w:rsid w:val="008C7F09"/>
    <w:rsid w:val="008D16DC"/>
    <w:rsid w:val="008D1AB9"/>
    <w:rsid w:val="008D3FF1"/>
    <w:rsid w:val="008E1C95"/>
    <w:rsid w:val="008E235E"/>
    <w:rsid w:val="008E5914"/>
    <w:rsid w:val="008F10BA"/>
    <w:rsid w:val="008F5B00"/>
    <w:rsid w:val="009006D0"/>
    <w:rsid w:val="00912858"/>
    <w:rsid w:val="00914BC7"/>
    <w:rsid w:val="00915708"/>
    <w:rsid w:val="00915EED"/>
    <w:rsid w:val="009177B1"/>
    <w:rsid w:val="009214CE"/>
    <w:rsid w:val="00921AB2"/>
    <w:rsid w:val="00927163"/>
    <w:rsid w:val="009271F9"/>
    <w:rsid w:val="00931245"/>
    <w:rsid w:val="00932E4A"/>
    <w:rsid w:val="00933419"/>
    <w:rsid w:val="009378C9"/>
    <w:rsid w:val="00941452"/>
    <w:rsid w:val="009417F5"/>
    <w:rsid w:val="0095184A"/>
    <w:rsid w:val="009530E8"/>
    <w:rsid w:val="00955A4C"/>
    <w:rsid w:val="00961CDF"/>
    <w:rsid w:val="00964604"/>
    <w:rsid w:val="00966ADD"/>
    <w:rsid w:val="00966B9A"/>
    <w:rsid w:val="00966D97"/>
    <w:rsid w:val="00967AD0"/>
    <w:rsid w:val="00967BA7"/>
    <w:rsid w:val="009713E6"/>
    <w:rsid w:val="00976361"/>
    <w:rsid w:val="00980193"/>
    <w:rsid w:val="00982F71"/>
    <w:rsid w:val="009862CB"/>
    <w:rsid w:val="0099096E"/>
    <w:rsid w:val="009909B6"/>
    <w:rsid w:val="009910A1"/>
    <w:rsid w:val="009927FE"/>
    <w:rsid w:val="00995D35"/>
    <w:rsid w:val="0099654D"/>
    <w:rsid w:val="0099797B"/>
    <w:rsid w:val="009A2F6A"/>
    <w:rsid w:val="009A6202"/>
    <w:rsid w:val="009B3469"/>
    <w:rsid w:val="009B4D16"/>
    <w:rsid w:val="009B74CA"/>
    <w:rsid w:val="009C09A4"/>
    <w:rsid w:val="009C369F"/>
    <w:rsid w:val="009C38E6"/>
    <w:rsid w:val="009C4825"/>
    <w:rsid w:val="009C745D"/>
    <w:rsid w:val="009D09D6"/>
    <w:rsid w:val="009D1315"/>
    <w:rsid w:val="009D1A56"/>
    <w:rsid w:val="009D1E53"/>
    <w:rsid w:val="009D2780"/>
    <w:rsid w:val="009D4AC8"/>
    <w:rsid w:val="009D5DFA"/>
    <w:rsid w:val="009D643D"/>
    <w:rsid w:val="009D6BB7"/>
    <w:rsid w:val="009D743F"/>
    <w:rsid w:val="009E22D6"/>
    <w:rsid w:val="009E28C9"/>
    <w:rsid w:val="009E5457"/>
    <w:rsid w:val="009E5555"/>
    <w:rsid w:val="009F04C8"/>
    <w:rsid w:val="009F0FA5"/>
    <w:rsid w:val="009F1418"/>
    <w:rsid w:val="009F7292"/>
    <w:rsid w:val="009F7CE9"/>
    <w:rsid w:val="00A0026F"/>
    <w:rsid w:val="00A003B8"/>
    <w:rsid w:val="00A03DAD"/>
    <w:rsid w:val="00A0406A"/>
    <w:rsid w:val="00A044AA"/>
    <w:rsid w:val="00A07630"/>
    <w:rsid w:val="00A149AB"/>
    <w:rsid w:val="00A14E5E"/>
    <w:rsid w:val="00A16B59"/>
    <w:rsid w:val="00A30BC7"/>
    <w:rsid w:val="00A32082"/>
    <w:rsid w:val="00A33065"/>
    <w:rsid w:val="00A34F31"/>
    <w:rsid w:val="00A3519B"/>
    <w:rsid w:val="00A36239"/>
    <w:rsid w:val="00A3645D"/>
    <w:rsid w:val="00A37F95"/>
    <w:rsid w:val="00A4041B"/>
    <w:rsid w:val="00A438DC"/>
    <w:rsid w:val="00A43BC1"/>
    <w:rsid w:val="00A5194F"/>
    <w:rsid w:val="00A53A25"/>
    <w:rsid w:val="00A541CF"/>
    <w:rsid w:val="00A547B6"/>
    <w:rsid w:val="00A5649C"/>
    <w:rsid w:val="00A57E85"/>
    <w:rsid w:val="00A65CCB"/>
    <w:rsid w:val="00A7150D"/>
    <w:rsid w:val="00A7309F"/>
    <w:rsid w:val="00A749A7"/>
    <w:rsid w:val="00A769FC"/>
    <w:rsid w:val="00A77DDE"/>
    <w:rsid w:val="00A8039E"/>
    <w:rsid w:val="00A807AF"/>
    <w:rsid w:val="00A82D73"/>
    <w:rsid w:val="00A83A3F"/>
    <w:rsid w:val="00A84271"/>
    <w:rsid w:val="00A85855"/>
    <w:rsid w:val="00A93DB5"/>
    <w:rsid w:val="00AA39BC"/>
    <w:rsid w:val="00AB75AB"/>
    <w:rsid w:val="00AC1580"/>
    <w:rsid w:val="00AC2953"/>
    <w:rsid w:val="00AC466E"/>
    <w:rsid w:val="00AC56A0"/>
    <w:rsid w:val="00AC5B5C"/>
    <w:rsid w:val="00AD3B7E"/>
    <w:rsid w:val="00AD45CF"/>
    <w:rsid w:val="00AD4639"/>
    <w:rsid w:val="00AD558D"/>
    <w:rsid w:val="00AD57AA"/>
    <w:rsid w:val="00AE1695"/>
    <w:rsid w:val="00AF1DC2"/>
    <w:rsid w:val="00AF2679"/>
    <w:rsid w:val="00AF28BF"/>
    <w:rsid w:val="00AF53E3"/>
    <w:rsid w:val="00AF795F"/>
    <w:rsid w:val="00B00274"/>
    <w:rsid w:val="00B00F03"/>
    <w:rsid w:val="00B026AE"/>
    <w:rsid w:val="00B03710"/>
    <w:rsid w:val="00B043D3"/>
    <w:rsid w:val="00B06A33"/>
    <w:rsid w:val="00B0714C"/>
    <w:rsid w:val="00B1031B"/>
    <w:rsid w:val="00B10650"/>
    <w:rsid w:val="00B109C4"/>
    <w:rsid w:val="00B11524"/>
    <w:rsid w:val="00B11CA0"/>
    <w:rsid w:val="00B2787E"/>
    <w:rsid w:val="00B30B7C"/>
    <w:rsid w:val="00B30F65"/>
    <w:rsid w:val="00B35E84"/>
    <w:rsid w:val="00B40A0B"/>
    <w:rsid w:val="00B45161"/>
    <w:rsid w:val="00B50D76"/>
    <w:rsid w:val="00B57A3D"/>
    <w:rsid w:val="00B60B73"/>
    <w:rsid w:val="00B64FBD"/>
    <w:rsid w:val="00B67C56"/>
    <w:rsid w:val="00B700E8"/>
    <w:rsid w:val="00B70508"/>
    <w:rsid w:val="00B720DA"/>
    <w:rsid w:val="00B72FDA"/>
    <w:rsid w:val="00B80984"/>
    <w:rsid w:val="00B81BCC"/>
    <w:rsid w:val="00B85E24"/>
    <w:rsid w:val="00B87391"/>
    <w:rsid w:val="00B8794D"/>
    <w:rsid w:val="00B92059"/>
    <w:rsid w:val="00B93265"/>
    <w:rsid w:val="00B941C2"/>
    <w:rsid w:val="00B953A4"/>
    <w:rsid w:val="00B953D1"/>
    <w:rsid w:val="00B95EDE"/>
    <w:rsid w:val="00B969F5"/>
    <w:rsid w:val="00BA170C"/>
    <w:rsid w:val="00BA2044"/>
    <w:rsid w:val="00BA4463"/>
    <w:rsid w:val="00BA67EA"/>
    <w:rsid w:val="00BA69F0"/>
    <w:rsid w:val="00BB0C3E"/>
    <w:rsid w:val="00BB4609"/>
    <w:rsid w:val="00BB636E"/>
    <w:rsid w:val="00BC0905"/>
    <w:rsid w:val="00BC276D"/>
    <w:rsid w:val="00BC2F43"/>
    <w:rsid w:val="00BC3155"/>
    <w:rsid w:val="00BC6426"/>
    <w:rsid w:val="00BD4453"/>
    <w:rsid w:val="00BD75F9"/>
    <w:rsid w:val="00BE1CA9"/>
    <w:rsid w:val="00BE29B0"/>
    <w:rsid w:val="00BE2D43"/>
    <w:rsid w:val="00BE5D37"/>
    <w:rsid w:val="00BE6249"/>
    <w:rsid w:val="00BF071F"/>
    <w:rsid w:val="00BF13C1"/>
    <w:rsid w:val="00BF38CF"/>
    <w:rsid w:val="00BF5CA3"/>
    <w:rsid w:val="00BF700A"/>
    <w:rsid w:val="00C004EF"/>
    <w:rsid w:val="00C01805"/>
    <w:rsid w:val="00C11D61"/>
    <w:rsid w:val="00C16746"/>
    <w:rsid w:val="00C17385"/>
    <w:rsid w:val="00C17B62"/>
    <w:rsid w:val="00C23F5C"/>
    <w:rsid w:val="00C25001"/>
    <w:rsid w:val="00C26EB7"/>
    <w:rsid w:val="00C27DD8"/>
    <w:rsid w:val="00C31620"/>
    <w:rsid w:val="00C33079"/>
    <w:rsid w:val="00C332CA"/>
    <w:rsid w:val="00C33DC7"/>
    <w:rsid w:val="00C33E76"/>
    <w:rsid w:val="00C34B9B"/>
    <w:rsid w:val="00C354D5"/>
    <w:rsid w:val="00C36D90"/>
    <w:rsid w:val="00C377EF"/>
    <w:rsid w:val="00C40EDA"/>
    <w:rsid w:val="00C42D17"/>
    <w:rsid w:val="00C42FBA"/>
    <w:rsid w:val="00C453ED"/>
    <w:rsid w:val="00C454DD"/>
    <w:rsid w:val="00C459BC"/>
    <w:rsid w:val="00C463A1"/>
    <w:rsid w:val="00C47D3A"/>
    <w:rsid w:val="00C51900"/>
    <w:rsid w:val="00C51DC0"/>
    <w:rsid w:val="00C53554"/>
    <w:rsid w:val="00C53E45"/>
    <w:rsid w:val="00C55DF5"/>
    <w:rsid w:val="00C57E07"/>
    <w:rsid w:val="00C61DB0"/>
    <w:rsid w:val="00C61E37"/>
    <w:rsid w:val="00C64777"/>
    <w:rsid w:val="00C67A6C"/>
    <w:rsid w:val="00C71B91"/>
    <w:rsid w:val="00C728E7"/>
    <w:rsid w:val="00C72E05"/>
    <w:rsid w:val="00C73DCF"/>
    <w:rsid w:val="00C740FC"/>
    <w:rsid w:val="00C76E73"/>
    <w:rsid w:val="00C77639"/>
    <w:rsid w:val="00C806F2"/>
    <w:rsid w:val="00C8195E"/>
    <w:rsid w:val="00C8340D"/>
    <w:rsid w:val="00C84B1C"/>
    <w:rsid w:val="00C9025D"/>
    <w:rsid w:val="00C907C9"/>
    <w:rsid w:val="00C91963"/>
    <w:rsid w:val="00C91BC0"/>
    <w:rsid w:val="00C93D65"/>
    <w:rsid w:val="00CA3C6D"/>
    <w:rsid w:val="00CA617C"/>
    <w:rsid w:val="00CA6774"/>
    <w:rsid w:val="00CA6C9A"/>
    <w:rsid w:val="00CB7371"/>
    <w:rsid w:val="00CC25AF"/>
    <w:rsid w:val="00CC3631"/>
    <w:rsid w:val="00CC3A87"/>
    <w:rsid w:val="00CC6F7C"/>
    <w:rsid w:val="00CC7182"/>
    <w:rsid w:val="00CD0696"/>
    <w:rsid w:val="00CD5AF9"/>
    <w:rsid w:val="00CD6D35"/>
    <w:rsid w:val="00CD73DB"/>
    <w:rsid w:val="00CD76FF"/>
    <w:rsid w:val="00CE024E"/>
    <w:rsid w:val="00CE0ED7"/>
    <w:rsid w:val="00CE18A0"/>
    <w:rsid w:val="00CE1D8F"/>
    <w:rsid w:val="00CE691F"/>
    <w:rsid w:val="00CF29F1"/>
    <w:rsid w:val="00CF2AED"/>
    <w:rsid w:val="00CF5519"/>
    <w:rsid w:val="00D10D2B"/>
    <w:rsid w:val="00D11EE1"/>
    <w:rsid w:val="00D140DC"/>
    <w:rsid w:val="00D14FB5"/>
    <w:rsid w:val="00D167D2"/>
    <w:rsid w:val="00D16803"/>
    <w:rsid w:val="00D21545"/>
    <w:rsid w:val="00D21A27"/>
    <w:rsid w:val="00D2714A"/>
    <w:rsid w:val="00D27E8E"/>
    <w:rsid w:val="00D307E9"/>
    <w:rsid w:val="00D321EB"/>
    <w:rsid w:val="00D34D16"/>
    <w:rsid w:val="00D36155"/>
    <w:rsid w:val="00D37424"/>
    <w:rsid w:val="00D44519"/>
    <w:rsid w:val="00D50654"/>
    <w:rsid w:val="00D519AB"/>
    <w:rsid w:val="00D52ACD"/>
    <w:rsid w:val="00D536A3"/>
    <w:rsid w:val="00D62393"/>
    <w:rsid w:val="00D62FDC"/>
    <w:rsid w:val="00D632BA"/>
    <w:rsid w:val="00D706E0"/>
    <w:rsid w:val="00D71677"/>
    <w:rsid w:val="00D721F9"/>
    <w:rsid w:val="00D75C6C"/>
    <w:rsid w:val="00D76E24"/>
    <w:rsid w:val="00D77327"/>
    <w:rsid w:val="00D81FBF"/>
    <w:rsid w:val="00D822EE"/>
    <w:rsid w:val="00D83586"/>
    <w:rsid w:val="00D86EC2"/>
    <w:rsid w:val="00D87EFB"/>
    <w:rsid w:val="00D9122F"/>
    <w:rsid w:val="00D95434"/>
    <w:rsid w:val="00D96EB0"/>
    <w:rsid w:val="00D970EF"/>
    <w:rsid w:val="00DA0255"/>
    <w:rsid w:val="00DB123C"/>
    <w:rsid w:val="00DC3F89"/>
    <w:rsid w:val="00DC6856"/>
    <w:rsid w:val="00DD0BB7"/>
    <w:rsid w:val="00DD25C8"/>
    <w:rsid w:val="00DD3E36"/>
    <w:rsid w:val="00DD4B1A"/>
    <w:rsid w:val="00DE0021"/>
    <w:rsid w:val="00DE29F2"/>
    <w:rsid w:val="00DE6F01"/>
    <w:rsid w:val="00DF0B30"/>
    <w:rsid w:val="00DF4F9F"/>
    <w:rsid w:val="00DF5BA3"/>
    <w:rsid w:val="00E00B42"/>
    <w:rsid w:val="00E03689"/>
    <w:rsid w:val="00E06475"/>
    <w:rsid w:val="00E06BDB"/>
    <w:rsid w:val="00E135F7"/>
    <w:rsid w:val="00E138A7"/>
    <w:rsid w:val="00E16D40"/>
    <w:rsid w:val="00E2061B"/>
    <w:rsid w:val="00E2128D"/>
    <w:rsid w:val="00E23F49"/>
    <w:rsid w:val="00E247DB"/>
    <w:rsid w:val="00E31F66"/>
    <w:rsid w:val="00E35833"/>
    <w:rsid w:val="00E36501"/>
    <w:rsid w:val="00E36A6E"/>
    <w:rsid w:val="00E41853"/>
    <w:rsid w:val="00E4443D"/>
    <w:rsid w:val="00E46FC0"/>
    <w:rsid w:val="00E476B5"/>
    <w:rsid w:val="00E510A0"/>
    <w:rsid w:val="00E52036"/>
    <w:rsid w:val="00E54C4D"/>
    <w:rsid w:val="00E560A7"/>
    <w:rsid w:val="00E56BB8"/>
    <w:rsid w:val="00E60066"/>
    <w:rsid w:val="00E60462"/>
    <w:rsid w:val="00E61519"/>
    <w:rsid w:val="00E7349F"/>
    <w:rsid w:val="00E83E3E"/>
    <w:rsid w:val="00E86A98"/>
    <w:rsid w:val="00E86B9C"/>
    <w:rsid w:val="00E90595"/>
    <w:rsid w:val="00E91354"/>
    <w:rsid w:val="00E92FD0"/>
    <w:rsid w:val="00E972FC"/>
    <w:rsid w:val="00EA02F5"/>
    <w:rsid w:val="00EA1C48"/>
    <w:rsid w:val="00EA5E90"/>
    <w:rsid w:val="00EB0723"/>
    <w:rsid w:val="00EB12EE"/>
    <w:rsid w:val="00EB5D25"/>
    <w:rsid w:val="00EB5E50"/>
    <w:rsid w:val="00EC043B"/>
    <w:rsid w:val="00EC1049"/>
    <w:rsid w:val="00EC1F3A"/>
    <w:rsid w:val="00EC2E6D"/>
    <w:rsid w:val="00EC35E3"/>
    <w:rsid w:val="00EC599F"/>
    <w:rsid w:val="00EC76CF"/>
    <w:rsid w:val="00ED215B"/>
    <w:rsid w:val="00ED4C8E"/>
    <w:rsid w:val="00EE0473"/>
    <w:rsid w:val="00EE469C"/>
    <w:rsid w:val="00EE5122"/>
    <w:rsid w:val="00EE59C2"/>
    <w:rsid w:val="00EE5AC3"/>
    <w:rsid w:val="00EE727C"/>
    <w:rsid w:val="00EF1B48"/>
    <w:rsid w:val="00EF56DF"/>
    <w:rsid w:val="00F03152"/>
    <w:rsid w:val="00F040E2"/>
    <w:rsid w:val="00F065DF"/>
    <w:rsid w:val="00F10BAD"/>
    <w:rsid w:val="00F15683"/>
    <w:rsid w:val="00F160F8"/>
    <w:rsid w:val="00F228B4"/>
    <w:rsid w:val="00F238DC"/>
    <w:rsid w:val="00F24EAE"/>
    <w:rsid w:val="00F26997"/>
    <w:rsid w:val="00F302AB"/>
    <w:rsid w:val="00F3391C"/>
    <w:rsid w:val="00F401A6"/>
    <w:rsid w:val="00F40AD7"/>
    <w:rsid w:val="00F4481D"/>
    <w:rsid w:val="00F45E5B"/>
    <w:rsid w:val="00F4777C"/>
    <w:rsid w:val="00F50B65"/>
    <w:rsid w:val="00F616D1"/>
    <w:rsid w:val="00F62F82"/>
    <w:rsid w:val="00F75536"/>
    <w:rsid w:val="00F75C07"/>
    <w:rsid w:val="00F7621E"/>
    <w:rsid w:val="00F76A9A"/>
    <w:rsid w:val="00F77C52"/>
    <w:rsid w:val="00F8287E"/>
    <w:rsid w:val="00F8336D"/>
    <w:rsid w:val="00F848CB"/>
    <w:rsid w:val="00F86AFF"/>
    <w:rsid w:val="00F90C48"/>
    <w:rsid w:val="00F936BB"/>
    <w:rsid w:val="00F93848"/>
    <w:rsid w:val="00FA0C50"/>
    <w:rsid w:val="00FB2460"/>
    <w:rsid w:val="00FB59A3"/>
    <w:rsid w:val="00FB7571"/>
    <w:rsid w:val="00FC16BD"/>
    <w:rsid w:val="00FC1A02"/>
    <w:rsid w:val="00FC20D8"/>
    <w:rsid w:val="00FC59A8"/>
    <w:rsid w:val="00FC6D41"/>
    <w:rsid w:val="00FD04B8"/>
    <w:rsid w:val="00FD1453"/>
    <w:rsid w:val="00FD16F8"/>
    <w:rsid w:val="00FD1B1C"/>
    <w:rsid w:val="00FD5FDA"/>
    <w:rsid w:val="00FD7D39"/>
    <w:rsid w:val="00FE52F3"/>
    <w:rsid w:val="00FE6A3B"/>
    <w:rsid w:val="00FE6C12"/>
    <w:rsid w:val="00FF4647"/>
    <w:rsid w:val="00FF4B95"/>
    <w:rsid w:val="00FF51BA"/>
    <w:rsid w:val="4E251357"/>
    <w:rsid w:val="591656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CE587"/>
  <w15:chartTrackingRefBased/>
  <w15:docId w15:val="{F4E8D211-3CF0-42FB-B634-86231518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306D"/>
    <w:pPr>
      <w:outlineLvl w:val="0"/>
    </w:pPr>
    <w:rPr>
      <w:b/>
      <w:bCs/>
      <w:u w:val="single"/>
    </w:rPr>
  </w:style>
  <w:style w:type="paragraph" w:styleId="Heading2">
    <w:name w:val="heading 2"/>
    <w:basedOn w:val="Normal"/>
    <w:next w:val="Normal"/>
    <w:link w:val="Heading2Char"/>
    <w:uiPriority w:val="9"/>
    <w:unhideWhenUsed/>
    <w:qFormat/>
    <w:rsid w:val="0075306D"/>
    <w:pPr>
      <w:widowControl w:val="0"/>
      <w:numPr>
        <w:numId w:val="4"/>
      </w:numPr>
      <w:kinsoku w:val="0"/>
      <w:outlineLvl w:val="1"/>
    </w:pPr>
    <w:rPr>
      <w:b/>
      <w:bCs/>
    </w:rPr>
  </w:style>
  <w:style w:type="paragraph" w:styleId="Heading3">
    <w:name w:val="heading 3"/>
    <w:basedOn w:val="BodyText"/>
    <w:next w:val="Normal"/>
    <w:link w:val="Heading3Char"/>
    <w:uiPriority w:val="9"/>
    <w:unhideWhenUsed/>
    <w:qFormat/>
    <w:rsid w:val="0075306D"/>
    <w:pPr>
      <w:spacing w:after="0" w:line="276"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BF38CF"/>
    <w:pPr>
      <w:ind w:left="720"/>
    </w:pPr>
  </w:style>
  <w:style w:type="paragraph" w:styleId="NoSpacing">
    <w:name w:val="No Spacing"/>
    <w:uiPriority w:val="1"/>
    <w:qFormat/>
    <w:rsid w:val="00BF38CF"/>
    <w:pPr>
      <w:widowControl w:val="0"/>
      <w:kinsoku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5146"/>
    <w:pPr>
      <w:spacing w:after="180" w:line="264" w:lineRule="auto"/>
    </w:pPr>
    <w:rPr>
      <w:sz w:val="22"/>
      <w:szCs w:val="20"/>
    </w:rPr>
  </w:style>
  <w:style w:type="character" w:customStyle="1" w:styleId="BodyTextChar">
    <w:name w:val="Body Text Char"/>
    <w:basedOn w:val="DefaultParagraphFont"/>
    <w:link w:val="BodyText"/>
    <w:rsid w:val="00135146"/>
    <w:rPr>
      <w:rFonts w:ascii="Times New Roman" w:eastAsia="Times New Roman" w:hAnsi="Times New Roman" w:cs="Times New Roman"/>
      <w:szCs w:val="20"/>
    </w:rPr>
  </w:style>
  <w:style w:type="table" w:customStyle="1" w:styleId="ListTable31">
    <w:name w:val="List Table 31"/>
    <w:basedOn w:val="TableNormal"/>
    <w:uiPriority w:val="48"/>
    <w:rsid w:val="002954E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unhideWhenUsed/>
    <w:rsid w:val="002954E4"/>
    <w:rPr>
      <w:sz w:val="16"/>
      <w:szCs w:val="16"/>
    </w:rPr>
  </w:style>
  <w:style w:type="paragraph" w:styleId="CommentText">
    <w:name w:val="annotation text"/>
    <w:basedOn w:val="Normal"/>
    <w:link w:val="CommentTextChar"/>
    <w:uiPriority w:val="99"/>
    <w:unhideWhenUsed/>
    <w:rsid w:val="002954E4"/>
    <w:rPr>
      <w:sz w:val="20"/>
      <w:szCs w:val="20"/>
    </w:rPr>
  </w:style>
  <w:style w:type="character" w:customStyle="1" w:styleId="CommentTextChar">
    <w:name w:val="Comment Text Char"/>
    <w:basedOn w:val="DefaultParagraphFont"/>
    <w:link w:val="CommentText"/>
    <w:uiPriority w:val="99"/>
    <w:rsid w:val="002954E4"/>
    <w:rPr>
      <w:rFonts w:ascii="Times New Roman" w:eastAsia="Times New Roman" w:hAnsi="Times New Roman" w:cs="Times New Roman"/>
      <w:sz w:val="20"/>
      <w:szCs w:val="20"/>
    </w:rPr>
  </w:style>
  <w:style w:type="paragraph" w:styleId="FootnoteText">
    <w:name w:val="footnote text"/>
    <w:aliases w:val="*Footnote Text,F,F1,Fn Text,Footnote Text Char Char Char Char Char Char Char Char Char Char Char Char Char Char Char Char Char,Footnote Text2"/>
    <w:basedOn w:val="Normal"/>
    <w:link w:val="FootnoteTextChar"/>
    <w:uiPriority w:val="99"/>
    <w:unhideWhenUsed/>
    <w:rsid w:val="002954E4"/>
    <w:rPr>
      <w:sz w:val="20"/>
      <w:szCs w:val="20"/>
    </w:rPr>
  </w:style>
  <w:style w:type="character" w:customStyle="1" w:styleId="FootnoteTextChar">
    <w:name w:val="Footnote Text Char"/>
    <w:aliases w:val="*Footnote Text Char,F Char,F1 Char,Fn Text Char,Footnote Text Char Char Char Char Char Char Char Char Char Char Char Char Char Char Char Char Char Char,Footnote Text2 Char"/>
    <w:basedOn w:val="DefaultParagraphFont"/>
    <w:link w:val="FootnoteText"/>
    <w:uiPriority w:val="99"/>
    <w:rsid w:val="002954E4"/>
    <w:rPr>
      <w:rFonts w:ascii="Times New Roman" w:eastAsia="Times New Roman" w:hAnsi="Times New Roman" w:cs="Times New Roman"/>
      <w:sz w:val="20"/>
      <w:szCs w:val="20"/>
    </w:rPr>
  </w:style>
  <w:style w:type="character" w:styleId="FootnoteReference">
    <w:name w:val="footnote reference"/>
    <w:aliases w:val="*Footnote Reference,Fn Ref"/>
    <w:basedOn w:val="DefaultParagraphFont"/>
    <w:uiPriority w:val="99"/>
    <w:unhideWhenUsed/>
    <w:rsid w:val="002954E4"/>
    <w:rPr>
      <w:vertAlign w:val="superscript"/>
    </w:rPr>
  </w:style>
  <w:style w:type="table" w:styleId="TableGrid">
    <w:name w:val="Table Grid"/>
    <w:basedOn w:val="TableNormal"/>
    <w:uiPriority w:val="39"/>
    <w:rsid w:val="00295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954E4"/>
    <w:rPr>
      <w:color w:val="0000FF"/>
      <w:u w:val="single"/>
    </w:rPr>
  </w:style>
  <w:style w:type="character" w:customStyle="1" w:styleId="normaltextrun">
    <w:name w:val="normaltextrun"/>
    <w:basedOn w:val="DefaultParagraphFont"/>
    <w:rsid w:val="00D970EF"/>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basedOn w:val="DefaultParagraphFont"/>
    <w:link w:val="ListParagraph"/>
    <w:uiPriority w:val="34"/>
    <w:qFormat/>
    <w:locked/>
    <w:rsid w:val="00D970EF"/>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970EF"/>
    <w:rPr>
      <w:b/>
      <w:bCs/>
    </w:rPr>
  </w:style>
  <w:style w:type="character" w:customStyle="1" w:styleId="CommentSubjectChar">
    <w:name w:val="Comment Subject Char"/>
    <w:basedOn w:val="CommentTextChar"/>
    <w:link w:val="CommentSubject"/>
    <w:uiPriority w:val="99"/>
    <w:semiHidden/>
    <w:rsid w:val="00D970E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970EF"/>
    <w:rPr>
      <w:color w:val="954F72" w:themeColor="followedHyperlink"/>
      <w:u w:val="single"/>
    </w:rPr>
  </w:style>
  <w:style w:type="paragraph" w:styleId="Caption">
    <w:name w:val="caption"/>
    <w:aliases w:val="Caption - graphics,Caption Char Char Char Char1 Char2,Caption Char Char1 Char,Caption Char1 Char Char1 Char1,Caption ECSS,Exhibit Caption,Figure Caption,Figure Caption Char,IE Table,Table Caption,TableCaption,ca,table"/>
    <w:basedOn w:val="Normal"/>
    <w:next w:val="Normal"/>
    <w:link w:val="CaptionChar"/>
    <w:uiPriority w:val="35"/>
    <w:unhideWhenUsed/>
    <w:qFormat/>
    <w:rsid w:val="00D970EF"/>
    <w:pPr>
      <w:keepNext/>
      <w:spacing w:after="200"/>
    </w:pPr>
    <w:rPr>
      <w:rFonts w:asciiTheme="minorHAnsi" w:eastAsiaTheme="minorHAnsi" w:hAnsiTheme="minorHAnsi" w:cstheme="minorBidi"/>
      <w:b/>
      <w:iCs/>
      <w:color w:val="ED7D31" w:themeColor="accent2"/>
      <w:sz w:val="22"/>
      <w:szCs w:val="18"/>
    </w:rPr>
  </w:style>
  <w:style w:type="character" w:customStyle="1" w:styleId="CaptionChar">
    <w:name w:val="Caption Char"/>
    <w:aliases w:val="Caption - graphics Char,Caption Char Char1 Char Char,Caption Char1 Char Char1 Char1 Char,Caption ECSS Char,Exhibit Caption Char,Figure Caption Char Char,Figure Caption Char1,Table Caption Char,TableCaption Char,ca Char,table Char"/>
    <w:basedOn w:val="DefaultParagraphFont"/>
    <w:link w:val="Caption"/>
    <w:uiPriority w:val="35"/>
    <w:locked/>
    <w:rsid w:val="00D970EF"/>
    <w:rPr>
      <w:b/>
      <w:iCs/>
      <w:color w:val="ED7D31" w:themeColor="accent2"/>
      <w:szCs w:val="18"/>
    </w:rPr>
  </w:style>
  <w:style w:type="paragraph" w:styleId="Header">
    <w:name w:val="header"/>
    <w:basedOn w:val="Normal"/>
    <w:link w:val="HeaderChar"/>
    <w:uiPriority w:val="99"/>
    <w:unhideWhenUsed/>
    <w:rsid w:val="00267F92"/>
    <w:pPr>
      <w:tabs>
        <w:tab w:val="center" w:pos="4680"/>
        <w:tab w:val="right" w:pos="9360"/>
      </w:tabs>
    </w:pPr>
  </w:style>
  <w:style w:type="character" w:customStyle="1" w:styleId="HeaderChar">
    <w:name w:val="Header Char"/>
    <w:basedOn w:val="DefaultParagraphFont"/>
    <w:link w:val="Header"/>
    <w:uiPriority w:val="99"/>
    <w:rsid w:val="00267F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7F92"/>
    <w:pPr>
      <w:tabs>
        <w:tab w:val="center" w:pos="4680"/>
        <w:tab w:val="right" w:pos="9360"/>
      </w:tabs>
    </w:pPr>
  </w:style>
  <w:style w:type="character" w:customStyle="1" w:styleId="FooterChar">
    <w:name w:val="Footer Char"/>
    <w:basedOn w:val="DefaultParagraphFont"/>
    <w:link w:val="Footer"/>
    <w:uiPriority w:val="99"/>
    <w:rsid w:val="00267F92"/>
    <w:rPr>
      <w:rFonts w:ascii="Times New Roman" w:eastAsia="Times New Roman" w:hAnsi="Times New Roman" w:cs="Times New Roman"/>
      <w:sz w:val="24"/>
      <w:szCs w:val="24"/>
    </w:rPr>
  </w:style>
  <w:style w:type="paragraph" w:styleId="Revision">
    <w:name w:val="Revision"/>
    <w:hidden/>
    <w:uiPriority w:val="99"/>
    <w:semiHidden/>
    <w:rsid w:val="00267F9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7F92"/>
    <w:pPr>
      <w:spacing w:before="100" w:beforeAutospacing="1" w:after="100" w:afterAutospacing="1"/>
    </w:pPr>
  </w:style>
  <w:style w:type="table" w:customStyle="1" w:styleId="GridTable4-Accent21">
    <w:name w:val="Grid Table 4 - Accent 21"/>
    <w:basedOn w:val="TableNormal"/>
    <w:next w:val="GridTable4Accent2"/>
    <w:uiPriority w:val="49"/>
    <w:rsid w:val="008A1B8C"/>
    <w:pPr>
      <w:spacing w:after="0" w:line="240" w:lineRule="auto"/>
    </w:pPr>
    <w:tblPr>
      <w:tblStyleRowBandSize w:val="1"/>
      <w:tblStyleColBandSize w:val="1"/>
      <w:tblBorders>
        <w:top w:val="single" w:sz="4" w:space="0" w:color="36CEFF"/>
        <w:left w:val="single" w:sz="4" w:space="0" w:color="36CEFF"/>
        <w:bottom w:val="single" w:sz="4" w:space="0" w:color="36CEFF"/>
        <w:right w:val="single" w:sz="4" w:space="0" w:color="36CEFF"/>
        <w:insideH w:val="single" w:sz="4" w:space="0" w:color="36CEFF"/>
        <w:insideV w:val="single" w:sz="4" w:space="0" w:color="36CEFF"/>
      </w:tblBorders>
    </w:tblPr>
    <w:tblStylePr w:type="firstRow">
      <w:rPr>
        <w:b/>
        <w:bCs/>
        <w:color w:val="FFFFFF"/>
      </w:rPr>
      <w:tblPr/>
      <w:tcPr>
        <w:tcBorders>
          <w:top w:val="single" w:sz="4" w:space="0" w:color="0085AF"/>
          <w:left w:val="single" w:sz="4" w:space="0" w:color="0085AF"/>
          <w:bottom w:val="single" w:sz="4" w:space="0" w:color="0085AF"/>
          <w:right w:val="single" w:sz="4" w:space="0" w:color="0085AF"/>
          <w:insideH w:val="nil"/>
          <w:insideV w:val="nil"/>
        </w:tcBorders>
        <w:shd w:val="clear" w:color="auto" w:fill="0085AF"/>
      </w:tcPr>
    </w:tblStylePr>
    <w:tblStylePr w:type="lastRow">
      <w:rPr>
        <w:b/>
        <w:bCs/>
      </w:rPr>
      <w:tblPr/>
      <w:tcPr>
        <w:tcBorders>
          <w:top w:val="double" w:sz="4" w:space="0" w:color="0085AF"/>
        </w:tcBorders>
      </w:tcPr>
    </w:tblStylePr>
    <w:tblStylePr w:type="firstCol">
      <w:rPr>
        <w:b/>
        <w:bCs/>
      </w:rPr>
    </w:tblStylePr>
    <w:tblStylePr w:type="lastCol">
      <w:rPr>
        <w:b/>
        <w:bCs/>
      </w:rPr>
    </w:tblStylePr>
    <w:tblStylePr w:type="band1Vert">
      <w:tblPr/>
      <w:tcPr>
        <w:shd w:val="clear" w:color="auto" w:fill="BCEEFF"/>
      </w:tcPr>
    </w:tblStylePr>
    <w:tblStylePr w:type="band1Horz">
      <w:tblPr/>
      <w:tcPr>
        <w:shd w:val="clear" w:color="auto" w:fill="BCEEFF"/>
      </w:tcPr>
    </w:tblStylePr>
  </w:style>
  <w:style w:type="table" w:styleId="GridTable4Accent2">
    <w:name w:val="Grid Table 4 Accent 2"/>
    <w:basedOn w:val="TableNormal"/>
    <w:uiPriority w:val="49"/>
    <w:rsid w:val="008A1B8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75306D"/>
    <w:rPr>
      <w:rFonts w:ascii="Times New Roman" w:eastAsia="Times New Roman" w:hAnsi="Times New Roman" w:cs="Times New Roman"/>
      <w:b/>
      <w:sz w:val="24"/>
      <w:szCs w:val="24"/>
    </w:rPr>
  </w:style>
  <w:style w:type="character" w:customStyle="1" w:styleId="cf01">
    <w:name w:val="cf01"/>
    <w:basedOn w:val="DefaultParagraphFont"/>
    <w:rsid w:val="00966D97"/>
    <w:rPr>
      <w:rFonts w:ascii="Segoe UI" w:hAnsi="Segoe UI" w:cs="Segoe UI" w:hint="default"/>
      <w:sz w:val="18"/>
      <w:szCs w:val="18"/>
    </w:rPr>
  </w:style>
  <w:style w:type="character" w:styleId="UnresolvedMention">
    <w:name w:val="Unresolved Mention"/>
    <w:basedOn w:val="DefaultParagraphFont"/>
    <w:uiPriority w:val="99"/>
    <w:semiHidden/>
    <w:unhideWhenUsed/>
    <w:rsid w:val="003D0C84"/>
    <w:rPr>
      <w:color w:val="605E5C"/>
      <w:shd w:val="clear" w:color="auto" w:fill="E1DFDD"/>
    </w:rPr>
  </w:style>
  <w:style w:type="paragraph" w:customStyle="1" w:styleId="Default">
    <w:name w:val="Default"/>
    <w:rsid w:val="007D5F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5306D"/>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75306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7b6deb9-dc41-4ced-bf19-f2d6f59f6165">
      <UserInfo>
        <DisplayName>Arpita Chakravorty, PhD</DisplayName>
        <AccountId>12</AccountId>
        <AccountType/>
      </UserInfo>
      <UserInfo>
        <DisplayName>Emma Ward</DisplayName>
        <AccountId>54</AccountId>
        <AccountType/>
      </UserInfo>
      <UserInfo>
        <DisplayName>Emily Brimsek, PhD</DisplayName>
        <AccountId>21</AccountId>
        <AccountType/>
      </UserInfo>
    </SharedWithUsers>
    <Clearance xmlns="ae2a2941-2dbe-4eaa-9281-19e6e20101f1">3318</Clearanc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15C720-8BFE-4078-B623-45075F4C5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2CB3F-33A0-42F6-879B-0D0FF76D9131}">
  <ds:schemaRefs>
    <ds:schemaRef ds:uri="http://schemas.microsoft.com/sharepoint/v3/contenttype/forms"/>
  </ds:schemaRefs>
</ds:datastoreItem>
</file>

<file path=customXml/itemProps3.xml><?xml version="1.0" encoding="utf-8"?>
<ds:datastoreItem xmlns:ds="http://schemas.openxmlformats.org/officeDocument/2006/customXml" ds:itemID="{E9C7AAF7-ECE7-4567-B1A1-19D3992AECB1}">
  <ds:schemaRefs>
    <ds:schemaRef ds:uri="http://schemas.openxmlformats.org/officeDocument/2006/bibliography"/>
  </ds:schemaRefs>
</ds:datastoreItem>
</file>

<file path=customXml/itemProps4.xml><?xml version="1.0" encoding="utf-8"?>
<ds:datastoreItem xmlns:ds="http://schemas.openxmlformats.org/officeDocument/2006/customXml" ds:itemID="{EAB52430-1C30-487D-A4AB-F8DEE0CC93A4}">
  <ds:schemaRefs>
    <ds:schemaRef ds:uri="http://schemas.microsoft.com/office/2006/metadata/properties"/>
    <ds:schemaRef ds:uri="http://schemas.microsoft.com/office/infopath/2007/PartnerControls"/>
    <ds:schemaRef ds:uri="57b6deb9-dc41-4ced-bf19-f2d6f59f6165"/>
    <ds:schemaRef ds:uri="ae2a2941-2dbe-4eaa-9281-19e6e20101f1"/>
  </ds:schemaRefs>
</ds:datastoreItem>
</file>

<file path=customXml/itemProps5.xml><?xml version="1.0" encoding="utf-8"?>
<ds:datastoreItem xmlns:ds="http://schemas.openxmlformats.org/officeDocument/2006/customXml" ds:itemID="{7EC6A5D2-6280-4913-AC91-8CB3153D7E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5435</Words>
  <Characters>30985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Fletcher, Anne L</dc:creator>
  <cp:lastModifiedBy>Anna</cp:lastModifiedBy>
  <cp:revision>2</cp:revision>
  <dcterms:created xsi:type="dcterms:W3CDTF">2023-06-30T14:52:00Z</dcterms:created>
  <dcterms:modified xsi:type="dcterms:W3CDTF">2023-06-30T14:52:00Z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MSIP_Label_369b2100-d973-4476-b41a-3c0e2d6385ef_ActionId">
    <vt:lpwstr>748acc9d-63b8-4de6-b90a-b2cdd701d5c7</vt:lpwstr>
  </property>
  <property fmtid="{D5CDD505-2E9C-101B-9397-08002B2CF9AE}" pid="4" name="MSIP_Label_369b2100-d973-4476-b41a-3c0e2d6385ef_Enabled">
    <vt:lpwstr>True</vt:lpwstr>
  </property>
  <property fmtid="{D5CDD505-2E9C-101B-9397-08002B2CF9AE}" pid="5" name="MSIP_Label_369b2100-d973-4476-b41a-3c0e2d6385ef_Extended_MSFT_Method">
    <vt:lpwstr>Standard</vt:lpwstr>
  </property>
  <property fmtid="{D5CDD505-2E9C-101B-9397-08002B2CF9AE}" pid="6" name="MSIP_Label_369b2100-d973-4476-b41a-3c0e2d6385ef_Name">
    <vt:lpwstr>Unrestricted \ External</vt:lpwstr>
  </property>
  <property fmtid="{D5CDD505-2E9C-101B-9397-08002B2CF9AE}" pid="7" name="MSIP_Label_369b2100-d973-4476-b41a-3c0e2d6385ef_Parent">
    <vt:lpwstr>af5d926d-e6ee-4040-8bde-052b575afdda</vt:lpwstr>
  </property>
  <property fmtid="{D5CDD505-2E9C-101B-9397-08002B2CF9AE}" pid="8" name="MSIP_Label_369b2100-d973-4476-b41a-3c0e2d6385ef_Removed">
    <vt:lpwstr>False</vt:lpwstr>
  </property>
  <property fmtid="{D5CDD505-2E9C-101B-9397-08002B2CF9AE}" pid="9" name="MSIP_Label_369b2100-d973-4476-b41a-3c0e2d6385ef_SetDate">
    <vt:lpwstr>2022-11-02T20:11:42Z</vt:lpwstr>
  </property>
  <property fmtid="{D5CDD505-2E9C-101B-9397-08002B2CF9AE}" pid="10" name="MSIP_Label_369b2100-d973-4476-b41a-3c0e2d6385ef_SiteId">
    <vt:lpwstr>1404ce36-2c7c-4442-89bd-6434c26d13e7</vt:lpwstr>
  </property>
  <property fmtid="{D5CDD505-2E9C-101B-9397-08002B2CF9AE}" pid="11" name="MSIP_Label_af5d926d-e6ee-4040-8bde-052b575afdda_ActionId">
    <vt:lpwstr>968f5188-d022-4f03-8e6f-3ee550f794aa</vt:lpwstr>
  </property>
  <property fmtid="{D5CDD505-2E9C-101B-9397-08002B2CF9AE}" pid="12" name="MSIP_Label_af5d926d-e6ee-4040-8bde-052b575afdda_Enabled">
    <vt:lpwstr>True</vt:lpwstr>
  </property>
  <property fmtid="{D5CDD505-2E9C-101B-9397-08002B2CF9AE}" pid="13" name="MSIP_Label_af5d926d-e6ee-4040-8bde-052b575afdda_Extended_MSFT_Method">
    <vt:lpwstr>Standard</vt:lpwstr>
  </property>
  <property fmtid="{D5CDD505-2E9C-101B-9397-08002B2CF9AE}" pid="14" name="MSIP_Label_af5d926d-e6ee-4040-8bde-052b575afdda_Name">
    <vt:lpwstr>Unrestricted</vt:lpwstr>
  </property>
  <property fmtid="{D5CDD505-2E9C-101B-9397-08002B2CF9AE}" pid="15" name="MSIP_Label_af5d926d-e6ee-4040-8bde-052b575afdda_SetDate">
    <vt:lpwstr>2022-11-02T20:11:42Z</vt:lpwstr>
  </property>
  <property fmtid="{D5CDD505-2E9C-101B-9397-08002B2CF9AE}" pid="16" name="MSIP_Label_af5d926d-e6ee-4040-8bde-052b575afdda_SiteId">
    <vt:lpwstr>1404ce36-2c7c-4442-89bd-6434c26d13e7</vt:lpwstr>
  </property>
  <property fmtid="{D5CDD505-2E9C-101B-9397-08002B2CF9AE}" pid="17" name="Sensitivity">
    <vt:lpwstr>Unrestricted \ External Unrestricted</vt:lpwstr>
  </property>
</Properties>
</file>